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45" w:rsidRDefault="00796D6C">
      <w:r>
        <w:rPr>
          <w:noProof/>
          <w:lang w:val="es-CO" w:eastAsia="es-CO"/>
        </w:rPr>
        <w:drawing>
          <wp:anchor distT="0" distB="0" distL="114300" distR="114300" simplePos="0" relativeHeight="251658241" behindDoc="0" locked="0" layoutInCell="1" allowOverlap="1" wp14:anchorId="62F00155" wp14:editId="2C700002">
            <wp:simplePos x="0" y="0"/>
            <wp:positionH relativeFrom="column">
              <wp:posOffset>4689475</wp:posOffset>
            </wp:positionH>
            <wp:positionV relativeFrom="paragraph">
              <wp:posOffset>-1068070</wp:posOffset>
            </wp:positionV>
            <wp:extent cx="1143000" cy="1463040"/>
            <wp:effectExtent l="0" t="0" r="0" b="3810"/>
            <wp:wrapNone/>
            <wp:docPr id="33" name="Imagen 28" descr="http://web.presidencia.gov.co/asiescolombia/escudoco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eb.presidencia.gov.co/asiescolombia/escudocolgar.jpg"/>
                    <pic:cNvPicPr>
                      <a:picLocks noChangeAspect="1" noChangeArrowheads="1"/>
                    </pic:cNvPicPr>
                  </pic:nvPicPr>
                  <pic:blipFill>
                    <a:blip r:embed="rId11" r:link="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F45" w:rsidRDefault="00904F45"/>
    <w:p w:rsidR="00A33C77" w:rsidRDefault="00A33C77" w:rsidP="009E5E77">
      <w:pPr>
        <w:tabs>
          <w:tab w:val="left" w:pos="5812"/>
        </w:tabs>
        <w:rPr>
          <w:rFonts w:ascii="Calibri" w:eastAsia="Times New Roman" w:hAnsi="Calibri"/>
          <w:sz w:val="24"/>
          <w:szCs w:val="22"/>
          <w:lang w:eastAsia="en-US"/>
        </w:rPr>
      </w:pPr>
    </w:p>
    <w:p w:rsidR="00A33C77" w:rsidRDefault="00A33C77" w:rsidP="009E5E77">
      <w:pPr>
        <w:tabs>
          <w:tab w:val="left" w:pos="5812"/>
        </w:tabs>
        <w:rPr>
          <w:rFonts w:ascii="Calibri" w:eastAsia="Times New Roman" w:hAnsi="Calibri"/>
          <w:sz w:val="24"/>
          <w:szCs w:val="22"/>
          <w:lang w:eastAsia="en-US"/>
        </w:rPr>
      </w:pPr>
    </w:p>
    <w:p w:rsidR="007A60D8" w:rsidRDefault="00796D6C" w:rsidP="009E5E77">
      <w:pPr>
        <w:tabs>
          <w:tab w:val="left" w:pos="5812"/>
        </w:tabs>
      </w:pPr>
      <w:r>
        <w:rPr>
          <w:noProof/>
          <w:lang w:val="es-CO" w:eastAsia="es-CO"/>
        </w:rPr>
        <w:drawing>
          <wp:anchor distT="0" distB="0" distL="114300" distR="114300" simplePos="0" relativeHeight="251658242" behindDoc="0" locked="0" layoutInCell="1" allowOverlap="1" wp14:anchorId="5FBD164E" wp14:editId="740D9669">
            <wp:simplePos x="0" y="0"/>
            <wp:positionH relativeFrom="column">
              <wp:posOffset>-1070610</wp:posOffset>
            </wp:positionH>
            <wp:positionV relativeFrom="paragraph">
              <wp:posOffset>6629400</wp:posOffset>
            </wp:positionV>
            <wp:extent cx="7752715" cy="1605280"/>
            <wp:effectExtent l="0" t="0" r="635" b="0"/>
            <wp:wrapNone/>
            <wp:docPr id="9013"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271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658240" behindDoc="0" locked="0" layoutInCell="0" allowOverlap="1" wp14:anchorId="48501F73" wp14:editId="44D3486F">
                <wp:simplePos x="0" y="0"/>
                <wp:positionH relativeFrom="page">
                  <wp:posOffset>-5080</wp:posOffset>
                </wp:positionH>
                <wp:positionV relativeFrom="margin">
                  <wp:posOffset>964565</wp:posOffset>
                </wp:positionV>
                <wp:extent cx="7767955" cy="6233795"/>
                <wp:effectExtent l="0" t="0" r="0" b="0"/>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955" cy="6233795"/>
                          <a:chOff x="0" y="1440"/>
                          <a:chExt cx="12239" cy="12960"/>
                        </a:xfrm>
                      </wpg:grpSpPr>
                      <wpg:grpSp>
                        <wpg:cNvPr id="19" name="Group 14"/>
                        <wpg:cNvGrpSpPr>
                          <a:grpSpLocks/>
                        </wpg:cNvGrpSpPr>
                        <wpg:grpSpPr bwMode="auto">
                          <a:xfrm>
                            <a:off x="0" y="9661"/>
                            <a:ext cx="12239" cy="4739"/>
                            <a:chOff x="-6" y="3399"/>
                            <a:chExt cx="12197" cy="4253"/>
                          </a:xfrm>
                        </wpg:grpSpPr>
                        <wpg:grpSp>
                          <wpg:cNvPr id="20" name="Group 15"/>
                          <wpg:cNvGrpSpPr>
                            <a:grpSpLocks/>
                          </wpg:cNvGrpSpPr>
                          <wpg:grpSpPr bwMode="auto">
                            <a:xfrm>
                              <a:off x="-6" y="3717"/>
                              <a:ext cx="12189" cy="3550"/>
                              <a:chOff x="18" y="7468"/>
                              <a:chExt cx="12189" cy="3550"/>
                            </a:xfrm>
                          </wpg:grpSpPr>
                          <wps:wsp>
                            <wps:cNvPr id="21" name="Freeform 1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noFill/>
                              <a:ln>
                                <a:noFill/>
                              </a:ln>
                              <a:extLst>
                                <a:ext uri="{909E8E84-426E-40DD-AFC4-6F175D3DCCD1}">
                                  <a14:hiddenFill xmlns:a14="http://schemas.microsoft.com/office/drawing/2010/main">
                                    <a:solidFill>
                                      <a:srgbClr val="A7BFDE">
                                        <a:alpha val="5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noFill/>
                              <a:ln>
                                <a:noFill/>
                              </a:ln>
                              <a:extLst>
                                <a:ext uri="{909E8E84-426E-40DD-AFC4-6F175D3DCCD1}">
                                  <a14:hiddenFill xmlns:a14="http://schemas.microsoft.com/office/drawing/2010/main">
                                    <a:solidFill>
                                      <a:srgbClr val="D3DFEE">
                                        <a:alpha val="5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noFill/>
                              <a:ln>
                                <a:noFill/>
                              </a:ln>
                              <a:extLst>
                                <a:ext uri="{909E8E84-426E-40DD-AFC4-6F175D3DCCD1}">
                                  <a14:hiddenFill xmlns:a14="http://schemas.microsoft.com/office/drawing/2010/main">
                                    <a:solidFill>
                                      <a:srgbClr val="A7BFDE">
                                        <a:alpha val="5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1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noFill/>
                            <a:ln>
                              <a:noFill/>
                            </a:ln>
                            <a:extLst>
                              <a:ext uri="{909E8E84-426E-40DD-AFC4-6F175D3DCCD1}">
                                <a14:hiddenFill xmlns:a14="http://schemas.microsoft.com/office/drawing/2010/main">
                                  <a:solidFill>
                                    <a:srgbClr val="D3DFEE">
                                      <a:alpha val="7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noFill/>
                            <a:ln>
                              <a:noFill/>
                            </a:ln>
                            <a:extLst>
                              <a:ext uri="{909E8E84-426E-40DD-AFC4-6F175D3DCCD1}">
                                <a14:hiddenFill xmlns:a14="http://schemas.microsoft.com/office/drawing/2010/main">
                                  <a:solidFill>
                                    <a:srgbClr val="A7BFDE">
                                      <a:alpha val="7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noFill/>
                            <a:ln>
                              <a:noFill/>
                            </a:ln>
                            <a:extLst>
                              <a:ext uri="{909E8E84-426E-40DD-AFC4-6F175D3DCCD1}">
                                <a14:hiddenFill xmlns:a14="http://schemas.microsoft.com/office/drawing/2010/main">
                                  <a:solidFill>
                                    <a:srgbClr val="D3DFEE">
                                      <a:alpha val="7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Rectangle 25"/>
                        <wps:cNvSpPr>
                          <a:spLocks noChangeArrowheads="1"/>
                        </wps:cNvSpPr>
                        <wps:spPr bwMode="auto">
                          <a:xfrm>
                            <a:off x="1800" y="1440"/>
                            <a:ext cx="863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C8B" w:rsidRPr="00336B81" w:rsidRDefault="00FC0C8B">
                              <w:pPr>
                                <w:rPr>
                                  <w:rStyle w:val="nfasis"/>
                                  <w:sz w:val="32"/>
                                </w:rPr>
                              </w:pPr>
                              <w:r w:rsidRPr="00336B81">
                                <w:rPr>
                                  <w:rStyle w:val="nfasis"/>
                                  <w:sz w:val="32"/>
                                </w:rPr>
                                <w:t>Agencia Nacional de Infraestructura</w:t>
                              </w:r>
                            </w:p>
                            <w:p w:rsidR="00FC0C8B" w:rsidRPr="003F6476" w:rsidRDefault="00FC0C8B">
                              <w:pPr>
                                <w:rPr>
                                  <w:rStyle w:val="nfasis"/>
                                </w:rPr>
                              </w:pPr>
                            </w:p>
                          </w:txbxContent>
                        </wps:txbx>
                        <wps:bodyPr rot="0" vert="horz" wrap="square" lIns="91440" tIns="45720" rIns="91440" bIns="45720" anchor="t" anchorCtr="0" upright="1">
                          <a:noAutofit/>
                        </wps:bodyPr>
                      </wps:wsp>
                      <wps:wsp>
                        <wps:cNvPr id="31" name="Rectangle 26"/>
                        <wps:cNvSpPr>
                          <a:spLocks noChangeArrowheads="1"/>
                        </wps:cNvSpPr>
                        <wps:spPr bwMode="auto">
                          <a:xfrm>
                            <a:off x="6494" y="11160"/>
                            <a:ext cx="499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C8B" w:rsidRPr="00BD6225" w:rsidRDefault="00FC0C8B" w:rsidP="00336B81">
                              <w:pPr>
                                <w:jc w:val="right"/>
                                <w:rPr>
                                  <w:sz w:val="88"/>
                                  <w:szCs w:val="88"/>
                                </w:rPr>
                              </w:pPr>
                              <w:r w:rsidRPr="00BD6225">
                                <w:rPr>
                                  <w:sz w:val="88"/>
                                  <w:szCs w:val="88"/>
                                </w:rPr>
                                <w:t>2014</w:t>
                              </w:r>
                            </w:p>
                          </w:txbxContent>
                        </wps:txbx>
                        <wps:bodyPr rot="0" vert="horz" wrap="square" lIns="91440" tIns="45720" rIns="91440" bIns="45720" anchor="t" anchorCtr="0" upright="1">
                          <a:noAutofit/>
                        </wps:bodyPr>
                      </wps:wsp>
                      <wps:wsp>
                        <wps:cNvPr id="32" name="Rectangle 2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C8B" w:rsidRDefault="00FC0C8B">
                              <w:pPr>
                                <w:rPr>
                                  <w:b/>
                                  <w:bCs/>
                                  <w:color w:val="808080"/>
                                  <w:sz w:val="72"/>
                                  <w:szCs w:val="72"/>
                                  <w:lang w:val="es-CO"/>
                                </w:rPr>
                              </w:pPr>
                              <w:r w:rsidRPr="00904F45">
                                <w:rPr>
                                  <w:b/>
                                  <w:bCs/>
                                  <w:color w:val="808080"/>
                                  <w:sz w:val="72"/>
                                  <w:szCs w:val="72"/>
                                  <w:lang w:val="es-CO"/>
                                </w:rPr>
                                <w:t>INFORME DE GESTIÓN</w:t>
                              </w:r>
                            </w:p>
                            <w:p w:rsidR="00FC0C8B" w:rsidRPr="002800BB" w:rsidRDefault="00FC0C8B">
                              <w:pPr>
                                <w:rPr>
                                  <w:b/>
                                  <w:bCs/>
                                  <w:color w:val="808080"/>
                                  <w:sz w:val="40"/>
                                  <w:szCs w:val="40"/>
                                </w:rPr>
                              </w:pPr>
                              <w:r>
                                <w:rPr>
                                  <w:b/>
                                  <w:bCs/>
                                  <w:color w:val="808080"/>
                                  <w:sz w:val="40"/>
                                  <w:szCs w:val="40"/>
                                  <w:lang w:val="es-CO"/>
                                </w:rPr>
                                <w:t>2014</w:t>
                              </w:r>
                            </w:p>
                            <w:p w:rsidR="00FC0C8B" w:rsidRPr="00904F45" w:rsidRDefault="00FC0C8B">
                              <w:pPr>
                                <w:rPr>
                                  <w:b/>
                                  <w:bCs/>
                                  <w:sz w:val="40"/>
                                  <w:szCs w:val="40"/>
                                </w:rPr>
                              </w:pPr>
                              <w:r w:rsidRPr="00904F45">
                                <w:rPr>
                                  <w:b/>
                                  <w:bCs/>
                                  <w:szCs w:val="40"/>
                                </w:rPr>
                                <w:t>Ministerio de Transporte</w:t>
                              </w:r>
                            </w:p>
                            <w:p w:rsidR="00FC0C8B" w:rsidRPr="00904F45" w:rsidRDefault="00FC0C8B">
                              <w:pPr>
                                <w:rPr>
                                  <w:b/>
                                  <w:bCs/>
                                  <w:color w:val="808080"/>
                                  <w:sz w:val="32"/>
                                  <w:szCs w:val="32"/>
                                </w:rPr>
                              </w:pPr>
                              <w:r>
                                <w:rPr>
                                  <w:b/>
                                  <w:bCs/>
                                  <w:noProof/>
                                  <w:color w:val="808080"/>
                                  <w:sz w:val="32"/>
                                  <w:szCs w:val="32"/>
                                  <w:lang w:val="es-CO" w:eastAsia="es-CO"/>
                                </w:rPr>
                                <w:drawing>
                                  <wp:inline distT="0" distB="0" distL="0" distR="0" wp14:anchorId="67A9152F" wp14:editId="5C9EA3BC">
                                    <wp:extent cx="5153025" cy="16764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167640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48501F73" id="Group 13" o:spid="_x0000_s1026" style="position:absolute;left:0;text-align:left;margin-left:-.4pt;margin-top:75.95pt;width:611.65pt;height:490.85pt;z-index:251658240;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" o:allowincell="f">
                <v:group id="Group 14"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flMQA&#10;AADbAAAADwAAAGRycy9kb3ducmV2LnhtbESP3WrCQBSE7wu+w3KE3ukmFiRGVymlLUUQ/Cnp7SF7&#10;TEKzZ8Pu1sS3dwWhl8PMfMOsNoNpxYWcbywrSKcJCOLS6oYrBd+nj0kGwgdkja1lUnAlD5v16GmF&#10;ubY9H+hyDJWIEPY5KqhD6HIpfVmTQT+1HXH0ztYZDFG6SmqHfYSbVs6SZC4NNhwXauzoraby9/hn&#10;FBT80mcubfau2L1nbsHzn89iq9TzeHhdggg0hP/wo/2lFcxS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35TEAAAA2wAAAA8AAAAAAAAAAAAAAAAAmAIAAGRycy9k&#10;b3ducmV2LnhtbFBLBQYAAAAABAAEAPUAAACJAwAAAAA=&#10;" path="m,l17,2863,7132,2578r,-2378l,xe" filled="f" fillcolor="#a7bfde" stroked="f">
                      <v:fill opacity="32896f"/>
                      <v:path arrowok="t" o:connecttype="custom" o:connectlocs="0,0;17,2863;7132,2578;7132,200;0,0" o:connectangles="0,0,0,0,0"/>
                    </v:shape>
                    <v:shape id="Freeform 1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dQsQA&#10;AADbAAAADwAAAGRycy9kb3ducmV2LnhtbESPzWrDMBCE74G+g9hCbokclxbjRA5poNBTSn4oPS7W&#10;2nJirYyl2O7bV4VCj8PMfMNstpNtxUC9bxwrWC0TEMSl0w3XCi7nt0UGwgdkja1jUvBNHrbFw2yD&#10;uXYjH2k4hVpECPscFZgQulxKXxqy6JeuI45e5XqLIcq+lrrHMcJtK9MkeZEWG44LBjvaGypvp7tV&#10;cBiOlu/Xp/Hjq9p/7p6zqe3Mq1Lzx2m3BhFoCv/hv/a7VpCm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XULEAAAA2wAAAA8AAAAAAAAAAAAAAAAAmAIAAGRycy9k&#10;b3ducmV2LnhtbFBLBQYAAAAABAAEAPUAAACJAwAAAAA=&#10;" path="m,569l,2930r3466,620l3466,,,569xe" filled="f" fillcolor="#d3dfee" stroked="f">
                      <v:fill opacity="32896f"/>
                      <v:path arrowok="t" o:connecttype="custom" o:connectlocs="0,569;0,2930;3466,3550;3466,0;0,569" o:connectangles="0,0,0,0,0"/>
                    </v:shape>
                    <v:shape id="Freeform 1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Y9sAA&#10;AADbAAAADwAAAGRycy9kb3ducmV2LnhtbESP0YrCMBRE3wX/IVzBN03tgqxdo4hQ2NfV/YBLcm3K&#10;Nje1ydrWrzeC4OMwM2eY7X5wjbhRF2rPClbLDASx9qbmSsHvuVx8gggR2WDjmRSMFGC/m062WBjf&#10;8w/dTrESCcKhQAU2xraQMmhLDsPSt8TJu/jOYUyyq6TpsE9w18g8y9bSYc1pwWJLR0v67/TvFJy1&#10;1cdx41b33Pbr8cqlKblRaj4bDl8gIg3xHX61v42C/AOeX9IPk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nY9sAAAADbAAAADwAAAAAAAAAAAAAAAACYAgAAZHJzL2Rvd25y&#10;ZXYueG1sUEsFBgAAAAAEAAQA9QAAAIUDAAAAAA==&#10;" path="m,l,3550,1591,2746r,-2009l,xe" filled="f" fillcolor="#a7bfde" stroked="f">
                      <v:fill opacity="32896f"/>
                      <v:path arrowok="t" o:connecttype="custom" o:connectlocs="0,0;0,3550;1591,2746;1591,737;0,0" o:connectangles="0,0,0,0,0"/>
                    </v:shape>
                  </v:group>
                  <v:shape id="Freeform 1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BJMEA&#10;AADbAAAADwAAAGRycy9kb3ducmV2LnhtbESPzYrCMBSF98K8Q7iCO011dJBqFBmQcSOoM+4vzbUt&#10;Njc1ibb69EYQZnk4Px9nvmxNJW7kfGlZwXCQgCDOrC45V/D3u+5PQfiArLGyTAru5GG5+OjMMdW2&#10;4T3dDiEXcYR9igqKEOpUSp8VZNAPbE0cvZN1BkOULpfaYRPHTSVHSfIlDZYcCQXW9F1Qdj5cjYLH&#10;eBs55+Nue/nh3eVz0uxXrlGq121XMxCB2vAffrc3WsFoDK8v8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wSTBAAAA2wAAAA8AAAAAAAAAAAAAAAAAmAIAAGRycy9kb3du&#10;cmV2LnhtbFBLBQYAAAAABAAEAPUAAACGAwAAAAA=&#10;" path="m1,251l,2662r4120,251l4120,,1,251xe" filled="f" fillcolor="#d8d8d8" stroked="f">
                    <v:path arrowok="t" o:connecttype="custom" o:connectlocs="1,251;0,2662;4120,2913;4120,0;1,251" o:connectangles="0,0,0,0,0"/>
                  </v:shape>
                  <v:shape id="Freeform 2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Hq8QA&#10;AADbAAAADwAAAGRycy9kb3ducmV2LnhtbESPX2vCQBDE3wt+h2MF3+qlAf+QeooIljwoRVv6vOTW&#10;JDa3l+ZWjd++Vyj4OMzMb5jFqneNulIXas8GXsYJKOLC25pLA58f2+c5qCDIFhvPZOBOAVbLwdMC&#10;M+tvfKDrUUoVIRwyNFCJtJnWoajIYRj7ljh6J985lCi7UtsObxHuGp0myVQ7rDkuVNjSpqLi+3hx&#10;Bmb5fnPPt+/NeYpv8/RL5Ge33hszGvbrV1BCvTzC/+3cGkgn8Pcl/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h6vEAAAA2wAAAA8AAAAAAAAAAAAAAAAAmAIAAGRycy9k&#10;b3ducmV2LnhtbFBLBQYAAAAABAAEAPUAAACJAwAAAAA=&#10;" path="m,l,4236,3985,3349r,-2428l,xe" filled="f" fillcolor="#bfbfbf" stroked="f">
                    <v:path arrowok="t" o:connecttype="custom" o:connectlocs="0,0;0,4236;3985,3349;3985,921;0,0" o:connectangles="0,0,0,0,0"/>
                  </v:shape>
                  <v:shape id="Freeform 2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93cIA&#10;AADbAAAADwAAAGRycy9kb3ducmV2LnhtbESP0WrCQBRE3wv+w3IF3+rGgFGiq4hU6aNGP+CSvWaD&#10;2btpdo1pv75bKPg4zMwZZr0dbCN66nztWMFsmoAgLp2uuVJwvRzelyB8QNbYOCYF3+Rhuxm9rTHX&#10;7sln6otQiQhhn6MCE0KbS+lLQxb91LXE0bu5zmKIsquk7vAZ4baRaZJk0mLNccFgS3tD5b14WAWL&#10;U79PTruzNT/p1+NjeT8W88wqNRkPuxWIQEN4hf/bn1pBmsH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T3dwgAAANsAAAAPAAAAAAAAAAAAAAAAAJgCAABkcnMvZG93&#10;bnJldi54bWxQSwUGAAAAAAQABAD1AAAAhwMAAAAA&#10;" path="m4086,r-2,4253l,3198,,1072,4086,xe" filled="f" fillcolor="#d8d8d8" stroked="f">
                    <v:path arrowok="t" o:connecttype="custom" o:connectlocs="4086,0;4084,4253;0,3198;0,1072;4086,0" o:connectangles="0,0,0,0,0"/>
                  </v:shape>
                  <v:shape id="Freeform 2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fm8MA&#10;AADbAAAADwAAAGRycy9kb3ducmV2LnhtbESPQYvCMBSE74L/ITzBm031oNI1irq7sniRVi97ezTP&#10;tti8lCZb6783C4LHYWa+YVab3tSio9ZVlhVMoxgEcW51xYWCy/l7sgThPLLG2jIpeJCDzXo4WGGi&#10;7Z1T6jJfiABhl6CC0vsmkdLlJRl0kW2Ig3e1rUEfZFtI3eI9wE0tZ3E8lwYrDgslNrQvKb9lf0bB&#10;5+73ML8tjqdLStftVzo92T7rlBqP+u0HCE+9f4df7R+tYLaA/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6fm8MAAADbAAAADwAAAAAAAAAAAAAAAACYAgAAZHJzL2Rv&#10;d25yZXYueG1sUEsFBgAAAAAEAAQA9QAAAIgDAAAAAA==&#10;" path="m,921l2060,r16,3851l,2981,,921xe" filled="f" fillcolor="#d3dfee" stroked="f">
                    <v:fill opacity="46003f"/>
                    <v:path arrowok="t" o:connecttype="custom" o:connectlocs="0,921;2060,0;2076,3851;0,2981;0,921" o:connectangles="0,0,0,0,0"/>
                  </v:shape>
                  <v:shape id="Freeform 2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bncYA&#10;AADbAAAADwAAAGRycy9kb3ducmV2LnhtbESPTWsCQQyG74X+hyGCl6KzVbB26yilUNTe/KDYW9iJ&#10;u4s7me3MqGt/fXMo9BjevE/yzBada9SFQqw9G3gcZqCIC29rLg3sd++DKaiYkC02nsnAjSIs5vd3&#10;M8ytv/KGLttUKoFwzNFAlVKbax2LihzGoW+JJTv64DDJGEptA14F7ho9yrKJdlizXKiwpbeKitP2&#10;7IQSPr9+1nj4Pi7HT5NDHNNz+Hgwpt/rXl9AJerS//Jfe2UNjORZcRE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6bncYAAADbAAAADwAAAAAAAAAAAAAAAACYAgAAZHJz&#10;L2Rvd25yZXYueG1sUEsFBgAAAAAEAAQA9QAAAIsDAAAAAA==&#10;" path="m,l17,3835,6011,2629r,-1390l,xe" filled="f" fillcolor="#a7bfde" stroked="f">
                    <v:fill opacity="46003f"/>
                    <v:path arrowok="t" o:connecttype="custom" o:connectlocs="0,0;17,3835;6011,2629;6011,1239;0,0" o:connectangles="0,0,0,0,0"/>
                  </v:shape>
                  <v:shape id="Freeform 2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OrcQA&#10;AADbAAAADwAAAGRycy9kb3ducmV2LnhtbESPQWvCQBSE7wX/w/KE3upGDyWNriKCtOKlTQXx9sw+&#10;s9Hs25Bdk/jvu4VCj8PMfMMsVoOtRUetrxwrmE4SEMSF0xWXCg7f25cUhA/IGmvHpOBBHlbL0dMC&#10;M+16/qIuD6WIEPYZKjAhNJmUvjBk0U9cQxy9i2sthijbUuoW+wi3tZwlyau0WHFcMNjQxlBxy+9W&#10;QX8+pPvutJPHx3t63X/m8mh0p9TzeFjPQQQawn/4r/2hFcze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zq3EAAAA2wAAAA8AAAAAAAAAAAAAAAAAmAIAAGRycy9k&#10;b3ducmV2LnhtbFBLBQYAAAAABAAEAPUAAACJAwAAAAA=&#10;" path="m,1038l,2411,4102,3432,4102,,,1038xe" filled="f" fillcolor="#d3dfee" stroked="f">
                    <v:fill opacity="46003f"/>
                    <v:path arrowok="t" o:connecttype="custom" o:connectlocs="0,1038;0,2411;4102,3432;4102,0;0,1038" o:connectangles="0,0,0,0,0"/>
                  </v:shape>
                </v:group>
                <v:rect id="Rectangle 25" o:spid="_x0000_s1038" style="position:absolute;left:1800;top:1440;width:863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FC0C8B" w:rsidRPr="00336B81" w:rsidRDefault="00FC0C8B">
                        <w:pPr>
                          <w:rPr>
                            <w:rStyle w:val="nfasis"/>
                            <w:sz w:val="32"/>
                          </w:rPr>
                        </w:pPr>
                        <w:r w:rsidRPr="00336B81">
                          <w:rPr>
                            <w:rStyle w:val="nfasis"/>
                            <w:sz w:val="32"/>
                          </w:rPr>
                          <w:t>Agencia Nacional de Infraestructura</w:t>
                        </w:r>
                      </w:p>
                      <w:p w:rsidR="00FC0C8B" w:rsidRPr="003F6476" w:rsidRDefault="00FC0C8B">
                        <w:pPr>
                          <w:rPr>
                            <w:rStyle w:val="nfasis"/>
                          </w:rPr>
                        </w:pPr>
                      </w:p>
                    </w:txbxContent>
                  </v:textbox>
                </v:rect>
                <v:rect id="Rectangle 26" o:spid="_x0000_s1039" style="position:absolute;left:6494;top:11160;width:499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FC0C8B" w:rsidRPr="00BD6225" w:rsidRDefault="00FC0C8B" w:rsidP="00336B81">
                        <w:pPr>
                          <w:jc w:val="right"/>
                          <w:rPr>
                            <w:sz w:val="88"/>
                            <w:szCs w:val="88"/>
                          </w:rPr>
                        </w:pPr>
                        <w:r w:rsidRPr="00BD6225">
                          <w:rPr>
                            <w:sz w:val="88"/>
                            <w:szCs w:val="88"/>
                          </w:rPr>
                          <w:t>2014</w:t>
                        </w:r>
                      </w:p>
                    </w:txbxContent>
                  </v:textbox>
                </v:rect>
                <v:rect id="Rectangle 2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xcEA&#10;AADbAAAADwAAAGRycy9kb3ducmV2LnhtbESP3YrCMBSE7wXfIRzBO01XQaQaZVFEBRX8eYCzzdm2&#10;2JyUJGp9eyMIXg4z3wwznTemEndyvrSs4KefgCDOrC45V3A5r3pjED4ga6wsk4IneZjP2q0ppto+&#10;+Ej3U8hFLGGfooIihDqV0mcFGfR9WxNH7986gyFKl0vt8BHLTSUHSTKSBkuOCwXWtCgou55uRsFw&#10;dzi4/fK6GiXLy5ataxbrv6NS3U7zOwERqAnf8Ife6MgN4P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7MXBAAAA2wAAAA8AAAAAAAAAAAAAAAAAmAIAAGRycy9kb3du&#10;cmV2LnhtbFBLBQYAAAAABAAEAPUAAACGAwAAAAA=&#10;" filled="f" stroked="f">
                  <v:textbox>
                    <w:txbxContent>
                      <w:p w:rsidR="00FC0C8B" w:rsidRDefault="00FC0C8B">
                        <w:pPr>
                          <w:rPr>
                            <w:b/>
                            <w:bCs/>
                            <w:color w:val="808080"/>
                            <w:sz w:val="72"/>
                            <w:szCs w:val="72"/>
                            <w:lang w:val="es-CO"/>
                          </w:rPr>
                        </w:pPr>
                        <w:r w:rsidRPr="00904F45">
                          <w:rPr>
                            <w:b/>
                            <w:bCs/>
                            <w:color w:val="808080"/>
                            <w:sz w:val="72"/>
                            <w:szCs w:val="72"/>
                            <w:lang w:val="es-CO"/>
                          </w:rPr>
                          <w:t>INFORME DE GESTIÓN</w:t>
                        </w:r>
                      </w:p>
                      <w:p w:rsidR="00FC0C8B" w:rsidRPr="002800BB" w:rsidRDefault="00FC0C8B">
                        <w:pPr>
                          <w:rPr>
                            <w:b/>
                            <w:bCs/>
                            <w:color w:val="808080"/>
                            <w:sz w:val="40"/>
                            <w:szCs w:val="40"/>
                          </w:rPr>
                        </w:pPr>
                        <w:r>
                          <w:rPr>
                            <w:b/>
                            <w:bCs/>
                            <w:color w:val="808080"/>
                            <w:sz w:val="40"/>
                            <w:szCs w:val="40"/>
                            <w:lang w:val="es-CO"/>
                          </w:rPr>
                          <w:t>2014</w:t>
                        </w:r>
                      </w:p>
                      <w:p w:rsidR="00FC0C8B" w:rsidRPr="00904F45" w:rsidRDefault="00FC0C8B">
                        <w:pPr>
                          <w:rPr>
                            <w:b/>
                            <w:bCs/>
                            <w:sz w:val="40"/>
                            <w:szCs w:val="40"/>
                          </w:rPr>
                        </w:pPr>
                        <w:r w:rsidRPr="00904F45">
                          <w:rPr>
                            <w:b/>
                            <w:bCs/>
                            <w:szCs w:val="40"/>
                          </w:rPr>
                          <w:t>Ministerio de Transporte</w:t>
                        </w:r>
                      </w:p>
                      <w:p w:rsidR="00FC0C8B" w:rsidRPr="00904F45" w:rsidRDefault="00FC0C8B">
                        <w:pPr>
                          <w:rPr>
                            <w:b/>
                            <w:bCs/>
                            <w:color w:val="808080"/>
                            <w:sz w:val="32"/>
                            <w:szCs w:val="32"/>
                          </w:rPr>
                        </w:pPr>
                        <w:r>
                          <w:rPr>
                            <w:b/>
                            <w:bCs/>
                            <w:noProof/>
                            <w:color w:val="808080"/>
                            <w:sz w:val="32"/>
                            <w:szCs w:val="32"/>
                            <w:lang w:val="es-CO" w:eastAsia="es-CO"/>
                          </w:rPr>
                          <w:drawing>
                            <wp:inline distT="0" distB="0" distL="0" distR="0" wp14:anchorId="67A9152F" wp14:editId="5C9EA3BC">
                              <wp:extent cx="5153025" cy="16764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1676400"/>
                                      </a:xfrm>
                                      <a:prstGeom prst="rect">
                                        <a:avLst/>
                                      </a:prstGeom>
                                      <a:noFill/>
                                      <a:ln>
                                        <a:noFill/>
                                      </a:ln>
                                    </pic:spPr>
                                  </pic:pic>
                                </a:graphicData>
                              </a:graphic>
                            </wp:inline>
                          </w:drawing>
                        </w:r>
                      </w:p>
                    </w:txbxContent>
                  </v:textbox>
                </v:rect>
                <w10:wrap anchorx="page" anchory="margin"/>
              </v:group>
            </w:pict>
          </mc:Fallback>
        </mc:AlternateContent>
      </w:r>
      <w:r w:rsidR="00904F45">
        <w:rPr>
          <w:rFonts w:ascii="Calibri" w:eastAsia="Times New Roman" w:hAnsi="Calibri"/>
          <w:sz w:val="24"/>
          <w:szCs w:val="22"/>
          <w:lang w:eastAsia="en-US"/>
        </w:rPr>
        <w:br w:type="page"/>
      </w:r>
    </w:p>
    <w:p w:rsidR="00F802BC" w:rsidRPr="00D66AC9" w:rsidRDefault="00F802BC" w:rsidP="00AE2202">
      <w:pPr>
        <w:pStyle w:val="TDC1"/>
      </w:pPr>
    </w:p>
    <w:p w:rsidR="00AB57AA" w:rsidRPr="002E5553" w:rsidRDefault="006462FE" w:rsidP="00F802BC">
      <w:pPr>
        <w:ind w:firstLine="709"/>
        <w:rPr>
          <w:b/>
          <w:sz w:val="24"/>
        </w:rPr>
      </w:pPr>
      <w:r w:rsidRPr="002E5553">
        <w:rPr>
          <w:b/>
          <w:sz w:val="24"/>
        </w:rPr>
        <w:t xml:space="preserve">TABLA DE </w:t>
      </w:r>
      <w:r w:rsidR="005107CB" w:rsidRPr="002E5553">
        <w:rPr>
          <w:b/>
          <w:sz w:val="24"/>
        </w:rPr>
        <w:t>CONTENIDO</w:t>
      </w:r>
    </w:p>
    <w:p w:rsidR="002244C4" w:rsidRPr="00D66AC9" w:rsidRDefault="002244C4" w:rsidP="00AE2202">
      <w:pPr>
        <w:pStyle w:val="TDC1"/>
      </w:pPr>
    </w:p>
    <w:p w:rsidR="002A5588" w:rsidRDefault="00490FC3">
      <w:pPr>
        <w:pStyle w:val="TDC1"/>
        <w:rPr>
          <w:rFonts w:asciiTheme="minorHAnsi" w:eastAsiaTheme="minorEastAsia" w:hAnsiTheme="minorHAnsi" w:cstheme="minorBidi"/>
          <w:noProof/>
          <w:szCs w:val="22"/>
          <w:lang w:val="es-CO" w:eastAsia="es-CO"/>
        </w:rPr>
      </w:pPr>
      <w:r w:rsidRPr="00490FC3">
        <w:rPr>
          <w:rFonts w:ascii="Arial Narrow" w:hAnsi="Arial Narrow"/>
          <w:szCs w:val="22"/>
        </w:rPr>
        <w:fldChar w:fldCharType="begin"/>
      </w:r>
      <w:r w:rsidRPr="00490FC3">
        <w:rPr>
          <w:rFonts w:ascii="Arial Narrow" w:hAnsi="Arial Narrow"/>
          <w:szCs w:val="22"/>
        </w:rPr>
        <w:instrText xml:space="preserve"> TOC \o "1-3" \h \z \u </w:instrText>
      </w:r>
      <w:r w:rsidRPr="00490FC3">
        <w:rPr>
          <w:rFonts w:ascii="Arial Narrow" w:hAnsi="Arial Narrow"/>
          <w:szCs w:val="22"/>
        </w:rPr>
        <w:fldChar w:fldCharType="separate"/>
      </w:r>
      <w:hyperlink w:anchor="_Toc410922125" w:history="1">
        <w:r w:rsidR="002A5588" w:rsidRPr="001575B8">
          <w:rPr>
            <w:rStyle w:val="Hipervnculo"/>
            <w:rFonts w:ascii="Arial Narrow" w:hAnsi="Arial Narrow"/>
            <w:noProof/>
          </w:rPr>
          <w:t>INTRODUCCIÓN</w:t>
        </w:r>
        <w:r w:rsidR="002A5588">
          <w:rPr>
            <w:noProof/>
            <w:webHidden/>
          </w:rPr>
          <w:tab/>
        </w:r>
        <w:r w:rsidR="002A5588">
          <w:rPr>
            <w:noProof/>
            <w:webHidden/>
          </w:rPr>
          <w:fldChar w:fldCharType="begin"/>
        </w:r>
        <w:r w:rsidR="002A5588">
          <w:rPr>
            <w:noProof/>
            <w:webHidden/>
          </w:rPr>
          <w:instrText xml:space="preserve"> PAGEREF _Toc410922125 \h </w:instrText>
        </w:r>
        <w:r w:rsidR="002A5588">
          <w:rPr>
            <w:noProof/>
            <w:webHidden/>
          </w:rPr>
        </w:r>
        <w:r w:rsidR="002A5588">
          <w:rPr>
            <w:noProof/>
            <w:webHidden/>
          </w:rPr>
          <w:fldChar w:fldCharType="separate"/>
        </w:r>
        <w:r w:rsidR="00614EAC">
          <w:rPr>
            <w:noProof/>
            <w:webHidden/>
          </w:rPr>
          <w:t>3</w:t>
        </w:r>
        <w:r w:rsidR="002A5588">
          <w:rPr>
            <w:noProof/>
            <w:webHidden/>
          </w:rPr>
          <w:fldChar w:fldCharType="end"/>
        </w:r>
      </w:hyperlink>
    </w:p>
    <w:p w:rsidR="002A5588" w:rsidRDefault="002A5588">
      <w:pPr>
        <w:pStyle w:val="TDC1"/>
        <w:rPr>
          <w:rFonts w:asciiTheme="minorHAnsi" w:eastAsiaTheme="minorEastAsia" w:hAnsiTheme="minorHAnsi" w:cstheme="minorBidi"/>
          <w:noProof/>
          <w:szCs w:val="22"/>
          <w:lang w:val="es-CO" w:eastAsia="es-CO"/>
        </w:rPr>
      </w:pPr>
      <w:hyperlink w:anchor="_Toc410922126" w:history="1">
        <w:r w:rsidRPr="001575B8">
          <w:rPr>
            <w:rStyle w:val="Hipervnculo"/>
            <w:rFonts w:ascii="Arial Narrow" w:hAnsi="Arial Narrow"/>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GESTIÓN ESTRATÉGICA</w:t>
        </w:r>
        <w:r>
          <w:rPr>
            <w:noProof/>
            <w:webHidden/>
          </w:rPr>
          <w:tab/>
        </w:r>
        <w:r>
          <w:rPr>
            <w:noProof/>
            <w:webHidden/>
          </w:rPr>
          <w:fldChar w:fldCharType="begin"/>
        </w:r>
        <w:r>
          <w:rPr>
            <w:noProof/>
            <w:webHidden/>
          </w:rPr>
          <w:instrText xml:space="preserve"> PAGEREF _Toc410922126 \h </w:instrText>
        </w:r>
        <w:r>
          <w:rPr>
            <w:noProof/>
            <w:webHidden/>
          </w:rPr>
        </w:r>
        <w:r>
          <w:rPr>
            <w:noProof/>
            <w:webHidden/>
          </w:rPr>
          <w:fldChar w:fldCharType="separate"/>
        </w:r>
        <w:r w:rsidR="00614EAC">
          <w:rPr>
            <w:noProof/>
            <w:webHidden/>
          </w:rPr>
          <w:t>4</w:t>
        </w:r>
        <w:r>
          <w:rPr>
            <w:noProof/>
            <w:webHidden/>
          </w:rPr>
          <w:fldChar w:fldCharType="end"/>
        </w:r>
      </w:hyperlink>
    </w:p>
    <w:p w:rsidR="002A5588" w:rsidRDefault="002A5588">
      <w:pPr>
        <w:pStyle w:val="TDC2"/>
        <w:rPr>
          <w:rFonts w:asciiTheme="minorHAnsi" w:eastAsiaTheme="minorEastAsia" w:hAnsiTheme="minorHAnsi" w:cstheme="minorBidi"/>
          <w:noProof/>
          <w:szCs w:val="22"/>
          <w:lang w:val="es-CO" w:eastAsia="es-CO"/>
        </w:rPr>
      </w:pPr>
      <w:hyperlink w:anchor="_Toc410922127" w:history="1">
        <w:r w:rsidRPr="001575B8">
          <w:rPr>
            <w:rStyle w:val="Hipervnculo"/>
            <w:noProof/>
          </w:rPr>
          <w:t>1.1.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PUNTO DE PARTIDA</w:t>
        </w:r>
        <w:r>
          <w:rPr>
            <w:noProof/>
            <w:webHidden/>
          </w:rPr>
          <w:tab/>
        </w:r>
        <w:r>
          <w:rPr>
            <w:noProof/>
            <w:webHidden/>
          </w:rPr>
          <w:fldChar w:fldCharType="begin"/>
        </w:r>
        <w:r>
          <w:rPr>
            <w:noProof/>
            <w:webHidden/>
          </w:rPr>
          <w:instrText xml:space="preserve"> PAGEREF _Toc410922127 \h </w:instrText>
        </w:r>
        <w:r>
          <w:rPr>
            <w:noProof/>
            <w:webHidden/>
          </w:rPr>
        </w:r>
        <w:r>
          <w:rPr>
            <w:noProof/>
            <w:webHidden/>
          </w:rPr>
          <w:fldChar w:fldCharType="separate"/>
        </w:r>
        <w:r w:rsidR="00614EAC">
          <w:rPr>
            <w:noProof/>
            <w:webHidden/>
          </w:rPr>
          <w:t>4</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28" w:history="1">
        <w:r w:rsidRPr="001575B8">
          <w:rPr>
            <w:rStyle w:val="Hipervnculo"/>
            <w:rFonts w:ascii="Arial Narrow" w:eastAsia="Arial Unicode MS" w:hAnsi="Arial Narrow"/>
            <w:noProof/>
          </w:rPr>
          <w:t>1.1.1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Problemas de Competitividad</w:t>
        </w:r>
        <w:r>
          <w:rPr>
            <w:noProof/>
            <w:webHidden/>
          </w:rPr>
          <w:tab/>
        </w:r>
        <w:r>
          <w:rPr>
            <w:noProof/>
            <w:webHidden/>
          </w:rPr>
          <w:fldChar w:fldCharType="begin"/>
        </w:r>
        <w:r>
          <w:rPr>
            <w:noProof/>
            <w:webHidden/>
          </w:rPr>
          <w:instrText xml:space="preserve"> PAGEREF _Toc410922128 \h </w:instrText>
        </w:r>
        <w:r>
          <w:rPr>
            <w:noProof/>
            <w:webHidden/>
          </w:rPr>
        </w:r>
        <w:r>
          <w:rPr>
            <w:noProof/>
            <w:webHidden/>
          </w:rPr>
          <w:fldChar w:fldCharType="separate"/>
        </w:r>
        <w:r w:rsidR="00614EAC">
          <w:rPr>
            <w:noProof/>
            <w:webHidden/>
          </w:rPr>
          <w:t>4</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29" w:history="1">
        <w:r w:rsidRPr="001575B8">
          <w:rPr>
            <w:rStyle w:val="Hipervnculo"/>
            <w:rFonts w:ascii="Arial Narrow" w:eastAsia="Arial Unicode MS" w:hAnsi="Arial Narrow"/>
            <w:noProof/>
          </w:rPr>
          <w:t>1.1.2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Dificultades Institucionales</w:t>
        </w:r>
        <w:r>
          <w:rPr>
            <w:noProof/>
            <w:webHidden/>
          </w:rPr>
          <w:tab/>
        </w:r>
        <w:r>
          <w:rPr>
            <w:noProof/>
            <w:webHidden/>
          </w:rPr>
          <w:fldChar w:fldCharType="begin"/>
        </w:r>
        <w:r>
          <w:rPr>
            <w:noProof/>
            <w:webHidden/>
          </w:rPr>
          <w:instrText xml:space="preserve"> PAGEREF _Toc410922129 \h </w:instrText>
        </w:r>
        <w:r>
          <w:rPr>
            <w:noProof/>
            <w:webHidden/>
          </w:rPr>
        </w:r>
        <w:r>
          <w:rPr>
            <w:noProof/>
            <w:webHidden/>
          </w:rPr>
          <w:fldChar w:fldCharType="separate"/>
        </w:r>
        <w:r w:rsidR="00614EAC">
          <w:rPr>
            <w:noProof/>
            <w:webHidden/>
          </w:rPr>
          <w:t>5</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0" w:history="1">
        <w:r w:rsidRPr="001575B8">
          <w:rPr>
            <w:rStyle w:val="Hipervnculo"/>
            <w:rFonts w:ascii="Arial Narrow" w:hAnsi="Arial Narrow"/>
            <w:noProof/>
          </w:rPr>
          <w:t>1.1.2.1.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Estructurales</w:t>
        </w:r>
        <w:r>
          <w:rPr>
            <w:noProof/>
            <w:webHidden/>
          </w:rPr>
          <w:tab/>
        </w:r>
        <w:r>
          <w:rPr>
            <w:noProof/>
            <w:webHidden/>
          </w:rPr>
          <w:fldChar w:fldCharType="begin"/>
        </w:r>
        <w:r>
          <w:rPr>
            <w:noProof/>
            <w:webHidden/>
          </w:rPr>
          <w:instrText xml:space="preserve"> PAGEREF _Toc410922130 \h </w:instrText>
        </w:r>
        <w:r>
          <w:rPr>
            <w:noProof/>
            <w:webHidden/>
          </w:rPr>
        </w:r>
        <w:r>
          <w:rPr>
            <w:noProof/>
            <w:webHidden/>
          </w:rPr>
          <w:fldChar w:fldCharType="separate"/>
        </w:r>
        <w:r w:rsidR="00614EAC">
          <w:rPr>
            <w:noProof/>
            <w:webHidden/>
          </w:rPr>
          <w:t>5</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1" w:history="1">
        <w:r w:rsidRPr="001575B8">
          <w:rPr>
            <w:rStyle w:val="Hipervnculo"/>
            <w:rFonts w:ascii="Arial Narrow" w:hAnsi="Arial Narrow"/>
            <w:noProof/>
          </w:rPr>
          <w:t>1.1.2.1.1.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La Renegociación Sistémica de Los Contratos de Concesión de Carreteras</w:t>
        </w:r>
        <w:r>
          <w:rPr>
            <w:noProof/>
            <w:webHidden/>
          </w:rPr>
          <w:tab/>
        </w:r>
        <w:r>
          <w:rPr>
            <w:noProof/>
            <w:webHidden/>
          </w:rPr>
          <w:fldChar w:fldCharType="begin"/>
        </w:r>
        <w:r>
          <w:rPr>
            <w:noProof/>
            <w:webHidden/>
          </w:rPr>
          <w:instrText xml:space="preserve"> PAGEREF _Toc410922131 \h </w:instrText>
        </w:r>
        <w:r>
          <w:rPr>
            <w:noProof/>
            <w:webHidden/>
          </w:rPr>
        </w:r>
        <w:r>
          <w:rPr>
            <w:noProof/>
            <w:webHidden/>
          </w:rPr>
          <w:fldChar w:fldCharType="separate"/>
        </w:r>
        <w:r w:rsidR="00614EAC">
          <w:rPr>
            <w:noProof/>
            <w:webHidden/>
          </w:rPr>
          <w:t>5</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2" w:history="1">
        <w:r w:rsidRPr="001575B8">
          <w:rPr>
            <w:rStyle w:val="Hipervnculo"/>
            <w:rFonts w:ascii="Arial Narrow" w:hAnsi="Arial Narrow"/>
            <w:noProof/>
          </w:rPr>
          <w:t>1.1.2.1.2.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Ausencia de un Marco Normativo para APP</w:t>
        </w:r>
        <w:r>
          <w:rPr>
            <w:noProof/>
            <w:webHidden/>
          </w:rPr>
          <w:tab/>
        </w:r>
        <w:r>
          <w:rPr>
            <w:noProof/>
            <w:webHidden/>
          </w:rPr>
          <w:fldChar w:fldCharType="begin"/>
        </w:r>
        <w:r>
          <w:rPr>
            <w:noProof/>
            <w:webHidden/>
          </w:rPr>
          <w:instrText xml:space="preserve"> PAGEREF _Toc410922132 \h </w:instrText>
        </w:r>
        <w:r>
          <w:rPr>
            <w:noProof/>
            <w:webHidden/>
          </w:rPr>
        </w:r>
        <w:r>
          <w:rPr>
            <w:noProof/>
            <w:webHidden/>
          </w:rPr>
          <w:fldChar w:fldCharType="separate"/>
        </w:r>
        <w:r w:rsidR="00614EAC">
          <w:rPr>
            <w:noProof/>
            <w:webHidden/>
          </w:rPr>
          <w:t>6</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3" w:history="1">
        <w:r w:rsidRPr="001575B8">
          <w:rPr>
            <w:rStyle w:val="Hipervnculo"/>
            <w:rFonts w:ascii="Arial Narrow" w:hAnsi="Arial Narrow"/>
            <w:noProof/>
          </w:rPr>
          <w:t>1.1.2.2.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Problemas Organizacionales-Operacionales</w:t>
        </w:r>
        <w:r>
          <w:rPr>
            <w:noProof/>
            <w:webHidden/>
          </w:rPr>
          <w:tab/>
        </w:r>
        <w:r>
          <w:rPr>
            <w:noProof/>
            <w:webHidden/>
          </w:rPr>
          <w:fldChar w:fldCharType="begin"/>
        </w:r>
        <w:r>
          <w:rPr>
            <w:noProof/>
            <w:webHidden/>
          </w:rPr>
          <w:instrText xml:space="preserve"> PAGEREF _Toc410922133 \h </w:instrText>
        </w:r>
        <w:r>
          <w:rPr>
            <w:noProof/>
            <w:webHidden/>
          </w:rPr>
        </w:r>
        <w:r>
          <w:rPr>
            <w:noProof/>
            <w:webHidden/>
          </w:rPr>
          <w:fldChar w:fldCharType="separate"/>
        </w:r>
        <w:r w:rsidR="00614EAC">
          <w:rPr>
            <w:noProof/>
            <w:webHidden/>
          </w:rPr>
          <w:t>6</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4" w:history="1">
        <w:r w:rsidRPr="001575B8">
          <w:rPr>
            <w:rStyle w:val="Hipervnculo"/>
            <w:rFonts w:ascii="Arial Narrow" w:hAnsi="Arial Narrow"/>
            <w:noProof/>
          </w:rPr>
          <w:t>1.1.2.2.1.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Problemas Organizacionales</w:t>
        </w:r>
        <w:r>
          <w:rPr>
            <w:noProof/>
            <w:webHidden/>
          </w:rPr>
          <w:tab/>
        </w:r>
        <w:r>
          <w:rPr>
            <w:noProof/>
            <w:webHidden/>
          </w:rPr>
          <w:fldChar w:fldCharType="begin"/>
        </w:r>
        <w:r>
          <w:rPr>
            <w:noProof/>
            <w:webHidden/>
          </w:rPr>
          <w:instrText xml:space="preserve"> PAGEREF _Toc410922134 \h </w:instrText>
        </w:r>
        <w:r>
          <w:rPr>
            <w:noProof/>
            <w:webHidden/>
          </w:rPr>
        </w:r>
        <w:r>
          <w:rPr>
            <w:noProof/>
            <w:webHidden/>
          </w:rPr>
          <w:fldChar w:fldCharType="separate"/>
        </w:r>
        <w:r w:rsidR="00614EAC">
          <w:rPr>
            <w:noProof/>
            <w:webHidden/>
          </w:rPr>
          <w:t>6</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5" w:history="1">
        <w:r w:rsidRPr="001575B8">
          <w:rPr>
            <w:rStyle w:val="Hipervnculo"/>
            <w:rFonts w:ascii="Arial Narrow" w:hAnsi="Arial Narrow"/>
            <w:noProof/>
          </w:rPr>
          <w:t>1.1.2.2.2.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Problemas de Gestión Contractual</w:t>
        </w:r>
        <w:r>
          <w:rPr>
            <w:noProof/>
            <w:webHidden/>
          </w:rPr>
          <w:tab/>
        </w:r>
        <w:r>
          <w:rPr>
            <w:noProof/>
            <w:webHidden/>
          </w:rPr>
          <w:fldChar w:fldCharType="begin"/>
        </w:r>
        <w:r>
          <w:rPr>
            <w:noProof/>
            <w:webHidden/>
          </w:rPr>
          <w:instrText xml:space="preserve"> PAGEREF _Toc410922135 \h </w:instrText>
        </w:r>
        <w:r>
          <w:rPr>
            <w:noProof/>
            <w:webHidden/>
          </w:rPr>
        </w:r>
        <w:r>
          <w:rPr>
            <w:noProof/>
            <w:webHidden/>
          </w:rPr>
          <w:fldChar w:fldCharType="separate"/>
        </w:r>
        <w:r w:rsidR="00614EAC">
          <w:rPr>
            <w:noProof/>
            <w:webHidden/>
          </w:rPr>
          <w:t>6</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36" w:history="1">
        <w:r w:rsidRPr="001575B8">
          <w:rPr>
            <w:rStyle w:val="Hipervnculo"/>
            <w:rFonts w:ascii="Arial Narrow" w:eastAsia="Arial Unicode MS" w:hAnsi="Arial Narrow"/>
            <w:noProof/>
          </w:rPr>
          <w:t>1.1.3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Ola Invernal</w:t>
        </w:r>
        <w:r>
          <w:rPr>
            <w:noProof/>
            <w:webHidden/>
          </w:rPr>
          <w:tab/>
        </w:r>
        <w:r>
          <w:rPr>
            <w:noProof/>
            <w:webHidden/>
          </w:rPr>
          <w:fldChar w:fldCharType="begin"/>
        </w:r>
        <w:r>
          <w:rPr>
            <w:noProof/>
            <w:webHidden/>
          </w:rPr>
          <w:instrText xml:space="preserve"> PAGEREF _Toc410922136 \h </w:instrText>
        </w:r>
        <w:r>
          <w:rPr>
            <w:noProof/>
            <w:webHidden/>
          </w:rPr>
        </w:r>
        <w:r>
          <w:rPr>
            <w:noProof/>
            <w:webHidden/>
          </w:rPr>
          <w:fldChar w:fldCharType="separate"/>
        </w:r>
        <w:r w:rsidR="00614EAC">
          <w:rPr>
            <w:noProof/>
            <w:webHidden/>
          </w:rPr>
          <w:t>6</w:t>
        </w:r>
        <w:r>
          <w:rPr>
            <w:noProof/>
            <w:webHidden/>
          </w:rPr>
          <w:fldChar w:fldCharType="end"/>
        </w:r>
      </w:hyperlink>
    </w:p>
    <w:p w:rsidR="002A5588" w:rsidRDefault="002A5588">
      <w:pPr>
        <w:pStyle w:val="TDC2"/>
        <w:rPr>
          <w:rFonts w:asciiTheme="minorHAnsi" w:eastAsiaTheme="minorEastAsia" w:hAnsiTheme="minorHAnsi" w:cstheme="minorBidi"/>
          <w:noProof/>
          <w:szCs w:val="22"/>
          <w:lang w:val="es-CO" w:eastAsia="es-CO"/>
        </w:rPr>
      </w:pPr>
      <w:hyperlink w:anchor="_Toc410922137" w:history="1">
        <w:r w:rsidRPr="001575B8">
          <w:rPr>
            <w:rStyle w:val="Hipervnculo"/>
            <w:noProof/>
          </w:rPr>
          <w:t>1.2.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LA ESTRATEGIA: LÍNEAS DE ACCIÓN</w:t>
        </w:r>
        <w:r>
          <w:rPr>
            <w:noProof/>
            <w:webHidden/>
          </w:rPr>
          <w:tab/>
        </w:r>
        <w:r>
          <w:rPr>
            <w:noProof/>
            <w:webHidden/>
          </w:rPr>
          <w:fldChar w:fldCharType="begin"/>
        </w:r>
        <w:r>
          <w:rPr>
            <w:noProof/>
            <w:webHidden/>
          </w:rPr>
          <w:instrText xml:space="preserve"> PAGEREF _Toc410922137 \h </w:instrText>
        </w:r>
        <w:r>
          <w:rPr>
            <w:noProof/>
            <w:webHidden/>
          </w:rPr>
        </w:r>
        <w:r>
          <w:rPr>
            <w:noProof/>
            <w:webHidden/>
          </w:rPr>
          <w:fldChar w:fldCharType="separate"/>
        </w:r>
        <w:r w:rsidR="00614EAC">
          <w:rPr>
            <w:noProof/>
            <w:webHidden/>
          </w:rPr>
          <w:t>7</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38" w:history="1">
        <w:r w:rsidRPr="001575B8">
          <w:rPr>
            <w:rStyle w:val="Hipervnculo"/>
            <w:rFonts w:ascii="Arial Narrow" w:eastAsia="Arial Unicode MS" w:hAnsi="Arial Narrow"/>
            <w:noProof/>
          </w:rPr>
          <w:t>1.2.1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Generar Normatividad e Instituciones para Sostenibilidad de Soluciones</w:t>
        </w:r>
        <w:r>
          <w:rPr>
            <w:noProof/>
            <w:webHidden/>
          </w:rPr>
          <w:tab/>
        </w:r>
        <w:r>
          <w:rPr>
            <w:noProof/>
            <w:webHidden/>
          </w:rPr>
          <w:fldChar w:fldCharType="begin"/>
        </w:r>
        <w:r>
          <w:rPr>
            <w:noProof/>
            <w:webHidden/>
          </w:rPr>
          <w:instrText xml:space="preserve"> PAGEREF _Toc410922138 \h </w:instrText>
        </w:r>
        <w:r>
          <w:rPr>
            <w:noProof/>
            <w:webHidden/>
          </w:rPr>
        </w:r>
        <w:r>
          <w:rPr>
            <w:noProof/>
            <w:webHidden/>
          </w:rPr>
          <w:fldChar w:fldCharType="separate"/>
        </w:r>
        <w:r w:rsidR="00614EAC">
          <w:rPr>
            <w:noProof/>
            <w:webHidden/>
          </w:rPr>
          <w:t>7</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39" w:history="1">
        <w:r w:rsidRPr="001575B8">
          <w:rPr>
            <w:rStyle w:val="Hipervnculo"/>
            <w:rFonts w:ascii="Arial Narrow" w:hAnsi="Arial Narrow"/>
            <w:noProof/>
          </w:rPr>
          <w:t>1.2.1.1.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Plan Nacional de Desarrollo 2010-2014</w:t>
        </w:r>
        <w:r>
          <w:rPr>
            <w:noProof/>
            <w:webHidden/>
          </w:rPr>
          <w:tab/>
        </w:r>
        <w:r>
          <w:rPr>
            <w:noProof/>
            <w:webHidden/>
          </w:rPr>
          <w:fldChar w:fldCharType="begin"/>
        </w:r>
        <w:r>
          <w:rPr>
            <w:noProof/>
            <w:webHidden/>
          </w:rPr>
          <w:instrText xml:space="preserve"> PAGEREF _Toc410922139 \h </w:instrText>
        </w:r>
        <w:r>
          <w:rPr>
            <w:noProof/>
            <w:webHidden/>
          </w:rPr>
        </w:r>
        <w:r>
          <w:rPr>
            <w:noProof/>
            <w:webHidden/>
          </w:rPr>
          <w:fldChar w:fldCharType="separate"/>
        </w:r>
        <w:r w:rsidR="00614EAC">
          <w:rPr>
            <w:noProof/>
            <w:webHidden/>
          </w:rPr>
          <w:t>7</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0" w:history="1">
        <w:r w:rsidRPr="001575B8">
          <w:rPr>
            <w:rStyle w:val="Hipervnculo"/>
            <w:rFonts w:ascii="Arial Narrow" w:hAnsi="Arial Narrow"/>
            <w:noProof/>
          </w:rPr>
          <w:t>1.2.1.2.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Ley de Asociaciones Público Privadas (APP)</w:t>
        </w:r>
        <w:r>
          <w:rPr>
            <w:noProof/>
            <w:webHidden/>
          </w:rPr>
          <w:tab/>
        </w:r>
        <w:r>
          <w:rPr>
            <w:noProof/>
            <w:webHidden/>
          </w:rPr>
          <w:fldChar w:fldCharType="begin"/>
        </w:r>
        <w:r>
          <w:rPr>
            <w:noProof/>
            <w:webHidden/>
          </w:rPr>
          <w:instrText xml:space="preserve"> PAGEREF _Toc410922140 \h </w:instrText>
        </w:r>
        <w:r>
          <w:rPr>
            <w:noProof/>
            <w:webHidden/>
          </w:rPr>
        </w:r>
        <w:r>
          <w:rPr>
            <w:noProof/>
            <w:webHidden/>
          </w:rPr>
          <w:fldChar w:fldCharType="separate"/>
        </w:r>
        <w:r w:rsidR="00614EAC">
          <w:rPr>
            <w:noProof/>
            <w:webHidden/>
          </w:rPr>
          <w:t>8</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1" w:history="1">
        <w:r w:rsidRPr="001575B8">
          <w:rPr>
            <w:rStyle w:val="Hipervnculo"/>
            <w:rFonts w:ascii="Arial Narrow" w:hAnsi="Arial Narrow"/>
            <w:noProof/>
          </w:rPr>
          <w:t>1.2.1.3.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Ley de Infraestructura</w:t>
        </w:r>
        <w:r>
          <w:rPr>
            <w:noProof/>
            <w:webHidden/>
          </w:rPr>
          <w:tab/>
        </w:r>
        <w:r>
          <w:rPr>
            <w:noProof/>
            <w:webHidden/>
          </w:rPr>
          <w:fldChar w:fldCharType="begin"/>
        </w:r>
        <w:r>
          <w:rPr>
            <w:noProof/>
            <w:webHidden/>
          </w:rPr>
          <w:instrText xml:space="preserve"> PAGEREF _Toc410922141 \h </w:instrText>
        </w:r>
        <w:r>
          <w:rPr>
            <w:noProof/>
            <w:webHidden/>
          </w:rPr>
        </w:r>
        <w:r>
          <w:rPr>
            <w:noProof/>
            <w:webHidden/>
          </w:rPr>
          <w:fldChar w:fldCharType="separate"/>
        </w:r>
        <w:r w:rsidR="00614EAC">
          <w:rPr>
            <w:noProof/>
            <w:webHidden/>
          </w:rPr>
          <w:t>8</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2" w:history="1">
        <w:r w:rsidRPr="001575B8">
          <w:rPr>
            <w:rStyle w:val="Hipervnculo"/>
            <w:rFonts w:ascii="Arial Narrow" w:hAnsi="Arial Narrow"/>
            <w:noProof/>
          </w:rPr>
          <w:t>1.2.1.4.</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Plan de Expansión Portuaria</w:t>
        </w:r>
        <w:r>
          <w:rPr>
            <w:noProof/>
            <w:webHidden/>
          </w:rPr>
          <w:tab/>
        </w:r>
        <w:r>
          <w:rPr>
            <w:noProof/>
            <w:webHidden/>
          </w:rPr>
          <w:fldChar w:fldCharType="begin"/>
        </w:r>
        <w:r>
          <w:rPr>
            <w:noProof/>
            <w:webHidden/>
          </w:rPr>
          <w:instrText xml:space="preserve"> PAGEREF _Toc410922142 \h </w:instrText>
        </w:r>
        <w:r>
          <w:rPr>
            <w:noProof/>
            <w:webHidden/>
          </w:rPr>
        </w:r>
        <w:r>
          <w:rPr>
            <w:noProof/>
            <w:webHidden/>
          </w:rPr>
          <w:fldChar w:fldCharType="separate"/>
        </w:r>
        <w:r w:rsidR="00614EAC">
          <w:rPr>
            <w:noProof/>
            <w:webHidden/>
          </w:rPr>
          <w:t>8</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3" w:history="1">
        <w:r w:rsidRPr="001575B8">
          <w:rPr>
            <w:rStyle w:val="Hipervnculo"/>
            <w:rFonts w:ascii="Arial Narrow" w:hAnsi="Arial Narrow"/>
            <w:noProof/>
          </w:rPr>
          <w:t>1.2.1.5.</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Creación de la ANI</w:t>
        </w:r>
        <w:r>
          <w:rPr>
            <w:noProof/>
            <w:webHidden/>
          </w:rPr>
          <w:tab/>
        </w:r>
        <w:r>
          <w:rPr>
            <w:noProof/>
            <w:webHidden/>
          </w:rPr>
          <w:fldChar w:fldCharType="begin"/>
        </w:r>
        <w:r>
          <w:rPr>
            <w:noProof/>
            <w:webHidden/>
          </w:rPr>
          <w:instrText xml:space="preserve"> PAGEREF _Toc410922143 \h </w:instrText>
        </w:r>
        <w:r>
          <w:rPr>
            <w:noProof/>
            <w:webHidden/>
          </w:rPr>
        </w:r>
        <w:r>
          <w:rPr>
            <w:noProof/>
            <w:webHidden/>
          </w:rPr>
          <w:fldChar w:fldCharType="separate"/>
        </w:r>
        <w:r w:rsidR="00614EAC">
          <w:rPr>
            <w:noProof/>
            <w:webHidden/>
          </w:rPr>
          <w:t>9</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44" w:history="1">
        <w:r w:rsidRPr="001575B8">
          <w:rPr>
            <w:rStyle w:val="Hipervnculo"/>
            <w:rFonts w:ascii="Arial Narrow" w:eastAsia="Arial Unicode MS" w:hAnsi="Arial Narrow"/>
            <w:noProof/>
          </w:rPr>
          <w:t>1.2.2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Regularizar y Acelerar Contratos Existentes</w:t>
        </w:r>
        <w:r>
          <w:rPr>
            <w:noProof/>
            <w:webHidden/>
          </w:rPr>
          <w:tab/>
        </w:r>
        <w:r>
          <w:rPr>
            <w:noProof/>
            <w:webHidden/>
          </w:rPr>
          <w:fldChar w:fldCharType="begin"/>
        </w:r>
        <w:r>
          <w:rPr>
            <w:noProof/>
            <w:webHidden/>
          </w:rPr>
          <w:instrText xml:space="preserve"> PAGEREF _Toc410922144 \h </w:instrText>
        </w:r>
        <w:r>
          <w:rPr>
            <w:noProof/>
            <w:webHidden/>
          </w:rPr>
        </w:r>
        <w:r>
          <w:rPr>
            <w:noProof/>
            <w:webHidden/>
          </w:rPr>
          <w:fldChar w:fldCharType="separate"/>
        </w:r>
        <w:r w:rsidR="00614EAC">
          <w:rPr>
            <w:noProof/>
            <w:webHidden/>
          </w:rPr>
          <w:t>9</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5" w:history="1">
        <w:r w:rsidRPr="001575B8">
          <w:rPr>
            <w:rStyle w:val="Hipervnculo"/>
            <w:rFonts w:ascii="Arial Narrow" w:hAnsi="Arial Narrow"/>
            <w:noProof/>
          </w:rPr>
          <w:t>1.2.2.1.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Fortalecimiento de la Gestión e Interventoría de Concesiones Viales</w:t>
        </w:r>
        <w:r>
          <w:rPr>
            <w:noProof/>
            <w:webHidden/>
          </w:rPr>
          <w:tab/>
        </w:r>
        <w:r>
          <w:rPr>
            <w:noProof/>
            <w:webHidden/>
          </w:rPr>
          <w:fldChar w:fldCharType="begin"/>
        </w:r>
        <w:r>
          <w:rPr>
            <w:noProof/>
            <w:webHidden/>
          </w:rPr>
          <w:instrText xml:space="preserve"> PAGEREF _Toc410922145 \h </w:instrText>
        </w:r>
        <w:r>
          <w:rPr>
            <w:noProof/>
            <w:webHidden/>
          </w:rPr>
        </w:r>
        <w:r>
          <w:rPr>
            <w:noProof/>
            <w:webHidden/>
          </w:rPr>
          <w:fldChar w:fldCharType="separate"/>
        </w:r>
        <w:r w:rsidR="00614EAC">
          <w:rPr>
            <w:noProof/>
            <w:webHidden/>
          </w:rPr>
          <w:t>9</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6" w:history="1">
        <w:r w:rsidRPr="001575B8">
          <w:rPr>
            <w:rStyle w:val="Hipervnculo"/>
            <w:rFonts w:ascii="Arial Narrow" w:hAnsi="Arial Narrow"/>
            <w:noProof/>
          </w:rPr>
          <w:t>1.2.2.2.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Mejoramiento de la Gestión de Concesiones Portuarias</w:t>
        </w:r>
        <w:r>
          <w:rPr>
            <w:noProof/>
            <w:webHidden/>
          </w:rPr>
          <w:tab/>
        </w:r>
        <w:r>
          <w:rPr>
            <w:noProof/>
            <w:webHidden/>
          </w:rPr>
          <w:fldChar w:fldCharType="begin"/>
        </w:r>
        <w:r>
          <w:rPr>
            <w:noProof/>
            <w:webHidden/>
          </w:rPr>
          <w:instrText xml:space="preserve"> PAGEREF _Toc410922146 \h </w:instrText>
        </w:r>
        <w:r>
          <w:rPr>
            <w:noProof/>
            <w:webHidden/>
          </w:rPr>
        </w:r>
        <w:r>
          <w:rPr>
            <w:noProof/>
            <w:webHidden/>
          </w:rPr>
          <w:fldChar w:fldCharType="separate"/>
        </w:r>
        <w:r w:rsidR="00614EAC">
          <w:rPr>
            <w:noProof/>
            <w:webHidden/>
          </w:rPr>
          <w:t>13</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7" w:history="1">
        <w:r w:rsidRPr="001575B8">
          <w:rPr>
            <w:rStyle w:val="Hipervnculo"/>
            <w:rFonts w:ascii="Arial Narrow" w:hAnsi="Arial Narrow"/>
            <w:noProof/>
          </w:rPr>
          <w:t>1.2.2.3.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Regularización de Concesiones Férreas</w:t>
        </w:r>
        <w:r>
          <w:rPr>
            <w:noProof/>
            <w:webHidden/>
          </w:rPr>
          <w:tab/>
        </w:r>
        <w:r>
          <w:rPr>
            <w:noProof/>
            <w:webHidden/>
          </w:rPr>
          <w:fldChar w:fldCharType="begin"/>
        </w:r>
        <w:r>
          <w:rPr>
            <w:noProof/>
            <w:webHidden/>
          </w:rPr>
          <w:instrText xml:space="preserve"> PAGEREF _Toc410922147 \h </w:instrText>
        </w:r>
        <w:r>
          <w:rPr>
            <w:noProof/>
            <w:webHidden/>
          </w:rPr>
        </w:r>
        <w:r>
          <w:rPr>
            <w:noProof/>
            <w:webHidden/>
          </w:rPr>
          <w:fldChar w:fldCharType="separate"/>
        </w:r>
        <w:r w:rsidR="00614EAC">
          <w:rPr>
            <w:noProof/>
            <w:webHidden/>
          </w:rPr>
          <w:t>14</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48" w:history="1">
        <w:r w:rsidRPr="001575B8">
          <w:rPr>
            <w:rStyle w:val="Hipervnculo"/>
            <w:rFonts w:ascii="Arial Narrow" w:hAnsi="Arial Narrow"/>
            <w:noProof/>
          </w:rPr>
          <w:t>1.2.2.4.</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Subrogación de Concesiones Aeroportuarias</w:t>
        </w:r>
        <w:r>
          <w:rPr>
            <w:noProof/>
            <w:webHidden/>
          </w:rPr>
          <w:tab/>
        </w:r>
        <w:r>
          <w:rPr>
            <w:noProof/>
            <w:webHidden/>
          </w:rPr>
          <w:fldChar w:fldCharType="begin"/>
        </w:r>
        <w:r>
          <w:rPr>
            <w:noProof/>
            <w:webHidden/>
          </w:rPr>
          <w:instrText xml:space="preserve"> PAGEREF _Toc410922148 \h </w:instrText>
        </w:r>
        <w:r>
          <w:rPr>
            <w:noProof/>
            <w:webHidden/>
          </w:rPr>
        </w:r>
        <w:r>
          <w:rPr>
            <w:noProof/>
            <w:webHidden/>
          </w:rPr>
          <w:fldChar w:fldCharType="separate"/>
        </w:r>
        <w:r w:rsidR="00614EAC">
          <w:rPr>
            <w:noProof/>
            <w:webHidden/>
          </w:rPr>
          <w:t>15</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49" w:history="1">
        <w:r w:rsidRPr="001575B8">
          <w:rPr>
            <w:rStyle w:val="Hipervnculo"/>
            <w:rFonts w:ascii="Arial Narrow" w:eastAsia="Arial Unicode MS" w:hAnsi="Arial Narrow"/>
            <w:noProof/>
          </w:rPr>
          <w:t>1.2.3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Atender Efectos de Ola Invernal</w:t>
        </w:r>
        <w:r>
          <w:rPr>
            <w:noProof/>
            <w:webHidden/>
          </w:rPr>
          <w:tab/>
        </w:r>
        <w:r>
          <w:rPr>
            <w:noProof/>
            <w:webHidden/>
          </w:rPr>
          <w:fldChar w:fldCharType="begin"/>
        </w:r>
        <w:r>
          <w:rPr>
            <w:noProof/>
            <w:webHidden/>
          </w:rPr>
          <w:instrText xml:space="preserve"> PAGEREF _Toc410922149 \h </w:instrText>
        </w:r>
        <w:r>
          <w:rPr>
            <w:noProof/>
            <w:webHidden/>
          </w:rPr>
        </w:r>
        <w:r>
          <w:rPr>
            <w:noProof/>
            <w:webHidden/>
          </w:rPr>
          <w:fldChar w:fldCharType="separate"/>
        </w:r>
        <w:r w:rsidR="00614EAC">
          <w:rPr>
            <w:noProof/>
            <w:webHidden/>
          </w:rPr>
          <w:t>16</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50" w:history="1">
        <w:r w:rsidRPr="001575B8">
          <w:rPr>
            <w:rStyle w:val="Hipervnculo"/>
            <w:rFonts w:ascii="Arial Narrow" w:eastAsia="Arial Unicode MS" w:hAnsi="Arial Narrow"/>
            <w:noProof/>
          </w:rPr>
          <w:t>1.2.4</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Estructurar Los Proyectos para Cerrar la Brecha</w:t>
        </w:r>
        <w:r>
          <w:rPr>
            <w:noProof/>
            <w:webHidden/>
          </w:rPr>
          <w:tab/>
        </w:r>
        <w:r>
          <w:rPr>
            <w:noProof/>
            <w:webHidden/>
          </w:rPr>
          <w:fldChar w:fldCharType="begin"/>
        </w:r>
        <w:r>
          <w:rPr>
            <w:noProof/>
            <w:webHidden/>
          </w:rPr>
          <w:instrText xml:space="preserve"> PAGEREF _Toc410922150 \h </w:instrText>
        </w:r>
        <w:r>
          <w:rPr>
            <w:noProof/>
            <w:webHidden/>
          </w:rPr>
        </w:r>
        <w:r>
          <w:rPr>
            <w:noProof/>
            <w:webHidden/>
          </w:rPr>
          <w:fldChar w:fldCharType="separate"/>
        </w:r>
        <w:r w:rsidR="00614EAC">
          <w:rPr>
            <w:noProof/>
            <w:webHidden/>
          </w:rPr>
          <w:t>19</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51" w:history="1">
        <w:r w:rsidRPr="001575B8">
          <w:rPr>
            <w:rStyle w:val="Hipervnculo"/>
            <w:rFonts w:ascii="Arial Narrow" w:hAnsi="Arial Narrow"/>
            <w:noProof/>
          </w:rPr>
          <w:t>1.2.4.1.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Programa de 4ª Generación de Concesiones Viales</w:t>
        </w:r>
        <w:r>
          <w:rPr>
            <w:noProof/>
            <w:webHidden/>
          </w:rPr>
          <w:tab/>
        </w:r>
        <w:r>
          <w:rPr>
            <w:noProof/>
            <w:webHidden/>
          </w:rPr>
          <w:fldChar w:fldCharType="begin"/>
        </w:r>
        <w:r>
          <w:rPr>
            <w:noProof/>
            <w:webHidden/>
          </w:rPr>
          <w:instrText xml:space="preserve"> PAGEREF _Toc410922151 \h </w:instrText>
        </w:r>
        <w:r>
          <w:rPr>
            <w:noProof/>
            <w:webHidden/>
          </w:rPr>
        </w:r>
        <w:r>
          <w:rPr>
            <w:noProof/>
            <w:webHidden/>
          </w:rPr>
          <w:fldChar w:fldCharType="separate"/>
        </w:r>
        <w:r w:rsidR="00614EAC">
          <w:rPr>
            <w:noProof/>
            <w:webHidden/>
          </w:rPr>
          <w:t>19</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52" w:history="1">
        <w:r w:rsidRPr="001575B8">
          <w:rPr>
            <w:rStyle w:val="Hipervnculo"/>
            <w:rFonts w:ascii="Arial Narrow" w:hAnsi="Arial Narrow"/>
            <w:noProof/>
          </w:rPr>
          <w:t>1.2.4.2.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Recuperación Red Férrea</w:t>
        </w:r>
        <w:r>
          <w:rPr>
            <w:noProof/>
            <w:webHidden/>
          </w:rPr>
          <w:tab/>
        </w:r>
        <w:r>
          <w:rPr>
            <w:noProof/>
            <w:webHidden/>
          </w:rPr>
          <w:fldChar w:fldCharType="begin"/>
        </w:r>
        <w:r>
          <w:rPr>
            <w:noProof/>
            <w:webHidden/>
          </w:rPr>
          <w:instrText xml:space="preserve"> PAGEREF _Toc410922152 \h </w:instrText>
        </w:r>
        <w:r>
          <w:rPr>
            <w:noProof/>
            <w:webHidden/>
          </w:rPr>
        </w:r>
        <w:r>
          <w:rPr>
            <w:noProof/>
            <w:webHidden/>
          </w:rPr>
          <w:fldChar w:fldCharType="separate"/>
        </w:r>
        <w:r w:rsidR="00614EAC">
          <w:rPr>
            <w:noProof/>
            <w:webHidden/>
          </w:rPr>
          <w:t>20</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53" w:history="1">
        <w:r w:rsidRPr="001575B8">
          <w:rPr>
            <w:rStyle w:val="Hipervnculo"/>
            <w:rFonts w:ascii="Arial Narrow" w:hAnsi="Arial Narrow"/>
            <w:noProof/>
          </w:rPr>
          <w:t>1.2.4.3.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Ampliación Capacidad Portuaria</w:t>
        </w:r>
        <w:r>
          <w:rPr>
            <w:noProof/>
            <w:webHidden/>
          </w:rPr>
          <w:tab/>
        </w:r>
        <w:r>
          <w:rPr>
            <w:noProof/>
            <w:webHidden/>
          </w:rPr>
          <w:fldChar w:fldCharType="begin"/>
        </w:r>
        <w:r>
          <w:rPr>
            <w:noProof/>
            <w:webHidden/>
          </w:rPr>
          <w:instrText xml:space="preserve"> PAGEREF _Toc410922153 \h </w:instrText>
        </w:r>
        <w:r>
          <w:rPr>
            <w:noProof/>
            <w:webHidden/>
          </w:rPr>
        </w:r>
        <w:r>
          <w:rPr>
            <w:noProof/>
            <w:webHidden/>
          </w:rPr>
          <w:fldChar w:fldCharType="separate"/>
        </w:r>
        <w:r w:rsidR="00614EAC">
          <w:rPr>
            <w:noProof/>
            <w:webHidden/>
          </w:rPr>
          <w:t>21</w:t>
        </w:r>
        <w:r>
          <w:rPr>
            <w:noProof/>
            <w:webHidden/>
          </w:rPr>
          <w:fldChar w:fldCharType="end"/>
        </w:r>
      </w:hyperlink>
    </w:p>
    <w:p w:rsidR="002A5588" w:rsidRDefault="002A5588">
      <w:pPr>
        <w:pStyle w:val="TDC3"/>
        <w:tabs>
          <w:tab w:val="left" w:pos="1418"/>
        </w:tabs>
        <w:rPr>
          <w:rFonts w:asciiTheme="minorHAnsi" w:eastAsiaTheme="minorEastAsia" w:hAnsiTheme="minorHAnsi" w:cstheme="minorBidi"/>
          <w:noProof/>
          <w:szCs w:val="22"/>
          <w:lang w:val="es-CO" w:eastAsia="es-CO"/>
        </w:rPr>
      </w:pPr>
      <w:hyperlink w:anchor="_Toc410922154" w:history="1">
        <w:r w:rsidRPr="001575B8">
          <w:rPr>
            <w:rStyle w:val="Hipervnculo"/>
            <w:rFonts w:ascii="Arial Narrow" w:hAnsi="Arial Narrow"/>
            <w:noProof/>
          </w:rPr>
          <w:t>1.2.4.4.</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Ampliación Capacidad Aeroportuaria</w:t>
        </w:r>
        <w:r>
          <w:rPr>
            <w:noProof/>
            <w:webHidden/>
          </w:rPr>
          <w:tab/>
        </w:r>
        <w:r>
          <w:rPr>
            <w:noProof/>
            <w:webHidden/>
          </w:rPr>
          <w:fldChar w:fldCharType="begin"/>
        </w:r>
        <w:r>
          <w:rPr>
            <w:noProof/>
            <w:webHidden/>
          </w:rPr>
          <w:instrText xml:space="preserve"> PAGEREF _Toc410922154 \h </w:instrText>
        </w:r>
        <w:r>
          <w:rPr>
            <w:noProof/>
            <w:webHidden/>
          </w:rPr>
        </w:r>
        <w:r>
          <w:rPr>
            <w:noProof/>
            <w:webHidden/>
          </w:rPr>
          <w:fldChar w:fldCharType="separate"/>
        </w:r>
        <w:r w:rsidR="00614EAC">
          <w:rPr>
            <w:noProof/>
            <w:webHidden/>
          </w:rPr>
          <w:t>21</w:t>
        </w:r>
        <w:r>
          <w:rPr>
            <w:noProof/>
            <w:webHidden/>
          </w:rPr>
          <w:fldChar w:fldCharType="end"/>
        </w:r>
      </w:hyperlink>
    </w:p>
    <w:p w:rsidR="002A5588" w:rsidRDefault="002A5588">
      <w:pPr>
        <w:pStyle w:val="TDC2"/>
        <w:rPr>
          <w:rFonts w:asciiTheme="minorHAnsi" w:eastAsiaTheme="minorEastAsia" w:hAnsiTheme="minorHAnsi" w:cstheme="minorBidi"/>
          <w:noProof/>
          <w:szCs w:val="22"/>
          <w:lang w:val="es-CO" w:eastAsia="es-CO"/>
        </w:rPr>
      </w:pPr>
      <w:hyperlink w:anchor="_Toc410922155" w:history="1">
        <w:r w:rsidRPr="001575B8">
          <w:rPr>
            <w:rStyle w:val="Hipervnculo"/>
            <w:noProof/>
          </w:rPr>
          <w:t>1.3.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IMPACTO MACROECONÓMICO</w:t>
        </w:r>
        <w:r>
          <w:rPr>
            <w:noProof/>
            <w:webHidden/>
          </w:rPr>
          <w:tab/>
        </w:r>
        <w:r>
          <w:rPr>
            <w:noProof/>
            <w:webHidden/>
          </w:rPr>
          <w:fldChar w:fldCharType="begin"/>
        </w:r>
        <w:r>
          <w:rPr>
            <w:noProof/>
            <w:webHidden/>
          </w:rPr>
          <w:instrText xml:space="preserve"> PAGEREF _Toc410922155 \h </w:instrText>
        </w:r>
        <w:r>
          <w:rPr>
            <w:noProof/>
            <w:webHidden/>
          </w:rPr>
        </w:r>
        <w:r>
          <w:rPr>
            <w:noProof/>
            <w:webHidden/>
          </w:rPr>
          <w:fldChar w:fldCharType="separate"/>
        </w:r>
        <w:r w:rsidR="00614EAC">
          <w:rPr>
            <w:noProof/>
            <w:webHidden/>
          </w:rPr>
          <w:t>21</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56" w:history="1">
        <w:r w:rsidRPr="001575B8">
          <w:rPr>
            <w:rStyle w:val="Hipervnculo"/>
            <w:rFonts w:ascii="Arial Narrow" w:eastAsia="Arial Unicode MS" w:hAnsi="Arial Narrow"/>
            <w:noProof/>
          </w:rPr>
          <w:t>1.3.1</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Inversión Sectorial</w:t>
        </w:r>
        <w:r>
          <w:rPr>
            <w:noProof/>
            <w:webHidden/>
          </w:rPr>
          <w:tab/>
        </w:r>
        <w:r>
          <w:rPr>
            <w:noProof/>
            <w:webHidden/>
          </w:rPr>
          <w:fldChar w:fldCharType="begin"/>
        </w:r>
        <w:r>
          <w:rPr>
            <w:noProof/>
            <w:webHidden/>
          </w:rPr>
          <w:instrText xml:space="preserve"> PAGEREF _Toc410922156 \h </w:instrText>
        </w:r>
        <w:r>
          <w:rPr>
            <w:noProof/>
            <w:webHidden/>
          </w:rPr>
        </w:r>
        <w:r>
          <w:rPr>
            <w:noProof/>
            <w:webHidden/>
          </w:rPr>
          <w:fldChar w:fldCharType="separate"/>
        </w:r>
        <w:r w:rsidR="00614EAC">
          <w:rPr>
            <w:noProof/>
            <w:webHidden/>
          </w:rPr>
          <w:t>21</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57" w:history="1">
        <w:r w:rsidRPr="001575B8">
          <w:rPr>
            <w:rStyle w:val="Hipervnculo"/>
            <w:rFonts w:ascii="Arial Narrow" w:eastAsia="Arial Unicode MS" w:hAnsi="Arial Narrow"/>
            <w:noProof/>
          </w:rPr>
          <w:t>1.3.2</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Inversión Entidad</w:t>
        </w:r>
        <w:r>
          <w:rPr>
            <w:noProof/>
            <w:webHidden/>
          </w:rPr>
          <w:tab/>
        </w:r>
        <w:r>
          <w:rPr>
            <w:noProof/>
            <w:webHidden/>
          </w:rPr>
          <w:fldChar w:fldCharType="begin"/>
        </w:r>
        <w:r>
          <w:rPr>
            <w:noProof/>
            <w:webHidden/>
          </w:rPr>
          <w:instrText xml:space="preserve"> PAGEREF _Toc410922157 \h </w:instrText>
        </w:r>
        <w:r>
          <w:rPr>
            <w:noProof/>
            <w:webHidden/>
          </w:rPr>
        </w:r>
        <w:r>
          <w:rPr>
            <w:noProof/>
            <w:webHidden/>
          </w:rPr>
          <w:fldChar w:fldCharType="separate"/>
        </w:r>
        <w:r w:rsidR="00614EAC">
          <w:rPr>
            <w:noProof/>
            <w:webHidden/>
          </w:rPr>
          <w:t>22</w:t>
        </w:r>
        <w:r>
          <w:rPr>
            <w:noProof/>
            <w:webHidden/>
          </w:rPr>
          <w:fldChar w:fldCharType="end"/>
        </w:r>
      </w:hyperlink>
    </w:p>
    <w:p w:rsidR="002A5588" w:rsidRDefault="002A5588">
      <w:pPr>
        <w:pStyle w:val="TDC3"/>
        <w:rPr>
          <w:rFonts w:asciiTheme="minorHAnsi" w:eastAsiaTheme="minorEastAsia" w:hAnsiTheme="minorHAnsi" w:cstheme="minorBidi"/>
          <w:noProof/>
          <w:szCs w:val="22"/>
          <w:lang w:val="es-CO" w:eastAsia="es-CO"/>
        </w:rPr>
      </w:pPr>
      <w:hyperlink w:anchor="_Toc410922158" w:history="1">
        <w:r w:rsidRPr="001575B8">
          <w:rPr>
            <w:rStyle w:val="Hipervnculo"/>
            <w:rFonts w:ascii="Arial Narrow" w:eastAsia="Arial Unicode MS" w:hAnsi="Arial Narrow"/>
            <w:noProof/>
          </w:rPr>
          <w:t>1.3.3</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Indicadores Macroeconómicos</w:t>
        </w:r>
        <w:r>
          <w:rPr>
            <w:noProof/>
            <w:webHidden/>
          </w:rPr>
          <w:tab/>
        </w:r>
        <w:r>
          <w:rPr>
            <w:noProof/>
            <w:webHidden/>
          </w:rPr>
          <w:fldChar w:fldCharType="begin"/>
        </w:r>
        <w:r>
          <w:rPr>
            <w:noProof/>
            <w:webHidden/>
          </w:rPr>
          <w:instrText xml:space="preserve"> PAGEREF _Toc410922158 \h </w:instrText>
        </w:r>
        <w:r>
          <w:rPr>
            <w:noProof/>
            <w:webHidden/>
          </w:rPr>
        </w:r>
        <w:r>
          <w:rPr>
            <w:noProof/>
            <w:webHidden/>
          </w:rPr>
          <w:fldChar w:fldCharType="separate"/>
        </w:r>
        <w:r w:rsidR="00614EAC">
          <w:rPr>
            <w:noProof/>
            <w:webHidden/>
          </w:rPr>
          <w:t>23</w:t>
        </w:r>
        <w:r>
          <w:rPr>
            <w:noProof/>
            <w:webHidden/>
          </w:rPr>
          <w:fldChar w:fldCharType="end"/>
        </w:r>
      </w:hyperlink>
    </w:p>
    <w:p w:rsidR="002A5588" w:rsidRDefault="002A5588">
      <w:pPr>
        <w:pStyle w:val="TDC2"/>
        <w:rPr>
          <w:rFonts w:asciiTheme="minorHAnsi" w:eastAsiaTheme="minorEastAsia" w:hAnsiTheme="minorHAnsi" w:cstheme="minorBidi"/>
          <w:noProof/>
          <w:szCs w:val="22"/>
          <w:lang w:val="es-CO" w:eastAsia="es-CO"/>
        </w:rPr>
      </w:pPr>
      <w:hyperlink w:anchor="_Toc410922159" w:history="1">
        <w:r w:rsidRPr="001575B8">
          <w:rPr>
            <w:rStyle w:val="Hipervnculo"/>
            <w:noProof/>
          </w:rPr>
          <w:t>1.4.</w:t>
        </w:r>
        <w:r>
          <w:rPr>
            <w:rFonts w:asciiTheme="minorHAnsi" w:eastAsiaTheme="minorEastAsia" w:hAnsiTheme="minorHAnsi" w:cstheme="minorBidi"/>
            <w:noProof/>
            <w:szCs w:val="22"/>
            <w:lang w:val="es-CO" w:eastAsia="es-CO"/>
          </w:rPr>
          <w:tab/>
        </w:r>
        <w:r w:rsidRPr="001575B8">
          <w:rPr>
            <w:rStyle w:val="Hipervnculo"/>
            <w:rFonts w:ascii="Arial Narrow" w:hAnsi="Arial Narrow"/>
            <w:noProof/>
          </w:rPr>
          <w:t>PROYECCIONES DE INVERSIÓN 2015 – 2021</w:t>
        </w:r>
        <w:r>
          <w:rPr>
            <w:noProof/>
            <w:webHidden/>
          </w:rPr>
          <w:tab/>
        </w:r>
        <w:r>
          <w:rPr>
            <w:noProof/>
            <w:webHidden/>
          </w:rPr>
          <w:fldChar w:fldCharType="begin"/>
        </w:r>
        <w:r>
          <w:rPr>
            <w:noProof/>
            <w:webHidden/>
          </w:rPr>
          <w:instrText xml:space="preserve"> PAGEREF _Toc410922159 \h </w:instrText>
        </w:r>
        <w:r>
          <w:rPr>
            <w:noProof/>
            <w:webHidden/>
          </w:rPr>
        </w:r>
        <w:r>
          <w:rPr>
            <w:noProof/>
            <w:webHidden/>
          </w:rPr>
          <w:fldChar w:fldCharType="separate"/>
        </w:r>
        <w:r w:rsidR="00614EAC">
          <w:rPr>
            <w:noProof/>
            <w:webHidden/>
          </w:rPr>
          <w:t>25</w:t>
        </w:r>
        <w:r>
          <w:rPr>
            <w:noProof/>
            <w:webHidden/>
          </w:rPr>
          <w:fldChar w:fldCharType="end"/>
        </w:r>
      </w:hyperlink>
    </w:p>
    <w:p w:rsidR="00F802BC" w:rsidRDefault="00490FC3" w:rsidP="0043529D">
      <w:r w:rsidRPr="00490FC3">
        <w:rPr>
          <w:rFonts w:ascii="Arial Narrow" w:hAnsi="Arial Narrow"/>
          <w:szCs w:val="22"/>
        </w:rPr>
        <w:fldChar w:fldCharType="end"/>
      </w:r>
      <w:r w:rsidR="00615D1E">
        <w:br w:type="page"/>
      </w:r>
    </w:p>
    <w:p w:rsidR="005631C5" w:rsidRPr="00324C07" w:rsidRDefault="005C1832" w:rsidP="005631C5">
      <w:pPr>
        <w:pStyle w:val="Ttulo1"/>
        <w:numPr>
          <w:ilvl w:val="0"/>
          <w:numId w:val="0"/>
        </w:numPr>
        <w:ind w:firstLine="709"/>
        <w:rPr>
          <w:rFonts w:ascii="Arial Narrow" w:hAnsi="Arial Narrow"/>
          <w:szCs w:val="20"/>
        </w:rPr>
      </w:pPr>
      <w:bookmarkStart w:id="0" w:name="_Toc410922125"/>
      <w:r w:rsidRPr="00324C07">
        <w:rPr>
          <w:rFonts w:ascii="Arial Narrow" w:hAnsi="Arial Narrow"/>
          <w:szCs w:val="20"/>
        </w:rPr>
        <w:t>INTRODUCCIÓN</w:t>
      </w:r>
      <w:bookmarkEnd w:id="0"/>
    </w:p>
    <w:p w:rsidR="00DD6737" w:rsidRPr="00324C07" w:rsidRDefault="00DD6737" w:rsidP="00DD6737">
      <w:pPr>
        <w:rPr>
          <w:rFonts w:ascii="Arial Narrow" w:hAnsi="Arial Narrow"/>
        </w:rPr>
      </w:pPr>
    </w:p>
    <w:p w:rsidR="00DD6737" w:rsidRPr="00324C07" w:rsidRDefault="002A6EEF" w:rsidP="00DD6737">
      <w:pPr>
        <w:rPr>
          <w:rFonts w:ascii="Arial Narrow" w:hAnsi="Arial Narrow"/>
        </w:rPr>
      </w:pPr>
      <w:r w:rsidRPr="00324C07">
        <w:rPr>
          <w:rFonts w:ascii="Arial Narrow" w:hAnsi="Arial Narrow"/>
        </w:rPr>
        <w:t>El presente informe</w:t>
      </w:r>
      <w:r w:rsidR="00DD6737" w:rsidRPr="00324C07">
        <w:rPr>
          <w:rFonts w:ascii="Arial Narrow" w:hAnsi="Arial Narrow"/>
        </w:rPr>
        <w:t xml:space="preserve"> tiene como objeto señalar</w:t>
      </w:r>
      <w:r w:rsidR="00821A46" w:rsidRPr="00324C07">
        <w:rPr>
          <w:rFonts w:ascii="Arial Narrow" w:hAnsi="Arial Narrow"/>
        </w:rPr>
        <w:t xml:space="preserve"> y resaltar</w:t>
      </w:r>
      <w:r w:rsidR="00DD6737" w:rsidRPr="00324C07">
        <w:rPr>
          <w:rFonts w:ascii="Arial Narrow" w:hAnsi="Arial Narrow"/>
        </w:rPr>
        <w:t xml:space="preserve"> los principales aspectos de la gestión realiza</w:t>
      </w:r>
      <w:r w:rsidR="000F7098" w:rsidRPr="00324C07">
        <w:rPr>
          <w:rFonts w:ascii="Arial Narrow" w:hAnsi="Arial Narrow"/>
        </w:rPr>
        <w:t>da por la Agencia</w:t>
      </w:r>
      <w:r w:rsidR="00240CF7" w:rsidRPr="00324C07">
        <w:rPr>
          <w:rFonts w:ascii="Arial Narrow" w:hAnsi="Arial Narrow"/>
        </w:rPr>
        <w:t xml:space="preserve"> Nacional de Infraestructura</w:t>
      </w:r>
      <w:r w:rsidR="00DD6737" w:rsidRPr="00324C07">
        <w:rPr>
          <w:rFonts w:ascii="Arial Narrow" w:hAnsi="Arial Narrow"/>
        </w:rPr>
        <w:t xml:space="preserve"> </w:t>
      </w:r>
      <w:r w:rsidR="00886484">
        <w:rPr>
          <w:rFonts w:ascii="Arial Narrow" w:hAnsi="Arial Narrow"/>
        </w:rPr>
        <w:t xml:space="preserve">en la vigencia </w:t>
      </w:r>
      <w:r w:rsidR="00F67983" w:rsidRPr="00324C07">
        <w:rPr>
          <w:rFonts w:ascii="Arial Narrow" w:hAnsi="Arial Narrow"/>
        </w:rPr>
        <w:t>2014</w:t>
      </w:r>
      <w:r w:rsidR="00DD6737" w:rsidRPr="00324C07">
        <w:rPr>
          <w:rFonts w:ascii="Arial Narrow" w:hAnsi="Arial Narrow"/>
        </w:rPr>
        <w:t>.</w:t>
      </w:r>
      <w:r w:rsidR="00F67983" w:rsidRPr="00324C07">
        <w:rPr>
          <w:rFonts w:ascii="Arial Narrow" w:hAnsi="Arial Narrow"/>
        </w:rPr>
        <w:t xml:space="preserve"> E</w:t>
      </w:r>
      <w:r w:rsidR="00886484">
        <w:rPr>
          <w:rFonts w:ascii="Arial Narrow" w:hAnsi="Arial Narrow"/>
        </w:rPr>
        <w:t>n e</w:t>
      </w:r>
      <w:r w:rsidR="00F67983" w:rsidRPr="00324C07">
        <w:rPr>
          <w:rFonts w:ascii="Arial Narrow" w:hAnsi="Arial Narrow"/>
        </w:rPr>
        <w:t xml:space="preserve">ste </w:t>
      </w:r>
      <w:r w:rsidR="00886484">
        <w:rPr>
          <w:rFonts w:ascii="Arial Narrow" w:hAnsi="Arial Narrow"/>
        </w:rPr>
        <w:t xml:space="preserve">documento se </w:t>
      </w:r>
      <w:r w:rsidR="00F67983" w:rsidRPr="00324C07">
        <w:rPr>
          <w:rFonts w:ascii="Arial Narrow" w:hAnsi="Arial Narrow"/>
        </w:rPr>
        <w:t xml:space="preserve">incluye </w:t>
      </w:r>
      <w:r w:rsidR="00886484">
        <w:rPr>
          <w:rFonts w:ascii="Arial Narrow" w:hAnsi="Arial Narrow"/>
        </w:rPr>
        <w:t xml:space="preserve">una descripción de </w:t>
      </w:r>
      <w:r w:rsidR="00F67983" w:rsidRPr="00324C07">
        <w:rPr>
          <w:rFonts w:ascii="Arial Narrow" w:hAnsi="Arial Narrow"/>
        </w:rPr>
        <w:t xml:space="preserve">la etapa de evaluación del Instituto Nacional de Concesiones – INCO – y su transformación a la </w:t>
      </w:r>
      <w:r w:rsidR="00564D3B" w:rsidRPr="00324C07">
        <w:rPr>
          <w:rFonts w:ascii="Arial Narrow" w:hAnsi="Arial Narrow"/>
        </w:rPr>
        <w:t xml:space="preserve">Agencia Nacional de Infraestructura - </w:t>
      </w:r>
      <w:r w:rsidR="00F67983" w:rsidRPr="00324C07">
        <w:rPr>
          <w:rFonts w:ascii="Arial Narrow" w:hAnsi="Arial Narrow"/>
        </w:rPr>
        <w:t xml:space="preserve">ANI </w:t>
      </w:r>
      <w:r w:rsidR="00564D3B" w:rsidRPr="00324C07">
        <w:rPr>
          <w:rFonts w:ascii="Arial Narrow" w:hAnsi="Arial Narrow"/>
        </w:rPr>
        <w:t xml:space="preserve">- </w:t>
      </w:r>
      <w:r w:rsidR="009B6C1A" w:rsidRPr="00324C07">
        <w:rPr>
          <w:rFonts w:ascii="Arial Narrow" w:hAnsi="Arial Narrow"/>
        </w:rPr>
        <w:t>desde</w:t>
      </w:r>
      <w:r w:rsidR="00F67983" w:rsidRPr="00324C07">
        <w:rPr>
          <w:rFonts w:ascii="Arial Narrow" w:hAnsi="Arial Narrow"/>
        </w:rPr>
        <w:t xml:space="preserve"> noviembre de 2011.</w:t>
      </w:r>
    </w:p>
    <w:p w:rsidR="00EA4D3E" w:rsidRPr="00324C07" w:rsidRDefault="00EA4D3E" w:rsidP="00DD6737">
      <w:pPr>
        <w:rPr>
          <w:rFonts w:ascii="Arial Narrow" w:hAnsi="Arial Narrow"/>
        </w:rPr>
      </w:pPr>
    </w:p>
    <w:p w:rsidR="00EA4D3E" w:rsidRPr="00324C07" w:rsidRDefault="00EA4D3E" w:rsidP="00DD6737">
      <w:pPr>
        <w:rPr>
          <w:rFonts w:ascii="Arial Narrow" w:hAnsi="Arial Narrow"/>
        </w:rPr>
      </w:pPr>
      <w:r w:rsidRPr="00324C07">
        <w:rPr>
          <w:rFonts w:ascii="Arial Narrow" w:hAnsi="Arial Narrow"/>
        </w:rPr>
        <w:t>E</w:t>
      </w:r>
      <w:r w:rsidR="00D0613C" w:rsidRPr="00324C07">
        <w:rPr>
          <w:rFonts w:ascii="Arial Narrow" w:hAnsi="Arial Narrow"/>
        </w:rPr>
        <w:t xml:space="preserve">ntre los principales logros </w:t>
      </w:r>
      <w:r w:rsidR="00F67983" w:rsidRPr="00324C07">
        <w:rPr>
          <w:rFonts w:ascii="Arial Narrow" w:hAnsi="Arial Narrow"/>
        </w:rPr>
        <w:t xml:space="preserve">de este periodo </w:t>
      </w:r>
      <w:r w:rsidR="00D0613C" w:rsidRPr="00324C07">
        <w:rPr>
          <w:rFonts w:ascii="Arial Narrow" w:hAnsi="Arial Narrow"/>
        </w:rPr>
        <w:t>se encuentran</w:t>
      </w:r>
      <w:r w:rsidR="00B1397D" w:rsidRPr="00324C07">
        <w:rPr>
          <w:rFonts w:ascii="Arial Narrow" w:hAnsi="Arial Narrow"/>
        </w:rPr>
        <w:t xml:space="preserve"> la consolidación </w:t>
      </w:r>
      <w:r w:rsidR="00F22CC9" w:rsidRPr="00324C07">
        <w:rPr>
          <w:rFonts w:ascii="Arial Narrow" w:hAnsi="Arial Narrow"/>
        </w:rPr>
        <w:t xml:space="preserve">del programa 4G de concesiones viales, la regularización y revisión de diferentes contratos de concesión, la definición de la metodología portuaria, </w:t>
      </w:r>
      <w:r w:rsidR="00F67983" w:rsidRPr="00324C07">
        <w:rPr>
          <w:rFonts w:ascii="Arial Narrow" w:hAnsi="Arial Narrow"/>
        </w:rPr>
        <w:t xml:space="preserve">el mejoramiento </w:t>
      </w:r>
      <w:r w:rsidR="00F22CC9" w:rsidRPr="00324C07">
        <w:rPr>
          <w:rFonts w:ascii="Arial Narrow" w:hAnsi="Arial Narrow"/>
        </w:rPr>
        <w:t>de la planta de personal en la entidad y el mejoramiento en los sistemas de calidad</w:t>
      </w:r>
      <w:r w:rsidR="00F67983" w:rsidRPr="00324C07">
        <w:rPr>
          <w:rFonts w:ascii="Arial Narrow" w:hAnsi="Arial Narrow"/>
        </w:rPr>
        <w:t xml:space="preserve"> y de información para una mejor toma de decisiones</w:t>
      </w:r>
      <w:r w:rsidR="00F22CC9" w:rsidRPr="00324C07">
        <w:rPr>
          <w:rFonts w:ascii="Arial Narrow" w:hAnsi="Arial Narrow"/>
        </w:rPr>
        <w:t>.</w:t>
      </w:r>
    </w:p>
    <w:p w:rsidR="00B1397D" w:rsidRPr="00324C07" w:rsidRDefault="00B1397D" w:rsidP="00DA2F50">
      <w:pPr>
        <w:rPr>
          <w:rFonts w:ascii="Arial Narrow" w:hAnsi="Arial Narrow"/>
        </w:rPr>
      </w:pPr>
    </w:p>
    <w:p w:rsidR="0097525F" w:rsidRPr="00324C07" w:rsidRDefault="0097525F" w:rsidP="005631C5">
      <w:pPr>
        <w:rPr>
          <w:rFonts w:ascii="Arial Narrow" w:hAnsi="Arial Narrow"/>
        </w:rPr>
      </w:pPr>
      <w:r w:rsidRPr="00324C07">
        <w:rPr>
          <w:rFonts w:ascii="Arial Narrow" w:hAnsi="Arial Narrow"/>
        </w:rPr>
        <w:t xml:space="preserve">Este Informe Ejecutivo de Gestión </w:t>
      </w:r>
      <w:r w:rsidR="008B78D4" w:rsidRPr="00324C07">
        <w:rPr>
          <w:rFonts w:ascii="Arial Narrow" w:hAnsi="Arial Narrow"/>
        </w:rPr>
        <w:t xml:space="preserve">2014 </w:t>
      </w:r>
      <w:r w:rsidRPr="00324C07">
        <w:rPr>
          <w:rFonts w:ascii="Arial Narrow" w:hAnsi="Arial Narrow"/>
        </w:rPr>
        <w:t>se presenta en cumplimiento de lo establecido en el artículo 74 de la Ley 1474 de 2011. Sin embargo, teniendo en cuenta que a la fecha no se encuentran los estados financieros de la entidad debidamente aprobados por el Consejo Directivo</w:t>
      </w:r>
      <w:r w:rsidRPr="00324C07">
        <w:rPr>
          <w:rStyle w:val="Refdenotaalpie"/>
          <w:rFonts w:ascii="Arial Narrow" w:hAnsi="Arial Narrow"/>
        </w:rPr>
        <w:footnoteReference w:id="2"/>
      </w:r>
      <w:r w:rsidRPr="00324C07">
        <w:rPr>
          <w:rFonts w:ascii="Arial Narrow" w:hAnsi="Arial Narrow"/>
        </w:rPr>
        <w:t xml:space="preserve">, este informe se ajustará con base en </w:t>
      </w:r>
      <w:r w:rsidR="002800BB" w:rsidRPr="00324C07">
        <w:rPr>
          <w:rFonts w:ascii="Arial Narrow" w:hAnsi="Arial Narrow"/>
        </w:rPr>
        <w:t xml:space="preserve">los resultados consolidados </w:t>
      </w:r>
      <w:r w:rsidRPr="00324C07">
        <w:rPr>
          <w:rFonts w:ascii="Arial Narrow" w:hAnsi="Arial Narrow"/>
        </w:rPr>
        <w:t>final</w:t>
      </w:r>
      <w:r w:rsidR="002800BB" w:rsidRPr="00324C07">
        <w:rPr>
          <w:rFonts w:ascii="Arial Narrow" w:hAnsi="Arial Narrow"/>
        </w:rPr>
        <w:t>es</w:t>
      </w:r>
      <w:r w:rsidR="001C339F" w:rsidRPr="00324C07">
        <w:rPr>
          <w:rFonts w:ascii="Arial Narrow" w:hAnsi="Arial Narrow"/>
        </w:rPr>
        <w:t xml:space="preserve"> recopilado con las diferentes áreas</w:t>
      </w:r>
      <w:r w:rsidR="009B6C1A" w:rsidRPr="00324C07">
        <w:rPr>
          <w:rFonts w:ascii="Arial Narrow" w:hAnsi="Arial Narrow"/>
        </w:rPr>
        <w:t xml:space="preserve"> de la entidad</w:t>
      </w:r>
      <w:r w:rsidR="00886484">
        <w:rPr>
          <w:rFonts w:ascii="Arial Narrow" w:hAnsi="Arial Narrow"/>
        </w:rPr>
        <w:t xml:space="preserve"> y con la información financiera definitiva</w:t>
      </w:r>
      <w:r w:rsidR="001C339F" w:rsidRPr="00324C07">
        <w:rPr>
          <w:rFonts w:ascii="Arial Narrow" w:hAnsi="Arial Narrow"/>
        </w:rPr>
        <w:t>.</w:t>
      </w:r>
    </w:p>
    <w:p w:rsidR="0097525F" w:rsidRPr="00324C07" w:rsidRDefault="0097525F" w:rsidP="005631C5">
      <w:pPr>
        <w:rPr>
          <w:rFonts w:ascii="Arial Narrow" w:hAnsi="Arial Narrow"/>
        </w:rPr>
      </w:pPr>
    </w:p>
    <w:p w:rsidR="005631C5" w:rsidRPr="00324C07" w:rsidRDefault="00DF7C89" w:rsidP="005631C5">
      <w:pPr>
        <w:rPr>
          <w:rFonts w:ascii="Arial Narrow" w:hAnsi="Arial Narrow"/>
        </w:rPr>
      </w:pPr>
      <w:r w:rsidRPr="00324C07">
        <w:rPr>
          <w:rFonts w:ascii="Arial Narrow" w:hAnsi="Arial Narrow"/>
        </w:rPr>
        <w:t>Es importante tener en cuenta que para el d</w:t>
      </w:r>
      <w:r w:rsidR="005631C5" w:rsidRPr="00324C07">
        <w:rPr>
          <w:rFonts w:ascii="Arial Narrow" w:hAnsi="Arial Narrow"/>
        </w:rPr>
        <w:t xml:space="preserve">esarrollo y consolidación </w:t>
      </w:r>
      <w:r w:rsidRPr="00324C07">
        <w:rPr>
          <w:rFonts w:ascii="Arial Narrow" w:hAnsi="Arial Narrow"/>
        </w:rPr>
        <w:t xml:space="preserve">del documento </w:t>
      </w:r>
      <w:r w:rsidR="005631C5" w:rsidRPr="00324C07">
        <w:rPr>
          <w:rFonts w:ascii="Arial Narrow" w:hAnsi="Arial Narrow"/>
        </w:rPr>
        <w:t xml:space="preserve">se </w:t>
      </w:r>
      <w:r w:rsidR="0097525F" w:rsidRPr="00324C07">
        <w:rPr>
          <w:rFonts w:ascii="Arial Narrow" w:hAnsi="Arial Narrow"/>
        </w:rPr>
        <w:t>utilizó información suministrada por áreas de la entidad</w:t>
      </w:r>
      <w:r w:rsidR="007D7FE6" w:rsidRPr="00324C07">
        <w:rPr>
          <w:rFonts w:ascii="Arial Narrow" w:hAnsi="Arial Narrow"/>
        </w:rPr>
        <w:t xml:space="preserve">, </w:t>
      </w:r>
      <w:r w:rsidR="00DD6737" w:rsidRPr="00324C07">
        <w:rPr>
          <w:rFonts w:ascii="Arial Narrow" w:hAnsi="Arial Narrow"/>
        </w:rPr>
        <w:t>el Informe de Indicadores SI</w:t>
      </w:r>
      <w:r w:rsidR="000204B5" w:rsidRPr="00324C07">
        <w:rPr>
          <w:rFonts w:ascii="Arial Narrow" w:hAnsi="Arial Narrow"/>
        </w:rPr>
        <w:t>SMEG</w:t>
      </w:r>
      <w:r w:rsidR="007D7FE6" w:rsidRPr="00324C07">
        <w:rPr>
          <w:rFonts w:ascii="Arial Narrow" w:hAnsi="Arial Narrow"/>
        </w:rPr>
        <w:t>, e</w:t>
      </w:r>
      <w:r w:rsidR="00F22CC9" w:rsidRPr="00324C07">
        <w:rPr>
          <w:rFonts w:ascii="Arial Narrow" w:hAnsi="Arial Narrow"/>
        </w:rPr>
        <w:t>l</w:t>
      </w:r>
      <w:r w:rsidR="007D7FE6" w:rsidRPr="00324C07">
        <w:rPr>
          <w:rFonts w:ascii="Arial Narrow" w:hAnsi="Arial Narrow"/>
        </w:rPr>
        <w:t xml:space="preserve"> Plan Estratégico y </w:t>
      </w:r>
      <w:r w:rsidR="00F67983" w:rsidRPr="00324C07">
        <w:rPr>
          <w:rFonts w:ascii="Arial Narrow" w:hAnsi="Arial Narrow"/>
        </w:rPr>
        <w:t xml:space="preserve">los </w:t>
      </w:r>
      <w:r w:rsidR="00D435C3" w:rsidRPr="00324C07">
        <w:rPr>
          <w:rFonts w:ascii="Arial Narrow" w:hAnsi="Arial Narrow"/>
        </w:rPr>
        <w:t>Plan</w:t>
      </w:r>
      <w:r w:rsidR="00F67983" w:rsidRPr="00324C07">
        <w:rPr>
          <w:rFonts w:ascii="Arial Narrow" w:hAnsi="Arial Narrow"/>
        </w:rPr>
        <w:t>es</w:t>
      </w:r>
      <w:r w:rsidR="00D435C3" w:rsidRPr="00324C07">
        <w:rPr>
          <w:rFonts w:ascii="Arial Narrow" w:hAnsi="Arial Narrow"/>
        </w:rPr>
        <w:t xml:space="preserve"> de Acción </w:t>
      </w:r>
      <w:r w:rsidR="00F67983" w:rsidRPr="00324C07">
        <w:rPr>
          <w:rFonts w:ascii="Arial Narrow" w:hAnsi="Arial Narrow"/>
        </w:rPr>
        <w:t>reportados durante estos periodos</w:t>
      </w:r>
      <w:r w:rsidR="001C5607">
        <w:rPr>
          <w:rFonts w:ascii="Arial Narrow" w:hAnsi="Arial Narrow"/>
        </w:rPr>
        <w:t>, así como fuentes secundarias internas</w:t>
      </w:r>
      <w:r w:rsidR="004E294A" w:rsidRPr="00324C07">
        <w:rPr>
          <w:rFonts w:ascii="Arial Narrow" w:hAnsi="Arial Narrow"/>
        </w:rPr>
        <w:t>.</w:t>
      </w:r>
    </w:p>
    <w:p w:rsidR="00615D1E" w:rsidRPr="00324C07" w:rsidRDefault="00615D1E" w:rsidP="005C1832">
      <w:pPr>
        <w:rPr>
          <w:rFonts w:ascii="Arial Narrow" w:hAnsi="Arial Narrow"/>
        </w:rPr>
      </w:pPr>
    </w:p>
    <w:p w:rsidR="00D0613C" w:rsidRPr="00324C07" w:rsidRDefault="00AE2202" w:rsidP="00D0613C">
      <w:pPr>
        <w:rPr>
          <w:rFonts w:ascii="Arial Narrow" w:hAnsi="Arial Narrow"/>
        </w:rPr>
      </w:pPr>
      <w:r w:rsidRPr="00324C07">
        <w:rPr>
          <w:rFonts w:ascii="Arial Narrow" w:hAnsi="Arial Narrow"/>
        </w:rPr>
        <w:br w:type="page"/>
      </w:r>
    </w:p>
    <w:p w:rsidR="00D0613C" w:rsidRPr="004D6B5F" w:rsidRDefault="00A15BF5" w:rsidP="00AE2202">
      <w:pPr>
        <w:pStyle w:val="Ttulo1"/>
        <w:ind w:left="360"/>
        <w:rPr>
          <w:rFonts w:ascii="Arial Narrow" w:hAnsi="Arial Narrow"/>
          <w:sz w:val="22"/>
          <w:szCs w:val="22"/>
        </w:rPr>
      </w:pPr>
      <w:bookmarkStart w:id="1" w:name="_Toc410922126"/>
      <w:r w:rsidRPr="004D6B5F">
        <w:rPr>
          <w:rFonts w:ascii="Arial Narrow" w:hAnsi="Arial Narrow"/>
          <w:sz w:val="22"/>
          <w:szCs w:val="22"/>
        </w:rPr>
        <w:t>GESTIÓN ESTRATÉGICA</w:t>
      </w:r>
      <w:bookmarkEnd w:id="1"/>
    </w:p>
    <w:p w:rsidR="00213840" w:rsidRPr="004D6B5F" w:rsidRDefault="00213840" w:rsidP="00AE2202">
      <w:pPr>
        <w:rPr>
          <w:rFonts w:ascii="Arial Narrow" w:hAnsi="Arial Narrow"/>
        </w:rPr>
      </w:pPr>
    </w:p>
    <w:p w:rsidR="00A15BF5" w:rsidRPr="001A410D" w:rsidRDefault="00A15BF5" w:rsidP="004D6B5F">
      <w:pPr>
        <w:pStyle w:val="Ttulo2"/>
        <w:rPr>
          <w:rFonts w:ascii="Arial Narrow" w:hAnsi="Arial Narrow"/>
          <w:i w:val="0"/>
        </w:rPr>
      </w:pPr>
      <w:bookmarkStart w:id="2" w:name="_Toc410922127"/>
      <w:r w:rsidRPr="001A410D">
        <w:rPr>
          <w:rFonts w:ascii="Arial Narrow" w:hAnsi="Arial Narrow"/>
          <w:i w:val="0"/>
        </w:rPr>
        <w:t>PUNTO DE PARTIDA</w:t>
      </w:r>
      <w:bookmarkEnd w:id="2"/>
    </w:p>
    <w:p w:rsidR="00A15BF5" w:rsidRPr="001A410D" w:rsidRDefault="00A15BF5" w:rsidP="004D6B5F">
      <w:pPr>
        <w:pStyle w:val="Ttulo3"/>
        <w:rPr>
          <w:rFonts w:ascii="Arial Narrow" w:hAnsi="Arial Narrow"/>
        </w:rPr>
      </w:pPr>
      <w:bookmarkStart w:id="3" w:name="_Toc410922128"/>
      <w:r w:rsidRPr="001A410D">
        <w:rPr>
          <w:rFonts w:ascii="Arial Narrow" w:hAnsi="Arial Narrow"/>
        </w:rPr>
        <w:t>Problemas de Competitividad</w:t>
      </w:r>
      <w:bookmarkEnd w:id="3"/>
      <w:r w:rsidRPr="001A410D">
        <w:rPr>
          <w:rFonts w:ascii="Arial Narrow" w:hAnsi="Arial Narrow"/>
        </w:rPr>
        <w:t xml:space="preserve"> </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La infraestructura de transporte es uno de los principales pilares de la competitividad (OECD, 2013) y constituye uno de los motores del crecimiento económico y de desarrollo social (CEPAL, 2012). Históricamente, Colombia ha padecido de un rezago en infraestructura de transporte principalmente por un nivel de inversión secto</w:t>
      </w:r>
      <w:r w:rsidR="004D6B5F">
        <w:rPr>
          <w:rFonts w:ascii="Arial Narrow" w:hAnsi="Arial Narrow"/>
          <w:szCs w:val="22"/>
          <w:lang w:val="es-CO"/>
        </w:rPr>
        <w:t>rial bajo (Fedesarrollo, 2013).</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Colombia se caracteriza por contar con pocas vías de acuerdo al tamaño del país, unos 11,7 km de carreteras por km</w:t>
      </w:r>
      <w:r w:rsidRPr="001A410D">
        <w:rPr>
          <w:rFonts w:ascii="Arial Narrow" w:hAnsi="Arial Narrow"/>
          <w:szCs w:val="22"/>
          <w:vertAlign w:val="superscript"/>
          <w:lang w:val="es-CO"/>
        </w:rPr>
        <w:t>2</w:t>
      </w:r>
      <w:r w:rsidRPr="004D6B5F">
        <w:rPr>
          <w:rFonts w:ascii="Arial Narrow" w:hAnsi="Arial Narrow"/>
          <w:szCs w:val="22"/>
          <w:lang w:val="es-CO"/>
        </w:rPr>
        <w:t xml:space="preserve"> de área en comparación </w:t>
      </w:r>
      <w:r w:rsidR="001A410D">
        <w:rPr>
          <w:rFonts w:ascii="Arial Narrow" w:hAnsi="Arial Narrow"/>
          <w:szCs w:val="22"/>
          <w:lang w:val="es-CO"/>
        </w:rPr>
        <w:t>con Brasil que cuenta con 20,7 k</w:t>
      </w:r>
      <w:r w:rsidRPr="004D6B5F">
        <w:rPr>
          <w:rFonts w:ascii="Arial Narrow" w:hAnsi="Arial Narrow"/>
          <w:szCs w:val="22"/>
          <w:lang w:val="es-CO"/>
        </w:rPr>
        <w:t>m/ km</w:t>
      </w:r>
      <w:r w:rsidRPr="001A410D">
        <w:rPr>
          <w:rFonts w:ascii="Arial Narrow" w:hAnsi="Arial Narrow"/>
          <w:szCs w:val="22"/>
          <w:vertAlign w:val="superscript"/>
          <w:lang w:val="es-CO"/>
        </w:rPr>
        <w:t>2</w:t>
      </w:r>
      <w:r w:rsidRPr="004D6B5F">
        <w:rPr>
          <w:rFonts w:ascii="Arial Narrow" w:hAnsi="Arial Narrow"/>
          <w:szCs w:val="22"/>
          <w:lang w:val="es-CO"/>
        </w:rPr>
        <w:t xml:space="preserve">; el porcentaje de vías pavimentadas es muy bajo </w:t>
      </w:r>
      <w:r w:rsidR="008B78D4">
        <w:rPr>
          <w:rFonts w:ascii="Arial Narrow" w:hAnsi="Arial Narrow"/>
          <w:szCs w:val="22"/>
          <w:lang w:val="es-CO"/>
        </w:rPr>
        <w:t xml:space="preserve">frente </w:t>
      </w:r>
      <w:r w:rsidRPr="004D6B5F">
        <w:rPr>
          <w:rFonts w:ascii="Arial Narrow" w:hAnsi="Arial Narrow"/>
          <w:szCs w:val="22"/>
          <w:lang w:val="es-CO"/>
        </w:rPr>
        <w:t xml:space="preserve">a nuestros pares, </w:t>
      </w:r>
      <w:r w:rsidR="008B78D4">
        <w:rPr>
          <w:rFonts w:ascii="Arial Narrow" w:hAnsi="Arial Narrow"/>
          <w:szCs w:val="22"/>
          <w:lang w:val="es-CO"/>
        </w:rPr>
        <w:t xml:space="preserve">mientras que en Chile se cuenta con el 23,3% de las vías pavimentadas, nosotros tenemos </w:t>
      </w:r>
      <w:r w:rsidRPr="004D6B5F">
        <w:rPr>
          <w:rFonts w:ascii="Arial Narrow" w:hAnsi="Arial Narrow"/>
          <w:szCs w:val="22"/>
          <w:lang w:val="es-CO"/>
        </w:rPr>
        <w:t xml:space="preserve">el 10,3% de las vías se encuentran pavimentadas; y más del 50% de </w:t>
      </w:r>
      <w:r w:rsidR="008B78D4">
        <w:rPr>
          <w:rFonts w:ascii="Arial Narrow" w:hAnsi="Arial Narrow"/>
          <w:szCs w:val="22"/>
          <w:lang w:val="es-CO"/>
        </w:rPr>
        <w:t xml:space="preserve">estas se encuentran </w:t>
      </w:r>
      <w:r w:rsidR="001A410D">
        <w:rPr>
          <w:rFonts w:ascii="Arial Narrow" w:hAnsi="Arial Narrow"/>
          <w:szCs w:val="22"/>
          <w:lang w:val="es-CO"/>
        </w:rPr>
        <w:t>en mal estado.</w:t>
      </w:r>
    </w:p>
    <w:p w:rsidR="00A15BF5" w:rsidRPr="004D6B5F" w:rsidRDefault="008B78D4" w:rsidP="001A410D">
      <w:pPr>
        <w:spacing w:before="120" w:after="120" w:line="276" w:lineRule="auto"/>
        <w:rPr>
          <w:rFonts w:ascii="Arial Narrow" w:hAnsi="Arial Narrow"/>
          <w:szCs w:val="22"/>
          <w:lang w:val="es-CO"/>
        </w:rPr>
      </w:pPr>
      <w:r>
        <w:rPr>
          <w:rFonts w:ascii="Arial Narrow" w:hAnsi="Arial Narrow"/>
          <w:szCs w:val="22"/>
          <w:lang w:val="es-CO"/>
        </w:rPr>
        <w:t>Así mismo,</w:t>
      </w:r>
      <w:r w:rsidR="001A410D">
        <w:rPr>
          <w:rFonts w:ascii="Arial Narrow" w:hAnsi="Arial Narrow"/>
          <w:szCs w:val="22"/>
          <w:lang w:val="es-CO"/>
        </w:rPr>
        <w:t xml:space="preserve"> de acuerdo con el</w:t>
      </w:r>
      <w:r w:rsidR="00A15BF5" w:rsidRPr="004D6B5F">
        <w:rPr>
          <w:rFonts w:ascii="Arial Narrow" w:hAnsi="Arial Narrow"/>
          <w:szCs w:val="22"/>
          <w:lang w:val="es-CO"/>
        </w:rPr>
        <w:t xml:space="preserve"> Reporte de Competitividad Global 2013 - 2014 del Foro Económico Mundial, la infraestructura de transporte de Colombia se encuentra por debajo de los países desarrollados, los países emergentes asiáticos, e incluso frente a la mayoría de países Latinoamericanos. De un total de 148 países evaluados, Colombia ocupa el puesto N</w:t>
      </w:r>
      <w:r>
        <w:rPr>
          <w:rFonts w:ascii="Arial Narrow" w:hAnsi="Arial Narrow"/>
          <w:szCs w:val="22"/>
          <w:lang w:val="es-CO"/>
        </w:rPr>
        <w:t>°</w:t>
      </w:r>
      <w:r w:rsidR="00A15BF5" w:rsidRPr="004D6B5F">
        <w:rPr>
          <w:rFonts w:ascii="Arial Narrow" w:hAnsi="Arial Narrow"/>
          <w:szCs w:val="22"/>
          <w:lang w:val="es-CO"/>
        </w:rPr>
        <w:t xml:space="preserve"> 130 en carreteras, en líneas férreas el N</w:t>
      </w:r>
      <w:r>
        <w:rPr>
          <w:rFonts w:ascii="Arial Narrow" w:hAnsi="Arial Narrow"/>
          <w:szCs w:val="22"/>
          <w:lang w:val="es-CO"/>
        </w:rPr>
        <w:t>°</w:t>
      </w:r>
      <w:r w:rsidR="00A15BF5" w:rsidRPr="004D6B5F">
        <w:rPr>
          <w:rFonts w:ascii="Arial Narrow" w:hAnsi="Arial Narrow"/>
          <w:szCs w:val="22"/>
          <w:lang w:val="es-CO"/>
        </w:rPr>
        <w:t xml:space="preserve"> 113, en puertos el N</w:t>
      </w:r>
      <w:r>
        <w:rPr>
          <w:rFonts w:ascii="Arial Narrow" w:hAnsi="Arial Narrow"/>
          <w:szCs w:val="22"/>
          <w:lang w:val="es-CO"/>
        </w:rPr>
        <w:t>°</w:t>
      </w:r>
      <w:r w:rsidR="00A15BF5" w:rsidRPr="004D6B5F">
        <w:rPr>
          <w:rFonts w:ascii="Arial Narrow" w:hAnsi="Arial Narrow"/>
          <w:szCs w:val="22"/>
          <w:lang w:val="es-CO"/>
        </w:rPr>
        <w:t xml:space="preserve"> 110 y en aeropuertos el N</w:t>
      </w:r>
      <w:r>
        <w:rPr>
          <w:rFonts w:ascii="Arial Narrow" w:hAnsi="Arial Narrow"/>
          <w:szCs w:val="22"/>
          <w:lang w:val="es-CO"/>
        </w:rPr>
        <w:t>°</w:t>
      </w:r>
      <w:r w:rsidR="00A15BF5" w:rsidRPr="004D6B5F">
        <w:rPr>
          <w:rFonts w:ascii="Arial Narrow" w:hAnsi="Arial Narrow"/>
          <w:szCs w:val="22"/>
          <w:lang w:val="es-CO"/>
        </w:rPr>
        <w:t xml:space="preserve"> 96 (Ver Gráfico No. 1).</w:t>
      </w:r>
    </w:p>
    <w:p w:rsidR="004A185A" w:rsidRDefault="004A185A" w:rsidP="00A15BF5">
      <w:pPr>
        <w:tabs>
          <w:tab w:val="left" w:pos="3285"/>
        </w:tabs>
        <w:jc w:val="center"/>
        <w:rPr>
          <w:rFonts w:ascii="Arial Narrow" w:hAnsi="Arial Narrow"/>
          <w:b/>
          <w:sz w:val="20"/>
          <w:szCs w:val="20"/>
          <w:lang w:val="es-CO"/>
        </w:rPr>
      </w:pPr>
      <w:r>
        <w:rPr>
          <w:rFonts w:ascii="Arial Narrow" w:hAnsi="Arial Narrow"/>
          <w:b/>
          <w:sz w:val="20"/>
          <w:szCs w:val="20"/>
          <w:lang w:val="es-CO"/>
        </w:rPr>
        <w:t>Gráfico No. 1.</w:t>
      </w:r>
    </w:p>
    <w:p w:rsidR="00A15BF5" w:rsidRPr="004D6B5F" w:rsidRDefault="00A15BF5" w:rsidP="00A15BF5">
      <w:pPr>
        <w:tabs>
          <w:tab w:val="left" w:pos="3285"/>
        </w:tabs>
        <w:jc w:val="center"/>
        <w:rPr>
          <w:rFonts w:ascii="Arial Narrow" w:hAnsi="Arial Narrow"/>
          <w:b/>
          <w:sz w:val="20"/>
          <w:szCs w:val="20"/>
          <w:lang w:val="es-CO"/>
        </w:rPr>
      </w:pPr>
      <w:r w:rsidRPr="004D6B5F">
        <w:rPr>
          <w:rFonts w:ascii="Arial Narrow" w:hAnsi="Arial Narrow"/>
          <w:b/>
          <w:sz w:val="20"/>
          <w:szCs w:val="20"/>
          <w:lang w:val="es-CO"/>
        </w:rPr>
        <w:t>Reporte de Competitividad Global</w:t>
      </w:r>
    </w:p>
    <w:p w:rsidR="00A15BF5" w:rsidRPr="004D6B5F" w:rsidRDefault="00A15BF5" w:rsidP="00A15BF5">
      <w:pPr>
        <w:tabs>
          <w:tab w:val="left" w:pos="3285"/>
        </w:tabs>
        <w:rPr>
          <w:rFonts w:ascii="Arial Narrow" w:hAnsi="Arial Narrow"/>
          <w:b/>
          <w:sz w:val="20"/>
          <w:szCs w:val="20"/>
          <w:lang w:val="es-CO"/>
        </w:rPr>
      </w:pPr>
      <w:r w:rsidRPr="004D6B5F">
        <w:rPr>
          <w:rFonts w:ascii="Arial Narrow" w:hAnsi="Arial Narrow"/>
          <w:lang w:val="es-CO"/>
        </w:rPr>
        <w:t xml:space="preserve">                    </w:t>
      </w:r>
      <w:r w:rsidRPr="004D6B5F">
        <w:rPr>
          <w:rFonts w:ascii="Arial Narrow" w:hAnsi="Arial Narrow"/>
          <w:b/>
          <w:sz w:val="20"/>
          <w:szCs w:val="20"/>
          <w:lang w:val="es-CO"/>
        </w:rPr>
        <w:t>Ranking en Carreteras                                                  Ranking en Líneas Férreas</w:t>
      </w:r>
    </w:p>
    <w:p w:rsidR="00A15BF5" w:rsidRPr="004D6B5F" w:rsidRDefault="00796D6C" w:rsidP="00A15BF5">
      <w:pPr>
        <w:tabs>
          <w:tab w:val="left" w:pos="3285"/>
        </w:tabs>
        <w:rPr>
          <w:rFonts w:ascii="Arial Narrow" w:hAnsi="Arial Narrow"/>
          <w:lang w:val="es-CO"/>
        </w:rPr>
      </w:pPr>
      <w:r w:rsidRPr="004D6B5F">
        <w:rPr>
          <w:rFonts w:ascii="Arial Narrow" w:hAnsi="Arial Narrow"/>
          <w:noProof/>
          <w:lang w:val="es-CO" w:eastAsia="es-CO"/>
        </w:rPr>
        <w:drawing>
          <wp:inline distT="0" distB="0" distL="0" distR="0" wp14:anchorId="788E9300" wp14:editId="10AA6E8C">
            <wp:extent cx="2703195" cy="1692910"/>
            <wp:effectExtent l="0" t="0" r="1905" b="2540"/>
            <wp:docPr id="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D6B5F">
        <w:rPr>
          <w:rFonts w:ascii="Arial Narrow" w:hAnsi="Arial Narrow"/>
          <w:noProof/>
          <w:lang w:val="es-CO" w:eastAsia="es-CO"/>
        </w:rPr>
        <w:drawing>
          <wp:inline distT="0" distB="0" distL="0" distR="0" wp14:anchorId="755FBAF6" wp14:editId="749461DB">
            <wp:extent cx="2752725" cy="1695450"/>
            <wp:effectExtent l="0" t="0" r="0" b="0"/>
            <wp:docPr id="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5BF5" w:rsidRPr="004D6B5F" w:rsidRDefault="00A15BF5" w:rsidP="00A15BF5">
      <w:pPr>
        <w:tabs>
          <w:tab w:val="left" w:pos="3285"/>
        </w:tabs>
        <w:rPr>
          <w:rFonts w:ascii="Arial Narrow" w:hAnsi="Arial Narrow"/>
          <w:sz w:val="20"/>
          <w:szCs w:val="20"/>
          <w:lang w:val="en-US"/>
        </w:rPr>
      </w:pPr>
      <w:r w:rsidRPr="004D6B5F">
        <w:rPr>
          <w:rFonts w:ascii="Arial Narrow" w:hAnsi="Arial Narrow"/>
          <w:sz w:val="20"/>
          <w:szCs w:val="20"/>
          <w:lang w:val="es-CO"/>
        </w:rPr>
        <w:t xml:space="preserve">                           </w:t>
      </w:r>
      <w:r w:rsidRPr="004D6B5F">
        <w:rPr>
          <w:rFonts w:ascii="Arial Narrow" w:hAnsi="Arial Narrow"/>
          <w:b/>
          <w:sz w:val="20"/>
          <w:szCs w:val="20"/>
          <w:lang w:val="es-CO"/>
        </w:rPr>
        <w:t>Ranking en Puertos                                                        Ranking en Aeropuertos</w:t>
      </w:r>
    </w:p>
    <w:p w:rsidR="00A15BF5" w:rsidRPr="004D6B5F" w:rsidRDefault="00796D6C" w:rsidP="00A15BF5">
      <w:pPr>
        <w:tabs>
          <w:tab w:val="num" w:pos="720"/>
          <w:tab w:val="left" w:pos="3285"/>
        </w:tabs>
        <w:rPr>
          <w:rFonts w:ascii="Arial Narrow" w:hAnsi="Arial Narrow"/>
          <w:sz w:val="18"/>
          <w:szCs w:val="18"/>
          <w:lang w:val="en-US"/>
        </w:rPr>
      </w:pPr>
      <w:r w:rsidRPr="004D6B5F">
        <w:rPr>
          <w:rFonts w:ascii="Arial Narrow" w:hAnsi="Arial Narrow"/>
          <w:noProof/>
          <w:lang w:val="es-CO" w:eastAsia="es-CO"/>
        </w:rPr>
        <w:drawing>
          <wp:anchor distT="0" distB="0" distL="114300" distR="114300" simplePos="0" relativeHeight="251658244" behindDoc="0" locked="0" layoutInCell="1" allowOverlap="1" wp14:anchorId="7B7AFD60" wp14:editId="38573E97">
            <wp:simplePos x="0" y="0"/>
            <wp:positionH relativeFrom="column">
              <wp:posOffset>2700655</wp:posOffset>
            </wp:positionH>
            <wp:positionV relativeFrom="paragraph">
              <wp:posOffset>113030</wp:posOffset>
            </wp:positionV>
            <wp:extent cx="2804160" cy="1627505"/>
            <wp:effectExtent l="0" t="0" r="0" b="1270"/>
            <wp:wrapThrough wrapText="bothSides">
              <wp:wrapPolygon edited="0">
                <wp:start x="220" y="632"/>
                <wp:lineTo x="220" y="20842"/>
                <wp:lineTo x="21307" y="20842"/>
                <wp:lineTo x="21307" y="632"/>
                <wp:lineTo x="220" y="632"/>
              </wp:wrapPolygon>
            </wp:wrapThrough>
            <wp:docPr id="9340" name="Gráfic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4D6B5F">
        <w:rPr>
          <w:rFonts w:ascii="Arial Narrow" w:hAnsi="Arial Narrow"/>
          <w:noProof/>
          <w:lang w:val="es-CO" w:eastAsia="es-CO"/>
        </w:rPr>
        <w:drawing>
          <wp:anchor distT="0" distB="0" distL="114300" distR="114300" simplePos="0" relativeHeight="251658243" behindDoc="0" locked="0" layoutInCell="1" allowOverlap="1" wp14:anchorId="0609044B" wp14:editId="22F67821">
            <wp:simplePos x="0" y="0"/>
            <wp:positionH relativeFrom="column">
              <wp:posOffset>-5715</wp:posOffset>
            </wp:positionH>
            <wp:positionV relativeFrom="paragraph">
              <wp:posOffset>113030</wp:posOffset>
            </wp:positionV>
            <wp:extent cx="2706370" cy="1627505"/>
            <wp:effectExtent l="0" t="0" r="635" b="1270"/>
            <wp:wrapThrough wrapText="bothSides">
              <wp:wrapPolygon edited="0">
                <wp:start x="228" y="632"/>
                <wp:lineTo x="228" y="20842"/>
                <wp:lineTo x="21296" y="20842"/>
                <wp:lineTo x="21296" y="632"/>
                <wp:lineTo x="228" y="632"/>
              </wp:wrapPolygon>
            </wp:wrapThrough>
            <wp:docPr id="9339" name="Gráfic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A15BF5" w:rsidRPr="004D6B5F">
        <w:rPr>
          <w:rFonts w:ascii="Arial Narrow" w:hAnsi="Arial Narrow"/>
          <w:sz w:val="18"/>
          <w:szCs w:val="18"/>
          <w:lang w:val="en-US"/>
        </w:rPr>
        <w:t xml:space="preserve">Fuente: The Global Competitiveness Report 2013-2014 © World Economic Forum </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Tradicionalmente, la política del sector transporte favoreció la movilización de carga por carreteras, limitando o especializando el desarrollo de otros modos de transporte, por lo que cerrar la brecha en infraestructura constituye uno de los grandes retos que enfrenta el país.</w:t>
      </w:r>
    </w:p>
    <w:p w:rsidR="00A15BF5" w:rsidRPr="004D6B5F" w:rsidRDefault="00A15BF5" w:rsidP="001A410D">
      <w:pPr>
        <w:tabs>
          <w:tab w:val="left" w:pos="3285"/>
        </w:tabs>
        <w:spacing w:before="120" w:after="120" w:line="276" w:lineRule="auto"/>
        <w:rPr>
          <w:rFonts w:ascii="Arial Narrow" w:hAnsi="Arial Narrow"/>
          <w:szCs w:val="22"/>
          <w:lang w:val="es-CO"/>
        </w:rPr>
      </w:pPr>
    </w:p>
    <w:p w:rsidR="00A15BF5" w:rsidRPr="004D6B5F" w:rsidRDefault="00A15BF5" w:rsidP="004D6B5F">
      <w:pPr>
        <w:pStyle w:val="Ttulo3"/>
        <w:rPr>
          <w:rFonts w:ascii="Arial Narrow" w:hAnsi="Arial Narrow"/>
        </w:rPr>
      </w:pPr>
      <w:bookmarkStart w:id="4" w:name="_Toc410922129"/>
      <w:r w:rsidRPr="004D6B5F">
        <w:rPr>
          <w:rFonts w:ascii="Arial Narrow" w:hAnsi="Arial Narrow"/>
        </w:rPr>
        <w:t>Dificultades Institucionales</w:t>
      </w:r>
      <w:bookmarkEnd w:id="4"/>
      <w:r w:rsidRPr="004D6B5F">
        <w:rPr>
          <w:rFonts w:ascii="Arial Narrow" w:hAnsi="Arial Narrow"/>
        </w:rPr>
        <w:t xml:space="preserve"> </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El Gobierno Nacional y el Sector Transporte promovieron una reforma institucional transversal para solucionar los principales problemas con la transformación y creación de una entidad especializada en la vinculación del sector privado para la provisión de infraestructura de transporte. Es así como en 2010, el Instituto Nacional de Concesiones (INCO) atravesaba una crisis institucional en dos principales dimensiones: Estructurales y Organizacionales - Operativas. </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A15BF5" w:rsidP="001A410D">
      <w:pPr>
        <w:pStyle w:val="Ttulo3"/>
        <w:numPr>
          <w:ilvl w:val="3"/>
          <w:numId w:val="2"/>
        </w:numPr>
        <w:rPr>
          <w:rFonts w:ascii="Arial Narrow" w:hAnsi="Arial Narrow"/>
        </w:rPr>
      </w:pPr>
      <w:bookmarkStart w:id="5" w:name="_Toc410922130"/>
      <w:r w:rsidRPr="004D6B5F">
        <w:rPr>
          <w:rFonts w:ascii="Arial Narrow" w:hAnsi="Arial Narrow"/>
        </w:rPr>
        <w:t>Estructurales</w:t>
      </w:r>
      <w:bookmarkEnd w:id="5"/>
    </w:p>
    <w:p w:rsidR="00A15BF5" w:rsidRPr="004D6B5F" w:rsidRDefault="00A15BF5" w:rsidP="001A410D">
      <w:pPr>
        <w:pStyle w:val="Ttulo3"/>
        <w:numPr>
          <w:ilvl w:val="4"/>
          <w:numId w:val="2"/>
        </w:numPr>
        <w:rPr>
          <w:rFonts w:ascii="Arial Narrow" w:hAnsi="Arial Narrow"/>
        </w:rPr>
      </w:pPr>
      <w:bookmarkStart w:id="6" w:name="_Toc410922131"/>
      <w:r w:rsidRPr="004D6B5F">
        <w:rPr>
          <w:rFonts w:ascii="Arial Narrow" w:hAnsi="Arial Narrow"/>
        </w:rPr>
        <w:t>La Renegociación Sistémica de Los Contratos de Concesión de Carreteras</w:t>
      </w:r>
      <w:bookmarkEnd w:id="6"/>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De acuerdo a la OECD, las concesiones viales en Colombia entre el periodo de 1994 a 2010</w:t>
      </w:r>
      <w:r w:rsidRPr="008B78D4">
        <w:rPr>
          <w:rFonts w:ascii="Arial Narrow" w:hAnsi="Arial Narrow"/>
          <w:szCs w:val="22"/>
          <w:vertAlign w:val="superscript"/>
        </w:rPr>
        <w:footnoteReference w:id="3"/>
      </w:r>
      <w:r w:rsidRPr="004D6B5F">
        <w:rPr>
          <w:rFonts w:ascii="Arial Narrow" w:hAnsi="Arial Narrow"/>
          <w:szCs w:val="22"/>
          <w:lang w:val="es-CO"/>
        </w:rPr>
        <w:t xml:space="preserve"> se han visto renegociados al menos una vez. En total, han sido 430 cambios en 21 contratos de concesión que representan costos fiscales por valor de USD 5.600 millones de dólares y 131 años de plazo adicional cedido a los concesionarios. Las renegociaciones han agregado alrededor de 1.000 km de carretera a los contratos de concesión. En promedio, Colombia ha renegociado cada contrato de concesión alrededor de dos veces al año en comparación con Perú que renegoció en promedio una vez al año cada contrato y Chile que renegoció en promedio 0,2 veces al año cada contrato de concesión (OECD, 2013b) (Ver gráfico N</w:t>
      </w:r>
      <w:r w:rsidR="00812766">
        <w:rPr>
          <w:rFonts w:ascii="Arial Narrow" w:hAnsi="Arial Narrow"/>
          <w:szCs w:val="22"/>
          <w:lang w:val="es-CO"/>
        </w:rPr>
        <w:t>° 2).</w:t>
      </w:r>
    </w:p>
    <w:p w:rsidR="00A15BF5" w:rsidRPr="004D6B5F" w:rsidRDefault="00A15BF5" w:rsidP="00A15BF5">
      <w:pPr>
        <w:jc w:val="center"/>
        <w:rPr>
          <w:rFonts w:ascii="Arial Narrow" w:hAnsi="Arial Narrow"/>
          <w:b/>
          <w:sz w:val="20"/>
          <w:szCs w:val="20"/>
          <w:lang w:val="es-CO"/>
        </w:rPr>
      </w:pPr>
      <w:r w:rsidRPr="004D6B5F">
        <w:rPr>
          <w:rFonts w:ascii="Arial Narrow" w:hAnsi="Arial Narrow"/>
          <w:b/>
          <w:sz w:val="20"/>
          <w:szCs w:val="20"/>
          <w:lang w:val="es-CO"/>
        </w:rPr>
        <w:t>Gráfico No. 2</w:t>
      </w:r>
    </w:p>
    <w:p w:rsidR="00A15BF5" w:rsidRPr="004D6B5F" w:rsidRDefault="00A15BF5" w:rsidP="00A15BF5">
      <w:pPr>
        <w:jc w:val="center"/>
        <w:rPr>
          <w:rFonts w:ascii="Arial Narrow" w:hAnsi="Arial Narrow"/>
          <w:b/>
          <w:sz w:val="20"/>
          <w:szCs w:val="20"/>
          <w:lang w:val="es-CO"/>
        </w:rPr>
      </w:pPr>
      <w:r w:rsidRPr="004D6B5F">
        <w:rPr>
          <w:rFonts w:ascii="Arial Narrow" w:hAnsi="Arial Narrow"/>
          <w:b/>
          <w:sz w:val="20"/>
          <w:szCs w:val="20"/>
          <w:lang w:val="es-CO"/>
        </w:rPr>
        <w:t>Número de Renegociaciones por Concesión al Año en Cada País</w:t>
      </w:r>
    </w:p>
    <w:p w:rsidR="00A15BF5" w:rsidRPr="004D6B5F" w:rsidRDefault="00796D6C" w:rsidP="00A15BF5">
      <w:pPr>
        <w:autoSpaceDE w:val="0"/>
        <w:autoSpaceDN w:val="0"/>
        <w:adjustRightInd w:val="0"/>
        <w:rPr>
          <w:rFonts w:ascii="Arial Narrow" w:hAnsi="Arial Narrow"/>
          <w:lang w:val="es-CO"/>
        </w:rPr>
      </w:pPr>
      <w:r w:rsidRPr="004D6B5F">
        <w:rPr>
          <w:rFonts w:ascii="Arial Narrow" w:hAnsi="Arial Narrow"/>
          <w:noProof/>
          <w:lang w:val="es-CO" w:eastAsia="es-CO"/>
        </w:rPr>
        <w:drawing>
          <wp:inline distT="0" distB="0" distL="0" distR="0" wp14:anchorId="646B5D62" wp14:editId="05EA58D0">
            <wp:extent cx="5614670" cy="1892935"/>
            <wp:effectExtent l="0" t="0" r="5080" b="12065"/>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5BF5" w:rsidRPr="004D6B5F" w:rsidRDefault="00A15BF5" w:rsidP="00A15BF5">
      <w:pPr>
        <w:tabs>
          <w:tab w:val="left" w:pos="3285"/>
        </w:tabs>
        <w:rPr>
          <w:rFonts w:ascii="Arial Narrow" w:hAnsi="Arial Narrow"/>
          <w:sz w:val="18"/>
          <w:szCs w:val="18"/>
          <w:lang w:val="es-CO"/>
        </w:rPr>
      </w:pPr>
      <w:r w:rsidRPr="004D6B5F">
        <w:rPr>
          <w:rFonts w:ascii="Arial Narrow" w:hAnsi="Arial Narrow"/>
          <w:sz w:val="18"/>
          <w:szCs w:val="18"/>
          <w:lang w:val="en-US"/>
        </w:rPr>
        <w:t xml:space="preserve">Fuente: OEDC. “Opening The Black Box Of Contract Renegotiations: An Analysis Of Road Concessions In Chile, Colombia And Peru”. </w:t>
      </w:r>
      <w:r w:rsidRPr="004D6B5F">
        <w:rPr>
          <w:rFonts w:ascii="Arial Narrow" w:hAnsi="Arial Narrow"/>
          <w:sz w:val="18"/>
          <w:szCs w:val="18"/>
          <w:lang w:val="es-CO"/>
        </w:rPr>
        <w:t>2013</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Las renegociaciones y en especial, el uso de vigencias futuras para pagar los costos asociados a la adición de obras se convirtió en un mecanismo sistémico entre 2008 y 2010. En ese periodo, 10 renegociaciones tuvieron un costo más alto que el valor inicial del contrato de concesión (OECD, 2013b). En ese sentido, la renegociación se convirtió en un instrumento para añadir nuevos tramos y obras complementarias a los proyectos con un costo mucho más alto que el valor inicial del proyecto y permitiendo obtener mayores retornos a los concesionarios que los inicialmente pactados (OECD, 2013b; PPIAF, 2011). Como consecuencia de las renegociaciones, en 2010 la mayor parte de los contratos de concesión padecían de una gran cantidad obras que no habían sido ejecutadas en las cond</w:t>
      </w:r>
      <w:r w:rsidR="004C4014">
        <w:rPr>
          <w:rFonts w:ascii="Arial Narrow" w:hAnsi="Arial Narrow"/>
          <w:szCs w:val="22"/>
          <w:lang w:val="es-CO"/>
        </w:rPr>
        <w:t>iciones pactadas (PPIAF, 2011).</w:t>
      </w:r>
    </w:p>
    <w:p w:rsidR="00A15BF5" w:rsidRPr="004D6B5F" w:rsidRDefault="00A15BF5" w:rsidP="001A410D">
      <w:pPr>
        <w:tabs>
          <w:tab w:val="left" w:pos="3285"/>
        </w:tabs>
        <w:spacing w:before="120" w:after="120" w:line="276" w:lineRule="auto"/>
        <w:rPr>
          <w:rFonts w:ascii="Arial Narrow" w:hAnsi="Arial Narrow"/>
          <w:b/>
          <w:i/>
          <w:szCs w:val="22"/>
          <w:lang w:val="es-CO"/>
        </w:rPr>
      </w:pPr>
    </w:p>
    <w:p w:rsidR="00A15BF5" w:rsidRPr="004D6B5F" w:rsidRDefault="00A15BF5" w:rsidP="001A410D">
      <w:pPr>
        <w:pStyle w:val="Ttulo3"/>
        <w:numPr>
          <w:ilvl w:val="4"/>
          <w:numId w:val="2"/>
        </w:numPr>
        <w:rPr>
          <w:rFonts w:ascii="Arial Narrow" w:hAnsi="Arial Narrow"/>
        </w:rPr>
      </w:pPr>
      <w:bookmarkStart w:id="7" w:name="_Toc410922132"/>
      <w:r w:rsidRPr="004D6B5F">
        <w:rPr>
          <w:rFonts w:ascii="Arial Narrow" w:hAnsi="Arial Narrow"/>
        </w:rPr>
        <w:t>Ausencia de un Marco Normativo para APP</w:t>
      </w:r>
      <w:bookmarkEnd w:id="7"/>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En 2010, el marco normativo de Colombia para la contratación y ejecución de Asociaciones Público-Privadas (APP) se basaba exclusivamente en las leyes y prácticas del derecho administrativo público y no contemplaba las particularidades para la vinculación de capital privado en la provisión de bienes públicos y servicios conexos. Además, existía una gran dispersión de leyes y decretos que regulan la relación entre el sector público y privado en los contratos de concesión. A pesar de los esfuerzos del Legislador y el Gobierno Nacional por atraer capital privado a través de la ley 80 de 1993</w:t>
      </w:r>
      <w:r w:rsidR="008B78D4">
        <w:rPr>
          <w:rFonts w:ascii="Arial Narrow" w:hAnsi="Arial Narrow"/>
          <w:szCs w:val="22"/>
          <w:lang w:val="es-CO"/>
        </w:rPr>
        <w:t>, la Ley 105 de 1993</w:t>
      </w:r>
      <w:r w:rsidRPr="004D6B5F">
        <w:rPr>
          <w:rFonts w:ascii="Arial Narrow" w:hAnsi="Arial Narrow"/>
          <w:szCs w:val="22"/>
          <w:lang w:val="es-CO"/>
        </w:rPr>
        <w:t xml:space="preserve"> y el decreto 4533 de 2008, la figura jurídica </w:t>
      </w:r>
      <w:r w:rsidR="008B78D4">
        <w:rPr>
          <w:rFonts w:ascii="Arial Narrow" w:hAnsi="Arial Narrow"/>
          <w:szCs w:val="22"/>
          <w:lang w:val="es-CO"/>
        </w:rPr>
        <w:t xml:space="preserve">aún </w:t>
      </w:r>
      <w:r w:rsidRPr="004D6B5F">
        <w:rPr>
          <w:rFonts w:ascii="Arial Narrow" w:hAnsi="Arial Narrow"/>
          <w:szCs w:val="22"/>
          <w:lang w:val="es-CO"/>
        </w:rPr>
        <w:t>no</w:t>
      </w:r>
      <w:r w:rsidR="008B78D4">
        <w:rPr>
          <w:rFonts w:ascii="Arial Narrow" w:hAnsi="Arial Narrow"/>
          <w:szCs w:val="22"/>
          <w:lang w:val="es-CO"/>
        </w:rPr>
        <w:t xml:space="preserve"> lograba el objetivo propuesto.</w:t>
      </w:r>
    </w:p>
    <w:p w:rsidR="00A15BF5" w:rsidRPr="004D6B5F" w:rsidRDefault="00A15BF5" w:rsidP="001A410D">
      <w:pPr>
        <w:spacing w:before="120" w:after="120" w:line="276" w:lineRule="auto"/>
        <w:rPr>
          <w:rFonts w:ascii="Arial Narrow" w:hAnsi="Arial Narrow"/>
          <w:szCs w:val="22"/>
          <w:lang w:val="es-CO"/>
        </w:rPr>
      </w:pPr>
    </w:p>
    <w:p w:rsidR="00A15BF5" w:rsidRDefault="00A15BF5" w:rsidP="001A410D">
      <w:pPr>
        <w:pStyle w:val="Ttulo3"/>
        <w:numPr>
          <w:ilvl w:val="3"/>
          <w:numId w:val="2"/>
        </w:numPr>
        <w:rPr>
          <w:rFonts w:ascii="Arial Narrow" w:hAnsi="Arial Narrow"/>
        </w:rPr>
      </w:pPr>
      <w:bookmarkStart w:id="8" w:name="_Toc410922133"/>
      <w:r w:rsidRPr="001A410D">
        <w:rPr>
          <w:rFonts w:ascii="Arial Narrow" w:hAnsi="Arial Narrow"/>
        </w:rPr>
        <w:t>Problemas Organizacionales-Operacionales</w:t>
      </w:r>
      <w:bookmarkEnd w:id="8"/>
    </w:p>
    <w:p w:rsidR="00812766" w:rsidRPr="00812766" w:rsidRDefault="00812766" w:rsidP="00812766">
      <w:pPr>
        <w:spacing w:before="120" w:after="120" w:line="276" w:lineRule="auto"/>
        <w:rPr>
          <w:rFonts w:ascii="Arial Narrow" w:hAnsi="Arial Narrow"/>
          <w:szCs w:val="22"/>
          <w:lang w:val="es-CO"/>
        </w:rPr>
      </w:pPr>
    </w:p>
    <w:p w:rsidR="00A15BF5" w:rsidRPr="004D6B5F" w:rsidRDefault="00A15BF5" w:rsidP="001A410D">
      <w:pPr>
        <w:pStyle w:val="Ttulo3"/>
        <w:numPr>
          <w:ilvl w:val="4"/>
          <w:numId w:val="2"/>
        </w:numPr>
        <w:rPr>
          <w:rFonts w:ascii="Arial Narrow" w:hAnsi="Arial Narrow"/>
        </w:rPr>
      </w:pPr>
      <w:bookmarkStart w:id="9" w:name="_Toc410922134"/>
      <w:r w:rsidRPr="004D6B5F">
        <w:rPr>
          <w:rFonts w:ascii="Arial Narrow" w:hAnsi="Arial Narrow"/>
        </w:rPr>
        <w:t>Problemas Organizacionales</w:t>
      </w:r>
      <w:bookmarkEnd w:id="9"/>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Entre las principales problemáticas que enfrentaba el INCO se encuentran: a) La </w:t>
      </w:r>
      <w:r w:rsidR="000F553C" w:rsidRPr="004D6B5F">
        <w:rPr>
          <w:rFonts w:ascii="Arial Narrow" w:hAnsi="Arial Narrow"/>
          <w:szCs w:val="22"/>
          <w:lang w:val="es-CO"/>
        </w:rPr>
        <w:t>carencia</w:t>
      </w:r>
      <w:r w:rsidRPr="004D6B5F">
        <w:rPr>
          <w:rFonts w:ascii="Arial Narrow" w:hAnsi="Arial Narrow"/>
          <w:szCs w:val="22"/>
          <w:lang w:val="es-CO"/>
        </w:rPr>
        <w:t xml:space="preserve"> de capital humano, tanto en número de personal como de perfiles de profesionales para el desarrollo de las funciones de la entidad. b) No contaba con una estructura organizacional acorde con las múltiples funciones que cumplía la entidad y con las buenas practicas gubernamentales. c) La entidad experimentaba falta de rigurosidad técnica-económica y realizaba estudios técnicos, financieros y legales deficientes para la estructuración y adjudicación de proyectos. d) La institución padecía de falta de coordinación y articulación sectorial.</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A15BF5" w:rsidP="001A410D">
      <w:pPr>
        <w:pStyle w:val="Ttulo3"/>
        <w:numPr>
          <w:ilvl w:val="4"/>
          <w:numId w:val="2"/>
        </w:numPr>
        <w:rPr>
          <w:rFonts w:ascii="Arial Narrow" w:hAnsi="Arial Narrow"/>
        </w:rPr>
      </w:pPr>
      <w:bookmarkStart w:id="10" w:name="_Toc410922135"/>
      <w:r w:rsidRPr="004D6B5F">
        <w:rPr>
          <w:rFonts w:ascii="Arial Narrow" w:hAnsi="Arial Narrow"/>
        </w:rPr>
        <w:t>Problemas de Gestión Contractual</w:t>
      </w:r>
      <w:bookmarkEnd w:id="10"/>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Las dificultades estructurales y organizacionales durante años fueron originadoras de problemáticas relacionadas con el seguimiento, ejecución y cumplimiento de las condiciones contractuales de los proyectos. Entre las principales problemáticas que soportaba la entidad, se encuentran:</w:t>
      </w:r>
    </w:p>
    <w:p w:rsidR="00A15BF5" w:rsidRPr="008A7F14" w:rsidRDefault="00A15BF5" w:rsidP="0015782B">
      <w:pPr>
        <w:pStyle w:val="Listavistosa-nfasis12"/>
        <w:numPr>
          <w:ilvl w:val="0"/>
          <w:numId w:val="4"/>
        </w:numPr>
        <w:spacing w:after="160" w:line="259" w:lineRule="auto"/>
        <w:jc w:val="both"/>
        <w:rPr>
          <w:rFonts w:ascii="Arial Narrow" w:hAnsi="Arial Narrow"/>
          <w:lang w:val="es-CO"/>
        </w:rPr>
      </w:pPr>
      <w:r w:rsidRPr="004D6B5F">
        <w:rPr>
          <w:rFonts w:ascii="Arial Narrow" w:hAnsi="Arial Narrow"/>
          <w:lang w:val="es-CO"/>
        </w:rPr>
        <w:t xml:space="preserve">Falta de </w:t>
      </w:r>
      <w:r w:rsidRPr="008A7F14">
        <w:rPr>
          <w:rFonts w:ascii="Arial Narrow" w:hAnsi="Arial Narrow"/>
          <w:lang w:val="es-CO"/>
        </w:rPr>
        <w:t>herramientas tecnológicas y de seguimiento.</w:t>
      </w:r>
    </w:p>
    <w:p w:rsidR="00A15BF5" w:rsidRPr="008A7F14" w:rsidRDefault="00A15BF5" w:rsidP="0015782B">
      <w:pPr>
        <w:pStyle w:val="Listavistosa-nfasis12"/>
        <w:numPr>
          <w:ilvl w:val="0"/>
          <w:numId w:val="4"/>
        </w:numPr>
        <w:spacing w:after="160" w:line="259" w:lineRule="auto"/>
        <w:jc w:val="both"/>
        <w:rPr>
          <w:rFonts w:ascii="Arial Narrow" w:hAnsi="Arial Narrow"/>
          <w:lang w:val="es-CO"/>
        </w:rPr>
      </w:pPr>
      <w:r w:rsidRPr="008A7F14">
        <w:rPr>
          <w:rFonts w:ascii="Arial Narrow" w:hAnsi="Arial Narrow"/>
          <w:lang w:val="es-CO"/>
        </w:rPr>
        <w:t>Ausencia de equipos interdisciplinarios para el seguimiento a los proyectos.</w:t>
      </w:r>
    </w:p>
    <w:p w:rsidR="00A15BF5" w:rsidRPr="008A7F14" w:rsidRDefault="00A15BF5" w:rsidP="0015782B">
      <w:pPr>
        <w:pStyle w:val="Listavistosa-nfasis12"/>
        <w:numPr>
          <w:ilvl w:val="0"/>
          <w:numId w:val="4"/>
        </w:numPr>
        <w:spacing w:after="160" w:line="259" w:lineRule="auto"/>
        <w:jc w:val="both"/>
        <w:rPr>
          <w:rFonts w:ascii="Arial Narrow" w:hAnsi="Arial Narrow"/>
          <w:lang w:val="es-CO"/>
        </w:rPr>
      </w:pPr>
      <w:r w:rsidRPr="008A7F14">
        <w:rPr>
          <w:rFonts w:ascii="Arial Narrow" w:hAnsi="Arial Narrow"/>
          <w:lang w:val="es-CO"/>
        </w:rPr>
        <w:t>Una gran cantidad de pasivos sin gestionar y pagar a favor de los concesionarios.</w:t>
      </w:r>
    </w:p>
    <w:p w:rsidR="00A15BF5" w:rsidRPr="008A7F14" w:rsidRDefault="00A15BF5" w:rsidP="0015782B">
      <w:pPr>
        <w:pStyle w:val="Listavistosa-nfasis12"/>
        <w:numPr>
          <w:ilvl w:val="0"/>
          <w:numId w:val="4"/>
        </w:numPr>
        <w:spacing w:after="160" w:line="259" w:lineRule="auto"/>
        <w:jc w:val="both"/>
        <w:rPr>
          <w:rFonts w:ascii="Arial Narrow" w:hAnsi="Arial Narrow"/>
          <w:lang w:val="es-CO"/>
        </w:rPr>
      </w:pPr>
      <w:r w:rsidRPr="008A7F14">
        <w:rPr>
          <w:rFonts w:ascii="Arial Narrow" w:hAnsi="Arial Narrow"/>
          <w:lang w:val="es-CO"/>
        </w:rPr>
        <w:t xml:space="preserve">Contratos con serios problemas de seguimiento, incumplimiento de condiciones contractuales y lenta ejecución de obras. </w:t>
      </w:r>
    </w:p>
    <w:p w:rsidR="00A15BF5" w:rsidRPr="008A7F14" w:rsidRDefault="00A15BF5" w:rsidP="0015782B">
      <w:pPr>
        <w:pStyle w:val="Listavistosa-nfasis12"/>
        <w:numPr>
          <w:ilvl w:val="0"/>
          <w:numId w:val="4"/>
        </w:numPr>
        <w:spacing w:after="160" w:line="259" w:lineRule="auto"/>
        <w:jc w:val="both"/>
        <w:rPr>
          <w:rFonts w:ascii="Arial Narrow" w:hAnsi="Arial Narrow"/>
          <w:lang w:val="es-CO"/>
        </w:rPr>
      </w:pPr>
      <w:r w:rsidRPr="008A7F14">
        <w:rPr>
          <w:rFonts w:ascii="Arial Narrow" w:hAnsi="Arial Narrow"/>
          <w:lang w:val="es-CO"/>
        </w:rPr>
        <w:t>Problemas en la gestión jurídica y la defensa judicial.</w:t>
      </w:r>
    </w:p>
    <w:p w:rsidR="00A15BF5" w:rsidRPr="008A7F14" w:rsidRDefault="00A15BF5" w:rsidP="0015782B">
      <w:pPr>
        <w:pStyle w:val="Listavistosa-nfasis12"/>
        <w:numPr>
          <w:ilvl w:val="0"/>
          <w:numId w:val="4"/>
        </w:numPr>
        <w:spacing w:after="160" w:line="259" w:lineRule="auto"/>
        <w:jc w:val="both"/>
        <w:rPr>
          <w:rFonts w:ascii="Arial Narrow" w:hAnsi="Arial Narrow"/>
          <w:lang w:val="es-CO"/>
        </w:rPr>
      </w:pPr>
      <w:r w:rsidRPr="008A7F14">
        <w:rPr>
          <w:rFonts w:ascii="Arial Narrow" w:hAnsi="Arial Narrow"/>
          <w:lang w:val="es-CO"/>
        </w:rPr>
        <w:t>Proyectos sin interventoría.</w:t>
      </w:r>
    </w:p>
    <w:p w:rsidR="00A15BF5" w:rsidRPr="004D6B5F" w:rsidRDefault="00A15BF5" w:rsidP="001A410D">
      <w:pPr>
        <w:spacing w:before="120" w:after="120" w:line="276" w:lineRule="auto"/>
        <w:rPr>
          <w:rFonts w:ascii="Arial Narrow" w:hAnsi="Arial Narrow"/>
          <w:szCs w:val="22"/>
        </w:rPr>
      </w:pPr>
    </w:p>
    <w:p w:rsidR="00A15BF5" w:rsidRPr="004D6B5F" w:rsidRDefault="00A15BF5" w:rsidP="004D6B5F">
      <w:pPr>
        <w:pStyle w:val="Ttulo3"/>
        <w:rPr>
          <w:rFonts w:ascii="Arial Narrow" w:hAnsi="Arial Narrow"/>
        </w:rPr>
      </w:pPr>
      <w:bookmarkStart w:id="11" w:name="_Toc410922136"/>
      <w:r w:rsidRPr="004D6B5F">
        <w:rPr>
          <w:rFonts w:ascii="Arial Narrow" w:hAnsi="Arial Narrow"/>
        </w:rPr>
        <w:t>Ola Invernal</w:t>
      </w:r>
      <w:bookmarkEnd w:id="11"/>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Como resultado de una variación atípica del Fenómeno de la Niña, en amplias zonas de Colombia entre septiembre de 2010 y marzo de 2011 se presentaron precipitaciones continuas y muy superiores a las históricamente observadas que tuvieron como consecuencia inundaciones, avalanchas, vendavales y deslizamientos en forma extensa y prolongada en el territorio nacional (BID-CEPAL, 2011). La Ola Invernal 2010-2011 afecto directamente al 7% de los hogares de la población nacional, tuvo efectos desfavorables sobre el sector agropecuario, generó daños en los activos físicos de la Nación afectando el stock de capital y redujo la producción de la economía en 0,12% del PIB (BID-CEPAL, 2011).</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La red vial concesionada se vio afectada principalmente en las siguientes vías: Cúcuta – Pamplona; Zipaquirá – Palenque en el sector El Teherán; la carretera Troncal Sector Gambote, margen Cartagena; la Autopista Bogotá – Medellín, Corredor Armenia, Pereira – Manizales, la vía Bogotá – Villeta, la vía San Marcos – Majagual – Achí y en 116 puntos críticos indispensables para la adaptación al cambio climático. De igual forma, la red férrea concesionada se vía afectada en los tramos la Dorada – Chiriguaná, </w:t>
      </w:r>
      <w:r w:rsidR="00812766" w:rsidRPr="004D6B5F">
        <w:rPr>
          <w:rFonts w:ascii="Arial Narrow" w:hAnsi="Arial Narrow"/>
          <w:szCs w:val="22"/>
          <w:lang w:val="es-CO"/>
        </w:rPr>
        <w:t>Bogotá</w:t>
      </w:r>
      <w:r w:rsidRPr="004D6B5F">
        <w:rPr>
          <w:rFonts w:ascii="Arial Narrow" w:hAnsi="Arial Narrow"/>
          <w:szCs w:val="22"/>
          <w:lang w:val="es-CO"/>
        </w:rPr>
        <w:t xml:space="preserve"> – Belencito, Cali – Cartago y Cartago – La Tebaida.</w:t>
      </w:r>
    </w:p>
    <w:p w:rsidR="00A15BF5" w:rsidRPr="004D6B5F" w:rsidRDefault="00A15BF5" w:rsidP="001A410D">
      <w:pPr>
        <w:spacing w:before="120" w:after="120" w:line="276" w:lineRule="auto"/>
        <w:rPr>
          <w:rFonts w:ascii="Arial Narrow" w:hAnsi="Arial Narrow"/>
          <w:noProof/>
          <w:szCs w:val="22"/>
        </w:rPr>
      </w:pPr>
    </w:p>
    <w:p w:rsidR="00A15BF5" w:rsidRPr="001A410D" w:rsidRDefault="00A15BF5" w:rsidP="004D6B5F">
      <w:pPr>
        <w:pStyle w:val="Ttulo2"/>
        <w:rPr>
          <w:rFonts w:ascii="Arial Narrow" w:hAnsi="Arial Narrow"/>
          <w:i w:val="0"/>
        </w:rPr>
      </w:pPr>
      <w:bookmarkStart w:id="12" w:name="_Toc410922137"/>
      <w:r w:rsidRPr="001A410D">
        <w:rPr>
          <w:rFonts w:ascii="Arial Narrow" w:hAnsi="Arial Narrow"/>
          <w:i w:val="0"/>
        </w:rPr>
        <w:t>LA ESTRATEGIA: LÍNEAS DE ACCIÓN</w:t>
      </w:r>
      <w:bookmarkEnd w:id="12"/>
      <w:r w:rsidRPr="001A410D">
        <w:rPr>
          <w:rFonts w:ascii="Arial Narrow" w:hAnsi="Arial Narrow"/>
          <w:i w:val="0"/>
        </w:rPr>
        <w:t xml:space="preserve"> </w:t>
      </w:r>
    </w:p>
    <w:p w:rsidR="001A410D" w:rsidRDefault="001A410D" w:rsidP="001A410D">
      <w:pPr>
        <w:spacing w:before="120" w:after="120" w:line="276" w:lineRule="auto"/>
        <w:rPr>
          <w:rFonts w:ascii="Arial Narrow" w:hAnsi="Arial Narrow"/>
          <w:szCs w:val="22"/>
          <w:lang w:val="es-CO"/>
        </w:rPr>
      </w:pP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El Gobierno Nacional y el Sector Transporte se propusieron una estrategia para enfrentar los grandes retos propios del desarrollo de infraestructura de transporte a través del esquema de Asociación P</w:t>
      </w:r>
      <w:r w:rsidR="00D02E99">
        <w:rPr>
          <w:rFonts w:ascii="Arial Narrow" w:hAnsi="Arial Narrow"/>
          <w:szCs w:val="22"/>
          <w:lang w:val="es-CO"/>
        </w:rPr>
        <w:t>ú</w:t>
      </w:r>
      <w:r w:rsidRPr="004D6B5F">
        <w:rPr>
          <w:rFonts w:ascii="Arial Narrow" w:hAnsi="Arial Narrow"/>
          <w:szCs w:val="22"/>
          <w:lang w:val="es-CO"/>
        </w:rPr>
        <w:t>blico Privada, para lo cual se fijaron cuatr</w:t>
      </w:r>
      <w:r w:rsidR="00D02E99">
        <w:rPr>
          <w:rFonts w:ascii="Arial Narrow" w:hAnsi="Arial Narrow"/>
          <w:szCs w:val="22"/>
          <w:lang w:val="es-CO"/>
        </w:rPr>
        <w:t>o principales líneas de acción:</w:t>
      </w:r>
    </w:p>
    <w:p w:rsidR="00A15BF5" w:rsidRPr="004D6B5F" w:rsidRDefault="00A15BF5" w:rsidP="0015782B">
      <w:pPr>
        <w:pStyle w:val="Listavistosa-nfasis12"/>
        <w:numPr>
          <w:ilvl w:val="0"/>
          <w:numId w:val="15"/>
        </w:numPr>
        <w:spacing w:after="160" w:line="259" w:lineRule="auto"/>
        <w:jc w:val="both"/>
        <w:rPr>
          <w:rFonts w:ascii="Arial Narrow" w:hAnsi="Arial Narrow"/>
          <w:lang w:val="es-CO"/>
        </w:rPr>
      </w:pPr>
      <w:r w:rsidRPr="004D6B5F">
        <w:rPr>
          <w:rFonts w:ascii="Arial Narrow" w:hAnsi="Arial Narrow"/>
          <w:lang w:val="es-CO"/>
        </w:rPr>
        <w:t>Generar normatividad e instituciones para sostenibilidad de soluciones;</w:t>
      </w:r>
    </w:p>
    <w:p w:rsidR="00A15BF5" w:rsidRPr="004D6B5F" w:rsidRDefault="00A15BF5" w:rsidP="0015782B">
      <w:pPr>
        <w:pStyle w:val="Listavistosa-nfasis12"/>
        <w:numPr>
          <w:ilvl w:val="0"/>
          <w:numId w:val="15"/>
        </w:numPr>
        <w:spacing w:after="160" w:line="259" w:lineRule="auto"/>
        <w:jc w:val="both"/>
        <w:rPr>
          <w:rFonts w:ascii="Arial Narrow" w:hAnsi="Arial Narrow"/>
          <w:lang w:val="es-MX"/>
        </w:rPr>
      </w:pPr>
      <w:r w:rsidRPr="004D6B5F">
        <w:rPr>
          <w:rFonts w:ascii="Arial Narrow" w:hAnsi="Arial Narrow"/>
          <w:lang w:val="es-MX"/>
        </w:rPr>
        <w:t>Regularizar y acelerar contratos existentes;</w:t>
      </w:r>
    </w:p>
    <w:p w:rsidR="00A15BF5" w:rsidRPr="004D6B5F" w:rsidRDefault="00A15BF5" w:rsidP="0015782B">
      <w:pPr>
        <w:pStyle w:val="Listavistosa-nfasis12"/>
        <w:numPr>
          <w:ilvl w:val="0"/>
          <w:numId w:val="15"/>
        </w:numPr>
        <w:spacing w:after="160" w:line="259" w:lineRule="auto"/>
        <w:jc w:val="both"/>
        <w:rPr>
          <w:rFonts w:ascii="Arial Narrow" w:hAnsi="Arial Narrow"/>
          <w:lang w:val="es-MX"/>
        </w:rPr>
      </w:pPr>
      <w:r w:rsidRPr="004D6B5F">
        <w:rPr>
          <w:rFonts w:ascii="Arial Narrow" w:hAnsi="Arial Narrow"/>
          <w:lang w:val="es-MX"/>
        </w:rPr>
        <w:t>Atender los efectos de la ola invernal;</w:t>
      </w:r>
    </w:p>
    <w:p w:rsidR="00A15BF5" w:rsidRPr="004D6B5F" w:rsidRDefault="00A15BF5" w:rsidP="0015782B">
      <w:pPr>
        <w:pStyle w:val="Listavistosa-nfasis12"/>
        <w:numPr>
          <w:ilvl w:val="0"/>
          <w:numId w:val="15"/>
        </w:numPr>
        <w:spacing w:after="160" w:line="259" w:lineRule="auto"/>
        <w:jc w:val="both"/>
        <w:rPr>
          <w:rFonts w:ascii="Arial Narrow" w:hAnsi="Arial Narrow"/>
        </w:rPr>
      </w:pPr>
      <w:r w:rsidRPr="004D6B5F">
        <w:rPr>
          <w:rFonts w:ascii="Arial Narrow" w:hAnsi="Arial Narrow"/>
        </w:rPr>
        <w:t>Estructurar los proyectos para cerrar la brecha.</w:t>
      </w:r>
    </w:p>
    <w:p w:rsidR="00A15BF5" w:rsidRPr="004D6B5F" w:rsidRDefault="00A15BF5" w:rsidP="001A410D">
      <w:pPr>
        <w:tabs>
          <w:tab w:val="left" w:pos="3285"/>
        </w:tabs>
        <w:spacing w:before="120" w:after="120" w:line="276" w:lineRule="auto"/>
        <w:rPr>
          <w:rFonts w:ascii="Arial Narrow" w:hAnsi="Arial Narrow"/>
          <w:szCs w:val="22"/>
        </w:rPr>
      </w:pPr>
      <w:r w:rsidRPr="004D6B5F">
        <w:rPr>
          <w:rFonts w:ascii="Arial Narrow" w:hAnsi="Arial Narrow"/>
          <w:szCs w:val="22"/>
        </w:rPr>
        <w:t>A continuación se expone la estrategia de acuerdo a cada una de las líneas de acción.</w:t>
      </w:r>
    </w:p>
    <w:p w:rsidR="00A15BF5" w:rsidRPr="004D6B5F" w:rsidRDefault="00A15BF5" w:rsidP="001A410D">
      <w:pPr>
        <w:tabs>
          <w:tab w:val="left" w:pos="3285"/>
        </w:tabs>
        <w:spacing w:before="120" w:after="120" w:line="276" w:lineRule="auto"/>
        <w:rPr>
          <w:rFonts w:ascii="Arial Narrow" w:hAnsi="Arial Narrow"/>
          <w:szCs w:val="22"/>
        </w:rPr>
      </w:pPr>
    </w:p>
    <w:p w:rsidR="00A15BF5" w:rsidRPr="004D6B5F" w:rsidRDefault="00A15BF5" w:rsidP="004D6B5F">
      <w:pPr>
        <w:pStyle w:val="Ttulo3"/>
        <w:rPr>
          <w:rFonts w:ascii="Arial Narrow" w:hAnsi="Arial Narrow"/>
        </w:rPr>
      </w:pPr>
      <w:bookmarkStart w:id="13" w:name="_Toc410922138"/>
      <w:r w:rsidRPr="004D6B5F">
        <w:rPr>
          <w:rFonts w:ascii="Arial Narrow" w:hAnsi="Arial Narrow"/>
        </w:rPr>
        <w:t>Generar Normatividad e Instituciones para Sostenibilidad de Soluciones</w:t>
      </w:r>
      <w:bookmarkEnd w:id="13"/>
    </w:p>
    <w:p w:rsidR="00A15BF5" w:rsidRPr="004D6B5F" w:rsidRDefault="00A15BF5" w:rsidP="00A15BF5">
      <w:pPr>
        <w:tabs>
          <w:tab w:val="left" w:pos="3285"/>
        </w:tabs>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14" w:name="_Toc410922139"/>
      <w:r w:rsidRPr="004D6B5F">
        <w:rPr>
          <w:rFonts w:ascii="Arial Narrow" w:hAnsi="Arial Narrow"/>
        </w:rPr>
        <w:t>Plan Nacional de Desarrollo 2010-2014</w:t>
      </w:r>
      <w:bookmarkEnd w:id="14"/>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El Plan Nacional de Desarrollo 2010-2014 “</w:t>
      </w:r>
      <w:r w:rsidRPr="004D6B5F">
        <w:rPr>
          <w:rFonts w:ascii="Arial Narrow" w:hAnsi="Arial Narrow"/>
          <w:i/>
          <w:szCs w:val="22"/>
          <w:lang w:val="es-CO"/>
        </w:rPr>
        <w:t>Prosperidad para Todos</w:t>
      </w:r>
      <w:r w:rsidRPr="004D6B5F">
        <w:rPr>
          <w:rFonts w:ascii="Arial Narrow" w:hAnsi="Arial Narrow"/>
          <w:szCs w:val="22"/>
          <w:lang w:val="es-CO"/>
        </w:rPr>
        <w:t>” buscó consolidar el Sector Transporte como una de las locomotoras de impulso al desarrollo del país sobre la base de una concepción gerencial, el carácter intermodal y de facilitación logística, el desarrollo sostenible, la transparencia en el manejo de recursos públicos y los principios del Buen Gobierno. Entre los criterios establecidos para el sector se encuentra: (1) realizar mejores estudios y diseños que contemplen las variables de riesgo, nuevos esquemas de financiación y garanticen la calidad técnica, (2) orientar la gestión contractual a los resultados, (3) diseñar políticas regulatorias que promuevan servicios de transporte y logística en condiciones de libertad de acceso, calidad y seguridad, y (4) fortalecer la defensa del Estado (PND, 2010). Entre los objetivos propuestos para el sector transporte se encuentran:</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Fortalecer institucionalmente el sector transporte.</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Adoptar una política y regulación de servicios de transporte.</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Ampliar y mejorar la infraestructura para la competitividad y la integración regional.</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Mejorar las condiciones de accesibilidad e intermodalidad.</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Consolidar nodos de transferencia y mejorar la gestión aérea y portuaria.</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Establecer una estrategia sectorial para la atención de la Ola Invernal y la adaptación al cambio climático.</w:t>
      </w:r>
    </w:p>
    <w:p w:rsidR="00A15BF5" w:rsidRPr="008A7F14" w:rsidRDefault="00A15BF5" w:rsidP="0015782B">
      <w:pPr>
        <w:pStyle w:val="Listavistosa-nfasis12"/>
        <w:numPr>
          <w:ilvl w:val="0"/>
          <w:numId w:val="16"/>
        </w:numPr>
        <w:spacing w:after="160" w:line="259" w:lineRule="auto"/>
        <w:jc w:val="both"/>
        <w:rPr>
          <w:rFonts w:ascii="Arial Narrow" w:hAnsi="Arial Narrow"/>
          <w:lang w:val="es-CO"/>
        </w:rPr>
      </w:pPr>
      <w:r w:rsidRPr="008A7F14">
        <w:rPr>
          <w:rFonts w:ascii="Arial Narrow" w:hAnsi="Arial Narrow"/>
          <w:lang w:val="es-CO"/>
        </w:rPr>
        <w:t>Promover mecanismos alternativos de financiación de infraestructura.</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15" w:name="_Toc410922140"/>
      <w:r w:rsidRPr="004D6B5F">
        <w:rPr>
          <w:rFonts w:ascii="Arial Narrow" w:hAnsi="Arial Narrow"/>
        </w:rPr>
        <w:t>Ley de Asociaciones Público Privadas (APP)</w:t>
      </w:r>
      <w:bookmarkEnd w:id="15"/>
    </w:p>
    <w:p w:rsidR="00A15BF5" w:rsidRPr="004D6B5F" w:rsidRDefault="000175EE" w:rsidP="001A410D">
      <w:pPr>
        <w:spacing w:before="120" w:after="120" w:line="276" w:lineRule="auto"/>
        <w:rPr>
          <w:rFonts w:ascii="Arial Narrow" w:hAnsi="Arial Narrow"/>
          <w:szCs w:val="22"/>
          <w:lang w:val="es-CO"/>
        </w:rPr>
      </w:pPr>
      <w:r>
        <w:rPr>
          <w:rFonts w:ascii="Arial Narrow" w:hAnsi="Arial Narrow"/>
          <w:szCs w:val="22"/>
          <w:lang w:val="es-CO"/>
        </w:rPr>
        <w:t>|</w:t>
      </w:r>
      <w:r w:rsidR="00A15BF5" w:rsidRPr="004D6B5F">
        <w:rPr>
          <w:rFonts w:ascii="Arial Narrow" w:hAnsi="Arial Narrow"/>
          <w:szCs w:val="22"/>
          <w:lang w:val="es-CO"/>
        </w:rPr>
        <w:t>Con el objetivo de establecer un marco normativo espec</w:t>
      </w:r>
      <w:r w:rsidR="00D02E99">
        <w:rPr>
          <w:rFonts w:ascii="Arial Narrow" w:hAnsi="Arial Narrow"/>
          <w:szCs w:val="22"/>
          <w:lang w:val="es-CO"/>
        </w:rPr>
        <w:t>í</w:t>
      </w:r>
      <w:r w:rsidR="00A15BF5" w:rsidRPr="004D6B5F">
        <w:rPr>
          <w:rFonts w:ascii="Arial Narrow" w:hAnsi="Arial Narrow"/>
          <w:szCs w:val="22"/>
          <w:lang w:val="es-CO"/>
        </w:rPr>
        <w:t>fico que incentive la vinculación del sector privado en el desarrollo de proyectos de infraestructura y regule la relación entre el sector público y privado</w:t>
      </w:r>
      <w:r w:rsidR="00D02E99">
        <w:rPr>
          <w:rFonts w:ascii="Arial Narrow" w:hAnsi="Arial Narrow"/>
          <w:szCs w:val="22"/>
          <w:lang w:val="es-CO"/>
        </w:rPr>
        <w:t>,</w:t>
      </w:r>
      <w:r w:rsidR="00A15BF5" w:rsidRPr="004D6B5F">
        <w:rPr>
          <w:rFonts w:ascii="Arial Narrow" w:hAnsi="Arial Narrow"/>
          <w:szCs w:val="22"/>
          <w:lang w:val="es-CO"/>
        </w:rPr>
        <w:t xml:space="preserve"> se promovió y expidió la Ley de Asociaciones Público Privadas (Ley 1508 de 2012). Entre los grandes logros de la Ley de APP se encuentran:</w:t>
      </w:r>
    </w:p>
    <w:p w:rsidR="00A15BF5" w:rsidRPr="008A7F14" w:rsidRDefault="00A15BF5" w:rsidP="0015782B">
      <w:pPr>
        <w:pStyle w:val="Listavistosa-nfasis12"/>
        <w:numPr>
          <w:ilvl w:val="0"/>
          <w:numId w:val="17"/>
        </w:numPr>
        <w:spacing w:after="160" w:line="259" w:lineRule="auto"/>
        <w:jc w:val="both"/>
        <w:rPr>
          <w:rFonts w:ascii="Arial Narrow" w:hAnsi="Arial Narrow"/>
          <w:lang w:val="es-CO"/>
        </w:rPr>
      </w:pPr>
      <w:r w:rsidRPr="004D6B5F">
        <w:rPr>
          <w:rFonts w:ascii="Arial Narrow" w:hAnsi="Arial Narrow"/>
          <w:lang w:val="es-CO"/>
        </w:rPr>
        <w:t>Define claramente el esquema de Asociaciones Público Privadas (APP) y establece mecanismo para proyectos cuyo monto de inversión sea superior a 6.000 SMMLV y por un plazo máximo de 30 años</w:t>
      </w:r>
      <w:r w:rsidRPr="00812766">
        <w:rPr>
          <w:vertAlign w:val="superscript"/>
        </w:rPr>
        <w:footnoteReference w:id="4"/>
      </w:r>
      <w:r w:rsidR="00812766">
        <w:rPr>
          <w:rFonts w:ascii="Arial Narrow" w:hAnsi="Arial Narrow"/>
          <w:lang w:val="es-CO"/>
        </w:rPr>
        <w:t>.</w:t>
      </w:r>
    </w:p>
    <w:p w:rsidR="00A15BF5" w:rsidRPr="004D6B5F" w:rsidRDefault="00A15BF5" w:rsidP="0015782B">
      <w:pPr>
        <w:pStyle w:val="Listavistosa-nfasis12"/>
        <w:numPr>
          <w:ilvl w:val="0"/>
          <w:numId w:val="17"/>
        </w:numPr>
        <w:spacing w:after="160" w:line="259" w:lineRule="auto"/>
        <w:jc w:val="both"/>
        <w:rPr>
          <w:rFonts w:ascii="Arial Narrow" w:hAnsi="Arial Narrow"/>
          <w:lang w:val="es-CO"/>
        </w:rPr>
      </w:pPr>
      <w:r w:rsidRPr="004D6B5F">
        <w:rPr>
          <w:rFonts w:ascii="Arial Narrow" w:hAnsi="Arial Narrow"/>
          <w:lang w:val="es-CO"/>
        </w:rPr>
        <w:t>Condiciona el derecho a retribución por parte del contratista de acuerdo a la disponibilidad de servicio, los niveles de servicio y los estándares de calidad de los proyectos.</w:t>
      </w:r>
    </w:p>
    <w:p w:rsidR="00A15BF5" w:rsidRPr="004D6B5F" w:rsidRDefault="00A15BF5" w:rsidP="0015782B">
      <w:pPr>
        <w:pStyle w:val="Listavistosa-nfasis12"/>
        <w:numPr>
          <w:ilvl w:val="0"/>
          <w:numId w:val="17"/>
        </w:numPr>
        <w:spacing w:after="160" w:line="259" w:lineRule="auto"/>
        <w:jc w:val="both"/>
        <w:rPr>
          <w:rFonts w:ascii="Arial Narrow" w:hAnsi="Arial Narrow"/>
          <w:lang w:val="es-CO"/>
        </w:rPr>
      </w:pPr>
      <w:r w:rsidRPr="004D6B5F">
        <w:rPr>
          <w:rFonts w:ascii="Arial Narrow" w:hAnsi="Arial Narrow"/>
          <w:lang w:val="es-CO"/>
        </w:rPr>
        <w:t>Se adoptan mecanismos presupuestales que derivaron en una nueva tipología de vigencias futuras para asumir compromisos en proyectos APP.</w:t>
      </w:r>
    </w:p>
    <w:p w:rsidR="00A15BF5" w:rsidRPr="004D6B5F" w:rsidRDefault="00A15BF5" w:rsidP="0015782B">
      <w:pPr>
        <w:pStyle w:val="Listavistosa-nfasis12"/>
        <w:numPr>
          <w:ilvl w:val="0"/>
          <w:numId w:val="17"/>
        </w:numPr>
        <w:spacing w:after="160" w:line="259" w:lineRule="auto"/>
        <w:jc w:val="both"/>
        <w:rPr>
          <w:rFonts w:ascii="Arial Narrow" w:hAnsi="Arial Narrow"/>
          <w:lang w:val="es-CO"/>
        </w:rPr>
      </w:pPr>
      <w:r w:rsidRPr="004D6B5F">
        <w:rPr>
          <w:rFonts w:ascii="Arial Narrow" w:hAnsi="Arial Narrow"/>
          <w:lang w:val="es-CO"/>
        </w:rPr>
        <w:t xml:space="preserve">Introduce límites a las modificaciones de los proyectos APP, hasta en un 20% del valor del contrato originalmente pactado, después de transcurridos los primeros tres años de la ejecución del contrato, y hasta antes de cumplir las primeras tres cuartas partes del plazo inicialmente pactado en el contrato. </w:t>
      </w:r>
    </w:p>
    <w:p w:rsidR="00A15BF5" w:rsidRPr="004D6B5F" w:rsidRDefault="00A15BF5" w:rsidP="0015782B">
      <w:pPr>
        <w:pStyle w:val="Listavistosa-nfasis12"/>
        <w:numPr>
          <w:ilvl w:val="0"/>
          <w:numId w:val="17"/>
        </w:numPr>
        <w:spacing w:after="160" w:line="259" w:lineRule="auto"/>
        <w:jc w:val="both"/>
        <w:rPr>
          <w:rFonts w:ascii="Arial Narrow" w:hAnsi="Arial Narrow"/>
          <w:lang w:val="es-CO"/>
        </w:rPr>
      </w:pPr>
      <w:r w:rsidRPr="004D6B5F">
        <w:rPr>
          <w:rFonts w:ascii="Arial Narrow" w:hAnsi="Arial Narrow"/>
          <w:lang w:val="es-CO"/>
        </w:rPr>
        <w:t>Establece el procedimiento para la presentación de iniciativas privadas, limitando aportes públicos a máximo un 20% del valor del proyecto, y generando los mecanismos para la selección de proyectos de iniciativa pública y/o privada contemplando el uso de la precalificación.</w:t>
      </w:r>
    </w:p>
    <w:p w:rsidR="00A15BF5" w:rsidRPr="004D6B5F" w:rsidRDefault="00F54A34" w:rsidP="001A410D">
      <w:pPr>
        <w:spacing w:before="120" w:after="120" w:line="276" w:lineRule="auto"/>
        <w:rPr>
          <w:rFonts w:ascii="Arial Narrow" w:hAnsi="Arial Narrow"/>
          <w:szCs w:val="22"/>
          <w:lang w:val="es-CO"/>
        </w:rPr>
      </w:pPr>
      <w:r>
        <w:rPr>
          <w:rFonts w:ascii="Arial Narrow" w:hAnsi="Arial Narrow"/>
          <w:szCs w:val="22"/>
          <w:lang w:val="es-CO"/>
        </w:rPr>
        <w:t>Desde su expedición, se vi</w:t>
      </w:r>
      <w:r w:rsidR="003E32F9">
        <w:rPr>
          <w:rFonts w:ascii="Arial Narrow" w:hAnsi="Arial Narrow"/>
          <w:szCs w:val="22"/>
          <w:lang w:val="es-CO"/>
        </w:rPr>
        <w:t>o</w:t>
      </w:r>
      <w:r>
        <w:rPr>
          <w:rFonts w:ascii="Arial Narrow" w:hAnsi="Arial Narrow"/>
          <w:szCs w:val="22"/>
          <w:lang w:val="es-CO"/>
        </w:rPr>
        <w:t xml:space="preserve"> la necesidad de realizar ajustes en aspectos que </w:t>
      </w:r>
      <w:r w:rsidR="003E32F9">
        <w:rPr>
          <w:rFonts w:ascii="Arial Narrow" w:hAnsi="Arial Narrow"/>
          <w:szCs w:val="22"/>
          <w:lang w:val="es-CO"/>
        </w:rPr>
        <w:t>permitieran</w:t>
      </w:r>
      <w:r>
        <w:rPr>
          <w:rFonts w:ascii="Arial Narrow" w:hAnsi="Arial Narrow"/>
          <w:szCs w:val="22"/>
          <w:lang w:val="es-CO"/>
        </w:rPr>
        <w:t xml:space="preserve"> una mayor facilidad de promoción de proyectos y de reglas de participación de los proponentes privados en los proyectos. Por esto se expidieron el decreto </w:t>
      </w:r>
      <w:r w:rsidR="003E32F9">
        <w:rPr>
          <w:rFonts w:ascii="Arial Narrow" w:hAnsi="Arial Narrow"/>
          <w:szCs w:val="22"/>
          <w:lang w:val="es-CO"/>
        </w:rPr>
        <w:t xml:space="preserve">1610 de 2013, decreto </w:t>
      </w:r>
      <w:r>
        <w:rPr>
          <w:rFonts w:ascii="Arial Narrow" w:hAnsi="Arial Narrow"/>
          <w:szCs w:val="22"/>
          <w:lang w:val="es-CO"/>
        </w:rPr>
        <w:t xml:space="preserve">301 de 2014, </w:t>
      </w:r>
      <w:r w:rsidR="003E32F9">
        <w:rPr>
          <w:rFonts w:ascii="Arial Narrow" w:hAnsi="Arial Narrow"/>
          <w:szCs w:val="22"/>
          <w:lang w:val="es-CO"/>
        </w:rPr>
        <w:t>y decreto 2043 de 2014.</w:t>
      </w:r>
    </w:p>
    <w:p w:rsidR="00A15BF5" w:rsidRPr="004D6B5F" w:rsidRDefault="00A15BF5" w:rsidP="004D6B5F">
      <w:pPr>
        <w:pStyle w:val="Ttulo3"/>
        <w:numPr>
          <w:ilvl w:val="3"/>
          <w:numId w:val="2"/>
        </w:numPr>
        <w:rPr>
          <w:rFonts w:ascii="Arial Narrow" w:hAnsi="Arial Narrow"/>
        </w:rPr>
      </w:pPr>
      <w:bookmarkStart w:id="16" w:name="_Toc410922141"/>
      <w:r w:rsidRPr="004D6B5F">
        <w:rPr>
          <w:rFonts w:ascii="Arial Narrow" w:hAnsi="Arial Narrow"/>
        </w:rPr>
        <w:t>Ley de Infraestructura</w:t>
      </w:r>
      <w:bookmarkEnd w:id="16"/>
    </w:p>
    <w:p w:rsidR="00A15BF5"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La Ley de Infraestructura (Ley 1682 de 2013) tiene como objetivo conformar un marco normativo que brinde las herramientas al sector transporte para superar el notorio atraso que el país presenta en infraestructura de transporte. La ley de infraestructura permite superar los principales cuellos de botella en la construcción de proyectos de infraestructura de transporte relacionada con la adquisición de predios, licencias ambientales, permisos mineros y redes de servicios públicos, entre otros. De igual forma, la ley ordena la creación de la Comisión Regulación del Sector Transporte y la creación de la Unidad de Planeación del Sector Transporte con el propósito de mejorar la eficiencia y eficacia de la planeación y la regu</w:t>
      </w:r>
      <w:r w:rsidR="003E32F9">
        <w:rPr>
          <w:rFonts w:ascii="Arial Narrow" w:hAnsi="Arial Narrow"/>
          <w:szCs w:val="22"/>
          <w:lang w:val="es-CO"/>
        </w:rPr>
        <w:t>lación en el Sector Transporte.</w:t>
      </w:r>
    </w:p>
    <w:p w:rsidR="003E32F9" w:rsidRPr="004D6B5F" w:rsidRDefault="003E32F9" w:rsidP="001A410D">
      <w:pPr>
        <w:spacing w:before="120" w:after="120" w:line="276" w:lineRule="auto"/>
        <w:rPr>
          <w:rFonts w:ascii="Arial Narrow" w:hAnsi="Arial Narrow"/>
          <w:szCs w:val="22"/>
          <w:lang w:val="es-CO"/>
        </w:rPr>
      </w:pPr>
      <w:r>
        <w:rPr>
          <w:rFonts w:ascii="Arial Narrow" w:hAnsi="Arial Narrow"/>
          <w:szCs w:val="22"/>
          <w:lang w:val="es-CO"/>
        </w:rPr>
        <w:t>Esta ley y los decretos reglamentarios expedidos por el Gobierno Nacional, permitieron reducir los tiempos de espera para la expedición de trámites ambientales, expropiación predial, transporte de hidrocarburos, construcción de proyectos frente a otras redes, entre otros.</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17" w:name="_Toc410922142"/>
      <w:r w:rsidRPr="004D6B5F">
        <w:rPr>
          <w:rFonts w:ascii="Arial Narrow" w:hAnsi="Arial Narrow"/>
        </w:rPr>
        <w:t>Plan de Expansión Portuaria</w:t>
      </w:r>
      <w:bookmarkEnd w:id="17"/>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A través del documento Conpes 3744 y el Decreto 1099 de 2013, se adopta el Plan de Expansión Portuaria: Política portuaria para un país más moderno, el cual presenta un análisis de las potenciales necesidades de ampliación de la capacidad portuaria por litoral y tipo de carga e identifica la inversión pública y privada que debe promoverse. Por otra parte, define una nueva metodología para las contraprestaciones portuarias, que mejora sustancialmente y de manera equilibrada los ingresos de la Nación y que son fuente de financiación de obras para la promoción del sector portuario, f</w:t>
      </w:r>
      <w:r w:rsidR="00D02E99">
        <w:rPr>
          <w:rFonts w:ascii="Arial Narrow" w:hAnsi="Arial Narrow"/>
          <w:szCs w:val="22"/>
          <w:lang w:val="es-CO"/>
        </w:rPr>
        <w:t>ó</w:t>
      </w:r>
      <w:r w:rsidRPr="004D6B5F">
        <w:rPr>
          <w:rFonts w:ascii="Arial Narrow" w:hAnsi="Arial Narrow"/>
          <w:szCs w:val="22"/>
          <w:lang w:val="es-CO"/>
        </w:rPr>
        <w:t xml:space="preserve">rmula que aplicará a los beneficiarios de permisos portuarios de nuevos proyectos y a quienes modifiquen sustancialmente los contratos en ejecución. </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18" w:name="_Toc410922143"/>
      <w:r w:rsidRPr="004D6B5F">
        <w:rPr>
          <w:rFonts w:ascii="Arial Narrow" w:hAnsi="Arial Narrow"/>
        </w:rPr>
        <w:t>Creación de la ANI</w:t>
      </w:r>
      <w:bookmarkEnd w:id="18"/>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Se creó la Agencia Nacional de Infraestructura (ANI) mediante el decreto 4165 de 2011 en reemplazo del Instituto Nacional de Concesiones, con el propósito de adaptar la institución a las condiciones del mercado y otorgarle una estructura acorde con las necesidades actuales para lograr una mayor eficiencia y eficacia en el desarrollo de los proyectos de Asociaciones Publico Privadas del Sector Transporte. </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El proceso de transformación permitió un fortalecimiento de las funciones, de la estructura organizacional y del capital humano. Así mismo, se establecieron como principios rectores la transparencia, el servicio al ciudadano, la autonomía técnica y estándares de gobierno corporativo, y la gestión por resultados con el objetivo de posicionar a la ANI como una entidad reconocida internacionalmente por el desarrollo de proyectos de infraestructura a través de la participación privada. Asimismo, a través del decreto 4164 de 2011 se trasladaron a la ANI las competencias de la Aerocivil relacionadas con la estructuración, celebración y administración de las concesiones aeroportuarias.</w:t>
      </w:r>
    </w:p>
    <w:p w:rsidR="00A15BF5" w:rsidRPr="004D6B5F" w:rsidRDefault="00A15BF5" w:rsidP="001A410D">
      <w:pPr>
        <w:tabs>
          <w:tab w:val="left" w:pos="3285"/>
        </w:tabs>
        <w:spacing w:before="120" w:after="120" w:line="276" w:lineRule="auto"/>
        <w:rPr>
          <w:rFonts w:ascii="Arial Narrow" w:hAnsi="Arial Narrow"/>
          <w:szCs w:val="22"/>
        </w:rPr>
      </w:pPr>
    </w:p>
    <w:p w:rsidR="00A15BF5" w:rsidRPr="004D6B5F" w:rsidRDefault="00A15BF5" w:rsidP="004D6B5F">
      <w:pPr>
        <w:pStyle w:val="Ttulo3"/>
        <w:rPr>
          <w:rFonts w:ascii="Arial Narrow" w:hAnsi="Arial Narrow"/>
        </w:rPr>
      </w:pPr>
      <w:bookmarkStart w:id="19" w:name="_Toc410922144"/>
      <w:r w:rsidRPr="004D6B5F">
        <w:rPr>
          <w:rFonts w:ascii="Arial Narrow" w:hAnsi="Arial Narrow"/>
        </w:rPr>
        <w:t>Regularizar y Acelerar Contratos Existentes</w:t>
      </w:r>
      <w:bookmarkEnd w:id="19"/>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Con relación a la gestión y seguimiento contractual a los proyectos se emprendieron las siguientes acciones:</w:t>
      </w:r>
    </w:p>
    <w:p w:rsidR="00A15BF5" w:rsidRPr="008A7F14" w:rsidRDefault="00A15BF5" w:rsidP="0015782B">
      <w:pPr>
        <w:pStyle w:val="Listavistosa-nfasis12"/>
        <w:numPr>
          <w:ilvl w:val="0"/>
          <w:numId w:val="18"/>
        </w:numPr>
        <w:spacing w:after="160" w:line="259" w:lineRule="auto"/>
        <w:jc w:val="both"/>
        <w:rPr>
          <w:rFonts w:ascii="Arial Narrow" w:hAnsi="Arial Narrow"/>
          <w:lang w:val="es-CO"/>
        </w:rPr>
      </w:pPr>
      <w:r w:rsidRPr="008A7F14">
        <w:rPr>
          <w:rFonts w:ascii="Arial Narrow" w:hAnsi="Arial Narrow"/>
          <w:lang w:val="es-CO"/>
        </w:rPr>
        <w:t>Se orientó la gestión a los resultados: Regularización de proyectos y establecimiento de metas físicas por proyecto.</w:t>
      </w:r>
    </w:p>
    <w:p w:rsidR="00A15BF5" w:rsidRPr="008A7F14" w:rsidRDefault="00A15BF5" w:rsidP="0015782B">
      <w:pPr>
        <w:pStyle w:val="Listavistosa-nfasis12"/>
        <w:numPr>
          <w:ilvl w:val="0"/>
          <w:numId w:val="18"/>
        </w:numPr>
        <w:spacing w:after="160" w:line="259" w:lineRule="auto"/>
        <w:jc w:val="both"/>
        <w:rPr>
          <w:rFonts w:ascii="Arial Narrow" w:hAnsi="Arial Narrow"/>
          <w:lang w:val="es-CO"/>
        </w:rPr>
      </w:pPr>
      <w:r w:rsidRPr="008A7F14">
        <w:rPr>
          <w:rFonts w:ascii="Arial Narrow" w:hAnsi="Arial Narrow"/>
          <w:lang w:val="es-CO"/>
        </w:rPr>
        <w:t>Se desarrollaron herramientas para la gestión contractual: Sistematización de la información (Project, CISA) y trazabilidad de decisiones y soporte documental (Bitácora).</w:t>
      </w:r>
    </w:p>
    <w:p w:rsidR="00A15BF5" w:rsidRPr="008A7F14" w:rsidRDefault="00A15BF5" w:rsidP="0015782B">
      <w:pPr>
        <w:pStyle w:val="Listavistosa-nfasis12"/>
        <w:numPr>
          <w:ilvl w:val="0"/>
          <w:numId w:val="18"/>
        </w:numPr>
        <w:spacing w:after="160" w:line="259" w:lineRule="auto"/>
        <w:jc w:val="both"/>
        <w:rPr>
          <w:rFonts w:ascii="Arial Narrow" w:hAnsi="Arial Narrow"/>
          <w:lang w:val="es-CO"/>
        </w:rPr>
      </w:pPr>
      <w:r w:rsidRPr="008A7F14">
        <w:rPr>
          <w:rFonts w:ascii="Arial Narrow" w:hAnsi="Arial Narrow"/>
          <w:lang w:val="es-CO"/>
        </w:rPr>
        <w:t xml:space="preserve">Se </w:t>
      </w:r>
      <w:r w:rsidRPr="004D6B5F">
        <w:rPr>
          <w:rFonts w:ascii="Arial Narrow" w:hAnsi="Arial Narrow"/>
          <w:lang w:val="es-CO"/>
        </w:rPr>
        <w:t xml:space="preserve">fortaleció la estructura organizacional para la supervisión: Se crearon equipos de trabajo por proyecto y se </w:t>
      </w:r>
      <w:r w:rsidRPr="008A7F14">
        <w:rPr>
          <w:rFonts w:ascii="Arial Narrow" w:hAnsi="Arial Narrow"/>
          <w:lang w:val="es-CO"/>
        </w:rPr>
        <w:t>fortaleció el rol de las interventorías.</w:t>
      </w:r>
    </w:p>
    <w:p w:rsidR="00A15BF5" w:rsidRPr="008A7F14" w:rsidRDefault="00A15BF5" w:rsidP="0015782B">
      <w:pPr>
        <w:pStyle w:val="Listavistosa-nfasis12"/>
        <w:numPr>
          <w:ilvl w:val="0"/>
          <w:numId w:val="18"/>
        </w:numPr>
        <w:spacing w:after="160" w:line="259" w:lineRule="auto"/>
        <w:jc w:val="both"/>
        <w:rPr>
          <w:rFonts w:ascii="Arial Narrow" w:hAnsi="Arial Narrow"/>
          <w:lang w:val="es-CO"/>
        </w:rPr>
      </w:pPr>
      <w:r w:rsidRPr="008A7F14">
        <w:rPr>
          <w:rFonts w:ascii="Arial Narrow" w:hAnsi="Arial Narrow"/>
          <w:lang w:val="es-CO"/>
        </w:rPr>
        <w:t>Se fortaleció la capacidad de ge</w:t>
      </w:r>
      <w:r w:rsidR="000175EE">
        <w:rPr>
          <w:rFonts w:ascii="Arial Narrow" w:hAnsi="Arial Narrow"/>
          <w:lang w:val="es-CO"/>
        </w:rPr>
        <w:t>stión socio-ambiental y predial con mejor enfoque de seguimiento y personal dedicado</w:t>
      </w:r>
    </w:p>
    <w:p w:rsidR="00A15BF5" w:rsidRPr="008A7F14" w:rsidRDefault="00A15BF5" w:rsidP="0015782B">
      <w:pPr>
        <w:pStyle w:val="Listavistosa-nfasis12"/>
        <w:numPr>
          <w:ilvl w:val="0"/>
          <w:numId w:val="18"/>
        </w:numPr>
        <w:spacing w:after="160" w:line="259" w:lineRule="auto"/>
        <w:jc w:val="both"/>
        <w:rPr>
          <w:rFonts w:ascii="Arial Narrow" w:hAnsi="Arial Narrow"/>
          <w:lang w:val="es-CO"/>
        </w:rPr>
      </w:pPr>
      <w:r w:rsidRPr="008A7F14">
        <w:rPr>
          <w:rFonts w:ascii="Arial Narrow" w:hAnsi="Arial Narrow"/>
          <w:lang w:val="es-CO"/>
        </w:rPr>
        <w:t>Se fortaleció la gestión financiera y de riesgos, a través de lo cual se redujeron los pasivos de la entidad (contingencias).</w:t>
      </w:r>
    </w:p>
    <w:p w:rsidR="00A15BF5" w:rsidRPr="008A7F14" w:rsidRDefault="00A15BF5" w:rsidP="0015782B">
      <w:pPr>
        <w:pStyle w:val="Listavistosa-nfasis12"/>
        <w:numPr>
          <w:ilvl w:val="0"/>
          <w:numId w:val="18"/>
        </w:numPr>
        <w:spacing w:after="160" w:line="259" w:lineRule="auto"/>
        <w:jc w:val="both"/>
        <w:rPr>
          <w:rFonts w:ascii="Arial Narrow" w:hAnsi="Arial Narrow"/>
          <w:lang w:val="es-CO"/>
        </w:rPr>
      </w:pPr>
      <w:r w:rsidRPr="008A7F14">
        <w:rPr>
          <w:rFonts w:ascii="Arial Narrow" w:hAnsi="Arial Narrow"/>
          <w:lang w:val="es-CO"/>
        </w:rPr>
        <w:t>Se fortaleció la gestión jurídica y la defensa judicial.</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Todas las acciones emprendidas con el objetivo de regularizar y acelerar los contratos existentes tuvieron un efecto positivo sobre cada uno de los contratos de concesión de acuerdo al modo de transporte. A continuación se hace énfasis en los resultados de cada modo de transporte.</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20" w:name="_Toc410922145"/>
      <w:r w:rsidRPr="004D6B5F">
        <w:rPr>
          <w:rFonts w:ascii="Arial Narrow" w:hAnsi="Arial Narrow"/>
        </w:rPr>
        <w:t>Fortalecimiento de la Gestión e Interventoría de Concesiones Viales</w:t>
      </w:r>
      <w:bookmarkEnd w:id="20"/>
    </w:p>
    <w:p w:rsidR="00A15BF5"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En 2010 el país contaba con 743 km de doble calzadas, la Agencia Nacional de Infraestructura a través de los proyectos de concesión ha construido 554 km de nuevas doble calzada, 80 km de calzada sencilla, 6,1 km de túneles, 127 puentes, ha mejorado 903 km y ha mantenido, operado y administrado más de 5.176 km de vías carreteras durante el periodo 2011</w:t>
      </w:r>
      <w:r w:rsidR="001A410D">
        <w:rPr>
          <w:rFonts w:ascii="Arial Narrow" w:hAnsi="Arial Narrow"/>
          <w:szCs w:val="22"/>
          <w:lang w:val="es-CO"/>
        </w:rPr>
        <w:t>-201</w:t>
      </w:r>
      <w:r w:rsidR="00886484">
        <w:rPr>
          <w:rFonts w:ascii="Arial Narrow" w:hAnsi="Arial Narrow"/>
          <w:szCs w:val="22"/>
          <w:lang w:val="es-CO"/>
        </w:rPr>
        <w:t>4</w:t>
      </w:r>
      <w:r w:rsidR="001A410D">
        <w:rPr>
          <w:rFonts w:ascii="Arial Narrow" w:hAnsi="Arial Narrow"/>
          <w:szCs w:val="22"/>
          <w:lang w:val="es-CO"/>
        </w:rPr>
        <w:t xml:space="preserve"> (Ver gráfico No. 3 y 4).</w:t>
      </w:r>
    </w:p>
    <w:p w:rsidR="00812766" w:rsidRPr="004D6B5F" w:rsidRDefault="00812766" w:rsidP="001A410D">
      <w:pPr>
        <w:spacing w:before="120" w:after="120" w:line="276" w:lineRule="auto"/>
        <w:rPr>
          <w:rFonts w:ascii="Arial Narrow" w:hAnsi="Arial Narrow"/>
          <w:szCs w:val="22"/>
          <w:lang w:val="es-CO"/>
        </w:rPr>
      </w:pPr>
    </w:p>
    <w:p w:rsidR="00A15BF5" w:rsidRPr="004D6B5F" w:rsidRDefault="00A15BF5" w:rsidP="000608D8">
      <w:pPr>
        <w:tabs>
          <w:tab w:val="left" w:pos="3285"/>
        </w:tabs>
        <w:jc w:val="center"/>
        <w:rPr>
          <w:rFonts w:ascii="Arial Narrow" w:hAnsi="Arial Narrow"/>
          <w:b/>
          <w:sz w:val="20"/>
        </w:rPr>
      </w:pPr>
      <w:r w:rsidRPr="004D6B5F">
        <w:rPr>
          <w:rFonts w:ascii="Arial Narrow" w:hAnsi="Arial Narrow"/>
          <w:b/>
          <w:sz w:val="20"/>
        </w:rPr>
        <w:t xml:space="preserve">     </w:t>
      </w:r>
      <w:r w:rsidR="000608D8">
        <w:rPr>
          <w:rFonts w:ascii="Arial Narrow" w:hAnsi="Arial Narrow"/>
          <w:b/>
          <w:sz w:val="20"/>
        </w:rPr>
        <w:t xml:space="preserve"> </w:t>
      </w:r>
      <w:r w:rsidRPr="004D6B5F">
        <w:rPr>
          <w:rFonts w:ascii="Arial Narrow" w:hAnsi="Arial Narrow"/>
          <w:b/>
          <w:sz w:val="20"/>
        </w:rPr>
        <w:t xml:space="preserve">  Gráfico No. 3</w:t>
      </w:r>
      <w:r w:rsidR="000608D8">
        <w:rPr>
          <w:rFonts w:ascii="Arial Narrow" w:hAnsi="Arial Narrow"/>
          <w:b/>
          <w:sz w:val="20"/>
        </w:rPr>
        <w:tab/>
      </w:r>
      <w:r w:rsidR="000608D8">
        <w:rPr>
          <w:rFonts w:ascii="Arial Narrow" w:hAnsi="Arial Narrow"/>
          <w:b/>
          <w:sz w:val="20"/>
        </w:rPr>
        <w:tab/>
      </w:r>
      <w:r w:rsidR="000608D8">
        <w:rPr>
          <w:rFonts w:ascii="Arial Narrow" w:hAnsi="Arial Narrow"/>
          <w:b/>
          <w:sz w:val="20"/>
        </w:rPr>
        <w:tab/>
      </w:r>
      <w:r w:rsidRPr="004D6B5F">
        <w:rPr>
          <w:rFonts w:ascii="Arial Narrow" w:hAnsi="Arial Narrow"/>
          <w:b/>
          <w:sz w:val="20"/>
        </w:rPr>
        <w:t>Gráfico No. 4</w:t>
      </w:r>
    </w:p>
    <w:p w:rsidR="00A15BF5" w:rsidRPr="004D6B5F" w:rsidRDefault="00A15BF5" w:rsidP="000608D8">
      <w:pPr>
        <w:tabs>
          <w:tab w:val="left" w:pos="3285"/>
        </w:tabs>
        <w:jc w:val="center"/>
        <w:rPr>
          <w:rFonts w:ascii="Arial Narrow" w:hAnsi="Arial Narrow"/>
          <w:b/>
          <w:sz w:val="20"/>
        </w:rPr>
      </w:pPr>
      <w:r w:rsidRPr="004D6B5F">
        <w:rPr>
          <w:rFonts w:ascii="Arial Narrow" w:hAnsi="Arial Narrow"/>
          <w:b/>
          <w:sz w:val="20"/>
        </w:rPr>
        <w:t>Construcción de Doble Calzada</w:t>
      </w:r>
      <w:r w:rsidR="00857128">
        <w:rPr>
          <w:rFonts w:ascii="Arial Narrow" w:hAnsi="Arial Narrow"/>
          <w:b/>
          <w:sz w:val="20"/>
        </w:rPr>
        <w:tab/>
      </w:r>
      <w:r w:rsidR="000608D8">
        <w:rPr>
          <w:rFonts w:ascii="Arial Narrow" w:hAnsi="Arial Narrow"/>
          <w:b/>
          <w:sz w:val="20"/>
        </w:rPr>
        <w:tab/>
      </w:r>
      <w:r w:rsidR="00857128">
        <w:rPr>
          <w:rFonts w:ascii="Arial Narrow" w:hAnsi="Arial Narrow"/>
          <w:b/>
          <w:sz w:val="20"/>
        </w:rPr>
        <w:tab/>
      </w:r>
      <w:r w:rsidRPr="004D6B5F">
        <w:rPr>
          <w:rFonts w:ascii="Arial Narrow" w:hAnsi="Arial Narrow"/>
          <w:b/>
          <w:sz w:val="20"/>
        </w:rPr>
        <w:t>Kilómetros Mejorados</w:t>
      </w:r>
    </w:p>
    <w:p w:rsidR="00794350" w:rsidRDefault="00857128" w:rsidP="000608D8">
      <w:pPr>
        <w:autoSpaceDE w:val="0"/>
        <w:autoSpaceDN w:val="0"/>
        <w:adjustRightInd w:val="0"/>
        <w:jc w:val="center"/>
        <w:rPr>
          <w:rFonts w:ascii="Arial Narrow" w:hAnsi="Arial Narrow"/>
          <w:sz w:val="20"/>
        </w:rPr>
      </w:pPr>
      <w:r>
        <w:rPr>
          <w:noProof/>
          <w:lang w:val="es-CO" w:eastAsia="es-CO"/>
        </w:rPr>
        <w:drawing>
          <wp:inline distT="0" distB="0" distL="0" distR="0" wp14:anchorId="648B6783" wp14:editId="73792D34">
            <wp:extent cx="2581275" cy="160972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65BD4">
        <w:rPr>
          <w:noProof/>
          <w:lang w:val="es-CO" w:eastAsia="es-CO"/>
        </w:rPr>
        <w:drawing>
          <wp:inline distT="0" distB="0" distL="0" distR="0" wp14:anchorId="51AD22A4" wp14:editId="03DA0E44">
            <wp:extent cx="2238375" cy="1614170"/>
            <wp:effectExtent l="0" t="0" r="9525"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5BF5" w:rsidRPr="001A410D" w:rsidRDefault="00A15BF5" w:rsidP="000608D8">
      <w:pPr>
        <w:autoSpaceDE w:val="0"/>
        <w:autoSpaceDN w:val="0"/>
        <w:adjustRightInd w:val="0"/>
        <w:ind w:firstLine="709"/>
        <w:jc w:val="left"/>
        <w:rPr>
          <w:rFonts w:ascii="Arial Narrow" w:hAnsi="Arial Narrow" w:cs="Calibri"/>
          <w:bCs/>
          <w:i/>
          <w:sz w:val="18"/>
        </w:rPr>
      </w:pPr>
      <w:r w:rsidRPr="001A410D">
        <w:rPr>
          <w:rFonts w:ascii="Arial Narrow" w:hAnsi="Arial Narrow" w:cs="Calibri"/>
          <w:bCs/>
          <w:i/>
          <w:sz w:val="18"/>
        </w:rPr>
        <w:t>Fuente: ANI</w:t>
      </w:r>
      <w:r w:rsidR="00857128">
        <w:rPr>
          <w:rFonts w:ascii="Arial Narrow" w:hAnsi="Arial Narrow" w:cs="Calibri"/>
          <w:bCs/>
          <w:i/>
          <w:sz w:val="18"/>
        </w:rPr>
        <w:tab/>
      </w:r>
      <w:r w:rsidR="00857128">
        <w:rPr>
          <w:rFonts w:ascii="Arial Narrow" w:hAnsi="Arial Narrow" w:cs="Calibri"/>
          <w:bCs/>
          <w:i/>
          <w:sz w:val="18"/>
        </w:rPr>
        <w:tab/>
      </w:r>
      <w:r w:rsidR="000608D8">
        <w:rPr>
          <w:rFonts w:ascii="Arial Narrow" w:hAnsi="Arial Narrow" w:cs="Calibri"/>
          <w:bCs/>
          <w:i/>
          <w:sz w:val="18"/>
        </w:rPr>
        <w:tab/>
      </w:r>
      <w:r w:rsidR="000608D8">
        <w:rPr>
          <w:rFonts w:ascii="Arial Narrow" w:hAnsi="Arial Narrow" w:cs="Calibri"/>
          <w:bCs/>
          <w:i/>
          <w:sz w:val="18"/>
        </w:rPr>
        <w:tab/>
        <w:t xml:space="preserve">            </w:t>
      </w:r>
      <w:r w:rsidRPr="001A410D">
        <w:rPr>
          <w:rFonts w:ascii="Arial Narrow" w:hAnsi="Arial Narrow" w:cs="Calibri"/>
          <w:bCs/>
          <w:i/>
          <w:sz w:val="18"/>
        </w:rPr>
        <w:t>Fuente: ANI</w:t>
      </w:r>
    </w:p>
    <w:p w:rsidR="00A15BF5" w:rsidRPr="00D02E99" w:rsidRDefault="00A15BF5" w:rsidP="001A410D">
      <w:pPr>
        <w:tabs>
          <w:tab w:val="left" w:pos="3285"/>
        </w:tabs>
        <w:spacing w:before="120" w:after="120" w:line="276" w:lineRule="auto"/>
        <w:rPr>
          <w:rFonts w:ascii="Arial Narrow" w:hAnsi="Arial Narrow"/>
          <w:sz w:val="20"/>
        </w:rPr>
      </w:pPr>
    </w:p>
    <w:p w:rsidR="00A15BF5" w:rsidRPr="004D6B5F" w:rsidRDefault="00A15BF5" w:rsidP="001A410D">
      <w:pPr>
        <w:spacing w:before="120" w:after="120" w:line="276" w:lineRule="auto"/>
        <w:rPr>
          <w:rFonts w:ascii="Arial Narrow" w:hAnsi="Arial Narrow"/>
          <w:lang w:val="es-CO"/>
        </w:rPr>
      </w:pPr>
      <w:r w:rsidRPr="004D6B5F">
        <w:rPr>
          <w:rFonts w:ascii="Arial Narrow" w:hAnsi="Arial Narrow"/>
          <w:lang w:val="es-CO"/>
        </w:rPr>
        <w:t>En promedio durante el periodo 2002-2010 se construían 60 km de doble calzada anuales. En el periodo 2011-201</w:t>
      </w:r>
      <w:r w:rsidR="004A185A">
        <w:rPr>
          <w:rFonts w:ascii="Arial Narrow" w:hAnsi="Arial Narrow"/>
          <w:lang w:val="es-CO"/>
        </w:rPr>
        <w:t>4</w:t>
      </w:r>
      <w:r w:rsidRPr="004D6B5F">
        <w:rPr>
          <w:rFonts w:ascii="Arial Narrow" w:hAnsi="Arial Narrow"/>
          <w:lang w:val="es-CO"/>
        </w:rPr>
        <w:t xml:space="preserve"> se construyeron en promedio 1</w:t>
      </w:r>
      <w:r w:rsidR="004A185A">
        <w:rPr>
          <w:rFonts w:ascii="Arial Narrow" w:hAnsi="Arial Narrow"/>
          <w:lang w:val="es-CO"/>
        </w:rPr>
        <w:t>91</w:t>
      </w:r>
      <w:r w:rsidRPr="004D6B5F">
        <w:rPr>
          <w:rFonts w:ascii="Arial Narrow" w:hAnsi="Arial Narrow"/>
          <w:lang w:val="es-CO"/>
        </w:rPr>
        <w:t xml:space="preserve"> km de doble calzada </w:t>
      </w:r>
      <w:r w:rsidR="00D02E99">
        <w:rPr>
          <w:rFonts w:ascii="Arial Narrow" w:hAnsi="Arial Narrow"/>
          <w:lang w:val="es-CO"/>
        </w:rPr>
        <w:t>por año</w:t>
      </w:r>
      <w:r w:rsidR="00D02E99" w:rsidRPr="005E4DE9">
        <w:rPr>
          <w:rFonts w:ascii="Arial Narrow" w:hAnsi="Arial Narrow"/>
          <w:lang w:val="es-CO"/>
        </w:rPr>
        <w:t>,</w:t>
      </w:r>
      <w:r w:rsidRPr="005E4DE9">
        <w:rPr>
          <w:rFonts w:ascii="Arial Narrow" w:hAnsi="Arial Narrow"/>
          <w:lang w:val="es-CO"/>
        </w:rPr>
        <w:t xml:space="preserve"> </w:t>
      </w:r>
      <w:r w:rsidR="00D02E99" w:rsidRPr="005E4DE9">
        <w:rPr>
          <w:rFonts w:ascii="Arial Narrow" w:hAnsi="Arial Narrow"/>
          <w:lang w:val="es-CO"/>
        </w:rPr>
        <w:t xml:space="preserve">construyéndose </w:t>
      </w:r>
      <w:r w:rsidR="004A185A" w:rsidRPr="005E4DE9">
        <w:rPr>
          <w:rFonts w:ascii="Arial Narrow" w:hAnsi="Arial Narrow"/>
          <w:lang w:val="es-CO"/>
        </w:rPr>
        <w:t xml:space="preserve">212.36 </w:t>
      </w:r>
      <w:r w:rsidRPr="005E4DE9">
        <w:rPr>
          <w:rFonts w:ascii="Arial Narrow" w:hAnsi="Arial Narrow"/>
          <w:lang w:val="es-CO"/>
        </w:rPr>
        <w:t>km</w:t>
      </w:r>
      <w:r w:rsidR="00D02E99" w:rsidRPr="005E4DE9">
        <w:rPr>
          <w:rFonts w:ascii="Arial Narrow" w:hAnsi="Arial Narrow"/>
          <w:lang w:val="es-CO"/>
        </w:rPr>
        <w:t xml:space="preserve"> en el 2014</w:t>
      </w:r>
      <w:r w:rsidRPr="005E4DE9">
        <w:rPr>
          <w:rFonts w:ascii="Arial Narrow" w:hAnsi="Arial Narrow"/>
          <w:lang w:val="es-CO"/>
        </w:rPr>
        <w:t xml:space="preserve">, </w:t>
      </w:r>
      <w:r w:rsidR="008A565F">
        <w:rPr>
          <w:rFonts w:ascii="Arial Narrow" w:hAnsi="Arial Narrow"/>
          <w:lang w:val="es-CO"/>
        </w:rPr>
        <w:t>desde 2011 al tercer trimestre de 201</w:t>
      </w:r>
      <w:r w:rsidR="008A565F" w:rsidRPr="008A565F">
        <w:rPr>
          <w:rFonts w:ascii="Arial Narrow" w:hAnsi="Arial Narrow"/>
          <w:lang w:val="es-CO"/>
        </w:rPr>
        <w:t>4 se han invertido aproximadamente $ 11 billones en construcción y mejoramiento de vías concesionadas</w:t>
      </w:r>
      <w:r w:rsidR="00497918">
        <w:rPr>
          <w:rFonts w:ascii="Arial Narrow" w:hAnsi="Arial Narrow"/>
          <w:lang w:val="es-CO"/>
        </w:rPr>
        <w:t>.</w:t>
      </w:r>
      <w:r w:rsidRPr="004D6B5F">
        <w:rPr>
          <w:rFonts w:ascii="Arial Narrow" w:hAnsi="Arial Narrow"/>
          <w:lang w:val="es-CO"/>
        </w:rPr>
        <w:t xml:space="preserve"> (Ver gráfico No. 5). Además, se garantizó que cada una de las concesiones contara con una interventoría</w:t>
      </w:r>
      <w:r w:rsidR="00663EF6">
        <w:rPr>
          <w:rFonts w:ascii="Arial Narrow" w:hAnsi="Arial Narrow"/>
          <w:lang w:val="es-CO"/>
        </w:rPr>
        <w:t xml:space="preserve"> integral con plazos mínimo de tres (3) años, permitiendo un mayor apoyo a la gestión contractual de la entidad.</w:t>
      </w:r>
    </w:p>
    <w:p w:rsidR="00A15BF5" w:rsidRPr="004D6B5F" w:rsidRDefault="00A15BF5" w:rsidP="00A15BF5">
      <w:pPr>
        <w:tabs>
          <w:tab w:val="left" w:pos="3285"/>
        </w:tabs>
        <w:jc w:val="center"/>
        <w:rPr>
          <w:rFonts w:ascii="Arial Narrow" w:hAnsi="Arial Narrow"/>
          <w:b/>
          <w:sz w:val="20"/>
        </w:rPr>
      </w:pPr>
    </w:p>
    <w:p w:rsidR="00A15BF5" w:rsidRPr="004D6B5F" w:rsidRDefault="00A15BF5" w:rsidP="00A15BF5">
      <w:pPr>
        <w:tabs>
          <w:tab w:val="left" w:pos="3285"/>
        </w:tabs>
        <w:jc w:val="center"/>
        <w:rPr>
          <w:rFonts w:ascii="Arial Narrow" w:hAnsi="Arial Narrow"/>
          <w:b/>
          <w:sz w:val="20"/>
        </w:rPr>
      </w:pPr>
      <w:r w:rsidRPr="004D6B5F">
        <w:rPr>
          <w:rFonts w:ascii="Arial Narrow" w:hAnsi="Arial Narrow"/>
          <w:b/>
          <w:sz w:val="20"/>
        </w:rPr>
        <w:t>Gráfico No. 5</w:t>
      </w:r>
    </w:p>
    <w:p w:rsidR="00A15BF5" w:rsidRPr="004D6B5F" w:rsidRDefault="00A15BF5" w:rsidP="00A15BF5">
      <w:pPr>
        <w:tabs>
          <w:tab w:val="left" w:pos="3285"/>
        </w:tabs>
        <w:jc w:val="center"/>
        <w:rPr>
          <w:rFonts w:ascii="Arial Narrow" w:hAnsi="Arial Narrow"/>
          <w:b/>
          <w:sz w:val="20"/>
        </w:rPr>
      </w:pPr>
      <w:r w:rsidRPr="004D6B5F">
        <w:rPr>
          <w:rFonts w:ascii="Arial Narrow" w:hAnsi="Arial Narrow"/>
          <w:b/>
          <w:sz w:val="20"/>
        </w:rPr>
        <w:t>Inversión en Concesiones Viales</w:t>
      </w:r>
    </w:p>
    <w:p w:rsidR="00A15BF5" w:rsidRPr="004D6B5F" w:rsidRDefault="006E0209" w:rsidP="00A15BF5">
      <w:pPr>
        <w:tabs>
          <w:tab w:val="left" w:pos="3285"/>
        </w:tabs>
        <w:jc w:val="center"/>
        <w:rPr>
          <w:rFonts w:ascii="Arial Narrow" w:hAnsi="Arial Narrow"/>
        </w:rPr>
      </w:pPr>
      <w:r>
        <w:rPr>
          <w:noProof/>
          <w:lang w:val="es-CO" w:eastAsia="es-CO"/>
        </w:rPr>
        <w:drawing>
          <wp:inline distT="0" distB="0" distL="0" distR="0" wp14:anchorId="699DFBF3" wp14:editId="11F4577D">
            <wp:extent cx="3248025" cy="16002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5BF5" w:rsidRPr="004D6B5F" w:rsidRDefault="00A15BF5" w:rsidP="00A15BF5">
      <w:pPr>
        <w:autoSpaceDE w:val="0"/>
        <w:autoSpaceDN w:val="0"/>
        <w:adjustRightInd w:val="0"/>
        <w:ind w:left="1418" w:firstLine="709"/>
        <w:rPr>
          <w:rFonts w:ascii="Arial Narrow" w:hAnsi="Arial Narrow" w:cs="Calibri"/>
          <w:bCs/>
          <w:i/>
          <w:sz w:val="18"/>
        </w:rPr>
      </w:pPr>
      <w:r w:rsidRPr="004D6B5F">
        <w:rPr>
          <w:rFonts w:ascii="Arial Narrow" w:hAnsi="Arial Narrow" w:cs="Calibri"/>
          <w:bCs/>
          <w:i/>
          <w:sz w:val="18"/>
        </w:rPr>
        <w:t>Fuente: ANI (cifras en millones de pesos)</w:t>
      </w:r>
    </w:p>
    <w:p w:rsidR="00A15BF5" w:rsidRDefault="00A15BF5" w:rsidP="00A15BF5">
      <w:pPr>
        <w:tabs>
          <w:tab w:val="left" w:pos="3285"/>
        </w:tabs>
        <w:rPr>
          <w:rFonts w:ascii="Arial Narrow" w:hAnsi="Arial Narrow"/>
          <w:b/>
        </w:rPr>
      </w:pPr>
    </w:p>
    <w:p w:rsidR="00041D15" w:rsidRDefault="00041D15" w:rsidP="005401C5">
      <w:pPr>
        <w:spacing w:before="120" w:after="120" w:line="276" w:lineRule="auto"/>
        <w:rPr>
          <w:rFonts w:ascii="Arial Narrow" w:hAnsi="Arial Narrow"/>
          <w:lang w:val="es-CO"/>
        </w:rPr>
      </w:pPr>
      <w:r>
        <w:rPr>
          <w:rFonts w:ascii="Arial Narrow" w:hAnsi="Arial Narrow"/>
          <w:lang w:val="es-CO"/>
        </w:rPr>
        <w:t xml:space="preserve">Dentro de las acciones que se realizaron para el mejoramiento de este indicador, las principales acciones realizadas en la gestión contractual </w:t>
      </w:r>
      <w:r w:rsidR="00FC0C8B">
        <w:rPr>
          <w:rFonts w:ascii="Arial Narrow" w:hAnsi="Arial Narrow"/>
          <w:lang w:val="es-CO"/>
        </w:rPr>
        <w:t xml:space="preserve">de las concesiones viales </w:t>
      </w:r>
      <w:r>
        <w:rPr>
          <w:rFonts w:ascii="Arial Narrow" w:hAnsi="Arial Narrow"/>
          <w:lang w:val="es-CO"/>
        </w:rPr>
        <w:t>fueron las siguientes:</w:t>
      </w:r>
    </w:p>
    <w:p w:rsidR="00D80055" w:rsidRPr="004D6B5F" w:rsidRDefault="00D80055" w:rsidP="00D80055">
      <w:pPr>
        <w:jc w:val="center"/>
        <w:rPr>
          <w:rFonts w:ascii="Arial Narrow" w:hAnsi="Arial Narrow"/>
          <w:b/>
          <w:sz w:val="20"/>
          <w:szCs w:val="20"/>
        </w:rPr>
      </w:pPr>
      <w:r w:rsidRPr="004D6B5F">
        <w:rPr>
          <w:rFonts w:ascii="Arial Narrow" w:hAnsi="Arial Narrow"/>
          <w:b/>
          <w:sz w:val="20"/>
          <w:szCs w:val="20"/>
        </w:rPr>
        <w:t xml:space="preserve">Cuadro No. </w:t>
      </w:r>
      <w:r>
        <w:rPr>
          <w:rFonts w:ascii="Arial Narrow" w:hAnsi="Arial Narrow"/>
          <w:b/>
          <w:sz w:val="20"/>
          <w:szCs w:val="20"/>
        </w:rPr>
        <w:t>1</w:t>
      </w:r>
    </w:p>
    <w:p w:rsidR="00D80055" w:rsidRPr="00D80055" w:rsidRDefault="00FC0C8B" w:rsidP="00D80055">
      <w:pPr>
        <w:jc w:val="center"/>
        <w:rPr>
          <w:rFonts w:ascii="Arial Narrow" w:hAnsi="Arial Narrow"/>
          <w:b/>
          <w:sz w:val="20"/>
          <w:szCs w:val="20"/>
        </w:rPr>
      </w:pPr>
      <w:r>
        <w:rPr>
          <w:rFonts w:ascii="Arial Narrow" w:hAnsi="Arial Narrow"/>
          <w:b/>
          <w:sz w:val="20"/>
          <w:szCs w:val="20"/>
        </w:rPr>
        <w:t xml:space="preserve">Principales Acciones </w:t>
      </w:r>
      <w:r w:rsidR="00D80055">
        <w:rPr>
          <w:rFonts w:ascii="Arial Narrow" w:hAnsi="Arial Narrow"/>
          <w:b/>
          <w:sz w:val="20"/>
          <w:szCs w:val="20"/>
        </w:rPr>
        <w:t>en Concesiones Viales 2014</w:t>
      </w:r>
    </w:p>
    <w:tbl>
      <w:tblPr>
        <w:tblStyle w:val="Tablaconcuadrcula"/>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47"/>
        <w:gridCol w:w="6281"/>
      </w:tblGrid>
      <w:tr w:rsidR="00AE111D" w:rsidRPr="00AE111D" w:rsidTr="00834843">
        <w:trPr>
          <w:trHeight w:val="211"/>
          <w:tblHeader/>
        </w:trPr>
        <w:tc>
          <w:tcPr>
            <w:tcW w:w="2547" w:type="dxa"/>
            <w:shd w:val="clear" w:color="auto" w:fill="2E74B5" w:themeFill="accent1" w:themeFillShade="BF"/>
          </w:tcPr>
          <w:p w:rsidR="00AE111D" w:rsidRPr="00AE111D" w:rsidRDefault="00AE111D" w:rsidP="00AE111D">
            <w:pPr>
              <w:jc w:val="center"/>
              <w:rPr>
                <w:rFonts w:ascii="Arial Narrow" w:hAnsi="Arial Narrow"/>
                <w:b/>
                <w:color w:val="FFFFFF" w:themeColor="background1"/>
                <w:szCs w:val="22"/>
                <w:lang w:val="es-CO"/>
              </w:rPr>
            </w:pPr>
            <w:r w:rsidRPr="00AE111D">
              <w:rPr>
                <w:rFonts w:ascii="Arial Narrow" w:hAnsi="Arial Narrow"/>
                <w:b/>
                <w:color w:val="FFFFFF" w:themeColor="background1"/>
                <w:szCs w:val="22"/>
                <w:lang w:val="es-CO"/>
              </w:rPr>
              <w:t>Concesión</w:t>
            </w:r>
          </w:p>
        </w:tc>
        <w:tc>
          <w:tcPr>
            <w:tcW w:w="6281" w:type="dxa"/>
            <w:shd w:val="clear" w:color="auto" w:fill="2E74B5" w:themeFill="accent1" w:themeFillShade="BF"/>
          </w:tcPr>
          <w:p w:rsidR="00AE111D" w:rsidRPr="00AE111D" w:rsidRDefault="00AE111D" w:rsidP="00AE111D">
            <w:pPr>
              <w:jc w:val="center"/>
              <w:rPr>
                <w:rFonts w:ascii="Arial Narrow" w:hAnsi="Arial Narrow"/>
                <w:b/>
                <w:color w:val="FFFFFF" w:themeColor="background1"/>
                <w:szCs w:val="22"/>
                <w:lang w:val="es-CO"/>
              </w:rPr>
            </w:pPr>
            <w:r w:rsidRPr="00AE111D">
              <w:rPr>
                <w:rFonts w:ascii="Arial Narrow" w:hAnsi="Arial Narrow"/>
                <w:b/>
                <w:color w:val="FFFFFF" w:themeColor="background1"/>
                <w:szCs w:val="22"/>
                <w:lang w:val="es-CO"/>
              </w:rPr>
              <w:t>Principales Actividades</w:t>
            </w:r>
          </w:p>
        </w:tc>
      </w:tr>
      <w:tr w:rsidR="00E728F3" w:rsidRPr="00AE111D" w:rsidTr="00572796">
        <w:trPr>
          <w:trHeight w:val="284"/>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Girardot Ibagué Cajamarca</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Otrosí para viabilizar la construcción de la segunda calzada entre Gualanday y Chicoral,</w:t>
            </w:r>
          </w:p>
        </w:tc>
      </w:tr>
      <w:tr w:rsidR="00E728F3" w:rsidRPr="00AE111D" w:rsidTr="00572796">
        <w:trPr>
          <w:trHeight w:val="284"/>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Armenia-Pereira-Manizales</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 xml:space="preserve">Construcción de una Glorieta y Construcción de accesos y ramales a una intersección a desnivel. </w:t>
            </w:r>
          </w:p>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Se amplió el plazo para continuar la operación y mantenimiento rutinario por dos años de algunos tramos de la Variante Troncal de Occidente, la cual debía revertir a la Nación el 31 de diciembre de 2014.</w:t>
            </w:r>
          </w:p>
        </w:tc>
      </w:tr>
      <w:tr w:rsidR="00E728F3" w:rsidRPr="00AE111D" w:rsidTr="00834843">
        <w:trPr>
          <w:trHeight w:val="713"/>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Bogotá – Villavicencio</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Regularización de balance financiero para la ejecución de obras en zonas inestables en cumplimiento de Laudo Arbitral, logrando quedar a paz y salvo por este concepto.</w:t>
            </w:r>
          </w:p>
        </w:tc>
      </w:tr>
      <w:tr w:rsidR="00E728F3" w:rsidRPr="00AE111D" w:rsidTr="00834843">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Devinorte</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Se dio inicio a las obras de construcción de la Intersección de Portachuelo permitiendo la conectividad más segura entre los Proyectos Devinorte y Zipaquirá-Palenque.</w:t>
            </w:r>
          </w:p>
        </w:tc>
      </w:tr>
      <w:tr w:rsidR="00E728F3" w:rsidRPr="00AE111D" w:rsidTr="00572796">
        <w:trPr>
          <w:trHeight w:val="512"/>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Neiva Espinal Girardot</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Se avanzó en la finalización de la obra Variante de El Espinal, para reversión de la concesión en 2015.</w:t>
            </w:r>
          </w:p>
        </w:tc>
      </w:tr>
      <w:tr w:rsidR="00E728F3" w:rsidRPr="00AE111D" w:rsidTr="00572796">
        <w:trPr>
          <w:trHeight w:val="1883"/>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Zona Metropolitana de Bucaramanga</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Se reactivaron las obras faltantes del proyecto utilizando retenciones aplicadas, para construcción de obra, y recursos de las disminuciones, destinadas al saneamiento predial, y cancelar deuda por compensación tarifaria desde dic/11.</w:t>
            </w:r>
          </w:p>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Con la Ley de Infraestructura se logró dar continuidad al tramo 1 (T aeropuerto – Palenque) de 6,8 km con la entrega anticipada del predio denominado “Aldana” el cual se encontraba en proceso de expropiación desde el año 2012.</w:t>
            </w:r>
          </w:p>
        </w:tc>
      </w:tr>
      <w:tr w:rsidR="00E728F3" w:rsidRPr="00AE111D" w:rsidTr="00834843">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Rumichaca – Pasto – Chachagüí</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Suscripción de acuerdo conciliatorio para terminación anticipada de mutuo acuerdo del contrato de concesión y se presentó ante el Tribunal de Arbitramento para aprobación, previo concepto de la Procuraduría General de la Nación. Se espera pronunciamiento del Tribunal sobre el acuerdo conciliatorio. Las obras no ejecutadas se incorporarán en las concesiones de 4G “</w:t>
            </w:r>
            <w:r w:rsidRPr="00AE111D">
              <w:rPr>
                <w:rFonts w:ascii="Arial Narrow" w:hAnsi="Arial Narrow"/>
                <w:i/>
                <w:szCs w:val="22"/>
                <w:lang w:val="es-CO"/>
              </w:rPr>
              <w:t>Rumichaca – Pasto</w:t>
            </w:r>
            <w:r w:rsidRPr="00AE111D">
              <w:rPr>
                <w:rFonts w:ascii="Arial Narrow" w:hAnsi="Arial Narrow"/>
                <w:szCs w:val="22"/>
                <w:lang w:val="es-CO"/>
              </w:rPr>
              <w:t>” y “</w:t>
            </w:r>
            <w:r w:rsidRPr="00AE111D">
              <w:rPr>
                <w:rFonts w:ascii="Arial Narrow" w:hAnsi="Arial Narrow"/>
                <w:i/>
                <w:szCs w:val="22"/>
                <w:lang w:val="es-CO"/>
              </w:rPr>
              <w:t>Pasto – Popayán</w:t>
            </w:r>
            <w:r w:rsidRPr="00AE111D">
              <w:rPr>
                <w:rFonts w:ascii="Arial Narrow" w:hAnsi="Arial Narrow"/>
                <w:szCs w:val="22"/>
                <w:lang w:val="es-CO"/>
              </w:rPr>
              <w:t>”.</w:t>
            </w:r>
          </w:p>
        </w:tc>
      </w:tr>
      <w:tr w:rsidR="00E728F3" w:rsidRPr="00AE111D" w:rsidTr="00834843">
        <w:trPr>
          <w:trHeight w:val="1751"/>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Briceño – Tunja – Sogamoso</w:t>
            </w:r>
          </w:p>
        </w:tc>
        <w:tc>
          <w:tcPr>
            <w:tcW w:w="6281" w:type="dxa"/>
          </w:tcPr>
          <w:p w:rsidR="00E728F3" w:rsidRPr="00AE111D" w:rsidRDefault="00886484" w:rsidP="00AE111D">
            <w:pPr>
              <w:spacing w:beforeLines="50" w:before="120" w:afterLines="50" w:after="120"/>
              <w:rPr>
                <w:rFonts w:ascii="Arial Narrow" w:hAnsi="Arial Narrow"/>
                <w:szCs w:val="22"/>
                <w:lang w:val="es-CO"/>
              </w:rPr>
            </w:pPr>
            <w:r>
              <w:rPr>
                <w:rFonts w:ascii="Arial Narrow" w:hAnsi="Arial Narrow"/>
                <w:szCs w:val="22"/>
                <w:lang w:val="es-CO"/>
              </w:rPr>
              <w:t>S</w:t>
            </w:r>
            <w:r w:rsidR="00E728F3" w:rsidRPr="00AE111D">
              <w:rPr>
                <w:rFonts w:ascii="Arial Narrow" w:hAnsi="Arial Narrow"/>
                <w:szCs w:val="22"/>
                <w:lang w:val="es-CO"/>
              </w:rPr>
              <w:t>e firmó acuerdo con el concesionario para el desarrollo de obras requeridas para la variante de Gachancipá y variante de Tocancipá (685m), sujeta a lo dispuesto por Tribunal de Arbitramento, y se obtuvo el permiso de MinCultura para el desarrollo de la vía por el Puente de Boyacá.</w:t>
            </w:r>
          </w:p>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Instalación de amigable componedor para la finalización de las obras de la variante de Tocancipá y definición de Gachancipá.</w:t>
            </w:r>
          </w:p>
        </w:tc>
      </w:tr>
      <w:tr w:rsidR="00E728F3" w:rsidRPr="00AE111D" w:rsidTr="00834843">
        <w:trPr>
          <w:trHeight w:val="501"/>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Malla Vial del Valle del Cauca y Cauca</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Desafectación de tramos 1 y 7 del proyecto para su inclusión en los nuevos proyectos de concesión 4G.</w:t>
            </w:r>
          </w:p>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Elaboración de consulta previa en subsectores de Loboguerrero y Zabaletas (Directiva Presidencial 10 de 2013 – test de proporcionalidad –); Licencia Ambientales de La Guaira (Resolución ANLA 0429) y Loboguerrero (Resolución ANLA 1436)</w:t>
            </w:r>
          </w:p>
        </w:tc>
      </w:tr>
      <w:tr w:rsidR="00E728F3" w:rsidRPr="00AE111D" w:rsidTr="00834843">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Ruta Caribe</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Unificación de cuentas prediales para adquisición y gestión predial, ajuste en ubicación de cuatro puentes peatonales.</w:t>
            </w:r>
          </w:p>
        </w:tc>
      </w:tr>
      <w:tr w:rsidR="00E728F3" w:rsidRPr="00AE111D" w:rsidTr="00834843">
        <w:trPr>
          <w:trHeight w:val="2166"/>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Córdoba – Sucre</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Otrosí para la ejecución de segunda calzada de la paralela a la circunvalar de Montería (sustitución por puente Calle 42 sobre el río Sinú, extensión en Calle 41 en sector de La Glorieta de la entrada San Carlos (0.8 km) y construcción de retornos a nivel (1.66 km))</w:t>
            </w:r>
          </w:p>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 xml:space="preserve">Obtención de licencias ambientales para construcción de segundas calzadas La Yé – Sahagún, Sampués – Sincelejo y Sincelejo – Toluviejo, y de los sectores con Diagnóstico de Alternativas Ambientales – DAA- de los tramos La Yé - Sahagún y Sincelejo – Toluviejo. </w:t>
            </w:r>
          </w:p>
        </w:tc>
      </w:tr>
      <w:tr w:rsidR="00E728F3" w:rsidRPr="00AE111D" w:rsidTr="00572796">
        <w:trPr>
          <w:trHeight w:val="1879"/>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Ruta del Sol 1</w:t>
            </w:r>
          </w:p>
        </w:tc>
        <w:tc>
          <w:tcPr>
            <w:tcW w:w="6281" w:type="dxa"/>
          </w:tcPr>
          <w:p w:rsidR="00E728F3" w:rsidRPr="00AE111D" w:rsidRDefault="00E728F3" w:rsidP="00834843">
            <w:pPr>
              <w:spacing w:beforeLines="50" w:before="120" w:afterLines="50" w:after="120"/>
              <w:rPr>
                <w:rFonts w:ascii="Arial Narrow" w:hAnsi="Arial Narrow"/>
                <w:szCs w:val="22"/>
                <w:lang w:val="es-CO"/>
              </w:rPr>
            </w:pPr>
            <w:r w:rsidRPr="00AE111D">
              <w:rPr>
                <w:rFonts w:ascii="Arial Narrow" w:hAnsi="Arial Narrow"/>
                <w:szCs w:val="22"/>
                <w:lang w:val="es-CO"/>
              </w:rPr>
              <w:t>Se suscribió Acuerdo Específico entre la ANI y la Sociedad Colombiana de Ingenieros- SCI- para definir el trazado para el tramo 1 pendiente por ejecutar, alternativa denominada Concesión Sabana de Occidente ‘’CSO’’, la cual presentó los beneficios esperados y fue acogida por la ANI.</w:t>
            </w:r>
            <w:r w:rsidR="00834843">
              <w:rPr>
                <w:rFonts w:ascii="Arial Narrow" w:hAnsi="Arial Narrow"/>
                <w:szCs w:val="22"/>
                <w:lang w:val="es-CO"/>
              </w:rPr>
              <w:t xml:space="preserve"> Se</w:t>
            </w:r>
            <w:r w:rsidRPr="00AE111D">
              <w:rPr>
                <w:rFonts w:ascii="Arial Narrow" w:hAnsi="Arial Narrow"/>
                <w:szCs w:val="22"/>
                <w:lang w:val="es-CO"/>
              </w:rPr>
              <w:t xml:space="preserve"> delegó al Concesionario la adquisición y contratación de los estudios y diseños del nuevo trazado para el tramo 1 definido por la ANI</w:t>
            </w:r>
            <w:r w:rsidR="00834843">
              <w:rPr>
                <w:rFonts w:ascii="Arial Narrow" w:hAnsi="Arial Narrow"/>
                <w:szCs w:val="22"/>
                <w:lang w:val="es-CO"/>
              </w:rPr>
              <w:t xml:space="preserve">. </w:t>
            </w:r>
            <w:r w:rsidRPr="00AE111D">
              <w:rPr>
                <w:rFonts w:ascii="Arial Narrow" w:hAnsi="Arial Narrow"/>
                <w:szCs w:val="22"/>
                <w:lang w:val="es-CO"/>
              </w:rPr>
              <w:t>Se está avanzando en la ejecución de los estudios y diseños en Fase III, bajo la supervisión de la interventoría.</w:t>
            </w:r>
          </w:p>
        </w:tc>
      </w:tr>
      <w:tr w:rsidR="009866BC" w:rsidRPr="00AE111D" w:rsidTr="00572796">
        <w:trPr>
          <w:trHeight w:val="735"/>
        </w:trPr>
        <w:tc>
          <w:tcPr>
            <w:tcW w:w="2547" w:type="dxa"/>
            <w:vAlign w:val="center"/>
          </w:tcPr>
          <w:p w:rsidR="009866BC" w:rsidRPr="00054EBD" w:rsidRDefault="009866BC"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 xml:space="preserve">Ruta del Sol </w:t>
            </w:r>
            <w:r w:rsidR="00834843" w:rsidRPr="00054EBD">
              <w:rPr>
                <w:rFonts w:ascii="Arial Narrow" w:eastAsia="Times New Roman" w:hAnsi="Arial Narrow"/>
                <w:lang w:val="es-CO"/>
              </w:rPr>
              <w:t>2</w:t>
            </w:r>
          </w:p>
        </w:tc>
        <w:tc>
          <w:tcPr>
            <w:tcW w:w="6281" w:type="dxa"/>
          </w:tcPr>
          <w:p w:rsidR="009866BC" w:rsidRPr="00AE111D" w:rsidRDefault="009866BC" w:rsidP="00AE111D">
            <w:pPr>
              <w:spacing w:beforeLines="50" w:before="120" w:afterLines="50" w:after="120"/>
              <w:rPr>
                <w:rFonts w:ascii="Arial Narrow" w:hAnsi="Arial Narrow"/>
                <w:szCs w:val="22"/>
                <w:lang w:val="es-CO"/>
              </w:rPr>
            </w:pPr>
            <w:r w:rsidRPr="00AE111D">
              <w:rPr>
                <w:rFonts w:ascii="Arial Narrow" w:hAnsi="Arial Narrow"/>
                <w:szCs w:val="22"/>
                <w:lang w:val="es-CO"/>
              </w:rPr>
              <w:t xml:space="preserve">Se realizó la adición al contrato de la transversal Ocaña </w:t>
            </w:r>
            <w:r w:rsidR="00834843">
              <w:rPr>
                <w:rFonts w:ascii="Arial Narrow" w:hAnsi="Arial Narrow"/>
                <w:szCs w:val="22"/>
                <w:lang w:val="es-CO"/>
              </w:rPr>
              <w:t>–</w:t>
            </w:r>
            <w:r w:rsidRPr="00AE111D">
              <w:rPr>
                <w:rFonts w:ascii="Arial Narrow" w:hAnsi="Arial Narrow"/>
                <w:szCs w:val="22"/>
                <w:lang w:val="es-CO"/>
              </w:rPr>
              <w:t xml:space="preserve"> Gamarra</w:t>
            </w:r>
            <w:r w:rsidR="00834843">
              <w:rPr>
                <w:rFonts w:ascii="Arial Narrow" w:hAnsi="Arial Narrow"/>
                <w:szCs w:val="22"/>
                <w:lang w:val="es-CO"/>
              </w:rPr>
              <w:t xml:space="preserve"> por $1.8 billones, la cual se financia con ingresos adicionales de peaje y reprogramación de vigencias futuras del contrato original. La ejecución se realizará en 4 años</w:t>
            </w:r>
          </w:p>
        </w:tc>
      </w:tr>
      <w:tr w:rsidR="00E728F3" w:rsidRPr="00AE111D" w:rsidTr="00834843">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Ruta del Sol 3</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Se adelantaron procedimientos de consultas previas con las comunidades indígenas y afrodescendientes, avanzando significativamente en los acuerdos con dichas comunidades.</w:t>
            </w:r>
          </w:p>
        </w:tc>
      </w:tr>
      <w:tr w:rsidR="00845E7D" w:rsidRPr="00AE111D" w:rsidTr="00845E7D">
        <w:trPr>
          <w:trHeight w:val="1134"/>
        </w:trPr>
        <w:tc>
          <w:tcPr>
            <w:tcW w:w="2547" w:type="dxa"/>
            <w:vAlign w:val="center"/>
          </w:tcPr>
          <w:p w:rsidR="00845E7D" w:rsidRPr="00054EBD" w:rsidRDefault="00845E7D" w:rsidP="00054EBD">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Fontibón – Facatativá – Los Alpes</w:t>
            </w:r>
          </w:p>
        </w:tc>
        <w:tc>
          <w:tcPr>
            <w:tcW w:w="6281" w:type="dxa"/>
          </w:tcPr>
          <w:p w:rsidR="00845E7D" w:rsidRPr="00AE111D" w:rsidRDefault="00153910" w:rsidP="00153910">
            <w:pPr>
              <w:spacing w:beforeLines="50" w:before="120" w:afterLines="50" w:after="120"/>
              <w:rPr>
                <w:rFonts w:ascii="Arial Narrow" w:hAnsi="Arial Narrow"/>
                <w:szCs w:val="22"/>
                <w:lang w:val="es-CO"/>
              </w:rPr>
            </w:pPr>
            <w:r>
              <w:rPr>
                <w:rFonts w:ascii="Arial Narrow" w:hAnsi="Arial Narrow"/>
                <w:szCs w:val="22"/>
                <w:lang w:val="es-CO"/>
              </w:rPr>
              <w:t>Se dio inicio a la construcción de la segunda fase para la construcción de terceros carriles entre Rio Bogotá – Mosquera. Las obras se financiarán con extensión de plazo del contrato, y posibles excedentes de peajes.</w:t>
            </w:r>
          </w:p>
        </w:tc>
      </w:tr>
      <w:tr w:rsidR="009866BC" w:rsidRPr="00AE111D" w:rsidTr="00834843">
        <w:trPr>
          <w:trHeight w:val="2925"/>
        </w:trPr>
        <w:tc>
          <w:tcPr>
            <w:tcW w:w="2547" w:type="dxa"/>
            <w:vAlign w:val="center"/>
          </w:tcPr>
          <w:p w:rsidR="009866BC" w:rsidRPr="00054EBD" w:rsidRDefault="009866BC"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Bogotá – Girardot</w:t>
            </w:r>
          </w:p>
        </w:tc>
        <w:tc>
          <w:tcPr>
            <w:tcW w:w="6281" w:type="dxa"/>
          </w:tcPr>
          <w:p w:rsidR="009866BC" w:rsidRPr="00AE111D" w:rsidRDefault="009866BC" w:rsidP="00AE111D">
            <w:pPr>
              <w:spacing w:beforeLines="50" w:before="120" w:afterLines="50" w:after="120"/>
              <w:rPr>
                <w:rFonts w:ascii="Arial Narrow" w:hAnsi="Arial Narrow"/>
                <w:szCs w:val="22"/>
                <w:lang w:val="es-CO"/>
              </w:rPr>
            </w:pPr>
            <w:r w:rsidRPr="00AE111D">
              <w:rPr>
                <w:rFonts w:ascii="Arial Narrow" w:hAnsi="Arial Narrow"/>
                <w:szCs w:val="22"/>
                <w:lang w:val="es-CO"/>
              </w:rPr>
              <w:t>Se logró la culminación de la meta propuesta, con la terminación el 8 de abril de 2014 de la doble calzada origen-destino, entre el límite del Distrito Capital con el municipio de Soacha y el municipio de Girardot.</w:t>
            </w:r>
          </w:p>
          <w:p w:rsidR="009866BC" w:rsidRPr="00AE111D" w:rsidRDefault="009866BC" w:rsidP="00AE111D">
            <w:pPr>
              <w:spacing w:beforeLines="50" w:before="120" w:afterLines="50" w:after="120"/>
              <w:rPr>
                <w:rFonts w:ascii="Arial Narrow" w:hAnsi="Arial Narrow"/>
                <w:szCs w:val="22"/>
                <w:lang w:val="es-CO"/>
              </w:rPr>
            </w:pPr>
            <w:r w:rsidRPr="00AE111D">
              <w:rPr>
                <w:rFonts w:ascii="Arial Narrow" w:hAnsi="Arial Narrow"/>
                <w:szCs w:val="22"/>
                <w:lang w:val="es-CO"/>
              </w:rPr>
              <w:t>Incorporación de predios adicionales necesarios para la construcción de obras complementarias a la doble calzada.</w:t>
            </w:r>
          </w:p>
          <w:p w:rsidR="009866BC" w:rsidRPr="00AE111D" w:rsidRDefault="009866BC" w:rsidP="00AE111D">
            <w:pPr>
              <w:spacing w:beforeLines="50" w:before="120" w:afterLines="50" w:after="120"/>
              <w:rPr>
                <w:rFonts w:ascii="Arial Narrow" w:hAnsi="Arial Narrow"/>
                <w:szCs w:val="22"/>
                <w:lang w:val="es-CO"/>
              </w:rPr>
            </w:pPr>
            <w:r w:rsidRPr="00AE111D">
              <w:rPr>
                <w:rFonts w:ascii="Arial Narrow" w:hAnsi="Arial Narrow"/>
                <w:szCs w:val="22"/>
                <w:lang w:val="es-CO"/>
              </w:rPr>
              <w:t>Construcción de seis (6) puentes peatonales en el corredor vial ubicado en paso urbano de Soacha.</w:t>
            </w:r>
          </w:p>
          <w:p w:rsidR="009866BC" w:rsidRPr="00AE111D" w:rsidRDefault="009866BC" w:rsidP="00AE111D">
            <w:pPr>
              <w:spacing w:beforeLines="50" w:before="120" w:afterLines="50" w:after="120"/>
              <w:rPr>
                <w:rFonts w:ascii="Arial Narrow" w:hAnsi="Arial Narrow"/>
                <w:szCs w:val="22"/>
                <w:lang w:val="es-CO"/>
              </w:rPr>
            </w:pPr>
            <w:r w:rsidRPr="00AE111D">
              <w:rPr>
                <w:rFonts w:ascii="Arial Narrow" w:hAnsi="Arial Narrow"/>
                <w:szCs w:val="22"/>
                <w:lang w:val="es-CO"/>
              </w:rPr>
              <w:t>El más significativo es la declaratoria de caducidad al contrato por cuenta de la sanción impuesta por la Contraloría al concesionario, proceso que se inició el 16 de diciembre y se suspendió hasta el 20 de enero.</w:t>
            </w:r>
          </w:p>
        </w:tc>
      </w:tr>
      <w:tr w:rsidR="00834843" w:rsidRPr="00AE111D" w:rsidTr="00834843">
        <w:trPr>
          <w:trHeight w:val="647"/>
        </w:trPr>
        <w:tc>
          <w:tcPr>
            <w:tcW w:w="2547" w:type="dxa"/>
            <w:vAlign w:val="center"/>
          </w:tcPr>
          <w:p w:rsidR="00834843" w:rsidRPr="00054EBD" w:rsidRDefault="0083484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Transversal de Las Américas</w:t>
            </w:r>
          </w:p>
        </w:tc>
        <w:tc>
          <w:tcPr>
            <w:tcW w:w="6281" w:type="dxa"/>
          </w:tcPr>
          <w:p w:rsidR="00834843" w:rsidRPr="00AE111D" w:rsidRDefault="00834843" w:rsidP="00834843">
            <w:pPr>
              <w:spacing w:beforeLines="50" w:before="120" w:afterLines="50" w:after="120"/>
              <w:rPr>
                <w:rFonts w:ascii="Arial Narrow" w:hAnsi="Arial Narrow"/>
                <w:szCs w:val="22"/>
                <w:lang w:val="es-CO"/>
              </w:rPr>
            </w:pPr>
            <w:r>
              <w:rPr>
                <w:rFonts w:ascii="Arial Narrow" w:hAnsi="Arial Narrow"/>
                <w:szCs w:val="22"/>
                <w:lang w:val="es-CO"/>
              </w:rPr>
              <w:t>Continuando con la revisión del alcance predial, la entidad puso a disposición del concesionario los recursos necesarios para continuar con la gestión predial requerida para el desarrollo del proyecto, a la vez que trabajó con el concesionario para definir el alcance de infraestructura requerido, y un nuevo cronograma de entrega de las obras para el 2016.</w:t>
            </w:r>
          </w:p>
        </w:tc>
      </w:tr>
      <w:tr w:rsidR="00E728F3" w:rsidRPr="00AE111D" w:rsidTr="00572796">
        <w:trPr>
          <w:trHeight w:val="442"/>
        </w:trPr>
        <w:tc>
          <w:tcPr>
            <w:tcW w:w="2547" w:type="dxa"/>
            <w:vAlign w:val="center"/>
          </w:tcPr>
          <w:p w:rsidR="00E728F3" w:rsidRPr="00054EBD" w:rsidRDefault="00E728F3" w:rsidP="00054EBD">
            <w:pPr>
              <w:pStyle w:val="Prrafodelista"/>
              <w:numPr>
                <w:ilvl w:val="0"/>
                <w:numId w:val="54"/>
              </w:numPr>
              <w:spacing w:beforeLines="60" w:before="144" w:afterLines="60" w:after="144"/>
              <w:ind w:left="176" w:hanging="142"/>
              <w:rPr>
                <w:rFonts w:ascii="Arial Narrow" w:eastAsia="Times New Roman" w:hAnsi="Arial Narrow"/>
                <w:lang w:val="es-CO"/>
              </w:rPr>
            </w:pPr>
            <w:r w:rsidRPr="00054EBD">
              <w:rPr>
                <w:rFonts w:ascii="Arial Narrow" w:eastAsia="Times New Roman" w:hAnsi="Arial Narrow"/>
                <w:lang w:val="es-CO"/>
              </w:rPr>
              <w:t>Cartagena Barranquilla</w:t>
            </w:r>
          </w:p>
        </w:tc>
        <w:tc>
          <w:tcPr>
            <w:tcW w:w="6281" w:type="dxa"/>
          </w:tcPr>
          <w:p w:rsidR="00E728F3" w:rsidRPr="00AE111D" w:rsidRDefault="00E728F3" w:rsidP="00AE111D">
            <w:pPr>
              <w:spacing w:beforeLines="50" w:before="120" w:afterLines="50" w:after="120"/>
              <w:rPr>
                <w:rFonts w:ascii="Arial Narrow" w:hAnsi="Arial Narrow"/>
                <w:szCs w:val="22"/>
                <w:lang w:val="es-CO"/>
              </w:rPr>
            </w:pPr>
            <w:r w:rsidRPr="00AE111D">
              <w:rPr>
                <w:rFonts w:ascii="Arial Narrow" w:hAnsi="Arial Narrow"/>
                <w:szCs w:val="22"/>
                <w:lang w:val="es-CO"/>
              </w:rPr>
              <w:t>Suscripción de Contrato de Transacción para precaver un conflicto entre las Partes y viabilizar la terminación de las obras correspondientes al “</w:t>
            </w:r>
            <w:r w:rsidRPr="00572796">
              <w:rPr>
                <w:rFonts w:ascii="Arial Narrow" w:hAnsi="Arial Narrow"/>
                <w:i/>
                <w:szCs w:val="22"/>
                <w:lang w:val="es-CO"/>
              </w:rPr>
              <w:t>Anillo Vial de Crespo</w:t>
            </w:r>
            <w:r w:rsidRPr="00AE111D">
              <w:rPr>
                <w:rFonts w:ascii="Arial Narrow" w:hAnsi="Arial Narrow"/>
                <w:szCs w:val="22"/>
                <w:lang w:val="es-CO"/>
              </w:rPr>
              <w:t>”. Se acordó un nuevo cronograma con el concesionario para el arreglo de la estructura del túnel y la entrega y puesta en operación del mismo.</w:t>
            </w:r>
          </w:p>
        </w:tc>
      </w:tr>
    </w:tbl>
    <w:p w:rsidR="002A5588" w:rsidRDefault="002A5588" w:rsidP="002A5588">
      <w:pPr>
        <w:spacing w:before="120" w:after="120" w:line="276" w:lineRule="auto"/>
        <w:rPr>
          <w:rFonts w:ascii="Arial Narrow" w:hAnsi="Arial Narrow"/>
          <w:lang w:val="es-CO"/>
        </w:rPr>
      </w:pPr>
      <w:r>
        <w:rPr>
          <w:rFonts w:ascii="Arial Narrow" w:hAnsi="Arial Narrow"/>
          <w:lang w:val="es-CO"/>
        </w:rPr>
        <w:t xml:space="preserve">Dentro de estas gestiones, igualmente fue significativo el apoyo predial para destrabar problemas críticos históricos en algunos de estos proyectos </w:t>
      </w:r>
      <w:r w:rsidRPr="002A5588">
        <w:rPr>
          <w:rFonts w:ascii="Arial Narrow" w:hAnsi="Arial Narrow"/>
          <w:lang w:val="es-CO"/>
        </w:rPr>
        <w:t>(</w:t>
      </w:r>
      <w:r>
        <w:rPr>
          <w:rFonts w:ascii="Arial Narrow" w:hAnsi="Arial Narrow"/>
          <w:lang w:val="es-CO"/>
        </w:rPr>
        <w:t>p.ej.</w:t>
      </w:r>
      <w:r>
        <w:rPr>
          <w:rFonts w:ascii="Arial Narrow" w:hAnsi="Arial Narrow"/>
          <w:lang w:val="es-CO"/>
        </w:rPr>
        <w:t xml:space="preserve"> </w:t>
      </w:r>
      <w:r w:rsidRPr="002A5588">
        <w:rPr>
          <w:rFonts w:ascii="Arial Narrow" w:hAnsi="Arial Narrow"/>
          <w:lang w:val="es-CO"/>
        </w:rPr>
        <w:t>Williamson en Bogotá-Girardot, Maderas Aldana en ZMB, Suarez Cavalier en BTS, Villa Fátima y Villa Sorrento en Córdoba-Sucre</w:t>
      </w:r>
      <w:r>
        <w:rPr>
          <w:rFonts w:ascii="Arial Narrow" w:hAnsi="Arial Narrow"/>
          <w:lang w:val="es-CO"/>
        </w:rPr>
        <w:t>), el apoyo social en consultas previas (p.ej. c</w:t>
      </w:r>
      <w:r w:rsidRPr="002A5588">
        <w:rPr>
          <w:rFonts w:ascii="Arial Narrow" w:hAnsi="Arial Narrow"/>
          <w:lang w:val="es-CO"/>
        </w:rPr>
        <w:t>ierres con test de proporcionalidad en Loboguerrero y Zabaletas</w:t>
      </w:r>
      <w:r>
        <w:rPr>
          <w:rFonts w:ascii="Arial Narrow" w:hAnsi="Arial Narrow"/>
          <w:lang w:val="es-CO"/>
        </w:rPr>
        <w:t>; acuerdos en Ruta del Sol 3) y en temas ambientales (</w:t>
      </w:r>
      <w:r>
        <w:rPr>
          <w:rFonts w:ascii="Arial Narrow" w:hAnsi="Arial Narrow"/>
          <w:lang w:val="es-CO"/>
        </w:rPr>
        <w:t>p.ej.</w:t>
      </w:r>
      <w:r>
        <w:rPr>
          <w:rFonts w:ascii="Arial Narrow" w:hAnsi="Arial Narrow"/>
          <w:lang w:val="es-CO"/>
        </w:rPr>
        <w:t xml:space="preserve"> </w:t>
      </w:r>
      <w:r w:rsidRPr="002A5588">
        <w:rPr>
          <w:rFonts w:ascii="Arial Narrow" w:hAnsi="Arial Narrow"/>
          <w:lang w:val="es-CO"/>
        </w:rPr>
        <w:t>La Guaira</w:t>
      </w:r>
      <w:r>
        <w:rPr>
          <w:rFonts w:ascii="Arial Narrow" w:hAnsi="Arial Narrow"/>
          <w:lang w:val="es-CO"/>
        </w:rPr>
        <w:t>,</w:t>
      </w:r>
      <w:r w:rsidRPr="002A5588">
        <w:rPr>
          <w:rFonts w:ascii="Arial Narrow" w:hAnsi="Arial Narrow"/>
          <w:lang w:val="es-CO"/>
        </w:rPr>
        <w:t xml:space="preserve"> Loboguerrero</w:t>
      </w:r>
      <w:r>
        <w:rPr>
          <w:rFonts w:ascii="Arial Narrow" w:hAnsi="Arial Narrow"/>
          <w:lang w:val="es-CO"/>
        </w:rPr>
        <w:t>, s</w:t>
      </w:r>
      <w:r w:rsidRPr="002A5588">
        <w:rPr>
          <w:rFonts w:ascii="Arial Narrow" w:hAnsi="Arial Narrow"/>
          <w:lang w:val="es-CO"/>
        </w:rPr>
        <w:t>egundas calzadas La Yé – Sahagún, Sampués – Sincelejo y Sincelejo – Toluviejo</w:t>
      </w:r>
      <w:r>
        <w:rPr>
          <w:rFonts w:ascii="Arial Narrow" w:hAnsi="Arial Narrow"/>
          <w:lang w:val="es-CO"/>
        </w:rPr>
        <w:t>).</w:t>
      </w:r>
    </w:p>
    <w:p w:rsidR="00041D15" w:rsidRDefault="00C34A6B" w:rsidP="00AD165F">
      <w:pPr>
        <w:spacing w:before="120" w:after="120" w:line="276" w:lineRule="auto"/>
        <w:rPr>
          <w:rFonts w:ascii="Arial Narrow" w:hAnsi="Arial Narrow"/>
          <w:lang w:val="es-CO"/>
        </w:rPr>
      </w:pPr>
      <w:r>
        <w:rPr>
          <w:rFonts w:ascii="Arial Narrow" w:hAnsi="Arial Narrow"/>
          <w:lang w:val="es-CO"/>
        </w:rPr>
        <w:t>Por otra parte, la entidad tenía diez y siete (17) tribunales de arbitramentos instaurados, relacionados con once (11) contratos de concesión vial</w:t>
      </w:r>
      <w:r w:rsidR="00572796">
        <w:rPr>
          <w:rFonts w:ascii="Arial Narrow" w:hAnsi="Arial Narrow"/>
          <w:lang w:val="es-CO"/>
        </w:rPr>
        <w:t>, y tres (3) tribunales por interventorías en tres contratos de concesión, relacionados con Ponce de León (Grupo Nule).</w:t>
      </w:r>
    </w:p>
    <w:p w:rsidR="00C34A6B" w:rsidRPr="00AD165F" w:rsidRDefault="00C34A6B" w:rsidP="00AD165F">
      <w:pPr>
        <w:spacing w:before="120" w:after="120" w:line="276" w:lineRule="auto"/>
        <w:rPr>
          <w:rFonts w:ascii="Arial Narrow" w:hAnsi="Arial Narrow"/>
          <w:lang w:val="es-CO"/>
        </w:rPr>
      </w:pPr>
    </w:p>
    <w:p w:rsidR="00A15BF5" w:rsidRPr="004D6B5F" w:rsidRDefault="00A15BF5" w:rsidP="004D6B5F">
      <w:pPr>
        <w:pStyle w:val="Ttulo3"/>
        <w:numPr>
          <w:ilvl w:val="3"/>
          <w:numId w:val="2"/>
        </w:numPr>
        <w:rPr>
          <w:rFonts w:ascii="Arial Narrow" w:hAnsi="Arial Narrow"/>
        </w:rPr>
      </w:pPr>
      <w:bookmarkStart w:id="21" w:name="_Toc410922146"/>
      <w:r w:rsidRPr="004D6B5F">
        <w:rPr>
          <w:rFonts w:ascii="Arial Narrow" w:hAnsi="Arial Narrow"/>
        </w:rPr>
        <w:t>Mejoramiento de la Gestión de Concesiones Portuarias</w:t>
      </w:r>
      <w:bookmarkEnd w:id="21"/>
    </w:p>
    <w:p w:rsidR="00A15BF5" w:rsidRPr="004D6B5F" w:rsidRDefault="005E4DE9" w:rsidP="001A410D">
      <w:pPr>
        <w:spacing w:before="120" w:after="120" w:line="276" w:lineRule="auto"/>
        <w:rPr>
          <w:rFonts w:ascii="Arial Narrow" w:hAnsi="Arial Narrow"/>
          <w:szCs w:val="22"/>
          <w:lang w:val="es-CO"/>
        </w:rPr>
      </w:pPr>
      <w:r>
        <w:rPr>
          <w:rFonts w:ascii="Arial Narrow" w:hAnsi="Arial Narrow"/>
          <w:szCs w:val="22"/>
          <w:lang w:val="es-CO"/>
        </w:rPr>
        <w:t>Al cierre de 201</w:t>
      </w:r>
      <w:r w:rsidR="006E0209">
        <w:rPr>
          <w:rFonts w:ascii="Arial Narrow" w:hAnsi="Arial Narrow"/>
          <w:szCs w:val="22"/>
          <w:lang w:val="es-CO"/>
        </w:rPr>
        <w:t>3</w:t>
      </w:r>
      <w:r w:rsidR="00A15BF5" w:rsidRPr="004D6B5F">
        <w:rPr>
          <w:rFonts w:ascii="Arial Narrow" w:hAnsi="Arial Narrow"/>
          <w:szCs w:val="22"/>
          <w:lang w:val="es-CO"/>
        </w:rPr>
        <w:t xml:space="preserve"> se movilizaron 183 millones de toneladas de carga producto del comercio exterior, superando la meta propuesta por el Gobierno Nacional de movilizar 170 millones de toneladas. Durante el periodo 2011-2013 se finalizó el dragado de acceso a Buenaventura y Ciénaga y se ejecutaron grandes obras de infraestructura portuaria aumentando la capacidad y velocidad de carga </w:t>
      </w:r>
      <w:r w:rsidR="00A15BF5" w:rsidRPr="006178EE">
        <w:rPr>
          <w:rFonts w:ascii="Arial Narrow" w:hAnsi="Arial Narrow"/>
          <w:szCs w:val="22"/>
          <w:lang w:val="es-CO"/>
        </w:rPr>
        <w:t xml:space="preserve">en los puertos más importantes del país y </w:t>
      </w:r>
      <w:r w:rsidR="006E0209" w:rsidRPr="006178EE">
        <w:rPr>
          <w:rFonts w:ascii="Arial Narrow" w:hAnsi="Arial Narrow"/>
          <w:szCs w:val="22"/>
          <w:lang w:val="es-CO"/>
        </w:rPr>
        <w:t xml:space="preserve">para finales de 2014 la gran mayoría de puertos habían finalizado </w:t>
      </w:r>
      <w:r w:rsidR="00A15BF5" w:rsidRPr="006178EE">
        <w:rPr>
          <w:rFonts w:ascii="Arial Narrow" w:hAnsi="Arial Narrow"/>
          <w:szCs w:val="22"/>
          <w:lang w:val="es-CO"/>
        </w:rPr>
        <w:t>la construcción de los sistemas de cargue directo</w:t>
      </w:r>
      <w:r w:rsidR="008A565F">
        <w:rPr>
          <w:rFonts w:ascii="Arial Narrow" w:hAnsi="Arial Narrow"/>
          <w:szCs w:val="22"/>
          <w:lang w:val="es-CO"/>
        </w:rPr>
        <w:t xml:space="preserve"> </w:t>
      </w:r>
      <w:r w:rsidR="008A565F" w:rsidRPr="008A565F">
        <w:rPr>
          <w:rFonts w:ascii="Arial Narrow" w:hAnsi="Arial Narrow"/>
          <w:szCs w:val="22"/>
          <w:lang w:val="es-CO"/>
        </w:rPr>
        <w:t>(American Port Company, Puerto Bolívar, Puerto Brisa, Puerto Nuevo, entre otros)</w:t>
      </w:r>
      <w:r w:rsidR="00A15BF5" w:rsidRPr="008A565F">
        <w:rPr>
          <w:rFonts w:ascii="Arial Narrow" w:hAnsi="Arial Narrow"/>
          <w:szCs w:val="22"/>
          <w:lang w:val="es-CO"/>
        </w:rPr>
        <w:t>, lo cual permitió pasar d</w:t>
      </w:r>
      <w:r w:rsidR="00A15BF5" w:rsidRPr="006178EE">
        <w:rPr>
          <w:rFonts w:ascii="Arial Narrow" w:hAnsi="Arial Narrow"/>
          <w:szCs w:val="22"/>
          <w:lang w:val="es-CO"/>
        </w:rPr>
        <w:t>e una invers</w:t>
      </w:r>
      <w:r w:rsidR="00A15BF5" w:rsidRPr="005E4DE9">
        <w:rPr>
          <w:rFonts w:ascii="Arial Narrow" w:hAnsi="Arial Narrow"/>
          <w:szCs w:val="22"/>
          <w:lang w:val="es-CO"/>
        </w:rPr>
        <w:t>ión en infraestructura portuaria de US$ 168 millones en 2010,</w:t>
      </w:r>
      <w:r w:rsidR="00812766" w:rsidRPr="005E4DE9">
        <w:rPr>
          <w:rFonts w:ascii="Arial Narrow" w:hAnsi="Arial Narrow"/>
          <w:szCs w:val="22"/>
          <w:lang w:val="es-CO"/>
        </w:rPr>
        <w:t xml:space="preserve"> a US$</w:t>
      </w:r>
      <w:r w:rsidR="006E0209">
        <w:rPr>
          <w:rFonts w:ascii="Arial Narrow" w:hAnsi="Arial Narrow"/>
          <w:szCs w:val="22"/>
          <w:lang w:val="es-CO"/>
        </w:rPr>
        <w:t>449</w:t>
      </w:r>
      <w:r w:rsidR="00812766" w:rsidRPr="005E4DE9">
        <w:rPr>
          <w:rFonts w:ascii="Arial Narrow" w:hAnsi="Arial Narrow"/>
          <w:szCs w:val="22"/>
          <w:lang w:val="es-CO"/>
        </w:rPr>
        <w:t xml:space="preserve"> millones en </w:t>
      </w:r>
      <w:r w:rsidR="006E0209">
        <w:rPr>
          <w:rFonts w:ascii="Arial Narrow" w:hAnsi="Arial Narrow"/>
          <w:szCs w:val="22"/>
          <w:lang w:val="es-CO"/>
        </w:rPr>
        <w:t xml:space="preserve">los primeros nueve meses de </w:t>
      </w:r>
      <w:r w:rsidR="00812766" w:rsidRPr="005E4DE9">
        <w:rPr>
          <w:rFonts w:ascii="Arial Narrow" w:hAnsi="Arial Narrow"/>
          <w:szCs w:val="22"/>
          <w:lang w:val="es-CO"/>
        </w:rPr>
        <w:t>201</w:t>
      </w:r>
      <w:r w:rsidRPr="005E4DE9">
        <w:rPr>
          <w:rFonts w:ascii="Arial Narrow" w:hAnsi="Arial Narrow"/>
          <w:szCs w:val="22"/>
          <w:lang w:val="es-CO"/>
        </w:rPr>
        <w:t>4</w:t>
      </w:r>
      <w:r w:rsidR="00812766">
        <w:rPr>
          <w:rFonts w:ascii="Arial Narrow" w:hAnsi="Arial Narrow"/>
          <w:szCs w:val="22"/>
          <w:lang w:val="es-CO"/>
        </w:rPr>
        <w:t>.</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Entre 2011 y</w:t>
      </w:r>
      <w:r w:rsidR="006E0209">
        <w:rPr>
          <w:rFonts w:ascii="Arial Narrow" w:hAnsi="Arial Narrow"/>
          <w:szCs w:val="22"/>
          <w:lang w:val="es-CO"/>
        </w:rPr>
        <w:t xml:space="preserve"> el tercer trimestre de</w:t>
      </w:r>
      <w:r w:rsidRPr="004D6B5F">
        <w:rPr>
          <w:rFonts w:ascii="Arial Narrow" w:hAnsi="Arial Narrow"/>
          <w:szCs w:val="22"/>
          <w:lang w:val="es-CO"/>
        </w:rPr>
        <w:t xml:space="preserve"> 201</w:t>
      </w:r>
      <w:r w:rsidR="005E4DE9">
        <w:rPr>
          <w:rFonts w:ascii="Arial Narrow" w:hAnsi="Arial Narrow"/>
          <w:szCs w:val="22"/>
          <w:lang w:val="es-CO"/>
        </w:rPr>
        <w:t>4</w:t>
      </w:r>
      <w:r w:rsidRPr="004D6B5F">
        <w:rPr>
          <w:rFonts w:ascii="Arial Narrow" w:hAnsi="Arial Narrow"/>
          <w:szCs w:val="22"/>
          <w:lang w:val="es-CO"/>
        </w:rPr>
        <w:t xml:space="preserve"> se realizaron inversiones en zonas portuarias de uso público por valor US$</w:t>
      </w:r>
      <w:r w:rsidR="005E4DE9">
        <w:rPr>
          <w:rFonts w:ascii="Arial Narrow" w:hAnsi="Arial Narrow"/>
          <w:szCs w:val="22"/>
          <w:lang w:val="es-CO"/>
        </w:rPr>
        <w:t>1.</w:t>
      </w:r>
      <w:r w:rsidR="006E0209">
        <w:rPr>
          <w:rFonts w:ascii="Arial Narrow" w:hAnsi="Arial Narrow"/>
          <w:szCs w:val="22"/>
          <w:lang w:val="es-CO"/>
        </w:rPr>
        <w:t>396</w:t>
      </w:r>
      <w:r w:rsidRPr="004D6B5F">
        <w:rPr>
          <w:rFonts w:ascii="Arial Narrow" w:hAnsi="Arial Narrow"/>
          <w:szCs w:val="22"/>
          <w:lang w:val="es-CO"/>
        </w:rPr>
        <w:t xml:space="preserve"> millones</w:t>
      </w:r>
      <w:r w:rsidR="005E4DE9">
        <w:rPr>
          <w:rFonts w:ascii="Arial Narrow" w:hAnsi="Arial Narrow"/>
          <w:szCs w:val="22"/>
          <w:lang w:val="es-CO"/>
        </w:rPr>
        <w:t xml:space="preserve">, de los cuales el </w:t>
      </w:r>
      <w:r w:rsidR="006E0209">
        <w:rPr>
          <w:rFonts w:ascii="Arial Narrow" w:hAnsi="Arial Narrow"/>
          <w:szCs w:val="22"/>
          <w:lang w:val="es-CO"/>
        </w:rPr>
        <w:t xml:space="preserve">valor parcial de </w:t>
      </w:r>
      <w:r w:rsidR="005E4DE9">
        <w:rPr>
          <w:rFonts w:ascii="Arial Narrow" w:hAnsi="Arial Narrow"/>
          <w:szCs w:val="22"/>
          <w:lang w:val="es-CO"/>
        </w:rPr>
        <w:t>2014 es el año de mayor inversión, con US$</w:t>
      </w:r>
      <w:r w:rsidR="006E0209">
        <w:rPr>
          <w:rFonts w:ascii="Arial Narrow" w:hAnsi="Arial Narrow"/>
          <w:szCs w:val="22"/>
          <w:lang w:val="es-CO"/>
        </w:rPr>
        <w:t>449</w:t>
      </w:r>
      <w:r w:rsidR="005E4DE9" w:rsidRPr="005E4DE9">
        <w:rPr>
          <w:rFonts w:ascii="Arial Narrow" w:hAnsi="Arial Narrow"/>
          <w:szCs w:val="22"/>
          <w:lang w:val="es-CO"/>
        </w:rPr>
        <w:t xml:space="preserve"> millones</w:t>
      </w:r>
      <w:r w:rsidRPr="005E4DE9">
        <w:rPr>
          <w:rFonts w:ascii="Arial Narrow" w:hAnsi="Arial Narrow"/>
          <w:szCs w:val="22"/>
          <w:lang w:val="es-CO"/>
        </w:rPr>
        <w:t xml:space="preserve"> de dólares (</w:t>
      </w:r>
      <w:r w:rsidRPr="004D6B5F">
        <w:rPr>
          <w:rFonts w:ascii="Arial Narrow" w:hAnsi="Arial Narrow"/>
          <w:szCs w:val="22"/>
          <w:lang w:val="es-CO"/>
        </w:rPr>
        <w:t>Ver gráfico No. 6). De acuerdo a estimaciones, por un peso invertido en las zonas de uso público se invierte un peso en la zona de uso privado, por lo tanto el efecto de la inversión portuario es aproximadamente el doble a la registrada en la zona de uso público.</w:t>
      </w:r>
    </w:p>
    <w:p w:rsidR="00A15BF5" w:rsidRPr="004D6B5F" w:rsidRDefault="00A15BF5" w:rsidP="00A15BF5">
      <w:pPr>
        <w:tabs>
          <w:tab w:val="left" w:pos="3285"/>
        </w:tabs>
        <w:jc w:val="center"/>
        <w:rPr>
          <w:rFonts w:ascii="Arial Narrow" w:hAnsi="Arial Narrow"/>
          <w:b/>
          <w:sz w:val="20"/>
        </w:rPr>
      </w:pPr>
      <w:r w:rsidRPr="004D6B5F">
        <w:rPr>
          <w:rFonts w:ascii="Arial Narrow" w:hAnsi="Arial Narrow"/>
          <w:b/>
          <w:sz w:val="20"/>
        </w:rPr>
        <w:t>Gráfico No. 6</w:t>
      </w:r>
    </w:p>
    <w:p w:rsidR="00A15BF5" w:rsidRPr="004D6B5F" w:rsidRDefault="00A15BF5" w:rsidP="00A15BF5">
      <w:pPr>
        <w:tabs>
          <w:tab w:val="left" w:pos="3285"/>
        </w:tabs>
        <w:jc w:val="center"/>
        <w:rPr>
          <w:rFonts w:ascii="Arial Narrow" w:hAnsi="Arial Narrow"/>
          <w:b/>
        </w:rPr>
      </w:pPr>
      <w:r w:rsidRPr="004D6B5F">
        <w:rPr>
          <w:rFonts w:ascii="Arial Narrow" w:hAnsi="Arial Narrow"/>
          <w:b/>
          <w:sz w:val="20"/>
        </w:rPr>
        <w:t>Inversión en Concesiones Portuarias (Zona de Uso Público)</w:t>
      </w:r>
    </w:p>
    <w:p w:rsidR="00A15BF5" w:rsidRPr="004D6B5F" w:rsidRDefault="006E0209" w:rsidP="00A15BF5">
      <w:pPr>
        <w:tabs>
          <w:tab w:val="left" w:pos="3285"/>
        </w:tabs>
        <w:jc w:val="center"/>
        <w:rPr>
          <w:rFonts w:ascii="Arial Narrow" w:hAnsi="Arial Narrow"/>
          <w:b/>
        </w:rPr>
      </w:pPr>
      <w:r>
        <w:rPr>
          <w:noProof/>
          <w:lang w:val="es-CO" w:eastAsia="es-CO"/>
        </w:rPr>
        <w:drawing>
          <wp:inline distT="0" distB="0" distL="0" distR="0" wp14:anchorId="04513530" wp14:editId="6F0C208E">
            <wp:extent cx="3067050" cy="1433830"/>
            <wp:effectExtent l="0" t="0" r="0"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7128" w:rsidRDefault="00857128" w:rsidP="00812766">
      <w:pPr>
        <w:autoSpaceDE w:val="0"/>
        <w:autoSpaceDN w:val="0"/>
        <w:adjustRightInd w:val="0"/>
        <w:ind w:left="1418" w:firstLine="709"/>
        <w:rPr>
          <w:rFonts w:ascii="Arial Narrow" w:hAnsi="Arial Narrow" w:cs="Calibri"/>
          <w:bCs/>
          <w:i/>
          <w:sz w:val="18"/>
        </w:rPr>
      </w:pPr>
      <w:r>
        <w:rPr>
          <w:rFonts w:ascii="Arial Narrow" w:hAnsi="Arial Narrow" w:cs="Calibri"/>
          <w:bCs/>
          <w:i/>
          <w:sz w:val="18"/>
        </w:rPr>
        <w:t>Cifras en Millones de Dólares</w:t>
      </w:r>
    </w:p>
    <w:p w:rsidR="00A15BF5" w:rsidRPr="004D6B5F" w:rsidRDefault="00A15BF5" w:rsidP="00812766">
      <w:pPr>
        <w:autoSpaceDE w:val="0"/>
        <w:autoSpaceDN w:val="0"/>
        <w:adjustRightInd w:val="0"/>
        <w:ind w:left="1418" w:firstLine="709"/>
        <w:rPr>
          <w:rFonts w:ascii="Arial Narrow" w:hAnsi="Arial Narrow" w:cs="Calibri"/>
          <w:bCs/>
          <w:i/>
          <w:sz w:val="18"/>
        </w:rPr>
      </w:pPr>
      <w:r w:rsidRPr="004D6B5F">
        <w:rPr>
          <w:rFonts w:ascii="Arial Narrow" w:hAnsi="Arial Narrow" w:cs="Calibri"/>
          <w:bCs/>
          <w:i/>
          <w:sz w:val="18"/>
        </w:rPr>
        <w:t>Fuente: ANI</w:t>
      </w:r>
    </w:p>
    <w:p w:rsidR="00A15BF5" w:rsidRPr="00054EBD" w:rsidRDefault="00A15BF5" w:rsidP="00054EBD">
      <w:pPr>
        <w:spacing w:before="120" w:after="120" w:line="276" w:lineRule="auto"/>
        <w:rPr>
          <w:rFonts w:ascii="Arial Narrow" w:hAnsi="Arial Narrow"/>
          <w:szCs w:val="22"/>
          <w:lang w:val="es-CO"/>
        </w:rPr>
      </w:pPr>
    </w:p>
    <w:p w:rsidR="00054EBD" w:rsidRPr="00054EBD" w:rsidRDefault="00054EBD" w:rsidP="00054EBD">
      <w:pPr>
        <w:spacing w:before="120" w:after="120" w:line="276" w:lineRule="auto"/>
        <w:rPr>
          <w:rFonts w:ascii="Arial Narrow" w:hAnsi="Arial Narrow"/>
          <w:szCs w:val="22"/>
          <w:lang w:val="es-CO"/>
        </w:rPr>
      </w:pPr>
      <w:r w:rsidRPr="00054EBD">
        <w:rPr>
          <w:rFonts w:ascii="Arial Narrow" w:hAnsi="Arial Narrow"/>
          <w:szCs w:val="22"/>
          <w:lang w:val="es-CO"/>
        </w:rPr>
        <w:t>La gestión en la supervisión de los puertos impacta en los ingresos recibidos por el Estado. Con la aplicación de la nueva contraprestación conforme a la metodología del Conpes 3744 de 2013 a los contratos de concesión portuaria</w:t>
      </w:r>
      <w:r>
        <w:rPr>
          <w:rFonts w:ascii="Arial Narrow" w:hAnsi="Arial Narrow"/>
          <w:szCs w:val="22"/>
          <w:lang w:val="es-CO"/>
        </w:rPr>
        <w:t xml:space="preserve"> se mejoró el ingreso de dichas contraprestaciones, siendo los puertos de mayor relevancia Cerrejón Zona Norte </w:t>
      </w:r>
      <w:r w:rsidRPr="00054EBD">
        <w:rPr>
          <w:rFonts w:ascii="Arial Narrow" w:hAnsi="Arial Narrow"/>
          <w:szCs w:val="22"/>
          <w:lang w:val="es-CO"/>
        </w:rPr>
        <w:t>S.A</w:t>
      </w:r>
      <w:r>
        <w:rPr>
          <w:rFonts w:ascii="Arial Narrow" w:hAnsi="Arial Narrow"/>
          <w:szCs w:val="22"/>
          <w:lang w:val="es-CO"/>
        </w:rPr>
        <w:t xml:space="preserve">., </w:t>
      </w:r>
      <w:r w:rsidRPr="00054EBD">
        <w:rPr>
          <w:rFonts w:ascii="Arial Narrow" w:hAnsi="Arial Narrow"/>
          <w:szCs w:val="22"/>
          <w:lang w:val="es-CO"/>
        </w:rPr>
        <w:t>Sociedad Portuaria Central Cartagena S.A</w:t>
      </w:r>
      <w:r>
        <w:rPr>
          <w:rFonts w:ascii="Arial Narrow" w:hAnsi="Arial Narrow"/>
          <w:szCs w:val="22"/>
          <w:lang w:val="es-CO"/>
        </w:rPr>
        <w:t xml:space="preserve">., </w:t>
      </w:r>
      <w:r w:rsidRPr="00054EBD">
        <w:rPr>
          <w:rFonts w:ascii="Arial Narrow" w:hAnsi="Arial Narrow"/>
          <w:szCs w:val="22"/>
          <w:lang w:val="es-CO"/>
        </w:rPr>
        <w:t>Sociedad Portuaria del Dique S.A</w:t>
      </w:r>
      <w:r>
        <w:rPr>
          <w:rFonts w:ascii="Arial Narrow" w:hAnsi="Arial Narrow"/>
          <w:szCs w:val="22"/>
          <w:lang w:val="es-CO"/>
        </w:rPr>
        <w:t xml:space="preserve">., Puerto Brisa, </w:t>
      </w:r>
      <w:r w:rsidRPr="00054EBD">
        <w:rPr>
          <w:rFonts w:ascii="Arial Narrow" w:hAnsi="Arial Narrow"/>
          <w:szCs w:val="22"/>
          <w:lang w:val="es-CO"/>
        </w:rPr>
        <w:t>Terminal de Contenedores de Buenaventura S.A. – TC BUEN</w:t>
      </w:r>
      <w:r>
        <w:rPr>
          <w:rFonts w:ascii="Arial Narrow" w:hAnsi="Arial Narrow"/>
          <w:szCs w:val="22"/>
          <w:lang w:val="es-CO"/>
        </w:rPr>
        <w:t>.</w:t>
      </w:r>
    </w:p>
    <w:p w:rsidR="00054EBD" w:rsidRDefault="00054EBD" w:rsidP="00054EBD">
      <w:pPr>
        <w:spacing w:before="120" w:after="120" w:line="276" w:lineRule="auto"/>
        <w:rPr>
          <w:rFonts w:ascii="Arial Narrow" w:hAnsi="Arial Narrow"/>
          <w:szCs w:val="22"/>
          <w:lang w:val="es-CO"/>
        </w:rPr>
      </w:pPr>
      <w:r>
        <w:rPr>
          <w:rFonts w:ascii="Arial Narrow" w:hAnsi="Arial Narrow"/>
          <w:szCs w:val="22"/>
          <w:lang w:val="es-CO"/>
        </w:rPr>
        <w:t xml:space="preserve">Igualmente fue importante el ajuste en el Plan Bianual de Inversiones para la </w:t>
      </w:r>
      <w:r w:rsidRPr="00054EBD">
        <w:rPr>
          <w:rFonts w:ascii="Arial Narrow" w:hAnsi="Arial Narrow"/>
          <w:szCs w:val="22"/>
          <w:lang w:val="es-CO"/>
        </w:rPr>
        <w:t>Sociedad Portuaria Regional de Buenaventura S.A. – SPRBUN</w:t>
      </w:r>
      <w:r w:rsidR="001C68D2">
        <w:rPr>
          <w:rFonts w:ascii="Arial Narrow" w:hAnsi="Arial Narrow"/>
          <w:szCs w:val="22"/>
          <w:lang w:val="es-CO"/>
        </w:rPr>
        <w:t xml:space="preserve"> y la autorización temporal para Terminal Ecopetrol Refinería, hasta tanto se decidan las nuevas condiciones del nuevo contrato.</w:t>
      </w:r>
    </w:p>
    <w:p w:rsidR="00D80055" w:rsidRDefault="00D80055" w:rsidP="00054EBD">
      <w:pPr>
        <w:spacing w:before="120" w:after="120" w:line="276" w:lineRule="auto"/>
        <w:rPr>
          <w:rFonts w:ascii="Arial Narrow" w:hAnsi="Arial Narrow"/>
          <w:szCs w:val="22"/>
          <w:lang w:val="es-CO"/>
        </w:rPr>
      </w:pPr>
      <w:r>
        <w:rPr>
          <w:rFonts w:ascii="Arial Narrow" w:hAnsi="Arial Narrow"/>
          <w:szCs w:val="22"/>
          <w:lang w:val="es-CO"/>
        </w:rPr>
        <w:t>El Cuadro N° 2 relaciona las autorizaciones portuarias otorgadas desde 2011:</w:t>
      </w:r>
    </w:p>
    <w:p w:rsidR="00D80055" w:rsidRPr="004D6B5F" w:rsidRDefault="00D80055" w:rsidP="00D80055">
      <w:pPr>
        <w:jc w:val="center"/>
        <w:rPr>
          <w:rFonts w:ascii="Arial Narrow" w:hAnsi="Arial Narrow"/>
          <w:b/>
          <w:sz w:val="20"/>
          <w:szCs w:val="20"/>
        </w:rPr>
      </w:pPr>
      <w:r w:rsidRPr="004D6B5F">
        <w:rPr>
          <w:rFonts w:ascii="Arial Narrow" w:hAnsi="Arial Narrow"/>
          <w:b/>
          <w:sz w:val="20"/>
          <w:szCs w:val="20"/>
        </w:rPr>
        <w:t xml:space="preserve">Cuadro No. </w:t>
      </w:r>
      <w:r>
        <w:rPr>
          <w:rFonts w:ascii="Arial Narrow" w:hAnsi="Arial Narrow"/>
          <w:b/>
          <w:sz w:val="20"/>
          <w:szCs w:val="20"/>
        </w:rPr>
        <w:t>2</w:t>
      </w:r>
    </w:p>
    <w:p w:rsidR="00D80055" w:rsidRPr="00D80055" w:rsidRDefault="00D80055" w:rsidP="00D80055">
      <w:pPr>
        <w:jc w:val="center"/>
        <w:rPr>
          <w:rFonts w:ascii="Arial Narrow" w:hAnsi="Arial Narrow"/>
          <w:b/>
          <w:sz w:val="20"/>
          <w:szCs w:val="20"/>
        </w:rPr>
      </w:pPr>
      <w:r>
        <w:rPr>
          <w:rFonts w:ascii="Arial Narrow" w:hAnsi="Arial Narrow"/>
          <w:b/>
          <w:sz w:val="20"/>
          <w:szCs w:val="20"/>
        </w:rPr>
        <w:t>Contratos de Concesión Portuaria Otorgados 2011-2014</w:t>
      </w:r>
    </w:p>
    <w:tbl>
      <w:tblPr>
        <w:tblW w:w="0" w:type="auto"/>
        <w:jc w:val="center"/>
        <w:tblCellMar>
          <w:left w:w="70" w:type="dxa"/>
          <w:right w:w="70" w:type="dxa"/>
        </w:tblCellMar>
        <w:tblLook w:val="04A0" w:firstRow="1" w:lastRow="0" w:firstColumn="1" w:lastColumn="0" w:noHBand="0" w:noVBand="1"/>
      </w:tblPr>
      <w:tblGrid>
        <w:gridCol w:w="1162"/>
        <w:gridCol w:w="2760"/>
        <w:gridCol w:w="1720"/>
        <w:gridCol w:w="1200"/>
        <w:gridCol w:w="1200"/>
      </w:tblGrid>
      <w:tr w:rsidR="00D80055" w:rsidRPr="00D80055" w:rsidTr="00845E7D">
        <w:trPr>
          <w:trHeight w:val="315"/>
          <w:tblHeader/>
          <w:jc w:val="center"/>
        </w:trPr>
        <w:tc>
          <w:tcPr>
            <w:tcW w:w="1148"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rsidR="00D80055" w:rsidRPr="00D80055" w:rsidRDefault="00D80055" w:rsidP="00D80055">
            <w:pPr>
              <w:jc w:val="center"/>
              <w:rPr>
                <w:rFonts w:ascii="Arial Narrow" w:eastAsia="Times New Roman" w:hAnsi="Arial Narrow"/>
                <w:b/>
                <w:bCs/>
                <w:color w:val="000000"/>
                <w:sz w:val="20"/>
                <w:szCs w:val="20"/>
                <w:lang w:val="es-CO" w:eastAsia="es-CO"/>
              </w:rPr>
            </w:pPr>
            <w:r w:rsidRPr="00D80055">
              <w:rPr>
                <w:rFonts w:ascii="Arial Narrow" w:eastAsia="Times New Roman" w:hAnsi="Arial Narrow"/>
                <w:b/>
                <w:bCs/>
                <w:color w:val="000000"/>
                <w:sz w:val="20"/>
                <w:szCs w:val="20"/>
                <w:lang w:eastAsia="es-CO"/>
              </w:rPr>
              <w:t>Ciudad o Municipio</w:t>
            </w:r>
          </w:p>
        </w:tc>
        <w:tc>
          <w:tcPr>
            <w:tcW w:w="2760"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rsidR="00D80055" w:rsidRPr="00D80055" w:rsidRDefault="00D80055" w:rsidP="00D80055">
            <w:pPr>
              <w:jc w:val="center"/>
              <w:rPr>
                <w:rFonts w:ascii="Arial Narrow" w:eastAsia="Times New Roman" w:hAnsi="Arial Narrow"/>
                <w:b/>
                <w:bCs/>
                <w:color w:val="000000"/>
                <w:sz w:val="20"/>
                <w:szCs w:val="20"/>
                <w:lang w:val="es-CO" w:eastAsia="es-CO"/>
              </w:rPr>
            </w:pPr>
            <w:r w:rsidRPr="00D80055">
              <w:rPr>
                <w:rFonts w:ascii="Arial Narrow" w:eastAsia="Times New Roman" w:hAnsi="Arial Narrow"/>
                <w:b/>
                <w:bCs/>
                <w:color w:val="000000"/>
                <w:sz w:val="20"/>
                <w:szCs w:val="20"/>
                <w:lang w:eastAsia="es-CO"/>
              </w:rPr>
              <w:t>Nombre Concesionario o beneficiario</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rsidR="00D80055" w:rsidRPr="00D80055" w:rsidRDefault="00D80055" w:rsidP="00D80055">
            <w:pPr>
              <w:jc w:val="center"/>
              <w:rPr>
                <w:rFonts w:ascii="Arial Narrow" w:eastAsia="Times New Roman" w:hAnsi="Arial Narrow"/>
                <w:b/>
                <w:bCs/>
                <w:color w:val="000000"/>
                <w:sz w:val="20"/>
                <w:szCs w:val="20"/>
                <w:lang w:val="es-CO" w:eastAsia="es-CO"/>
              </w:rPr>
            </w:pPr>
            <w:r w:rsidRPr="00D80055">
              <w:rPr>
                <w:rFonts w:ascii="Arial Narrow" w:eastAsia="Times New Roman" w:hAnsi="Arial Narrow"/>
                <w:b/>
                <w:bCs/>
                <w:color w:val="000000"/>
                <w:sz w:val="20"/>
                <w:szCs w:val="20"/>
                <w:lang w:eastAsia="es-CO"/>
              </w:rPr>
              <w:t>Acto Administrativo Permiso</w:t>
            </w:r>
          </w:p>
        </w:tc>
        <w:tc>
          <w:tcPr>
            <w:tcW w:w="2400" w:type="dxa"/>
            <w:gridSpan w:val="2"/>
            <w:tcBorders>
              <w:top w:val="single" w:sz="8" w:space="0" w:color="auto"/>
              <w:left w:val="nil"/>
              <w:bottom w:val="single" w:sz="8" w:space="0" w:color="auto"/>
              <w:right w:val="single" w:sz="8" w:space="0" w:color="000000"/>
            </w:tcBorders>
            <w:shd w:val="clear" w:color="000000" w:fill="9CC2E5"/>
            <w:vAlign w:val="center"/>
            <w:hideMark/>
          </w:tcPr>
          <w:p w:rsidR="00D80055" w:rsidRPr="00D80055" w:rsidRDefault="00D80055" w:rsidP="00D80055">
            <w:pPr>
              <w:jc w:val="center"/>
              <w:rPr>
                <w:rFonts w:ascii="Arial Narrow" w:eastAsia="Times New Roman" w:hAnsi="Arial Narrow"/>
                <w:b/>
                <w:bCs/>
                <w:color w:val="000000"/>
                <w:sz w:val="20"/>
                <w:szCs w:val="20"/>
                <w:lang w:val="es-CO" w:eastAsia="es-CO"/>
              </w:rPr>
            </w:pPr>
            <w:r w:rsidRPr="00D80055">
              <w:rPr>
                <w:rFonts w:ascii="Arial Narrow" w:eastAsia="Times New Roman" w:hAnsi="Arial Narrow"/>
                <w:b/>
                <w:bCs/>
                <w:color w:val="000000"/>
                <w:sz w:val="20"/>
                <w:szCs w:val="20"/>
                <w:lang w:eastAsia="es-CO"/>
              </w:rPr>
              <w:t>Tiempo de Concesión</w:t>
            </w:r>
          </w:p>
        </w:tc>
      </w:tr>
      <w:tr w:rsidR="00D80055" w:rsidRPr="00D80055" w:rsidTr="00A961BB">
        <w:trPr>
          <w:trHeight w:val="300"/>
          <w:jc w:val="center"/>
        </w:trPr>
        <w:tc>
          <w:tcPr>
            <w:tcW w:w="1148" w:type="dxa"/>
            <w:vMerge/>
            <w:tcBorders>
              <w:top w:val="single" w:sz="8" w:space="0" w:color="auto"/>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2760" w:type="dxa"/>
            <w:vMerge/>
            <w:tcBorders>
              <w:top w:val="single" w:sz="8" w:space="0" w:color="auto"/>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1200" w:type="dxa"/>
            <w:vMerge w:val="restart"/>
            <w:tcBorders>
              <w:top w:val="nil"/>
              <w:left w:val="single" w:sz="8" w:space="0" w:color="auto"/>
              <w:bottom w:val="single" w:sz="8" w:space="0" w:color="000000"/>
              <w:right w:val="single" w:sz="8" w:space="0" w:color="auto"/>
            </w:tcBorders>
            <w:shd w:val="clear" w:color="000000" w:fill="9CC2E5"/>
            <w:vAlign w:val="center"/>
            <w:hideMark/>
          </w:tcPr>
          <w:p w:rsidR="00D80055" w:rsidRPr="00D80055" w:rsidRDefault="00D80055" w:rsidP="00D80055">
            <w:pPr>
              <w:jc w:val="center"/>
              <w:rPr>
                <w:rFonts w:ascii="Arial Narrow" w:eastAsia="Times New Roman" w:hAnsi="Arial Narrow"/>
                <w:b/>
                <w:bCs/>
                <w:color w:val="000000"/>
                <w:sz w:val="20"/>
                <w:szCs w:val="20"/>
                <w:lang w:val="es-CO" w:eastAsia="es-CO"/>
              </w:rPr>
            </w:pPr>
            <w:r w:rsidRPr="00D80055">
              <w:rPr>
                <w:rFonts w:ascii="Arial Narrow" w:eastAsia="Times New Roman" w:hAnsi="Arial Narrow"/>
                <w:b/>
                <w:bCs/>
                <w:color w:val="000000"/>
                <w:sz w:val="20"/>
                <w:szCs w:val="20"/>
                <w:lang w:eastAsia="es-CO"/>
              </w:rPr>
              <w:t>Fecha Inicio</w:t>
            </w:r>
          </w:p>
        </w:tc>
        <w:tc>
          <w:tcPr>
            <w:tcW w:w="1200" w:type="dxa"/>
            <w:vMerge w:val="restart"/>
            <w:tcBorders>
              <w:top w:val="nil"/>
              <w:left w:val="single" w:sz="8" w:space="0" w:color="auto"/>
              <w:bottom w:val="single" w:sz="8" w:space="0" w:color="000000"/>
              <w:right w:val="single" w:sz="8" w:space="0" w:color="auto"/>
            </w:tcBorders>
            <w:shd w:val="clear" w:color="000000" w:fill="9CC2E5"/>
            <w:vAlign w:val="center"/>
            <w:hideMark/>
          </w:tcPr>
          <w:p w:rsidR="00D80055" w:rsidRPr="00D80055" w:rsidRDefault="00D80055" w:rsidP="00D80055">
            <w:pPr>
              <w:jc w:val="center"/>
              <w:rPr>
                <w:rFonts w:ascii="Arial Narrow" w:eastAsia="Times New Roman" w:hAnsi="Arial Narrow"/>
                <w:b/>
                <w:bCs/>
                <w:color w:val="000000"/>
                <w:sz w:val="20"/>
                <w:szCs w:val="20"/>
                <w:lang w:val="es-CO" w:eastAsia="es-CO"/>
              </w:rPr>
            </w:pPr>
            <w:r w:rsidRPr="00D80055">
              <w:rPr>
                <w:rFonts w:ascii="Arial Narrow" w:eastAsia="Times New Roman" w:hAnsi="Arial Narrow"/>
                <w:b/>
                <w:bCs/>
                <w:color w:val="000000"/>
                <w:sz w:val="20"/>
                <w:szCs w:val="20"/>
                <w:lang w:eastAsia="es-CO"/>
              </w:rPr>
              <w:t>Fin Permiso</w:t>
            </w:r>
          </w:p>
        </w:tc>
      </w:tr>
      <w:tr w:rsidR="00D80055" w:rsidRPr="00D80055" w:rsidTr="00A961BB">
        <w:trPr>
          <w:trHeight w:val="315"/>
          <w:jc w:val="center"/>
        </w:trPr>
        <w:tc>
          <w:tcPr>
            <w:tcW w:w="1148" w:type="dxa"/>
            <w:vMerge/>
            <w:tcBorders>
              <w:top w:val="single" w:sz="8" w:space="0" w:color="auto"/>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2760" w:type="dxa"/>
            <w:vMerge/>
            <w:tcBorders>
              <w:top w:val="single" w:sz="8" w:space="0" w:color="auto"/>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1200" w:type="dxa"/>
            <w:vMerge/>
            <w:tcBorders>
              <w:top w:val="nil"/>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c>
          <w:tcPr>
            <w:tcW w:w="1200" w:type="dxa"/>
            <w:vMerge/>
            <w:tcBorders>
              <w:top w:val="nil"/>
              <w:left w:val="single" w:sz="8" w:space="0" w:color="auto"/>
              <w:bottom w:val="single" w:sz="8" w:space="0" w:color="000000"/>
              <w:right w:val="single" w:sz="8" w:space="0" w:color="auto"/>
            </w:tcBorders>
            <w:vAlign w:val="center"/>
            <w:hideMark/>
          </w:tcPr>
          <w:p w:rsidR="00D80055" w:rsidRPr="00D80055" w:rsidRDefault="00D80055" w:rsidP="00D80055">
            <w:pPr>
              <w:jc w:val="left"/>
              <w:rPr>
                <w:rFonts w:ascii="Arial Narrow" w:eastAsia="Times New Roman" w:hAnsi="Arial Narrow"/>
                <w:b/>
                <w:bCs/>
                <w:color w:val="000000"/>
                <w:sz w:val="20"/>
                <w:szCs w:val="20"/>
                <w:lang w:val="es-CO" w:eastAsia="es-CO"/>
              </w:rPr>
            </w:pP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Ciénaga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Sociedad Portuaria Puerto Nuevo S.A.</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001/2011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31-mar-11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21-dic-40</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Sociedad Portuaria Puerto Bahía S.A.</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002/2011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15-abr-11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15-abr-31</w:t>
            </w:r>
          </w:p>
        </w:tc>
      </w:tr>
      <w:tr w:rsidR="00D80055" w:rsidRPr="00D80055" w:rsidTr="00A961BB">
        <w:trPr>
          <w:trHeight w:val="31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Sociedad Portuaria DEXTON S.A.</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003/2011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30-sep-11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29-sep-31</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Tumaco</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Sociedad Portuaria Puerto Hondo S.A.</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004/2011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06-oct-11</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05-oct-31</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Sociedad Transpetrol Ltda.</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001/2012</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07-feb-12</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06-feb-32</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Buenaventura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Liscano Hermanos e Hijos Ltda., LISCAMAR</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Resolución 032/2012</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28-mar-12</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27-mar-14</w:t>
            </w:r>
          </w:p>
        </w:tc>
      </w:tr>
      <w:tr w:rsidR="00D80055" w:rsidRPr="00D80055" w:rsidTr="00A961BB">
        <w:trPr>
          <w:trHeight w:val="31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Tumaco</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Ecopetrol S.A. (Tumaco)</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001/2013</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05-feb-13</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04-feb-33</w:t>
            </w:r>
          </w:p>
        </w:tc>
      </w:tr>
      <w:tr w:rsidR="00D80055" w:rsidRPr="00D80055" w:rsidTr="00A961BB">
        <w:trPr>
          <w:trHeight w:val="31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Tolú</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Pestolú</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002/2013</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06-nov-13</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06-nov-21</w:t>
            </w:r>
          </w:p>
        </w:tc>
      </w:tr>
      <w:tr w:rsidR="00D80055" w:rsidRPr="00D80055" w:rsidTr="00A961BB">
        <w:trPr>
          <w:trHeight w:val="31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Cocolizo alcatraz</w:t>
            </w:r>
          </w:p>
        </w:tc>
        <w:tc>
          <w:tcPr>
            <w:tcW w:w="172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Contrato 003/2013</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19-dic-13</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19-dic-18</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IFOS's (antes Vanoil)</w:t>
            </w:r>
          </w:p>
        </w:tc>
        <w:tc>
          <w:tcPr>
            <w:tcW w:w="1720" w:type="dxa"/>
            <w:tcBorders>
              <w:top w:val="nil"/>
              <w:left w:val="nil"/>
              <w:bottom w:val="single" w:sz="8" w:space="0" w:color="auto"/>
              <w:right w:val="single" w:sz="8" w:space="0" w:color="auto"/>
            </w:tcBorders>
            <w:shd w:val="clear" w:color="auto" w:fill="auto"/>
            <w:vAlign w:val="center"/>
            <w:hideMark/>
          </w:tcPr>
          <w:p w:rsidR="00A961BB" w:rsidRDefault="00D80055" w:rsidP="00A961BB">
            <w:pPr>
              <w:jc w:val="center"/>
              <w:rPr>
                <w:rFonts w:ascii="Arial Narrow" w:eastAsia="Times New Roman" w:hAnsi="Arial Narrow"/>
                <w:color w:val="000000"/>
                <w:sz w:val="20"/>
                <w:szCs w:val="20"/>
                <w:lang w:eastAsia="es-CO"/>
              </w:rPr>
            </w:pPr>
            <w:r w:rsidRPr="00D80055">
              <w:rPr>
                <w:rFonts w:ascii="Arial Narrow" w:eastAsia="Times New Roman" w:hAnsi="Arial Narrow"/>
                <w:color w:val="000000"/>
                <w:sz w:val="20"/>
                <w:szCs w:val="20"/>
                <w:lang w:eastAsia="es-CO"/>
              </w:rPr>
              <w:t>Contrato 001</w:t>
            </w:r>
          </w:p>
          <w:p w:rsidR="00D80055" w:rsidRPr="00D80055" w:rsidRDefault="00D80055" w:rsidP="00A961BB">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16 de mayo de 2014</w:t>
            </w:r>
          </w:p>
        </w:tc>
        <w:tc>
          <w:tcPr>
            <w:tcW w:w="1200" w:type="dxa"/>
            <w:tcBorders>
              <w:top w:val="nil"/>
              <w:left w:val="nil"/>
              <w:bottom w:val="single" w:sz="8" w:space="0" w:color="auto"/>
              <w:right w:val="single" w:sz="8" w:space="0" w:color="auto"/>
            </w:tcBorders>
            <w:shd w:val="clear" w:color="auto" w:fill="auto"/>
            <w:noWrap/>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09-jul-14</w:t>
            </w:r>
          </w:p>
        </w:tc>
        <w:tc>
          <w:tcPr>
            <w:tcW w:w="1200" w:type="dxa"/>
            <w:tcBorders>
              <w:top w:val="nil"/>
              <w:left w:val="nil"/>
              <w:bottom w:val="single" w:sz="8" w:space="0" w:color="auto"/>
              <w:right w:val="single" w:sz="8" w:space="0" w:color="auto"/>
            </w:tcBorders>
            <w:shd w:val="clear" w:color="auto" w:fill="auto"/>
            <w:noWrap/>
            <w:vAlign w:val="center"/>
            <w:hideMark/>
          </w:tcPr>
          <w:p w:rsidR="00D80055" w:rsidRPr="00D80055" w:rsidRDefault="00D80055" w:rsidP="00A961BB">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09</w:t>
            </w:r>
            <w:r w:rsidR="00A961BB" w:rsidRPr="00A961BB">
              <w:rPr>
                <w:rFonts w:ascii="Arial Narrow" w:eastAsia="Times New Roman" w:hAnsi="Arial Narrow"/>
                <w:color w:val="000000"/>
                <w:sz w:val="20"/>
                <w:szCs w:val="20"/>
                <w:lang w:eastAsia="es-CO"/>
              </w:rPr>
              <w:t>-jul-</w:t>
            </w:r>
            <w:r w:rsidRPr="00D80055">
              <w:rPr>
                <w:rFonts w:ascii="Arial Narrow" w:eastAsia="Times New Roman" w:hAnsi="Arial Narrow"/>
                <w:color w:val="000000"/>
                <w:sz w:val="20"/>
                <w:szCs w:val="20"/>
                <w:lang w:eastAsia="es-CO"/>
              </w:rPr>
              <w:t>2034 </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ATUNAMAR. Solicitud concesión portuaria</w:t>
            </w:r>
          </w:p>
        </w:tc>
        <w:tc>
          <w:tcPr>
            <w:tcW w:w="1720" w:type="dxa"/>
            <w:tcBorders>
              <w:top w:val="nil"/>
              <w:left w:val="nil"/>
              <w:bottom w:val="single" w:sz="8" w:space="0" w:color="auto"/>
              <w:right w:val="single" w:sz="8" w:space="0" w:color="auto"/>
            </w:tcBorders>
            <w:shd w:val="clear" w:color="auto" w:fill="auto"/>
            <w:vAlign w:val="center"/>
            <w:hideMark/>
          </w:tcPr>
          <w:p w:rsidR="00A961BB" w:rsidRDefault="00D80055" w:rsidP="00A961BB">
            <w:pPr>
              <w:jc w:val="center"/>
              <w:rPr>
                <w:rFonts w:ascii="Arial Narrow" w:eastAsia="Times New Roman" w:hAnsi="Arial Narrow"/>
                <w:color w:val="000000"/>
                <w:sz w:val="20"/>
                <w:szCs w:val="20"/>
                <w:lang w:eastAsia="es-CO"/>
              </w:rPr>
            </w:pPr>
            <w:r w:rsidRPr="00D80055">
              <w:rPr>
                <w:rFonts w:ascii="Arial Narrow" w:eastAsia="Times New Roman" w:hAnsi="Arial Narrow"/>
                <w:color w:val="000000"/>
                <w:sz w:val="20"/>
                <w:szCs w:val="20"/>
                <w:lang w:eastAsia="es-CO"/>
              </w:rPr>
              <w:t xml:space="preserve">Contrato 002 </w:t>
            </w:r>
          </w:p>
          <w:p w:rsidR="00D80055" w:rsidRPr="00D80055" w:rsidRDefault="00D80055" w:rsidP="00A961BB">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24 Diciembre 2014</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01-mar-15</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01-mar-35</w:t>
            </w:r>
          </w:p>
        </w:tc>
      </w:tr>
      <w:tr w:rsidR="00D80055" w:rsidRPr="00D80055" w:rsidTr="00A961BB">
        <w:trPr>
          <w:trHeight w:val="525"/>
          <w:jc w:val="center"/>
        </w:trPr>
        <w:tc>
          <w:tcPr>
            <w:tcW w:w="1148" w:type="dxa"/>
            <w:tcBorders>
              <w:top w:val="nil"/>
              <w:left w:val="single" w:sz="8" w:space="0" w:color="auto"/>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Cartagena</w:t>
            </w:r>
          </w:p>
        </w:tc>
        <w:tc>
          <w:tcPr>
            <w:tcW w:w="276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EDURBE</w:t>
            </w:r>
          </w:p>
        </w:tc>
        <w:tc>
          <w:tcPr>
            <w:tcW w:w="1720" w:type="dxa"/>
            <w:tcBorders>
              <w:top w:val="nil"/>
              <w:left w:val="nil"/>
              <w:bottom w:val="single" w:sz="8" w:space="0" w:color="auto"/>
              <w:right w:val="single" w:sz="8" w:space="0" w:color="auto"/>
            </w:tcBorders>
            <w:shd w:val="clear" w:color="auto" w:fill="auto"/>
            <w:vAlign w:val="center"/>
            <w:hideMark/>
          </w:tcPr>
          <w:p w:rsidR="00A961BB" w:rsidRDefault="00D80055" w:rsidP="00A961BB">
            <w:pPr>
              <w:jc w:val="center"/>
              <w:rPr>
                <w:rFonts w:ascii="Arial Narrow" w:eastAsia="Times New Roman" w:hAnsi="Arial Narrow"/>
                <w:color w:val="000000"/>
                <w:sz w:val="20"/>
                <w:szCs w:val="20"/>
                <w:lang w:eastAsia="es-CO"/>
              </w:rPr>
            </w:pPr>
            <w:r w:rsidRPr="00D80055">
              <w:rPr>
                <w:rFonts w:ascii="Arial Narrow" w:eastAsia="Times New Roman" w:hAnsi="Arial Narrow"/>
                <w:color w:val="000000"/>
                <w:sz w:val="20"/>
                <w:szCs w:val="20"/>
                <w:lang w:eastAsia="es-CO"/>
              </w:rPr>
              <w:t>Contrato 003</w:t>
            </w:r>
          </w:p>
          <w:p w:rsidR="00D80055" w:rsidRPr="00D80055" w:rsidRDefault="00D80055" w:rsidP="00A961BB">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 xml:space="preserve">26 Diciembre 2014 </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01-mar-15</w:t>
            </w:r>
          </w:p>
        </w:tc>
        <w:tc>
          <w:tcPr>
            <w:tcW w:w="1200" w:type="dxa"/>
            <w:tcBorders>
              <w:top w:val="nil"/>
              <w:left w:val="nil"/>
              <w:bottom w:val="single" w:sz="8" w:space="0" w:color="auto"/>
              <w:right w:val="single" w:sz="8" w:space="0" w:color="auto"/>
            </w:tcBorders>
            <w:shd w:val="clear" w:color="auto" w:fill="auto"/>
            <w:vAlign w:val="center"/>
            <w:hideMark/>
          </w:tcPr>
          <w:p w:rsidR="00D80055" w:rsidRPr="00D80055" w:rsidRDefault="00D80055" w:rsidP="00D80055">
            <w:pPr>
              <w:jc w:val="center"/>
              <w:rPr>
                <w:rFonts w:ascii="Arial Narrow" w:eastAsia="Times New Roman" w:hAnsi="Arial Narrow"/>
                <w:color w:val="000000"/>
                <w:sz w:val="20"/>
                <w:szCs w:val="20"/>
                <w:lang w:val="es-CO" w:eastAsia="es-CO"/>
              </w:rPr>
            </w:pPr>
            <w:r w:rsidRPr="00D80055">
              <w:rPr>
                <w:rFonts w:ascii="Arial Narrow" w:eastAsia="Times New Roman" w:hAnsi="Arial Narrow"/>
                <w:color w:val="000000"/>
                <w:sz w:val="20"/>
                <w:szCs w:val="20"/>
                <w:lang w:eastAsia="es-CO"/>
              </w:rPr>
              <w:t>01-mar-35</w:t>
            </w:r>
          </w:p>
        </w:tc>
      </w:tr>
    </w:tbl>
    <w:p w:rsidR="00D80055" w:rsidRPr="00054EBD" w:rsidRDefault="00D80055" w:rsidP="00054EBD">
      <w:pPr>
        <w:spacing w:before="120" w:after="120" w:line="276" w:lineRule="auto"/>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22" w:name="_Toc410922147"/>
      <w:r w:rsidRPr="004D6B5F">
        <w:rPr>
          <w:rFonts w:ascii="Arial Narrow" w:hAnsi="Arial Narrow"/>
        </w:rPr>
        <w:t>Regularización de Concesiones Férreas</w:t>
      </w:r>
      <w:bookmarkEnd w:id="22"/>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En el periodo 2011 – 2013 se incrementó en un 22% el transporte de toneladas de carga transportadas en tren y se construyeron 45 km de segunda línea férrea entre Chiriguaná y Santa Marta. Además, se recuperó de la quiebra a la Red Férrea del Pacifico. Durante 2009 y 2010 el Ferrocarril del Oeste movilizó 254.000 y 259.000 tonela</w:t>
      </w:r>
      <w:r w:rsidR="00942F7A">
        <w:rPr>
          <w:rFonts w:ascii="Arial Narrow" w:hAnsi="Arial Narrow"/>
          <w:szCs w:val="22"/>
          <w:lang w:val="es-CO"/>
        </w:rPr>
        <w:t xml:space="preserve">das de carga, respectivamente. </w:t>
      </w:r>
      <w:r w:rsidRPr="004D6B5F">
        <w:rPr>
          <w:rFonts w:ascii="Arial Narrow" w:hAnsi="Arial Narrow"/>
          <w:szCs w:val="22"/>
          <w:lang w:val="es-CO"/>
        </w:rPr>
        <w:t>No obstante, la Ola Invernal 2010-2011 afectó la infraestructura ferroviaria ocasionando la suspensión de las operaciones en la vía férrea.</w:t>
      </w:r>
      <w:r w:rsidR="0090363C">
        <w:rPr>
          <w:rFonts w:ascii="Arial Narrow" w:hAnsi="Arial Narrow"/>
          <w:szCs w:val="22"/>
          <w:lang w:val="es-CO"/>
        </w:rPr>
        <w:t xml:space="preserve"> En el año 2014 se transportaron 42.9 millones de toneladas en las vía férreas concesionadas.</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El Concesionario, con el acompañamiento de la ANI, inició un proceso de recuperación de la infraestructura férrea. El 2 de agosto de 2012, </w:t>
      </w:r>
      <w:r w:rsidRPr="008A565F">
        <w:rPr>
          <w:rFonts w:ascii="Arial Narrow" w:hAnsi="Arial Narrow"/>
          <w:szCs w:val="22"/>
          <w:lang w:val="es-CO"/>
        </w:rPr>
        <w:t xml:space="preserve">se reactivó la movilización de carga entre el Puerto de Buenaventura y el municipio de Yumbo. Desde </w:t>
      </w:r>
      <w:r w:rsidR="008A565F" w:rsidRPr="008A565F">
        <w:rPr>
          <w:rFonts w:ascii="Arial Narrow" w:hAnsi="Arial Narrow"/>
          <w:szCs w:val="22"/>
          <w:lang w:val="es-CO"/>
        </w:rPr>
        <w:t>entonces y hasta el 31 de diciembre de 2014 en el tramo se han movilizado 292.000 toneladas de carga. Actualmente el Ferrocarril del Pacífico cuenta con un transporte de carga mensual promedio de 14.500 toneladas mensuales</w:t>
      </w:r>
      <w:r w:rsidRPr="004D6B5F">
        <w:rPr>
          <w:rFonts w:ascii="Arial Narrow" w:hAnsi="Arial Narrow"/>
          <w:szCs w:val="22"/>
          <w:lang w:val="es-CO"/>
        </w:rPr>
        <w:t xml:space="preserve"> y ha adquirido nueva maquinaria (dos locomotoras serie U18) y equipo ferroviario.</w:t>
      </w:r>
      <w:r w:rsidR="00D80055">
        <w:rPr>
          <w:rFonts w:ascii="Arial Narrow" w:hAnsi="Arial Narrow"/>
          <w:szCs w:val="22"/>
          <w:lang w:val="es-CO"/>
        </w:rPr>
        <w:t xml:space="preserve"> </w:t>
      </w:r>
      <w:r w:rsidR="00265BD4">
        <w:rPr>
          <w:rFonts w:ascii="Arial Narrow" w:hAnsi="Arial Narrow"/>
          <w:szCs w:val="22"/>
          <w:lang w:val="es-CO"/>
        </w:rPr>
        <w:t>Se destaca el laudo a favor de la ANI, el cual ahorró a la entidad $23k millones</w:t>
      </w:r>
      <w:r w:rsidR="00D80055">
        <w:rPr>
          <w:rFonts w:ascii="Arial Narrow" w:hAnsi="Arial Narrow"/>
          <w:szCs w:val="22"/>
          <w:lang w:val="es-CO"/>
        </w:rPr>
        <w:t>.</w:t>
      </w:r>
    </w:p>
    <w:p w:rsidR="00A15BF5" w:rsidRPr="004D6B5F" w:rsidRDefault="00A15BF5" w:rsidP="001A410D">
      <w:pPr>
        <w:spacing w:before="120" w:after="120" w:line="276" w:lineRule="auto"/>
        <w:rPr>
          <w:rFonts w:ascii="Arial Narrow" w:hAnsi="Arial Narrow"/>
          <w:szCs w:val="22"/>
          <w:lang w:val="es-CO"/>
        </w:rPr>
      </w:pPr>
    </w:p>
    <w:p w:rsidR="00A15BF5" w:rsidRPr="004D6B5F" w:rsidRDefault="00FC0C8B" w:rsidP="004D6B5F">
      <w:pPr>
        <w:pStyle w:val="Ttulo3"/>
        <w:numPr>
          <w:ilvl w:val="3"/>
          <w:numId w:val="2"/>
        </w:numPr>
        <w:rPr>
          <w:rFonts w:ascii="Arial Narrow" w:hAnsi="Arial Narrow"/>
        </w:rPr>
      </w:pPr>
      <w:bookmarkStart w:id="23" w:name="_Toc410922148"/>
      <w:r>
        <w:rPr>
          <w:rFonts w:ascii="Arial Narrow" w:hAnsi="Arial Narrow"/>
        </w:rPr>
        <w:t>Subrogación de C</w:t>
      </w:r>
      <w:r w:rsidR="00A15BF5" w:rsidRPr="004D6B5F">
        <w:rPr>
          <w:rFonts w:ascii="Arial Narrow" w:hAnsi="Arial Narrow"/>
        </w:rPr>
        <w:t>oncesiones Aeroportuarias</w:t>
      </w:r>
      <w:bookmarkEnd w:id="23"/>
    </w:p>
    <w:p w:rsidR="00324C07" w:rsidRPr="001A410D"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A través de los decretos 4164 y 4165 de 2011 se trasladaron las competencias de la Aerocivil relacionadas con la estructuración, celebración y administración de las concesiones aeroportuarias a la ANI. El 31 de diciembre de 2013 la Aerocivil subrogó a la ANI </w:t>
      </w:r>
      <w:r w:rsidR="00D276B5">
        <w:rPr>
          <w:rFonts w:ascii="Arial Narrow" w:hAnsi="Arial Narrow"/>
          <w:szCs w:val="22"/>
          <w:lang w:val="es-CO"/>
        </w:rPr>
        <w:t>la gestión contractual de diez y ocho (</w:t>
      </w:r>
      <w:r w:rsidRPr="004D6B5F">
        <w:rPr>
          <w:rFonts w:ascii="Arial Narrow" w:hAnsi="Arial Narrow"/>
          <w:szCs w:val="22"/>
          <w:lang w:val="es-CO"/>
        </w:rPr>
        <w:t>18</w:t>
      </w:r>
      <w:r w:rsidR="00D276B5">
        <w:rPr>
          <w:rFonts w:ascii="Arial Narrow" w:hAnsi="Arial Narrow"/>
          <w:szCs w:val="22"/>
          <w:lang w:val="es-CO"/>
        </w:rPr>
        <w:t>)</w:t>
      </w:r>
      <w:r w:rsidRPr="004D6B5F">
        <w:rPr>
          <w:rFonts w:ascii="Arial Narrow" w:hAnsi="Arial Narrow"/>
          <w:szCs w:val="22"/>
          <w:lang w:val="es-CO"/>
        </w:rPr>
        <w:t xml:space="preserve"> aeropuertos </w:t>
      </w:r>
      <w:r w:rsidR="00D276B5">
        <w:rPr>
          <w:rFonts w:ascii="Arial Narrow" w:hAnsi="Arial Narrow"/>
          <w:szCs w:val="22"/>
          <w:lang w:val="es-CO"/>
        </w:rPr>
        <w:t>a través de siete (</w:t>
      </w:r>
      <w:r w:rsidRPr="004D6B5F">
        <w:rPr>
          <w:rFonts w:ascii="Arial Narrow" w:hAnsi="Arial Narrow"/>
          <w:szCs w:val="22"/>
          <w:lang w:val="es-CO"/>
        </w:rPr>
        <w:t>7</w:t>
      </w:r>
      <w:r w:rsidR="00D276B5">
        <w:rPr>
          <w:rFonts w:ascii="Arial Narrow" w:hAnsi="Arial Narrow"/>
          <w:szCs w:val="22"/>
          <w:lang w:val="es-CO"/>
        </w:rPr>
        <w:t>)</w:t>
      </w:r>
      <w:r w:rsidR="00065C31">
        <w:rPr>
          <w:rFonts w:ascii="Arial Narrow" w:hAnsi="Arial Narrow"/>
          <w:szCs w:val="22"/>
          <w:lang w:val="es-CO"/>
        </w:rPr>
        <w:t xml:space="preserve"> contratos de concesión</w:t>
      </w:r>
      <w:r w:rsidR="000608D8">
        <w:rPr>
          <w:rFonts w:ascii="Arial Narrow" w:hAnsi="Arial Narrow"/>
          <w:szCs w:val="22"/>
          <w:lang w:val="es-CO"/>
        </w:rPr>
        <w:t xml:space="preserve">. </w:t>
      </w:r>
      <w:r w:rsidR="005E4DE9">
        <w:rPr>
          <w:rFonts w:ascii="Arial Narrow" w:hAnsi="Arial Narrow"/>
          <w:szCs w:val="22"/>
          <w:lang w:val="es-CO"/>
        </w:rPr>
        <w:t>Durante el periodo 2011 – 2014</w:t>
      </w:r>
      <w:r w:rsidRPr="004D6B5F">
        <w:rPr>
          <w:rFonts w:ascii="Arial Narrow" w:hAnsi="Arial Narrow"/>
          <w:szCs w:val="22"/>
          <w:lang w:val="es-CO"/>
        </w:rPr>
        <w:t xml:space="preserve"> se invirtieron aprox. $1,</w:t>
      </w:r>
      <w:r w:rsidR="005E4DE9">
        <w:rPr>
          <w:rFonts w:ascii="Arial Narrow" w:hAnsi="Arial Narrow"/>
          <w:szCs w:val="22"/>
          <w:lang w:val="es-CO"/>
        </w:rPr>
        <w:t>8</w:t>
      </w:r>
      <w:r w:rsidRPr="004D6B5F">
        <w:rPr>
          <w:rFonts w:ascii="Arial Narrow" w:hAnsi="Arial Narrow"/>
          <w:szCs w:val="22"/>
          <w:lang w:val="es-CO"/>
        </w:rPr>
        <w:t xml:space="preserve"> billones en aeropuertos concesionados (Ver gráfico No. 7).</w:t>
      </w:r>
    </w:p>
    <w:p w:rsidR="00A15BF5" w:rsidRPr="004D6B5F" w:rsidRDefault="00A15BF5" w:rsidP="00A15BF5">
      <w:pPr>
        <w:tabs>
          <w:tab w:val="left" w:pos="3285"/>
        </w:tabs>
        <w:jc w:val="center"/>
        <w:rPr>
          <w:rFonts w:ascii="Arial Narrow" w:hAnsi="Arial Narrow"/>
          <w:b/>
          <w:sz w:val="20"/>
        </w:rPr>
      </w:pPr>
      <w:r w:rsidRPr="004D6B5F">
        <w:rPr>
          <w:rFonts w:ascii="Arial Narrow" w:hAnsi="Arial Narrow"/>
          <w:b/>
          <w:sz w:val="20"/>
        </w:rPr>
        <w:t>Gráfico No. 7</w:t>
      </w:r>
    </w:p>
    <w:p w:rsidR="00A15BF5" w:rsidRPr="004D6B5F" w:rsidRDefault="00A15BF5" w:rsidP="00A15BF5">
      <w:pPr>
        <w:tabs>
          <w:tab w:val="left" w:pos="3285"/>
        </w:tabs>
        <w:jc w:val="center"/>
        <w:rPr>
          <w:rFonts w:ascii="Arial Narrow" w:hAnsi="Arial Narrow"/>
          <w:lang w:val="es-ES_tradnl"/>
        </w:rPr>
      </w:pPr>
      <w:r w:rsidRPr="004D6B5F">
        <w:rPr>
          <w:rFonts w:ascii="Arial Narrow" w:hAnsi="Arial Narrow"/>
          <w:b/>
          <w:sz w:val="20"/>
        </w:rPr>
        <w:t>Inversión en Concesiones Aeroportuarias</w:t>
      </w:r>
    </w:p>
    <w:p w:rsidR="00A15BF5" w:rsidRPr="004D6B5F" w:rsidRDefault="008A565F" w:rsidP="00A15BF5">
      <w:pPr>
        <w:tabs>
          <w:tab w:val="num" w:pos="720"/>
        </w:tabs>
        <w:autoSpaceDE w:val="0"/>
        <w:autoSpaceDN w:val="0"/>
        <w:adjustRightInd w:val="0"/>
        <w:jc w:val="center"/>
        <w:rPr>
          <w:rFonts w:ascii="Arial Narrow" w:hAnsi="Arial Narrow"/>
          <w:lang w:val="es-ES_tradnl"/>
        </w:rPr>
      </w:pPr>
      <w:r>
        <w:rPr>
          <w:noProof/>
          <w:lang w:val="es-CO" w:eastAsia="es-CO"/>
        </w:rPr>
        <w:drawing>
          <wp:inline distT="0" distB="0" distL="0" distR="0" wp14:anchorId="42C64E0F" wp14:editId="4CAD5AC2">
            <wp:extent cx="3067050" cy="1428750"/>
            <wp:effectExtent l="0" t="0" r="0" b="0"/>
            <wp:docPr id="7" name="Gráfico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7128" w:rsidRDefault="00857128" w:rsidP="00A15BF5">
      <w:pPr>
        <w:autoSpaceDE w:val="0"/>
        <w:autoSpaceDN w:val="0"/>
        <w:adjustRightInd w:val="0"/>
        <w:ind w:left="1985"/>
        <w:rPr>
          <w:rFonts w:ascii="Arial Narrow" w:hAnsi="Arial Narrow" w:cs="Calibri"/>
          <w:bCs/>
          <w:i/>
          <w:sz w:val="18"/>
        </w:rPr>
      </w:pPr>
      <w:r>
        <w:rPr>
          <w:rFonts w:ascii="Arial Narrow" w:hAnsi="Arial Narrow" w:cs="Calibri"/>
          <w:bCs/>
          <w:i/>
          <w:sz w:val="18"/>
        </w:rPr>
        <w:t>Cifras en Millones de Pesos</w:t>
      </w:r>
    </w:p>
    <w:p w:rsidR="00A15BF5" w:rsidRPr="004D6B5F" w:rsidRDefault="00A15BF5" w:rsidP="00A15BF5">
      <w:pPr>
        <w:autoSpaceDE w:val="0"/>
        <w:autoSpaceDN w:val="0"/>
        <w:adjustRightInd w:val="0"/>
        <w:ind w:left="1985"/>
        <w:rPr>
          <w:rFonts w:ascii="Arial Narrow" w:hAnsi="Arial Narrow" w:cs="Calibri"/>
          <w:bCs/>
          <w:i/>
        </w:rPr>
      </w:pPr>
      <w:r w:rsidRPr="004D6B5F">
        <w:rPr>
          <w:rFonts w:ascii="Arial Narrow" w:hAnsi="Arial Narrow" w:cs="Calibri"/>
          <w:bCs/>
          <w:i/>
          <w:sz w:val="18"/>
        </w:rPr>
        <w:t>Fuente: Aerocivil</w:t>
      </w:r>
    </w:p>
    <w:p w:rsidR="00C366EF" w:rsidRDefault="00C366EF" w:rsidP="00A15BF5">
      <w:pPr>
        <w:tabs>
          <w:tab w:val="left" w:pos="3285"/>
        </w:tabs>
        <w:rPr>
          <w:rFonts w:ascii="Arial Narrow" w:hAnsi="Arial Narrow"/>
        </w:rPr>
      </w:pPr>
    </w:p>
    <w:p w:rsidR="00A15BF5" w:rsidRDefault="00C366EF" w:rsidP="00A15BF5">
      <w:pPr>
        <w:tabs>
          <w:tab w:val="left" w:pos="3285"/>
        </w:tabs>
        <w:rPr>
          <w:rFonts w:ascii="Arial Narrow" w:hAnsi="Arial Narrow"/>
        </w:rPr>
      </w:pPr>
      <w:r>
        <w:rPr>
          <w:rFonts w:ascii="Arial Narrow" w:hAnsi="Arial Narrow"/>
        </w:rPr>
        <w:t>Durante el 2014 se realizó un fuerte seguimiento a estos contratos de concesión aeroportuaria, resaltando los siguientes eventos importantes en los contratos:</w:t>
      </w:r>
    </w:p>
    <w:p w:rsidR="00C366EF" w:rsidRDefault="00C366EF" w:rsidP="00A15BF5">
      <w:pPr>
        <w:tabs>
          <w:tab w:val="left" w:pos="3285"/>
        </w:tabs>
        <w:rPr>
          <w:rFonts w:ascii="Arial Narrow" w:hAnsi="Arial Narrow"/>
        </w:rPr>
      </w:pPr>
    </w:p>
    <w:tbl>
      <w:tblPr>
        <w:tblStyle w:val="Tablaconcuadrcula"/>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47"/>
        <w:gridCol w:w="6281"/>
      </w:tblGrid>
      <w:tr w:rsidR="00C366EF" w:rsidRPr="00AE111D" w:rsidTr="00572796">
        <w:trPr>
          <w:trHeight w:val="211"/>
          <w:tblHeader/>
        </w:trPr>
        <w:tc>
          <w:tcPr>
            <w:tcW w:w="2547" w:type="dxa"/>
            <w:shd w:val="clear" w:color="auto" w:fill="2E74B5" w:themeFill="accent1" w:themeFillShade="BF"/>
          </w:tcPr>
          <w:p w:rsidR="00C366EF" w:rsidRPr="00AE111D" w:rsidRDefault="00C366EF" w:rsidP="00572796">
            <w:pPr>
              <w:jc w:val="center"/>
              <w:rPr>
                <w:rFonts w:ascii="Arial Narrow" w:hAnsi="Arial Narrow"/>
                <w:b/>
                <w:color w:val="FFFFFF" w:themeColor="background1"/>
                <w:szCs w:val="22"/>
                <w:lang w:val="es-CO"/>
              </w:rPr>
            </w:pPr>
            <w:r w:rsidRPr="00AE111D">
              <w:rPr>
                <w:rFonts w:ascii="Arial Narrow" w:hAnsi="Arial Narrow"/>
                <w:b/>
                <w:color w:val="FFFFFF" w:themeColor="background1"/>
                <w:szCs w:val="22"/>
                <w:lang w:val="es-CO"/>
              </w:rPr>
              <w:t>Concesión</w:t>
            </w:r>
          </w:p>
        </w:tc>
        <w:tc>
          <w:tcPr>
            <w:tcW w:w="6281" w:type="dxa"/>
            <w:shd w:val="clear" w:color="auto" w:fill="2E74B5" w:themeFill="accent1" w:themeFillShade="BF"/>
          </w:tcPr>
          <w:p w:rsidR="00C366EF" w:rsidRPr="00AE111D" w:rsidRDefault="00C366EF" w:rsidP="00572796">
            <w:pPr>
              <w:jc w:val="center"/>
              <w:rPr>
                <w:rFonts w:ascii="Arial Narrow" w:hAnsi="Arial Narrow"/>
                <w:b/>
                <w:color w:val="FFFFFF" w:themeColor="background1"/>
                <w:szCs w:val="22"/>
                <w:lang w:val="es-CO"/>
              </w:rPr>
            </w:pPr>
            <w:r w:rsidRPr="00AE111D">
              <w:rPr>
                <w:rFonts w:ascii="Arial Narrow" w:hAnsi="Arial Narrow"/>
                <w:b/>
                <w:color w:val="FFFFFF" w:themeColor="background1"/>
                <w:szCs w:val="22"/>
                <w:lang w:val="es-CO"/>
              </w:rPr>
              <w:t>Principales Actividades</w:t>
            </w:r>
          </w:p>
        </w:tc>
      </w:tr>
      <w:tr w:rsidR="00C366EF" w:rsidRPr="00AE111D" w:rsidTr="00572796">
        <w:tc>
          <w:tcPr>
            <w:tcW w:w="2547" w:type="dxa"/>
            <w:vAlign w:val="center"/>
          </w:tcPr>
          <w:p w:rsidR="00C366EF" w:rsidRPr="00054EBD" w:rsidRDefault="00C366EF" w:rsidP="00572796">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Aeropuerto El Dorado</w:t>
            </w:r>
          </w:p>
        </w:tc>
        <w:tc>
          <w:tcPr>
            <w:tcW w:w="6281" w:type="dxa"/>
          </w:tcPr>
          <w:p w:rsidR="00C366EF" w:rsidRDefault="00C366EF" w:rsidP="00C366EF">
            <w:pPr>
              <w:spacing w:beforeLines="50" w:before="120" w:afterLines="50" w:after="120"/>
              <w:rPr>
                <w:rFonts w:ascii="Arial Narrow" w:hAnsi="Arial Narrow"/>
                <w:szCs w:val="22"/>
                <w:lang w:val="es-CO"/>
              </w:rPr>
            </w:pPr>
            <w:r>
              <w:rPr>
                <w:rFonts w:ascii="Arial Narrow" w:hAnsi="Arial Narrow"/>
                <w:szCs w:val="22"/>
                <w:lang w:val="es-CO"/>
              </w:rPr>
              <w:t xml:space="preserve">Dadas las limitaciones de capacidad en el aeropuerto, se autorizó al concesionario la ejecución de obras complementarias para ampliación de capacidad de muelles y área de </w:t>
            </w:r>
            <w:r w:rsidR="000F4479">
              <w:rPr>
                <w:rFonts w:ascii="Arial Narrow" w:hAnsi="Arial Narrow"/>
                <w:szCs w:val="22"/>
                <w:lang w:val="es-CO"/>
              </w:rPr>
              <w:t>pasajeros que permiten aumento de capacidad operacional.</w:t>
            </w:r>
          </w:p>
          <w:p w:rsidR="000F4479" w:rsidRPr="00AE111D" w:rsidRDefault="000F4479" w:rsidP="000F4479">
            <w:pPr>
              <w:spacing w:beforeLines="50" w:before="120" w:afterLines="50" w:after="120"/>
              <w:rPr>
                <w:rFonts w:ascii="Arial Narrow" w:hAnsi="Arial Narrow"/>
                <w:szCs w:val="22"/>
                <w:lang w:val="es-CO"/>
              </w:rPr>
            </w:pPr>
            <w:r>
              <w:rPr>
                <w:rFonts w:ascii="Arial Narrow" w:hAnsi="Arial Narrow"/>
                <w:szCs w:val="22"/>
                <w:lang w:val="es-CO"/>
              </w:rPr>
              <w:t>Igualmente se autorizó la construcción de obras adicionales en las pistas para ampliación de operaciones diarias.</w:t>
            </w:r>
          </w:p>
        </w:tc>
      </w:tr>
      <w:tr w:rsidR="00C366EF" w:rsidRPr="00AE111D" w:rsidTr="00572796">
        <w:trPr>
          <w:trHeight w:val="360"/>
        </w:trPr>
        <w:tc>
          <w:tcPr>
            <w:tcW w:w="2547" w:type="dxa"/>
            <w:vAlign w:val="center"/>
          </w:tcPr>
          <w:p w:rsidR="00C366EF" w:rsidRPr="00054EBD" w:rsidRDefault="000F4479" w:rsidP="00572796">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Aeropuertos Nororiente</w:t>
            </w:r>
          </w:p>
        </w:tc>
        <w:tc>
          <w:tcPr>
            <w:tcW w:w="6281" w:type="dxa"/>
          </w:tcPr>
          <w:p w:rsidR="00C366EF" w:rsidRPr="00AE111D" w:rsidRDefault="000F4479" w:rsidP="000F4479">
            <w:pPr>
              <w:spacing w:beforeLines="50" w:before="120" w:afterLines="50" w:after="120"/>
              <w:rPr>
                <w:rFonts w:ascii="Arial Narrow" w:hAnsi="Arial Narrow"/>
                <w:szCs w:val="22"/>
                <w:lang w:val="es-CO"/>
              </w:rPr>
            </w:pPr>
            <w:r>
              <w:rPr>
                <w:rFonts w:ascii="Arial Narrow" w:hAnsi="Arial Narrow"/>
                <w:szCs w:val="22"/>
                <w:lang w:val="es-CO"/>
              </w:rPr>
              <w:t>Se adicionó la ejecución de obras para el mejoramiento de aire acondicionado en los aeropuertos de la concesión, y en el aeropuerto de Santa Marta se autorizaron obras adicionales.</w:t>
            </w:r>
          </w:p>
        </w:tc>
      </w:tr>
      <w:tr w:rsidR="000F4479" w:rsidRPr="00AE111D" w:rsidTr="00572796">
        <w:trPr>
          <w:trHeight w:val="360"/>
        </w:trPr>
        <w:tc>
          <w:tcPr>
            <w:tcW w:w="2547" w:type="dxa"/>
            <w:vAlign w:val="center"/>
          </w:tcPr>
          <w:p w:rsidR="000F4479" w:rsidRDefault="000F4479" w:rsidP="00572796">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Aeropuertos Centronorte</w:t>
            </w:r>
          </w:p>
        </w:tc>
        <w:tc>
          <w:tcPr>
            <w:tcW w:w="6281" w:type="dxa"/>
          </w:tcPr>
          <w:p w:rsidR="000F4479" w:rsidRDefault="000F4479" w:rsidP="00572796">
            <w:pPr>
              <w:spacing w:beforeLines="50" w:before="120" w:afterLines="50" w:after="120"/>
              <w:rPr>
                <w:rFonts w:ascii="Arial Narrow" w:hAnsi="Arial Narrow"/>
                <w:szCs w:val="22"/>
                <w:lang w:val="es-CO"/>
              </w:rPr>
            </w:pPr>
            <w:r>
              <w:rPr>
                <w:rFonts w:ascii="Arial Narrow" w:hAnsi="Arial Narrow"/>
                <w:szCs w:val="22"/>
                <w:lang w:val="es-CO"/>
              </w:rPr>
              <w:t>Se hizo modificación para ampliación del aeropuerto de Quibdó y construcción de infraestructura hotelera.</w:t>
            </w:r>
          </w:p>
        </w:tc>
      </w:tr>
      <w:tr w:rsidR="000F4479" w:rsidRPr="00AE111D" w:rsidTr="00572796">
        <w:trPr>
          <w:trHeight w:val="360"/>
        </w:trPr>
        <w:tc>
          <w:tcPr>
            <w:tcW w:w="2547" w:type="dxa"/>
            <w:vAlign w:val="center"/>
          </w:tcPr>
          <w:p w:rsidR="000F4479" w:rsidRDefault="000F4479" w:rsidP="00572796">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Aeropuerto Cartagena</w:t>
            </w:r>
          </w:p>
        </w:tc>
        <w:tc>
          <w:tcPr>
            <w:tcW w:w="6281" w:type="dxa"/>
          </w:tcPr>
          <w:p w:rsidR="000F4479" w:rsidRDefault="000F4479" w:rsidP="000F4479">
            <w:pPr>
              <w:spacing w:beforeLines="50" w:before="120" w:afterLines="50" w:after="120"/>
              <w:rPr>
                <w:rFonts w:ascii="Arial Narrow" w:hAnsi="Arial Narrow"/>
                <w:szCs w:val="22"/>
                <w:lang w:val="es-CO"/>
              </w:rPr>
            </w:pPr>
            <w:r>
              <w:rPr>
                <w:rFonts w:ascii="Arial Narrow" w:hAnsi="Arial Narrow"/>
                <w:szCs w:val="22"/>
                <w:lang w:val="es-CO"/>
              </w:rPr>
              <w:t>Se construyó la terminal de acceso para aviones ejecutivos, permitiendo una optimización en la operación de pasajeros de las aerolíneas comerciales.</w:t>
            </w:r>
          </w:p>
        </w:tc>
      </w:tr>
      <w:tr w:rsidR="00845E7D" w:rsidRPr="00AE111D" w:rsidTr="00572796">
        <w:trPr>
          <w:trHeight w:val="360"/>
        </w:trPr>
        <w:tc>
          <w:tcPr>
            <w:tcW w:w="2547" w:type="dxa"/>
            <w:vAlign w:val="center"/>
          </w:tcPr>
          <w:p w:rsidR="00845E7D" w:rsidRDefault="00845E7D" w:rsidP="00572796">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Aeropuerto Palmira (Cali)</w:t>
            </w:r>
          </w:p>
        </w:tc>
        <w:tc>
          <w:tcPr>
            <w:tcW w:w="6281" w:type="dxa"/>
          </w:tcPr>
          <w:p w:rsidR="00845E7D" w:rsidRDefault="00845E7D" w:rsidP="00845E7D">
            <w:pPr>
              <w:spacing w:beforeLines="50" w:before="120" w:afterLines="50" w:after="120"/>
              <w:rPr>
                <w:rFonts w:ascii="Arial Narrow" w:hAnsi="Arial Narrow"/>
                <w:szCs w:val="22"/>
                <w:lang w:val="es-CO"/>
              </w:rPr>
            </w:pPr>
            <w:r>
              <w:rPr>
                <w:rFonts w:ascii="Arial Narrow" w:hAnsi="Arial Narrow"/>
                <w:szCs w:val="22"/>
                <w:lang w:val="es-CO"/>
              </w:rPr>
              <w:t>Se iniciaron obras de remodelación de la terminal actual, se espera finalizarla en abril 2015.</w:t>
            </w:r>
          </w:p>
        </w:tc>
      </w:tr>
      <w:tr w:rsidR="000F4479" w:rsidRPr="00AE111D" w:rsidTr="00572796">
        <w:trPr>
          <w:trHeight w:val="360"/>
        </w:trPr>
        <w:tc>
          <w:tcPr>
            <w:tcW w:w="2547" w:type="dxa"/>
            <w:vAlign w:val="center"/>
          </w:tcPr>
          <w:p w:rsidR="000F4479" w:rsidRDefault="00572796" w:rsidP="00572796">
            <w:pPr>
              <w:pStyle w:val="Prrafodelista"/>
              <w:numPr>
                <w:ilvl w:val="0"/>
                <w:numId w:val="54"/>
              </w:numPr>
              <w:spacing w:beforeLines="60" w:before="144" w:afterLines="60" w:after="144"/>
              <w:ind w:left="176" w:hanging="142"/>
              <w:rPr>
                <w:rFonts w:ascii="Arial Narrow" w:eastAsia="Times New Roman" w:hAnsi="Arial Narrow"/>
                <w:lang w:val="es-CO"/>
              </w:rPr>
            </w:pPr>
            <w:r>
              <w:rPr>
                <w:rFonts w:ascii="Arial Narrow" w:eastAsia="Times New Roman" w:hAnsi="Arial Narrow"/>
                <w:lang w:val="es-CO"/>
              </w:rPr>
              <w:t>Aeropuerto San Andrés y Providencia</w:t>
            </w:r>
          </w:p>
        </w:tc>
        <w:tc>
          <w:tcPr>
            <w:tcW w:w="6281" w:type="dxa"/>
          </w:tcPr>
          <w:p w:rsidR="000F4479" w:rsidRDefault="00572796" w:rsidP="00EB59D9">
            <w:pPr>
              <w:spacing w:beforeLines="50" w:before="120" w:afterLines="50" w:after="120"/>
              <w:rPr>
                <w:rFonts w:ascii="Arial Narrow" w:hAnsi="Arial Narrow"/>
                <w:szCs w:val="22"/>
                <w:lang w:val="es-CO"/>
              </w:rPr>
            </w:pPr>
            <w:r>
              <w:rPr>
                <w:rFonts w:ascii="Arial Narrow" w:hAnsi="Arial Narrow"/>
                <w:szCs w:val="22"/>
                <w:lang w:val="es-CO"/>
              </w:rPr>
              <w:t xml:space="preserve">Debido a incumplimientos en el desarrollo del contrato, se </w:t>
            </w:r>
            <w:r w:rsidR="00EB59D9">
              <w:rPr>
                <w:rFonts w:ascii="Arial Narrow" w:hAnsi="Arial Narrow"/>
                <w:szCs w:val="22"/>
                <w:lang w:val="es-CO"/>
              </w:rPr>
              <w:t>terminó anticipadamente y de mutuo acuerdo</w:t>
            </w:r>
            <w:r>
              <w:rPr>
                <w:rFonts w:ascii="Arial Narrow" w:hAnsi="Arial Narrow"/>
                <w:szCs w:val="22"/>
                <w:lang w:val="es-CO"/>
              </w:rPr>
              <w:t xml:space="preserve"> y se inició la reversión, la cual debe </w:t>
            </w:r>
            <w:r w:rsidR="00EB59D9">
              <w:rPr>
                <w:rFonts w:ascii="Arial Narrow" w:hAnsi="Arial Narrow"/>
                <w:szCs w:val="22"/>
                <w:lang w:val="es-CO"/>
              </w:rPr>
              <w:t xml:space="preserve">finalizar en febrero </w:t>
            </w:r>
            <w:r>
              <w:rPr>
                <w:rFonts w:ascii="Arial Narrow" w:hAnsi="Arial Narrow"/>
                <w:szCs w:val="22"/>
                <w:lang w:val="es-CO"/>
              </w:rPr>
              <w:t>de 2015.</w:t>
            </w:r>
          </w:p>
        </w:tc>
      </w:tr>
    </w:tbl>
    <w:p w:rsidR="00C366EF" w:rsidRDefault="00C366EF" w:rsidP="00A15BF5">
      <w:pPr>
        <w:tabs>
          <w:tab w:val="left" w:pos="3285"/>
        </w:tabs>
        <w:rPr>
          <w:rFonts w:ascii="Arial Narrow" w:hAnsi="Arial Narrow"/>
        </w:rPr>
      </w:pPr>
    </w:p>
    <w:p w:rsidR="00572796" w:rsidRDefault="00572796" w:rsidP="00A15BF5">
      <w:pPr>
        <w:tabs>
          <w:tab w:val="left" w:pos="3285"/>
        </w:tabs>
        <w:rPr>
          <w:rFonts w:ascii="Arial Narrow" w:hAnsi="Arial Narrow"/>
        </w:rPr>
      </w:pPr>
      <w:r>
        <w:rPr>
          <w:rFonts w:ascii="Arial Narrow" w:hAnsi="Arial Narrow"/>
        </w:rPr>
        <w:t>Así mismo la entidad tenía tres (3) tribunales de arbitramento frente al concesionario del Aeropuerto El Dorado (OPAIN).</w:t>
      </w:r>
    </w:p>
    <w:p w:rsidR="00C366EF" w:rsidRPr="004D6B5F" w:rsidRDefault="00C366EF" w:rsidP="00A15BF5">
      <w:pPr>
        <w:tabs>
          <w:tab w:val="left" w:pos="3285"/>
        </w:tabs>
        <w:rPr>
          <w:rFonts w:ascii="Arial Narrow" w:hAnsi="Arial Narrow"/>
        </w:rPr>
      </w:pPr>
    </w:p>
    <w:p w:rsidR="00A15BF5" w:rsidRPr="004D6B5F" w:rsidRDefault="00A15BF5" w:rsidP="004D6B5F">
      <w:pPr>
        <w:pStyle w:val="Ttulo3"/>
        <w:rPr>
          <w:rFonts w:ascii="Arial Narrow" w:hAnsi="Arial Narrow"/>
        </w:rPr>
      </w:pPr>
      <w:bookmarkStart w:id="24" w:name="_Toc410922149"/>
      <w:r w:rsidRPr="004D6B5F">
        <w:rPr>
          <w:rFonts w:ascii="Arial Narrow" w:hAnsi="Arial Narrow"/>
        </w:rPr>
        <w:t>Atender Efectos de Ola Invernal</w:t>
      </w:r>
      <w:bookmarkEnd w:id="24"/>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Para atender los daños y efectos de la Ola Invernal 2010-2011 sobre la infraestructura de transporte concesionada la ANI se propuso una estrategia de tres fases:</w:t>
      </w:r>
    </w:p>
    <w:p w:rsidR="00A15BF5" w:rsidRPr="004D6B5F" w:rsidRDefault="00A15BF5" w:rsidP="00942F7A">
      <w:pPr>
        <w:spacing w:before="120" w:after="120"/>
        <w:rPr>
          <w:rFonts w:ascii="Arial Narrow" w:hAnsi="Arial Narrow"/>
          <w:b/>
          <w:i/>
          <w:szCs w:val="22"/>
        </w:rPr>
      </w:pPr>
      <w:r w:rsidRPr="004D6B5F">
        <w:rPr>
          <w:rFonts w:ascii="Arial Narrow" w:hAnsi="Arial Narrow"/>
          <w:b/>
          <w:i/>
          <w:szCs w:val="22"/>
        </w:rPr>
        <w:t>Fase I. Intervenciones con carácter de urgencia: Atención inmediata a los corredores afectados por la emergencia con el objetivo de permitir la transitabilidad</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El Gobierno Nacional declaró la emergencia invernal mediante Decreto 4580 de 2010 para ampliar los mecanismos de respuesta y atención institucionales ante la grave crisis humanitaria y los daños en la infraestructura que ocasionó la Ola Invernal 2010-2011. Con el propósito de permitir la transitabilidad inmediata de las vías afectadas por la Ola Invernal y garantizar la seguridad de los usuarios se expidió el Decreto 4823 de 2010 por medio del cual los contratistas y concesionarios del Estado debían contribuir solidariamente a la atención de la emergencia para restablecer el servicio de transporte, y los costos y gastos asociados a las intervenciones serian remunerados por el Estado a precio de mercado.</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El Fondo Nacional de Calamidades, a través del Convenio Interadministrativo No. 1005-09-663-2011 de octubre de 2011, se comprometió a transferir a través de la Fiduciaria La Previsora S.A., recursos a la ANI para remunerar las intervenciones de carácter urgente que ejecutaron los contratistas y concesionarios para permitir la transitabilidad en los corredores afectados.</w:t>
      </w:r>
    </w:p>
    <w:p w:rsidR="00A15BF5" w:rsidRPr="004D6B5F" w:rsidRDefault="00A15BF5" w:rsidP="00942F7A">
      <w:pPr>
        <w:spacing w:before="120" w:after="120"/>
        <w:rPr>
          <w:rFonts w:ascii="Arial Narrow" w:hAnsi="Arial Narrow"/>
          <w:b/>
          <w:i/>
          <w:szCs w:val="22"/>
        </w:rPr>
      </w:pPr>
      <w:r w:rsidRPr="004D6B5F">
        <w:rPr>
          <w:rFonts w:ascii="Arial Narrow" w:hAnsi="Arial Narrow"/>
          <w:b/>
          <w:i/>
          <w:szCs w:val="22"/>
        </w:rPr>
        <w:t>Fase II: La rehabilitación de los corredores afectados previo a la emergencia</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A través del Convenio Interadministrativo suscrito entre el Fondo Nacional de Calamidades y la ANI, ambas entidades determinaron los recursos y la cantidad de infraestructura que debía ser rehabilitada como consecuencia de la afectación por la Ola Invernal 2010-2011, para lo cual se realizó un estudio integral y se definió la distribución de riesgo en cada caso específico, reconociendo al contratista las obras que excedían la órbita contractual y que fueren desatadas únicamente con ocasión de la emergencia invernal.</w:t>
      </w:r>
    </w:p>
    <w:p w:rsidR="00A15BF5" w:rsidRPr="004D6B5F" w:rsidRDefault="00A15BF5" w:rsidP="00942F7A">
      <w:pPr>
        <w:spacing w:before="120" w:after="120"/>
        <w:rPr>
          <w:rFonts w:ascii="Arial Narrow" w:hAnsi="Arial Narrow"/>
          <w:b/>
          <w:i/>
          <w:szCs w:val="22"/>
        </w:rPr>
      </w:pPr>
      <w:r w:rsidRPr="004D6B5F">
        <w:rPr>
          <w:rFonts w:ascii="Arial Narrow" w:hAnsi="Arial Narrow"/>
          <w:b/>
          <w:i/>
          <w:szCs w:val="22"/>
        </w:rPr>
        <w:t>Fase III: La adaptación al cambio climático a través de la reconstrucción de los puntos críticos y vulnerables de la infraestructura para evitar afectaciones en el futuro próximo por fenómenos naturales.</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El Gobierno Nacional mediante el Decreto 4819 de 2010, creó el Fondo de Adaptación, cuyo objeto consiste en la recuperación, construcción y reconstrucción de las zonas afectadas por la Ola Invernal 2010-2011. El Ministerio de Transporte y la ANI postularon ante el Fondo de Adaptación las obras de adaptación al cambio climático que no habían sido atendidas por los recursos del Fondo de </w:t>
      </w:r>
      <w:r w:rsidR="005E4DE9">
        <w:rPr>
          <w:rFonts w:ascii="Arial Narrow" w:hAnsi="Arial Narrow"/>
          <w:szCs w:val="22"/>
          <w:lang w:val="es-CO"/>
        </w:rPr>
        <w:t>Calamidades dado su alto costo.</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La contratación de las intervenciones para la adaptación al cambio climático se realizó directamente entre el Fondo de Adaptación y el Concesionario, con su propia interventoría, costos y diseños. La ANI únicamente presta acompañamiento técnico al Fondo de Adaptación a través de un convenio interadministrativo entre las partes.</w:t>
      </w: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Si bien las intervenciones con recursos del Fondo Nacional de Calamidades solamente buscaban restablecer la función vial básica de transitabilidad y la rehabilitación de la infraestructura más afectada, se invirtieron aprox. $85.000 millones en distintos tipos de intervenciones en 7 principales corredores. Por otra parte, a través del Fondo de Adaptación actualmente se ejecutan intervenciones (aprox. 57 puntos críticos y otras obras) en </w:t>
      </w:r>
      <w:r w:rsidR="00D276B5">
        <w:rPr>
          <w:rFonts w:ascii="Arial Narrow" w:hAnsi="Arial Narrow"/>
          <w:szCs w:val="22"/>
          <w:lang w:val="es-CO"/>
        </w:rPr>
        <w:t>ocho (</w:t>
      </w:r>
      <w:r w:rsidRPr="004D6B5F">
        <w:rPr>
          <w:rFonts w:ascii="Arial Narrow" w:hAnsi="Arial Narrow"/>
          <w:szCs w:val="22"/>
          <w:lang w:val="es-CO"/>
        </w:rPr>
        <w:t>8</w:t>
      </w:r>
      <w:r w:rsidR="00D276B5">
        <w:rPr>
          <w:rFonts w:ascii="Arial Narrow" w:hAnsi="Arial Narrow"/>
          <w:szCs w:val="22"/>
          <w:lang w:val="es-CO"/>
        </w:rPr>
        <w:t>)</w:t>
      </w:r>
      <w:r w:rsidRPr="004D6B5F">
        <w:rPr>
          <w:rFonts w:ascii="Arial Narrow" w:hAnsi="Arial Narrow"/>
          <w:szCs w:val="22"/>
          <w:lang w:val="es-CO"/>
        </w:rPr>
        <w:t xml:space="preserve"> corredores por un costo aprox</w:t>
      </w:r>
      <w:r w:rsidRPr="001A410D">
        <w:rPr>
          <w:rFonts w:ascii="Arial Narrow" w:hAnsi="Arial Narrow"/>
          <w:szCs w:val="22"/>
          <w:lang w:val="es-CO"/>
        </w:rPr>
        <w:t>imado</w:t>
      </w:r>
      <w:r w:rsidRPr="004D6B5F">
        <w:rPr>
          <w:rFonts w:ascii="Arial Narrow" w:hAnsi="Arial Narrow"/>
          <w:szCs w:val="22"/>
          <w:lang w:val="es-CO"/>
        </w:rPr>
        <w:t xml:space="preserve"> de $340.000 millones</w:t>
      </w:r>
      <w:r w:rsidR="0025029D">
        <w:rPr>
          <w:rFonts w:ascii="Arial Narrow" w:hAnsi="Arial Narrow"/>
          <w:szCs w:val="22"/>
          <w:lang w:val="es-CO"/>
        </w:rPr>
        <w:t>.</w:t>
      </w:r>
      <w:r w:rsidR="00D80055">
        <w:rPr>
          <w:rFonts w:ascii="Arial Narrow" w:hAnsi="Arial Narrow"/>
          <w:szCs w:val="22"/>
          <w:lang w:val="es-CO"/>
        </w:rPr>
        <w:t xml:space="preserve"> (Ver cuadro N° 3</w:t>
      </w:r>
      <w:r w:rsidR="00D276B5">
        <w:rPr>
          <w:rFonts w:ascii="Arial Narrow" w:hAnsi="Arial Narrow"/>
          <w:szCs w:val="22"/>
          <w:lang w:val="es-CO"/>
        </w:rPr>
        <w:t xml:space="preserve"> y </w:t>
      </w:r>
      <w:r w:rsidR="00D80055">
        <w:rPr>
          <w:rFonts w:ascii="Arial Narrow" w:hAnsi="Arial Narrow"/>
          <w:szCs w:val="22"/>
          <w:lang w:val="es-CO"/>
        </w:rPr>
        <w:t>4</w:t>
      </w:r>
      <w:r w:rsidR="00D276B5">
        <w:rPr>
          <w:rFonts w:ascii="Arial Narrow" w:hAnsi="Arial Narrow"/>
          <w:szCs w:val="22"/>
          <w:lang w:val="es-CO"/>
        </w:rPr>
        <w:t>).</w:t>
      </w:r>
    </w:p>
    <w:p w:rsidR="00A15BF5" w:rsidRPr="004D6B5F" w:rsidRDefault="00D80055" w:rsidP="00A15BF5">
      <w:pPr>
        <w:jc w:val="center"/>
        <w:rPr>
          <w:rFonts w:ascii="Arial Narrow" w:hAnsi="Arial Narrow"/>
          <w:b/>
          <w:sz w:val="20"/>
          <w:szCs w:val="20"/>
        </w:rPr>
      </w:pPr>
      <w:r>
        <w:rPr>
          <w:rFonts w:ascii="Arial Narrow" w:hAnsi="Arial Narrow"/>
          <w:b/>
          <w:sz w:val="20"/>
          <w:szCs w:val="20"/>
        </w:rPr>
        <w:t>Cuadro No. 3</w:t>
      </w:r>
    </w:p>
    <w:p w:rsidR="004D6B5F" w:rsidRDefault="00A15BF5" w:rsidP="00A15BF5">
      <w:pPr>
        <w:jc w:val="center"/>
        <w:rPr>
          <w:rFonts w:ascii="Arial Narrow" w:hAnsi="Arial Narrow"/>
          <w:b/>
          <w:sz w:val="20"/>
          <w:szCs w:val="20"/>
        </w:rPr>
      </w:pPr>
      <w:r w:rsidRPr="004D6B5F">
        <w:rPr>
          <w:rFonts w:ascii="Arial Narrow" w:hAnsi="Arial Narrow"/>
          <w:b/>
          <w:sz w:val="20"/>
          <w:szCs w:val="20"/>
        </w:rPr>
        <w:t xml:space="preserve">Proyectos ANI - Fondo </w:t>
      </w:r>
      <w:r w:rsidR="000175EE">
        <w:rPr>
          <w:rFonts w:ascii="Arial Narrow" w:hAnsi="Arial Narrow"/>
          <w:b/>
          <w:sz w:val="20"/>
          <w:szCs w:val="20"/>
        </w:rPr>
        <w:t xml:space="preserve">de Adaptación </w:t>
      </w:r>
    </w:p>
    <w:p w:rsidR="000175EE" w:rsidRDefault="000175EE" w:rsidP="00A15BF5">
      <w:pPr>
        <w:jc w:val="center"/>
        <w:rPr>
          <w:rFonts w:ascii="Arial Narrow" w:hAnsi="Arial Narrow"/>
          <w:b/>
          <w:sz w:val="20"/>
          <w:szCs w:val="20"/>
        </w:rPr>
      </w:pPr>
      <w:r>
        <w:rPr>
          <w:rFonts w:ascii="Arial Narrow" w:hAnsi="Arial Narrow"/>
          <w:b/>
          <w:sz w:val="20"/>
          <w:szCs w:val="20"/>
        </w:rPr>
        <w:t>A</w:t>
      </w:r>
      <w:r w:rsidRPr="000175EE">
        <w:rPr>
          <w:rFonts w:ascii="Arial Narrow" w:hAnsi="Arial Narrow"/>
          <w:b/>
          <w:sz w:val="20"/>
          <w:szCs w:val="20"/>
        </w:rPr>
        <w:t xml:space="preserve">tención de sitios críticos de la </w:t>
      </w:r>
      <w:r>
        <w:rPr>
          <w:rFonts w:ascii="Arial Narrow" w:hAnsi="Arial Narrow"/>
          <w:b/>
          <w:sz w:val="20"/>
          <w:szCs w:val="20"/>
        </w:rPr>
        <w:t>R</w:t>
      </w:r>
      <w:r w:rsidRPr="000175EE">
        <w:rPr>
          <w:rFonts w:ascii="Arial Narrow" w:hAnsi="Arial Narrow"/>
          <w:b/>
          <w:sz w:val="20"/>
          <w:szCs w:val="20"/>
        </w:rPr>
        <w:t xml:space="preserve">ed </w:t>
      </w:r>
      <w:r>
        <w:rPr>
          <w:rFonts w:ascii="Arial Narrow" w:hAnsi="Arial Narrow"/>
          <w:b/>
          <w:sz w:val="20"/>
          <w:szCs w:val="20"/>
        </w:rPr>
        <w:t>V</w:t>
      </w:r>
      <w:r w:rsidRPr="000175EE">
        <w:rPr>
          <w:rFonts w:ascii="Arial Narrow" w:hAnsi="Arial Narrow"/>
          <w:b/>
          <w:sz w:val="20"/>
          <w:szCs w:val="20"/>
        </w:rPr>
        <w:t xml:space="preserve">ial </w:t>
      </w:r>
      <w:r>
        <w:rPr>
          <w:rFonts w:ascii="Arial Narrow" w:hAnsi="Arial Narrow"/>
          <w:b/>
          <w:sz w:val="20"/>
          <w:szCs w:val="20"/>
        </w:rPr>
        <w:t>N</w:t>
      </w:r>
      <w:r w:rsidRPr="000175EE">
        <w:rPr>
          <w:rFonts w:ascii="Arial Narrow" w:hAnsi="Arial Narrow"/>
          <w:b/>
          <w:sz w:val="20"/>
          <w:szCs w:val="20"/>
        </w:rPr>
        <w:t xml:space="preserve">acional </w:t>
      </w:r>
      <w:r>
        <w:rPr>
          <w:rFonts w:ascii="Arial Narrow" w:hAnsi="Arial Narrow"/>
          <w:b/>
          <w:sz w:val="20"/>
          <w:szCs w:val="20"/>
        </w:rPr>
        <w:t>C</w:t>
      </w:r>
      <w:r w:rsidRPr="000175EE">
        <w:rPr>
          <w:rFonts w:ascii="Arial Narrow" w:hAnsi="Arial Narrow"/>
          <w:b/>
          <w:sz w:val="20"/>
          <w:szCs w:val="20"/>
        </w:rPr>
        <w:t xml:space="preserve">oncesionada, afectados por </w:t>
      </w:r>
      <w:r>
        <w:rPr>
          <w:rFonts w:ascii="Arial Narrow" w:hAnsi="Arial Narrow"/>
          <w:b/>
          <w:sz w:val="20"/>
          <w:szCs w:val="20"/>
        </w:rPr>
        <w:t>F</w:t>
      </w:r>
      <w:r w:rsidRPr="000175EE">
        <w:rPr>
          <w:rFonts w:ascii="Arial Narrow" w:hAnsi="Arial Narrow"/>
          <w:b/>
          <w:sz w:val="20"/>
          <w:szCs w:val="20"/>
        </w:rPr>
        <w:t xml:space="preserve">enómeno </w:t>
      </w:r>
      <w:r>
        <w:rPr>
          <w:rFonts w:ascii="Arial Narrow" w:hAnsi="Arial Narrow"/>
          <w:b/>
          <w:sz w:val="20"/>
          <w:szCs w:val="20"/>
        </w:rPr>
        <w:t>L</w:t>
      </w:r>
      <w:r w:rsidRPr="000175EE">
        <w:rPr>
          <w:rFonts w:ascii="Arial Narrow" w:hAnsi="Arial Narrow"/>
          <w:b/>
          <w:sz w:val="20"/>
          <w:szCs w:val="20"/>
        </w:rPr>
        <w:t xml:space="preserve">a </w:t>
      </w:r>
      <w:r>
        <w:rPr>
          <w:rFonts w:ascii="Arial Narrow" w:hAnsi="Arial Narrow"/>
          <w:b/>
          <w:sz w:val="20"/>
          <w:szCs w:val="20"/>
        </w:rPr>
        <w:t>N</w:t>
      </w:r>
      <w:r w:rsidRPr="000175EE">
        <w:rPr>
          <w:rFonts w:ascii="Arial Narrow" w:hAnsi="Arial Narrow"/>
          <w:b/>
          <w:sz w:val="20"/>
          <w:szCs w:val="20"/>
        </w:rPr>
        <w:t>iña 2010 -2011</w:t>
      </w:r>
    </w:p>
    <w:tbl>
      <w:tblPr>
        <w:tblW w:w="0" w:type="auto"/>
        <w:jc w:val="center"/>
        <w:tblCellMar>
          <w:left w:w="70" w:type="dxa"/>
          <w:right w:w="70" w:type="dxa"/>
        </w:tblCellMar>
        <w:tblLook w:val="04A0" w:firstRow="1" w:lastRow="0" w:firstColumn="1" w:lastColumn="0" w:noHBand="0" w:noVBand="1"/>
      </w:tblPr>
      <w:tblGrid>
        <w:gridCol w:w="2583"/>
        <w:gridCol w:w="1372"/>
        <w:gridCol w:w="1560"/>
        <w:gridCol w:w="1132"/>
        <w:gridCol w:w="1372"/>
        <w:gridCol w:w="809"/>
      </w:tblGrid>
      <w:tr w:rsidR="00FF6719" w:rsidRPr="000175EE" w:rsidTr="000175EE">
        <w:trPr>
          <w:trHeight w:val="315"/>
          <w:tblHeader/>
          <w:jc w:val="center"/>
        </w:trPr>
        <w:tc>
          <w:tcPr>
            <w:tcW w:w="2583" w:type="dxa"/>
            <w:tcBorders>
              <w:top w:val="single" w:sz="4" w:space="0" w:color="auto"/>
              <w:left w:val="single" w:sz="4" w:space="0" w:color="auto"/>
              <w:bottom w:val="double" w:sz="6" w:space="0" w:color="auto"/>
              <w:right w:val="single" w:sz="4" w:space="0" w:color="auto"/>
            </w:tcBorders>
            <w:shd w:val="clear" w:color="auto" w:fill="2E74B5" w:themeFill="accent1" w:themeFillShade="BF"/>
            <w:noWrap/>
            <w:vAlign w:val="center"/>
            <w:hideMark/>
          </w:tcPr>
          <w:p w:rsidR="0025029D" w:rsidRPr="000175EE" w:rsidRDefault="00FF6719" w:rsidP="00FF6719">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Objeto</w:t>
            </w:r>
          </w:p>
        </w:tc>
        <w:tc>
          <w:tcPr>
            <w:tcW w:w="1372"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25029D" w:rsidRPr="000175EE" w:rsidRDefault="00FF6719" w:rsidP="00FF6719">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Valor Actualizado</w:t>
            </w:r>
          </w:p>
        </w:tc>
        <w:tc>
          <w:tcPr>
            <w:tcW w:w="1560"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25029D" w:rsidRPr="000175EE" w:rsidRDefault="00FF6719" w:rsidP="00FF6719">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Tipo de Contrato</w:t>
            </w:r>
          </w:p>
        </w:tc>
        <w:tc>
          <w:tcPr>
            <w:tcW w:w="1132"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25029D" w:rsidRPr="000175EE" w:rsidRDefault="00FF6719" w:rsidP="00FF6719">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Fecha de Inicio</w:t>
            </w:r>
          </w:p>
        </w:tc>
        <w:tc>
          <w:tcPr>
            <w:tcW w:w="1372"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25029D" w:rsidRPr="000175EE" w:rsidRDefault="00FF6719" w:rsidP="00FF6719">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Fecha de Terminación</w:t>
            </w:r>
          </w:p>
        </w:tc>
        <w:tc>
          <w:tcPr>
            <w:tcW w:w="809"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25029D" w:rsidRPr="000175EE" w:rsidRDefault="00FF6719" w:rsidP="00FF6719">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Avance</w:t>
            </w:r>
          </w:p>
        </w:tc>
      </w:tr>
      <w:tr w:rsidR="000175EE" w:rsidRPr="00FF6719" w:rsidTr="00FF6719">
        <w:trPr>
          <w:trHeight w:val="462"/>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E</w:t>
            </w:r>
            <w:r w:rsidRPr="0025029D">
              <w:rPr>
                <w:rFonts w:ascii="Arial Narrow" w:eastAsia="Times New Roman" w:hAnsi="Arial Narrow"/>
                <w:color w:val="000000"/>
                <w:sz w:val="20"/>
                <w:szCs w:val="20"/>
                <w:lang w:val="es-CO" w:eastAsia="es-CO"/>
              </w:rPr>
              <w:t xml:space="preserve">studios y diseños técnicos </w:t>
            </w:r>
            <w:r w:rsidRPr="00FF6719">
              <w:rPr>
                <w:rFonts w:ascii="Arial Narrow" w:eastAsia="Times New Roman" w:hAnsi="Arial Narrow"/>
                <w:color w:val="000000"/>
                <w:sz w:val="20"/>
                <w:szCs w:val="20"/>
                <w:lang w:val="es-CO" w:eastAsia="es-CO"/>
              </w:rPr>
              <w:t>F</w:t>
            </w:r>
            <w:r w:rsidRPr="0025029D">
              <w:rPr>
                <w:rFonts w:ascii="Arial Narrow" w:eastAsia="Times New Roman" w:hAnsi="Arial Narrow"/>
                <w:color w:val="000000"/>
                <w:sz w:val="20"/>
                <w:szCs w:val="20"/>
                <w:lang w:val="es-CO" w:eastAsia="es-CO"/>
              </w:rPr>
              <w:t>ase III</w:t>
            </w:r>
            <w:r>
              <w:rPr>
                <w:rFonts w:ascii="Arial Narrow" w:eastAsia="Times New Roman" w:hAnsi="Arial Narrow"/>
                <w:color w:val="000000"/>
                <w:sz w:val="20"/>
                <w:szCs w:val="20"/>
                <w:lang w:val="es-CO" w:eastAsia="es-CO"/>
              </w:rPr>
              <w:t xml:space="preserve"> </w:t>
            </w:r>
            <w:r w:rsidRPr="0025029D">
              <w:rPr>
                <w:rFonts w:ascii="Arial Narrow" w:eastAsia="Times New Roman" w:hAnsi="Arial Narrow"/>
                <w:color w:val="000000"/>
                <w:sz w:val="20"/>
                <w:szCs w:val="20"/>
                <w:lang w:val="es-CO" w:eastAsia="es-CO"/>
              </w:rPr>
              <w:t xml:space="preserve">"Recuperación sitios críticos </w:t>
            </w:r>
            <w:r>
              <w:rPr>
                <w:rFonts w:ascii="Arial Narrow" w:eastAsia="Times New Roman" w:hAnsi="Arial Narrow"/>
                <w:color w:val="000000"/>
                <w:sz w:val="20"/>
                <w:szCs w:val="20"/>
                <w:lang w:val="es-CO" w:eastAsia="es-CO"/>
              </w:rPr>
              <w:t>A</w:t>
            </w:r>
            <w:r w:rsidRPr="0025029D">
              <w:rPr>
                <w:rFonts w:ascii="Arial Narrow" w:eastAsia="Times New Roman" w:hAnsi="Arial Narrow"/>
                <w:color w:val="000000"/>
                <w:sz w:val="20"/>
                <w:szCs w:val="20"/>
                <w:lang w:val="es-CO" w:eastAsia="es-CO"/>
              </w:rPr>
              <w:t>utopista Medellín - Bogotá".</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1,730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Estudios y Diseños </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26-mar-13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26-ago-13</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194"/>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Recuperación sitios críticos Armenia-Pereira-Manizales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300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Estudios y Diseños</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18-mar-13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18-jul-13</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511"/>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Estudios y Diseños técnicos </w:t>
            </w:r>
            <w:r>
              <w:rPr>
                <w:rFonts w:ascii="Arial Narrow" w:eastAsia="Times New Roman" w:hAnsi="Arial Narrow"/>
                <w:color w:val="000000"/>
                <w:sz w:val="20"/>
                <w:szCs w:val="20"/>
                <w:lang w:val="es-CO" w:eastAsia="es-CO"/>
              </w:rPr>
              <w:t>“</w:t>
            </w:r>
            <w:r w:rsidRPr="0025029D">
              <w:rPr>
                <w:rFonts w:ascii="Arial Narrow" w:eastAsia="Times New Roman" w:hAnsi="Arial Narrow"/>
                <w:color w:val="000000"/>
                <w:sz w:val="20"/>
                <w:szCs w:val="20"/>
                <w:lang w:val="es-CO" w:eastAsia="es-CO"/>
              </w:rPr>
              <w:t>Recuperación sitios críticos Autopista Bogotá – Villeta"</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2,096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Estudios y Diseños </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18-mar-13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18-ago-13</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337"/>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Estudios y Diseños técnicos y de detalle, </w:t>
            </w:r>
            <w:r>
              <w:rPr>
                <w:rFonts w:ascii="Arial Narrow" w:eastAsia="Times New Roman" w:hAnsi="Arial Narrow"/>
                <w:color w:val="000000"/>
                <w:sz w:val="20"/>
                <w:szCs w:val="20"/>
                <w:lang w:val="es-CO" w:eastAsia="es-CO"/>
              </w:rPr>
              <w:t>F</w:t>
            </w:r>
            <w:r w:rsidRPr="0025029D">
              <w:rPr>
                <w:rFonts w:ascii="Arial Narrow" w:eastAsia="Times New Roman" w:hAnsi="Arial Narrow"/>
                <w:color w:val="000000"/>
                <w:sz w:val="20"/>
                <w:szCs w:val="20"/>
                <w:lang w:val="es-CO" w:eastAsia="es-CO"/>
              </w:rPr>
              <w:t>ase III, "Realce de la rasante de la variante Teletón"</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108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Estudios y Diseños</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11-mar-13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11-may-13</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Desarrollo y ejecución del proyecto "</w:t>
            </w:r>
            <w:r>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ealce de la rasante de la variante Teletón"</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9,470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26-jul-13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25-may-14</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102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Obras de emergencia para la protección de la banca de la vía en el PR 43+000, de la carretera Neiva - Espinal (Sector “La Vega del Muerto”)</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3,788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12-sep-13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19-oct-14</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765"/>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Obras para la recuperación de ocho (8) sitios críticos en la autopista Bogotá – Medellín </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55,932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29-oct-13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28-sep-15</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73%</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Obras para la recuperación de sitios críticos en la Autopista Medellín – Bogotá </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51,477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20-ene-14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19-nov-15</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50%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Obras para la recuperación de sitios críticos de la carretera Armenia – Pereira – Manizales.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44,534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13-feb-14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16-dic-15</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25%</w:t>
            </w:r>
          </w:p>
        </w:tc>
      </w:tr>
      <w:tr w:rsidR="000175EE" w:rsidRPr="00FF6719" w:rsidTr="00FF6719">
        <w:trPr>
          <w:trHeight w:val="1275"/>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Interventoría </w:t>
            </w:r>
            <w:r>
              <w:rPr>
                <w:rFonts w:ascii="Arial Narrow" w:eastAsia="Times New Roman" w:hAnsi="Arial Narrow"/>
                <w:color w:val="000000"/>
                <w:sz w:val="20"/>
                <w:szCs w:val="20"/>
                <w:lang w:val="es-CO" w:eastAsia="es-CO"/>
              </w:rPr>
              <w:t>E</w:t>
            </w:r>
            <w:r w:rsidRPr="0025029D">
              <w:rPr>
                <w:rFonts w:ascii="Arial Narrow" w:eastAsia="Times New Roman" w:hAnsi="Arial Narrow"/>
                <w:color w:val="000000"/>
                <w:sz w:val="20"/>
                <w:szCs w:val="20"/>
                <w:lang w:val="es-CO" w:eastAsia="es-CO"/>
              </w:rPr>
              <w:t>studios y diseños fase III y de construcción de los sitios de la red v</w:t>
            </w:r>
            <w:r>
              <w:rPr>
                <w:rFonts w:ascii="Arial Narrow" w:eastAsia="Times New Roman" w:hAnsi="Arial Narrow"/>
                <w:color w:val="000000"/>
                <w:sz w:val="20"/>
                <w:szCs w:val="20"/>
                <w:lang w:val="es-CO" w:eastAsia="es-CO"/>
              </w:rPr>
              <w:t>i</w:t>
            </w:r>
            <w:r w:rsidRPr="0025029D">
              <w:rPr>
                <w:rFonts w:ascii="Arial Narrow" w:eastAsia="Times New Roman" w:hAnsi="Arial Narrow"/>
                <w:color w:val="000000"/>
                <w:sz w:val="20"/>
                <w:szCs w:val="20"/>
                <w:lang w:val="es-CO" w:eastAsia="es-CO"/>
              </w:rPr>
              <w:t>al concesionada afectados por el Fenómeno de la Niña 2010-2011 (Sitios Críticos)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12,977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Interventoría Sitios Críticos Concesiones</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17-mar-13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31-dic-15</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58.50%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Obras para el realce de la rasante de la vía La Bodega - Mompox</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46,243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22-ene-14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21-may-15</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38%</w:t>
            </w:r>
          </w:p>
        </w:tc>
      </w:tr>
      <w:tr w:rsidR="000175EE" w:rsidRPr="00FF6719" w:rsidTr="00FF6719">
        <w:trPr>
          <w:trHeight w:val="765"/>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Obras para la reconstrucción y estabilización de sitios críticos en la Vía Bogotá - Villeta</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22,957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20-oct-14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17-mar-16</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2%</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Reconstrucción y estabilización de sitios críticos en la autopista Medellín - Bogotá.</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15,357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25-nov-14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24-feb-16</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0%</w:t>
            </w:r>
          </w:p>
        </w:tc>
      </w:tr>
      <w:tr w:rsidR="000175EE" w:rsidRPr="00FF6719" w:rsidTr="000175EE">
        <w:trPr>
          <w:trHeight w:val="462"/>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 Cúcuta - Pamplona (13 sitios críticos)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54,045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02-jul-13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01-oct-14</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Interventoría Construcción Cúcuta </w:t>
            </w:r>
            <w:r>
              <w:rPr>
                <w:rFonts w:ascii="Arial Narrow" w:eastAsia="Times New Roman" w:hAnsi="Arial Narrow"/>
                <w:color w:val="000000"/>
                <w:sz w:val="20"/>
                <w:szCs w:val="20"/>
                <w:lang w:val="es-CO" w:eastAsia="es-CO"/>
              </w:rPr>
              <w:t>–</w:t>
            </w:r>
            <w:r w:rsidRPr="0025029D">
              <w:rPr>
                <w:rFonts w:ascii="Arial Narrow" w:eastAsia="Times New Roman" w:hAnsi="Arial Narrow"/>
                <w:color w:val="000000"/>
                <w:sz w:val="20"/>
                <w:szCs w:val="20"/>
                <w:lang w:val="es-CO" w:eastAsia="es-CO"/>
              </w:rPr>
              <w:t xml:space="preserve"> Pamplona</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4,771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Interventoría obra</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02-jul-13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01-nov-14</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Estudios y diseños 27 sitios críticos, Cúcuta </w:t>
            </w:r>
            <w:r w:rsidRPr="00FF6719">
              <w:rPr>
                <w:rFonts w:ascii="Arial Narrow" w:eastAsia="Times New Roman" w:hAnsi="Arial Narrow"/>
                <w:color w:val="000000"/>
                <w:sz w:val="20"/>
                <w:szCs w:val="20"/>
                <w:lang w:val="es-CO" w:eastAsia="es-CO"/>
              </w:rPr>
              <w:t>–</w:t>
            </w:r>
            <w:r w:rsidRPr="0025029D">
              <w:rPr>
                <w:rFonts w:ascii="Arial Narrow" w:eastAsia="Times New Roman" w:hAnsi="Arial Narrow"/>
                <w:color w:val="000000"/>
                <w:sz w:val="20"/>
                <w:szCs w:val="20"/>
                <w:lang w:val="es-CO" w:eastAsia="es-CO"/>
              </w:rPr>
              <w:t xml:space="preserve"> Pamplona</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1,220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Consultoría</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06-nov-13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20-jun-14</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300"/>
          <w:jc w:val="center"/>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 xml:space="preserve">Interventoría Estudios Cúcuta </w:t>
            </w:r>
            <w:r>
              <w:rPr>
                <w:rFonts w:ascii="Arial Narrow" w:eastAsia="Times New Roman" w:hAnsi="Arial Narrow"/>
                <w:color w:val="000000"/>
                <w:sz w:val="20"/>
                <w:szCs w:val="20"/>
                <w:lang w:val="es-CO" w:eastAsia="es-CO"/>
              </w:rPr>
              <w:t>–</w:t>
            </w:r>
            <w:r w:rsidRPr="0025029D">
              <w:rPr>
                <w:rFonts w:ascii="Arial Narrow" w:eastAsia="Times New Roman" w:hAnsi="Arial Narrow"/>
                <w:color w:val="000000"/>
                <w:sz w:val="20"/>
                <w:szCs w:val="20"/>
                <w:lang w:val="es-CO" w:eastAsia="es-CO"/>
              </w:rPr>
              <w:t xml:space="preserve"> Pamplona</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474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Interventoría consultoría</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06-nov-13</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20-jun-14</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 Cúcuta - Pamplona (23 sitios críticos)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34,912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05-ago-14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04-oct-15</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19.13%</w:t>
            </w:r>
          </w:p>
        </w:tc>
      </w:tr>
      <w:tr w:rsidR="000175EE" w:rsidRPr="00FF6719" w:rsidTr="00AD165F">
        <w:trPr>
          <w:trHeight w:val="512"/>
          <w:jc w:val="center"/>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AD165F">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 Cúcuta - Pamplona (4 sitios críticos)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AD165F">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30,710 </w:t>
            </w:r>
          </w:p>
        </w:tc>
        <w:tc>
          <w:tcPr>
            <w:tcW w:w="1560" w:type="dxa"/>
            <w:tcBorders>
              <w:top w:val="nil"/>
              <w:left w:val="nil"/>
              <w:bottom w:val="single" w:sz="4" w:space="0" w:color="auto"/>
              <w:right w:val="single" w:sz="4" w:space="0" w:color="auto"/>
            </w:tcBorders>
            <w:shd w:val="clear" w:color="auto" w:fill="auto"/>
            <w:vAlign w:val="center"/>
            <w:hideMark/>
          </w:tcPr>
          <w:p w:rsidR="000175EE" w:rsidRPr="0025029D" w:rsidRDefault="000175EE" w:rsidP="00AD165F">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AD165F">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05-ene-15</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AD165F">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04-sep-16</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AD165F">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0.00%</w:t>
            </w:r>
          </w:p>
        </w:tc>
      </w:tr>
      <w:tr w:rsidR="000175EE" w:rsidRPr="00FF6719" w:rsidTr="00FF6719">
        <w:trPr>
          <w:trHeight w:val="510"/>
          <w:jc w:val="center"/>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Interventoría Construcción Cúcuta - Pamplona (23  y 4 sitios críticos)</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6,556 </w:t>
            </w:r>
          </w:p>
        </w:tc>
        <w:tc>
          <w:tcPr>
            <w:tcW w:w="1560"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Interventoría obra</w:t>
            </w:r>
          </w:p>
        </w:tc>
        <w:tc>
          <w:tcPr>
            <w:tcW w:w="113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05-ago-14</w:t>
            </w:r>
          </w:p>
        </w:tc>
        <w:tc>
          <w:tcPr>
            <w:tcW w:w="1372"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04-oct-16</w:t>
            </w:r>
          </w:p>
        </w:tc>
        <w:tc>
          <w:tcPr>
            <w:tcW w:w="809" w:type="dxa"/>
            <w:tcBorders>
              <w:top w:val="nil"/>
              <w:left w:val="nil"/>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11.03%</w:t>
            </w:r>
          </w:p>
        </w:tc>
      </w:tr>
      <w:tr w:rsidR="000175EE" w:rsidRPr="000175EE" w:rsidTr="000175EE">
        <w:trPr>
          <w:trHeight w:val="204"/>
          <w:jc w:val="center"/>
        </w:trPr>
        <w:tc>
          <w:tcPr>
            <w:tcW w:w="2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5EE" w:rsidRPr="000175EE" w:rsidRDefault="000175EE" w:rsidP="000175EE">
            <w:pPr>
              <w:jc w:val="left"/>
              <w:rPr>
                <w:rFonts w:ascii="Arial Narrow" w:eastAsia="Times New Roman" w:hAnsi="Arial Narrow"/>
                <w:b/>
                <w:color w:val="000000"/>
                <w:sz w:val="20"/>
                <w:szCs w:val="20"/>
                <w:lang w:val="es-CO" w:eastAsia="es-CO"/>
              </w:rPr>
            </w:pPr>
            <w:r w:rsidRPr="000175EE">
              <w:rPr>
                <w:rFonts w:ascii="Arial Narrow" w:eastAsia="Times New Roman" w:hAnsi="Arial Narrow"/>
                <w:b/>
                <w:color w:val="000000"/>
                <w:sz w:val="20"/>
                <w:szCs w:val="20"/>
                <w:lang w:val="es-CO" w:eastAsia="es-CO"/>
              </w:rPr>
              <w:t>Total</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0175EE" w:rsidRPr="000175EE" w:rsidRDefault="000175EE" w:rsidP="000175EE">
            <w:pPr>
              <w:jc w:val="center"/>
              <w:rPr>
                <w:rFonts w:ascii="Arial Narrow" w:hAnsi="Arial Narrow"/>
                <w:b/>
                <w:color w:val="000000"/>
                <w:sz w:val="20"/>
                <w:szCs w:val="20"/>
              </w:rPr>
            </w:pPr>
            <w:r w:rsidRPr="000175EE">
              <w:rPr>
                <w:rFonts w:ascii="Arial Narrow" w:hAnsi="Arial Narrow"/>
                <w:b/>
                <w:color w:val="000000"/>
                <w:sz w:val="20"/>
                <w:szCs w:val="20"/>
              </w:rPr>
              <w:t>399,656</w:t>
            </w:r>
          </w:p>
        </w:tc>
        <w:tc>
          <w:tcPr>
            <w:tcW w:w="1560" w:type="dxa"/>
            <w:tcBorders>
              <w:top w:val="single" w:sz="4" w:space="0" w:color="auto"/>
              <w:left w:val="nil"/>
            </w:tcBorders>
            <w:shd w:val="clear" w:color="auto" w:fill="auto"/>
            <w:vAlign w:val="center"/>
          </w:tcPr>
          <w:p w:rsidR="000175EE" w:rsidRPr="000175EE" w:rsidRDefault="000175EE" w:rsidP="000175EE">
            <w:pPr>
              <w:jc w:val="left"/>
              <w:rPr>
                <w:rFonts w:ascii="Arial Narrow" w:eastAsia="Times New Roman" w:hAnsi="Arial Narrow"/>
                <w:b/>
                <w:color w:val="000000"/>
                <w:sz w:val="20"/>
                <w:szCs w:val="20"/>
                <w:lang w:val="es-CO" w:eastAsia="es-CO"/>
              </w:rPr>
            </w:pPr>
          </w:p>
        </w:tc>
        <w:tc>
          <w:tcPr>
            <w:tcW w:w="1132" w:type="dxa"/>
            <w:tcBorders>
              <w:top w:val="single" w:sz="4" w:space="0" w:color="auto"/>
            </w:tcBorders>
            <w:shd w:val="clear" w:color="auto" w:fill="auto"/>
            <w:noWrap/>
            <w:vAlign w:val="center"/>
          </w:tcPr>
          <w:p w:rsidR="000175EE" w:rsidRPr="000175EE" w:rsidRDefault="000175EE" w:rsidP="000175EE">
            <w:pPr>
              <w:jc w:val="center"/>
              <w:rPr>
                <w:rFonts w:ascii="Arial Narrow" w:hAnsi="Arial Narrow"/>
                <w:b/>
                <w:color w:val="000000"/>
                <w:sz w:val="20"/>
                <w:szCs w:val="20"/>
              </w:rPr>
            </w:pPr>
          </w:p>
        </w:tc>
        <w:tc>
          <w:tcPr>
            <w:tcW w:w="1372" w:type="dxa"/>
            <w:tcBorders>
              <w:top w:val="single" w:sz="4" w:space="0" w:color="auto"/>
            </w:tcBorders>
            <w:shd w:val="clear" w:color="auto" w:fill="auto"/>
            <w:noWrap/>
            <w:vAlign w:val="center"/>
          </w:tcPr>
          <w:p w:rsidR="000175EE" w:rsidRPr="000175EE" w:rsidRDefault="000175EE" w:rsidP="000175EE">
            <w:pPr>
              <w:jc w:val="center"/>
              <w:rPr>
                <w:rFonts w:ascii="Arial Narrow" w:hAnsi="Arial Narrow"/>
                <w:b/>
                <w:color w:val="000000"/>
                <w:sz w:val="20"/>
                <w:szCs w:val="20"/>
              </w:rPr>
            </w:pPr>
          </w:p>
        </w:tc>
        <w:tc>
          <w:tcPr>
            <w:tcW w:w="809" w:type="dxa"/>
            <w:tcBorders>
              <w:top w:val="single" w:sz="4" w:space="0" w:color="auto"/>
            </w:tcBorders>
            <w:shd w:val="clear" w:color="auto" w:fill="auto"/>
            <w:noWrap/>
            <w:vAlign w:val="center"/>
          </w:tcPr>
          <w:p w:rsidR="000175EE" w:rsidRPr="000175EE" w:rsidRDefault="000175EE" w:rsidP="000175EE">
            <w:pPr>
              <w:jc w:val="center"/>
              <w:rPr>
                <w:rFonts w:ascii="Arial Narrow" w:eastAsia="Times New Roman" w:hAnsi="Arial Narrow"/>
                <w:b/>
                <w:color w:val="000000"/>
                <w:sz w:val="20"/>
                <w:szCs w:val="20"/>
                <w:lang w:val="es-CO" w:eastAsia="es-CO"/>
              </w:rPr>
            </w:pPr>
          </w:p>
        </w:tc>
      </w:tr>
    </w:tbl>
    <w:p w:rsidR="000175EE" w:rsidRDefault="000175EE" w:rsidP="000175EE">
      <w:pPr>
        <w:rPr>
          <w:rFonts w:ascii="Arial Narrow" w:eastAsia="Times New Roman" w:hAnsi="Arial Narrow"/>
          <w:color w:val="000000"/>
          <w:sz w:val="18"/>
          <w:szCs w:val="20"/>
          <w:lang w:val="es-CO" w:eastAsia="es-CO"/>
        </w:rPr>
      </w:pPr>
      <w:r>
        <w:rPr>
          <w:rFonts w:ascii="Arial Narrow" w:eastAsia="Times New Roman" w:hAnsi="Arial Narrow"/>
          <w:color w:val="000000"/>
          <w:sz w:val="18"/>
          <w:szCs w:val="20"/>
          <w:lang w:val="es-CO" w:eastAsia="es-CO"/>
        </w:rPr>
        <w:t xml:space="preserve">Fuente: ANI – </w:t>
      </w:r>
      <w:r w:rsidRPr="000175EE">
        <w:rPr>
          <w:rFonts w:ascii="Arial Narrow" w:eastAsia="Times New Roman" w:hAnsi="Arial Narrow"/>
          <w:color w:val="000000"/>
          <w:sz w:val="18"/>
          <w:szCs w:val="20"/>
          <w:lang w:val="es-CO" w:eastAsia="es-CO"/>
        </w:rPr>
        <w:t>Cifras en millones de pesos</w:t>
      </w:r>
    </w:p>
    <w:p w:rsidR="000175EE" w:rsidRDefault="000175EE" w:rsidP="000175EE">
      <w:pPr>
        <w:rPr>
          <w:rFonts w:ascii="Arial Narrow" w:eastAsia="Times New Roman" w:hAnsi="Arial Narrow"/>
          <w:color w:val="000000"/>
          <w:szCs w:val="20"/>
          <w:lang w:val="es-CO" w:eastAsia="es-CO"/>
        </w:rPr>
      </w:pPr>
      <w:r w:rsidRPr="000175EE">
        <w:rPr>
          <w:rFonts w:ascii="Arial Narrow" w:eastAsia="Times New Roman" w:hAnsi="Arial Narrow"/>
          <w:color w:val="000000"/>
          <w:sz w:val="18"/>
          <w:szCs w:val="20"/>
          <w:lang w:val="es-CO" w:eastAsia="es-CO"/>
        </w:rPr>
        <w:t>Los contratos 012, 032, 069 y 070 de 2014 se hallan suspendidos en espera de pronunciamientos de la ANLA; además la Variante de la Paz del contrato N° 002 de 2014.</w:t>
      </w:r>
    </w:p>
    <w:p w:rsidR="000175EE" w:rsidRPr="004D6B5F" w:rsidRDefault="000175EE" w:rsidP="00AD165F">
      <w:pPr>
        <w:jc w:val="center"/>
        <w:rPr>
          <w:rFonts w:ascii="Arial Narrow" w:hAnsi="Arial Narrow"/>
          <w:b/>
          <w:sz w:val="20"/>
          <w:szCs w:val="20"/>
        </w:rPr>
      </w:pPr>
      <w:r w:rsidRPr="004D6B5F">
        <w:rPr>
          <w:rFonts w:ascii="Arial Narrow" w:hAnsi="Arial Narrow"/>
          <w:b/>
          <w:sz w:val="20"/>
          <w:szCs w:val="20"/>
        </w:rPr>
        <w:t xml:space="preserve">Cuadro No. </w:t>
      </w:r>
      <w:r w:rsidR="00D80055">
        <w:rPr>
          <w:rFonts w:ascii="Arial Narrow" w:hAnsi="Arial Narrow"/>
          <w:b/>
          <w:sz w:val="20"/>
          <w:szCs w:val="20"/>
        </w:rPr>
        <w:t>4</w:t>
      </w:r>
    </w:p>
    <w:p w:rsidR="000175EE" w:rsidRDefault="000175EE" w:rsidP="00AD165F">
      <w:pPr>
        <w:jc w:val="center"/>
        <w:rPr>
          <w:rFonts w:ascii="Arial Narrow" w:hAnsi="Arial Narrow"/>
          <w:b/>
          <w:sz w:val="20"/>
          <w:szCs w:val="20"/>
        </w:rPr>
      </w:pPr>
      <w:r w:rsidRPr="004D6B5F">
        <w:rPr>
          <w:rFonts w:ascii="Arial Narrow" w:hAnsi="Arial Narrow"/>
          <w:b/>
          <w:sz w:val="20"/>
          <w:szCs w:val="20"/>
        </w:rPr>
        <w:t xml:space="preserve">Proyectos ANI - Fondo </w:t>
      </w:r>
      <w:r>
        <w:rPr>
          <w:rFonts w:ascii="Arial Narrow" w:hAnsi="Arial Narrow"/>
          <w:b/>
          <w:sz w:val="20"/>
          <w:szCs w:val="20"/>
        </w:rPr>
        <w:t xml:space="preserve">de Adaptación </w:t>
      </w:r>
    </w:p>
    <w:p w:rsidR="000175EE" w:rsidRDefault="000175EE" w:rsidP="000175EE">
      <w:pPr>
        <w:jc w:val="center"/>
        <w:rPr>
          <w:rFonts w:ascii="Arial Narrow" w:hAnsi="Arial Narrow"/>
          <w:b/>
          <w:sz w:val="20"/>
          <w:szCs w:val="20"/>
        </w:rPr>
      </w:pPr>
      <w:r>
        <w:rPr>
          <w:rFonts w:ascii="Arial Narrow" w:hAnsi="Arial Narrow"/>
          <w:b/>
          <w:sz w:val="20"/>
          <w:szCs w:val="20"/>
        </w:rPr>
        <w:t>A</w:t>
      </w:r>
      <w:r w:rsidRPr="000175EE">
        <w:rPr>
          <w:rFonts w:ascii="Arial Narrow" w:hAnsi="Arial Narrow"/>
          <w:b/>
          <w:sz w:val="20"/>
          <w:szCs w:val="20"/>
        </w:rPr>
        <w:t xml:space="preserve">tención de sitios críticos de la </w:t>
      </w:r>
      <w:r>
        <w:rPr>
          <w:rFonts w:ascii="Arial Narrow" w:hAnsi="Arial Narrow"/>
          <w:b/>
          <w:sz w:val="20"/>
          <w:szCs w:val="20"/>
        </w:rPr>
        <w:t>R</w:t>
      </w:r>
      <w:r w:rsidRPr="000175EE">
        <w:rPr>
          <w:rFonts w:ascii="Arial Narrow" w:hAnsi="Arial Narrow"/>
          <w:b/>
          <w:sz w:val="20"/>
          <w:szCs w:val="20"/>
        </w:rPr>
        <w:t xml:space="preserve">ed </w:t>
      </w:r>
      <w:r>
        <w:rPr>
          <w:rFonts w:ascii="Arial Narrow" w:hAnsi="Arial Narrow"/>
          <w:b/>
          <w:sz w:val="20"/>
          <w:szCs w:val="20"/>
        </w:rPr>
        <w:t>Férrea N</w:t>
      </w:r>
      <w:r w:rsidRPr="000175EE">
        <w:rPr>
          <w:rFonts w:ascii="Arial Narrow" w:hAnsi="Arial Narrow"/>
          <w:b/>
          <w:sz w:val="20"/>
          <w:szCs w:val="20"/>
        </w:rPr>
        <w:t xml:space="preserve">acional </w:t>
      </w:r>
      <w:r>
        <w:rPr>
          <w:rFonts w:ascii="Arial Narrow" w:hAnsi="Arial Narrow"/>
          <w:b/>
          <w:sz w:val="20"/>
          <w:szCs w:val="20"/>
        </w:rPr>
        <w:t>C</w:t>
      </w:r>
      <w:r w:rsidRPr="000175EE">
        <w:rPr>
          <w:rFonts w:ascii="Arial Narrow" w:hAnsi="Arial Narrow"/>
          <w:b/>
          <w:sz w:val="20"/>
          <w:szCs w:val="20"/>
        </w:rPr>
        <w:t xml:space="preserve">oncesionada, afectados por </w:t>
      </w:r>
      <w:r>
        <w:rPr>
          <w:rFonts w:ascii="Arial Narrow" w:hAnsi="Arial Narrow"/>
          <w:b/>
          <w:sz w:val="20"/>
          <w:szCs w:val="20"/>
        </w:rPr>
        <w:t>F</w:t>
      </w:r>
      <w:r w:rsidRPr="000175EE">
        <w:rPr>
          <w:rFonts w:ascii="Arial Narrow" w:hAnsi="Arial Narrow"/>
          <w:b/>
          <w:sz w:val="20"/>
          <w:szCs w:val="20"/>
        </w:rPr>
        <w:t xml:space="preserve">enómeno </w:t>
      </w:r>
      <w:r>
        <w:rPr>
          <w:rFonts w:ascii="Arial Narrow" w:hAnsi="Arial Narrow"/>
          <w:b/>
          <w:sz w:val="20"/>
          <w:szCs w:val="20"/>
        </w:rPr>
        <w:t>L</w:t>
      </w:r>
      <w:r w:rsidRPr="000175EE">
        <w:rPr>
          <w:rFonts w:ascii="Arial Narrow" w:hAnsi="Arial Narrow"/>
          <w:b/>
          <w:sz w:val="20"/>
          <w:szCs w:val="20"/>
        </w:rPr>
        <w:t xml:space="preserve">a </w:t>
      </w:r>
      <w:r>
        <w:rPr>
          <w:rFonts w:ascii="Arial Narrow" w:hAnsi="Arial Narrow"/>
          <w:b/>
          <w:sz w:val="20"/>
          <w:szCs w:val="20"/>
        </w:rPr>
        <w:t>N</w:t>
      </w:r>
      <w:r w:rsidRPr="000175EE">
        <w:rPr>
          <w:rFonts w:ascii="Arial Narrow" w:hAnsi="Arial Narrow"/>
          <w:b/>
          <w:sz w:val="20"/>
          <w:szCs w:val="20"/>
        </w:rPr>
        <w:t>iña 2010 -2011</w:t>
      </w:r>
    </w:p>
    <w:tbl>
      <w:tblPr>
        <w:tblW w:w="0" w:type="auto"/>
        <w:jc w:val="center"/>
        <w:tblCellMar>
          <w:left w:w="70" w:type="dxa"/>
          <w:right w:w="70" w:type="dxa"/>
        </w:tblCellMar>
        <w:tblLook w:val="04A0" w:firstRow="1" w:lastRow="0" w:firstColumn="1" w:lastColumn="0" w:noHBand="0" w:noVBand="1"/>
      </w:tblPr>
      <w:tblGrid>
        <w:gridCol w:w="2583"/>
        <w:gridCol w:w="1372"/>
        <w:gridCol w:w="1560"/>
        <w:gridCol w:w="1132"/>
        <w:gridCol w:w="1372"/>
        <w:gridCol w:w="809"/>
      </w:tblGrid>
      <w:tr w:rsidR="000175EE" w:rsidRPr="000175EE" w:rsidTr="000175EE">
        <w:trPr>
          <w:trHeight w:val="315"/>
          <w:tblHeader/>
          <w:jc w:val="center"/>
        </w:trPr>
        <w:tc>
          <w:tcPr>
            <w:tcW w:w="2583" w:type="dxa"/>
            <w:tcBorders>
              <w:top w:val="single" w:sz="4" w:space="0" w:color="auto"/>
              <w:left w:val="single" w:sz="4" w:space="0" w:color="auto"/>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Objeto</w:t>
            </w:r>
          </w:p>
        </w:tc>
        <w:tc>
          <w:tcPr>
            <w:tcW w:w="1372"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Valor Actualizado</w:t>
            </w:r>
          </w:p>
        </w:tc>
        <w:tc>
          <w:tcPr>
            <w:tcW w:w="1560"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Tipo de Contrato</w:t>
            </w:r>
          </w:p>
        </w:tc>
        <w:tc>
          <w:tcPr>
            <w:tcW w:w="1132"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Fecha de Inicio</w:t>
            </w:r>
          </w:p>
        </w:tc>
        <w:tc>
          <w:tcPr>
            <w:tcW w:w="1372"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Fecha de Terminación</w:t>
            </w:r>
          </w:p>
        </w:tc>
        <w:tc>
          <w:tcPr>
            <w:tcW w:w="809"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Avance</w:t>
            </w:r>
          </w:p>
        </w:tc>
      </w:tr>
      <w:tr w:rsidR="000175EE" w:rsidRPr="00FF6719" w:rsidTr="00AD165F">
        <w:trPr>
          <w:trHeight w:val="493"/>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O</w:t>
            </w:r>
            <w:r w:rsidRPr="0025029D">
              <w:rPr>
                <w:rFonts w:ascii="Arial Narrow" w:eastAsia="Times New Roman" w:hAnsi="Arial Narrow"/>
                <w:color w:val="000000"/>
                <w:sz w:val="20"/>
                <w:szCs w:val="20"/>
                <w:lang w:val="es-CO" w:eastAsia="es-CO"/>
              </w:rPr>
              <w:t>bra de los sitios cr</w:t>
            </w:r>
            <w:r w:rsidRPr="00FF6719">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ticos de la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sidRPr="00FF6719">
              <w:rPr>
                <w:rFonts w:ascii="Arial Narrow" w:eastAsia="Times New Roman" w:hAnsi="Arial Narrow"/>
                <w:color w:val="000000"/>
                <w:sz w:val="20"/>
                <w:szCs w:val="20"/>
                <w:lang w:val="es-CO" w:eastAsia="es-CO"/>
              </w:rPr>
              <w:t>Fé</w:t>
            </w:r>
            <w:r w:rsidRPr="0025029D">
              <w:rPr>
                <w:rFonts w:ascii="Arial Narrow" w:eastAsia="Times New Roman" w:hAnsi="Arial Narrow"/>
                <w:color w:val="000000"/>
                <w:sz w:val="20"/>
                <w:szCs w:val="20"/>
                <w:lang w:val="es-CO" w:eastAsia="es-CO"/>
              </w:rPr>
              <w:t>rrea del Pacifico.</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7,521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Construcción</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25-feb-14</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24-abr-15</w:t>
            </w:r>
          </w:p>
        </w:tc>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88%</w:t>
            </w:r>
          </w:p>
        </w:tc>
      </w:tr>
      <w:tr w:rsidR="000175EE" w:rsidRPr="00FF6719" w:rsidTr="00AD165F">
        <w:trPr>
          <w:trHeight w:val="597"/>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I</w:t>
            </w:r>
            <w:r w:rsidRPr="0025029D">
              <w:rPr>
                <w:rFonts w:ascii="Arial Narrow" w:eastAsia="Times New Roman" w:hAnsi="Arial Narrow"/>
                <w:color w:val="000000"/>
                <w:sz w:val="20"/>
                <w:szCs w:val="20"/>
                <w:lang w:val="es-CO" w:eastAsia="es-CO"/>
              </w:rPr>
              <w:t>nterventor</w:t>
            </w:r>
            <w:r>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a </w:t>
            </w:r>
            <w:r>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econstrucci</w:t>
            </w:r>
            <w:r>
              <w:rPr>
                <w:rFonts w:ascii="Arial Narrow" w:eastAsia="Times New Roman" w:hAnsi="Arial Narrow"/>
                <w:color w:val="000000"/>
                <w:sz w:val="20"/>
                <w:szCs w:val="20"/>
                <w:lang w:val="es-CO" w:eastAsia="es-CO"/>
              </w:rPr>
              <w:t>ó</w:t>
            </w:r>
            <w:r w:rsidRPr="0025029D">
              <w:rPr>
                <w:rFonts w:ascii="Arial Narrow" w:eastAsia="Times New Roman" w:hAnsi="Arial Narrow"/>
                <w:color w:val="000000"/>
                <w:sz w:val="20"/>
                <w:szCs w:val="20"/>
                <w:lang w:val="es-CO" w:eastAsia="es-CO"/>
              </w:rPr>
              <w:t>n y estabilizaci</w:t>
            </w:r>
            <w:r>
              <w:rPr>
                <w:rFonts w:ascii="Arial Narrow" w:eastAsia="Times New Roman" w:hAnsi="Arial Narrow"/>
                <w:color w:val="000000"/>
                <w:sz w:val="20"/>
                <w:szCs w:val="20"/>
                <w:lang w:val="es-CO" w:eastAsia="es-CO"/>
              </w:rPr>
              <w:t>ó</w:t>
            </w:r>
            <w:r w:rsidRPr="0025029D">
              <w:rPr>
                <w:rFonts w:ascii="Arial Narrow" w:eastAsia="Times New Roman" w:hAnsi="Arial Narrow"/>
                <w:color w:val="000000"/>
                <w:sz w:val="20"/>
                <w:szCs w:val="20"/>
                <w:lang w:val="es-CO" w:eastAsia="es-CO"/>
              </w:rPr>
              <w:t>n sitios cr</w:t>
            </w:r>
            <w:r>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ticos </w:t>
            </w:r>
            <w:r>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Pr>
                <w:rFonts w:ascii="Arial Narrow" w:eastAsia="Times New Roman" w:hAnsi="Arial Narrow"/>
                <w:color w:val="000000"/>
                <w:sz w:val="20"/>
                <w:szCs w:val="20"/>
                <w:lang w:val="es-CO" w:eastAsia="es-CO"/>
              </w:rPr>
              <w:t>Fé</w:t>
            </w:r>
            <w:r w:rsidRPr="0025029D">
              <w:rPr>
                <w:rFonts w:ascii="Arial Narrow" w:eastAsia="Times New Roman" w:hAnsi="Arial Narrow"/>
                <w:color w:val="000000"/>
                <w:sz w:val="20"/>
                <w:szCs w:val="20"/>
                <w:lang w:val="es-CO" w:eastAsia="es-CO"/>
              </w:rPr>
              <w:t>rrea del Pacifico.</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675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Pr>
                <w:rFonts w:ascii="Arial Narrow" w:eastAsia="Times New Roman" w:hAnsi="Arial Narrow"/>
                <w:color w:val="000000"/>
                <w:sz w:val="20"/>
                <w:szCs w:val="20"/>
                <w:lang w:val="es-CO" w:eastAsia="es-CO"/>
              </w:rPr>
              <w:t>Supervisión</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25-feb-14</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24-abr-15</w:t>
            </w:r>
          </w:p>
        </w:tc>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95%</w:t>
            </w:r>
          </w:p>
        </w:tc>
      </w:tr>
      <w:tr w:rsidR="000175EE" w:rsidRPr="00FF6719" w:rsidTr="000175EE">
        <w:trPr>
          <w:trHeight w:val="558"/>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E</w:t>
            </w:r>
            <w:r w:rsidRPr="0025029D">
              <w:rPr>
                <w:rFonts w:ascii="Arial Narrow" w:eastAsia="Times New Roman" w:hAnsi="Arial Narrow"/>
                <w:color w:val="000000"/>
                <w:sz w:val="20"/>
                <w:szCs w:val="20"/>
                <w:lang w:val="es-CO" w:eastAsia="es-CO"/>
              </w:rPr>
              <w:t>studios y diseños t</w:t>
            </w:r>
            <w:r w:rsidRPr="00FF6719">
              <w:rPr>
                <w:rFonts w:ascii="Arial Narrow" w:eastAsia="Times New Roman" w:hAnsi="Arial Narrow"/>
                <w:color w:val="000000"/>
                <w:sz w:val="20"/>
                <w:szCs w:val="20"/>
                <w:lang w:val="es-CO" w:eastAsia="es-CO"/>
              </w:rPr>
              <w:t>é</w:t>
            </w:r>
            <w:r w:rsidRPr="0025029D">
              <w:rPr>
                <w:rFonts w:ascii="Arial Narrow" w:eastAsia="Times New Roman" w:hAnsi="Arial Narrow"/>
                <w:color w:val="000000"/>
                <w:sz w:val="20"/>
                <w:szCs w:val="20"/>
                <w:lang w:val="es-CO" w:eastAsia="es-CO"/>
              </w:rPr>
              <w:t>cnicos de detalle Fase III, recuperaci</w:t>
            </w:r>
            <w:r w:rsidRPr="00FF6719">
              <w:rPr>
                <w:rFonts w:ascii="Arial Narrow" w:eastAsia="Times New Roman" w:hAnsi="Arial Narrow"/>
                <w:color w:val="000000"/>
                <w:sz w:val="20"/>
                <w:szCs w:val="20"/>
                <w:lang w:val="es-CO" w:eastAsia="es-CO"/>
              </w:rPr>
              <w:t>ó</w:t>
            </w:r>
            <w:r w:rsidRPr="0025029D">
              <w:rPr>
                <w:rFonts w:ascii="Arial Narrow" w:eastAsia="Times New Roman" w:hAnsi="Arial Narrow"/>
                <w:color w:val="000000"/>
                <w:sz w:val="20"/>
                <w:szCs w:val="20"/>
                <w:lang w:val="es-CO" w:eastAsia="es-CO"/>
              </w:rPr>
              <w:t>n sitios cr</w:t>
            </w:r>
            <w:r w:rsidRPr="00FF6719">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ticos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sidRPr="00FF6719">
              <w:rPr>
                <w:rFonts w:ascii="Arial Narrow" w:eastAsia="Times New Roman" w:hAnsi="Arial Narrow"/>
                <w:color w:val="000000"/>
                <w:sz w:val="20"/>
                <w:szCs w:val="20"/>
                <w:lang w:val="es-CO" w:eastAsia="es-CO"/>
              </w:rPr>
              <w:t>Fé</w:t>
            </w:r>
            <w:r w:rsidRPr="0025029D">
              <w:rPr>
                <w:rFonts w:ascii="Arial Narrow" w:eastAsia="Times New Roman" w:hAnsi="Arial Narrow"/>
                <w:color w:val="000000"/>
                <w:sz w:val="20"/>
                <w:szCs w:val="20"/>
                <w:lang w:val="es-CO" w:eastAsia="es-CO"/>
              </w:rPr>
              <w:t>rrea del Pacifico.</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200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Estudios y Diseños</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28-oct-13</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31-ene-14</w:t>
            </w:r>
          </w:p>
        </w:tc>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0175EE">
        <w:trPr>
          <w:trHeight w:val="556"/>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I</w:t>
            </w:r>
            <w:r w:rsidRPr="0025029D">
              <w:rPr>
                <w:rFonts w:ascii="Arial Narrow" w:eastAsia="Times New Roman" w:hAnsi="Arial Narrow"/>
                <w:color w:val="000000"/>
                <w:sz w:val="20"/>
                <w:szCs w:val="20"/>
                <w:lang w:val="es-CO" w:eastAsia="es-CO"/>
              </w:rPr>
              <w:t>nterventor</w:t>
            </w:r>
            <w:r>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a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ecuperaci</w:t>
            </w:r>
            <w:r w:rsidRPr="00FF6719">
              <w:rPr>
                <w:rFonts w:ascii="Arial Narrow" w:eastAsia="Times New Roman" w:hAnsi="Arial Narrow"/>
                <w:color w:val="000000"/>
                <w:sz w:val="20"/>
                <w:szCs w:val="20"/>
                <w:lang w:val="es-CO" w:eastAsia="es-CO"/>
              </w:rPr>
              <w:t>ó</w:t>
            </w:r>
            <w:r w:rsidRPr="0025029D">
              <w:rPr>
                <w:rFonts w:ascii="Arial Narrow" w:eastAsia="Times New Roman" w:hAnsi="Arial Narrow"/>
                <w:color w:val="000000"/>
                <w:sz w:val="20"/>
                <w:szCs w:val="20"/>
                <w:lang w:val="es-CO" w:eastAsia="es-CO"/>
              </w:rPr>
              <w:t xml:space="preserve">n sitios </w:t>
            </w:r>
            <w:r w:rsidRPr="00FF6719">
              <w:rPr>
                <w:rFonts w:ascii="Arial Narrow" w:eastAsia="Times New Roman" w:hAnsi="Arial Narrow"/>
                <w:color w:val="000000"/>
                <w:sz w:val="20"/>
                <w:szCs w:val="20"/>
                <w:lang w:val="es-CO" w:eastAsia="es-CO"/>
              </w:rPr>
              <w:t>C</w:t>
            </w:r>
            <w:r w:rsidRPr="0025029D">
              <w:rPr>
                <w:rFonts w:ascii="Arial Narrow" w:eastAsia="Times New Roman" w:hAnsi="Arial Narrow"/>
                <w:color w:val="000000"/>
                <w:sz w:val="20"/>
                <w:szCs w:val="20"/>
                <w:lang w:val="es-CO" w:eastAsia="es-CO"/>
              </w:rPr>
              <w:t>r</w:t>
            </w:r>
            <w:r w:rsidRPr="00FF6719">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ticos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sidRPr="00FF6719">
              <w:rPr>
                <w:rFonts w:ascii="Arial Narrow" w:eastAsia="Times New Roman" w:hAnsi="Arial Narrow"/>
                <w:color w:val="000000"/>
                <w:sz w:val="20"/>
                <w:szCs w:val="20"/>
                <w:lang w:val="es-CO" w:eastAsia="es-CO"/>
              </w:rPr>
              <w:t>Fé</w:t>
            </w:r>
            <w:r w:rsidRPr="0025029D">
              <w:rPr>
                <w:rFonts w:ascii="Arial Narrow" w:eastAsia="Times New Roman" w:hAnsi="Arial Narrow"/>
                <w:color w:val="000000"/>
                <w:sz w:val="20"/>
                <w:szCs w:val="20"/>
                <w:lang w:val="es-CO" w:eastAsia="es-CO"/>
              </w:rPr>
              <w:t>rrea del Pacifico</w:t>
            </w:r>
            <w:r w:rsidRPr="00FF6719">
              <w:rPr>
                <w:rFonts w:ascii="Arial Narrow" w:eastAsia="Times New Roman" w:hAnsi="Arial Narrow"/>
                <w:color w:val="000000"/>
                <w:sz w:val="20"/>
                <w:szCs w:val="20"/>
                <w:lang w:val="es-CO" w:eastAsia="es-CO"/>
              </w:rPr>
              <w:t>.</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51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Pr>
                <w:rFonts w:ascii="Arial Narrow" w:eastAsia="Times New Roman" w:hAnsi="Arial Narrow"/>
                <w:color w:val="000000"/>
                <w:sz w:val="20"/>
                <w:szCs w:val="20"/>
                <w:lang w:val="es-CO" w:eastAsia="es-CO"/>
              </w:rPr>
              <w:t>Supervisión</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28-oct-13</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31-ene-14</w:t>
            </w:r>
          </w:p>
        </w:tc>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0175EE">
        <w:trPr>
          <w:trHeight w:val="375"/>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I</w:t>
            </w:r>
            <w:r w:rsidRPr="0025029D">
              <w:rPr>
                <w:rFonts w:ascii="Arial Narrow" w:eastAsia="Times New Roman" w:hAnsi="Arial Narrow"/>
                <w:color w:val="000000"/>
                <w:sz w:val="20"/>
                <w:szCs w:val="20"/>
                <w:lang w:val="es-CO" w:eastAsia="es-CO"/>
              </w:rPr>
              <w:t>nterventor</w:t>
            </w:r>
            <w:r>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a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ecuperaci</w:t>
            </w:r>
            <w:r w:rsidRPr="00FF6719">
              <w:rPr>
                <w:rFonts w:ascii="Arial Narrow" w:eastAsia="Times New Roman" w:hAnsi="Arial Narrow"/>
                <w:color w:val="000000"/>
                <w:sz w:val="20"/>
                <w:szCs w:val="20"/>
                <w:lang w:val="es-CO" w:eastAsia="es-CO"/>
              </w:rPr>
              <w:t>ó</w:t>
            </w:r>
            <w:r w:rsidRPr="0025029D">
              <w:rPr>
                <w:rFonts w:ascii="Arial Narrow" w:eastAsia="Times New Roman" w:hAnsi="Arial Narrow"/>
                <w:color w:val="000000"/>
                <w:sz w:val="20"/>
                <w:szCs w:val="20"/>
                <w:lang w:val="es-CO" w:eastAsia="es-CO"/>
              </w:rPr>
              <w:t xml:space="preserve">n sitios </w:t>
            </w:r>
            <w:r w:rsidRPr="00FF6719">
              <w:rPr>
                <w:rFonts w:ascii="Arial Narrow" w:eastAsia="Times New Roman" w:hAnsi="Arial Narrow"/>
                <w:color w:val="000000"/>
                <w:sz w:val="20"/>
                <w:szCs w:val="20"/>
                <w:lang w:val="es-CO" w:eastAsia="es-CO"/>
              </w:rPr>
              <w:t>C</w:t>
            </w:r>
            <w:r w:rsidRPr="0025029D">
              <w:rPr>
                <w:rFonts w:ascii="Arial Narrow" w:eastAsia="Times New Roman" w:hAnsi="Arial Narrow"/>
                <w:color w:val="000000"/>
                <w:sz w:val="20"/>
                <w:szCs w:val="20"/>
                <w:lang w:val="es-CO" w:eastAsia="es-CO"/>
              </w:rPr>
              <w:t>r</w:t>
            </w:r>
            <w:r w:rsidRPr="00FF6719">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ticos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sidRPr="00FF6719">
              <w:rPr>
                <w:rFonts w:ascii="Arial Narrow" w:eastAsia="Times New Roman" w:hAnsi="Arial Narrow"/>
                <w:color w:val="000000"/>
                <w:sz w:val="20"/>
                <w:szCs w:val="20"/>
                <w:lang w:val="es-CO" w:eastAsia="es-CO"/>
              </w:rPr>
              <w:t>Fé</w:t>
            </w:r>
            <w:r w:rsidRPr="0025029D">
              <w:rPr>
                <w:rFonts w:ascii="Arial Narrow" w:eastAsia="Times New Roman" w:hAnsi="Arial Narrow"/>
                <w:color w:val="000000"/>
                <w:sz w:val="20"/>
                <w:szCs w:val="20"/>
                <w:lang w:val="es-CO" w:eastAsia="es-CO"/>
              </w:rPr>
              <w:t>rrea del Pacifico</w:t>
            </w:r>
            <w:r w:rsidRPr="00FF6719">
              <w:rPr>
                <w:rFonts w:ascii="Arial Narrow" w:eastAsia="Times New Roman" w:hAnsi="Arial Narrow"/>
                <w:color w:val="000000"/>
                <w:sz w:val="20"/>
                <w:szCs w:val="20"/>
                <w:lang w:val="es-CO" w:eastAsia="es-CO"/>
              </w:rPr>
              <w:t>.</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125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Supervisión</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31-ene-14</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30-dic-14</w:t>
            </w:r>
          </w:p>
        </w:tc>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100%</w:t>
            </w:r>
          </w:p>
        </w:tc>
      </w:tr>
      <w:tr w:rsidR="000175EE" w:rsidRPr="00FF6719" w:rsidTr="000175EE">
        <w:trPr>
          <w:trHeight w:val="609"/>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E</w:t>
            </w:r>
            <w:r w:rsidRPr="0025029D">
              <w:rPr>
                <w:rFonts w:ascii="Arial Narrow" w:eastAsia="Times New Roman" w:hAnsi="Arial Narrow"/>
                <w:color w:val="000000"/>
                <w:sz w:val="20"/>
                <w:szCs w:val="20"/>
                <w:lang w:val="es-CO" w:eastAsia="es-CO"/>
              </w:rPr>
              <w:t xml:space="preserve">structuración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sidRPr="00FF6719">
              <w:rPr>
                <w:rFonts w:ascii="Arial Narrow" w:eastAsia="Times New Roman" w:hAnsi="Arial Narrow"/>
                <w:color w:val="000000"/>
                <w:sz w:val="20"/>
                <w:szCs w:val="20"/>
                <w:lang w:val="es-CO" w:eastAsia="es-CO"/>
              </w:rPr>
              <w:t>F</w:t>
            </w:r>
            <w:r w:rsidRPr="0025029D">
              <w:rPr>
                <w:rFonts w:ascii="Arial Narrow" w:eastAsia="Times New Roman" w:hAnsi="Arial Narrow"/>
                <w:color w:val="000000"/>
                <w:sz w:val="20"/>
                <w:szCs w:val="20"/>
                <w:lang w:val="es-CO" w:eastAsia="es-CO"/>
              </w:rPr>
              <w:t xml:space="preserve">érrea del </w:t>
            </w:r>
            <w:r w:rsidRPr="00FF6719">
              <w:rPr>
                <w:rFonts w:ascii="Arial Narrow" w:eastAsia="Times New Roman" w:hAnsi="Arial Narrow"/>
                <w:color w:val="000000"/>
                <w:sz w:val="20"/>
                <w:szCs w:val="20"/>
                <w:lang w:val="es-CO" w:eastAsia="es-CO"/>
              </w:rPr>
              <w:t>P</w:t>
            </w:r>
            <w:r w:rsidRPr="0025029D">
              <w:rPr>
                <w:rFonts w:ascii="Arial Narrow" w:eastAsia="Times New Roman" w:hAnsi="Arial Narrow"/>
                <w:color w:val="000000"/>
                <w:sz w:val="20"/>
                <w:szCs w:val="20"/>
                <w:lang w:val="es-CO" w:eastAsia="es-CO"/>
              </w:rPr>
              <w:t>ac</w:t>
            </w:r>
            <w:r w:rsidRPr="00FF6719">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fico</w:t>
            </w:r>
            <w:r>
              <w:rPr>
                <w:rFonts w:ascii="Arial Narrow" w:eastAsia="Times New Roman" w:hAnsi="Arial Narrow"/>
                <w:color w:val="000000"/>
                <w:sz w:val="20"/>
                <w:szCs w:val="20"/>
                <w:lang w:val="es-CO" w:eastAsia="es-CO"/>
              </w:rPr>
              <w:t xml:space="preserve"> (</w:t>
            </w:r>
            <w:r w:rsidRPr="0025029D">
              <w:rPr>
                <w:rFonts w:ascii="Arial Narrow" w:eastAsia="Times New Roman" w:hAnsi="Arial Narrow"/>
                <w:color w:val="000000"/>
                <w:sz w:val="20"/>
                <w:szCs w:val="20"/>
                <w:lang w:val="es-CO" w:eastAsia="es-CO"/>
              </w:rPr>
              <w:t>Buga-Buenaventura</w:t>
            </w:r>
            <w:r>
              <w:rPr>
                <w:rFonts w:ascii="Arial Narrow" w:eastAsia="Times New Roman" w:hAnsi="Arial Narrow"/>
                <w:color w:val="000000"/>
                <w:sz w:val="20"/>
                <w:szCs w:val="20"/>
                <w:lang w:val="es-CO" w:eastAsia="es-CO"/>
              </w:rPr>
              <w:t>)</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5,756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Estudios y Diseños</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21-feb-14</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20-jul-15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59%</w:t>
            </w:r>
          </w:p>
        </w:tc>
      </w:tr>
      <w:tr w:rsidR="000175EE" w:rsidRPr="00FF6719" w:rsidTr="000175EE">
        <w:trPr>
          <w:trHeight w:val="780"/>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sidRPr="00FF6719">
              <w:rPr>
                <w:rFonts w:ascii="Arial Narrow" w:eastAsia="Times New Roman" w:hAnsi="Arial Narrow"/>
                <w:color w:val="000000"/>
                <w:sz w:val="20"/>
                <w:szCs w:val="20"/>
                <w:lang w:val="es-CO" w:eastAsia="es-CO"/>
              </w:rPr>
              <w:t>I</w:t>
            </w:r>
            <w:r w:rsidRPr="0025029D">
              <w:rPr>
                <w:rFonts w:ascii="Arial Narrow" w:eastAsia="Times New Roman" w:hAnsi="Arial Narrow"/>
                <w:color w:val="000000"/>
                <w:sz w:val="20"/>
                <w:szCs w:val="20"/>
                <w:lang w:val="es-CO" w:eastAsia="es-CO"/>
              </w:rPr>
              <w:t>nterventor</w:t>
            </w:r>
            <w:r w:rsidRPr="00FF6719">
              <w:rPr>
                <w:rFonts w:ascii="Arial Narrow" w:eastAsia="Times New Roman" w:hAnsi="Arial Narrow"/>
                <w:color w:val="000000"/>
                <w:sz w:val="20"/>
                <w:szCs w:val="20"/>
                <w:lang w:val="es-CO" w:eastAsia="es-CO"/>
              </w:rPr>
              <w:t>í</w:t>
            </w:r>
            <w:r w:rsidRPr="0025029D">
              <w:rPr>
                <w:rFonts w:ascii="Arial Narrow" w:eastAsia="Times New Roman" w:hAnsi="Arial Narrow"/>
                <w:color w:val="000000"/>
                <w:sz w:val="20"/>
                <w:szCs w:val="20"/>
                <w:lang w:val="es-CO" w:eastAsia="es-CO"/>
              </w:rPr>
              <w:t xml:space="preserve">a </w:t>
            </w:r>
            <w:r w:rsidRPr="00FF6719">
              <w:rPr>
                <w:rFonts w:ascii="Arial Narrow" w:eastAsia="Times New Roman" w:hAnsi="Arial Narrow"/>
                <w:color w:val="000000"/>
                <w:sz w:val="20"/>
                <w:szCs w:val="20"/>
                <w:lang w:val="es-CO" w:eastAsia="es-CO"/>
              </w:rPr>
              <w:t>E</w:t>
            </w:r>
            <w:r w:rsidRPr="0025029D">
              <w:rPr>
                <w:rFonts w:ascii="Arial Narrow" w:eastAsia="Times New Roman" w:hAnsi="Arial Narrow"/>
                <w:color w:val="000000"/>
                <w:sz w:val="20"/>
                <w:szCs w:val="20"/>
                <w:lang w:val="es-CO" w:eastAsia="es-CO"/>
              </w:rPr>
              <w:t xml:space="preserve">structuración </w:t>
            </w:r>
            <w:r w:rsidRPr="00FF6719">
              <w:rPr>
                <w:rFonts w:ascii="Arial Narrow" w:eastAsia="Times New Roman" w:hAnsi="Arial Narrow"/>
                <w:color w:val="000000"/>
                <w:sz w:val="20"/>
                <w:szCs w:val="20"/>
                <w:lang w:val="es-CO" w:eastAsia="es-CO"/>
              </w:rPr>
              <w:t>R</w:t>
            </w:r>
            <w:r w:rsidRPr="0025029D">
              <w:rPr>
                <w:rFonts w:ascii="Arial Narrow" w:eastAsia="Times New Roman" w:hAnsi="Arial Narrow"/>
                <w:color w:val="000000"/>
                <w:sz w:val="20"/>
                <w:szCs w:val="20"/>
                <w:lang w:val="es-CO" w:eastAsia="es-CO"/>
              </w:rPr>
              <w:t xml:space="preserve">ed </w:t>
            </w:r>
            <w:r w:rsidRPr="00FF6719">
              <w:rPr>
                <w:rFonts w:ascii="Arial Narrow" w:eastAsia="Times New Roman" w:hAnsi="Arial Narrow"/>
                <w:color w:val="000000"/>
                <w:sz w:val="20"/>
                <w:szCs w:val="20"/>
                <w:lang w:val="es-CO" w:eastAsia="es-CO"/>
              </w:rPr>
              <w:t>F</w:t>
            </w:r>
            <w:r w:rsidRPr="0025029D">
              <w:rPr>
                <w:rFonts w:ascii="Arial Narrow" w:eastAsia="Times New Roman" w:hAnsi="Arial Narrow"/>
                <w:color w:val="000000"/>
                <w:sz w:val="20"/>
                <w:szCs w:val="20"/>
                <w:lang w:val="es-CO" w:eastAsia="es-CO"/>
              </w:rPr>
              <w:t xml:space="preserve">érrea del </w:t>
            </w:r>
            <w:r w:rsidRPr="00FF6719">
              <w:rPr>
                <w:rFonts w:ascii="Arial Narrow" w:eastAsia="Times New Roman" w:hAnsi="Arial Narrow"/>
                <w:color w:val="000000"/>
                <w:sz w:val="20"/>
                <w:szCs w:val="20"/>
                <w:lang w:val="es-CO" w:eastAsia="es-CO"/>
              </w:rPr>
              <w:t>P</w:t>
            </w:r>
            <w:r w:rsidRPr="0025029D">
              <w:rPr>
                <w:rFonts w:ascii="Arial Narrow" w:eastAsia="Times New Roman" w:hAnsi="Arial Narrow"/>
                <w:color w:val="000000"/>
                <w:sz w:val="20"/>
                <w:szCs w:val="20"/>
                <w:lang w:val="es-CO" w:eastAsia="es-CO"/>
              </w:rPr>
              <w:t>acifico</w:t>
            </w:r>
            <w:r>
              <w:rPr>
                <w:rFonts w:ascii="Arial Narrow" w:eastAsia="Times New Roman" w:hAnsi="Arial Narrow"/>
                <w:color w:val="000000"/>
                <w:sz w:val="20"/>
                <w:szCs w:val="20"/>
                <w:lang w:val="es-CO" w:eastAsia="es-CO"/>
              </w:rPr>
              <w:t xml:space="preserve"> (</w:t>
            </w:r>
            <w:r w:rsidRPr="0025029D">
              <w:rPr>
                <w:rFonts w:ascii="Arial Narrow" w:eastAsia="Times New Roman" w:hAnsi="Arial Narrow"/>
                <w:color w:val="000000"/>
                <w:sz w:val="20"/>
                <w:szCs w:val="20"/>
                <w:lang w:val="es-CO" w:eastAsia="es-CO"/>
              </w:rPr>
              <w:t>Buga-Buenaventura</w:t>
            </w:r>
            <w:r>
              <w:rPr>
                <w:rFonts w:ascii="Arial Narrow" w:eastAsia="Times New Roman" w:hAnsi="Arial Narrow"/>
                <w:color w:val="000000"/>
                <w:sz w:val="20"/>
                <w:szCs w:val="20"/>
                <w:lang w:val="es-CO" w:eastAsia="es-CO"/>
              </w:rPr>
              <w:t>)</w:t>
            </w:r>
          </w:p>
        </w:tc>
        <w:tc>
          <w:tcPr>
            <w:tcW w:w="1372" w:type="dxa"/>
            <w:tcBorders>
              <w:top w:val="single" w:sz="4" w:space="0" w:color="auto"/>
              <w:left w:val="nil"/>
              <w:bottom w:val="single" w:sz="4" w:space="0" w:color="auto"/>
              <w:right w:val="nil"/>
            </w:tcBorders>
            <w:shd w:val="clear" w:color="auto" w:fill="auto"/>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hAnsi="Arial Narrow"/>
                <w:color w:val="000000"/>
                <w:sz w:val="20"/>
                <w:szCs w:val="20"/>
              </w:rPr>
              <w:t xml:space="preserve"> $             1,548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left"/>
              <w:rPr>
                <w:rFonts w:ascii="Arial Narrow" w:eastAsia="Times New Roman" w:hAnsi="Arial Narrow"/>
                <w:color w:val="000000"/>
                <w:sz w:val="20"/>
                <w:szCs w:val="20"/>
                <w:lang w:val="es-CO" w:eastAsia="es-CO"/>
              </w:rPr>
            </w:pPr>
            <w:r>
              <w:rPr>
                <w:rFonts w:ascii="Arial Narrow" w:eastAsia="Times New Roman" w:hAnsi="Arial Narrow"/>
                <w:color w:val="000000"/>
                <w:sz w:val="20"/>
                <w:szCs w:val="20"/>
                <w:lang w:val="es-CO" w:eastAsia="es-CO"/>
              </w:rPr>
              <w:t>Supervisión</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21-feb-14</w:t>
            </w:r>
          </w:p>
        </w:tc>
        <w:tc>
          <w:tcPr>
            <w:tcW w:w="1372" w:type="dxa"/>
            <w:tcBorders>
              <w:top w:val="single" w:sz="4" w:space="0" w:color="auto"/>
              <w:left w:val="nil"/>
              <w:bottom w:val="single" w:sz="4" w:space="0" w:color="auto"/>
              <w:right w:val="nil"/>
            </w:tcBorders>
            <w:shd w:val="clear" w:color="auto" w:fill="auto"/>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FF6719">
              <w:rPr>
                <w:rFonts w:ascii="Arial Narrow" w:hAnsi="Arial Narrow"/>
                <w:color w:val="000000"/>
                <w:sz w:val="20"/>
                <w:szCs w:val="20"/>
              </w:rPr>
              <w:t>20-jul-15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5EE" w:rsidRPr="0025029D" w:rsidRDefault="000175EE" w:rsidP="000175EE">
            <w:pPr>
              <w:jc w:val="center"/>
              <w:rPr>
                <w:rFonts w:ascii="Arial Narrow" w:eastAsia="Times New Roman" w:hAnsi="Arial Narrow"/>
                <w:color w:val="000000"/>
                <w:sz w:val="20"/>
                <w:szCs w:val="20"/>
                <w:lang w:val="es-CO" w:eastAsia="es-CO"/>
              </w:rPr>
            </w:pPr>
            <w:r w:rsidRPr="0025029D">
              <w:rPr>
                <w:rFonts w:ascii="Arial Narrow" w:eastAsia="Times New Roman" w:hAnsi="Arial Narrow"/>
                <w:color w:val="000000"/>
                <w:sz w:val="20"/>
                <w:szCs w:val="20"/>
                <w:lang w:val="es-CO" w:eastAsia="es-CO"/>
              </w:rPr>
              <w:t>63%</w:t>
            </w:r>
          </w:p>
        </w:tc>
      </w:tr>
      <w:tr w:rsidR="000175EE" w:rsidRPr="00FF6719" w:rsidTr="000175EE">
        <w:trPr>
          <w:trHeight w:val="342"/>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0175EE" w:rsidRPr="000175EE" w:rsidRDefault="000175EE" w:rsidP="000175EE">
            <w:pPr>
              <w:jc w:val="left"/>
              <w:rPr>
                <w:rFonts w:ascii="Arial Narrow" w:eastAsia="Times New Roman" w:hAnsi="Arial Narrow"/>
                <w:b/>
                <w:color w:val="000000"/>
                <w:sz w:val="20"/>
                <w:szCs w:val="20"/>
                <w:lang w:val="es-CO" w:eastAsia="es-CO"/>
              </w:rPr>
            </w:pPr>
            <w:r w:rsidRPr="000175EE">
              <w:rPr>
                <w:rFonts w:ascii="Arial Narrow" w:eastAsia="Times New Roman" w:hAnsi="Arial Narrow"/>
                <w:b/>
                <w:color w:val="000000"/>
                <w:sz w:val="20"/>
                <w:szCs w:val="20"/>
                <w:lang w:val="es-CO" w:eastAsia="es-CO"/>
              </w:rPr>
              <w:t>Total</w:t>
            </w:r>
          </w:p>
        </w:tc>
        <w:tc>
          <w:tcPr>
            <w:tcW w:w="1372" w:type="dxa"/>
            <w:tcBorders>
              <w:top w:val="single" w:sz="4" w:space="0" w:color="auto"/>
              <w:left w:val="nil"/>
              <w:bottom w:val="single" w:sz="4" w:space="0" w:color="auto"/>
              <w:right w:val="nil"/>
            </w:tcBorders>
            <w:shd w:val="clear" w:color="auto" w:fill="auto"/>
            <w:vAlign w:val="center"/>
          </w:tcPr>
          <w:p w:rsidR="000175EE" w:rsidRPr="000175EE" w:rsidRDefault="000175EE" w:rsidP="000175EE">
            <w:pPr>
              <w:jc w:val="center"/>
              <w:rPr>
                <w:rFonts w:ascii="Arial Narrow" w:hAnsi="Arial Narrow"/>
                <w:b/>
                <w:color w:val="000000"/>
                <w:sz w:val="20"/>
                <w:szCs w:val="20"/>
              </w:rPr>
            </w:pPr>
            <w:r w:rsidRPr="000175EE">
              <w:rPr>
                <w:rFonts w:ascii="Arial Narrow" w:hAnsi="Arial Narrow"/>
                <w:b/>
                <w:color w:val="000000"/>
                <w:sz w:val="20"/>
                <w:szCs w:val="20"/>
              </w:rPr>
              <w:t>1</w:t>
            </w:r>
            <w:r>
              <w:rPr>
                <w:rFonts w:ascii="Arial Narrow" w:hAnsi="Arial Narrow"/>
                <w:b/>
                <w:color w:val="000000"/>
                <w:sz w:val="20"/>
                <w:szCs w:val="20"/>
              </w:rPr>
              <w:t>5</w:t>
            </w:r>
            <w:r w:rsidRPr="000175EE">
              <w:rPr>
                <w:rFonts w:ascii="Arial Narrow" w:hAnsi="Arial Narrow"/>
                <w:b/>
                <w:color w:val="000000"/>
                <w:sz w:val="20"/>
                <w:szCs w:val="20"/>
              </w:rPr>
              <w:t>,</w:t>
            </w:r>
            <w:r>
              <w:rPr>
                <w:rFonts w:ascii="Arial Narrow" w:hAnsi="Arial Narrow"/>
                <w:b/>
                <w:color w:val="000000"/>
                <w:sz w:val="20"/>
                <w:szCs w:val="20"/>
              </w:rPr>
              <w:t>877</w:t>
            </w:r>
          </w:p>
        </w:tc>
        <w:tc>
          <w:tcPr>
            <w:tcW w:w="1560" w:type="dxa"/>
            <w:tcBorders>
              <w:top w:val="single" w:sz="4" w:space="0" w:color="auto"/>
              <w:left w:val="single" w:sz="4" w:space="0" w:color="auto"/>
            </w:tcBorders>
            <w:shd w:val="clear" w:color="auto" w:fill="auto"/>
            <w:noWrap/>
            <w:vAlign w:val="center"/>
          </w:tcPr>
          <w:p w:rsidR="000175EE" w:rsidRDefault="000175EE" w:rsidP="000175EE">
            <w:pPr>
              <w:jc w:val="left"/>
              <w:rPr>
                <w:rFonts w:ascii="Arial Narrow" w:eastAsia="Times New Roman" w:hAnsi="Arial Narrow"/>
                <w:color w:val="000000"/>
                <w:sz w:val="20"/>
                <w:szCs w:val="20"/>
                <w:lang w:val="es-CO" w:eastAsia="es-CO"/>
              </w:rPr>
            </w:pPr>
          </w:p>
        </w:tc>
        <w:tc>
          <w:tcPr>
            <w:tcW w:w="1132" w:type="dxa"/>
            <w:tcBorders>
              <w:top w:val="single" w:sz="4" w:space="0" w:color="auto"/>
            </w:tcBorders>
            <w:shd w:val="clear" w:color="auto" w:fill="auto"/>
            <w:vAlign w:val="center"/>
          </w:tcPr>
          <w:p w:rsidR="000175EE" w:rsidRPr="00FF6719" w:rsidRDefault="000175EE" w:rsidP="000175EE">
            <w:pPr>
              <w:jc w:val="center"/>
              <w:rPr>
                <w:rFonts w:ascii="Arial Narrow" w:hAnsi="Arial Narrow"/>
                <w:color w:val="000000"/>
                <w:sz w:val="20"/>
                <w:szCs w:val="20"/>
              </w:rPr>
            </w:pPr>
          </w:p>
        </w:tc>
        <w:tc>
          <w:tcPr>
            <w:tcW w:w="1372" w:type="dxa"/>
            <w:tcBorders>
              <w:top w:val="single" w:sz="4" w:space="0" w:color="auto"/>
            </w:tcBorders>
            <w:shd w:val="clear" w:color="auto" w:fill="auto"/>
            <w:vAlign w:val="center"/>
          </w:tcPr>
          <w:p w:rsidR="000175EE" w:rsidRPr="00FF6719" w:rsidRDefault="000175EE" w:rsidP="000175EE">
            <w:pPr>
              <w:jc w:val="center"/>
              <w:rPr>
                <w:rFonts w:ascii="Arial Narrow" w:hAnsi="Arial Narrow"/>
                <w:color w:val="000000"/>
                <w:sz w:val="20"/>
                <w:szCs w:val="20"/>
              </w:rPr>
            </w:pPr>
          </w:p>
        </w:tc>
        <w:tc>
          <w:tcPr>
            <w:tcW w:w="809" w:type="dxa"/>
            <w:tcBorders>
              <w:top w:val="single" w:sz="4" w:space="0" w:color="auto"/>
            </w:tcBorders>
            <w:shd w:val="clear" w:color="auto" w:fill="auto"/>
            <w:noWrap/>
            <w:vAlign w:val="center"/>
          </w:tcPr>
          <w:p w:rsidR="000175EE" w:rsidRPr="0025029D" w:rsidRDefault="000175EE" w:rsidP="000175EE">
            <w:pPr>
              <w:jc w:val="center"/>
              <w:rPr>
                <w:rFonts w:ascii="Arial Narrow" w:eastAsia="Times New Roman" w:hAnsi="Arial Narrow"/>
                <w:color w:val="000000"/>
                <w:sz w:val="20"/>
                <w:szCs w:val="20"/>
                <w:lang w:val="es-CO" w:eastAsia="es-CO"/>
              </w:rPr>
            </w:pPr>
          </w:p>
        </w:tc>
      </w:tr>
    </w:tbl>
    <w:p w:rsidR="000175EE" w:rsidRPr="000175EE" w:rsidRDefault="000175EE" w:rsidP="000175EE">
      <w:pPr>
        <w:jc w:val="left"/>
        <w:rPr>
          <w:rFonts w:ascii="Arial Narrow" w:hAnsi="Arial Narrow"/>
          <w:sz w:val="18"/>
          <w:szCs w:val="18"/>
        </w:rPr>
      </w:pPr>
      <w:r w:rsidRPr="000175EE">
        <w:rPr>
          <w:rFonts w:ascii="Arial Narrow" w:hAnsi="Arial Narrow"/>
          <w:sz w:val="18"/>
          <w:szCs w:val="18"/>
        </w:rPr>
        <w:t>Fuente: ANI</w:t>
      </w:r>
      <w:r>
        <w:rPr>
          <w:rFonts w:ascii="Arial Narrow" w:hAnsi="Arial Narrow"/>
          <w:sz w:val="18"/>
          <w:szCs w:val="18"/>
        </w:rPr>
        <w:t xml:space="preserve"> – </w:t>
      </w:r>
      <w:r w:rsidRPr="00942F7A">
        <w:rPr>
          <w:rFonts w:ascii="Arial Narrow" w:hAnsi="Arial Narrow"/>
          <w:sz w:val="16"/>
          <w:szCs w:val="20"/>
        </w:rPr>
        <w:t>Cifras en millones de pesos</w:t>
      </w:r>
    </w:p>
    <w:p w:rsidR="000175EE" w:rsidRDefault="000175EE" w:rsidP="000175EE">
      <w:pPr>
        <w:jc w:val="left"/>
        <w:rPr>
          <w:rFonts w:ascii="Arial Narrow" w:hAnsi="Arial Narrow"/>
          <w:szCs w:val="22"/>
        </w:rPr>
      </w:pPr>
    </w:p>
    <w:p w:rsidR="000175EE" w:rsidRDefault="000175EE" w:rsidP="000175EE">
      <w:pPr>
        <w:rPr>
          <w:rFonts w:ascii="Arial Narrow" w:hAnsi="Arial Narrow"/>
          <w:szCs w:val="22"/>
        </w:rPr>
      </w:pPr>
      <w:r>
        <w:rPr>
          <w:rFonts w:ascii="Arial Narrow" w:hAnsi="Arial Narrow"/>
          <w:szCs w:val="22"/>
        </w:rPr>
        <w:t xml:space="preserve">Adicionalmente se están estructurando proyectos a través de este Fondo que permitirán reforzar la infraestructura que fue más afectada durante dicho periodo. El estado de estos contratos se presenta en el Cuadro N° </w:t>
      </w:r>
      <w:r w:rsidR="002A5588">
        <w:rPr>
          <w:rFonts w:ascii="Arial Narrow" w:hAnsi="Arial Narrow"/>
          <w:szCs w:val="22"/>
        </w:rPr>
        <w:t>5</w:t>
      </w:r>
      <w:r>
        <w:rPr>
          <w:rFonts w:ascii="Arial Narrow" w:hAnsi="Arial Narrow"/>
          <w:szCs w:val="22"/>
        </w:rPr>
        <w:t>.</w:t>
      </w:r>
    </w:p>
    <w:p w:rsidR="00A961BB" w:rsidRPr="004D6B5F" w:rsidRDefault="00A961BB" w:rsidP="00A961BB">
      <w:pPr>
        <w:jc w:val="center"/>
        <w:rPr>
          <w:rFonts w:ascii="Arial Narrow" w:hAnsi="Arial Narrow"/>
          <w:b/>
          <w:sz w:val="20"/>
          <w:szCs w:val="20"/>
        </w:rPr>
      </w:pPr>
      <w:r w:rsidRPr="004D6B5F">
        <w:rPr>
          <w:rFonts w:ascii="Arial Narrow" w:hAnsi="Arial Narrow"/>
          <w:b/>
          <w:sz w:val="20"/>
          <w:szCs w:val="20"/>
        </w:rPr>
        <w:t xml:space="preserve">Cuadro No. </w:t>
      </w:r>
      <w:r w:rsidR="002A5588">
        <w:rPr>
          <w:rFonts w:ascii="Arial Narrow" w:hAnsi="Arial Narrow"/>
          <w:b/>
          <w:sz w:val="20"/>
          <w:szCs w:val="20"/>
        </w:rPr>
        <w:t>5</w:t>
      </w:r>
    </w:p>
    <w:p w:rsidR="00A961BB" w:rsidRDefault="00A961BB" w:rsidP="00A961BB">
      <w:pPr>
        <w:jc w:val="center"/>
        <w:rPr>
          <w:rFonts w:ascii="Arial Narrow" w:hAnsi="Arial Narrow"/>
          <w:b/>
          <w:sz w:val="20"/>
          <w:szCs w:val="20"/>
        </w:rPr>
      </w:pPr>
      <w:r>
        <w:rPr>
          <w:rFonts w:ascii="Arial Narrow" w:hAnsi="Arial Narrow"/>
          <w:b/>
          <w:sz w:val="20"/>
          <w:szCs w:val="20"/>
        </w:rPr>
        <w:t xml:space="preserve">Convenio Estructuración </w:t>
      </w:r>
      <w:r w:rsidRPr="004D6B5F">
        <w:rPr>
          <w:rFonts w:ascii="Arial Narrow" w:hAnsi="Arial Narrow"/>
          <w:b/>
          <w:sz w:val="20"/>
          <w:szCs w:val="20"/>
        </w:rPr>
        <w:t xml:space="preserve">ANI - Fondo </w:t>
      </w:r>
      <w:r>
        <w:rPr>
          <w:rFonts w:ascii="Arial Narrow" w:hAnsi="Arial Narrow"/>
          <w:b/>
          <w:sz w:val="20"/>
          <w:szCs w:val="20"/>
        </w:rPr>
        <w:t xml:space="preserve">de Adaptación </w:t>
      </w:r>
    </w:p>
    <w:tbl>
      <w:tblPr>
        <w:tblW w:w="0" w:type="auto"/>
        <w:jc w:val="center"/>
        <w:tblCellMar>
          <w:left w:w="70" w:type="dxa"/>
          <w:right w:w="70" w:type="dxa"/>
        </w:tblCellMar>
        <w:tblLook w:val="04A0" w:firstRow="1" w:lastRow="0" w:firstColumn="1" w:lastColumn="0" w:noHBand="0" w:noVBand="1"/>
      </w:tblPr>
      <w:tblGrid>
        <w:gridCol w:w="3114"/>
        <w:gridCol w:w="1134"/>
        <w:gridCol w:w="1559"/>
        <w:gridCol w:w="993"/>
        <w:gridCol w:w="1228"/>
        <w:gridCol w:w="800"/>
      </w:tblGrid>
      <w:tr w:rsidR="000175EE" w:rsidRPr="000175EE" w:rsidTr="00A961BB">
        <w:trPr>
          <w:trHeight w:val="315"/>
          <w:tblHeader/>
          <w:jc w:val="center"/>
        </w:trPr>
        <w:tc>
          <w:tcPr>
            <w:tcW w:w="3114" w:type="dxa"/>
            <w:tcBorders>
              <w:top w:val="single" w:sz="4" w:space="0" w:color="auto"/>
              <w:left w:val="single" w:sz="4" w:space="0" w:color="auto"/>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Objeto</w:t>
            </w:r>
          </w:p>
        </w:tc>
        <w:tc>
          <w:tcPr>
            <w:tcW w:w="1134"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Valor Actualizado</w:t>
            </w:r>
          </w:p>
        </w:tc>
        <w:tc>
          <w:tcPr>
            <w:tcW w:w="1559"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Tipo de Contrato</w:t>
            </w:r>
          </w:p>
        </w:tc>
        <w:tc>
          <w:tcPr>
            <w:tcW w:w="993"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Fecha de Inicio</w:t>
            </w:r>
          </w:p>
        </w:tc>
        <w:tc>
          <w:tcPr>
            <w:tcW w:w="1228"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Fecha de Terminación</w:t>
            </w:r>
          </w:p>
        </w:tc>
        <w:tc>
          <w:tcPr>
            <w:tcW w:w="800" w:type="dxa"/>
            <w:tcBorders>
              <w:top w:val="single" w:sz="4" w:space="0" w:color="auto"/>
              <w:left w:val="nil"/>
              <w:bottom w:val="double" w:sz="6" w:space="0" w:color="auto"/>
              <w:right w:val="single" w:sz="4" w:space="0" w:color="auto"/>
            </w:tcBorders>
            <w:shd w:val="clear" w:color="auto" w:fill="2E74B5" w:themeFill="accent1" w:themeFillShade="BF"/>
            <w:noWrap/>
            <w:vAlign w:val="center"/>
            <w:hideMark/>
          </w:tcPr>
          <w:p w:rsidR="000175EE" w:rsidRPr="000175EE" w:rsidRDefault="000175EE" w:rsidP="00AD165F">
            <w:pPr>
              <w:jc w:val="center"/>
              <w:rPr>
                <w:rFonts w:ascii="Arial Narrow" w:eastAsia="Times New Roman" w:hAnsi="Arial Narrow"/>
                <w:b/>
                <w:bCs/>
                <w:color w:val="FFFFFF"/>
                <w:sz w:val="20"/>
                <w:szCs w:val="20"/>
                <w:lang w:val="es-CO" w:eastAsia="es-CO"/>
              </w:rPr>
            </w:pPr>
            <w:r w:rsidRPr="000175EE">
              <w:rPr>
                <w:rFonts w:ascii="Arial Narrow" w:eastAsia="Times New Roman" w:hAnsi="Arial Narrow"/>
                <w:b/>
                <w:bCs/>
                <w:color w:val="FFFFFF"/>
                <w:sz w:val="20"/>
                <w:szCs w:val="20"/>
                <w:lang w:val="es-CO" w:eastAsia="es-CO"/>
              </w:rPr>
              <w:t>Avance</w:t>
            </w:r>
          </w:p>
        </w:tc>
      </w:tr>
      <w:tr w:rsidR="000175EE" w:rsidRPr="000175EE" w:rsidTr="00A961BB">
        <w:trPr>
          <w:trHeight w:val="1418"/>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Estructuración</w:t>
            </w:r>
          </w:p>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1. Bogotá – Bucaramanga,</w:t>
            </w:r>
          </w:p>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2. Bucaramanga – Pamplona,</w:t>
            </w:r>
          </w:p>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3. Duitama – Pamplona – Cúcuta,</w:t>
            </w:r>
          </w:p>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4. Norte de Santander,</w:t>
            </w:r>
          </w:p>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5. Transversales Carare – Cusiana – Boyacá,</w:t>
            </w:r>
          </w:p>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6. Honda – Manizales – Villeta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0175EE" w:rsidRPr="000175EE" w:rsidRDefault="000175EE" w:rsidP="00A961BB">
            <w:pPr>
              <w:jc w:val="left"/>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 xml:space="preserve"> $       47,824 </w:t>
            </w:r>
          </w:p>
        </w:tc>
        <w:tc>
          <w:tcPr>
            <w:tcW w:w="1559" w:type="dxa"/>
            <w:tcBorders>
              <w:top w:val="nil"/>
              <w:left w:val="nil"/>
              <w:bottom w:val="single" w:sz="4" w:space="0" w:color="auto"/>
              <w:right w:val="single" w:sz="4" w:space="0" w:color="auto"/>
            </w:tcBorders>
            <w:shd w:val="clear" w:color="000000" w:fill="FFFFFF"/>
            <w:vAlign w:val="center"/>
            <w:hideMark/>
          </w:tcPr>
          <w:p w:rsidR="000175EE" w:rsidRPr="000175EE" w:rsidRDefault="000175EE" w:rsidP="000175EE">
            <w:pPr>
              <w:jc w:val="left"/>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 xml:space="preserve">Estructuración Técnica, Legal y Financiera (Estudios y Diseños) </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25</w:t>
            </w:r>
            <w:r>
              <w:rPr>
                <w:rFonts w:ascii="Arial Narrow" w:eastAsia="Times New Roman" w:hAnsi="Arial Narrow"/>
                <w:color w:val="000000"/>
                <w:sz w:val="20"/>
                <w:szCs w:val="20"/>
                <w:lang w:val="es-CO" w:eastAsia="es-CO"/>
              </w:rPr>
              <w:t>-nov-</w:t>
            </w:r>
            <w:r w:rsidRPr="000175EE">
              <w:rPr>
                <w:rFonts w:ascii="Arial Narrow" w:eastAsia="Times New Roman" w:hAnsi="Arial Narrow"/>
                <w:color w:val="000000"/>
                <w:sz w:val="20"/>
                <w:szCs w:val="20"/>
                <w:lang w:val="es-CO" w:eastAsia="es-CO"/>
              </w:rPr>
              <w:t>13</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25</w:t>
            </w:r>
            <w:r>
              <w:rPr>
                <w:rFonts w:ascii="Arial Narrow" w:eastAsia="Times New Roman" w:hAnsi="Arial Narrow"/>
                <w:color w:val="000000"/>
                <w:sz w:val="20"/>
                <w:szCs w:val="20"/>
                <w:lang w:val="es-CO" w:eastAsia="es-CO"/>
              </w:rPr>
              <w:t>-mar-</w:t>
            </w:r>
            <w:r w:rsidRPr="000175EE">
              <w:rPr>
                <w:rFonts w:ascii="Arial Narrow" w:eastAsia="Times New Roman" w:hAnsi="Arial Narrow"/>
                <w:color w:val="000000"/>
                <w:sz w:val="20"/>
                <w:szCs w:val="20"/>
                <w:lang w:val="es-CO" w:eastAsia="es-CO"/>
              </w:rPr>
              <w:t>15</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57.50%</w:t>
            </w:r>
          </w:p>
        </w:tc>
      </w:tr>
      <w:tr w:rsidR="000175EE" w:rsidRPr="000175EE" w:rsidTr="00A961BB">
        <w:trPr>
          <w:trHeight w:val="286"/>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rsidR="000175EE" w:rsidRPr="000175EE" w:rsidRDefault="000175EE" w:rsidP="000175EE">
            <w:pP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Interventoría integral al Contrato 185 de 2013 para la estructuración integral de los 6 corredores viales</w:t>
            </w:r>
          </w:p>
        </w:tc>
        <w:tc>
          <w:tcPr>
            <w:tcW w:w="1134" w:type="dxa"/>
            <w:tcBorders>
              <w:top w:val="nil"/>
              <w:left w:val="nil"/>
              <w:bottom w:val="single" w:sz="4" w:space="0" w:color="auto"/>
              <w:right w:val="single" w:sz="4" w:space="0" w:color="auto"/>
            </w:tcBorders>
            <w:shd w:val="clear" w:color="000000" w:fill="FFFFFF"/>
            <w:noWrap/>
            <w:vAlign w:val="center"/>
            <w:hideMark/>
          </w:tcPr>
          <w:p w:rsidR="000175EE" w:rsidRPr="000175EE" w:rsidRDefault="000175EE" w:rsidP="00A961BB">
            <w:pPr>
              <w:jc w:val="left"/>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 xml:space="preserve"> $   </w:t>
            </w:r>
            <w:r>
              <w:rPr>
                <w:rFonts w:ascii="Arial Narrow" w:eastAsia="Times New Roman" w:hAnsi="Arial Narrow"/>
                <w:color w:val="000000"/>
                <w:sz w:val="20"/>
                <w:szCs w:val="20"/>
                <w:lang w:val="es-CO" w:eastAsia="es-CO"/>
              </w:rPr>
              <w:t xml:space="preserve">  </w:t>
            </w:r>
            <w:r w:rsidRPr="000175EE">
              <w:rPr>
                <w:rFonts w:ascii="Arial Narrow" w:eastAsia="Times New Roman" w:hAnsi="Arial Narrow"/>
                <w:color w:val="000000"/>
                <w:sz w:val="20"/>
                <w:szCs w:val="20"/>
                <w:lang w:val="es-CO" w:eastAsia="es-CO"/>
              </w:rPr>
              <w:t xml:space="preserve">    6,759 </w:t>
            </w:r>
          </w:p>
        </w:tc>
        <w:tc>
          <w:tcPr>
            <w:tcW w:w="1559" w:type="dxa"/>
            <w:tcBorders>
              <w:top w:val="nil"/>
              <w:left w:val="nil"/>
              <w:bottom w:val="single" w:sz="4" w:space="0" w:color="auto"/>
              <w:right w:val="single" w:sz="4" w:space="0" w:color="auto"/>
            </w:tcBorders>
            <w:shd w:val="clear" w:color="000000" w:fill="FFFFFF"/>
            <w:vAlign w:val="center"/>
            <w:hideMark/>
          </w:tcPr>
          <w:p w:rsidR="000175EE" w:rsidRPr="000175EE" w:rsidRDefault="000175EE" w:rsidP="000175EE">
            <w:pPr>
              <w:jc w:val="left"/>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 xml:space="preserve">Interventoría </w:t>
            </w:r>
          </w:p>
        </w:tc>
        <w:tc>
          <w:tcPr>
            <w:tcW w:w="993" w:type="dxa"/>
            <w:tcBorders>
              <w:top w:val="nil"/>
              <w:left w:val="nil"/>
              <w:bottom w:val="single" w:sz="4" w:space="0" w:color="auto"/>
              <w:right w:val="single" w:sz="4" w:space="0" w:color="auto"/>
            </w:tcBorders>
            <w:shd w:val="clear" w:color="000000" w:fill="FFFFFF"/>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6</w:t>
            </w:r>
            <w:r>
              <w:rPr>
                <w:rFonts w:ascii="Arial Narrow" w:eastAsia="Times New Roman" w:hAnsi="Arial Narrow"/>
                <w:color w:val="000000"/>
                <w:sz w:val="20"/>
                <w:szCs w:val="20"/>
                <w:lang w:val="es-CO" w:eastAsia="es-CO"/>
              </w:rPr>
              <w:t>-feb-</w:t>
            </w:r>
            <w:r w:rsidRPr="000175EE">
              <w:rPr>
                <w:rFonts w:ascii="Arial Narrow" w:eastAsia="Times New Roman" w:hAnsi="Arial Narrow"/>
                <w:color w:val="000000"/>
                <w:sz w:val="20"/>
                <w:szCs w:val="20"/>
                <w:lang w:val="es-CO" w:eastAsia="es-CO"/>
              </w:rPr>
              <w:t>14</w:t>
            </w:r>
          </w:p>
        </w:tc>
        <w:tc>
          <w:tcPr>
            <w:tcW w:w="1228" w:type="dxa"/>
            <w:tcBorders>
              <w:top w:val="nil"/>
              <w:left w:val="nil"/>
              <w:bottom w:val="single" w:sz="4" w:space="0" w:color="auto"/>
              <w:right w:val="single" w:sz="4" w:space="0" w:color="auto"/>
            </w:tcBorders>
            <w:shd w:val="clear" w:color="000000" w:fill="FFFFFF"/>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23</w:t>
            </w:r>
            <w:r>
              <w:rPr>
                <w:rFonts w:ascii="Arial Narrow" w:eastAsia="Times New Roman" w:hAnsi="Arial Narrow"/>
                <w:color w:val="000000"/>
                <w:sz w:val="20"/>
                <w:szCs w:val="20"/>
                <w:lang w:val="es-CO" w:eastAsia="es-CO"/>
              </w:rPr>
              <w:t>-ene-</w:t>
            </w:r>
            <w:r w:rsidRPr="000175EE">
              <w:rPr>
                <w:rFonts w:ascii="Arial Narrow" w:eastAsia="Times New Roman" w:hAnsi="Arial Narrow"/>
                <w:color w:val="000000"/>
                <w:sz w:val="20"/>
                <w:szCs w:val="20"/>
                <w:lang w:val="es-CO" w:eastAsia="es-CO"/>
              </w:rPr>
              <w:t>15</w:t>
            </w:r>
          </w:p>
        </w:tc>
        <w:tc>
          <w:tcPr>
            <w:tcW w:w="800" w:type="dxa"/>
            <w:tcBorders>
              <w:top w:val="nil"/>
              <w:left w:val="nil"/>
              <w:bottom w:val="single" w:sz="4" w:space="0" w:color="auto"/>
              <w:right w:val="single" w:sz="4" w:space="0" w:color="auto"/>
            </w:tcBorders>
            <w:shd w:val="clear" w:color="000000" w:fill="FFFFFF"/>
            <w:noWrap/>
            <w:vAlign w:val="center"/>
            <w:hideMark/>
          </w:tcPr>
          <w:p w:rsidR="000175EE" w:rsidRPr="000175EE" w:rsidRDefault="000175EE" w:rsidP="000175EE">
            <w:pPr>
              <w:jc w:val="center"/>
              <w:rPr>
                <w:rFonts w:ascii="Arial Narrow" w:eastAsia="Times New Roman" w:hAnsi="Arial Narrow"/>
                <w:color w:val="000000"/>
                <w:sz w:val="20"/>
                <w:szCs w:val="20"/>
                <w:lang w:val="es-CO" w:eastAsia="es-CO"/>
              </w:rPr>
            </w:pPr>
            <w:r w:rsidRPr="000175EE">
              <w:rPr>
                <w:rFonts w:ascii="Arial Narrow" w:eastAsia="Times New Roman" w:hAnsi="Arial Narrow"/>
                <w:color w:val="000000"/>
                <w:sz w:val="20"/>
                <w:szCs w:val="20"/>
                <w:lang w:val="es-CO" w:eastAsia="es-CO"/>
              </w:rPr>
              <w:t>98.20%</w:t>
            </w:r>
          </w:p>
        </w:tc>
      </w:tr>
    </w:tbl>
    <w:p w:rsidR="000175EE" w:rsidRPr="000175EE" w:rsidRDefault="000175EE" w:rsidP="000175EE">
      <w:pPr>
        <w:jc w:val="left"/>
        <w:rPr>
          <w:rFonts w:ascii="Arial Narrow" w:hAnsi="Arial Narrow"/>
          <w:sz w:val="18"/>
          <w:szCs w:val="18"/>
        </w:rPr>
      </w:pPr>
      <w:r w:rsidRPr="000175EE">
        <w:rPr>
          <w:rFonts w:ascii="Arial Narrow" w:hAnsi="Arial Narrow"/>
          <w:sz w:val="18"/>
          <w:szCs w:val="18"/>
        </w:rPr>
        <w:t>Fuente: ANI</w:t>
      </w:r>
      <w:r>
        <w:rPr>
          <w:rFonts w:ascii="Arial Narrow" w:hAnsi="Arial Narrow"/>
          <w:sz w:val="18"/>
          <w:szCs w:val="18"/>
        </w:rPr>
        <w:t xml:space="preserve"> – </w:t>
      </w:r>
      <w:r w:rsidRPr="00942F7A">
        <w:rPr>
          <w:rFonts w:ascii="Arial Narrow" w:hAnsi="Arial Narrow"/>
          <w:sz w:val="16"/>
          <w:szCs w:val="20"/>
        </w:rPr>
        <w:t>Cifras en millones de pesos</w:t>
      </w:r>
    </w:p>
    <w:p w:rsidR="00A15BF5" w:rsidRPr="004D6B5F" w:rsidRDefault="00A15BF5" w:rsidP="004D6B5F">
      <w:pPr>
        <w:spacing w:after="60" w:line="276" w:lineRule="auto"/>
        <w:rPr>
          <w:rFonts w:ascii="Arial Narrow" w:hAnsi="Arial Narrow"/>
          <w:szCs w:val="22"/>
          <w:lang w:val="es-CO"/>
        </w:rPr>
      </w:pPr>
    </w:p>
    <w:p w:rsidR="00A15BF5" w:rsidRPr="004D6B5F" w:rsidRDefault="00812766" w:rsidP="004D6B5F">
      <w:pPr>
        <w:pStyle w:val="Ttulo3"/>
        <w:rPr>
          <w:rFonts w:ascii="Arial Narrow" w:hAnsi="Arial Narrow"/>
        </w:rPr>
      </w:pPr>
      <w:bookmarkStart w:id="25" w:name="_Toc410922150"/>
      <w:r>
        <w:rPr>
          <w:rFonts w:ascii="Arial Narrow" w:hAnsi="Arial Narrow"/>
        </w:rPr>
        <w:t>Estructurar Los Proyectos p</w:t>
      </w:r>
      <w:r w:rsidR="00A15BF5" w:rsidRPr="004D6B5F">
        <w:rPr>
          <w:rFonts w:ascii="Arial Narrow" w:hAnsi="Arial Narrow"/>
        </w:rPr>
        <w:t xml:space="preserve">ara Cerrar </w:t>
      </w:r>
      <w:r>
        <w:rPr>
          <w:rFonts w:ascii="Arial Narrow" w:hAnsi="Arial Narrow"/>
        </w:rPr>
        <w:t>l</w:t>
      </w:r>
      <w:r w:rsidR="00A15BF5" w:rsidRPr="004D6B5F">
        <w:rPr>
          <w:rFonts w:ascii="Arial Narrow" w:hAnsi="Arial Narrow"/>
        </w:rPr>
        <w:t>a Brecha</w:t>
      </w:r>
      <w:bookmarkEnd w:id="25"/>
    </w:p>
    <w:p w:rsidR="00A15BF5" w:rsidRPr="004D6B5F" w:rsidRDefault="00A15BF5" w:rsidP="00A15BF5">
      <w:pPr>
        <w:pStyle w:val="Listavistosa-nfasis12"/>
        <w:tabs>
          <w:tab w:val="left" w:pos="3285"/>
        </w:tabs>
        <w:spacing w:after="0" w:line="240" w:lineRule="auto"/>
        <w:jc w:val="both"/>
        <w:rPr>
          <w:rFonts w:ascii="Arial Narrow" w:hAnsi="Arial Narrow"/>
          <w:b/>
          <w:i/>
        </w:rPr>
      </w:pPr>
    </w:p>
    <w:p w:rsidR="00A15BF5" w:rsidRPr="004D6B5F" w:rsidRDefault="00A15BF5" w:rsidP="004D6B5F">
      <w:pPr>
        <w:pStyle w:val="Ttulo3"/>
        <w:numPr>
          <w:ilvl w:val="3"/>
          <w:numId w:val="2"/>
        </w:numPr>
        <w:rPr>
          <w:rFonts w:ascii="Arial Narrow" w:hAnsi="Arial Narrow"/>
        </w:rPr>
      </w:pPr>
      <w:bookmarkStart w:id="26" w:name="_Toc410922151"/>
      <w:r w:rsidRPr="004D6B5F">
        <w:rPr>
          <w:rFonts w:ascii="Arial Narrow" w:hAnsi="Arial Narrow"/>
        </w:rPr>
        <w:t>Programa de 4</w:t>
      </w:r>
      <w:r w:rsidR="007F2582">
        <w:rPr>
          <w:rFonts w:ascii="Arial Narrow" w:hAnsi="Arial Narrow"/>
        </w:rPr>
        <w:t>ª</w:t>
      </w:r>
      <w:r w:rsidRPr="004D6B5F">
        <w:rPr>
          <w:rFonts w:ascii="Arial Narrow" w:hAnsi="Arial Narrow"/>
        </w:rPr>
        <w:t xml:space="preserve"> Generación de Concesiones Viales</w:t>
      </w:r>
      <w:bookmarkEnd w:id="26"/>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A través del documento CONPES 3760 de 2013 el Gobierno Nacional declara de importancia estratégica para el país el programa de Cuarta Generación de </w:t>
      </w:r>
      <w:r w:rsidR="00B128BF">
        <w:rPr>
          <w:rFonts w:ascii="Arial Narrow" w:hAnsi="Arial Narrow"/>
          <w:szCs w:val="22"/>
          <w:lang w:val="es-CO"/>
        </w:rPr>
        <w:t xml:space="preserve">Concesiones Viales </w:t>
      </w:r>
      <w:r w:rsidRPr="004D6B5F">
        <w:rPr>
          <w:rFonts w:ascii="Arial Narrow" w:hAnsi="Arial Narrow"/>
          <w:szCs w:val="22"/>
          <w:lang w:val="es-CO"/>
        </w:rPr>
        <w:t>(4G), programa que permitirá al país desarrollarse aceleradamente y ser más competitivo para enfrentar los retos del comercio global, generando más empleos y entregando a los colombianos vías de primera calidad al final de ésta década reduciendo los tiempos de desplazamiento entre los centros productivos y los puertos en un 30% y disminuyendo los costos de</w:t>
      </w:r>
      <w:r w:rsidR="00B128BF">
        <w:rPr>
          <w:rFonts w:ascii="Arial Narrow" w:hAnsi="Arial Narrow"/>
          <w:szCs w:val="22"/>
          <w:lang w:val="es-CO"/>
        </w:rPr>
        <w:t xml:space="preserve"> operación vehicular en un 20%.</w:t>
      </w:r>
    </w:p>
    <w:p w:rsidR="00A15BF5" w:rsidRPr="002A5588"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Las 4G llevarán desarrollo y trabajo a 24 departamentos y generarán más de 180.000 empleos directos, lo cual permitirá reducir la tasa de desempleo durante la etapa de construcción de los proyectos en 1% y generará un </w:t>
      </w:r>
      <w:r w:rsidRPr="002A5588">
        <w:rPr>
          <w:rFonts w:ascii="Arial Narrow" w:hAnsi="Arial Narrow"/>
          <w:szCs w:val="22"/>
          <w:lang w:val="es-CO"/>
        </w:rPr>
        <w:t>efecto multiplicado</w:t>
      </w:r>
      <w:r w:rsidR="00CA6D14" w:rsidRPr="002A5588">
        <w:rPr>
          <w:rFonts w:ascii="Arial Narrow" w:hAnsi="Arial Narrow"/>
          <w:szCs w:val="22"/>
          <w:lang w:val="es-CO"/>
        </w:rPr>
        <w:t>r en el PIB de aprox. de 1,5</w:t>
      </w:r>
      <w:r w:rsidR="00B128BF" w:rsidRPr="002A5588">
        <w:rPr>
          <w:rFonts w:ascii="Arial Narrow" w:hAnsi="Arial Narrow"/>
          <w:szCs w:val="22"/>
          <w:lang w:val="es-CO"/>
        </w:rPr>
        <w:t>%.</w:t>
      </w:r>
    </w:p>
    <w:p w:rsidR="00A15BF5" w:rsidRPr="002A5588" w:rsidRDefault="00A15BF5" w:rsidP="001A410D">
      <w:pPr>
        <w:spacing w:before="120" w:after="120" w:line="276" w:lineRule="auto"/>
        <w:rPr>
          <w:rFonts w:ascii="Arial Narrow" w:hAnsi="Arial Narrow"/>
          <w:szCs w:val="22"/>
          <w:lang w:val="es-CO"/>
        </w:rPr>
      </w:pPr>
      <w:r w:rsidRPr="002A5588">
        <w:rPr>
          <w:rFonts w:ascii="Arial Narrow" w:hAnsi="Arial Narrow"/>
          <w:szCs w:val="22"/>
          <w:lang w:val="es-CO"/>
        </w:rPr>
        <w:t>El programa 4G encuadra más de 40 proyectos con una longitud de más de 8</w:t>
      </w:r>
      <w:r w:rsidR="006178EE" w:rsidRPr="002A5588">
        <w:rPr>
          <w:rFonts w:ascii="Arial Narrow" w:hAnsi="Arial Narrow"/>
          <w:szCs w:val="22"/>
          <w:lang w:val="es-CO"/>
        </w:rPr>
        <w:t>.</w:t>
      </w:r>
      <w:r w:rsidRPr="002A5588">
        <w:rPr>
          <w:rFonts w:ascii="Arial Narrow" w:hAnsi="Arial Narrow"/>
          <w:szCs w:val="22"/>
          <w:lang w:val="es-CO"/>
        </w:rPr>
        <w:t>000 km y la construcción de cerca de 1.300 km de nuevas doble calzadas, 141 km de túneles y 150 km de viaduct</w:t>
      </w:r>
      <w:r w:rsidR="006178EE" w:rsidRPr="002A5588">
        <w:rPr>
          <w:rFonts w:ascii="Arial Narrow" w:hAnsi="Arial Narrow"/>
          <w:szCs w:val="22"/>
          <w:lang w:val="es-CO"/>
        </w:rPr>
        <w:t>os por un valor aproximado de $</w:t>
      </w:r>
      <w:r w:rsidRPr="002A5588">
        <w:rPr>
          <w:rFonts w:ascii="Arial Narrow" w:hAnsi="Arial Narrow"/>
          <w:szCs w:val="22"/>
          <w:lang w:val="es-CO"/>
        </w:rPr>
        <w:t>47 billones de pesos. Se espera que durante el 2014 se adjudiquen 19 proyectos via</w:t>
      </w:r>
      <w:r w:rsidR="006178EE" w:rsidRPr="002A5588">
        <w:rPr>
          <w:rFonts w:ascii="Arial Narrow" w:hAnsi="Arial Narrow"/>
          <w:szCs w:val="22"/>
          <w:lang w:val="es-CO"/>
        </w:rPr>
        <w:t>les por un valor aprox. a los $</w:t>
      </w:r>
      <w:r w:rsidRPr="002A5588">
        <w:rPr>
          <w:rFonts w:ascii="Arial Narrow" w:hAnsi="Arial Narrow"/>
          <w:szCs w:val="22"/>
          <w:lang w:val="es-CO"/>
        </w:rPr>
        <w:t>24 billones de pesos en obras.</w:t>
      </w:r>
    </w:p>
    <w:p w:rsidR="00A15BF5" w:rsidRPr="002A5588" w:rsidRDefault="005830D9" w:rsidP="001A410D">
      <w:pPr>
        <w:spacing w:before="120" w:after="120" w:line="276" w:lineRule="auto"/>
        <w:rPr>
          <w:rFonts w:ascii="Arial Narrow" w:hAnsi="Arial Narrow"/>
          <w:szCs w:val="22"/>
          <w:lang w:val="es-CO"/>
        </w:rPr>
      </w:pPr>
      <w:r w:rsidRPr="002A5588">
        <w:rPr>
          <w:rFonts w:ascii="Arial Narrow" w:hAnsi="Arial Narrow"/>
          <w:szCs w:val="22"/>
          <w:lang w:val="es-CO"/>
        </w:rPr>
        <w:t>Desde el 22 de mayo de 2014, fecha de la primera adjudicación de los proyectos 4G (Pacífico 2), hasta el 5 de diciembre, con la adjudicación de Mulaló – Loboguerrero, se realizaron las adjudicaciones de los diez (10) proyectos de Primera Ola,</w:t>
      </w:r>
      <w:r w:rsidR="00663EF6" w:rsidRPr="002A5588">
        <w:rPr>
          <w:rFonts w:ascii="Arial Narrow" w:hAnsi="Arial Narrow"/>
          <w:szCs w:val="22"/>
          <w:lang w:val="es-CO"/>
        </w:rPr>
        <w:t xml:space="preserve"> siendo estos:</w:t>
      </w:r>
    </w:p>
    <w:p w:rsidR="00663EF6" w:rsidRPr="002A5588" w:rsidRDefault="00663EF6" w:rsidP="00663EF6">
      <w:pPr>
        <w:pStyle w:val="Prrafodelista"/>
        <w:numPr>
          <w:ilvl w:val="0"/>
          <w:numId w:val="51"/>
        </w:numPr>
        <w:spacing w:before="120" w:after="120" w:line="276" w:lineRule="auto"/>
        <w:rPr>
          <w:rFonts w:ascii="Arial Narrow" w:hAnsi="Arial Narrow" w:cs="Arial"/>
        </w:rPr>
      </w:pPr>
      <w:r w:rsidRPr="002A5588">
        <w:rPr>
          <w:rFonts w:ascii="Arial Narrow" w:hAnsi="Arial Narrow" w:cs="Arial"/>
          <w:shd w:val="clear" w:color="auto" w:fill="FFFFFF"/>
        </w:rPr>
        <w:t>Autopistas Conexión Pacífico 1 (Ancón Sur - Camilo C- Bolombolo), $1,79 Billones</w:t>
      </w:r>
    </w:p>
    <w:p w:rsidR="00663EF6" w:rsidRPr="002A5588" w:rsidRDefault="00663EF6" w:rsidP="00663EF6">
      <w:pPr>
        <w:pStyle w:val="Prrafodelista"/>
        <w:numPr>
          <w:ilvl w:val="0"/>
          <w:numId w:val="51"/>
        </w:numPr>
        <w:spacing w:before="120" w:after="120" w:line="276" w:lineRule="auto"/>
        <w:rPr>
          <w:rFonts w:ascii="Arial Narrow" w:hAnsi="Arial Narrow"/>
          <w:lang w:val="es-CO"/>
        </w:rPr>
      </w:pPr>
      <w:r w:rsidRPr="002A5588">
        <w:rPr>
          <w:rFonts w:ascii="Arial Narrow" w:hAnsi="Arial Narrow" w:cs="Arial"/>
          <w:shd w:val="clear" w:color="auto" w:fill="FFFFFF"/>
        </w:rPr>
        <w:t>Autopista Conexión Pacífico 2 (Bolombolo – La Pintada - La Primavera), $0,91 Billones</w:t>
      </w:r>
    </w:p>
    <w:p w:rsidR="00663EF6" w:rsidRPr="002A5588" w:rsidRDefault="00663EF6" w:rsidP="00663EF6">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Autopista Conexión Pacífico 3 (La Pintada- La Virginia) $1,3 Billones</w:t>
      </w:r>
    </w:p>
    <w:p w:rsidR="00663EF6" w:rsidRPr="002A5588" w:rsidRDefault="00663EF6" w:rsidP="00663EF6">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Girardot - Puerto Salgar ($0,92 Billones)</w:t>
      </w:r>
    </w:p>
    <w:p w:rsidR="00663EF6" w:rsidRPr="002A5588" w:rsidRDefault="00663EF6" w:rsidP="00663EF6">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Cartagena – Barranquilla ($0,96 Billones)</w:t>
      </w:r>
    </w:p>
    <w:p w:rsidR="00663EF6" w:rsidRPr="002A5588" w:rsidRDefault="00663EF6" w:rsidP="00663EF6">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Ocaña – Gamarra ($1,2 Billones)</w:t>
      </w:r>
      <w:r w:rsidR="00171C45" w:rsidRPr="002A5588">
        <w:rPr>
          <w:rFonts w:ascii="Arial Narrow" w:hAnsi="Arial Narrow" w:cs="Arial"/>
          <w:shd w:val="clear" w:color="auto" w:fill="FFFFFF"/>
        </w:rPr>
        <w:t xml:space="preserve"> (adición a Ruta del Sol 2)</w:t>
      </w:r>
    </w:p>
    <w:p w:rsidR="006A3AE2" w:rsidRPr="002A5588" w:rsidRDefault="00663EF6" w:rsidP="006A3AE2">
      <w:pPr>
        <w:pStyle w:val="Prrafodelista"/>
        <w:numPr>
          <w:ilvl w:val="0"/>
          <w:numId w:val="51"/>
        </w:numPr>
        <w:spacing w:before="120" w:after="120" w:line="276" w:lineRule="auto"/>
        <w:rPr>
          <w:rFonts w:ascii="Arial Narrow" w:hAnsi="Arial Narrow"/>
          <w:shd w:val="clear" w:color="auto" w:fill="FFFFFF"/>
        </w:rPr>
      </w:pPr>
      <w:r w:rsidRPr="002A5588">
        <w:rPr>
          <w:rFonts w:ascii="Arial Narrow" w:hAnsi="Arial Narrow" w:cs="Arial"/>
          <w:shd w:val="clear" w:color="auto" w:fill="FFFFFF"/>
        </w:rPr>
        <w:t>Perimetral Oriente Cundinamarca ($1,19 Billones</w:t>
      </w:r>
      <w:r w:rsidR="006A3AE2" w:rsidRPr="002A5588">
        <w:rPr>
          <w:rFonts w:ascii="Arial Narrow" w:hAnsi="Arial Narrow" w:cs="Arial"/>
          <w:shd w:val="clear" w:color="auto" w:fill="FFFFFF"/>
        </w:rPr>
        <w:t>)</w:t>
      </w:r>
    </w:p>
    <w:p w:rsidR="006A3AE2" w:rsidRPr="002A5588" w:rsidRDefault="00663EF6" w:rsidP="006A3AE2">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Mulaló – Loboguerrero. ($1,19 Billones)</w:t>
      </w:r>
    </w:p>
    <w:p w:rsidR="006A3AE2" w:rsidRPr="002A5588" w:rsidRDefault="00663EF6" w:rsidP="006A3AE2">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Autopista Conexión Norte (Remedios, Zaragoza y Caucasia), $0,98 Billones</w:t>
      </w:r>
    </w:p>
    <w:p w:rsidR="00663EF6" w:rsidRPr="002A5588" w:rsidRDefault="00663EF6" w:rsidP="006A3AE2">
      <w:pPr>
        <w:pStyle w:val="Prrafodelista"/>
        <w:numPr>
          <w:ilvl w:val="0"/>
          <w:numId w:val="51"/>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 xml:space="preserve">Autopista al Río Magdalena 2 </w:t>
      </w:r>
      <w:r w:rsidR="006A3AE2" w:rsidRPr="002A5588">
        <w:rPr>
          <w:rFonts w:ascii="Arial Narrow" w:hAnsi="Arial Narrow" w:cs="Arial"/>
          <w:shd w:val="clear" w:color="auto" w:fill="FFFFFF"/>
        </w:rPr>
        <w:t>(</w:t>
      </w:r>
      <w:r w:rsidRPr="002A5588">
        <w:rPr>
          <w:rFonts w:ascii="Arial Narrow" w:hAnsi="Arial Narrow" w:cs="Arial"/>
          <w:shd w:val="clear" w:color="auto" w:fill="FFFFFF"/>
        </w:rPr>
        <w:t>Remedios, Alto de Dolores, Puerto Berrio, Variante Puerto Berrío, Conexión Ruta del Sol), $1,37 Billones</w:t>
      </w:r>
    </w:p>
    <w:p w:rsidR="006A3AE2" w:rsidRPr="002A5588" w:rsidRDefault="006A3AE2" w:rsidP="006A3AE2">
      <w:pPr>
        <w:spacing w:before="120" w:after="120" w:line="276" w:lineRule="auto"/>
        <w:rPr>
          <w:rFonts w:ascii="Arial Narrow" w:hAnsi="Arial Narrow" w:cs="Arial"/>
          <w:szCs w:val="22"/>
        </w:rPr>
      </w:pPr>
      <w:r w:rsidRPr="002A5588">
        <w:rPr>
          <w:rFonts w:ascii="Arial Narrow" w:hAnsi="Arial Narrow"/>
          <w:szCs w:val="22"/>
          <w:lang w:val="es-CO"/>
        </w:rPr>
        <w:t xml:space="preserve">Adicionalmente se realizaron los trámites de estructuración y presupuestales requeridos para iniciar los procesos licitatorios de </w:t>
      </w:r>
      <w:r w:rsidRPr="002A5588">
        <w:rPr>
          <w:rFonts w:ascii="Arial Narrow" w:hAnsi="Arial Narrow" w:cs="Arial"/>
          <w:szCs w:val="22"/>
        </w:rPr>
        <w:t>los proyectos que hacen parte de la Segunda Ola de 4G, los cuales tendrán una inversión de $14.2 billones. Estos proyectos son:</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Neiva – Girardot ($2.3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Villavicencio – Yopal ($2.5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Rumichaca – Pasto ($2.2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Puerta de Hierro - Carreto - Palmar de Varela - Carreto - Cruz del Viso</w:t>
      </w:r>
      <w:r w:rsidR="00735E28" w:rsidRPr="002A5588">
        <w:rPr>
          <w:rFonts w:ascii="Arial Narrow" w:hAnsi="Arial Narrow" w:cs="Arial"/>
          <w:shd w:val="clear" w:color="auto" w:fill="FFFFFF"/>
        </w:rPr>
        <w:t xml:space="preserve"> ($1.2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Santana - Mocoa – Neiva</w:t>
      </w:r>
      <w:r w:rsidR="00735E28" w:rsidRPr="002A5588">
        <w:rPr>
          <w:rFonts w:ascii="Arial Narrow" w:hAnsi="Arial Narrow" w:cs="Arial"/>
          <w:shd w:val="clear" w:color="auto" w:fill="FFFFFF"/>
        </w:rPr>
        <w:t xml:space="preserve"> ($3.0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Santander de Quilichao – Popayán,</w:t>
      </w:r>
      <w:r w:rsidR="00735E28" w:rsidRPr="002A5588">
        <w:rPr>
          <w:rFonts w:ascii="Arial Narrow" w:hAnsi="Arial Narrow" w:cs="Arial"/>
          <w:shd w:val="clear" w:color="auto" w:fill="FFFFFF"/>
        </w:rPr>
        <w:t xml:space="preserve"> ($1.6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Barrancabermeja – Bucaramanga</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Sisga - El Secreto</w:t>
      </w:r>
      <w:r w:rsidR="00735E28" w:rsidRPr="002A5588">
        <w:rPr>
          <w:rFonts w:ascii="Arial Narrow" w:hAnsi="Arial Narrow" w:cs="Arial"/>
          <w:shd w:val="clear" w:color="auto" w:fill="FFFFFF"/>
        </w:rPr>
        <w:t xml:space="preserve"> ($928,000 millones)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Autopista Mar 1 (Túnel de Occidente - San Jerónimo - Santafé de Antioquia – Bolombolo)</w:t>
      </w:r>
      <w:r w:rsidR="00735E28" w:rsidRPr="002A5588">
        <w:rPr>
          <w:rFonts w:ascii="Arial Narrow" w:hAnsi="Arial Narrow" w:cs="Arial"/>
          <w:shd w:val="clear" w:color="auto" w:fill="FFFFFF"/>
        </w:rPr>
        <w:t xml:space="preserve"> $$4.4 billones</w:t>
      </w:r>
    </w:p>
    <w:p w:rsidR="006A3AE2" w:rsidRPr="002A5588" w:rsidRDefault="006A3AE2" w:rsidP="006A3AE2">
      <w:pPr>
        <w:pStyle w:val="Prrafodelista"/>
        <w:numPr>
          <w:ilvl w:val="0"/>
          <w:numId w:val="52"/>
        </w:numPr>
        <w:spacing w:before="120" w:after="120" w:line="276" w:lineRule="auto"/>
        <w:rPr>
          <w:rFonts w:ascii="Arial Narrow" w:hAnsi="Arial Narrow" w:cs="Arial"/>
          <w:shd w:val="clear" w:color="auto" w:fill="FFFFFF"/>
        </w:rPr>
      </w:pPr>
      <w:r w:rsidRPr="002A5588">
        <w:rPr>
          <w:rFonts w:ascii="Arial Narrow" w:hAnsi="Arial Narrow" w:cs="Arial"/>
          <w:shd w:val="clear" w:color="auto" w:fill="FFFFFF"/>
        </w:rPr>
        <w:t>Autopista Mar 2 (Cañas Gordas</w:t>
      </w:r>
      <w:r w:rsidR="00735E28" w:rsidRPr="002A5588">
        <w:rPr>
          <w:rFonts w:ascii="Arial Narrow" w:hAnsi="Arial Narrow" w:cs="Arial"/>
          <w:shd w:val="clear" w:color="auto" w:fill="FFFFFF"/>
        </w:rPr>
        <w:t xml:space="preserve"> – Uramita – Mutata – El Tigre) $3.8 billones</w:t>
      </w:r>
    </w:p>
    <w:p w:rsidR="008F3936" w:rsidRDefault="00141C2F" w:rsidP="001A410D">
      <w:pPr>
        <w:spacing w:before="120" w:after="120" w:line="276" w:lineRule="auto"/>
        <w:rPr>
          <w:rFonts w:ascii="Arial Narrow" w:hAnsi="Arial Narrow"/>
          <w:szCs w:val="22"/>
          <w:lang w:val="es-CO"/>
        </w:rPr>
      </w:pPr>
      <w:r w:rsidRPr="002A5588">
        <w:rPr>
          <w:rFonts w:ascii="Arial Narrow" w:hAnsi="Arial Narrow"/>
          <w:szCs w:val="22"/>
          <w:lang w:val="es-CO"/>
        </w:rPr>
        <w:t xml:space="preserve">En cuanto a Iniciativas Privadas, la entidad tenía </w:t>
      </w:r>
      <w:r w:rsidR="00FC0C8B" w:rsidRPr="002A5588">
        <w:rPr>
          <w:rFonts w:ascii="Arial Narrow" w:hAnsi="Arial Narrow"/>
          <w:szCs w:val="22"/>
          <w:lang w:val="es-CO"/>
        </w:rPr>
        <w:t xml:space="preserve">nueve </w:t>
      </w:r>
      <w:r w:rsidRPr="002A5588">
        <w:rPr>
          <w:rFonts w:ascii="Arial Narrow" w:hAnsi="Arial Narrow"/>
          <w:szCs w:val="22"/>
          <w:lang w:val="es-CO"/>
        </w:rPr>
        <w:t>(</w:t>
      </w:r>
      <w:r w:rsidR="00FC0C8B" w:rsidRPr="002A5588">
        <w:rPr>
          <w:rFonts w:ascii="Arial Narrow" w:hAnsi="Arial Narrow"/>
          <w:szCs w:val="22"/>
          <w:lang w:val="es-CO"/>
        </w:rPr>
        <w:t>9</w:t>
      </w:r>
      <w:r w:rsidRPr="002A5588">
        <w:rPr>
          <w:rFonts w:ascii="Arial Narrow" w:hAnsi="Arial Narrow"/>
          <w:szCs w:val="22"/>
          <w:lang w:val="es-CO"/>
        </w:rPr>
        <w:t xml:space="preserve">) proyectos </w:t>
      </w:r>
      <w:r w:rsidR="00FC0C8B" w:rsidRPr="002A5588">
        <w:rPr>
          <w:rFonts w:ascii="Arial Narrow" w:hAnsi="Arial Narrow"/>
          <w:szCs w:val="22"/>
          <w:lang w:val="es-CO"/>
        </w:rPr>
        <w:t xml:space="preserve">en etapa de </w:t>
      </w:r>
      <w:r w:rsidRPr="002A5588">
        <w:rPr>
          <w:rFonts w:ascii="Arial Narrow" w:hAnsi="Arial Narrow"/>
          <w:szCs w:val="22"/>
          <w:lang w:val="es-CO"/>
        </w:rPr>
        <w:t xml:space="preserve">prefactibilidad, y </w:t>
      </w:r>
      <w:r w:rsidR="00FC0C8B" w:rsidRPr="002A5588">
        <w:rPr>
          <w:rFonts w:ascii="Arial Narrow" w:hAnsi="Arial Narrow"/>
          <w:szCs w:val="22"/>
          <w:lang w:val="es-CO"/>
        </w:rPr>
        <w:t>quince</w:t>
      </w:r>
      <w:r w:rsidRPr="002A5588">
        <w:rPr>
          <w:rFonts w:ascii="Arial Narrow" w:hAnsi="Arial Narrow"/>
          <w:szCs w:val="22"/>
          <w:lang w:val="es-CO"/>
        </w:rPr>
        <w:t xml:space="preserve"> (</w:t>
      </w:r>
      <w:r w:rsidR="00FC0C8B" w:rsidRPr="002A5588">
        <w:rPr>
          <w:rFonts w:ascii="Arial Narrow" w:hAnsi="Arial Narrow"/>
          <w:szCs w:val="22"/>
          <w:lang w:val="es-CO"/>
        </w:rPr>
        <w:t>15</w:t>
      </w:r>
      <w:r w:rsidRPr="002A5588">
        <w:rPr>
          <w:rFonts w:ascii="Arial Narrow" w:hAnsi="Arial Narrow"/>
          <w:szCs w:val="22"/>
          <w:lang w:val="es-CO"/>
        </w:rPr>
        <w:t xml:space="preserve">) proyectos </w:t>
      </w:r>
      <w:r w:rsidR="00FC0C8B" w:rsidRPr="002A5588">
        <w:rPr>
          <w:rFonts w:ascii="Arial Narrow" w:hAnsi="Arial Narrow"/>
          <w:szCs w:val="22"/>
          <w:lang w:val="es-CO"/>
        </w:rPr>
        <w:t xml:space="preserve">en etapa de </w:t>
      </w:r>
      <w:r w:rsidRPr="002A5588">
        <w:rPr>
          <w:rFonts w:ascii="Arial Narrow" w:hAnsi="Arial Narrow"/>
          <w:szCs w:val="22"/>
          <w:lang w:val="es-CO"/>
        </w:rPr>
        <w:t>factibilidad, los cuales se encontraban en trámite de revisión por MHCP y DNP.</w:t>
      </w:r>
      <w:r w:rsidR="00483F8B" w:rsidRPr="002A5588">
        <w:rPr>
          <w:rFonts w:ascii="Arial Narrow" w:hAnsi="Arial Narrow"/>
          <w:szCs w:val="22"/>
          <w:lang w:val="es-CO"/>
        </w:rPr>
        <w:t xml:space="preserve"> La Iniciativa Privada Girardot </w:t>
      </w:r>
      <w:r w:rsidR="002A5588" w:rsidRPr="002A5588">
        <w:rPr>
          <w:rFonts w:ascii="Arial Narrow" w:hAnsi="Arial Narrow"/>
          <w:szCs w:val="22"/>
          <w:lang w:val="es-CO"/>
        </w:rPr>
        <w:t xml:space="preserve">– </w:t>
      </w:r>
      <w:r w:rsidR="00483F8B" w:rsidRPr="002A5588">
        <w:rPr>
          <w:rFonts w:ascii="Arial Narrow" w:hAnsi="Arial Narrow"/>
          <w:szCs w:val="22"/>
          <w:lang w:val="es-CO"/>
        </w:rPr>
        <w:t xml:space="preserve">Ibagué – Cajamarca </w:t>
      </w:r>
      <w:r w:rsidR="00FC0C8B" w:rsidRPr="002A5588">
        <w:rPr>
          <w:rFonts w:ascii="Arial Narrow" w:hAnsi="Arial Narrow"/>
          <w:szCs w:val="22"/>
          <w:lang w:val="es-CO"/>
        </w:rPr>
        <w:t xml:space="preserve">fue la única que </w:t>
      </w:r>
      <w:r w:rsidR="00483F8B" w:rsidRPr="002A5588">
        <w:rPr>
          <w:rFonts w:ascii="Arial Narrow" w:hAnsi="Arial Narrow"/>
          <w:szCs w:val="22"/>
          <w:lang w:val="es-CO"/>
        </w:rPr>
        <w:t xml:space="preserve">surtió el trámite de aprobación </w:t>
      </w:r>
      <w:r w:rsidR="00FC0C8B" w:rsidRPr="002A5588">
        <w:rPr>
          <w:rFonts w:ascii="Arial Narrow" w:hAnsi="Arial Narrow"/>
          <w:szCs w:val="22"/>
          <w:lang w:val="es-CO"/>
        </w:rPr>
        <w:t xml:space="preserve">exitoso y se le dio viabilidad. Esta fue puesta a </w:t>
      </w:r>
      <w:r w:rsidR="00483F8B" w:rsidRPr="002A5588">
        <w:rPr>
          <w:rFonts w:ascii="Arial Narrow" w:hAnsi="Arial Narrow"/>
          <w:szCs w:val="22"/>
          <w:lang w:val="es-CO"/>
        </w:rPr>
        <w:t xml:space="preserve">consideración </w:t>
      </w:r>
      <w:r w:rsidR="002A5588" w:rsidRPr="002A5588">
        <w:rPr>
          <w:rFonts w:ascii="Arial Narrow" w:hAnsi="Arial Narrow"/>
          <w:szCs w:val="22"/>
          <w:lang w:val="es-CO"/>
        </w:rPr>
        <w:t>de terceros interesados, según la Ley 1508/12</w:t>
      </w:r>
      <w:r w:rsidR="00483F8B" w:rsidRPr="002A5588">
        <w:rPr>
          <w:rFonts w:ascii="Arial Narrow" w:hAnsi="Arial Narrow"/>
          <w:szCs w:val="22"/>
          <w:lang w:val="es-CO"/>
        </w:rPr>
        <w:t xml:space="preserve">, siendo </w:t>
      </w:r>
      <w:r w:rsidR="00483F8B">
        <w:rPr>
          <w:rFonts w:ascii="Arial Narrow" w:hAnsi="Arial Narrow"/>
          <w:szCs w:val="22"/>
          <w:lang w:val="es-CO"/>
        </w:rPr>
        <w:t>adjudicada definitivamente en enero de 2015.</w:t>
      </w:r>
    </w:p>
    <w:p w:rsidR="008F3936" w:rsidRPr="001A410D" w:rsidRDefault="008F3936" w:rsidP="001A410D">
      <w:pPr>
        <w:spacing w:before="120" w:after="120" w:line="276" w:lineRule="auto"/>
        <w:rPr>
          <w:rFonts w:ascii="Arial Narrow" w:hAnsi="Arial Narrow"/>
          <w:szCs w:val="22"/>
          <w:lang w:val="es-CO"/>
        </w:rPr>
      </w:pPr>
    </w:p>
    <w:p w:rsidR="00A15BF5" w:rsidRPr="004D6B5F" w:rsidRDefault="00A15BF5" w:rsidP="004D6B5F">
      <w:pPr>
        <w:pStyle w:val="Ttulo3"/>
        <w:numPr>
          <w:ilvl w:val="3"/>
          <w:numId w:val="2"/>
        </w:numPr>
        <w:rPr>
          <w:rFonts w:ascii="Arial Narrow" w:hAnsi="Arial Narrow"/>
        </w:rPr>
      </w:pPr>
      <w:bookmarkStart w:id="27" w:name="_Toc410922152"/>
      <w:r w:rsidRPr="004D6B5F">
        <w:rPr>
          <w:rFonts w:ascii="Arial Narrow" w:hAnsi="Arial Narrow"/>
        </w:rPr>
        <w:t>Recuperación Red Férrea</w:t>
      </w:r>
      <w:bookmarkEnd w:id="27"/>
    </w:p>
    <w:p w:rsidR="00D5571C"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En el 2013, la ANI adjudicó la rehabilitación, mantenimiento y operación de 875 km de líneas férreas entre la Dorada - Chiriguaná y Bogotá-Belencito por una inversión aprox. de $ 177.000 millones de pesos. En el corto plazo se espera poner en operación la línea férrea Bogotá – Belencito y la Dorada </w:t>
      </w:r>
      <w:r w:rsidR="006178EE" w:rsidRPr="004D6B5F">
        <w:rPr>
          <w:rFonts w:ascii="Arial Narrow" w:hAnsi="Arial Narrow"/>
          <w:szCs w:val="22"/>
          <w:lang w:val="es-CO"/>
        </w:rPr>
        <w:t>–</w:t>
      </w:r>
      <w:r w:rsidR="00942F7A">
        <w:rPr>
          <w:rFonts w:ascii="Arial Narrow" w:hAnsi="Arial Narrow"/>
          <w:szCs w:val="22"/>
          <w:lang w:val="es-CO"/>
        </w:rPr>
        <w:t xml:space="preserve"> </w:t>
      </w:r>
      <w:r w:rsidRPr="004D6B5F">
        <w:rPr>
          <w:rFonts w:ascii="Arial Narrow" w:hAnsi="Arial Narrow"/>
          <w:szCs w:val="22"/>
          <w:lang w:val="es-CO"/>
        </w:rPr>
        <w:t xml:space="preserve">Chiriguaná. La ANI </w:t>
      </w:r>
      <w:r w:rsidR="00D5571C">
        <w:rPr>
          <w:rFonts w:ascii="Arial Narrow" w:hAnsi="Arial Narrow"/>
          <w:szCs w:val="22"/>
          <w:lang w:val="es-CO"/>
        </w:rPr>
        <w:t>ha recibido doce (</w:t>
      </w:r>
      <w:r w:rsidR="00D5571C" w:rsidRPr="00D5571C">
        <w:rPr>
          <w:rFonts w:ascii="Arial Narrow" w:hAnsi="Arial Narrow"/>
          <w:szCs w:val="22"/>
          <w:lang w:val="es-CO"/>
        </w:rPr>
        <w:t>12</w:t>
      </w:r>
      <w:r w:rsidR="00D5571C">
        <w:rPr>
          <w:rFonts w:ascii="Arial Narrow" w:hAnsi="Arial Narrow"/>
          <w:szCs w:val="22"/>
          <w:lang w:val="es-CO"/>
        </w:rPr>
        <w:t>)</w:t>
      </w:r>
      <w:r w:rsidR="00D5571C" w:rsidRPr="00D5571C">
        <w:rPr>
          <w:rFonts w:ascii="Arial Narrow" w:hAnsi="Arial Narrow"/>
          <w:szCs w:val="22"/>
          <w:lang w:val="es-CO"/>
        </w:rPr>
        <w:t xml:space="preserve"> iniciativas privadas cuya propuesta</w:t>
      </w:r>
      <w:r w:rsidR="00D5571C">
        <w:rPr>
          <w:rFonts w:ascii="Arial Narrow" w:hAnsi="Arial Narrow"/>
          <w:szCs w:val="22"/>
          <w:lang w:val="es-CO"/>
        </w:rPr>
        <w:t>s de inversión superan</w:t>
      </w:r>
      <w:r w:rsidR="00D5571C" w:rsidRPr="00D5571C">
        <w:rPr>
          <w:rFonts w:ascii="Arial Narrow" w:hAnsi="Arial Narrow"/>
          <w:szCs w:val="22"/>
          <w:lang w:val="es-CO"/>
        </w:rPr>
        <w:t xml:space="preserve"> los </w:t>
      </w:r>
      <w:r w:rsidR="00D5571C">
        <w:rPr>
          <w:rFonts w:ascii="Arial Narrow" w:hAnsi="Arial Narrow"/>
          <w:szCs w:val="22"/>
          <w:lang w:val="es-CO"/>
        </w:rPr>
        <w:t>$</w:t>
      </w:r>
      <w:r w:rsidR="00D5571C" w:rsidRPr="00D5571C">
        <w:rPr>
          <w:rFonts w:ascii="Arial Narrow" w:hAnsi="Arial Narrow"/>
          <w:szCs w:val="22"/>
          <w:lang w:val="es-CO"/>
        </w:rPr>
        <w:t xml:space="preserve">30 billones, de las cuales </w:t>
      </w:r>
      <w:r w:rsidR="00D5571C">
        <w:rPr>
          <w:rFonts w:ascii="Arial Narrow" w:hAnsi="Arial Narrow"/>
          <w:szCs w:val="22"/>
          <w:lang w:val="es-CO"/>
        </w:rPr>
        <w:t>cuatro (</w:t>
      </w:r>
      <w:r w:rsidR="00D5571C" w:rsidRPr="00D5571C">
        <w:rPr>
          <w:rFonts w:ascii="Arial Narrow" w:hAnsi="Arial Narrow"/>
          <w:szCs w:val="22"/>
          <w:lang w:val="es-CO"/>
        </w:rPr>
        <w:t>4</w:t>
      </w:r>
      <w:r w:rsidR="00D5571C">
        <w:rPr>
          <w:rFonts w:ascii="Arial Narrow" w:hAnsi="Arial Narrow"/>
          <w:szCs w:val="22"/>
          <w:lang w:val="es-CO"/>
        </w:rPr>
        <w:t>)</w:t>
      </w:r>
      <w:r w:rsidR="00D5571C" w:rsidRPr="00D5571C">
        <w:rPr>
          <w:rFonts w:ascii="Arial Narrow" w:hAnsi="Arial Narrow"/>
          <w:szCs w:val="22"/>
          <w:lang w:val="es-CO"/>
        </w:rPr>
        <w:t xml:space="preserve"> se han rechazado, </w:t>
      </w:r>
      <w:r w:rsidR="00D5571C">
        <w:rPr>
          <w:rFonts w:ascii="Arial Narrow" w:hAnsi="Arial Narrow"/>
          <w:szCs w:val="22"/>
          <w:lang w:val="es-CO"/>
        </w:rPr>
        <w:t>cinco (</w:t>
      </w:r>
      <w:r w:rsidR="00D5571C" w:rsidRPr="00D5571C">
        <w:rPr>
          <w:rFonts w:ascii="Arial Narrow" w:hAnsi="Arial Narrow"/>
          <w:szCs w:val="22"/>
          <w:lang w:val="es-CO"/>
        </w:rPr>
        <w:t>5</w:t>
      </w:r>
      <w:r w:rsidR="00D5571C">
        <w:rPr>
          <w:rFonts w:ascii="Arial Narrow" w:hAnsi="Arial Narrow"/>
          <w:szCs w:val="22"/>
          <w:lang w:val="es-CO"/>
        </w:rPr>
        <w:t>)</w:t>
      </w:r>
      <w:r w:rsidR="00D5571C" w:rsidRPr="00D5571C">
        <w:rPr>
          <w:rFonts w:ascii="Arial Narrow" w:hAnsi="Arial Narrow"/>
          <w:szCs w:val="22"/>
          <w:lang w:val="es-CO"/>
        </w:rPr>
        <w:t xml:space="preserve"> se encuentran adelantando los estudios de factibilidad y </w:t>
      </w:r>
      <w:r w:rsidR="00D5571C">
        <w:rPr>
          <w:rFonts w:ascii="Arial Narrow" w:hAnsi="Arial Narrow"/>
          <w:szCs w:val="22"/>
          <w:lang w:val="es-CO"/>
        </w:rPr>
        <w:t>tres (</w:t>
      </w:r>
      <w:r w:rsidR="00D5571C" w:rsidRPr="00D5571C">
        <w:rPr>
          <w:rFonts w:ascii="Arial Narrow" w:hAnsi="Arial Narrow"/>
          <w:szCs w:val="22"/>
          <w:lang w:val="es-CO"/>
        </w:rPr>
        <w:t>3</w:t>
      </w:r>
      <w:r w:rsidR="00D5571C">
        <w:rPr>
          <w:rFonts w:ascii="Arial Narrow" w:hAnsi="Arial Narrow"/>
          <w:szCs w:val="22"/>
          <w:lang w:val="es-CO"/>
        </w:rPr>
        <w:t>)</w:t>
      </w:r>
      <w:r w:rsidR="00D5571C" w:rsidRPr="00D5571C">
        <w:rPr>
          <w:rFonts w:ascii="Arial Narrow" w:hAnsi="Arial Narrow"/>
          <w:szCs w:val="22"/>
          <w:lang w:val="es-CO"/>
        </w:rPr>
        <w:t xml:space="preserve"> se encuentran en análisis de prefactibilidad por parte de la AN</w:t>
      </w:r>
      <w:r w:rsidR="00D5571C">
        <w:rPr>
          <w:rFonts w:ascii="Arial Narrow" w:hAnsi="Arial Narrow"/>
          <w:szCs w:val="22"/>
          <w:lang w:val="es-CO"/>
        </w:rPr>
        <w:t>I.</w:t>
      </w:r>
      <w:r w:rsidR="00D5571C" w:rsidRPr="00D5571C">
        <w:rPr>
          <w:rFonts w:ascii="Arial Narrow" w:hAnsi="Arial Narrow"/>
          <w:szCs w:val="22"/>
          <w:lang w:val="es-CO"/>
        </w:rPr>
        <w:t xml:space="preserve"> De estas iniciativas privadas, las que tienen como objeto la movilización de carga, han propuesto la financia</w:t>
      </w:r>
      <w:r w:rsidR="00D5571C">
        <w:rPr>
          <w:rFonts w:ascii="Arial Narrow" w:hAnsi="Arial Narrow"/>
          <w:szCs w:val="22"/>
          <w:lang w:val="es-CO"/>
        </w:rPr>
        <w:t xml:space="preserve">ción 100% a cargo del privado. </w:t>
      </w:r>
      <w:r w:rsidR="00D5571C" w:rsidRPr="00D5571C">
        <w:rPr>
          <w:rFonts w:ascii="Arial Narrow" w:hAnsi="Arial Narrow"/>
          <w:szCs w:val="22"/>
          <w:lang w:val="es-CO"/>
        </w:rPr>
        <w:t>Por su parte, los proyectos para movilización de pasajeros han presentado requerimientos de inversión acordes con el tope establecido en la Ley 1508 de 2012, para lo cual se están realizando los trámites respectivos para determinar su financiación.</w:t>
      </w:r>
    </w:p>
    <w:p w:rsidR="00A15BF5" w:rsidRPr="004D6B5F" w:rsidRDefault="00D5571C" w:rsidP="001A410D">
      <w:pPr>
        <w:spacing w:before="120" w:after="120" w:line="276" w:lineRule="auto"/>
        <w:rPr>
          <w:rFonts w:ascii="Arial Narrow" w:hAnsi="Arial Narrow"/>
          <w:szCs w:val="22"/>
          <w:lang w:val="es-CO"/>
        </w:rPr>
      </w:pPr>
      <w:r>
        <w:rPr>
          <w:rFonts w:ascii="Arial Narrow" w:hAnsi="Arial Narrow"/>
          <w:szCs w:val="22"/>
          <w:lang w:val="es-CO"/>
        </w:rPr>
        <w:t xml:space="preserve">Las iniciativas privadas se han enfocado en invertir en los siguientes </w:t>
      </w:r>
      <w:r w:rsidR="00A15BF5" w:rsidRPr="004D6B5F">
        <w:rPr>
          <w:rFonts w:ascii="Arial Narrow" w:hAnsi="Arial Narrow"/>
          <w:szCs w:val="22"/>
          <w:lang w:val="es-CO"/>
        </w:rPr>
        <w:t>corredores:</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Ciénaga – Mamatoco – Sociedad portuaria de Santa Marta</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La Dorada – Chiriguaná</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Bogotá - Belencito</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Tres troncales de trenes de cercanías para Bogotá</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 xml:space="preserve">Construcción de la variante Buga </w:t>
      </w:r>
      <w:r w:rsidR="006178EE" w:rsidRPr="004D6B5F">
        <w:rPr>
          <w:rFonts w:ascii="Arial Narrow" w:hAnsi="Arial Narrow"/>
          <w:lang w:val="es-CO"/>
        </w:rPr>
        <w:t>–</w:t>
      </w:r>
      <w:r w:rsidRPr="008A7F14">
        <w:rPr>
          <w:rFonts w:ascii="Arial Narrow" w:hAnsi="Arial Narrow"/>
          <w:lang w:val="es-CO"/>
        </w:rPr>
        <w:t xml:space="preserve"> Loboguerrero</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Desarrollar el caso de negocios para el proyecto integrado Minas Paz del Río – Tren del Carare</w:t>
      </w:r>
    </w:p>
    <w:p w:rsidR="00A15BF5" w:rsidRPr="008A7F14" w:rsidRDefault="00A15BF5" w:rsidP="0015782B">
      <w:pPr>
        <w:pStyle w:val="Listavistosa-nfasis12"/>
        <w:numPr>
          <w:ilvl w:val="0"/>
          <w:numId w:val="19"/>
        </w:numPr>
        <w:spacing w:after="160" w:line="259" w:lineRule="auto"/>
        <w:jc w:val="both"/>
        <w:rPr>
          <w:rFonts w:ascii="Arial Narrow" w:hAnsi="Arial Narrow"/>
          <w:lang w:val="es-CO"/>
        </w:rPr>
      </w:pPr>
      <w:r w:rsidRPr="008A7F14">
        <w:rPr>
          <w:rFonts w:ascii="Arial Narrow" w:hAnsi="Arial Narrow"/>
          <w:lang w:val="es-CO"/>
        </w:rPr>
        <w:t>Túnel bajo la Cordillera Central, semejante al proyecto Trasandino entre Argentina y Chile</w:t>
      </w:r>
    </w:p>
    <w:p w:rsidR="00A15BF5" w:rsidRPr="004D6B5F" w:rsidRDefault="00A15BF5" w:rsidP="00A15BF5">
      <w:pPr>
        <w:pStyle w:val="Listavistosa-nfasis12"/>
        <w:autoSpaceDE w:val="0"/>
        <w:autoSpaceDN w:val="0"/>
        <w:adjustRightInd w:val="0"/>
        <w:spacing w:after="0" w:line="240" w:lineRule="auto"/>
        <w:jc w:val="both"/>
        <w:rPr>
          <w:rFonts w:ascii="Arial Narrow" w:hAnsi="Arial Narrow"/>
          <w:lang w:val="es-ES_tradnl"/>
        </w:rPr>
      </w:pPr>
    </w:p>
    <w:p w:rsidR="00A15BF5" w:rsidRPr="004D6B5F" w:rsidRDefault="00942F7A" w:rsidP="004D6B5F">
      <w:pPr>
        <w:pStyle w:val="Ttulo3"/>
        <w:numPr>
          <w:ilvl w:val="3"/>
          <w:numId w:val="2"/>
        </w:numPr>
        <w:rPr>
          <w:rFonts w:ascii="Arial Narrow" w:hAnsi="Arial Narrow"/>
        </w:rPr>
      </w:pPr>
      <w:bookmarkStart w:id="28" w:name="_Toc410922153"/>
      <w:r>
        <w:rPr>
          <w:rFonts w:ascii="Arial Narrow" w:hAnsi="Arial Narrow"/>
        </w:rPr>
        <w:t>Ampliación Capacidad Portuaria</w:t>
      </w:r>
      <w:bookmarkEnd w:id="28"/>
    </w:p>
    <w:p w:rsidR="00A15BF5" w:rsidRPr="001A410D"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La Agencia ha </w:t>
      </w:r>
      <w:r w:rsidRPr="008967CE">
        <w:rPr>
          <w:rFonts w:ascii="Arial Narrow" w:hAnsi="Arial Narrow"/>
          <w:szCs w:val="22"/>
          <w:lang w:val="es-CO"/>
        </w:rPr>
        <w:t xml:space="preserve">otorgado </w:t>
      </w:r>
      <w:r w:rsidR="009B6C1A">
        <w:rPr>
          <w:rFonts w:ascii="Arial Narrow" w:hAnsi="Arial Narrow"/>
          <w:szCs w:val="22"/>
          <w:lang w:val="es-CO"/>
        </w:rPr>
        <w:t>diez</w:t>
      </w:r>
      <w:r w:rsidRPr="008967CE">
        <w:rPr>
          <w:rFonts w:ascii="Arial Narrow" w:hAnsi="Arial Narrow"/>
          <w:szCs w:val="22"/>
          <w:lang w:val="es-CO"/>
        </w:rPr>
        <w:t xml:space="preserve"> </w:t>
      </w:r>
      <w:r w:rsidR="000608D8" w:rsidRPr="008967CE">
        <w:rPr>
          <w:rFonts w:ascii="Arial Narrow" w:hAnsi="Arial Narrow"/>
          <w:szCs w:val="22"/>
          <w:lang w:val="es-CO"/>
        </w:rPr>
        <w:t>(</w:t>
      </w:r>
      <w:r w:rsidR="009B6C1A">
        <w:rPr>
          <w:rFonts w:ascii="Arial Narrow" w:hAnsi="Arial Narrow"/>
          <w:szCs w:val="22"/>
          <w:lang w:val="es-CO"/>
        </w:rPr>
        <w:t>10</w:t>
      </w:r>
      <w:r w:rsidR="000608D8" w:rsidRPr="008967CE">
        <w:rPr>
          <w:rFonts w:ascii="Arial Narrow" w:hAnsi="Arial Narrow"/>
          <w:szCs w:val="22"/>
          <w:lang w:val="es-CO"/>
        </w:rPr>
        <w:t xml:space="preserve">) </w:t>
      </w:r>
      <w:r w:rsidRPr="008967CE">
        <w:rPr>
          <w:rFonts w:ascii="Arial Narrow" w:hAnsi="Arial Narrow"/>
          <w:szCs w:val="22"/>
          <w:lang w:val="es-CO"/>
        </w:rPr>
        <w:t>contratos de concesiones portuarios entre 2011 y 201</w:t>
      </w:r>
      <w:r w:rsidR="009B6C1A">
        <w:rPr>
          <w:rFonts w:ascii="Arial Narrow" w:hAnsi="Arial Narrow"/>
          <w:szCs w:val="22"/>
          <w:lang w:val="es-CO"/>
        </w:rPr>
        <w:t>4</w:t>
      </w:r>
      <w:r w:rsidRPr="008967CE">
        <w:rPr>
          <w:rFonts w:ascii="Arial Narrow" w:hAnsi="Arial Narrow"/>
          <w:szCs w:val="22"/>
          <w:lang w:val="es-CO"/>
        </w:rPr>
        <w:t>, en los departamentos de Bolívar, Guajira, Magdalen</w:t>
      </w:r>
      <w:r w:rsidRPr="004D6B5F">
        <w:rPr>
          <w:rFonts w:ascii="Arial Narrow" w:hAnsi="Arial Narrow"/>
          <w:szCs w:val="22"/>
          <w:lang w:val="es-CO"/>
        </w:rPr>
        <w:t>a, Nariño y Valle del Cauca y en proceso se encuentran 27 iniciativas portuarias. La ANI espera mantener el ritmo de inversión en las zonas portuarias desarrolladas (Guajira, Santa Marta, Cartagena, Golfo de Morrosquillo y Buenaventura) por aprox. US$ 400 millones año. Y de igual forma, se propone consolidar la actividad portuaria en las zonas de Urabá y Tumaco.</w:t>
      </w:r>
    </w:p>
    <w:p w:rsidR="00A15BF5" w:rsidRPr="001A410D" w:rsidRDefault="00A15BF5" w:rsidP="001A410D">
      <w:pPr>
        <w:spacing w:before="120" w:after="120" w:line="276" w:lineRule="auto"/>
        <w:rPr>
          <w:rFonts w:ascii="Arial Narrow" w:hAnsi="Arial Narrow"/>
          <w:szCs w:val="22"/>
          <w:lang w:val="es-CO"/>
        </w:rPr>
      </w:pPr>
    </w:p>
    <w:p w:rsidR="00A15BF5" w:rsidRPr="004D6B5F" w:rsidRDefault="00942F7A" w:rsidP="004D6B5F">
      <w:pPr>
        <w:pStyle w:val="Ttulo3"/>
        <w:numPr>
          <w:ilvl w:val="3"/>
          <w:numId w:val="2"/>
        </w:numPr>
        <w:rPr>
          <w:rFonts w:ascii="Arial Narrow" w:hAnsi="Arial Narrow"/>
        </w:rPr>
      </w:pPr>
      <w:bookmarkStart w:id="29" w:name="_Toc410922154"/>
      <w:r>
        <w:rPr>
          <w:rFonts w:ascii="Arial Narrow" w:hAnsi="Arial Narrow"/>
        </w:rPr>
        <w:t xml:space="preserve">Ampliación Capacidad </w:t>
      </w:r>
      <w:r w:rsidR="00A15BF5" w:rsidRPr="004D6B5F">
        <w:rPr>
          <w:rFonts w:ascii="Arial Narrow" w:hAnsi="Arial Narrow"/>
        </w:rPr>
        <w:t>Aeroportuaria</w:t>
      </w:r>
      <w:bookmarkEnd w:id="29"/>
    </w:p>
    <w:p w:rsidR="00A15BF5" w:rsidRDefault="00CA6D14" w:rsidP="001A410D">
      <w:pPr>
        <w:spacing w:before="120" w:after="120" w:line="276" w:lineRule="auto"/>
        <w:rPr>
          <w:rFonts w:ascii="Arial Narrow" w:hAnsi="Arial Narrow"/>
          <w:szCs w:val="22"/>
          <w:lang w:val="es-CO"/>
        </w:rPr>
      </w:pPr>
      <w:r>
        <w:rPr>
          <w:rFonts w:ascii="Arial Narrow" w:hAnsi="Arial Narrow"/>
          <w:szCs w:val="22"/>
          <w:lang w:val="es-CO"/>
        </w:rPr>
        <w:t xml:space="preserve">A final de diciembre se realizó la adjudicación del </w:t>
      </w:r>
      <w:r w:rsidR="00A15BF5" w:rsidRPr="004D6B5F">
        <w:rPr>
          <w:rFonts w:ascii="Arial Narrow" w:hAnsi="Arial Narrow"/>
          <w:szCs w:val="22"/>
          <w:lang w:val="es-CO"/>
        </w:rPr>
        <w:t xml:space="preserve">proceso licitatorio </w:t>
      </w:r>
      <w:r>
        <w:rPr>
          <w:rFonts w:ascii="Arial Narrow" w:hAnsi="Arial Narrow"/>
          <w:szCs w:val="22"/>
          <w:lang w:val="es-CO"/>
        </w:rPr>
        <w:t xml:space="preserve">para el aeropuerto de </w:t>
      </w:r>
      <w:r w:rsidR="00A15BF5" w:rsidRPr="004D6B5F">
        <w:rPr>
          <w:rFonts w:ascii="Arial Narrow" w:hAnsi="Arial Narrow"/>
          <w:szCs w:val="22"/>
          <w:lang w:val="es-CO"/>
        </w:rPr>
        <w:t>Barranquilla</w:t>
      </w:r>
      <w:r>
        <w:rPr>
          <w:rFonts w:ascii="Arial Narrow" w:hAnsi="Arial Narrow"/>
          <w:szCs w:val="22"/>
          <w:lang w:val="es-CO"/>
        </w:rPr>
        <w:t xml:space="preserve"> al concesionario Aeropuertos de Colombia, con inversiones por $345,453 millones</w:t>
      </w:r>
      <w:r w:rsidR="00265BD4">
        <w:rPr>
          <w:rFonts w:ascii="Arial Narrow" w:hAnsi="Arial Narrow"/>
          <w:szCs w:val="22"/>
          <w:lang w:val="es-CO"/>
        </w:rPr>
        <w:t xml:space="preserve"> a la EP </w:t>
      </w:r>
      <w:r w:rsidR="00265BD4" w:rsidRPr="00265BD4">
        <w:rPr>
          <w:rFonts w:ascii="Arial Narrow" w:hAnsi="Arial Narrow"/>
          <w:szCs w:val="22"/>
          <w:lang w:val="es-CO"/>
        </w:rPr>
        <w:t>Concesionaria Aeropuertos Colombia SPV, integrado por Valorcon, Equipo Universal e Inversiones Millenium Azipo</w:t>
      </w:r>
      <w:r>
        <w:rPr>
          <w:rFonts w:ascii="Arial Narrow" w:hAnsi="Arial Narrow"/>
          <w:szCs w:val="22"/>
          <w:lang w:val="es-CO"/>
        </w:rPr>
        <w:t xml:space="preserve">. Por otra parte, la licitación para los aeropuertos de </w:t>
      </w:r>
      <w:r w:rsidR="00A15BF5" w:rsidRPr="004D6B5F">
        <w:rPr>
          <w:rFonts w:ascii="Arial Narrow" w:hAnsi="Arial Narrow"/>
          <w:szCs w:val="22"/>
          <w:lang w:val="es-CO"/>
        </w:rPr>
        <w:t>Neiva, Armenia y Popayán</w:t>
      </w:r>
      <w:r>
        <w:rPr>
          <w:rFonts w:ascii="Arial Narrow" w:hAnsi="Arial Narrow"/>
          <w:szCs w:val="22"/>
          <w:lang w:val="es-CO"/>
        </w:rPr>
        <w:t>, con inversiones previstas de $250,000 millones,</w:t>
      </w:r>
      <w:r w:rsidR="00A15BF5" w:rsidRPr="004D6B5F">
        <w:rPr>
          <w:rFonts w:ascii="Arial Narrow" w:hAnsi="Arial Narrow"/>
          <w:szCs w:val="22"/>
          <w:lang w:val="es-CO"/>
        </w:rPr>
        <w:t xml:space="preserve"> </w:t>
      </w:r>
      <w:r>
        <w:rPr>
          <w:rFonts w:ascii="Arial Narrow" w:hAnsi="Arial Narrow"/>
          <w:szCs w:val="22"/>
          <w:lang w:val="es-CO"/>
        </w:rPr>
        <w:t>fue declarada desierto, por lo cual se abrirá un nuevo proceso en el 2015.</w:t>
      </w:r>
    </w:p>
    <w:p w:rsidR="00065C31" w:rsidRPr="004D6B5F" w:rsidRDefault="00065C31" w:rsidP="001A410D">
      <w:pPr>
        <w:spacing w:before="120" w:after="120" w:line="276" w:lineRule="auto"/>
        <w:rPr>
          <w:rFonts w:ascii="Arial Narrow" w:hAnsi="Arial Narrow"/>
          <w:szCs w:val="22"/>
          <w:lang w:val="es-CO"/>
        </w:rPr>
      </w:pPr>
      <w:r>
        <w:rPr>
          <w:rFonts w:ascii="Arial Narrow" w:hAnsi="Arial Narrow"/>
          <w:szCs w:val="22"/>
          <w:lang w:val="es-CO"/>
        </w:rPr>
        <w:t xml:space="preserve">Igualmente </w:t>
      </w:r>
      <w:r w:rsidR="00265BD4">
        <w:rPr>
          <w:rFonts w:ascii="Arial Narrow" w:hAnsi="Arial Narrow"/>
          <w:szCs w:val="22"/>
          <w:lang w:val="es-CO"/>
        </w:rPr>
        <w:t>e</w:t>
      </w:r>
      <w:r w:rsidRPr="004D6B5F">
        <w:rPr>
          <w:rFonts w:ascii="Arial Narrow" w:hAnsi="Arial Narrow"/>
          <w:szCs w:val="22"/>
          <w:lang w:val="es-CO"/>
        </w:rPr>
        <w:t xml:space="preserve">n concesiones </w:t>
      </w:r>
      <w:r>
        <w:rPr>
          <w:rFonts w:ascii="Arial Narrow" w:hAnsi="Arial Narrow"/>
          <w:szCs w:val="22"/>
          <w:lang w:val="es-CO"/>
        </w:rPr>
        <w:t>a</w:t>
      </w:r>
      <w:r w:rsidRPr="004D6B5F">
        <w:rPr>
          <w:rFonts w:ascii="Arial Narrow" w:hAnsi="Arial Narrow"/>
          <w:szCs w:val="22"/>
          <w:lang w:val="es-CO"/>
        </w:rPr>
        <w:t>eroportuar</w:t>
      </w:r>
      <w:r w:rsidR="00265BD4">
        <w:rPr>
          <w:rFonts w:ascii="Arial Narrow" w:hAnsi="Arial Narrow"/>
          <w:szCs w:val="22"/>
          <w:lang w:val="es-CO"/>
        </w:rPr>
        <w:t>ias se realizaron grandes obras</w:t>
      </w:r>
      <w:r w:rsidRPr="004D6B5F">
        <w:rPr>
          <w:rFonts w:ascii="Arial Narrow" w:hAnsi="Arial Narrow"/>
          <w:szCs w:val="22"/>
          <w:lang w:val="es-CO"/>
        </w:rPr>
        <w:t xml:space="preserve"> como la puesta en servicio del nuevo muelle internacional y nacional del Aeropuerto El Dorado</w:t>
      </w:r>
      <w:r w:rsidR="00265BD4">
        <w:rPr>
          <w:rFonts w:ascii="Arial Narrow" w:hAnsi="Arial Narrow"/>
          <w:szCs w:val="22"/>
          <w:lang w:val="es-CO"/>
        </w:rPr>
        <w:t>,</w:t>
      </w:r>
      <w:r w:rsidRPr="004D6B5F">
        <w:rPr>
          <w:rFonts w:ascii="Arial Narrow" w:hAnsi="Arial Narrow"/>
          <w:szCs w:val="22"/>
          <w:lang w:val="es-CO"/>
        </w:rPr>
        <w:t xml:space="preserve"> y el mejoramiento </w:t>
      </w:r>
      <w:r w:rsidR="00265BD4">
        <w:rPr>
          <w:rFonts w:ascii="Arial Narrow" w:hAnsi="Arial Narrow"/>
          <w:szCs w:val="22"/>
          <w:lang w:val="es-CO"/>
        </w:rPr>
        <w:t xml:space="preserve">de la terminal de pasajeros VIP en </w:t>
      </w:r>
      <w:r w:rsidRPr="004D6B5F">
        <w:rPr>
          <w:rFonts w:ascii="Arial Narrow" w:hAnsi="Arial Narrow"/>
          <w:szCs w:val="22"/>
          <w:lang w:val="es-CO"/>
        </w:rPr>
        <w:t>el Aeropuerto de Cartagena</w:t>
      </w:r>
      <w:r>
        <w:rPr>
          <w:rFonts w:ascii="Arial Narrow" w:hAnsi="Arial Narrow"/>
          <w:szCs w:val="22"/>
          <w:lang w:val="es-CO"/>
        </w:rPr>
        <w:t xml:space="preserve">. </w:t>
      </w:r>
      <w:r w:rsidR="00265BD4">
        <w:rPr>
          <w:rFonts w:ascii="Arial Narrow" w:hAnsi="Arial Narrow"/>
          <w:szCs w:val="22"/>
          <w:lang w:val="es-CO"/>
        </w:rPr>
        <w:t>Adicionalmente s</w:t>
      </w:r>
      <w:r>
        <w:rPr>
          <w:rFonts w:ascii="Arial Narrow" w:hAnsi="Arial Narrow"/>
          <w:szCs w:val="22"/>
          <w:lang w:val="es-CO"/>
        </w:rPr>
        <w:t>e contrataron las ampliaciones en los aeropuertos de Centronorte</w:t>
      </w:r>
      <w:r w:rsidR="00B83352">
        <w:rPr>
          <w:rFonts w:ascii="Arial Narrow" w:hAnsi="Arial Narrow"/>
          <w:szCs w:val="22"/>
          <w:lang w:val="es-CO"/>
        </w:rPr>
        <w:t xml:space="preserve"> (ampliación de pistas y Plataforma en Quibdó)</w:t>
      </w:r>
      <w:r>
        <w:rPr>
          <w:rFonts w:ascii="Arial Narrow" w:hAnsi="Arial Narrow"/>
          <w:szCs w:val="22"/>
          <w:lang w:val="es-CO"/>
        </w:rPr>
        <w:t xml:space="preserve"> y Nororiente</w:t>
      </w:r>
      <w:r w:rsidR="00B83352">
        <w:rPr>
          <w:rFonts w:ascii="Arial Narrow" w:hAnsi="Arial Narrow"/>
          <w:szCs w:val="22"/>
          <w:lang w:val="es-CO"/>
        </w:rPr>
        <w:t xml:space="preserve"> (obras de climatización y </w:t>
      </w:r>
      <w:r w:rsidR="00265BD4">
        <w:rPr>
          <w:rFonts w:ascii="Arial Narrow" w:hAnsi="Arial Narrow"/>
          <w:szCs w:val="22"/>
          <w:lang w:val="es-CO"/>
        </w:rPr>
        <w:t>ampliación de la terminal de Santa Marta</w:t>
      </w:r>
      <w:r w:rsidR="00B83352">
        <w:rPr>
          <w:rFonts w:ascii="Arial Narrow" w:hAnsi="Arial Narrow"/>
          <w:szCs w:val="22"/>
          <w:lang w:val="es-CO"/>
        </w:rPr>
        <w:t>)</w:t>
      </w:r>
      <w:r w:rsidR="00265BD4">
        <w:rPr>
          <w:rFonts w:ascii="Arial Narrow" w:hAnsi="Arial Narrow"/>
          <w:szCs w:val="22"/>
          <w:lang w:val="es-CO"/>
        </w:rPr>
        <w:t>.</w:t>
      </w:r>
    </w:p>
    <w:p w:rsidR="00A15BF5" w:rsidRPr="001A410D" w:rsidRDefault="00A15BF5" w:rsidP="001A410D">
      <w:pPr>
        <w:spacing w:before="120" w:after="120" w:line="276" w:lineRule="auto"/>
        <w:rPr>
          <w:rFonts w:ascii="Arial Narrow" w:hAnsi="Arial Narrow"/>
          <w:szCs w:val="22"/>
          <w:lang w:val="es-CO"/>
        </w:rPr>
      </w:pPr>
    </w:p>
    <w:p w:rsidR="00A15BF5" w:rsidRPr="004D6B5F" w:rsidRDefault="00A15BF5" w:rsidP="004D6B5F">
      <w:pPr>
        <w:pStyle w:val="Ttulo2"/>
        <w:rPr>
          <w:rFonts w:ascii="Arial Narrow" w:hAnsi="Arial Narrow"/>
          <w:i w:val="0"/>
        </w:rPr>
      </w:pPr>
      <w:bookmarkStart w:id="30" w:name="_Toc410922155"/>
      <w:r w:rsidRPr="004D6B5F">
        <w:rPr>
          <w:rFonts w:ascii="Arial Narrow" w:hAnsi="Arial Narrow"/>
          <w:i w:val="0"/>
        </w:rPr>
        <w:t>IMPACTO MACROECONÓMICO</w:t>
      </w:r>
      <w:bookmarkEnd w:id="30"/>
    </w:p>
    <w:p w:rsidR="00A15BF5" w:rsidRPr="001A410D" w:rsidRDefault="00A15BF5" w:rsidP="001A410D">
      <w:pPr>
        <w:spacing w:before="120" w:after="120" w:line="276" w:lineRule="auto"/>
        <w:rPr>
          <w:rFonts w:ascii="Arial Narrow" w:hAnsi="Arial Narrow"/>
          <w:szCs w:val="22"/>
          <w:lang w:val="es-CO"/>
        </w:rPr>
      </w:pPr>
    </w:p>
    <w:p w:rsidR="00A15BF5" w:rsidRPr="004D6B5F" w:rsidRDefault="00A15BF5" w:rsidP="004D6B5F">
      <w:pPr>
        <w:pStyle w:val="Ttulo3"/>
        <w:rPr>
          <w:rFonts w:ascii="Arial Narrow" w:hAnsi="Arial Narrow"/>
        </w:rPr>
      </w:pPr>
      <w:bookmarkStart w:id="31" w:name="_Toc410922156"/>
      <w:r w:rsidRPr="004D6B5F">
        <w:rPr>
          <w:rFonts w:ascii="Arial Narrow" w:hAnsi="Arial Narrow"/>
        </w:rPr>
        <w:t>Inversión Sectorial</w:t>
      </w:r>
      <w:bookmarkEnd w:id="31"/>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El sector transporte (Ministerio de Transporte, INVIAS, ANI, AEROCIVIL) aceleró la inversión en infraestructura pasando d</w:t>
      </w:r>
      <w:r w:rsidRPr="00D130DE">
        <w:rPr>
          <w:rFonts w:ascii="Arial Narrow" w:hAnsi="Arial Narrow"/>
          <w:szCs w:val="22"/>
          <w:lang w:val="es-CO"/>
        </w:rPr>
        <w:t xml:space="preserve">e un presupuesto sectorial de </w:t>
      </w:r>
      <w:r w:rsidR="00B128BF" w:rsidRPr="00D130DE">
        <w:rPr>
          <w:rFonts w:ascii="Arial Narrow" w:hAnsi="Arial Narrow"/>
          <w:szCs w:val="22"/>
          <w:lang w:val="es-CO"/>
        </w:rPr>
        <w:t>$</w:t>
      </w:r>
      <w:r w:rsidRPr="00D130DE">
        <w:rPr>
          <w:rFonts w:ascii="Arial Narrow" w:hAnsi="Arial Narrow"/>
          <w:szCs w:val="22"/>
          <w:lang w:val="es-CO"/>
        </w:rPr>
        <w:t>3,</w:t>
      </w:r>
      <w:r w:rsidR="008476CE" w:rsidRPr="00D130DE">
        <w:rPr>
          <w:rFonts w:ascii="Arial Narrow" w:hAnsi="Arial Narrow"/>
          <w:szCs w:val="22"/>
          <w:lang w:val="es-CO"/>
        </w:rPr>
        <w:t>5</w:t>
      </w:r>
      <w:r w:rsidRPr="00D130DE">
        <w:rPr>
          <w:rFonts w:ascii="Arial Narrow" w:hAnsi="Arial Narrow"/>
          <w:szCs w:val="22"/>
          <w:lang w:val="es-CO"/>
        </w:rPr>
        <w:t xml:space="preserve"> billones en el 2010 a cerca de </w:t>
      </w:r>
      <w:r w:rsidR="00B128BF" w:rsidRPr="00D130DE">
        <w:rPr>
          <w:rFonts w:ascii="Arial Narrow" w:hAnsi="Arial Narrow"/>
          <w:szCs w:val="22"/>
          <w:lang w:val="es-CO"/>
        </w:rPr>
        <w:t>$</w:t>
      </w:r>
      <w:r w:rsidRPr="00D130DE">
        <w:rPr>
          <w:rFonts w:ascii="Arial Narrow" w:hAnsi="Arial Narrow"/>
          <w:szCs w:val="22"/>
          <w:lang w:val="es-CO"/>
        </w:rPr>
        <w:t>8,</w:t>
      </w:r>
      <w:r w:rsidR="008476CE" w:rsidRPr="00D130DE">
        <w:rPr>
          <w:rFonts w:ascii="Arial Narrow" w:hAnsi="Arial Narrow"/>
          <w:szCs w:val="22"/>
          <w:lang w:val="es-CO"/>
        </w:rPr>
        <w:t>2</w:t>
      </w:r>
      <w:r w:rsidRPr="00D130DE">
        <w:rPr>
          <w:rFonts w:ascii="Arial Narrow" w:hAnsi="Arial Narrow"/>
          <w:szCs w:val="22"/>
          <w:lang w:val="es-CO"/>
        </w:rPr>
        <w:t xml:space="preserve"> billones en el 2013,</w:t>
      </w:r>
      <w:r w:rsidR="00D130DE" w:rsidRPr="00D130DE">
        <w:rPr>
          <w:rFonts w:ascii="Arial Narrow" w:hAnsi="Arial Narrow"/>
          <w:szCs w:val="22"/>
          <w:lang w:val="es-CO"/>
        </w:rPr>
        <w:t xml:space="preserve"> y $7.0 billones en</w:t>
      </w:r>
      <w:r w:rsidR="00D130DE">
        <w:rPr>
          <w:rFonts w:ascii="Arial Narrow" w:hAnsi="Arial Narrow"/>
          <w:szCs w:val="22"/>
          <w:lang w:val="es-CO"/>
        </w:rPr>
        <w:t xml:space="preserve"> 2014,</w:t>
      </w:r>
      <w:r w:rsidRPr="004D6B5F">
        <w:rPr>
          <w:rFonts w:ascii="Arial Narrow" w:hAnsi="Arial Narrow"/>
          <w:szCs w:val="22"/>
          <w:lang w:val="es-CO"/>
        </w:rPr>
        <w:t xml:space="preserve"> lo cual se traduce que en el 2010 se invertía 0,6% del PIB en infraestructura y en la actualid</w:t>
      </w:r>
      <w:r w:rsidR="00942F7A">
        <w:rPr>
          <w:rFonts w:ascii="Arial Narrow" w:hAnsi="Arial Narrow"/>
          <w:szCs w:val="22"/>
          <w:lang w:val="es-CO"/>
        </w:rPr>
        <w:t>ad se invierte un 1,2% del PIB.</w:t>
      </w:r>
    </w:p>
    <w:p w:rsidR="00A15BF5" w:rsidRDefault="00A15BF5" w:rsidP="001A410D">
      <w:pPr>
        <w:spacing w:before="120" w:after="120" w:line="276" w:lineRule="auto"/>
        <w:rPr>
          <w:rFonts w:ascii="Arial Narrow" w:hAnsi="Arial Narrow"/>
          <w:szCs w:val="22"/>
          <w:lang w:val="es-CO"/>
        </w:rPr>
      </w:pPr>
      <w:r w:rsidRPr="00D130DE">
        <w:rPr>
          <w:rFonts w:ascii="Arial Narrow" w:hAnsi="Arial Narrow"/>
          <w:szCs w:val="22"/>
          <w:lang w:val="es-CO"/>
        </w:rPr>
        <w:t>En promedio durante el periodo 2011-201</w:t>
      </w:r>
      <w:r w:rsidR="00D130DE" w:rsidRPr="00D130DE">
        <w:rPr>
          <w:rFonts w:ascii="Arial Narrow" w:hAnsi="Arial Narrow"/>
          <w:szCs w:val="22"/>
          <w:lang w:val="es-CO"/>
        </w:rPr>
        <w:t>4</w:t>
      </w:r>
      <w:r w:rsidRPr="00D130DE">
        <w:rPr>
          <w:rFonts w:ascii="Arial Narrow" w:hAnsi="Arial Narrow"/>
          <w:szCs w:val="22"/>
          <w:lang w:val="es-CO"/>
        </w:rPr>
        <w:t xml:space="preserve"> anualmente se invirtieron </w:t>
      </w:r>
      <w:r w:rsidR="00B128BF" w:rsidRPr="00D130DE">
        <w:rPr>
          <w:rFonts w:ascii="Arial Narrow" w:hAnsi="Arial Narrow"/>
          <w:szCs w:val="22"/>
          <w:lang w:val="es-CO"/>
        </w:rPr>
        <w:t>$</w:t>
      </w:r>
      <w:r w:rsidR="00D130DE" w:rsidRPr="00D130DE">
        <w:rPr>
          <w:rFonts w:ascii="Arial Narrow" w:hAnsi="Arial Narrow"/>
          <w:szCs w:val="22"/>
          <w:lang w:val="es-CO"/>
        </w:rPr>
        <w:t>6.9</w:t>
      </w:r>
      <w:r w:rsidRPr="00D130DE">
        <w:rPr>
          <w:rFonts w:ascii="Arial Narrow" w:hAnsi="Arial Narrow"/>
          <w:szCs w:val="22"/>
          <w:lang w:val="es-CO"/>
        </w:rPr>
        <w:t xml:space="preserve"> billones en infraestructura de</w:t>
      </w:r>
      <w:r w:rsidRPr="004D6B5F">
        <w:rPr>
          <w:rFonts w:ascii="Arial Narrow" w:hAnsi="Arial Narrow"/>
          <w:szCs w:val="22"/>
          <w:lang w:val="es-CO"/>
        </w:rPr>
        <w:t xml:space="preserve"> transporte y servicios conexos, en comparación en el periodo 2002 – 2012 en promedio se invirtieron </w:t>
      </w:r>
      <w:r w:rsidR="00B128BF">
        <w:rPr>
          <w:rFonts w:ascii="Arial Narrow" w:hAnsi="Arial Narrow"/>
          <w:szCs w:val="22"/>
          <w:lang w:val="es-CO"/>
        </w:rPr>
        <w:t>$</w:t>
      </w:r>
      <w:r w:rsidRPr="004D6B5F">
        <w:rPr>
          <w:rFonts w:ascii="Arial Narrow" w:hAnsi="Arial Narrow"/>
          <w:szCs w:val="22"/>
          <w:lang w:val="es-CO"/>
        </w:rPr>
        <w:t xml:space="preserve">2.2 billones anuales (ver gráfico No. 8). De igual forma, la ejecución presupuestal del sector pasó de 49% en el 2002 a </w:t>
      </w:r>
      <w:r w:rsidR="00B83352">
        <w:rPr>
          <w:rFonts w:ascii="Arial Narrow" w:hAnsi="Arial Narrow"/>
          <w:szCs w:val="22"/>
          <w:lang w:val="es-CO"/>
        </w:rPr>
        <w:t>89.2</w:t>
      </w:r>
      <w:r w:rsidRPr="004D6B5F">
        <w:rPr>
          <w:rFonts w:ascii="Arial Narrow" w:hAnsi="Arial Narrow"/>
          <w:szCs w:val="22"/>
          <w:lang w:val="es-CO"/>
        </w:rPr>
        <w:t>% en el 201</w:t>
      </w:r>
      <w:r w:rsidR="00AD4557">
        <w:rPr>
          <w:rFonts w:ascii="Arial Narrow" w:hAnsi="Arial Narrow"/>
          <w:szCs w:val="22"/>
          <w:lang w:val="es-CO"/>
        </w:rPr>
        <w:t>4</w:t>
      </w:r>
      <w:r w:rsidRPr="004D6B5F">
        <w:rPr>
          <w:rFonts w:ascii="Arial Narrow" w:hAnsi="Arial Narrow"/>
          <w:szCs w:val="22"/>
          <w:lang w:val="es-CO"/>
        </w:rPr>
        <w:t>.</w:t>
      </w:r>
    </w:p>
    <w:p w:rsidR="00B83352" w:rsidRDefault="00B83352">
      <w:pPr>
        <w:jc w:val="left"/>
        <w:rPr>
          <w:rFonts w:ascii="Arial Narrow" w:hAnsi="Arial Narrow"/>
          <w:szCs w:val="22"/>
          <w:lang w:val="es-CO"/>
        </w:rPr>
      </w:pPr>
      <w:r>
        <w:rPr>
          <w:rFonts w:ascii="Arial Narrow" w:hAnsi="Arial Narrow"/>
          <w:szCs w:val="22"/>
          <w:lang w:val="es-CO"/>
        </w:rPr>
        <w:br w:type="page"/>
      </w:r>
    </w:p>
    <w:p w:rsidR="00B83352" w:rsidRPr="004D6B5F" w:rsidRDefault="00B83352" w:rsidP="001A410D">
      <w:pPr>
        <w:spacing w:before="120" w:after="120" w:line="276" w:lineRule="auto"/>
        <w:rPr>
          <w:rFonts w:ascii="Arial Narrow" w:hAnsi="Arial Narrow"/>
          <w:szCs w:val="22"/>
          <w:lang w:val="es-CO"/>
        </w:rPr>
      </w:pPr>
    </w:p>
    <w:p w:rsidR="00A15BF5" w:rsidRPr="004D6B5F" w:rsidRDefault="00A15BF5" w:rsidP="00A15BF5">
      <w:pPr>
        <w:autoSpaceDE w:val="0"/>
        <w:autoSpaceDN w:val="0"/>
        <w:adjustRightInd w:val="0"/>
        <w:jc w:val="center"/>
        <w:rPr>
          <w:rFonts w:ascii="Arial Narrow" w:hAnsi="Arial Narrow" w:cs="Calibri"/>
          <w:b/>
          <w:bCs/>
          <w:sz w:val="20"/>
          <w:szCs w:val="20"/>
        </w:rPr>
      </w:pPr>
      <w:r w:rsidRPr="004D6B5F">
        <w:rPr>
          <w:rFonts w:ascii="Arial Narrow" w:hAnsi="Arial Narrow" w:cs="Calibri"/>
          <w:b/>
          <w:bCs/>
          <w:sz w:val="20"/>
          <w:szCs w:val="20"/>
        </w:rPr>
        <w:t>Gráfico No. 8</w:t>
      </w:r>
    </w:p>
    <w:p w:rsidR="00A15BF5" w:rsidRPr="004D6B5F" w:rsidRDefault="00A15BF5" w:rsidP="00A15BF5">
      <w:pPr>
        <w:autoSpaceDE w:val="0"/>
        <w:autoSpaceDN w:val="0"/>
        <w:adjustRightInd w:val="0"/>
        <w:jc w:val="center"/>
        <w:rPr>
          <w:rFonts w:ascii="Arial Narrow" w:hAnsi="Arial Narrow" w:cs="Calibri"/>
          <w:b/>
          <w:bCs/>
          <w:sz w:val="20"/>
          <w:szCs w:val="20"/>
        </w:rPr>
      </w:pPr>
      <w:r w:rsidRPr="004D6B5F">
        <w:rPr>
          <w:rFonts w:ascii="Arial Narrow" w:hAnsi="Arial Narrow" w:cs="Calibri"/>
          <w:b/>
          <w:bCs/>
          <w:sz w:val="20"/>
          <w:szCs w:val="20"/>
        </w:rPr>
        <w:t>Apropiación Presupuestal Sector Transporte 2002-2014</w:t>
      </w:r>
    </w:p>
    <w:p w:rsidR="00A15BF5" w:rsidRPr="004D6B5F" w:rsidRDefault="00796D6C" w:rsidP="004D6B5F">
      <w:pPr>
        <w:autoSpaceDE w:val="0"/>
        <w:autoSpaceDN w:val="0"/>
        <w:adjustRightInd w:val="0"/>
        <w:jc w:val="center"/>
        <w:rPr>
          <w:rFonts w:ascii="Arial Narrow" w:hAnsi="Arial Narrow" w:cs="Calibri"/>
          <w:b/>
          <w:bCs/>
        </w:rPr>
      </w:pPr>
      <w:r w:rsidRPr="004D6B5F">
        <w:rPr>
          <w:rFonts w:ascii="Arial Narrow" w:hAnsi="Arial Narrow"/>
          <w:noProof/>
          <w:lang w:val="es-CO" w:eastAsia="es-CO"/>
        </w:rPr>
        <w:drawing>
          <wp:inline distT="0" distB="0" distL="0" distR="0" wp14:anchorId="477350A7" wp14:editId="2DE9DEAD">
            <wp:extent cx="4137660" cy="1989455"/>
            <wp:effectExtent l="0" t="0" r="15240" b="10795"/>
            <wp:docPr id="8" name="2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5BF5" w:rsidRPr="004D6B5F" w:rsidRDefault="00A15BF5" w:rsidP="00065C31">
      <w:pPr>
        <w:autoSpaceDE w:val="0"/>
        <w:autoSpaceDN w:val="0"/>
        <w:adjustRightInd w:val="0"/>
        <w:ind w:left="362" w:firstLine="709"/>
        <w:rPr>
          <w:rFonts w:ascii="Arial Narrow" w:hAnsi="Arial Narrow" w:cs="Calibri"/>
          <w:bCs/>
          <w:i/>
        </w:rPr>
      </w:pPr>
      <w:r w:rsidRPr="004D6B5F">
        <w:rPr>
          <w:rFonts w:ascii="Arial Narrow" w:hAnsi="Arial Narrow" w:cs="Calibri"/>
          <w:bCs/>
          <w:i/>
          <w:sz w:val="18"/>
        </w:rPr>
        <w:t>Fuente: Ministerio de Transporte (Cifras en millones de pesos)</w:t>
      </w:r>
    </w:p>
    <w:p w:rsidR="00A15BF5" w:rsidRDefault="00A15BF5" w:rsidP="00B83352">
      <w:pPr>
        <w:pStyle w:val="Listavistosa-nfasis12"/>
        <w:autoSpaceDE w:val="0"/>
        <w:autoSpaceDN w:val="0"/>
        <w:adjustRightInd w:val="0"/>
        <w:spacing w:after="0" w:line="240" w:lineRule="auto"/>
        <w:ind w:left="0"/>
        <w:jc w:val="both"/>
        <w:rPr>
          <w:rFonts w:ascii="Arial Narrow" w:hAnsi="Arial Narrow" w:cs="Calibri"/>
          <w:bCs/>
        </w:rPr>
      </w:pPr>
    </w:p>
    <w:p w:rsidR="00B83352" w:rsidRPr="004D6B5F" w:rsidRDefault="00B83352" w:rsidP="00B83352">
      <w:pPr>
        <w:pStyle w:val="Ttulo3"/>
        <w:rPr>
          <w:rFonts w:ascii="Arial Narrow" w:hAnsi="Arial Narrow"/>
        </w:rPr>
      </w:pPr>
      <w:bookmarkStart w:id="32" w:name="_Toc410922157"/>
      <w:r w:rsidRPr="004D6B5F">
        <w:rPr>
          <w:rFonts w:ascii="Arial Narrow" w:hAnsi="Arial Narrow"/>
        </w:rPr>
        <w:t xml:space="preserve">Inversión </w:t>
      </w:r>
      <w:r>
        <w:rPr>
          <w:rFonts w:ascii="Arial Narrow" w:hAnsi="Arial Narrow"/>
        </w:rPr>
        <w:t>Entidad</w:t>
      </w:r>
      <w:bookmarkEnd w:id="32"/>
    </w:p>
    <w:p w:rsidR="00B83352" w:rsidRDefault="00B83352" w:rsidP="00B83352">
      <w:pPr>
        <w:spacing w:before="120" w:after="120" w:line="276" w:lineRule="auto"/>
        <w:rPr>
          <w:rFonts w:ascii="Arial Narrow" w:hAnsi="Arial Narrow"/>
          <w:szCs w:val="22"/>
          <w:lang w:val="es-CO"/>
        </w:rPr>
      </w:pPr>
      <w:r>
        <w:rPr>
          <w:rFonts w:ascii="Arial Narrow" w:hAnsi="Arial Narrow"/>
          <w:szCs w:val="22"/>
          <w:lang w:val="es-CO"/>
        </w:rPr>
        <w:t>La ANI comprometió en el 2014 el 95.2% de su presupuesto total, mejorando su ritmo de ejecución frente a otras entidades del sector</w:t>
      </w:r>
      <w:r w:rsidR="00171C45">
        <w:rPr>
          <w:rFonts w:ascii="Arial Narrow" w:hAnsi="Arial Narrow"/>
          <w:szCs w:val="22"/>
          <w:lang w:val="es-CO"/>
        </w:rPr>
        <w:t xml:space="preserve"> y frente a ritmos de ejecución del INCO</w:t>
      </w:r>
      <w:r>
        <w:rPr>
          <w:rFonts w:ascii="Arial Narrow" w:hAnsi="Arial Narrow"/>
          <w:szCs w:val="22"/>
          <w:lang w:val="es-CO"/>
        </w:rPr>
        <w:t>, teniendo una ejecución promedio desde el 2011 del 91.5%.</w:t>
      </w:r>
    </w:p>
    <w:p w:rsidR="00171C45" w:rsidRPr="004D6B5F" w:rsidRDefault="00171C45" w:rsidP="00171C45">
      <w:pPr>
        <w:autoSpaceDE w:val="0"/>
        <w:autoSpaceDN w:val="0"/>
        <w:adjustRightInd w:val="0"/>
        <w:jc w:val="center"/>
        <w:rPr>
          <w:rFonts w:ascii="Arial Narrow" w:hAnsi="Arial Narrow" w:cs="Calibri"/>
          <w:b/>
          <w:bCs/>
          <w:sz w:val="20"/>
          <w:szCs w:val="20"/>
        </w:rPr>
      </w:pPr>
      <w:r w:rsidRPr="004D6B5F">
        <w:rPr>
          <w:rFonts w:ascii="Arial Narrow" w:hAnsi="Arial Narrow" w:cs="Calibri"/>
          <w:b/>
          <w:bCs/>
          <w:sz w:val="20"/>
          <w:szCs w:val="20"/>
        </w:rPr>
        <w:t xml:space="preserve">Gráfico No. </w:t>
      </w:r>
      <w:r>
        <w:rPr>
          <w:rFonts w:ascii="Arial Narrow" w:hAnsi="Arial Narrow" w:cs="Calibri"/>
          <w:b/>
          <w:bCs/>
          <w:sz w:val="20"/>
          <w:szCs w:val="20"/>
        </w:rPr>
        <w:t>9</w:t>
      </w:r>
    </w:p>
    <w:p w:rsidR="00171C45" w:rsidRPr="00171C45" w:rsidRDefault="00171C45" w:rsidP="00171C45">
      <w:pPr>
        <w:autoSpaceDE w:val="0"/>
        <w:autoSpaceDN w:val="0"/>
        <w:adjustRightInd w:val="0"/>
        <w:jc w:val="center"/>
        <w:rPr>
          <w:rFonts w:ascii="Arial Narrow" w:hAnsi="Arial Narrow" w:cs="Calibri"/>
          <w:b/>
          <w:bCs/>
          <w:sz w:val="20"/>
          <w:szCs w:val="20"/>
        </w:rPr>
      </w:pPr>
      <w:r>
        <w:rPr>
          <w:rFonts w:ascii="Arial Narrow" w:hAnsi="Arial Narrow" w:cs="Calibri"/>
          <w:b/>
          <w:bCs/>
          <w:sz w:val="20"/>
          <w:szCs w:val="20"/>
        </w:rPr>
        <w:t xml:space="preserve">Ejecución </w:t>
      </w:r>
      <w:r w:rsidRPr="004D6B5F">
        <w:rPr>
          <w:rFonts w:ascii="Arial Narrow" w:hAnsi="Arial Narrow" w:cs="Calibri"/>
          <w:b/>
          <w:bCs/>
          <w:sz w:val="20"/>
          <w:szCs w:val="20"/>
        </w:rPr>
        <w:t xml:space="preserve">Presupuestal </w:t>
      </w:r>
      <w:r>
        <w:rPr>
          <w:rFonts w:ascii="Arial Narrow" w:hAnsi="Arial Narrow" w:cs="Calibri"/>
          <w:b/>
          <w:bCs/>
          <w:sz w:val="20"/>
          <w:szCs w:val="20"/>
        </w:rPr>
        <w:t>ANI 2008-2014</w:t>
      </w:r>
    </w:p>
    <w:p w:rsidR="00171C45" w:rsidRDefault="00171C45" w:rsidP="00171C45">
      <w:pPr>
        <w:spacing w:before="120" w:after="120" w:line="276" w:lineRule="auto"/>
        <w:jc w:val="center"/>
        <w:rPr>
          <w:rFonts w:ascii="Arial Narrow" w:hAnsi="Arial Narrow"/>
          <w:szCs w:val="22"/>
          <w:lang w:val="es-CO"/>
        </w:rPr>
      </w:pPr>
      <w:r>
        <w:rPr>
          <w:noProof/>
          <w:lang w:val="es-CO" w:eastAsia="es-CO"/>
        </w:rPr>
        <w:drawing>
          <wp:inline distT="0" distB="0" distL="0" distR="0" wp14:anchorId="319ECDD2" wp14:editId="70C64942">
            <wp:extent cx="2943225" cy="12001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0C8B" w:rsidRDefault="00FC0C8B" w:rsidP="00B83352">
      <w:pPr>
        <w:spacing w:before="120" w:after="120" w:line="276" w:lineRule="auto"/>
        <w:rPr>
          <w:rFonts w:ascii="Arial Narrow" w:hAnsi="Arial Narrow"/>
          <w:szCs w:val="22"/>
          <w:lang w:val="es-CO"/>
        </w:rPr>
      </w:pPr>
    </w:p>
    <w:p w:rsidR="00171C45" w:rsidRDefault="00171C45" w:rsidP="00B83352">
      <w:pPr>
        <w:spacing w:before="120" w:after="120" w:line="276" w:lineRule="auto"/>
        <w:rPr>
          <w:rFonts w:ascii="Arial Narrow" w:hAnsi="Arial Narrow"/>
          <w:szCs w:val="22"/>
          <w:lang w:val="es-CO"/>
        </w:rPr>
      </w:pPr>
      <w:r>
        <w:rPr>
          <w:rFonts w:ascii="Arial Narrow" w:hAnsi="Arial Narrow"/>
          <w:szCs w:val="22"/>
          <w:lang w:val="es-CO"/>
        </w:rPr>
        <w:t>En términos generales, la ejecución de la entidad se centró en el rubro de inversión con una participación del 89.3%, seguido por Servicio a la Deuda con el 7.6% y Funcionamiento con el 3.1% La ejecución de inversión alcanzó el 94.73%, quedando comprometido el 99.42%, siendo superado por Servicio a La Deuda con el 100%</w:t>
      </w:r>
      <w:r w:rsidR="002A5588">
        <w:rPr>
          <w:rFonts w:ascii="Arial Narrow" w:hAnsi="Arial Narrow"/>
          <w:szCs w:val="22"/>
          <w:lang w:val="es-CO"/>
        </w:rPr>
        <w:t xml:space="preserve"> (ver Cuadro N° 6)</w:t>
      </w:r>
      <w:r>
        <w:rPr>
          <w:rFonts w:ascii="Arial Narrow" w:hAnsi="Arial Narrow"/>
          <w:szCs w:val="22"/>
          <w:lang w:val="es-CO"/>
        </w:rPr>
        <w:t>.</w:t>
      </w:r>
    </w:p>
    <w:p w:rsidR="00171C45" w:rsidRPr="004D6B5F" w:rsidRDefault="00171C45" w:rsidP="00171C45">
      <w:pPr>
        <w:jc w:val="center"/>
        <w:rPr>
          <w:rFonts w:ascii="Arial Narrow" w:hAnsi="Arial Narrow"/>
          <w:b/>
          <w:sz w:val="20"/>
          <w:szCs w:val="20"/>
        </w:rPr>
      </w:pPr>
      <w:r w:rsidRPr="004D6B5F">
        <w:rPr>
          <w:rFonts w:ascii="Arial Narrow" w:hAnsi="Arial Narrow"/>
          <w:b/>
          <w:sz w:val="20"/>
          <w:szCs w:val="20"/>
        </w:rPr>
        <w:t xml:space="preserve">Cuadro No. </w:t>
      </w:r>
      <w:r w:rsidR="002A5588">
        <w:rPr>
          <w:rFonts w:ascii="Arial Narrow" w:hAnsi="Arial Narrow"/>
          <w:b/>
          <w:sz w:val="20"/>
          <w:szCs w:val="20"/>
        </w:rPr>
        <w:t>6</w:t>
      </w:r>
    </w:p>
    <w:p w:rsidR="00171C45" w:rsidRDefault="00171C45" w:rsidP="00171C45">
      <w:pPr>
        <w:jc w:val="center"/>
        <w:rPr>
          <w:rFonts w:ascii="Arial Narrow" w:hAnsi="Arial Narrow"/>
          <w:b/>
          <w:sz w:val="20"/>
          <w:szCs w:val="20"/>
        </w:rPr>
      </w:pPr>
      <w:r>
        <w:rPr>
          <w:rFonts w:ascii="Arial Narrow" w:hAnsi="Arial Narrow"/>
          <w:b/>
          <w:sz w:val="20"/>
          <w:szCs w:val="20"/>
        </w:rPr>
        <w:t>Ejecución Presupuestal ANI desagregada 2014</w:t>
      </w:r>
    </w:p>
    <w:tbl>
      <w:tblPr>
        <w:tblW w:w="0" w:type="auto"/>
        <w:jc w:val="center"/>
        <w:tblCellMar>
          <w:left w:w="0" w:type="dxa"/>
          <w:right w:w="0" w:type="dxa"/>
        </w:tblCellMar>
        <w:tblLook w:val="0600" w:firstRow="0" w:lastRow="0" w:firstColumn="0" w:lastColumn="0" w:noHBand="1" w:noVBand="1"/>
      </w:tblPr>
      <w:tblGrid>
        <w:gridCol w:w="1814"/>
        <w:gridCol w:w="1304"/>
        <w:gridCol w:w="1304"/>
        <w:gridCol w:w="1021"/>
        <w:gridCol w:w="1304"/>
        <w:gridCol w:w="1021"/>
      </w:tblGrid>
      <w:tr w:rsidR="00171C45" w:rsidRPr="00171C45" w:rsidTr="00FC0C8B">
        <w:trPr>
          <w:trHeight w:val="299"/>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FC0C8B">
            <w:pPr>
              <w:spacing w:line="276" w:lineRule="auto"/>
              <w:jc w:val="center"/>
              <w:rPr>
                <w:rFonts w:ascii="Arial Narrow" w:hAnsi="Arial Narrow"/>
                <w:szCs w:val="22"/>
                <w:lang w:val="es-CO"/>
              </w:rPr>
            </w:pPr>
            <w:r w:rsidRPr="00171C45">
              <w:rPr>
                <w:rFonts w:ascii="Arial Narrow" w:hAnsi="Arial Narrow"/>
                <w:b/>
                <w:bCs/>
                <w:szCs w:val="22"/>
                <w:lang w:val="es-CO"/>
              </w:rPr>
              <w:t>Clasificación</w:t>
            </w:r>
          </w:p>
        </w:tc>
        <w:tc>
          <w:tcPr>
            <w:tcW w:w="130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FC0C8B">
            <w:pPr>
              <w:spacing w:line="276" w:lineRule="auto"/>
              <w:jc w:val="center"/>
              <w:rPr>
                <w:rFonts w:ascii="Arial Narrow" w:hAnsi="Arial Narrow"/>
                <w:szCs w:val="22"/>
                <w:lang w:val="es-CO"/>
              </w:rPr>
            </w:pPr>
            <w:r w:rsidRPr="00171C45">
              <w:rPr>
                <w:rFonts w:ascii="Arial Narrow" w:hAnsi="Arial Narrow"/>
                <w:b/>
                <w:bCs/>
                <w:szCs w:val="22"/>
                <w:lang w:val="es-CO"/>
              </w:rPr>
              <w:t>Apropiación</w:t>
            </w: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FC0C8B">
            <w:pPr>
              <w:spacing w:line="276" w:lineRule="auto"/>
              <w:jc w:val="center"/>
              <w:rPr>
                <w:rFonts w:ascii="Arial Narrow" w:hAnsi="Arial Narrow"/>
                <w:szCs w:val="22"/>
                <w:lang w:val="es-CO"/>
              </w:rPr>
            </w:pPr>
            <w:r w:rsidRPr="00171C45">
              <w:rPr>
                <w:rFonts w:ascii="Arial Narrow" w:hAnsi="Arial Narrow"/>
                <w:b/>
                <w:bCs/>
                <w:szCs w:val="22"/>
                <w:lang w:val="es-CO"/>
              </w:rPr>
              <w:t>Compromiso</w:t>
            </w: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FC0C8B">
            <w:pPr>
              <w:spacing w:line="276" w:lineRule="auto"/>
              <w:jc w:val="center"/>
              <w:rPr>
                <w:rFonts w:ascii="Arial Narrow" w:hAnsi="Arial Narrow"/>
                <w:szCs w:val="22"/>
                <w:lang w:val="es-CO"/>
              </w:rPr>
            </w:pPr>
            <w:r w:rsidRPr="00171C45">
              <w:rPr>
                <w:rFonts w:ascii="Arial Narrow" w:hAnsi="Arial Narrow"/>
                <w:b/>
                <w:bCs/>
                <w:szCs w:val="22"/>
                <w:lang w:val="es-CO"/>
              </w:rPr>
              <w:t>Obligación</w:t>
            </w:r>
          </w:p>
        </w:tc>
      </w:tr>
      <w:tr w:rsidR="00171C45" w:rsidRPr="00171C45" w:rsidTr="00FC0C8B">
        <w:trPr>
          <w:trHeight w:val="295"/>
          <w:jc w:val="center"/>
        </w:trPr>
        <w:tc>
          <w:tcPr>
            <w:tcW w:w="1814" w:type="dxa"/>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left"/>
              <w:rPr>
                <w:rFonts w:ascii="Arial Narrow" w:hAnsi="Arial Narrow"/>
                <w:szCs w:val="22"/>
                <w:lang w:val="es-CO"/>
              </w:rPr>
            </w:pPr>
            <w:r w:rsidRPr="00171C45">
              <w:rPr>
                <w:rFonts w:ascii="Arial Narrow" w:hAnsi="Arial Narrow"/>
                <w:szCs w:val="22"/>
                <w:lang w:val="es-CO"/>
              </w:rPr>
              <w:t>Funcionamiento</w:t>
            </w:r>
          </w:p>
        </w:tc>
        <w:tc>
          <w:tcPr>
            <w:tcW w:w="1304" w:type="dxa"/>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70.467</w:t>
            </w:r>
          </w:p>
        </w:tc>
        <w:tc>
          <w:tcPr>
            <w:tcW w:w="1304" w:type="dxa"/>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69.401</w:t>
            </w:r>
          </w:p>
        </w:tc>
        <w:tc>
          <w:tcPr>
            <w:tcW w:w="1021" w:type="dxa"/>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98,49%</w:t>
            </w:r>
          </w:p>
        </w:tc>
        <w:tc>
          <w:tcPr>
            <w:tcW w:w="1304" w:type="dxa"/>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68.271</w:t>
            </w:r>
          </w:p>
        </w:tc>
        <w:tc>
          <w:tcPr>
            <w:tcW w:w="1021" w:type="dxa"/>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96,88%</w:t>
            </w:r>
          </w:p>
        </w:tc>
      </w:tr>
      <w:tr w:rsidR="00171C45" w:rsidRPr="00171C45" w:rsidTr="00FC0C8B">
        <w:trPr>
          <w:trHeight w:val="299"/>
          <w:jc w:val="center"/>
        </w:trPr>
        <w:tc>
          <w:tcPr>
            <w:tcW w:w="1814" w:type="dxa"/>
            <w:tcBorders>
              <w:top w:val="nil"/>
              <w:left w:val="single" w:sz="4" w:space="0" w:color="000000"/>
              <w:bottom w:val="nil"/>
              <w:right w:val="single" w:sz="4" w:space="0" w:color="000000"/>
            </w:tcBorders>
            <w:shd w:val="clear" w:color="auto" w:fill="D9D9D9"/>
            <w:tcMar>
              <w:top w:w="11" w:type="dxa"/>
              <w:left w:w="11" w:type="dxa"/>
              <w:bottom w:w="0" w:type="dxa"/>
              <w:right w:w="11" w:type="dxa"/>
            </w:tcMar>
            <w:vAlign w:val="center"/>
            <w:hideMark/>
          </w:tcPr>
          <w:p w:rsidR="00171C45" w:rsidRPr="00171C45" w:rsidRDefault="00171C45" w:rsidP="00171C45">
            <w:pPr>
              <w:spacing w:line="276" w:lineRule="auto"/>
              <w:jc w:val="left"/>
              <w:rPr>
                <w:rFonts w:ascii="Arial Narrow" w:hAnsi="Arial Narrow"/>
                <w:szCs w:val="22"/>
                <w:lang w:val="es-CO"/>
              </w:rPr>
            </w:pPr>
            <w:r w:rsidRPr="00171C45">
              <w:rPr>
                <w:rFonts w:ascii="Arial Narrow" w:hAnsi="Arial Narrow"/>
                <w:szCs w:val="22"/>
                <w:lang w:val="es-CO"/>
              </w:rPr>
              <w:t>Inversión</w:t>
            </w:r>
          </w:p>
        </w:tc>
        <w:tc>
          <w:tcPr>
            <w:tcW w:w="1304" w:type="dxa"/>
            <w:tcBorders>
              <w:top w:val="nil"/>
              <w:left w:val="single" w:sz="4" w:space="0" w:color="000000"/>
              <w:bottom w:val="nil"/>
              <w:right w:val="single" w:sz="4" w:space="0" w:color="000000"/>
            </w:tcBorders>
            <w:shd w:val="clear" w:color="auto" w:fill="D9D9D9"/>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2.043.618</w:t>
            </w:r>
          </w:p>
        </w:tc>
        <w:tc>
          <w:tcPr>
            <w:tcW w:w="1304" w:type="dxa"/>
            <w:tcBorders>
              <w:top w:val="nil"/>
              <w:left w:val="single" w:sz="4" w:space="0" w:color="000000"/>
              <w:bottom w:val="nil"/>
              <w:right w:val="single" w:sz="4" w:space="0" w:color="000000"/>
            </w:tcBorders>
            <w:shd w:val="clear" w:color="auto" w:fill="D9D9D9"/>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2.031.722</w:t>
            </w:r>
          </w:p>
        </w:tc>
        <w:tc>
          <w:tcPr>
            <w:tcW w:w="1021" w:type="dxa"/>
            <w:tcBorders>
              <w:top w:val="nil"/>
              <w:left w:val="single" w:sz="4" w:space="0" w:color="000000"/>
              <w:bottom w:val="nil"/>
              <w:right w:val="single" w:sz="4" w:space="0" w:color="000000"/>
            </w:tcBorders>
            <w:shd w:val="clear" w:color="auto" w:fill="D9D9D9"/>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99,42%</w:t>
            </w:r>
          </w:p>
        </w:tc>
        <w:tc>
          <w:tcPr>
            <w:tcW w:w="1304" w:type="dxa"/>
            <w:tcBorders>
              <w:top w:val="nil"/>
              <w:left w:val="single" w:sz="4" w:space="0" w:color="000000"/>
              <w:bottom w:val="nil"/>
              <w:right w:val="single" w:sz="4" w:space="0" w:color="000000"/>
            </w:tcBorders>
            <w:shd w:val="clear" w:color="auto" w:fill="D9D9D9"/>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1.935.853</w:t>
            </w:r>
          </w:p>
        </w:tc>
        <w:tc>
          <w:tcPr>
            <w:tcW w:w="1021" w:type="dxa"/>
            <w:tcBorders>
              <w:top w:val="nil"/>
              <w:left w:val="single" w:sz="4" w:space="0" w:color="000000"/>
              <w:bottom w:val="nil"/>
              <w:right w:val="single" w:sz="4" w:space="0" w:color="000000"/>
            </w:tcBorders>
            <w:shd w:val="clear" w:color="auto" w:fill="D9D9D9"/>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94,73%</w:t>
            </w:r>
          </w:p>
        </w:tc>
      </w:tr>
      <w:tr w:rsidR="00171C45" w:rsidRPr="00171C45" w:rsidTr="00FC0C8B">
        <w:trPr>
          <w:trHeight w:val="299"/>
          <w:jc w:val="center"/>
        </w:trPr>
        <w:tc>
          <w:tcPr>
            <w:tcW w:w="1814" w:type="dxa"/>
            <w:tcBorders>
              <w:top w:val="nil"/>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left"/>
              <w:rPr>
                <w:rFonts w:ascii="Arial Narrow" w:hAnsi="Arial Narrow"/>
                <w:szCs w:val="22"/>
                <w:lang w:val="es-CO"/>
              </w:rPr>
            </w:pPr>
            <w:r w:rsidRPr="00171C45">
              <w:rPr>
                <w:rFonts w:ascii="Arial Narrow" w:hAnsi="Arial Narrow"/>
                <w:szCs w:val="22"/>
                <w:lang w:val="es-CO"/>
              </w:rPr>
              <w:t xml:space="preserve">Servicio de </w:t>
            </w:r>
            <w:r>
              <w:rPr>
                <w:rFonts w:ascii="Arial Narrow" w:hAnsi="Arial Narrow"/>
                <w:szCs w:val="22"/>
                <w:lang w:val="es-CO"/>
              </w:rPr>
              <w:t>D</w:t>
            </w:r>
            <w:r w:rsidRPr="00171C45">
              <w:rPr>
                <w:rFonts w:ascii="Arial Narrow" w:hAnsi="Arial Narrow"/>
                <w:szCs w:val="22"/>
                <w:lang w:val="es-CO"/>
              </w:rPr>
              <w:t>euda</w:t>
            </w:r>
          </w:p>
        </w:tc>
        <w:tc>
          <w:tcPr>
            <w:tcW w:w="1304" w:type="dxa"/>
            <w:tcBorders>
              <w:top w:val="nil"/>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173.908</w:t>
            </w:r>
          </w:p>
        </w:tc>
        <w:tc>
          <w:tcPr>
            <w:tcW w:w="1304" w:type="dxa"/>
            <w:tcBorders>
              <w:top w:val="nil"/>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173.908</w:t>
            </w:r>
          </w:p>
        </w:tc>
        <w:tc>
          <w:tcPr>
            <w:tcW w:w="1021" w:type="dxa"/>
            <w:tcBorders>
              <w:top w:val="nil"/>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100,00%</w:t>
            </w:r>
          </w:p>
        </w:tc>
        <w:tc>
          <w:tcPr>
            <w:tcW w:w="1304" w:type="dxa"/>
            <w:tcBorders>
              <w:top w:val="nil"/>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173.908</w:t>
            </w:r>
          </w:p>
        </w:tc>
        <w:tc>
          <w:tcPr>
            <w:tcW w:w="1021" w:type="dxa"/>
            <w:tcBorders>
              <w:top w:val="nil"/>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szCs w:val="22"/>
                <w:lang w:val="es-CO"/>
              </w:rPr>
              <w:t>100,00%</w:t>
            </w:r>
          </w:p>
        </w:tc>
      </w:tr>
      <w:tr w:rsidR="00FC0C8B" w:rsidRPr="00171C45" w:rsidTr="00FC0C8B">
        <w:trPr>
          <w:trHeight w:val="299"/>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171C45">
            <w:pPr>
              <w:spacing w:line="276" w:lineRule="auto"/>
              <w:rPr>
                <w:rFonts w:ascii="Arial Narrow" w:hAnsi="Arial Narrow"/>
                <w:szCs w:val="22"/>
                <w:lang w:val="es-CO"/>
              </w:rPr>
            </w:pPr>
            <w:r w:rsidRPr="00171C45">
              <w:rPr>
                <w:rFonts w:ascii="Arial Narrow" w:hAnsi="Arial Narrow"/>
                <w:b/>
                <w:bCs/>
                <w:szCs w:val="22"/>
                <w:lang w:val="es-CO"/>
              </w:rPr>
              <w:t>Total</w:t>
            </w:r>
          </w:p>
        </w:tc>
        <w:tc>
          <w:tcPr>
            <w:tcW w:w="130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b/>
                <w:bCs/>
                <w:szCs w:val="22"/>
                <w:lang w:val="es-CO"/>
              </w:rPr>
              <w:t>2.287.993</w:t>
            </w:r>
          </w:p>
        </w:tc>
        <w:tc>
          <w:tcPr>
            <w:tcW w:w="130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b/>
                <w:bCs/>
                <w:szCs w:val="22"/>
                <w:lang w:val="es-CO"/>
              </w:rPr>
              <w:t>2.275.031</w:t>
            </w:r>
          </w:p>
        </w:tc>
        <w:tc>
          <w:tcPr>
            <w:tcW w:w="1021"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b/>
                <w:bCs/>
                <w:szCs w:val="22"/>
                <w:lang w:val="es-CO"/>
              </w:rPr>
              <w:t>99,43%</w:t>
            </w:r>
          </w:p>
        </w:tc>
        <w:tc>
          <w:tcPr>
            <w:tcW w:w="130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b/>
                <w:bCs/>
                <w:szCs w:val="22"/>
                <w:lang w:val="es-CO"/>
              </w:rPr>
              <w:t>2.178.032</w:t>
            </w:r>
          </w:p>
        </w:tc>
        <w:tc>
          <w:tcPr>
            <w:tcW w:w="1021"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11" w:type="dxa"/>
              <w:left w:w="11" w:type="dxa"/>
              <w:bottom w:w="0" w:type="dxa"/>
              <w:right w:w="11" w:type="dxa"/>
            </w:tcMar>
            <w:vAlign w:val="center"/>
            <w:hideMark/>
          </w:tcPr>
          <w:p w:rsidR="00171C45" w:rsidRPr="00171C45" w:rsidRDefault="00171C45" w:rsidP="00171C45">
            <w:pPr>
              <w:spacing w:line="276" w:lineRule="auto"/>
              <w:jc w:val="right"/>
              <w:rPr>
                <w:rFonts w:ascii="Arial Narrow" w:hAnsi="Arial Narrow"/>
                <w:szCs w:val="22"/>
                <w:lang w:val="es-CO"/>
              </w:rPr>
            </w:pPr>
            <w:r w:rsidRPr="00171C45">
              <w:rPr>
                <w:rFonts w:ascii="Arial Narrow" w:hAnsi="Arial Narrow"/>
                <w:b/>
                <w:bCs/>
                <w:szCs w:val="22"/>
                <w:lang w:val="es-CO"/>
              </w:rPr>
              <w:t>95,19%</w:t>
            </w:r>
          </w:p>
        </w:tc>
      </w:tr>
    </w:tbl>
    <w:p w:rsidR="00171C45" w:rsidRPr="000175EE" w:rsidRDefault="00171C45" w:rsidP="00FC0C8B">
      <w:pPr>
        <w:ind w:left="567"/>
        <w:jc w:val="left"/>
        <w:rPr>
          <w:rFonts w:ascii="Arial Narrow" w:hAnsi="Arial Narrow"/>
          <w:sz w:val="18"/>
          <w:szCs w:val="18"/>
        </w:rPr>
      </w:pPr>
      <w:r w:rsidRPr="000175EE">
        <w:rPr>
          <w:rFonts w:ascii="Arial Narrow" w:hAnsi="Arial Narrow"/>
          <w:sz w:val="18"/>
          <w:szCs w:val="18"/>
        </w:rPr>
        <w:t>Fuente: ANI</w:t>
      </w:r>
      <w:r>
        <w:rPr>
          <w:rFonts w:ascii="Arial Narrow" w:hAnsi="Arial Narrow"/>
          <w:sz w:val="18"/>
          <w:szCs w:val="18"/>
        </w:rPr>
        <w:t xml:space="preserve"> – </w:t>
      </w:r>
      <w:r w:rsidRPr="00942F7A">
        <w:rPr>
          <w:rFonts w:ascii="Arial Narrow" w:hAnsi="Arial Narrow"/>
          <w:sz w:val="16"/>
          <w:szCs w:val="20"/>
        </w:rPr>
        <w:t>Cifras en millones de pesos</w:t>
      </w:r>
    </w:p>
    <w:p w:rsidR="00171C45" w:rsidRPr="004D6B5F" w:rsidRDefault="00171C45" w:rsidP="00B83352">
      <w:pPr>
        <w:spacing w:before="120" w:after="120" w:line="276" w:lineRule="auto"/>
        <w:rPr>
          <w:rFonts w:ascii="Arial Narrow" w:hAnsi="Arial Narrow"/>
          <w:szCs w:val="22"/>
          <w:lang w:val="es-CO"/>
        </w:rPr>
      </w:pPr>
    </w:p>
    <w:p w:rsidR="00B83352" w:rsidRPr="00B83352" w:rsidRDefault="00B83352" w:rsidP="00B83352">
      <w:pPr>
        <w:pStyle w:val="Listavistosa-nfasis12"/>
        <w:autoSpaceDE w:val="0"/>
        <w:autoSpaceDN w:val="0"/>
        <w:adjustRightInd w:val="0"/>
        <w:spacing w:after="0" w:line="240" w:lineRule="auto"/>
        <w:ind w:left="0"/>
        <w:jc w:val="both"/>
        <w:rPr>
          <w:rFonts w:ascii="Arial Narrow" w:hAnsi="Arial Narrow" w:cs="Calibri"/>
          <w:bCs/>
        </w:rPr>
      </w:pPr>
    </w:p>
    <w:p w:rsidR="00A15BF5" w:rsidRPr="004D6B5F" w:rsidRDefault="00A15BF5" w:rsidP="004D6B5F">
      <w:pPr>
        <w:pStyle w:val="Ttulo3"/>
        <w:rPr>
          <w:rFonts w:ascii="Arial Narrow" w:hAnsi="Arial Narrow"/>
        </w:rPr>
      </w:pPr>
      <w:bookmarkStart w:id="33" w:name="_Toc410922158"/>
      <w:r w:rsidRPr="004D6B5F">
        <w:rPr>
          <w:rFonts w:ascii="Arial Narrow" w:hAnsi="Arial Narrow"/>
        </w:rPr>
        <w:t>Indicadores Macroeconómicos</w:t>
      </w:r>
      <w:bookmarkEnd w:id="33"/>
    </w:p>
    <w:p w:rsidR="00A15BF5" w:rsidRPr="001A410D" w:rsidRDefault="00A15BF5" w:rsidP="001A410D">
      <w:pPr>
        <w:spacing w:before="120" w:after="120" w:line="276" w:lineRule="auto"/>
        <w:rPr>
          <w:rFonts w:ascii="Arial Narrow" w:hAnsi="Arial Narrow"/>
          <w:szCs w:val="22"/>
          <w:lang w:val="es-CO"/>
        </w:rPr>
      </w:pPr>
    </w:p>
    <w:p w:rsidR="00A15BF5" w:rsidRPr="004D6B5F" w:rsidRDefault="00A15BF5" w:rsidP="001A410D">
      <w:pPr>
        <w:spacing w:before="120" w:after="120" w:line="276" w:lineRule="auto"/>
        <w:rPr>
          <w:rFonts w:ascii="Arial Narrow" w:hAnsi="Arial Narrow"/>
          <w:szCs w:val="22"/>
          <w:lang w:val="es-CO"/>
        </w:rPr>
      </w:pPr>
      <w:r w:rsidRPr="004D6B5F">
        <w:rPr>
          <w:rFonts w:ascii="Arial Narrow" w:hAnsi="Arial Narrow"/>
          <w:szCs w:val="22"/>
          <w:lang w:val="es-CO"/>
        </w:rPr>
        <w:t xml:space="preserve">Los esfuerzos del Gobierno Nacional, el Sector Transporte y la ANI permiten evidenciar a través de los indicadores macroeconómicos un </w:t>
      </w:r>
      <w:r w:rsidR="00D130DE">
        <w:rPr>
          <w:rFonts w:ascii="Arial Narrow" w:hAnsi="Arial Narrow"/>
          <w:szCs w:val="22"/>
          <w:lang w:val="es-CO"/>
        </w:rPr>
        <w:t>‘</w:t>
      </w:r>
      <w:r w:rsidRPr="004D6B5F">
        <w:rPr>
          <w:rFonts w:ascii="Arial Narrow" w:hAnsi="Arial Narrow"/>
          <w:szCs w:val="22"/>
          <w:lang w:val="es-CO"/>
        </w:rPr>
        <w:t>boom</w:t>
      </w:r>
      <w:r w:rsidR="00D130DE">
        <w:rPr>
          <w:rFonts w:ascii="Arial Narrow" w:hAnsi="Arial Narrow"/>
          <w:szCs w:val="22"/>
          <w:lang w:val="es-CO"/>
        </w:rPr>
        <w:t>’</w:t>
      </w:r>
      <w:r w:rsidRPr="004D6B5F">
        <w:rPr>
          <w:rFonts w:ascii="Arial Narrow" w:hAnsi="Arial Narrow"/>
          <w:szCs w:val="22"/>
          <w:lang w:val="es-CO"/>
        </w:rPr>
        <w:t xml:space="preserve"> del sector de la infraestructura de transporte, posicionándolo como una de las locomotoras del desarrollo nacional.</w:t>
      </w:r>
    </w:p>
    <w:p w:rsidR="008A565F" w:rsidRPr="004D6B5F" w:rsidRDefault="008A565F" w:rsidP="008A565F">
      <w:pPr>
        <w:spacing w:before="120" w:after="120" w:line="276" w:lineRule="auto"/>
        <w:rPr>
          <w:rFonts w:ascii="Arial Narrow" w:hAnsi="Arial Narrow"/>
          <w:szCs w:val="22"/>
          <w:lang w:val="es-CO"/>
        </w:rPr>
      </w:pPr>
      <w:r w:rsidRPr="004D6B5F">
        <w:rPr>
          <w:rFonts w:ascii="Arial Narrow" w:hAnsi="Arial Narrow"/>
          <w:szCs w:val="22"/>
          <w:lang w:val="es-CO"/>
        </w:rPr>
        <w:t>El PIB del sector constructivo ha presentado un comportamiento positivo entre 2011-201</w:t>
      </w:r>
      <w:r>
        <w:rPr>
          <w:rFonts w:ascii="Arial Narrow" w:hAnsi="Arial Narrow"/>
          <w:szCs w:val="22"/>
          <w:lang w:val="es-CO"/>
        </w:rPr>
        <w:t>4</w:t>
      </w:r>
      <w:r w:rsidRPr="004D6B5F">
        <w:rPr>
          <w:rFonts w:ascii="Arial Narrow" w:hAnsi="Arial Narrow"/>
          <w:szCs w:val="22"/>
          <w:lang w:val="es-CO"/>
        </w:rPr>
        <w:t xml:space="preserve"> pasando de un crecimiento del +6,0% en el 2012 a +9,8% en el 2013</w:t>
      </w:r>
      <w:r>
        <w:rPr>
          <w:rFonts w:ascii="Arial Narrow" w:hAnsi="Arial Narrow"/>
          <w:szCs w:val="22"/>
          <w:lang w:val="es-CO"/>
        </w:rPr>
        <w:t xml:space="preserve"> y 13,7% entre enero - septiembre de 2014</w:t>
      </w:r>
      <w:r w:rsidRPr="004D6B5F">
        <w:rPr>
          <w:rFonts w:ascii="Arial Narrow" w:hAnsi="Arial Narrow"/>
          <w:szCs w:val="22"/>
          <w:lang w:val="es-CO"/>
        </w:rPr>
        <w:t xml:space="preserve">, consolidándose así como el sector que más impulsó la inversión y el crecimiento nacional durante el </w:t>
      </w:r>
      <w:r>
        <w:rPr>
          <w:rFonts w:ascii="Arial Narrow" w:hAnsi="Arial Narrow"/>
          <w:szCs w:val="22"/>
          <w:lang w:val="es-CO"/>
        </w:rPr>
        <w:t>cuatrienio</w:t>
      </w:r>
      <w:r w:rsidRPr="004D6B5F">
        <w:rPr>
          <w:rFonts w:ascii="Arial Narrow" w:hAnsi="Arial Narrow"/>
          <w:szCs w:val="22"/>
          <w:lang w:val="es-CO"/>
        </w:rPr>
        <w:t xml:space="preserve">. El PIB del sector constructivo se conforma través de dos grupos económicos, el subsector de la construcción de edificaciones y el subsector de las obras civiles e ingeniería, ambos subsectores presentan una tendencia creciente desde 2011. Las obras civiles pasaron de un </w:t>
      </w:r>
      <w:r w:rsidRPr="00DC0D0B">
        <w:rPr>
          <w:rFonts w:ascii="Arial Narrow" w:hAnsi="Arial Narrow"/>
          <w:szCs w:val="22"/>
          <w:lang w:val="es-CO"/>
        </w:rPr>
        <w:t>crecimiento del +10,5% en el 2013 a un +18,4% en el 2014 y las edificaciones pasaron de un crecimiento del +16,0% en el 2013 a +7,7% en el 2013 (</w:t>
      </w:r>
      <w:r w:rsidRPr="004D6B5F">
        <w:rPr>
          <w:rFonts w:ascii="Arial Narrow" w:hAnsi="Arial Narrow"/>
          <w:szCs w:val="22"/>
          <w:lang w:val="es-CO"/>
        </w:rPr>
        <w:t xml:space="preserve">Ver gráfico No. </w:t>
      </w:r>
      <w:r w:rsidR="00FC0C8B">
        <w:rPr>
          <w:rFonts w:ascii="Arial Narrow" w:hAnsi="Arial Narrow"/>
          <w:szCs w:val="22"/>
          <w:lang w:val="es-CO"/>
        </w:rPr>
        <w:t>10</w:t>
      </w:r>
      <w:r w:rsidRPr="004D6B5F">
        <w:rPr>
          <w:rFonts w:ascii="Arial Narrow" w:hAnsi="Arial Narrow"/>
          <w:szCs w:val="22"/>
          <w:lang w:val="es-CO"/>
        </w:rPr>
        <w:t>).</w:t>
      </w:r>
    </w:p>
    <w:p w:rsidR="008A565F" w:rsidRPr="001A410D" w:rsidRDefault="008A565F" w:rsidP="001A410D">
      <w:pPr>
        <w:spacing w:before="120" w:after="120" w:line="276" w:lineRule="auto"/>
        <w:rPr>
          <w:rFonts w:ascii="Arial Narrow" w:hAnsi="Arial Narrow"/>
          <w:szCs w:val="22"/>
          <w:lang w:val="es-CO"/>
        </w:rPr>
      </w:pPr>
    </w:p>
    <w:p w:rsidR="00A15BF5" w:rsidRDefault="00FC0C8B" w:rsidP="00A15BF5">
      <w:pPr>
        <w:autoSpaceDE w:val="0"/>
        <w:autoSpaceDN w:val="0"/>
        <w:adjustRightInd w:val="0"/>
        <w:jc w:val="center"/>
        <w:rPr>
          <w:rFonts w:ascii="Arial Narrow" w:hAnsi="Arial Narrow" w:cs="Calibri"/>
          <w:b/>
          <w:bCs/>
          <w:sz w:val="20"/>
          <w:szCs w:val="20"/>
        </w:rPr>
      </w:pPr>
      <w:r>
        <w:rPr>
          <w:rFonts w:ascii="Arial Narrow" w:hAnsi="Arial Narrow" w:cs="Calibri"/>
          <w:b/>
          <w:bCs/>
          <w:sz w:val="20"/>
          <w:szCs w:val="20"/>
        </w:rPr>
        <w:t>Gráfico No. 10</w:t>
      </w:r>
    </w:p>
    <w:p w:rsidR="00812766" w:rsidRPr="004D6B5F" w:rsidRDefault="00812766" w:rsidP="00A15BF5">
      <w:pPr>
        <w:autoSpaceDE w:val="0"/>
        <w:autoSpaceDN w:val="0"/>
        <w:adjustRightInd w:val="0"/>
        <w:jc w:val="center"/>
        <w:rPr>
          <w:rFonts w:ascii="Arial Narrow" w:hAnsi="Arial Narrow" w:cs="Calibri"/>
          <w:b/>
          <w:bCs/>
          <w:sz w:val="20"/>
          <w:szCs w:val="20"/>
        </w:rPr>
      </w:pPr>
      <w:r w:rsidRPr="004D6B5F">
        <w:rPr>
          <w:rFonts w:ascii="Arial Narrow" w:hAnsi="Arial Narrow" w:cs="Calibri"/>
          <w:b/>
          <w:bCs/>
          <w:sz w:val="20"/>
        </w:rPr>
        <w:t>PIB Sector Constructivo por Subsector</w:t>
      </w:r>
    </w:p>
    <w:p w:rsidR="00812766" w:rsidRDefault="008A565F" w:rsidP="00812766">
      <w:pPr>
        <w:autoSpaceDE w:val="0"/>
        <w:autoSpaceDN w:val="0"/>
        <w:adjustRightInd w:val="0"/>
        <w:jc w:val="center"/>
      </w:pPr>
      <w:r>
        <w:rPr>
          <w:noProof/>
          <w:lang w:val="es-CO" w:eastAsia="es-CO"/>
        </w:rPr>
        <w:drawing>
          <wp:inline distT="0" distB="0" distL="0" distR="0" wp14:anchorId="504960DC" wp14:editId="06A1A98A">
            <wp:extent cx="3305175" cy="2113915"/>
            <wp:effectExtent l="0" t="0" r="9525" b="6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15BF5" w:rsidRPr="004D6B5F" w:rsidRDefault="00A15BF5" w:rsidP="00812766">
      <w:pPr>
        <w:autoSpaceDE w:val="0"/>
        <w:autoSpaceDN w:val="0"/>
        <w:adjustRightInd w:val="0"/>
        <w:ind w:left="1418" w:firstLine="709"/>
        <w:rPr>
          <w:rFonts w:ascii="Arial Narrow" w:hAnsi="Arial Narrow" w:cs="Calibri"/>
          <w:bCs/>
          <w:i/>
        </w:rPr>
      </w:pPr>
      <w:r w:rsidRPr="004D6B5F">
        <w:rPr>
          <w:rFonts w:ascii="Arial Narrow" w:hAnsi="Arial Narrow" w:cs="Calibri"/>
          <w:bCs/>
          <w:i/>
          <w:sz w:val="18"/>
        </w:rPr>
        <w:t>Fuente: DANE – Cuentas Trimestrales</w:t>
      </w:r>
    </w:p>
    <w:p w:rsidR="00A15BF5" w:rsidRPr="00942F7A" w:rsidRDefault="00A15BF5" w:rsidP="00942F7A">
      <w:pPr>
        <w:spacing w:before="120" w:after="120" w:line="276" w:lineRule="auto"/>
        <w:rPr>
          <w:rFonts w:ascii="Arial Narrow" w:hAnsi="Arial Narrow"/>
          <w:szCs w:val="22"/>
          <w:lang w:val="es-CO"/>
        </w:rPr>
      </w:pPr>
    </w:p>
    <w:p w:rsidR="00A15BF5" w:rsidRDefault="008A565F" w:rsidP="001A410D">
      <w:pPr>
        <w:spacing w:before="120" w:after="120" w:line="276" w:lineRule="auto"/>
        <w:rPr>
          <w:rFonts w:ascii="Arial Narrow" w:hAnsi="Arial Narrow"/>
          <w:szCs w:val="22"/>
          <w:lang w:val="es-CO"/>
        </w:rPr>
      </w:pPr>
      <w:r w:rsidRPr="001A410D">
        <w:rPr>
          <w:rFonts w:ascii="Arial Narrow" w:hAnsi="Arial Narrow"/>
          <w:szCs w:val="22"/>
          <w:lang w:val="es-CO"/>
        </w:rPr>
        <w:t xml:space="preserve">En el </w:t>
      </w:r>
      <w:r>
        <w:rPr>
          <w:rFonts w:ascii="Arial Narrow" w:hAnsi="Arial Narrow"/>
          <w:szCs w:val="22"/>
          <w:lang w:val="es-CO"/>
        </w:rPr>
        <w:t xml:space="preserve">periodo enero – septiembre del </w:t>
      </w:r>
      <w:r w:rsidRPr="001A410D">
        <w:rPr>
          <w:rFonts w:ascii="Arial Narrow" w:hAnsi="Arial Narrow"/>
          <w:szCs w:val="22"/>
          <w:lang w:val="es-CO"/>
        </w:rPr>
        <w:t>201</w:t>
      </w:r>
      <w:r>
        <w:rPr>
          <w:rFonts w:ascii="Arial Narrow" w:hAnsi="Arial Narrow"/>
          <w:szCs w:val="22"/>
          <w:lang w:val="es-CO"/>
        </w:rPr>
        <w:t>4</w:t>
      </w:r>
      <w:r w:rsidRPr="001A410D">
        <w:rPr>
          <w:rFonts w:ascii="Arial Narrow" w:hAnsi="Arial Narrow"/>
          <w:szCs w:val="22"/>
          <w:lang w:val="es-CO"/>
        </w:rPr>
        <w:t>, el PIB nominal del sector constructivo fue de aprox. $</w:t>
      </w:r>
      <w:r>
        <w:rPr>
          <w:rFonts w:ascii="Arial Narrow" w:hAnsi="Arial Narrow"/>
          <w:szCs w:val="22"/>
          <w:lang w:val="es-CO"/>
        </w:rPr>
        <w:t>63,5</w:t>
      </w:r>
      <w:r w:rsidRPr="001A410D">
        <w:rPr>
          <w:rFonts w:ascii="Arial Narrow" w:hAnsi="Arial Narrow"/>
          <w:szCs w:val="22"/>
          <w:lang w:val="es-CO"/>
        </w:rPr>
        <w:t xml:space="preserve"> billones de los cuales $</w:t>
      </w:r>
      <w:r>
        <w:rPr>
          <w:rFonts w:ascii="Arial Narrow" w:hAnsi="Arial Narrow"/>
          <w:szCs w:val="22"/>
          <w:lang w:val="es-CO"/>
        </w:rPr>
        <w:t>27,2</w:t>
      </w:r>
      <w:r w:rsidRPr="001A410D">
        <w:rPr>
          <w:rFonts w:ascii="Arial Narrow" w:hAnsi="Arial Narrow"/>
          <w:szCs w:val="22"/>
          <w:lang w:val="es-CO"/>
        </w:rPr>
        <w:t xml:space="preserve"> billones corresponden al subsector de las edificaciones y $</w:t>
      </w:r>
      <w:r>
        <w:rPr>
          <w:rFonts w:ascii="Arial Narrow" w:hAnsi="Arial Narrow"/>
          <w:szCs w:val="22"/>
          <w:lang w:val="es-CO"/>
        </w:rPr>
        <w:t>36,3</w:t>
      </w:r>
      <w:r w:rsidRPr="001A410D">
        <w:rPr>
          <w:rFonts w:ascii="Arial Narrow" w:hAnsi="Arial Narrow"/>
          <w:szCs w:val="22"/>
          <w:lang w:val="es-CO"/>
        </w:rPr>
        <w:t xml:space="preserve"> billones al sector de las obras civiles; el sector transporte del nivel nacional representa aprox. el +25% de la inversión de las obras civiles del país (ver gráfico No.1</w:t>
      </w:r>
      <w:r w:rsidR="00FC0C8B">
        <w:rPr>
          <w:rFonts w:ascii="Arial Narrow" w:hAnsi="Arial Narrow"/>
          <w:szCs w:val="22"/>
          <w:lang w:val="es-CO"/>
        </w:rPr>
        <w:t>1</w:t>
      </w:r>
      <w:r w:rsidRPr="001A410D">
        <w:rPr>
          <w:rFonts w:ascii="Arial Narrow" w:hAnsi="Arial Narrow"/>
          <w:szCs w:val="22"/>
          <w:lang w:val="es-CO"/>
        </w:rPr>
        <w:t>).</w:t>
      </w:r>
      <w:r>
        <w:rPr>
          <w:rFonts w:ascii="Arial Narrow" w:hAnsi="Arial Narrow"/>
          <w:szCs w:val="22"/>
          <w:lang w:val="es-CO"/>
        </w:rPr>
        <w:t xml:space="preserve"> </w:t>
      </w:r>
      <w:r w:rsidRPr="001A410D">
        <w:rPr>
          <w:rFonts w:ascii="Arial Narrow" w:hAnsi="Arial Narrow"/>
          <w:szCs w:val="22"/>
          <w:lang w:val="es-CO"/>
        </w:rPr>
        <w:t>Entre 2010 y 201</w:t>
      </w:r>
      <w:r>
        <w:rPr>
          <w:rFonts w:ascii="Arial Narrow" w:hAnsi="Arial Narrow"/>
          <w:szCs w:val="22"/>
          <w:lang w:val="es-CO"/>
        </w:rPr>
        <w:t>4</w:t>
      </w:r>
      <w:r w:rsidRPr="001A410D">
        <w:rPr>
          <w:rFonts w:ascii="Arial Narrow" w:hAnsi="Arial Narrow"/>
          <w:szCs w:val="22"/>
          <w:lang w:val="es-CO"/>
        </w:rPr>
        <w:t xml:space="preserve"> la inversión en obras civiles pasó de aprox. $29 billones a aprox. $40 billones, lo cual representa un crecimiento del +27,5%. De acuerdo al DANE, el crecimiento de la economía colombiana durante el 201</w:t>
      </w:r>
      <w:r>
        <w:rPr>
          <w:rFonts w:ascii="Arial Narrow" w:hAnsi="Arial Narrow"/>
          <w:szCs w:val="22"/>
          <w:lang w:val="es-CO"/>
        </w:rPr>
        <w:t>4</w:t>
      </w:r>
      <w:r w:rsidRPr="001A410D">
        <w:rPr>
          <w:rFonts w:ascii="Arial Narrow" w:hAnsi="Arial Narrow"/>
          <w:szCs w:val="22"/>
          <w:lang w:val="es-CO"/>
        </w:rPr>
        <w:t xml:space="preserve"> en gran medida se explica por el crecimiento de la inversión, la cual aumentó por la dinámica de la construcción y obras civiles (DANE, Informe PIB I</w:t>
      </w:r>
      <w:r>
        <w:rPr>
          <w:rFonts w:ascii="Arial Narrow" w:hAnsi="Arial Narrow"/>
          <w:szCs w:val="22"/>
          <w:lang w:val="es-CO"/>
        </w:rPr>
        <w:t>II</w:t>
      </w:r>
      <w:r w:rsidRPr="001A410D">
        <w:rPr>
          <w:rFonts w:ascii="Arial Narrow" w:hAnsi="Arial Narrow"/>
          <w:szCs w:val="22"/>
          <w:lang w:val="es-CO"/>
        </w:rPr>
        <w:t>-201</w:t>
      </w:r>
      <w:r>
        <w:rPr>
          <w:rFonts w:ascii="Arial Narrow" w:hAnsi="Arial Narrow"/>
          <w:szCs w:val="22"/>
          <w:lang w:val="es-CO"/>
        </w:rPr>
        <w:t>4</w:t>
      </w:r>
      <w:r w:rsidR="00FC0C8B">
        <w:rPr>
          <w:rFonts w:ascii="Arial Narrow" w:hAnsi="Arial Narrow"/>
          <w:szCs w:val="22"/>
          <w:lang w:val="es-CO"/>
        </w:rPr>
        <w:t>) (v</w:t>
      </w:r>
      <w:r w:rsidRPr="001A410D">
        <w:rPr>
          <w:rFonts w:ascii="Arial Narrow" w:hAnsi="Arial Narrow"/>
          <w:szCs w:val="22"/>
          <w:lang w:val="es-CO"/>
        </w:rPr>
        <w:t>er gráfico No. 1</w:t>
      </w:r>
      <w:r w:rsidR="00FC0C8B">
        <w:rPr>
          <w:rFonts w:ascii="Arial Narrow" w:hAnsi="Arial Narrow"/>
          <w:szCs w:val="22"/>
          <w:lang w:val="es-CO"/>
        </w:rPr>
        <w:t>2</w:t>
      </w:r>
      <w:r w:rsidRPr="001A410D">
        <w:rPr>
          <w:rFonts w:ascii="Arial Narrow" w:hAnsi="Arial Narrow"/>
          <w:szCs w:val="22"/>
          <w:lang w:val="es-CO"/>
        </w:rPr>
        <w:t>).</w:t>
      </w:r>
    </w:p>
    <w:p w:rsidR="00FC0C8B" w:rsidRDefault="00FC0C8B">
      <w:pPr>
        <w:jc w:val="left"/>
        <w:rPr>
          <w:rFonts w:ascii="Arial Narrow" w:hAnsi="Arial Narrow"/>
          <w:szCs w:val="22"/>
          <w:lang w:val="es-CO"/>
        </w:rPr>
      </w:pPr>
      <w:r>
        <w:rPr>
          <w:rFonts w:ascii="Arial Narrow" w:hAnsi="Arial Narrow"/>
          <w:szCs w:val="22"/>
          <w:lang w:val="es-CO"/>
        </w:rPr>
        <w:br w:type="page"/>
      </w:r>
    </w:p>
    <w:p w:rsidR="00FC0C8B" w:rsidRPr="001A410D" w:rsidRDefault="00FC0C8B" w:rsidP="001A410D">
      <w:pPr>
        <w:spacing w:before="120" w:after="120" w:line="276" w:lineRule="auto"/>
        <w:rPr>
          <w:rFonts w:ascii="Arial Narrow" w:hAnsi="Arial Narrow"/>
          <w:szCs w:val="22"/>
          <w:lang w:val="es-CO"/>
        </w:rPr>
      </w:pPr>
    </w:p>
    <w:p w:rsidR="008A565F" w:rsidRPr="008A565F" w:rsidRDefault="00FC0C8B" w:rsidP="008A565F">
      <w:pPr>
        <w:autoSpaceDE w:val="0"/>
        <w:autoSpaceDN w:val="0"/>
        <w:adjustRightInd w:val="0"/>
        <w:jc w:val="center"/>
        <w:rPr>
          <w:rFonts w:ascii="Arial Narrow" w:eastAsia="Times New Roman" w:hAnsi="Arial Narrow" w:cs="Calibri"/>
          <w:b/>
          <w:bCs/>
          <w:sz w:val="20"/>
          <w:szCs w:val="20"/>
        </w:rPr>
      </w:pPr>
      <w:r>
        <w:rPr>
          <w:rFonts w:ascii="Arial Narrow" w:eastAsia="Times New Roman" w:hAnsi="Arial Narrow" w:cs="Calibri"/>
          <w:b/>
          <w:bCs/>
          <w:sz w:val="20"/>
          <w:szCs w:val="20"/>
        </w:rPr>
        <w:t>Gráfico No. 11</w:t>
      </w:r>
    </w:p>
    <w:p w:rsidR="008A565F" w:rsidRPr="008A565F" w:rsidRDefault="008A565F" w:rsidP="008A565F">
      <w:pPr>
        <w:autoSpaceDE w:val="0"/>
        <w:autoSpaceDN w:val="0"/>
        <w:adjustRightInd w:val="0"/>
        <w:jc w:val="center"/>
        <w:rPr>
          <w:rFonts w:ascii="Arial Narrow" w:eastAsia="Times New Roman" w:hAnsi="Arial Narrow" w:cs="Calibri"/>
          <w:bCs/>
          <w:sz w:val="20"/>
          <w:szCs w:val="20"/>
        </w:rPr>
      </w:pPr>
      <w:r w:rsidRPr="008A565F">
        <w:rPr>
          <w:rFonts w:ascii="Arial Narrow" w:eastAsia="Times New Roman" w:hAnsi="Arial Narrow" w:cs="Calibri"/>
          <w:b/>
          <w:bCs/>
          <w:sz w:val="20"/>
          <w:szCs w:val="20"/>
        </w:rPr>
        <w:t>PIB Nominal Sector Constructivo</w:t>
      </w:r>
    </w:p>
    <w:p w:rsidR="008A565F" w:rsidRPr="004D6B5F" w:rsidRDefault="008A565F" w:rsidP="008A565F">
      <w:pPr>
        <w:spacing w:after="60" w:line="276" w:lineRule="auto"/>
        <w:jc w:val="center"/>
        <w:rPr>
          <w:rFonts w:ascii="Arial Narrow" w:eastAsia="Times New Roman" w:hAnsi="Arial Narrow"/>
          <w:lang w:val="es-CO"/>
        </w:rPr>
      </w:pPr>
      <w:r w:rsidRPr="008A565F">
        <w:rPr>
          <w:noProof/>
          <w:lang w:val="es-CO" w:eastAsia="es-CO"/>
        </w:rPr>
        <w:drawing>
          <wp:inline distT="0" distB="0" distL="0" distR="0" wp14:anchorId="00D7F26B" wp14:editId="17B7B763">
            <wp:extent cx="5057775" cy="2200275"/>
            <wp:effectExtent l="0" t="0" r="9525"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565F" w:rsidRPr="004D6B5F" w:rsidRDefault="008A565F" w:rsidP="008A565F">
      <w:pPr>
        <w:autoSpaceDE w:val="0"/>
        <w:autoSpaceDN w:val="0"/>
        <w:adjustRightInd w:val="0"/>
        <w:rPr>
          <w:rFonts w:ascii="Arial Narrow" w:hAnsi="Arial Narrow" w:cs="Calibri"/>
          <w:bCs/>
          <w:i/>
        </w:rPr>
      </w:pPr>
      <w:r w:rsidRPr="004D6B5F">
        <w:rPr>
          <w:rFonts w:ascii="Arial Narrow" w:hAnsi="Arial Narrow" w:cs="Calibri"/>
          <w:bCs/>
          <w:i/>
          <w:sz w:val="18"/>
        </w:rPr>
        <w:t xml:space="preserve">                      Fuente: DANE – Cuentas Trimestrales</w:t>
      </w:r>
    </w:p>
    <w:p w:rsidR="00324C07" w:rsidRDefault="00324C07" w:rsidP="00942F7A">
      <w:pPr>
        <w:spacing w:before="120" w:after="120" w:line="276" w:lineRule="auto"/>
        <w:rPr>
          <w:rFonts w:ascii="Arial Narrow" w:hAnsi="Arial Narrow"/>
          <w:szCs w:val="22"/>
          <w:lang w:val="es-CO"/>
        </w:rPr>
      </w:pPr>
    </w:p>
    <w:p w:rsidR="008A565F" w:rsidRPr="004D6B5F" w:rsidRDefault="00FC0C8B" w:rsidP="008A565F">
      <w:pPr>
        <w:autoSpaceDE w:val="0"/>
        <w:autoSpaceDN w:val="0"/>
        <w:adjustRightInd w:val="0"/>
        <w:jc w:val="center"/>
        <w:rPr>
          <w:rFonts w:ascii="Arial Narrow" w:eastAsia="Times New Roman" w:hAnsi="Arial Narrow" w:cs="Calibri"/>
          <w:b/>
          <w:bCs/>
          <w:sz w:val="20"/>
          <w:szCs w:val="20"/>
        </w:rPr>
      </w:pPr>
      <w:r>
        <w:rPr>
          <w:rFonts w:ascii="Arial Narrow" w:eastAsia="Times New Roman" w:hAnsi="Arial Narrow" w:cs="Calibri"/>
          <w:b/>
          <w:bCs/>
          <w:sz w:val="20"/>
          <w:szCs w:val="20"/>
        </w:rPr>
        <w:t>Gráfico No. 12</w:t>
      </w:r>
    </w:p>
    <w:p w:rsidR="008A565F" w:rsidRPr="004D6B5F" w:rsidRDefault="008A565F" w:rsidP="008A565F">
      <w:pPr>
        <w:autoSpaceDE w:val="0"/>
        <w:autoSpaceDN w:val="0"/>
        <w:adjustRightInd w:val="0"/>
        <w:jc w:val="center"/>
        <w:rPr>
          <w:rFonts w:ascii="Arial Narrow" w:eastAsia="Times New Roman" w:hAnsi="Arial Narrow" w:cs="Calibri"/>
          <w:b/>
          <w:bCs/>
          <w:sz w:val="20"/>
          <w:szCs w:val="20"/>
        </w:rPr>
      </w:pPr>
      <w:r w:rsidRPr="004D6B5F">
        <w:rPr>
          <w:rFonts w:ascii="Arial Narrow" w:eastAsia="Times New Roman" w:hAnsi="Arial Narrow" w:cs="Calibri"/>
          <w:b/>
          <w:bCs/>
          <w:sz w:val="20"/>
          <w:szCs w:val="20"/>
        </w:rPr>
        <w:t>Formación Bruta de Capital 2013</w:t>
      </w:r>
    </w:p>
    <w:p w:rsidR="008A565F" w:rsidRPr="008A565F" w:rsidRDefault="008A565F" w:rsidP="008A565F">
      <w:pPr>
        <w:autoSpaceDE w:val="0"/>
        <w:autoSpaceDN w:val="0"/>
        <w:adjustRightInd w:val="0"/>
        <w:jc w:val="center"/>
        <w:rPr>
          <w:rFonts w:ascii="Arial Narrow" w:eastAsia="Times New Roman" w:hAnsi="Arial Narrow" w:cs="Calibri"/>
          <w:b/>
          <w:bCs/>
          <w:sz w:val="20"/>
          <w:szCs w:val="20"/>
        </w:rPr>
      </w:pPr>
      <w:r>
        <w:rPr>
          <w:noProof/>
          <w:lang w:val="es-CO" w:eastAsia="es-CO"/>
        </w:rPr>
        <w:drawing>
          <wp:inline distT="0" distB="0" distL="0" distR="0" wp14:anchorId="03020F5D" wp14:editId="49FB69F8">
            <wp:extent cx="4650105" cy="1847850"/>
            <wp:effectExtent l="0" t="0" r="1714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5BF5" w:rsidRPr="004D6B5F" w:rsidRDefault="008A565F" w:rsidP="001A410D">
      <w:pPr>
        <w:spacing w:before="120" w:after="120" w:line="276" w:lineRule="auto"/>
        <w:rPr>
          <w:rFonts w:ascii="Arial Narrow" w:hAnsi="Arial Narrow"/>
          <w:szCs w:val="22"/>
          <w:lang w:val="es-CO"/>
        </w:rPr>
      </w:pPr>
      <w:r w:rsidRPr="004D6B5F">
        <w:rPr>
          <w:rFonts w:ascii="Arial Narrow" w:hAnsi="Arial Narrow"/>
          <w:szCs w:val="22"/>
          <w:lang w:val="es-CO"/>
        </w:rPr>
        <w:t>El Indicador de Inversión en obras civiles (IIOC) del DANE ha presentado una tendencia positiva y creciente entre 2011-201</w:t>
      </w:r>
      <w:r>
        <w:rPr>
          <w:rFonts w:ascii="Arial Narrow" w:hAnsi="Arial Narrow"/>
          <w:szCs w:val="22"/>
          <w:lang w:val="es-CO"/>
        </w:rPr>
        <w:t>4</w:t>
      </w:r>
      <w:r w:rsidRPr="004D6B5F">
        <w:rPr>
          <w:rFonts w:ascii="Arial Narrow" w:hAnsi="Arial Narrow"/>
          <w:szCs w:val="22"/>
          <w:lang w:val="es-CO"/>
        </w:rPr>
        <w:t xml:space="preserve"> pasando de una variación en 2011 de +4,0% a un +1</w:t>
      </w:r>
      <w:r>
        <w:rPr>
          <w:rFonts w:ascii="Arial Narrow" w:hAnsi="Arial Narrow"/>
          <w:szCs w:val="22"/>
          <w:lang w:val="es-CO"/>
        </w:rPr>
        <w:t>6</w:t>
      </w:r>
      <w:r w:rsidRPr="004D6B5F">
        <w:rPr>
          <w:rFonts w:ascii="Arial Narrow" w:hAnsi="Arial Narrow"/>
          <w:szCs w:val="22"/>
          <w:lang w:val="es-CO"/>
        </w:rPr>
        <w:t>,</w:t>
      </w:r>
      <w:r>
        <w:rPr>
          <w:rFonts w:ascii="Arial Narrow" w:hAnsi="Arial Narrow"/>
          <w:szCs w:val="22"/>
          <w:lang w:val="es-CO"/>
        </w:rPr>
        <w:t>4</w:t>
      </w:r>
      <w:r w:rsidRPr="004D6B5F">
        <w:rPr>
          <w:rFonts w:ascii="Arial Narrow" w:hAnsi="Arial Narrow"/>
          <w:szCs w:val="22"/>
          <w:lang w:val="es-CO"/>
        </w:rPr>
        <w:t>% en el</w:t>
      </w:r>
      <w:r>
        <w:rPr>
          <w:rFonts w:ascii="Arial Narrow" w:hAnsi="Arial Narrow"/>
          <w:szCs w:val="22"/>
          <w:lang w:val="es-CO"/>
        </w:rPr>
        <w:t xml:space="preserve"> periodo enero - septiembre</w:t>
      </w:r>
      <w:r w:rsidRPr="004D6B5F">
        <w:rPr>
          <w:rFonts w:ascii="Arial Narrow" w:hAnsi="Arial Narrow"/>
          <w:szCs w:val="22"/>
          <w:lang w:val="es-CO"/>
        </w:rPr>
        <w:t xml:space="preserve"> 201</w:t>
      </w:r>
      <w:r>
        <w:rPr>
          <w:rFonts w:ascii="Arial Narrow" w:hAnsi="Arial Narrow"/>
          <w:szCs w:val="22"/>
          <w:lang w:val="es-CO"/>
        </w:rPr>
        <w:t>4.</w:t>
      </w:r>
      <w:r w:rsidRPr="004D6B5F">
        <w:rPr>
          <w:rFonts w:ascii="Arial Narrow" w:hAnsi="Arial Narrow"/>
          <w:szCs w:val="22"/>
          <w:lang w:val="es-CO"/>
        </w:rPr>
        <w:t xml:space="preserve"> El crecimiento constante del IIOC es resultado del significativo aumento de la inversión en obras viales y portuarias, y parcialmente por la inversión en minería y otras obras de i</w:t>
      </w:r>
      <w:r>
        <w:rPr>
          <w:rFonts w:ascii="Arial Narrow" w:hAnsi="Arial Narrow"/>
          <w:szCs w:val="22"/>
          <w:lang w:val="es-CO"/>
        </w:rPr>
        <w:t>ngeniería (Ver gráfico No. 1</w:t>
      </w:r>
      <w:r w:rsidR="00FC0C8B">
        <w:rPr>
          <w:rFonts w:ascii="Arial Narrow" w:hAnsi="Arial Narrow"/>
          <w:szCs w:val="22"/>
          <w:lang w:val="es-CO"/>
        </w:rPr>
        <w:t>3</w:t>
      </w:r>
      <w:r>
        <w:rPr>
          <w:rFonts w:ascii="Arial Narrow" w:hAnsi="Arial Narrow"/>
          <w:szCs w:val="22"/>
          <w:lang w:val="es-CO"/>
        </w:rPr>
        <w:t>).</w:t>
      </w:r>
    </w:p>
    <w:p w:rsidR="00A15BF5" w:rsidRDefault="00A15BF5" w:rsidP="001A410D">
      <w:pPr>
        <w:spacing w:before="120" w:after="120" w:line="276" w:lineRule="auto"/>
        <w:rPr>
          <w:rFonts w:ascii="Arial Narrow" w:hAnsi="Arial Narrow"/>
          <w:szCs w:val="22"/>
          <w:lang w:val="es-CO"/>
        </w:rPr>
      </w:pPr>
    </w:p>
    <w:p w:rsidR="00B83352" w:rsidRDefault="00B83352">
      <w:pPr>
        <w:jc w:val="left"/>
        <w:rPr>
          <w:rFonts w:ascii="Arial Narrow" w:hAnsi="Arial Narrow"/>
          <w:szCs w:val="22"/>
          <w:lang w:val="es-CO"/>
        </w:rPr>
      </w:pPr>
      <w:r>
        <w:rPr>
          <w:rFonts w:ascii="Arial Narrow" w:hAnsi="Arial Narrow"/>
          <w:szCs w:val="22"/>
          <w:lang w:val="es-CO"/>
        </w:rPr>
        <w:br w:type="page"/>
      </w:r>
    </w:p>
    <w:p w:rsidR="00B83352" w:rsidRPr="001A410D" w:rsidRDefault="00B83352" w:rsidP="001A410D">
      <w:pPr>
        <w:spacing w:before="120" w:after="120" w:line="276" w:lineRule="auto"/>
        <w:rPr>
          <w:rFonts w:ascii="Arial Narrow" w:hAnsi="Arial Narrow"/>
          <w:szCs w:val="22"/>
          <w:lang w:val="es-CO"/>
        </w:rPr>
      </w:pPr>
    </w:p>
    <w:p w:rsidR="00A15BF5" w:rsidRPr="004D6B5F" w:rsidRDefault="00FC0C8B" w:rsidP="00A15BF5">
      <w:pPr>
        <w:tabs>
          <w:tab w:val="left" w:pos="3285"/>
        </w:tabs>
        <w:jc w:val="center"/>
        <w:rPr>
          <w:rFonts w:ascii="Arial Narrow" w:hAnsi="Arial Narrow"/>
          <w:b/>
          <w:sz w:val="20"/>
          <w:szCs w:val="20"/>
        </w:rPr>
      </w:pPr>
      <w:r>
        <w:rPr>
          <w:rFonts w:ascii="Arial Narrow" w:hAnsi="Arial Narrow"/>
          <w:b/>
          <w:sz w:val="20"/>
          <w:szCs w:val="20"/>
        </w:rPr>
        <w:t>Gráfico No. 13</w:t>
      </w:r>
    </w:p>
    <w:p w:rsidR="00A15BF5" w:rsidRPr="004D6B5F" w:rsidRDefault="00A15BF5" w:rsidP="00A15BF5">
      <w:pPr>
        <w:tabs>
          <w:tab w:val="left" w:pos="3285"/>
        </w:tabs>
        <w:jc w:val="center"/>
        <w:rPr>
          <w:rFonts w:ascii="Arial Narrow" w:hAnsi="Arial Narrow"/>
          <w:b/>
          <w:sz w:val="20"/>
          <w:szCs w:val="20"/>
        </w:rPr>
      </w:pPr>
      <w:r w:rsidRPr="004D6B5F">
        <w:rPr>
          <w:rFonts w:ascii="Arial Narrow" w:hAnsi="Arial Narrow"/>
          <w:b/>
          <w:sz w:val="20"/>
          <w:szCs w:val="20"/>
        </w:rPr>
        <w:t>Indicador de Inversión en Obras Civiles: Variación Total y Contribuciones por Grupos</w:t>
      </w:r>
    </w:p>
    <w:p w:rsidR="00A15BF5" w:rsidRPr="004D6B5F" w:rsidRDefault="008A565F" w:rsidP="00A15BF5">
      <w:pPr>
        <w:tabs>
          <w:tab w:val="left" w:pos="3285"/>
        </w:tabs>
        <w:jc w:val="center"/>
        <w:rPr>
          <w:rFonts w:ascii="Arial Narrow" w:hAnsi="Arial Narrow"/>
          <w:b/>
        </w:rPr>
      </w:pPr>
      <w:r>
        <w:rPr>
          <w:noProof/>
          <w:lang w:val="es-CO" w:eastAsia="es-CO"/>
        </w:rPr>
        <w:drawing>
          <wp:inline distT="0" distB="0" distL="0" distR="0" wp14:anchorId="36C4D5C2" wp14:editId="65B41E57">
            <wp:extent cx="5116830" cy="2219325"/>
            <wp:effectExtent l="0" t="0" r="762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5BF5" w:rsidRPr="004D6B5F" w:rsidRDefault="00A15BF5" w:rsidP="00065C31">
      <w:pPr>
        <w:autoSpaceDE w:val="0"/>
        <w:autoSpaceDN w:val="0"/>
        <w:adjustRightInd w:val="0"/>
        <w:ind w:firstLine="709"/>
        <w:rPr>
          <w:rFonts w:ascii="Arial Narrow" w:hAnsi="Arial Narrow" w:cs="Calibri"/>
          <w:bCs/>
          <w:i/>
          <w:sz w:val="18"/>
        </w:rPr>
      </w:pPr>
      <w:r w:rsidRPr="004D6B5F">
        <w:rPr>
          <w:rFonts w:ascii="Arial Narrow" w:hAnsi="Arial Narrow" w:cs="Calibri"/>
          <w:bCs/>
          <w:i/>
          <w:sz w:val="18"/>
        </w:rPr>
        <w:t>Fuente: DANE – Cuentas Trimestrales</w:t>
      </w:r>
    </w:p>
    <w:p w:rsidR="00A15BF5" w:rsidRPr="004D6B5F" w:rsidRDefault="00A15BF5" w:rsidP="00A15BF5">
      <w:pPr>
        <w:autoSpaceDE w:val="0"/>
        <w:autoSpaceDN w:val="0"/>
        <w:adjustRightInd w:val="0"/>
        <w:rPr>
          <w:rFonts w:ascii="Arial Narrow" w:hAnsi="Arial Narrow" w:cs="Calibri"/>
          <w:bCs/>
          <w:i/>
          <w:sz w:val="18"/>
        </w:rPr>
      </w:pPr>
    </w:p>
    <w:p w:rsidR="00A15BF5" w:rsidRPr="004D6B5F" w:rsidRDefault="00A15BF5" w:rsidP="00942F7A">
      <w:pPr>
        <w:spacing w:before="120" w:after="120" w:line="276" w:lineRule="auto"/>
        <w:rPr>
          <w:rFonts w:ascii="Arial Narrow" w:hAnsi="Arial Narrow"/>
          <w:szCs w:val="22"/>
          <w:lang w:val="es-CO"/>
        </w:rPr>
      </w:pPr>
      <w:r w:rsidRPr="004D6B5F">
        <w:rPr>
          <w:rFonts w:ascii="Arial Narrow" w:hAnsi="Arial Narrow"/>
          <w:szCs w:val="22"/>
          <w:lang w:val="es-CO"/>
        </w:rPr>
        <w:t>Las políticas, programas y proyectos del Sector Transporte que actualmente se encuentran en ejecución, licitación o estructuración tienen como objetivo superar el histórico rezago en infraestructura del país en todos los modos de transporte, garantizando en el largo plazo una inversión del 3% del PIB en infraestructura de transporte, lo cual beneficiara el crecimiento de la económica colombiana y la calidad de vida de los ciudadanos.</w:t>
      </w:r>
    </w:p>
    <w:p w:rsidR="00324C07" w:rsidRDefault="00324C07" w:rsidP="00942F7A">
      <w:pPr>
        <w:spacing w:before="120" w:after="120" w:line="276" w:lineRule="auto"/>
        <w:rPr>
          <w:rFonts w:ascii="Arial Narrow" w:hAnsi="Arial Narrow"/>
          <w:szCs w:val="22"/>
          <w:lang w:val="es-CO"/>
        </w:rPr>
      </w:pPr>
    </w:p>
    <w:p w:rsidR="00324C07" w:rsidRPr="00942F7A" w:rsidRDefault="00324C07" w:rsidP="00942F7A">
      <w:pPr>
        <w:spacing w:before="120" w:after="120" w:line="276" w:lineRule="auto"/>
        <w:rPr>
          <w:rFonts w:ascii="Arial Narrow" w:hAnsi="Arial Narrow"/>
          <w:szCs w:val="22"/>
          <w:lang w:val="es-CO"/>
        </w:rPr>
      </w:pPr>
    </w:p>
    <w:p w:rsidR="00A15BF5" w:rsidRPr="004D6B5F" w:rsidRDefault="00A15BF5" w:rsidP="004D6B5F">
      <w:pPr>
        <w:pStyle w:val="Ttulo2"/>
        <w:rPr>
          <w:rFonts w:ascii="Arial Narrow" w:hAnsi="Arial Narrow"/>
          <w:i w:val="0"/>
        </w:rPr>
      </w:pPr>
      <w:bookmarkStart w:id="34" w:name="_Toc410922159"/>
      <w:r w:rsidRPr="004D6B5F">
        <w:rPr>
          <w:rFonts w:ascii="Arial Narrow" w:hAnsi="Arial Narrow"/>
          <w:i w:val="0"/>
        </w:rPr>
        <w:t>PROYECCIONES DE INVERSIÓN 2015 – 2021</w:t>
      </w:r>
      <w:bookmarkEnd w:id="34"/>
    </w:p>
    <w:p w:rsidR="00A15BF5" w:rsidRPr="00942F7A" w:rsidRDefault="00A15BF5" w:rsidP="00942F7A">
      <w:pPr>
        <w:spacing w:before="120" w:after="120" w:line="276" w:lineRule="auto"/>
        <w:rPr>
          <w:rFonts w:ascii="Arial Narrow" w:hAnsi="Arial Narrow"/>
          <w:szCs w:val="22"/>
          <w:lang w:val="es-CO"/>
        </w:rPr>
      </w:pPr>
    </w:p>
    <w:p w:rsidR="00A15BF5" w:rsidRPr="004D6B5F" w:rsidRDefault="00A15BF5" w:rsidP="00942F7A">
      <w:pPr>
        <w:spacing w:before="120" w:after="120" w:line="276" w:lineRule="auto"/>
        <w:rPr>
          <w:rFonts w:ascii="Arial Narrow" w:hAnsi="Arial Narrow"/>
          <w:szCs w:val="22"/>
          <w:lang w:val="es-CO"/>
        </w:rPr>
      </w:pPr>
      <w:r w:rsidRPr="004D6B5F">
        <w:rPr>
          <w:rFonts w:ascii="Arial Narrow" w:hAnsi="Arial Narrow"/>
          <w:szCs w:val="22"/>
          <w:lang w:val="es-CO"/>
        </w:rPr>
        <w:t xml:space="preserve">A través del programa de 4° Generación de Concesiones el Gobierno Nacional y </w:t>
      </w:r>
      <w:r w:rsidRPr="00942F7A">
        <w:rPr>
          <w:rFonts w:ascii="Arial Narrow" w:hAnsi="Arial Narrow"/>
          <w:szCs w:val="22"/>
          <w:lang w:val="es-CO"/>
        </w:rPr>
        <w:t>e</w:t>
      </w:r>
      <w:r w:rsidRPr="004D6B5F">
        <w:rPr>
          <w:rFonts w:ascii="Arial Narrow" w:hAnsi="Arial Narrow"/>
          <w:szCs w:val="22"/>
          <w:lang w:val="es-CO"/>
        </w:rPr>
        <w:t xml:space="preserve">l Sector Transporte espera mantener un ritmo de construcción de dobles calzadas de 300 km anuales entre 2015 y 2021 con el objetivo de ampliar la capacidad de la </w:t>
      </w:r>
      <w:r w:rsidRPr="00942F7A">
        <w:rPr>
          <w:rFonts w:ascii="Arial Narrow" w:hAnsi="Arial Narrow"/>
          <w:szCs w:val="22"/>
          <w:lang w:val="es-CO"/>
        </w:rPr>
        <w:t>R</w:t>
      </w:r>
      <w:r w:rsidRPr="004D6B5F">
        <w:rPr>
          <w:rFonts w:ascii="Arial Narrow" w:hAnsi="Arial Narrow"/>
          <w:szCs w:val="22"/>
          <w:lang w:val="es-CO"/>
        </w:rPr>
        <w:t xml:space="preserve">ed </w:t>
      </w:r>
      <w:r w:rsidRPr="00942F7A">
        <w:rPr>
          <w:rFonts w:ascii="Arial Narrow" w:hAnsi="Arial Narrow"/>
          <w:szCs w:val="22"/>
          <w:lang w:val="es-CO"/>
        </w:rPr>
        <w:t>V</w:t>
      </w:r>
      <w:r w:rsidRPr="004D6B5F">
        <w:rPr>
          <w:rFonts w:ascii="Arial Narrow" w:hAnsi="Arial Narrow"/>
          <w:szCs w:val="22"/>
          <w:lang w:val="es-CO"/>
        </w:rPr>
        <w:t xml:space="preserve">ial </w:t>
      </w:r>
      <w:r w:rsidRPr="00942F7A">
        <w:rPr>
          <w:rFonts w:ascii="Arial Narrow" w:hAnsi="Arial Narrow"/>
          <w:szCs w:val="22"/>
          <w:lang w:val="es-CO"/>
        </w:rPr>
        <w:t>N</w:t>
      </w:r>
      <w:r w:rsidRPr="004D6B5F">
        <w:rPr>
          <w:rFonts w:ascii="Arial Narrow" w:hAnsi="Arial Narrow"/>
          <w:szCs w:val="22"/>
          <w:lang w:val="es-CO"/>
        </w:rPr>
        <w:t>acional (Ver gráfico No. 14) además de la construcción de las dobles calzadas la 4° Generación de Concesiones mejorar</w:t>
      </w:r>
      <w:r w:rsidRPr="00942F7A">
        <w:rPr>
          <w:rFonts w:ascii="Arial Narrow" w:hAnsi="Arial Narrow"/>
          <w:szCs w:val="22"/>
          <w:lang w:val="es-CO"/>
        </w:rPr>
        <w:t>á</w:t>
      </w:r>
      <w:r w:rsidRPr="004D6B5F">
        <w:rPr>
          <w:rFonts w:ascii="Arial Narrow" w:hAnsi="Arial Narrow"/>
          <w:szCs w:val="22"/>
          <w:lang w:val="es-CO"/>
        </w:rPr>
        <w:t xml:space="preserve"> la calidad de la infraestructura de más de 8.000 km de la </w:t>
      </w:r>
      <w:r w:rsidRPr="00942F7A">
        <w:rPr>
          <w:rFonts w:ascii="Arial Narrow" w:hAnsi="Arial Narrow"/>
          <w:szCs w:val="22"/>
          <w:lang w:val="es-CO"/>
        </w:rPr>
        <w:t>R</w:t>
      </w:r>
      <w:r w:rsidRPr="004D6B5F">
        <w:rPr>
          <w:rFonts w:ascii="Arial Narrow" w:hAnsi="Arial Narrow"/>
          <w:szCs w:val="22"/>
          <w:lang w:val="es-CO"/>
        </w:rPr>
        <w:t xml:space="preserve">ed </w:t>
      </w:r>
      <w:r w:rsidRPr="00942F7A">
        <w:rPr>
          <w:rFonts w:ascii="Arial Narrow" w:hAnsi="Arial Narrow"/>
          <w:szCs w:val="22"/>
          <w:lang w:val="es-CO"/>
        </w:rPr>
        <w:t>V</w:t>
      </w:r>
      <w:r w:rsidRPr="004D6B5F">
        <w:rPr>
          <w:rFonts w:ascii="Arial Narrow" w:hAnsi="Arial Narrow"/>
          <w:szCs w:val="22"/>
          <w:lang w:val="es-CO"/>
        </w:rPr>
        <w:t xml:space="preserve">ial </w:t>
      </w:r>
      <w:r w:rsidRPr="00942F7A">
        <w:rPr>
          <w:rFonts w:ascii="Arial Narrow" w:hAnsi="Arial Narrow"/>
          <w:szCs w:val="22"/>
          <w:lang w:val="es-CO"/>
        </w:rPr>
        <w:t>N</w:t>
      </w:r>
      <w:r w:rsidRPr="004D6B5F">
        <w:rPr>
          <w:rFonts w:ascii="Arial Narrow" w:hAnsi="Arial Narrow"/>
          <w:szCs w:val="22"/>
          <w:lang w:val="es-CO"/>
        </w:rPr>
        <w:t xml:space="preserve">acional por una inversión aproximada de </w:t>
      </w:r>
      <w:r w:rsidRPr="00942F7A">
        <w:rPr>
          <w:rFonts w:ascii="Arial Narrow" w:hAnsi="Arial Narrow"/>
          <w:szCs w:val="22"/>
          <w:lang w:val="es-CO"/>
        </w:rPr>
        <w:t>$</w:t>
      </w:r>
      <w:r w:rsidRPr="004D6B5F">
        <w:rPr>
          <w:rFonts w:ascii="Arial Narrow" w:hAnsi="Arial Narrow"/>
          <w:szCs w:val="22"/>
          <w:lang w:val="es-CO"/>
        </w:rPr>
        <w:t>48 billones en obras. Por lo tanto, la 4° Generación de concesiones permitirá en promedio triplicar la inversión que actualmente se ejecuta en concesiones viales</w:t>
      </w:r>
      <w:r w:rsidR="008A565F">
        <w:rPr>
          <w:rFonts w:ascii="Arial Narrow" w:hAnsi="Arial Narrow"/>
          <w:szCs w:val="22"/>
          <w:lang w:val="es-CO"/>
        </w:rPr>
        <w:t xml:space="preserve"> Adicionalmente, la estrategia para revivir el Tren en Colombia atada a las estrategias para mejorar la infraestructura y el nivel de servicios en puertos y aeropuertos, llevarán la inversión privada en infraestructura de los proyectos a cargo de la ANI a niveles de 10 billones anuales a partir del 2018.</w:t>
      </w:r>
      <w:r w:rsidRPr="004D6B5F">
        <w:rPr>
          <w:rFonts w:ascii="Arial Narrow" w:hAnsi="Arial Narrow"/>
          <w:szCs w:val="22"/>
          <w:lang w:val="es-CO"/>
        </w:rPr>
        <w:t xml:space="preserve"> (Ver gráfico No. 15).</w:t>
      </w:r>
    </w:p>
    <w:p w:rsidR="00A15BF5" w:rsidRDefault="00A15BF5" w:rsidP="00942F7A">
      <w:pPr>
        <w:spacing w:before="120" w:after="120" w:line="276" w:lineRule="auto"/>
        <w:rPr>
          <w:rFonts w:ascii="Arial Narrow" w:hAnsi="Arial Narrow"/>
          <w:szCs w:val="22"/>
          <w:lang w:val="es-CO"/>
        </w:rPr>
      </w:pPr>
    </w:p>
    <w:p w:rsidR="00B83352" w:rsidRDefault="00B83352">
      <w:pPr>
        <w:jc w:val="left"/>
        <w:rPr>
          <w:rFonts w:ascii="Arial Narrow" w:hAnsi="Arial Narrow"/>
          <w:szCs w:val="22"/>
          <w:lang w:val="es-CO"/>
        </w:rPr>
      </w:pPr>
      <w:r>
        <w:rPr>
          <w:rFonts w:ascii="Arial Narrow" w:hAnsi="Arial Narrow"/>
          <w:szCs w:val="22"/>
          <w:lang w:val="es-CO"/>
        </w:rPr>
        <w:br w:type="page"/>
      </w:r>
    </w:p>
    <w:p w:rsidR="00B83352" w:rsidRDefault="00B83352" w:rsidP="00942F7A">
      <w:pPr>
        <w:spacing w:before="120" w:after="120" w:line="276" w:lineRule="auto"/>
        <w:rPr>
          <w:rFonts w:ascii="Arial Narrow" w:hAnsi="Arial Narrow"/>
          <w:szCs w:val="22"/>
          <w:lang w:val="es-CO"/>
        </w:rPr>
      </w:pPr>
    </w:p>
    <w:p w:rsidR="008A565F" w:rsidRPr="004D6B5F" w:rsidRDefault="008A565F" w:rsidP="00BC644D">
      <w:pPr>
        <w:tabs>
          <w:tab w:val="left" w:pos="3285"/>
        </w:tabs>
        <w:jc w:val="center"/>
        <w:rPr>
          <w:rFonts w:ascii="Arial Narrow" w:eastAsia="Times New Roman" w:hAnsi="Arial Narrow"/>
          <w:b/>
          <w:sz w:val="20"/>
          <w:szCs w:val="20"/>
        </w:rPr>
      </w:pPr>
      <w:r w:rsidRPr="004D6B5F">
        <w:rPr>
          <w:rFonts w:ascii="Arial Narrow" w:eastAsia="Times New Roman" w:hAnsi="Arial Narrow"/>
          <w:b/>
          <w:sz w:val="20"/>
          <w:szCs w:val="20"/>
        </w:rPr>
        <w:t>Gráfico No. 14</w:t>
      </w:r>
    </w:p>
    <w:p w:rsidR="008A565F" w:rsidRPr="004D6B5F" w:rsidRDefault="008A565F" w:rsidP="00BC644D">
      <w:pPr>
        <w:tabs>
          <w:tab w:val="left" w:pos="3285"/>
        </w:tabs>
        <w:jc w:val="center"/>
        <w:rPr>
          <w:rFonts w:ascii="Arial Narrow" w:eastAsia="Times New Roman" w:hAnsi="Arial Narrow"/>
          <w:b/>
          <w:sz w:val="24"/>
          <w:lang w:val="es-CO"/>
        </w:rPr>
      </w:pPr>
      <w:r w:rsidRPr="004D6B5F">
        <w:rPr>
          <w:rFonts w:ascii="Arial Narrow" w:eastAsia="Times New Roman" w:hAnsi="Arial Narrow"/>
          <w:b/>
          <w:sz w:val="20"/>
          <w:szCs w:val="20"/>
        </w:rPr>
        <w:t>Construcción de Doble Calzada (Km)</w:t>
      </w:r>
    </w:p>
    <w:p w:rsidR="008A565F" w:rsidRDefault="008A565F" w:rsidP="008A565F">
      <w:pPr>
        <w:spacing w:before="120" w:after="120" w:line="276" w:lineRule="auto"/>
        <w:rPr>
          <w:rFonts w:ascii="Arial Narrow" w:hAnsi="Arial Narrow"/>
          <w:szCs w:val="22"/>
          <w:lang w:val="es-CO"/>
        </w:rPr>
      </w:pPr>
      <w:r>
        <w:rPr>
          <w:noProof/>
          <w:lang w:val="es-CO" w:eastAsia="es-CO"/>
        </w:rPr>
        <w:drawing>
          <wp:inline distT="0" distB="0" distL="0" distR="0" wp14:anchorId="37A975B5" wp14:editId="770D12AD">
            <wp:extent cx="5734050" cy="1743075"/>
            <wp:effectExtent l="0" t="0" r="0"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644D" w:rsidRPr="004D6B5F" w:rsidRDefault="00BC644D" w:rsidP="00BC644D">
      <w:pPr>
        <w:tabs>
          <w:tab w:val="left" w:pos="3285"/>
        </w:tabs>
        <w:rPr>
          <w:rFonts w:ascii="Arial Narrow" w:hAnsi="Arial Narrow"/>
          <w:b/>
          <w:sz w:val="24"/>
        </w:rPr>
      </w:pPr>
      <w:r w:rsidRPr="004D6B5F">
        <w:rPr>
          <w:rFonts w:ascii="Arial Narrow" w:hAnsi="Arial Narrow"/>
          <w:i/>
          <w:sz w:val="18"/>
          <w:szCs w:val="18"/>
          <w:lang w:val="es-CO"/>
        </w:rPr>
        <w:t>Fuente: ANI. Estimación de</w:t>
      </w:r>
      <w:r>
        <w:rPr>
          <w:rFonts w:ascii="Arial Narrow" w:hAnsi="Arial Narrow"/>
          <w:i/>
          <w:sz w:val="18"/>
          <w:szCs w:val="18"/>
          <w:lang w:val="es-CO"/>
        </w:rPr>
        <w:t>construcción doble calzadas</w:t>
      </w:r>
    </w:p>
    <w:p w:rsidR="00BC644D" w:rsidRPr="004D6B5F" w:rsidRDefault="00BC644D" w:rsidP="00BC644D">
      <w:pPr>
        <w:tabs>
          <w:tab w:val="left" w:pos="3285"/>
        </w:tabs>
        <w:jc w:val="center"/>
        <w:rPr>
          <w:rFonts w:ascii="Arial Narrow" w:eastAsia="Times New Roman" w:hAnsi="Arial Narrow"/>
          <w:b/>
          <w:sz w:val="20"/>
          <w:szCs w:val="20"/>
        </w:rPr>
      </w:pPr>
      <w:r>
        <w:rPr>
          <w:rFonts w:ascii="Arial Narrow" w:eastAsia="Times New Roman" w:hAnsi="Arial Narrow"/>
          <w:b/>
          <w:sz w:val="20"/>
          <w:szCs w:val="20"/>
        </w:rPr>
        <w:t>Gráfico No. 1</w:t>
      </w:r>
      <w:r w:rsidRPr="004D6B5F">
        <w:rPr>
          <w:rFonts w:ascii="Arial Narrow" w:eastAsia="Times New Roman" w:hAnsi="Arial Narrow"/>
          <w:b/>
          <w:sz w:val="20"/>
          <w:szCs w:val="20"/>
        </w:rPr>
        <w:t>5</w:t>
      </w:r>
    </w:p>
    <w:p w:rsidR="00BC644D" w:rsidRPr="004D6B5F" w:rsidRDefault="00BC644D" w:rsidP="00BC644D">
      <w:pPr>
        <w:tabs>
          <w:tab w:val="left" w:pos="3285"/>
        </w:tabs>
        <w:jc w:val="center"/>
        <w:rPr>
          <w:rFonts w:ascii="Arial Narrow" w:eastAsia="Times New Roman" w:hAnsi="Arial Narrow"/>
          <w:b/>
          <w:sz w:val="24"/>
          <w:lang w:val="es-CO"/>
        </w:rPr>
      </w:pPr>
      <w:r>
        <w:rPr>
          <w:rFonts w:ascii="Arial Narrow" w:eastAsia="Times New Roman" w:hAnsi="Arial Narrow"/>
          <w:b/>
          <w:sz w:val="20"/>
          <w:szCs w:val="20"/>
        </w:rPr>
        <w:t xml:space="preserve">Estimación </w:t>
      </w:r>
      <w:r w:rsidRPr="004D6B5F">
        <w:rPr>
          <w:rFonts w:ascii="Arial Narrow" w:eastAsia="Times New Roman" w:hAnsi="Arial Narrow"/>
          <w:b/>
          <w:sz w:val="20"/>
          <w:szCs w:val="20"/>
        </w:rPr>
        <w:t xml:space="preserve">Inversión Privada en </w:t>
      </w:r>
      <w:r>
        <w:rPr>
          <w:rFonts w:ascii="Arial Narrow" w:eastAsia="Times New Roman" w:hAnsi="Arial Narrow"/>
          <w:b/>
          <w:sz w:val="20"/>
          <w:szCs w:val="20"/>
        </w:rPr>
        <w:t>Infraestructura</w:t>
      </w:r>
    </w:p>
    <w:p w:rsidR="00BC644D" w:rsidRDefault="00BC644D" w:rsidP="00BC644D">
      <w:pPr>
        <w:spacing w:before="120" w:after="120" w:line="276" w:lineRule="auto"/>
        <w:rPr>
          <w:rFonts w:ascii="Arial Narrow" w:hAnsi="Arial Narrow"/>
          <w:szCs w:val="22"/>
          <w:lang w:val="es-CO"/>
        </w:rPr>
      </w:pPr>
      <w:r>
        <w:rPr>
          <w:noProof/>
          <w:lang w:val="es-CO" w:eastAsia="es-CO"/>
        </w:rPr>
        <w:drawing>
          <wp:inline distT="0" distB="0" distL="0" distR="0" wp14:anchorId="189C50F5" wp14:editId="6234D313">
            <wp:extent cx="5800725" cy="2195195"/>
            <wp:effectExtent l="0" t="0" r="9525" b="1460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644D" w:rsidRPr="004D6B5F" w:rsidRDefault="00BC644D" w:rsidP="00BC644D">
      <w:pPr>
        <w:tabs>
          <w:tab w:val="left" w:pos="3285"/>
        </w:tabs>
        <w:rPr>
          <w:rFonts w:ascii="Arial Narrow" w:hAnsi="Arial Narrow"/>
          <w:b/>
          <w:sz w:val="24"/>
        </w:rPr>
      </w:pPr>
      <w:r w:rsidRPr="004D6B5F">
        <w:rPr>
          <w:rFonts w:ascii="Arial Narrow" w:hAnsi="Arial Narrow"/>
          <w:i/>
          <w:sz w:val="18"/>
          <w:szCs w:val="18"/>
          <w:lang w:val="es-CO"/>
        </w:rPr>
        <w:t>Fuente: ANI. Estimación de futuras inversiones.</w:t>
      </w:r>
    </w:p>
    <w:p w:rsidR="00A15BF5" w:rsidRPr="00942F7A" w:rsidRDefault="00A15BF5" w:rsidP="00942F7A">
      <w:pPr>
        <w:spacing w:before="120" w:after="120" w:line="276" w:lineRule="auto"/>
        <w:rPr>
          <w:rFonts w:ascii="Arial Narrow" w:hAnsi="Arial Narrow"/>
          <w:szCs w:val="22"/>
          <w:lang w:val="es-CO"/>
        </w:rPr>
      </w:pPr>
    </w:p>
    <w:sectPr w:rsidR="00A15BF5" w:rsidRPr="00942F7A" w:rsidSect="005462FC">
      <w:footerReference w:type="default" r:id="rId3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557" w:rsidRDefault="00892557">
      <w:r>
        <w:separator/>
      </w:r>
    </w:p>
  </w:endnote>
  <w:endnote w:type="continuationSeparator" w:id="0">
    <w:p w:rsidR="00892557" w:rsidRDefault="00892557">
      <w:r>
        <w:continuationSeparator/>
      </w:r>
    </w:p>
  </w:endnote>
  <w:endnote w:type="continuationNotice" w:id="1">
    <w:p w:rsidR="00892557" w:rsidRDefault="00892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ECCF880C-D075-427C-883C-489F8D7E016F}"/>
    <w:embedBold r:id="rId2" w:fontKey="{B9B4A0FE-CC6B-4AC8-BCBB-17339EDD0451}"/>
    <w:embedItalic r:id="rId3" w:fontKey="{1379705E-5A24-4419-AF4D-86A25D9B739B}"/>
    <w:embedBoldItalic r:id="rId4" w:fontKey="{3233B4AE-7780-4521-B0F0-6EAB769AB958}"/>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embedRegular r:id="rId5" w:fontKey="{AC141BBB-5001-49B3-97ED-43826995A4A9}"/>
    <w:embedBold r:id="rId6" w:fontKey="{6E8C6912-845D-497E-B214-2D335C42F905}"/>
    <w:embedItalic r:id="rId7" w:fontKey="{C96FAA0F-1D60-4644-AB07-53667F46932E}"/>
    <w:embedBoldItalic r:id="rId8" w:fontKey="{9FD63E6E-7DDD-48EC-AC63-DA3F7EB5509F}"/>
  </w:font>
  <w:font w:name="Calibri">
    <w:altName w:val="Calibri"/>
    <w:panose1 w:val="020F0502020204030204"/>
    <w:charset w:val="00"/>
    <w:family w:val="swiss"/>
    <w:pitch w:val="variable"/>
    <w:sig w:usb0="E00002FF" w:usb1="4000ACFF" w:usb2="00000001" w:usb3="00000000" w:csb0="0000019F" w:csb1="00000000"/>
    <w:embedRegular r:id="rId9" w:fontKey="{82A988E6-33BA-4F96-8D3B-CED4AB050B48}"/>
    <w:embedBold r:id="rId10" w:fontKey="{AB4E8834-7B67-4D43-9DFE-A149A7C66BD8}"/>
    <w:embedBoldItalic r:id="rId11" w:fontKey="{F87989EA-E042-47C5-9FAF-D1372173B8A4}"/>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43179E3A-3D8C-4CFB-84CF-66033C7CDA65}"/>
  </w:font>
  <w:font w:name="Verdana">
    <w:panose1 w:val="020B0604030504040204"/>
    <w:charset w:val="00"/>
    <w:family w:val="swiss"/>
    <w:pitch w:val="variable"/>
    <w:sig w:usb0="A10006FF" w:usb1="4000205B" w:usb2="00000010" w:usb3="00000000" w:csb0="0000019F" w:csb1="00000000"/>
    <w:embedRegular r:id="rId13" w:fontKey="{249B5844-DC15-40F0-8D02-AFF6D27E4308}"/>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4" w:fontKey="{D19E6D60-138C-4953-BA1F-AC9F133534F8}"/>
  </w:font>
  <w:font w:name="Calibri Light">
    <w:panose1 w:val="020F0302020204030204"/>
    <w:charset w:val="00"/>
    <w:family w:val="swiss"/>
    <w:pitch w:val="variable"/>
    <w:sig w:usb0="A00002EF" w:usb1="4000207B" w:usb2="00000000" w:usb3="00000000" w:csb0="0000019F" w:csb1="00000000"/>
    <w:embedRegular r:id="rId15" w:fontKey="{0D1C379F-3A1E-43C0-83F5-304514955007}"/>
  </w:font>
  <w:font w:name="Cambria">
    <w:panose1 w:val="02040503050406030204"/>
    <w:charset w:val="00"/>
    <w:family w:val="roman"/>
    <w:pitch w:val="variable"/>
    <w:sig w:usb0="E00002FF" w:usb1="400004FF" w:usb2="00000000" w:usb3="00000000" w:csb0="0000019F" w:csb1="00000000"/>
    <w:embedRegular r:id="rId16" w:fontKey="{F247A95B-8F6F-44BB-941B-64F82EE89691}"/>
    <w:embedBold r:id="rId17" w:fontKey="{A8BFA523-15FF-4110-BD0C-45F333E8A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C8B" w:rsidRPr="000175EE" w:rsidRDefault="00FC0C8B">
    <w:pPr>
      <w:pStyle w:val="Piedepgina"/>
      <w:jc w:val="right"/>
      <w:rPr>
        <w:sz w:val="20"/>
      </w:rPr>
    </w:pPr>
    <w:r w:rsidRPr="000175EE">
      <w:rPr>
        <w:sz w:val="20"/>
        <w:lang w:val="es-CO"/>
      </w:rPr>
      <w:t xml:space="preserve">Página </w:t>
    </w:r>
    <w:sdt>
      <w:sdtPr>
        <w:rPr>
          <w:sz w:val="20"/>
        </w:rPr>
        <w:id w:val="-546452506"/>
        <w:docPartObj>
          <w:docPartGallery w:val="Page Numbers (Bottom of Page)"/>
          <w:docPartUnique/>
        </w:docPartObj>
      </w:sdtPr>
      <w:sdtContent>
        <w:r w:rsidRPr="000175EE">
          <w:rPr>
            <w:sz w:val="20"/>
          </w:rPr>
          <w:fldChar w:fldCharType="begin"/>
        </w:r>
        <w:r w:rsidRPr="000175EE">
          <w:rPr>
            <w:sz w:val="20"/>
          </w:rPr>
          <w:instrText>PAGE   \* MERGEFORMAT</w:instrText>
        </w:r>
        <w:r w:rsidRPr="000175EE">
          <w:rPr>
            <w:sz w:val="20"/>
          </w:rPr>
          <w:fldChar w:fldCharType="separate"/>
        </w:r>
        <w:r w:rsidR="00614EAC" w:rsidRPr="00614EAC">
          <w:rPr>
            <w:noProof/>
            <w:sz w:val="20"/>
            <w:lang w:val="es-ES"/>
          </w:rPr>
          <w:t>1</w:t>
        </w:r>
        <w:r w:rsidRPr="000175EE">
          <w:rPr>
            <w:sz w:val="20"/>
          </w:rPr>
          <w:fldChar w:fldCharType="end"/>
        </w:r>
      </w:sdtContent>
    </w:sdt>
  </w:p>
  <w:p w:rsidR="00FC0C8B" w:rsidRDefault="00FC0C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557" w:rsidRDefault="00892557">
      <w:r>
        <w:separator/>
      </w:r>
    </w:p>
  </w:footnote>
  <w:footnote w:type="continuationSeparator" w:id="0">
    <w:p w:rsidR="00892557" w:rsidRDefault="00892557">
      <w:r>
        <w:continuationSeparator/>
      </w:r>
    </w:p>
  </w:footnote>
  <w:footnote w:type="continuationNotice" w:id="1">
    <w:p w:rsidR="00892557" w:rsidRDefault="00892557"/>
  </w:footnote>
  <w:footnote w:id="2">
    <w:p w:rsidR="00FC0C8B" w:rsidRPr="0097525F" w:rsidRDefault="00FC0C8B">
      <w:pPr>
        <w:pStyle w:val="Textonotapie"/>
        <w:rPr>
          <w:lang w:val="es-CO"/>
        </w:rPr>
      </w:pPr>
      <w:r w:rsidRPr="0097525F">
        <w:rPr>
          <w:rStyle w:val="Refdenotaalpie"/>
          <w:sz w:val="22"/>
        </w:rPr>
        <w:footnoteRef/>
      </w:r>
      <w:r w:rsidRPr="0097525F">
        <w:rPr>
          <w:sz w:val="18"/>
        </w:rPr>
        <w:t xml:space="preserve"> Numeral 10 Artículo 9 del Decreto 4165 de 2011</w:t>
      </w:r>
    </w:p>
  </w:footnote>
  <w:footnote w:id="3">
    <w:p w:rsidR="00FC0C8B" w:rsidRPr="00D411D8" w:rsidRDefault="00FC0C8B" w:rsidP="00A15BF5">
      <w:pPr>
        <w:pStyle w:val="Textonotapie"/>
        <w:rPr>
          <w:sz w:val="18"/>
          <w:lang w:val="es-CO"/>
        </w:rPr>
      </w:pPr>
      <w:r w:rsidRPr="00D411D8">
        <w:rPr>
          <w:rStyle w:val="Refdenotaalpie"/>
          <w:sz w:val="18"/>
        </w:rPr>
        <w:footnoteRef/>
      </w:r>
      <w:r w:rsidRPr="00D411D8">
        <w:rPr>
          <w:sz w:val="18"/>
        </w:rPr>
        <w:t xml:space="preserve">  Excluyendo los contratos del proyecto Ruta del Sol y del proyecto Transversal de las Américas</w:t>
      </w:r>
    </w:p>
  </w:footnote>
  <w:footnote w:id="4">
    <w:p w:rsidR="00FC0C8B" w:rsidRPr="00D411D8" w:rsidRDefault="00FC0C8B" w:rsidP="004A185A">
      <w:pPr>
        <w:pStyle w:val="Textonotapie"/>
        <w:jc w:val="both"/>
        <w:rPr>
          <w:sz w:val="18"/>
          <w:lang w:val="es-CO"/>
        </w:rPr>
      </w:pPr>
      <w:r w:rsidRPr="00D411D8">
        <w:rPr>
          <w:rStyle w:val="Refdenotaalpie"/>
          <w:sz w:val="18"/>
        </w:rPr>
        <w:footnoteRef/>
      </w:r>
      <w:r w:rsidRPr="00D411D8">
        <w:rPr>
          <w:sz w:val="18"/>
        </w:rPr>
        <w:t xml:space="preserve"> </w:t>
      </w:r>
      <w:r w:rsidRPr="00D411D8">
        <w:rPr>
          <w:sz w:val="18"/>
          <w:lang w:val="es-CO"/>
        </w:rPr>
        <w:t xml:space="preserve">Proyectos que requieran más de 30 años deberán ser aprobados por el Consejo Superior de Política Económica y Social – CONPES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1.25pt;height:11.25pt" o:bullet="t">
        <v:imagedata r:id="rId1" o:title="mso72E2"/>
      </v:shape>
    </w:pict>
  </w:numPicBullet>
  <w:abstractNum w:abstractNumId="0">
    <w:nsid w:val="00781E17"/>
    <w:multiLevelType w:val="hybridMultilevel"/>
    <w:tmpl w:val="178CC6FC"/>
    <w:lvl w:ilvl="0" w:tplc="BB16F1D4">
      <w:start w:val="1"/>
      <w:numFmt w:val="bullet"/>
      <w:lvlText w:val="°"/>
      <w:lvlJc w:val="left"/>
      <w:pPr>
        <w:tabs>
          <w:tab w:val="num" w:pos="1428"/>
        </w:tabs>
        <w:ind w:left="1428" w:hanging="360"/>
      </w:pPr>
      <w:rPr>
        <w:rFonts w:ascii="Courier New" w:hAnsi="Courier New" w:hint="default"/>
      </w:rPr>
    </w:lvl>
    <w:lvl w:ilvl="1" w:tplc="12B6119A" w:tentative="1">
      <w:start w:val="1"/>
      <w:numFmt w:val="bullet"/>
      <w:lvlText w:val="•"/>
      <w:lvlJc w:val="left"/>
      <w:pPr>
        <w:tabs>
          <w:tab w:val="num" w:pos="2148"/>
        </w:tabs>
        <w:ind w:left="2148" w:hanging="360"/>
      </w:pPr>
      <w:rPr>
        <w:rFonts w:ascii="Arial" w:hAnsi="Arial" w:hint="default"/>
      </w:rPr>
    </w:lvl>
    <w:lvl w:ilvl="2" w:tplc="7D7C72E2" w:tentative="1">
      <w:start w:val="1"/>
      <w:numFmt w:val="bullet"/>
      <w:lvlText w:val="•"/>
      <w:lvlJc w:val="left"/>
      <w:pPr>
        <w:tabs>
          <w:tab w:val="num" w:pos="2868"/>
        </w:tabs>
        <w:ind w:left="2868" w:hanging="360"/>
      </w:pPr>
      <w:rPr>
        <w:rFonts w:ascii="Arial" w:hAnsi="Arial" w:hint="default"/>
      </w:rPr>
    </w:lvl>
    <w:lvl w:ilvl="3" w:tplc="DCAA182C" w:tentative="1">
      <w:start w:val="1"/>
      <w:numFmt w:val="bullet"/>
      <w:lvlText w:val="•"/>
      <w:lvlJc w:val="left"/>
      <w:pPr>
        <w:tabs>
          <w:tab w:val="num" w:pos="3588"/>
        </w:tabs>
        <w:ind w:left="3588" w:hanging="360"/>
      </w:pPr>
      <w:rPr>
        <w:rFonts w:ascii="Arial" w:hAnsi="Arial" w:hint="default"/>
      </w:rPr>
    </w:lvl>
    <w:lvl w:ilvl="4" w:tplc="C3FE5B62" w:tentative="1">
      <w:start w:val="1"/>
      <w:numFmt w:val="bullet"/>
      <w:lvlText w:val="•"/>
      <w:lvlJc w:val="left"/>
      <w:pPr>
        <w:tabs>
          <w:tab w:val="num" w:pos="4308"/>
        </w:tabs>
        <w:ind w:left="4308" w:hanging="360"/>
      </w:pPr>
      <w:rPr>
        <w:rFonts w:ascii="Arial" w:hAnsi="Arial" w:hint="default"/>
      </w:rPr>
    </w:lvl>
    <w:lvl w:ilvl="5" w:tplc="3C201342" w:tentative="1">
      <w:start w:val="1"/>
      <w:numFmt w:val="bullet"/>
      <w:lvlText w:val="•"/>
      <w:lvlJc w:val="left"/>
      <w:pPr>
        <w:tabs>
          <w:tab w:val="num" w:pos="5028"/>
        </w:tabs>
        <w:ind w:left="5028" w:hanging="360"/>
      </w:pPr>
      <w:rPr>
        <w:rFonts w:ascii="Arial" w:hAnsi="Arial" w:hint="default"/>
      </w:rPr>
    </w:lvl>
    <w:lvl w:ilvl="6" w:tplc="14381410" w:tentative="1">
      <w:start w:val="1"/>
      <w:numFmt w:val="bullet"/>
      <w:lvlText w:val="•"/>
      <w:lvlJc w:val="left"/>
      <w:pPr>
        <w:tabs>
          <w:tab w:val="num" w:pos="5748"/>
        </w:tabs>
        <w:ind w:left="5748" w:hanging="360"/>
      </w:pPr>
      <w:rPr>
        <w:rFonts w:ascii="Arial" w:hAnsi="Arial" w:hint="default"/>
      </w:rPr>
    </w:lvl>
    <w:lvl w:ilvl="7" w:tplc="1702039E" w:tentative="1">
      <w:start w:val="1"/>
      <w:numFmt w:val="bullet"/>
      <w:lvlText w:val="•"/>
      <w:lvlJc w:val="left"/>
      <w:pPr>
        <w:tabs>
          <w:tab w:val="num" w:pos="6468"/>
        </w:tabs>
        <w:ind w:left="6468" w:hanging="360"/>
      </w:pPr>
      <w:rPr>
        <w:rFonts w:ascii="Arial" w:hAnsi="Arial" w:hint="default"/>
      </w:rPr>
    </w:lvl>
    <w:lvl w:ilvl="8" w:tplc="37647882" w:tentative="1">
      <w:start w:val="1"/>
      <w:numFmt w:val="bullet"/>
      <w:lvlText w:val="•"/>
      <w:lvlJc w:val="left"/>
      <w:pPr>
        <w:tabs>
          <w:tab w:val="num" w:pos="7188"/>
        </w:tabs>
        <w:ind w:left="7188" w:hanging="360"/>
      </w:pPr>
      <w:rPr>
        <w:rFonts w:ascii="Arial" w:hAnsi="Arial" w:hint="default"/>
      </w:rPr>
    </w:lvl>
  </w:abstractNum>
  <w:abstractNum w:abstractNumId="1">
    <w:nsid w:val="054A2221"/>
    <w:multiLevelType w:val="hybridMultilevel"/>
    <w:tmpl w:val="7A6CFEA2"/>
    <w:lvl w:ilvl="0" w:tplc="272C4A2A">
      <w:start w:val="1"/>
      <w:numFmt w:val="lowerLetter"/>
      <w:lvlText w:val="%1."/>
      <w:lvlJc w:val="left"/>
      <w:pPr>
        <w:ind w:left="1080" w:hanging="360"/>
      </w:pPr>
      <w:rPr>
        <w:rFonts w:hint="default"/>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5B10628"/>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CF73E6"/>
    <w:multiLevelType w:val="hybridMultilevel"/>
    <w:tmpl w:val="287EB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CF1C9E"/>
    <w:multiLevelType w:val="hybridMultilevel"/>
    <w:tmpl w:val="4454D1A6"/>
    <w:lvl w:ilvl="0" w:tplc="647A371A">
      <w:start w:val="1"/>
      <w:numFmt w:val="decimal"/>
      <w:lvlText w:val="%1."/>
      <w:lvlJc w:val="left"/>
      <w:pPr>
        <w:ind w:left="734" w:hanging="360"/>
      </w:pPr>
      <w:rPr>
        <w:rFonts w:hint="default"/>
      </w:rPr>
    </w:lvl>
    <w:lvl w:ilvl="1" w:tplc="080A0019" w:tentative="1">
      <w:start w:val="1"/>
      <w:numFmt w:val="lowerLetter"/>
      <w:lvlText w:val="%2."/>
      <w:lvlJc w:val="left"/>
      <w:pPr>
        <w:ind w:left="145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2894" w:hanging="360"/>
      </w:pPr>
    </w:lvl>
    <w:lvl w:ilvl="4" w:tplc="080A0019" w:tentative="1">
      <w:start w:val="1"/>
      <w:numFmt w:val="lowerLetter"/>
      <w:lvlText w:val="%5."/>
      <w:lvlJc w:val="left"/>
      <w:pPr>
        <w:ind w:left="3614" w:hanging="360"/>
      </w:pPr>
    </w:lvl>
    <w:lvl w:ilvl="5" w:tplc="080A001B" w:tentative="1">
      <w:start w:val="1"/>
      <w:numFmt w:val="lowerRoman"/>
      <w:lvlText w:val="%6."/>
      <w:lvlJc w:val="right"/>
      <w:pPr>
        <w:ind w:left="4334" w:hanging="180"/>
      </w:pPr>
    </w:lvl>
    <w:lvl w:ilvl="6" w:tplc="080A000F" w:tentative="1">
      <w:start w:val="1"/>
      <w:numFmt w:val="decimal"/>
      <w:lvlText w:val="%7."/>
      <w:lvlJc w:val="left"/>
      <w:pPr>
        <w:ind w:left="5054" w:hanging="360"/>
      </w:pPr>
    </w:lvl>
    <w:lvl w:ilvl="7" w:tplc="080A0019" w:tentative="1">
      <w:start w:val="1"/>
      <w:numFmt w:val="lowerLetter"/>
      <w:lvlText w:val="%8."/>
      <w:lvlJc w:val="left"/>
      <w:pPr>
        <w:ind w:left="5774" w:hanging="360"/>
      </w:pPr>
    </w:lvl>
    <w:lvl w:ilvl="8" w:tplc="080A001B" w:tentative="1">
      <w:start w:val="1"/>
      <w:numFmt w:val="lowerRoman"/>
      <w:lvlText w:val="%9."/>
      <w:lvlJc w:val="right"/>
      <w:pPr>
        <w:ind w:left="6494" w:hanging="180"/>
      </w:pPr>
    </w:lvl>
  </w:abstractNum>
  <w:abstractNum w:abstractNumId="5">
    <w:nsid w:val="0F306532"/>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280646D"/>
    <w:multiLevelType w:val="hybridMultilevel"/>
    <w:tmpl w:val="0D46AD4A"/>
    <w:lvl w:ilvl="0" w:tplc="CF22DD5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5372635"/>
    <w:multiLevelType w:val="hybridMultilevel"/>
    <w:tmpl w:val="1AC43DC4"/>
    <w:lvl w:ilvl="0" w:tplc="E5C662B4">
      <w:start w:val="18"/>
      <w:numFmt w:val="bullet"/>
      <w:lvlText w:val="-"/>
      <w:lvlJc w:val="left"/>
      <w:pPr>
        <w:ind w:left="405" w:hanging="360"/>
      </w:pPr>
      <w:rPr>
        <w:rFonts w:ascii="Arial Narrow" w:eastAsia="MS Mincho" w:hAnsi="Arial Narrow" w:cs="Times New Roman" w:hint="default"/>
      </w:rPr>
    </w:lvl>
    <w:lvl w:ilvl="1" w:tplc="240A0003">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8">
    <w:nsid w:val="16DD49A5"/>
    <w:multiLevelType w:val="hybridMultilevel"/>
    <w:tmpl w:val="229E9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7CB0D04"/>
    <w:multiLevelType w:val="hybridMultilevel"/>
    <w:tmpl w:val="E98AD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215E9D"/>
    <w:multiLevelType w:val="hybridMultilevel"/>
    <w:tmpl w:val="F14A5D4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Arial"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Arial"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Arial"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18635482"/>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830E0B"/>
    <w:multiLevelType w:val="hybridMultilevel"/>
    <w:tmpl w:val="337C62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B0F435C"/>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B484E5F"/>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B6A72BC"/>
    <w:multiLevelType w:val="hybridMultilevel"/>
    <w:tmpl w:val="98FA2878"/>
    <w:lvl w:ilvl="0" w:tplc="7980ACEE">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BD8F6E4">
      <w:start w:val="1"/>
      <w:numFmt w:val="bullet"/>
      <w:lvlText w:val="–"/>
      <w:lvlJc w:val="left"/>
      <w:pPr>
        <w:tabs>
          <w:tab w:val="num" w:pos="1440"/>
        </w:tabs>
        <w:ind w:left="1440" w:hanging="360"/>
      </w:pPr>
      <w:rPr>
        <w:rFonts w:ascii="Arial"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510CC85E" w:tentative="1">
      <w:start w:val="1"/>
      <w:numFmt w:val="lowerRoman"/>
      <w:lvlText w:val="%3."/>
      <w:lvlJc w:val="right"/>
      <w:pPr>
        <w:tabs>
          <w:tab w:val="num" w:pos="2160"/>
        </w:tabs>
        <w:ind w:left="2160" w:hanging="180"/>
      </w:pPr>
    </w:lvl>
    <w:lvl w:ilvl="3" w:tplc="501CAF7C" w:tentative="1">
      <w:start w:val="1"/>
      <w:numFmt w:val="decimal"/>
      <w:lvlText w:val="%4."/>
      <w:lvlJc w:val="left"/>
      <w:pPr>
        <w:tabs>
          <w:tab w:val="num" w:pos="2880"/>
        </w:tabs>
        <w:ind w:left="2880" w:hanging="360"/>
      </w:pPr>
    </w:lvl>
    <w:lvl w:ilvl="4" w:tplc="97229A60" w:tentative="1">
      <w:start w:val="1"/>
      <w:numFmt w:val="lowerLetter"/>
      <w:lvlText w:val="%5."/>
      <w:lvlJc w:val="left"/>
      <w:pPr>
        <w:tabs>
          <w:tab w:val="num" w:pos="3600"/>
        </w:tabs>
        <w:ind w:left="3600" w:hanging="360"/>
      </w:pPr>
    </w:lvl>
    <w:lvl w:ilvl="5" w:tplc="DA941EDE" w:tentative="1">
      <w:start w:val="1"/>
      <w:numFmt w:val="lowerRoman"/>
      <w:lvlText w:val="%6."/>
      <w:lvlJc w:val="right"/>
      <w:pPr>
        <w:tabs>
          <w:tab w:val="num" w:pos="4320"/>
        </w:tabs>
        <w:ind w:left="4320" w:hanging="180"/>
      </w:pPr>
    </w:lvl>
    <w:lvl w:ilvl="6" w:tplc="86502B22" w:tentative="1">
      <w:start w:val="1"/>
      <w:numFmt w:val="decimal"/>
      <w:lvlText w:val="%7."/>
      <w:lvlJc w:val="left"/>
      <w:pPr>
        <w:tabs>
          <w:tab w:val="num" w:pos="5040"/>
        </w:tabs>
        <w:ind w:left="5040" w:hanging="360"/>
      </w:pPr>
    </w:lvl>
    <w:lvl w:ilvl="7" w:tplc="42DE8F0A" w:tentative="1">
      <w:start w:val="1"/>
      <w:numFmt w:val="lowerLetter"/>
      <w:lvlText w:val="%8."/>
      <w:lvlJc w:val="left"/>
      <w:pPr>
        <w:tabs>
          <w:tab w:val="num" w:pos="5760"/>
        </w:tabs>
        <w:ind w:left="5760" w:hanging="360"/>
      </w:pPr>
    </w:lvl>
    <w:lvl w:ilvl="8" w:tplc="05EA4B50" w:tentative="1">
      <w:start w:val="1"/>
      <w:numFmt w:val="lowerRoman"/>
      <w:lvlText w:val="%9."/>
      <w:lvlJc w:val="right"/>
      <w:pPr>
        <w:tabs>
          <w:tab w:val="num" w:pos="6480"/>
        </w:tabs>
        <w:ind w:left="6480" w:hanging="180"/>
      </w:pPr>
    </w:lvl>
  </w:abstractNum>
  <w:abstractNum w:abstractNumId="16">
    <w:nsid w:val="1CDC4A9B"/>
    <w:multiLevelType w:val="hybridMultilevel"/>
    <w:tmpl w:val="DD7C7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12C59C2"/>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33D0F67"/>
    <w:multiLevelType w:val="hybridMultilevel"/>
    <w:tmpl w:val="710675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7424D14"/>
    <w:multiLevelType w:val="hybridMultilevel"/>
    <w:tmpl w:val="710675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81F7680"/>
    <w:multiLevelType w:val="hybridMultilevel"/>
    <w:tmpl w:val="9F504D9A"/>
    <w:lvl w:ilvl="0" w:tplc="0C322C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9D62845"/>
    <w:multiLevelType w:val="hybridMultilevel"/>
    <w:tmpl w:val="710675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2D485A71"/>
    <w:multiLevelType w:val="hybridMultilevel"/>
    <w:tmpl w:val="B57621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6E5482"/>
    <w:multiLevelType w:val="hybridMultilevel"/>
    <w:tmpl w:val="C72EA46E"/>
    <w:lvl w:ilvl="0" w:tplc="91B08AB2">
      <w:start w:val="1"/>
      <w:numFmt w:val="decimal"/>
      <w:lvlText w:val="%1."/>
      <w:lvlJc w:val="left"/>
      <w:pPr>
        <w:tabs>
          <w:tab w:val="num" w:pos="360"/>
        </w:tabs>
        <w:ind w:left="360" w:hanging="360"/>
      </w:pPr>
      <w:rPr>
        <w:rFonts w:ascii="Arial Narrow" w:eastAsia="Calibri" w:hAnsi="Arial Narrow" w:cs="Times New Roman"/>
      </w:rPr>
    </w:lvl>
    <w:lvl w:ilvl="1" w:tplc="ABFA24AE">
      <w:start w:val="130"/>
      <w:numFmt w:val="bullet"/>
      <w:lvlText w:val="•"/>
      <w:lvlJc w:val="left"/>
      <w:pPr>
        <w:tabs>
          <w:tab w:val="num" w:pos="1080"/>
        </w:tabs>
        <w:ind w:left="1080" w:hanging="360"/>
      </w:pPr>
      <w:rPr>
        <w:rFonts w:ascii="Arial" w:hAnsi="Arial" w:hint="default"/>
      </w:rPr>
    </w:lvl>
    <w:lvl w:ilvl="2" w:tplc="6A78EFD6" w:tentative="1">
      <w:start w:val="1"/>
      <w:numFmt w:val="bullet"/>
      <w:lvlText w:val="•"/>
      <w:lvlJc w:val="left"/>
      <w:pPr>
        <w:tabs>
          <w:tab w:val="num" w:pos="1800"/>
        </w:tabs>
        <w:ind w:left="1800" w:hanging="360"/>
      </w:pPr>
      <w:rPr>
        <w:rFonts w:ascii="Arial" w:hAnsi="Arial" w:hint="default"/>
      </w:rPr>
    </w:lvl>
    <w:lvl w:ilvl="3" w:tplc="A59A8A04" w:tentative="1">
      <w:start w:val="1"/>
      <w:numFmt w:val="bullet"/>
      <w:lvlText w:val="•"/>
      <w:lvlJc w:val="left"/>
      <w:pPr>
        <w:tabs>
          <w:tab w:val="num" w:pos="2520"/>
        </w:tabs>
        <w:ind w:left="2520" w:hanging="360"/>
      </w:pPr>
      <w:rPr>
        <w:rFonts w:ascii="Arial" w:hAnsi="Arial" w:hint="default"/>
      </w:rPr>
    </w:lvl>
    <w:lvl w:ilvl="4" w:tplc="55F05A8A" w:tentative="1">
      <w:start w:val="1"/>
      <w:numFmt w:val="bullet"/>
      <w:lvlText w:val="•"/>
      <w:lvlJc w:val="left"/>
      <w:pPr>
        <w:tabs>
          <w:tab w:val="num" w:pos="3240"/>
        </w:tabs>
        <w:ind w:left="3240" w:hanging="360"/>
      </w:pPr>
      <w:rPr>
        <w:rFonts w:ascii="Arial" w:hAnsi="Arial" w:hint="default"/>
      </w:rPr>
    </w:lvl>
    <w:lvl w:ilvl="5" w:tplc="F2F428A2" w:tentative="1">
      <w:start w:val="1"/>
      <w:numFmt w:val="bullet"/>
      <w:lvlText w:val="•"/>
      <w:lvlJc w:val="left"/>
      <w:pPr>
        <w:tabs>
          <w:tab w:val="num" w:pos="3960"/>
        </w:tabs>
        <w:ind w:left="3960" w:hanging="360"/>
      </w:pPr>
      <w:rPr>
        <w:rFonts w:ascii="Arial" w:hAnsi="Arial" w:hint="default"/>
      </w:rPr>
    </w:lvl>
    <w:lvl w:ilvl="6" w:tplc="12A487EC" w:tentative="1">
      <w:start w:val="1"/>
      <w:numFmt w:val="bullet"/>
      <w:lvlText w:val="•"/>
      <w:lvlJc w:val="left"/>
      <w:pPr>
        <w:tabs>
          <w:tab w:val="num" w:pos="4680"/>
        </w:tabs>
        <w:ind w:left="4680" w:hanging="360"/>
      </w:pPr>
      <w:rPr>
        <w:rFonts w:ascii="Arial" w:hAnsi="Arial" w:hint="default"/>
      </w:rPr>
    </w:lvl>
    <w:lvl w:ilvl="7" w:tplc="116E265A" w:tentative="1">
      <w:start w:val="1"/>
      <w:numFmt w:val="bullet"/>
      <w:lvlText w:val="•"/>
      <w:lvlJc w:val="left"/>
      <w:pPr>
        <w:tabs>
          <w:tab w:val="num" w:pos="5400"/>
        </w:tabs>
        <w:ind w:left="5400" w:hanging="360"/>
      </w:pPr>
      <w:rPr>
        <w:rFonts w:ascii="Arial" w:hAnsi="Arial" w:hint="default"/>
      </w:rPr>
    </w:lvl>
    <w:lvl w:ilvl="8" w:tplc="C2C2FFB2" w:tentative="1">
      <w:start w:val="1"/>
      <w:numFmt w:val="bullet"/>
      <w:lvlText w:val="•"/>
      <w:lvlJc w:val="left"/>
      <w:pPr>
        <w:tabs>
          <w:tab w:val="num" w:pos="6120"/>
        </w:tabs>
        <w:ind w:left="6120" w:hanging="360"/>
      </w:pPr>
      <w:rPr>
        <w:rFonts w:ascii="Arial" w:hAnsi="Arial" w:hint="default"/>
      </w:rPr>
    </w:lvl>
  </w:abstractNum>
  <w:abstractNum w:abstractNumId="24">
    <w:nsid w:val="38C22AA4"/>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D8C5D30"/>
    <w:multiLevelType w:val="hybridMultilevel"/>
    <w:tmpl w:val="8158AB08"/>
    <w:lvl w:ilvl="0" w:tplc="BC3849DC">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25D2FBB"/>
    <w:multiLevelType w:val="hybridMultilevel"/>
    <w:tmpl w:val="B9C2E2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2AC0367"/>
    <w:multiLevelType w:val="hybridMultilevel"/>
    <w:tmpl w:val="337C62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8B50614"/>
    <w:multiLevelType w:val="hybridMultilevel"/>
    <w:tmpl w:val="C26C3F9E"/>
    <w:lvl w:ilvl="0" w:tplc="04090001">
      <w:start w:val="1"/>
      <w:numFmt w:val="bullet"/>
      <w:lvlText w:val=""/>
      <w:lvlJc w:val="left"/>
      <w:pPr>
        <w:tabs>
          <w:tab w:val="num" w:pos="360"/>
        </w:tabs>
        <w:ind w:left="360" w:hanging="360"/>
      </w:pPr>
      <w:rPr>
        <w:rFonts w:ascii="Symbol" w:hAnsi="Symbol" w:hint="default"/>
      </w:rPr>
    </w:lvl>
    <w:lvl w:ilvl="1" w:tplc="ABFA24AE">
      <w:start w:val="130"/>
      <w:numFmt w:val="bullet"/>
      <w:lvlText w:val="•"/>
      <w:lvlJc w:val="left"/>
      <w:pPr>
        <w:tabs>
          <w:tab w:val="num" w:pos="1080"/>
        </w:tabs>
        <w:ind w:left="1080" w:hanging="360"/>
      </w:pPr>
      <w:rPr>
        <w:rFonts w:ascii="Arial" w:hAnsi="Arial" w:hint="default"/>
      </w:rPr>
    </w:lvl>
    <w:lvl w:ilvl="2" w:tplc="6A78EFD6" w:tentative="1">
      <w:start w:val="1"/>
      <w:numFmt w:val="bullet"/>
      <w:lvlText w:val="•"/>
      <w:lvlJc w:val="left"/>
      <w:pPr>
        <w:tabs>
          <w:tab w:val="num" w:pos="1800"/>
        </w:tabs>
        <w:ind w:left="1800" w:hanging="360"/>
      </w:pPr>
      <w:rPr>
        <w:rFonts w:ascii="Arial" w:hAnsi="Arial" w:hint="default"/>
      </w:rPr>
    </w:lvl>
    <w:lvl w:ilvl="3" w:tplc="A59A8A04" w:tentative="1">
      <w:start w:val="1"/>
      <w:numFmt w:val="bullet"/>
      <w:lvlText w:val="•"/>
      <w:lvlJc w:val="left"/>
      <w:pPr>
        <w:tabs>
          <w:tab w:val="num" w:pos="2520"/>
        </w:tabs>
        <w:ind w:left="2520" w:hanging="360"/>
      </w:pPr>
      <w:rPr>
        <w:rFonts w:ascii="Arial" w:hAnsi="Arial" w:hint="default"/>
      </w:rPr>
    </w:lvl>
    <w:lvl w:ilvl="4" w:tplc="55F05A8A" w:tentative="1">
      <w:start w:val="1"/>
      <w:numFmt w:val="bullet"/>
      <w:lvlText w:val="•"/>
      <w:lvlJc w:val="left"/>
      <w:pPr>
        <w:tabs>
          <w:tab w:val="num" w:pos="3240"/>
        </w:tabs>
        <w:ind w:left="3240" w:hanging="360"/>
      </w:pPr>
      <w:rPr>
        <w:rFonts w:ascii="Arial" w:hAnsi="Arial" w:hint="default"/>
      </w:rPr>
    </w:lvl>
    <w:lvl w:ilvl="5" w:tplc="F2F428A2" w:tentative="1">
      <w:start w:val="1"/>
      <w:numFmt w:val="bullet"/>
      <w:lvlText w:val="•"/>
      <w:lvlJc w:val="left"/>
      <w:pPr>
        <w:tabs>
          <w:tab w:val="num" w:pos="3960"/>
        </w:tabs>
        <w:ind w:left="3960" w:hanging="360"/>
      </w:pPr>
      <w:rPr>
        <w:rFonts w:ascii="Arial" w:hAnsi="Arial" w:hint="default"/>
      </w:rPr>
    </w:lvl>
    <w:lvl w:ilvl="6" w:tplc="12A487EC" w:tentative="1">
      <w:start w:val="1"/>
      <w:numFmt w:val="bullet"/>
      <w:lvlText w:val="•"/>
      <w:lvlJc w:val="left"/>
      <w:pPr>
        <w:tabs>
          <w:tab w:val="num" w:pos="4680"/>
        </w:tabs>
        <w:ind w:left="4680" w:hanging="360"/>
      </w:pPr>
      <w:rPr>
        <w:rFonts w:ascii="Arial" w:hAnsi="Arial" w:hint="default"/>
      </w:rPr>
    </w:lvl>
    <w:lvl w:ilvl="7" w:tplc="116E265A" w:tentative="1">
      <w:start w:val="1"/>
      <w:numFmt w:val="bullet"/>
      <w:lvlText w:val="•"/>
      <w:lvlJc w:val="left"/>
      <w:pPr>
        <w:tabs>
          <w:tab w:val="num" w:pos="5400"/>
        </w:tabs>
        <w:ind w:left="5400" w:hanging="360"/>
      </w:pPr>
      <w:rPr>
        <w:rFonts w:ascii="Arial" w:hAnsi="Arial" w:hint="default"/>
      </w:rPr>
    </w:lvl>
    <w:lvl w:ilvl="8" w:tplc="C2C2FFB2" w:tentative="1">
      <w:start w:val="1"/>
      <w:numFmt w:val="bullet"/>
      <w:lvlText w:val="•"/>
      <w:lvlJc w:val="left"/>
      <w:pPr>
        <w:tabs>
          <w:tab w:val="num" w:pos="6120"/>
        </w:tabs>
        <w:ind w:left="6120" w:hanging="360"/>
      </w:pPr>
      <w:rPr>
        <w:rFonts w:ascii="Arial" w:hAnsi="Arial" w:hint="default"/>
      </w:rPr>
    </w:lvl>
  </w:abstractNum>
  <w:abstractNum w:abstractNumId="29">
    <w:nsid w:val="49BA1CE8"/>
    <w:multiLevelType w:val="hybridMultilevel"/>
    <w:tmpl w:val="4A4E0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B890CB5"/>
    <w:multiLevelType w:val="hybridMultilevel"/>
    <w:tmpl w:val="50BA8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EB4D8E"/>
    <w:multiLevelType w:val="hybridMultilevel"/>
    <w:tmpl w:val="BE508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7692E9B"/>
    <w:multiLevelType w:val="hybridMultilevel"/>
    <w:tmpl w:val="7E34E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8796BD5"/>
    <w:multiLevelType w:val="multilevel"/>
    <w:tmpl w:val="95E88478"/>
    <w:lvl w:ilvl="0">
      <w:start w:val="1"/>
      <w:numFmt w:val="decimal"/>
      <w:pStyle w:val="Ttulo1"/>
      <w:lvlText w:val="%1."/>
      <w:lvlJc w:val="left"/>
      <w:pPr>
        <w:tabs>
          <w:tab w:val="num" w:pos="283"/>
        </w:tabs>
        <w:ind w:left="510" w:firstLine="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tabs>
          <w:tab w:val="num" w:pos="653"/>
        </w:tabs>
        <w:ind w:left="426" w:firstLine="0"/>
      </w:pPr>
      <w:rPr>
        <w:rFonts w:ascii="Trebuchet MS" w:hAnsi="Trebuchet MS" w:hint="default"/>
        <w:b/>
        <w:i w:val="0"/>
        <w:caps w:val="0"/>
        <w:strike w:val="0"/>
        <w:dstrike w:val="0"/>
        <w:vanish w:val="0"/>
        <w:color w:val="auto"/>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71"/>
        </w:tabs>
        <w:ind w:left="1071" w:hanging="504"/>
      </w:pPr>
      <w:rPr>
        <w:rFonts w:ascii="Arial Narrow" w:eastAsia="Arial Unicode MS" w:hAnsi="Arial Narrow" w:hint="default"/>
        <w:b/>
        <w:i w:val="0"/>
        <w:caps w:val="0"/>
        <w:strike w:val="0"/>
        <w:dstrike w:val="0"/>
        <w:vanish w:val="0"/>
        <w:color w:val="auto"/>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34">
    <w:nsid w:val="5AC3371C"/>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B656A35"/>
    <w:multiLevelType w:val="hybridMultilevel"/>
    <w:tmpl w:val="88C6777E"/>
    <w:lvl w:ilvl="0" w:tplc="FECC96A4">
      <w:start w:val="1"/>
      <w:numFmt w:val="decimal"/>
      <w:lvlText w:val="%1."/>
      <w:lvlJc w:val="left"/>
      <w:pPr>
        <w:ind w:left="1080" w:hanging="360"/>
      </w:pPr>
      <w:rPr>
        <w:rFonts w:eastAsia="Calibr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5DA01D1A"/>
    <w:multiLevelType w:val="hybridMultilevel"/>
    <w:tmpl w:val="FEAC93A2"/>
    <w:lvl w:ilvl="0" w:tplc="56DA5CE6">
      <w:start w:val="1"/>
      <w:numFmt w:val="lowerRoman"/>
      <w:lvlText w:val="(%1)"/>
      <w:lvlJc w:val="left"/>
      <w:pPr>
        <w:ind w:left="862" w:hanging="720"/>
      </w:pPr>
      <w:rPr>
        <w:rFonts w:ascii="Calibri" w:hAnsi="Calibri" w:cs="Calibri"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7">
    <w:nsid w:val="64834553"/>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A865A41"/>
    <w:multiLevelType w:val="hybridMultilevel"/>
    <w:tmpl w:val="933AB24C"/>
    <w:lvl w:ilvl="0" w:tplc="BC3849DC">
      <w:start w:val="1"/>
      <w:numFmt w:val="bullet"/>
      <w:lvlText w:val="•"/>
      <w:lvlJc w:val="left"/>
      <w:pPr>
        <w:tabs>
          <w:tab w:val="num" w:pos="720"/>
        </w:tabs>
        <w:ind w:left="720" w:hanging="360"/>
      </w:pPr>
      <w:rPr>
        <w:rFonts w:ascii="Times New Roman" w:hAnsi="Times New Roman" w:hint="default"/>
      </w:rPr>
    </w:lvl>
    <w:lvl w:ilvl="1" w:tplc="14BCD64A" w:tentative="1">
      <w:start w:val="1"/>
      <w:numFmt w:val="bullet"/>
      <w:lvlText w:val="•"/>
      <w:lvlJc w:val="left"/>
      <w:pPr>
        <w:tabs>
          <w:tab w:val="num" w:pos="1440"/>
        </w:tabs>
        <w:ind w:left="1440" w:hanging="360"/>
      </w:pPr>
      <w:rPr>
        <w:rFonts w:ascii="Times New Roman" w:hAnsi="Times New Roman" w:hint="default"/>
      </w:rPr>
    </w:lvl>
    <w:lvl w:ilvl="2" w:tplc="8892B3CC" w:tentative="1">
      <w:start w:val="1"/>
      <w:numFmt w:val="bullet"/>
      <w:lvlText w:val="•"/>
      <w:lvlJc w:val="left"/>
      <w:pPr>
        <w:tabs>
          <w:tab w:val="num" w:pos="2160"/>
        </w:tabs>
        <w:ind w:left="2160" w:hanging="360"/>
      </w:pPr>
      <w:rPr>
        <w:rFonts w:ascii="Times New Roman" w:hAnsi="Times New Roman" w:hint="default"/>
      </w:rPr>
    </w:lvl>
    <w:lvl w:ilvl="3" w:tplc="16728708" w:tentative="1">
      <w:start w:val="1"/>
      <w:numFmt w:val="bullet"/>
      <w:lvlText w:val="•"/>
      <w:lvlJc w:val="left"/>
      <w:pPr>
        <w:tabs>
          <w:tab w:val="num" w:pos="2880"/>
        </w:tabs>
        <w:ind w:left="2880" w:hanging="360"/>
      </w:pPr>
      <w:rPr>
        <w:rFonts w:ascii="Times New Roman" w:hAnsi="Times New Roman" w:hint="default"/>
      </w:rPr>
    </w:lvl>
    <w:lvl w:ilvl="4" w:tplc="D242EABE" w:tentative="1">
      <w:start w:val="1"/>
      <w:numFmt w:val="bullet"/>
      <w:lvlText w:val="•"/>
      <w:lvlJc w:val="left"/>
      <w:pPr>
        <w:tabs>
          <w:tab w:val="num" w:pos="3600"/>
        </w:tabs>
        <w:ind w:left="3600" w:hanging="360"/>
      </w:pPr>
      <w:rPr>
        <w:rFonts w:ascii="Times New Roman" w:hAnsi="Times New Roman" w:hint="default"/>
      </w:rPr>
    </w:lvl>
    <w:lvl w:ilvl="5" w:tplc="281C132C" w:tentative="1">
      <w:start w:val="1"/>
      <w:numFmt w:val="bullet"/>
      <w:lvlText w:val="•"/>
      <w:lvlJc w:val="left"/>
      <w:pPr>
        <w:tabs>
          <w:tab w:val="num" w:pos="4320"/>
        </w:tabs>
        <w:ind w:left="4320" w:hanging="360"/>
      </w:pPr>
      <w:rPr>
        <w:rFonts w:ascii="Times New Roman" w:hAnsi="Times New Roman" w:hint="default"/>
      </w:rPr>
    </w:lvl>
    <w:lvl w:ilvl="6" w:tplc="053AF4B0" w:tentative="1">
      <w:start w:val="1"/>
      <w:numFmt w:val="bullet"/>
      <w:lvlText w:val="•"/>
      <w:lvlJc w:val="left"/>
      <w:pPr>
        <w:tabs>
          <w:tab w:val="num" w:pos="5040"/>
        </w:tabs>
        <w:ind w:left="5040" w:hanging="360"/>
      </w:pPr>
      <w:rPr>
        <w:rFonts w:ascii="Times New Roman" w:hAnsi="Times New Roman" w:hint="default"/>
      </w:rPr>
    </w:lvl>
    <w:lvl w:ilvl="7" w:tplc="B60C6E36" w:tentative="1">
      <w:start w:val="1"/>
      <w:numFmt w:val="bullet"/>
      <w:lvlText w:val="•"/>
      <w:lvlJc w:val="left"/>
      <w:pPr>
        <w:tabs>
          <w:tab w:val="num" w:pos="5760"/>
        </w:tabs>
        <w:ind w:left="5760" w:hanging="360"/>
      </w:pPr>
      <w:rPr>
        <w:rFonts w:ascii="Times New Roman" w:hAnsi="Times New Roman" w:hint="default"/>
      </w:rPr>
    </w:lvl>
    <w:lvl w:ilvl="8" w:tplc="7228C22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B1A039A"/>
    <w:multiLevelType w:val="hybridMultilevel"/>
    <w:tmpl w:val="64B280C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DED61B1"/>
    <w:multiLevelType w:val="hybridMultilevel"/>
    <w:tmpl w:val="F3ACA9FC"/>
    <w:lvl w:ilvl="0" w:tplc="368847F4">
      <w:start w:val="1"/>
      <w:numFmt w:val="bullet"/>
      <w:lvlText w:val="-"/>
      <w:lvlJc w:val="left"/>
      <w:pPr>
        <w:ind w:left="405" w:hanging="360"/>
      </w:pPr>
      <w:rPr>
        <w:rFonts w:ascii="Arial Narrow" w:eastAsia="MS Mincho" w:hAnsi="Arial Narrow" w:cs="Times New Roman"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41">
    <w:nsid w:val="6EC66187"/>
    <w:multiLevelType w:val="hybridMultilevel"/>
    <w:tmpl w:val="71181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4322C7"/>
    <w:multiLevelType w:val="hybridMultilevel"/>
    <w:tmpl w:val="AB708868"/>
    <w:lvl w:ilvl="0" w:tplc="0C322C70">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5578B5"/>
    <w:multiLevelType w:val="hybridMultilevel"/>
    <w:tmpl w:val="06BA7ED6"/>
    <w:lvl w:ilvl="0" w:tplc="3458A5FA">
      <w:start w:val="1"/>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387973"/>
    <w:multiLevelType w:val="hybridMultilevel"/>
    <w:tmpl w:val="BE508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90636EB"/>
    <w:multiLevelType w:val="hybridMultilevel"/>
    <w:tmpl w:val="55FC0E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7B3E78"/>
    <w:multiLevelType w:val="hybridMultilevel"/>
    <w:tmpl w:val="306275E8"/>
    <w:lvl w:ilvl="0" w:tplc="13785C80">
      <w:start w:val="1"/>
      <w:numFmt w:val="decimal"/>
      <w:lvlText w:val="%1."/>
      <w:lvlJc w:val="left"/>
      <w:pPr>
        <w:ind w:left="734" w:hanging="360"/>
      </w:pPr>
      <w:rPr>
        <w:rFonts w:hint="default"/>
      </w:rPr>
    </w:lvl>
    <w:lvl w:ilvl="1" w:tplc="080A0019" w:tentative="1">
      <w:start w:val="1"/>
      <w:numFmt w:val="lowerLetter"/>
      <w:lvlText w:val="%2."/>
      <w:lvlJc w:val="left"/>
      <w:pPr>
        <w:ind w:left="145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2894" w:hanging="360"/>
      </w:pPr>
    </w:lvl>
    <w:lvl w:ilvl="4" w:tplc="080A0019" w:tentative="1">
      <w:start w:val="1"/>
      <w:numFmt w:val="lowerLetter"/>
      <w:lvlText w:val="%5."/>
      <w:lvlJc w:val="left"/>
      <w:pPr>
        <w:ind w:left="3614" w:hanging="360"/>
      </w:pPr>
    </w:lvl>
    <w:lvl w:ilvl="5" w:tplc="080A001B" w:tentative="1">
      <w:start w:val="1"/>
      <w:numFmt w:val="lowerRoman"/>
      <w:lvlText w:val="%6."/>
      <w:lvlJc w:val="right"/>
      <w:pPr>
        <w:ind w:left="4334" w:hanging="180"/>
      </w:pPr>
    </w:lvl>
    <w:lvl w:ilvl="6" w:tplc="080A000F" w:tentative="1">
      <w:start w:val="1"/>
      <w:numFmt w:val="decimal"/>
      <w:lvlText w:val="%7."/>
      <w:lvlJc w:val="left"/>
      <w:pPr>
        <w:ind w:left="5054" w:hanging="360"/>
      </w:pPr>
    </w:lvl>
    <w:lvl w:ilvl="7" w:tplc="080A0019" w:tentative="1">
      <w:start w:val="1"/>
      <w:numFmt w:val="lowerLetter"/>
      <w:lvlText w:val="%8."/>
      <w:lvlJc w:val="left"/>
      <w:pPr>
        <w:ind w:left="5774" w:hanging="360"/>
      </w:pPr>
    </w:lvl>
    <w:lvl w:ilvl="8" w:tplc="080A001B" w:tentative="1">
      <w:start w:val="1"/>
      <w:numFmt w:val="lowerRoman"/>
      <w:lvlText w:val="%9."/>
      <w:lvlJc w:val="right"/>
      <w:pPr>
        <w:ind w:left="6494" w:hanging="180"/>
      </w:pPr>
    </w:lvl>
  </w:abstractNum>
  <w:abstractNum w:abstractNumId="47">
    <w:nsid w:val="7A2E11F9"/>
    <w:multiLevelType w:val="hybridMultilevel"/>
    <w:tmpl w:val="9AA088B2"/>
    <w:lvl w:ilvl="0" w:tplc="DDB6399C">
      <w:start w:val="1"/>
      <w:numFmt w:val="bullet"/>
      <w:lvlText w:val="-"/>
      <w:lvlJc w:val="left"/>
      <w:pPr>
        <w:ind w:left="405" w:hanging="360"/>
      </w:pPr>
      <w:rPr>
        <w:rFonts w:ascii="Arial Narrow" w:eastAsia="Calibri" w:hAnsi="Arial Narrow" w:cs="Times New Roman"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48">
    <w:nsid w:val="7A601274"/>
    <w:multiLevelType w:val="hybridMultilevel"/>
    <w:tmpl w:val="36B08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B6C20EC"/>
    <w:multiLevelType w:val="hybridMultilevel"/>
    <w:tmpl w:val="710675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7CEE1662"/>
    <w:multiLevelType w:val="hybridMultilevel"/>
    <w:tmpl w:val="BE508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7E1B2CFB"/>
    <w:multiLevelType w:val="hybridMultilevel"/>
    <w:tmpl w:val="9CB2D992"/>
    <w:lvl w:ilvl="0" w:tplc="0C322C70">
      <w:numFmt w:val="bullet"/>
      <w:lvlText w:val="-"/>
      <w:lvlJc w:val="left"/>
      <w:pPr>
        <w:ind w:left="108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7F484D50"/>
    <w:multiLevelType w:val="hybridMultilevel"/>
    <w:tmpl w:val="6B24BFC6"/>
    <w:lvl w:ilvl="0" w:tplc="8D4E84C0">
      <w:start w:val="1"/>
      <w:numFmt w:val="decimal"/>
      <w:pStyle w:val="TablaNo"/>
      <w:lvlText w:val="Tabla No %1."/>
      <w:lvlJc w:val="center"/>
      <w:pPr>
        <w:ind w:left="4100" w:hanging="360"/>
      </w:pPr>
      <w:rPr>
        <w:rFonts w:cs="Times New Roman" w:hint="default"/>
        <w:b/>
        <w:sz w:val="22"/>
        <w:szCs w:val="22"/>
      </w:rPr>
    </w:lvl>
    <w:lvl w:ilvl="1" w:tplc="240A0019">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15"/>
  </w:num>
  <w:num w:numId="2">
    <w:abstractNumId w:val="33"/>
  </w:num>
  <w:num w:numId="3">
    <w:abstractNumId w:val="52"/>
  </w:num>
  <w:num w:numId="4">
    <w:abstractNumId w:val="17"/>
  </w:num>
  <w:num w:numId="5">
    <w:abstractNumId w:val="10"/>
  </w:num>
  <w:num w:numId="6">
    <w:abstractNumId w:val="1"/>
  </w:num>
  <w:num w:numId="7">
    <w:abstractNumId w:val="2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6"/>
  </w:num>
  <w:num w:numId="11">
    <w:abstractNumId w:val="32"/>
  </w:num>
  <w:num w:numId="12">
    <w:abstractNumId w:val="29"/>
  </w:num>
  <w:num w:numId="13">
    <w:abstractNumId w:val="16"/>
  </w:num>
  <w:num w:numId="14">
    <w:abstractNumId w:val="8"/>
  </w:num>
  <w:num w:numId="15">
    <w:abstractNumId w:val="24"/>
  </w:num>
  <w:num w:numId="16">
    <w:abstractNumId w:val="2"/>
  </w:num>
  <w:num w:numId="17">
    <w:abstractNumId w:val="13"/>
  </w:num>
  <w:num w:numId="18">
    <w:abstractNumId w:val="5"/>
  </w:num>
  <w:num w:numId="19">
    <w:abstractNumId w:val="14"/>
  </w:num>
  <w:num w:numId="20">
    <w:abstractNumId w:val="47"/>
  </w:num>
  <w:num w:numId="21">
    <w:abstractNumId w:val="37"/>
  </w:num>
  <w:num w:numId="22">
    <w:abstractNumId w:val="50"/>
  </w:num>
  <w:num w:numId="23">
    <w:abstractNumId w:val="36"/>
  </w:num>
  <w:num w:numId="24">
    <w:abstractNumId w:val="45"/>
  </w:num>
  <w:num w:numId="25">
    <w:abstractNumId w:val="9"/>
  </w:num>
  <w:num w:numId="26">
    <w:abstractNumId w:val="30"/>
  </w:num>
  <w:num w:numId="27">
    <w:abstractNumId w:val="43"/>
  </w:num>
  <w:num w:numId="28">
    <w:abstractNumId w:val="0"/>
  </w:num>
  <w:num w:numId="29">
    <w:abstractNumId w:val="28"/>
  </w:num>
  <w:num w:numId="30">
    <w:abstractNumId w:val="35"/>
  </w:num>
  <w:num w:numId="31">
    <w:abstractNumId w:val="23"/>
  </w:num>
  <w:num w:numId="32">
    <w:abstractNumId w:val="3"/>
  </w:num>
  <w:num w:numId="33">
    <w:abstractNumId w:val="48"/>
  </w:num>
  <w:num w:numId="34">
    <w:abstractNumId w:val="22"/>
  </w:num>
  <w:num w:numId="35">
    <w:abstractNumId w:val="20"/>
  </w:num>
  <w:num w:numId="36">
    <w:abstractNumId w:val="42"/>
  </w:num>
  <w:num w:numId="37">
    <w:abstractNumId w:val="41"/>
  </w:num>
  <w:num w:numId="38">
    <w:abstractNumId w:val="38"/>
  </w:num>
  <w:num w:numId="39">
    <w:abstractNumId w:val="51"/>
  </w:num>
  <w:num w:numId="40">
    <w:abstractNumId w:val="11"/>
  </w:num>
  <w:num w:numId="41">
    <w:abstractNumId w:val="34"/>
  </w:num>
  <w:num w:numId="42">
    <w:abstractNumId w:val="39"/>
  </w:num>
  <w:num w:numId="43">
    <w:abstractNumId w:val="7"/>
  </w:num>
  <w:num w:numId="44">
    <w:abstractNumId w:val="21"/>
  </w:num>
  <w:num w:numId="45">
    <w:abstractNumId w:val="49"/>
  </w:num>
  <w:num w:numId="46">
    <w:abstractNumId w:val="18"/>
  </w:num>
  <w:num w:numId="47">
    <w:abstractNumId w:val="19"/>
  </w:num>
  <w:num w:numId="48">
    <w:abstractNumId w:val="33"/>
  </w:num>
  <w:num w:numId="49">
    <w:abstractNumId w:val="31"/>
  </w:num>
  <w:num w:numId="50">
    <w:abstractNumId w:val="44"/>
  </w:num>
  <w:num w:numId="51">
    <w:abstractNumId w:val="12"/>
  </w:num>
  <w:num w:numId="52">
    <w:abstractNumId w:val="27"/>
  </w:num>
  <w:num w:numId="53">
    <w:abstractNumId w:val="40"/>
  </w:num>
  <w:num w:numId="54">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FD"/>
    <w:rsid w:val="00002B8B"/>
    <w:rsid w:val="000048B1"/>
    <w:rsid w:val="000048CA"/>
    <w:rsid w:val="00005EA1"/>
    <w:rsid w:val="00011943"/>
    <w:rsid w:val="00011AF6"/>
    <w:rsid w:val="00014333"/>
    <w:rsid w:val="0001680D"/>
    <w:rsid w:val="000175EE"/>
    <w:rsid w:val="000204B5"/>
    <w:rsid w:val="0002290F"/>
    <w:rsid w:val="00022A57"/>
    <w:rsid w:val="00022CDD"/>
    <w:rsid w:val="00025563"/>
    <w:rsid w:val="00027384"/>
    <w:rsid w:val="00027EA6"/>
    <w:rsid w:val="00030B7A"/>
    <w:rsid w:val="00031909"/>
    <w:rsid w:val="0003616B"/>
    <w:rsid w:val="0003785C"/>
    <w:rsid w:val="0004084F"/>
    <w:rsid w:val="00040CD0"/>
    <w:rsid w:val="00040E51"/>
    <w:rsid w:val="000411D9"/>
    <w:rsid w:val="000412B7"/>
    <w:rsid w:val="00041D15"/>
    <w:rsid w:val="000455A5"/>
    <w:rsid w:val="0004715B"/>
    <w:rsid w:val="0004720E"/>
    <w:rsid w:val="00051F17"/>
    <w:rsid w:val="0005285A"/>
    <w:rsid w:val="0005495C"/>
    <w:rsid w:val="00054EBD"/>
    <w:rsid w:val="0005570E"/>
    <w:rsid w:val="00055A96"/>
    <w:rsid w:val="00055C1C"/>
    <w:rsid w:val="00057259"/>
    <w:rsid w:val="000608D8"/>
    <w:rsid w:val="0006128F"/>
    <w:rsid w:val="0006277D"/>
    <w:rsid w:val="00063C40"/>
    <w:rsid w:val="00065C31"/>
    <w:rsid w:val="000704E5"/>
    <w:rsid w:val="00070771"/>
    <w:rsid w:val="0007480F"/>
    <w:rsid w:val="0007500B"/>
    <w:rsid w:val="0007510D"/>
    <w:rsid w:val="0008271F"/>
    <w:rsid w:val="00083B98"/>
    <w:rsid w:val="0008763A"/>
    <w:rsid w:val="00087789"/>
    <w:rsid w:val="00090CB2"/>
    <w:rsid w:val="000913A1"/>
    <w:rsid w:val="000970A9"/>
    <w:rsid w:val="00097F79"/>
    <w:rsid w:val="000A0E57"/>
    <w:rsid w:val="000A19BA"/>
    <w:rsid w:val="000A346D"/>
    <w:rsid w:val="000A5A00"/>
    <w:rsid w:val="000A5B16"/>
    <w:rsid w:val="000A7D04"/>
    <w:rsid w:val="000B259F"/>
    <w:rsid w:val="000B55A9"/>
    <w:rsid w:val="000B5973"/>
    <w:rsid w:val="000B6222"/>
    <w:rsid w:val="000B6335"/>
    <w:rsid w:val="000B6E7C"/>
    <w:rsid w:val="000C4D8B"/>
    <w:rsid w:val="000C7592"/>
    <w:rsid w:val="000D6BCD"/>
    <w:rsid w:val="000E1C4F"/>
    <w:rsid w:val="000E4B63"/>
    <w:rsid w:val="000E598B"/>
    <w:rsid w:val="000E5C83"/>
    <w:rsid w:val="000E5D70"/>
    <w:rsid w:val="000E676F"/>
    <w:rsid w:val="000E75E1"/>
    <w:rsid w:val="000F0266"/>
    <w:rsid w:val="000F0BF9"/>
    <w:rsid w:val="000F3524"/>
    <w:rsid w:val="000F3784"/>
    <w:rsid w:val="000F398F"/>
    <w:rsid w:val="000F4479"/>
    <w:rsid w:val="000F553C"/>
    <w:rsid w:val="000F65C1"/>
    <w:rsid w:val="000F6BDF"/>
    <w:rsid w:val="000F6E72"/>
    <w:rsid w:val="000F7098"/>
    <w:rsid w:val="001025F2"/>
    <w:rsid w:val="0010260C"/>
    <w:rsid w:val="001027CD"/>
    <w:rsid w:val="00103837"/>
    <w:rsid w:val="00104706"/>
    <w:rsid w:val="00105D0A"/>
    <w:rsid w:val="001109E8"/>
    <w:rsid w:val="00110F5B"/>
    <w:rsid w:val="001116D0"/>
    <w:rsid w:val="0011211A"/>
    <w:rsid w:val="00113C16"/>
    <w:rsid w:val="001150A1"/>
    <w:rsid w:val="00115F47"/>
    <w:rsid w:val="0012188F"/>
    <w:rsid w:val="00121A12"/>
    <w:rsid w:val="00121C8C"/>
    <w:rsid w:val="0012434A"/>
    <w:rsid w:val="001257F1"/>
    <w:rsid w:val="001270CB"/>
    <w:rsid w:val="00130CEF"/>
    <w:rsid w:val="00131983"/>
    <w:rsid w:val="00134AA1"/>
    <w:rsid w:val="00135DF4"/>
    <w:rsid w:val="00137E70"/>
    <w:rsid w:val="001408D1"/>
    <w:rsid w:val="00141495"/>
    <w:rsid w:val="001416B0"/>
    <w:rsid w:val="00141C2F"/>
    <w:rsid w:val="00144E9A"/>
    <w:rsid w:val="00145622"/>
    <w:rsid w:val="00145C53"/>
    <w:rsid w:val="00145D04"/>
    <w:rsid w:val="00150864"/>
    <w:rsid w:val="0015124C"/>
    <w:rsid w:val="00152D5E"/>
    <w:rsid w:val="00153910"/>
    <w:rsid w:val="00155B00"/>
    <w:rsid w:val="00155F58"/>
    <w:rsid w:val="00157509"/>
    <w:rsid w:val="0015774C"/>
    <w:rsid w:val="0015782B"/>
    <w:rsid w:val="00162087"/>
    <w:rsid w:val="00163AE8"/>
    <w:rsid w:val="0016476F"/>
    <w:rsid w:val="00165C17"/>
    <w:rsid w:val="0016794E"/>
    <w:rsid w:val="001713EC"/>
    <w:rsid w:val="00171C45"/>
    <w:rsid w:val="00172543"/>
    <w:rsid w:val="00173F76"/>
    <w:rsid w:val="001747A1"/>
    <w:rsid w:val="001758ED"/>
    <w:rsid w:val="001765CC"/>
    <w:rsid w:val="001765F5"/>
    <w:rsid w:val="0018117B"/>
    <w:rsid w:val="001812F1"/>
    <w:rsid w:val="001864D0"/>
    <w:rsid w:val="0018708E"/>
    <w:rsid w:val="00193F46"/>
    <w:rsid w:val="001A12CA"/>
    <w:rsid w:val="001A233E"/>
    <w:rsid w:val="001A2D3B"/>
    <w:rsid w:val="001A410D"/>
    <w:rsid w:val="001A4DD0"/>
    <w:rsid w:val="001A7908"/>
    <w:rsid w:val="001B0521"/>
    <w:rsid w:val="001B3293"/>
    <w:rsid w:val="001B3F0F"/>
    <w:rsid w:val="001B5738"/>
    <w:rsid w:val="001B6DD7"/>
    <w:rsid w:val="001C0763"/>
    <w:rsid w:val="001C339F"/>
    <w:rsid w:val="001C4280"/>
    <w:rsid w:val="001C49DB"/>
    <w:rsid w:val="001C5523"/>
    <w:rsid w:val="001C5607"/>
    <w:rsid w:val="001C6009"/>
    <w:rsid w:val="001C640D"/>
    <w:rsid w:val="001C68D2"/>
    <w:rsid w:val="001D0569"/>
    <w:rsid w:val="001D094E"/>
    <w:rsid w:val="001D0EB8"/>
    <w:rsid w:val="001D556B"/>
    <w:rsid w:val="001D5C3A"/>
    <w:rsid w:val="001E15DA"/>
    <w:rsid w:val="001E251E"/>
    <w:rsid w:val="001E2B35"/>
    <w:rsid w:val="001E2C72"/>
    <w:rsid w:val="001E391D"/>
    <w:rsid w:val="001E5D4D"/>
    <w:rsid w:val="001E65FA"/>
    <w:rsid w:val="001F04D1"/>
    <w:rsid w:val="001F0638"/>
    <w:rsid w:val="001F3B41"/>
    <w:rsid w:val="001F5B3B"/>
    <w:rsid w:val="001F62B4"/>
    <w:rsid w:val="001F7567"/>
    <w:rsid w:val="002008B9"/>
    <w:rsid w:val="002011D9"/>
    <w:rsid w:val="00202F3A"/>
    <w:rsid w:val="0020314A"/>
    <w:rsid w:val="0020364B"/>
    <w:rsid w:val="00204D3E"/>
    <w:rsid w:val="00204E71"/>
    <w:rsid w:val="0020595B"/>
    <w:rsid w:val="00206351"/>
    <w:rsid w:val="00206A04"/>
    <w:rsid w:val="00207F60"/>
    <w:rsid w:val="002100FF"/>
    <w:rsid w:val="00210293"/>
    <w:rsid w:val="00213840"/>
    <w:rsid w:val="0021684F"/>
    <w:rsid w:val="00217442"/>
    <w:rsid w:val="00220E43"/>
    <w:rsid w:val="00221D64"/>
    <w:rsid w:val="00223B0C"/>
    <w:rsid w:val="00223C05"/>
    <w:rsid w:val="002244C4"/>
    <w:rsid w:val="00224E21"/>
    <w:rsid w:val="00227493"/>
    <w:rsid w:val="00230E58"/>
    <w:rsid w:val="00233DF5"/>
    <w:rsid w:val="0023412C"/>
    <w:rsid w:val="00234424"/>
    <w:rsid w:val="00240CF7"/>
    <w:rsid w:val="002439F7"/>
    <w:rsid w:val="00243BFD"/>
    <w:rsid w:val="0025029D"/>
    <w:rsid w:val="002515AC"/>
    <w:rsid w:val="00251601"/>
    <w:rsid w:val="0025264C"/>
    <w:rsid w:val="0025615D"/>
    <w:rsid w:val="002565EE"/>
    <w:rsid w:val="00256B39"/>
    <w:rsid w:val="002577A8"/>
    <w:rsid w:val="00257880"/>
    <w:rsid w:val="00260435"/>
    <w:rsid w:val="00260C82"/>
    <w:rsid w:val="00261520"/>
    <w:rsid w:val="00261A81"/>
    <w:rsid w:val="002652DE"/>
    <w:rsid w:val="00265BD4"/>
    <w:rsid w:val="00267C30"/>
    <w:rsid w:val="00272D72"/>
    <w:rsid w:val="00274EC7"/>
    <w:rsid w:val="00275BDE"/>
    <w:rsid w:val="002800BB"/>
    <w:rsid w:val="00280958"/>
    <w:rsid w:val="00283A98"/>
    <w:rsid w:val="002858FA"/>
    <w:rsid w:val="0028692B"/>
    <w:rsid w:val="00286D74"/>
    <w:rsid w:val="00286E2A"/>
    <w:rsid w:val="002873E4"/>
    <w:rsid w:val="00292C32"/>
    <w:rsid w:val="00292C6A"/>
    <w:rsid w:val="0029350C"/>
    <w:rsid w:val="00294F10"/>
    <w:rsid w:val="00297174"/>
    <w:rsid w:val="002A2834"/>
    <w:rsid w:val="002A337E"/>
    <w:rsid w:val="002A3462"/>
    <w:rsid w:val="002A5588"/>
    <w:rsid w:val="002A630A"/>
    <w:rsid w:val="002A6EEF"/>
    <w:rsid w:val="002B0478"/>
    <w:rsid w:val="002B0B05"/>
    <w:rsid w:val="002B1800"/>
    <w:rsid w:val="002B71F6"/>
    <w:rsid w:val="002C18D5"/>
    <w:rsid w:val="002C1AC2"/>
    <w:rsid w:val="002C1D9C"/>
    <w:rsid w:val="002C2666"/>
    <w:rsid w:val="002C2C81"/>
    <w:rsid w:val="002C3385"/>
    <w:rsid w:val="002C35A7"/>
    <w:rsid w:val="002C3E34"/>
    <w:rsid w:val="002C6757"/>
    <w:rsid w:val="002C7825"/>
    <w:rsid w:val="002C7E2E"/>
    <w:rsid w:val="002D0B0F"/>
    <w:rsid w:val="002D1219"/>
    <w:rsid w:val="002D1E87"/>
    <w:rsid w:val="002D2E9F"/>
    <w:rsid w:val="002D30BD"/>
    <w:rsid w:val="002D34F7"/>
    <w:rsid w:val="002D3FC4"/>
    <w:rsid w:val="002D5BF2"/>
    <w:rsid w:val="002D607E"/>
    <w:rsid w:val="002E108C"/>
    <w:rsid w:val="002E4A81"/>
    <w:rsid w:val="002E4DD3"/>
    <w:rsid w:val="002E5553"/>
    <w:rsid w:val="002F3BA5"/>
    <w:rsid w:val="002F42BB"/>
    <w:rsid w:val="002F46C6"/>
    <w:rsid w:val="002F737F"/>
    <w:rsid w:val="002F7515"/>
    <w:rsid w:val="00301433"/>
    <w:rsid w:val="0030411F"/>
    <w:rsid w:val="00306DC9"/>
    <w:rsid w:val="00307260"/>
    <w:rsid w:val="00307D4B"/>
    <w:rsid w:val="00307E47"/>
    <w:rsid w:val="003112D5"/>
    <w:rsid w:val="003113C0"/>
    <w:rsid w:val="003127F9"/>
    <w:rsid w:val="00313332"/>
    <w:rsid w:val="00313D5C"/>
    <w:rsid w:val="00314BAA"/>
    <w:rsid w:val="00315C69"/>
    <w:rsid w:val="00317083"/>
    <w:rsid w:val="00320439"/>
    <w:rsid w:val="00320E9C"/>
    <w:rsid w:val="003217FD"/>
    <w:rsid w:val="003219F9"/>
    <w:rsid w:val="00321B17"/>
    <w:rsid w:val="00323A14"/>
    <w:rsid w:val="00324C07"/>
    <w:rsid w:val="0032567E"/>
    <w:rsid w:val="00331DB6"/>
    <w:rsid w:val="00332249"/>
    <w:rsid w:val="00332B06"/>
    <w:rsid w:val="0033386D"/>
    <w:rsid w:val="003348F2"/>
    <w:rsid w:val="00334BC2"/>
    <w:rsid w:val="0033577A"/>
    <w:rsid w:val="003368CC"/>
    <w:rsid w:val="00336B81"/>
    <w:rsid w:val="00342D4B"/>
    <w:rsid w:val="003442E6"/>
    <w:rsid w:val="00346824"/>
    <w:rsid w:val="003472EF"/>
    <w:rsid w:val="00351AAC"/>
    <w:rsid w:val="00353C4E"/>
    <w:rsid w:val="00355A6D"/>
    <w:rsid w:val="003576FC"/>
    <w:rsid w:val="00360023"/>
    <w:rsid w:val="003601BE"/>
    <w:rsid w:val="00360338"/>
    <w:rsid w:val="003605FC"/>
    <w:rsid w:val="00361ECF"/>
    <w:rsid w:val="00363E1A"/>
    <w:rsid w:val="00365B04"/>
    <w:rsid w:val="003669DE"/>
    <w:rsid w:val="00367153"/>
    <w:rsid w:val="00367423"/>
    <w:rsid w:val="00367774"/>
    <w:rsid w:val="00367AC6"/>
    <w:rsid w:val="00371F20"/>
    <w:rsid w:val="003753FE"/>
    <w:rsid w:val="00376BCB"/>
    <w:rsid w:val="003773BE"/>
    <w:rsid w:val="00380A59"/>
    <w:rsid w:val="0038169F"/>
    <w:rsid w:val="00382D88"/>
    <w:rsid w:val="003917C9"/>
    <w:rsid w:val="00391989"/>
    <w:rsid w:val="00391CE4"/>
    <w:rsid w:val="0039415C"/>
    <w:rsid w:val="00396546"/>
    <w:rsid w:val="003A2850"/>
    <w:rsid w:val="003A5B5D"/>
    <w:rsid w:val="003B047D"/>
    <w:rsid w:val="003B182A"/>
    <w:rsid w:val="003B220C"/>
    <w:rsid w:val="003B3C96"/>
    <w:rsid w:val="003B490F"/>
    <w:rsid w:val="003B504A"/>
    <w:rsid w:val="003B5CB5"/>
    <w:rsid w:val="003B6B60"/>
    <w:rsid w:val="003B71E3"/>
    <w:rsid w:val="003C34C4"/>
    <w:rsid w:val="003C3834"/>
    <w:rsid w:val="003C4A8F"/>
    <w:rsid w:val="003C50D6"/>
    <w:rsid w:val="003C606C"/>
    <w:rsid w:val="003C784C"/>
    <w:rsid w:val="003D11BA"/>
    <w:rsid w:val="003D268A"/>
    <w:rsid w:val="003D2BC6"/>
    <w:rsid w:val="003D32EB"/>
    <w:rsid w:val="003D4B86"/>
    <w:rsid w:val="003D510E"/>
    <w:rsid w:val="003D5585"/>
    <w:rsid w:val="003D7244"/>
    <w:rsid w:val="003D7399"/>
    <w:rsid w:val="003D7B21"/>
    <w:rsid w:val="003E11EA"/>
    <w:rsid w:val="003E1955"/>
    <w:rsid w:val="003E19F7"/>
    <w:rsid w:val="003E32F9"/>
    <w:rsid w:val="003E50D2"/>
    <w:rsid w:val="003F0958"/>
    <w:rsid w:val="003F11B7"/>
    <w:rsid w:val="003F3620"/>
    <w:rsid w:val="003F39A1"/>
    <w:rsid w:val="003F3A8F"/>
    <w:rsid w:val="003F44A6"/>
    <w:rsid w:val="003F5D40"/>
    <w:rsid w:val="003F6476"/>
    <w:rsid w:val="003F7548"/>
    <w:rsid w:val="003F7DC1"/>
    <w:rsid w:val="004001A3"/>
    <w:rsid w:val="004012F3"/>
    <w:rsid w:val="004016EC"/>
    <w:rsid w:val="004036FD"/>
    <w:rsid w:val="00403C14"/>
    <w:rsid w:val="00403F1E"/>
    <w:rsid w:val="00404214"/>
    <w:rsid w:val="00406654"/>
    <w:rsid w:val="0040740F"/>
    <w:rsid w:val="00407B38"/>
    <w:rsid w:val="004134F0"/>
    <w:rsid w:val="004154BC"/>
    <w:rsid w:val="00416AA1"/>
    <w:rsid w:val="0041718F"/>
    <w:rsid w:val="0042038F"/>
    <w:rsid w:val="004204D7"/>
    <w:rsid w:val="00421089"/>
    <w:rsid w:val="004223BC"/>
    <w:rsid w:val="004234FD"/>
    <w:rsid w:val="0042415F"/>
    <w:rsid w:val="004241E8"/>
    <w:rsid w:val="00425AA6"/>
    <w:rsid w:val="00427FE6"/>
    <w:rsid w:val="0043033C"/>
    <w:rsid w:val="00432267"/>
    <w:rsid w:val="00432F19"/>
    <w:rsid w:val="00433610"/>
    <w:rsid w:val="004351FB"/>
    <w:rsid w:val="0043529D"/>
    <w:rsid w:val="004433D6"/>
    <w:rsid w:val="0044398C"/>
    <w:rsid w:val="00443E5A"/>
    <w:rsid w:val="00444072"/>
    <w:rsid w:val="004442AE"/>
    <w:rsid w:val="004471A6"/>
    <w:rsid w:val="00447284"/>
    <w:rsid w:val="00451EF8"/>
    <w:rsid w:val="00454356"/>
    <w:rsid w:val="004577FB"/>
    <w:rsid w:val="00457B0D"/>
    <w:rsid w:val="0046354D"/>
    <w:rsid w:val="00463AB3"/>
    <w:rsid w:val="00463FE9"/>
    <w:rsid w:val="00464A5C"/>
    <w:rsid w:val="004650DD"/>
    <w:rsid w:val="00465AC3"/>
    <w:rsid w:val="00471DFC"/>
    <w:rsid w:val="004726F6"/>
    <w:rsid w:val="0047447B"/>
    <w:rsid w:val="00474487"/>
    <w:rsid w:val="00477D68"/>
    <w:rsid w:val="00480D4C"/>
    <w:rsid w:val="0048245E"/>
    <w:rsid w:val="00483F8B"/>
    <w:rsid w:val="00484A6F"/>
    <w:rsid w:val="0048575A"/>
    <w:rsid w:val="00486349"/>
    <w:rsid w:val="00490FC3"/>
    <w:rsid w:val="00491E7A"/>
    <w:rsid w:val="00495F4D"/>
    <w:rsid w:val="00496DC3"/>
    <w:rsid w:val="00497918"/>
    <w:rsid w:val="004A185A"/>
    <w:rsid w:val="004A2F31"/>
    <w:rsid w:val="004A5C9A"/>
    <w:rsid w:val="004A5F53"/>
    <w:rsid w:val="004A7F7E"/>
    <w:rsid w:val="004B0223"/>
    <w:rsid w:val="004B0569"/>
    <w:rsid w:val="004B4798"/>
    <w:rsid w:val="004B49EB"/>
    <w:rsid w:val="004B6F30"/>
    <w:rsid w:val="004B74A4"/>
    <w:rsid w:val="004B7EEE"/>
    <w:rsid w:val="004C15E2"/>
    <w:rsid w:val="004C4014"/>
    <w:rsid w:val="004C6AB0"/>
    <w:rsid w:val="004D0FD1"/>
    <w:rsid w:val="004D13FF"/>
    <w:rsid w:val="004D2C78"/>
    <w:rsid w:val="004D3ECA"/>
    <w:rsid w:val="004D4386"/>
    <w:rsid w:val="004D477B"/>
    <w:rsid w:val="004D4A60"/>
    <w:rsid w:val="004D6B5F"/>
    <w:rsid w:val="004E294A"/>
    <w:rsid w:val="004E60F3"/>
    <w:rsid w:val="004E66E9"/>
    <w:rsid w:val="004F016F"/>
    <w:rsid w:val="004F28A4"/>
    <w:rsid w:val="004F4198"/>
    <w:rsid w:val="004F479C"/>
    <w:rsid w:val="004F5E98"/>
    <w:rsid w:val="0050104E"/>
    <w:rsid w:val="00503640"/>
    <w:rsid w:val="00503B6E"/>
    <w:rsid w:val="00504288"/>
    <w:rsid w:val="0050788B"/>
    <w:rsid w:val="005107CB"/>
    <w:rsid w:val="005146B9"/>
    <w:rsid w:val="00514D46"/>
    <w:rsid w:val="00521451"/>
    <w:rsid w:val="00521F34"/>
    <w:rsid w:val="00522008"/>
    <w:rsid w:val="005241E7"/>
    <w:rsid w:val="00531EFE"/>
    <w:rsid w:val="00535E16"/>
    <w:rsid w:val="0054011A"/>
    <w:rsid w:val="005401A0"/>
    <w:rsid w:val="005401C5"/>
    <w:rsid w:val="00541217"/>
    <w:rsid w:val="00542283"/>
    <w:rsid w:val="00543CF3"/>
    <w:rsid w:val="005452D8"/>
    <w:rsid w:val="005454D6"/>
    <w:rsid w:val="0054552A"/>
    <w:rsid w:val="005462FC"/>
    <w:rsid w:val="00550010"/>
    <w:rsid w:val="00550626"/>
    <w:rsid w:val="00552A03"/>
    <w:rsid w:val="00553A78"/>
    <w:rsid w:val="0055486D"/>
    <w:rsid w:val="00554DE8"/>
    <w:rsid w:val="00554F60"/>
    <w:rsid w:val="0055670A"/>
    <w:rsid w:val="00557802"/>
    <w:rsid w:val="00560572"/>
    <w:rsid w:val="0056168C"/>
    <w:rsid w:val="00562AF7"/>
    <w:rsid w:val="005631C5"/>
    <w:rsid w:val="00564D3B"/>
    <w:rsid w:val="00564ED5"/>
    <w:rsid w:val="00565B03"/>
    <w:rsid w:val="00570C06"/>
    <w:rsid w:val="005712F0"/>
    <w:rsid w:val="00571AE6"/>
    <w:rsid w:val="00572796"/>
    <w:rsid w:val="005735BA"/>
    <w:rsid w:val="00575A01"/>
    <w:rsid w:val="00576CFD"/>
    <w:rsid w:val="00576E3A"/>
    <w:rsid w:val="00577492"/>
    <w:rsid w:val="0058122D"/>
    <w:rsid w:val="005830D9"/>
    <w:rsid w:val="00586525"/>
    <w:rsid w:val="00586BE3"/>
    <w:rsid w:val="00587F2E"/>
    <w:rsid w:val="00590858"/>
    <w:rsid w:val="0059095E"/>
    <w:rsid w:val="00591F84"/>
    <w:rsid w:val="00595EC8"/>
    <w:rsid w:val="0059677E"/>
    <w:rsid w:val="005977C7"/>
    <w:rsid w:val="0059781D"/>
    <w:rsid w:val="005A0732"/>
    <w:rsid w:val="005A264E"/>
    <w:rsid w:val="005A26A5"/>
    <w:rsid w:val="005A2B0F"/>
    <w:rsid w:val="005A47D9"/>
    <w:rsid w:val="005A5FD2"/>
    <w:rsid w:val="005B0015"/>
    <w:rsid w:val="005B0F6B"/>
    <w:rsid w:val="005B1E1D"/>
    <w:rsid w:val="005B2C93"/>
    <w:rsid w:val="005B42C8"/>
    <w:rsid w:val="005B44CC"/>
    <w:rsid w:val="005B476A"/>
    <w:rsid w:val="005B4CF2"/>
    <w:rsid w:val="005B5305"/>
    <w:rsid w:val="005B65A3"/>
    <w:rsid w:val="005C0DA1"/>
    <w:rsid w:val="005C15A9"/>
    <w:rsid w:val="005C1832"/>
    <w:rsid w:val="005C3134"/>
    <w:rsid w:val="005C3678"/>
    <w:rsid w:val="005C4B9A"/>
    <w:rsid w:val="005C7D48"/>
    <w:rsid w:val="005C7F12"/>
    <w:rsid w:val="005D1613"/>
    <w:rsid w:val="005D2BFB"/>
    <w:rsid w:val="005D2C15"/>
    <w:rsid w:val="005D32C1"/>
    <w:rsid w:val="005D32D6"/>
    <w:rsid w:val="005D3377"/>
    <w:rsid w:val="005D5631"/>
    <w:rsid w:val="005D63FC"/>
    <w:rsid w:val="005E2C7B"/>
    <w:rsid w:val="005E4DE9"/>
    <w:rsid w:val="005E7594"/>
    <w:rsid w:val="005F6271"/>
    <w:rsid w:val="006024EA"/>
    <w:rsid w:val="00602582"/>
    <w:rsid w:val="00602BFB"/>
    <w:rsid w:val="00605D9F"/>
    <w:rsid w:val="006069B8"/>
    <w:rsid w:val="00607A20"/>
    <w:rsid w:val="00610E3B"/>
    <w:rsid w:val="006118AE"/>
    <w:rsid w:val="00612601"/>
    <w:rsid w:val="0061331D"/>
    <w:rsid w:val="00613729"/>
    <w:rsid w:val="00614EAC"/>
    <w:rsid w:val="00615D1E"/>
    <w:rsid w:val="006161E6"/>
    <w:rsid w:val="00616213"/>
    <w:rsid w:val="006178EE"/>
    <w:rsid w:val="006179FF"/>
    <w:rsid w:val="0062328B"/>
    <w:rsid w:val="00624E27"/>
    <w:rsid w:val="0062513A"/>
    <w:rsid w:val="00626670"/>
    <w:rsid w:val="0062741E"/>
    <w:rsid w:val="00627803"/>
    <w:rsid w:val="00630703"/>
    <w:rsid w:val="006314FB"/>
    <w:rsid w:val="00636393"/>
    <w:rsid w:val="0064088E"/>
    <w:rsid w:val="00642918"/>
    <w:rsid w:val="00646221"/>
    <w:rsid w:val="006462FE"/>
    <w:rsid w:val="006464F5"/>
    <w:rsid w:val="00647CB3"/>
    <w:rsid w:val="00655DA4"/>
    <w:rsid w:val="00657D0F"/>
    <w:rsid w:val="00662BFC"/>
    <w:rsid w:val="00663EF6"/>
    <w:rsid w:val="00667069"/>
    <w:rsid w:val="00667679"/>
    <w:rsid w:val="006701C5"/>
    <w:rsid w:val="00670C7E"/>
    <w:rsid w:val="00670DB2"/>
    <w:rsid w:val="00670E33"/>
    <w:rsid w:val="00674BD7"/>
    <w:rsid w:val="00676071"/>
    <w:rsid w:val="006761D1"/>
    <w:rsid w:val="0067630E"/>
    <w:rsid w:val="0068018F"/>
    <w:rsid w:val="0068036E"/>
    <w:rsid w:val="0068067E"/>
    <w:rsid w:val="00682606"/>
    <w:rsid w:val="006829D1"/>
    <w:rsid w:val="00683677"/>
    <w:rsid w:val="00687344"/>
    <w:rsid w:val="00692761"/>
    <w:rsid w:val="00692876"/>
    <w:rsid w:val="00694F1D"/>
    <w:rsid w:val="00695F3D"/>
    <w:rsid w:val="006A1E40"/>
    <w:rsid w:val="006A27A0"/>
    <w:rsid w:val="006A3AE2"/>
    <w:rsid w:val="006A4934"/>
    <w:rsid w:val="006A6EE2"/>
    <w:rsid w:val="006B1A39"/>
    <w:rsid w:val="006B29E9"/>
    <w:rsid w:val="006B3957"/>
    <w:rsid w:val="006B409A"/>
    <w:rsid w:val="006B46A6"/>
    <w:rsid w:val="006B624B"/>
    <w:rsid w:val="006C28AE"/>
    <w:rsid w:val="006C424D"/>
    <w:rsid w:val="006C58FC"/>
    <w:rsid w:val="006C5A39"/>
    <w:rsid w:val="006C7F1F"/>
    <w:rsid w:val="006D43E3"/>
    <w:rsid w:val="006D4F78"/>
    <w:rsid w:val="006D58BA"/>
    <w:rsid w:val="006D6738"/>
    <w:rsid w:val="006E0209"/>
    <w:rsid w:val="006E11B0"/>
    <w:rsid w:val="006E2596"/>
    <w:rsid w:val="006E3863"/>
    <w:rsid w:val="006E445D"/>
    <w:rsid w:val="006E50AB"/>
    <w:rsid w:val="006E58F6"/>
    <w:rsid w:val="006E6C60"/>
    <w:rsid w:val="006E71F7"/>
    <w:rsid w:val="006E72A6"/>
    <w:rsid w:val="006F0CF8"/>
    <w:rsid w:val="006F3F1F"/>
    <w:rsid w:val="006F422E"/>
    <w:rsid w:val="006F69F7"/>
    <w:rsid w:val="006F74F0"/>
    <w:rsid w:val="00701787"/>
    <w:rsid w:val="00703D1A"/>
    <w:rsid w:val="007043A7"/>
    <w:rsid w:val="00712CFB"/>
    <w:rsid w:val="007131B4"/>
    <w:rsid w:val="007138A3"/>
    <w:rsid w:val="00715991"/>
    <w:rsid w:val="007166DE"/>
    <w:rsid w:val="007172FA"/>
    <w:rsid w:val="007222BC"/>
    <w:rsid w:val="00723C61"/>
    <w:rsid w:val="007307C1"/>
    <w:rsid w:val="00730C0A"/>
    <w:rsid w:val="00732C7F"/>
    <w:rsid w:val="007340D3"/>
    <w:rsid w:val="00735586"/>
    <w:rsid w:val="00735E28"/>
    <w:rsid w:val="0073717A"/>
    <w:rsid w:val="00737A50"/>
    <w:rsid w:val="00741FEF"/>
    <w:rsid w:val="00747AF6"/>
    <w:rsid w:val="007537F0"/>
    <w:rsid w:val="007555F1"/>
    <w:rsid w:val="00755FA4"/>
    <w:rsid w:val="00755FFA"/>
    <w:rsid w:val="00756F25"/>
    <w:rsid w:val="007572F9"/>
    <w:rsid w:val="00760EE4"/>
    <w:rsid w:val="00761555"/>
    <w:rsid w:val="00761BF4"/>
    <w:rsid w:val="00762534"/>
    <w:rsid w:val="00762C0F"/>
    <w:rsid w:val="00763644"/>
    <w:rsid w:val="00764C3B"/>
    <w:rsid w:val="00765936"/>
    <w:rsid w:val="00765A65"/>
    <w:rsid w:val="00765FA0"/>
    <w:rsid w:val="0076795E"/>
    <w:rsid w:val="00772E77"/>
    <w:rsid w:val="00776F23"/>
    <w:rsid w:val="00777929"/>
    <w:rsid w:val="007828C2"/>
    <w:rsid w:val="00782D55"/>
    <w:rsid w:val="00784B3F"/>
    <w:rsid w:val="00785578"/>
    <w:rsid w:val="007908BD"/>
    <w:rsid w:val="00790EE9"/>
    <w:rsid w:val="00793C42"/>
    <w:rsid w:val="00794350"/>
    <w:rsid w:val="00796D6C"/>
    <w:rsid w:val="007A2081"/>
    <w:rsid w:val="007A3C9D"/>
    <w:rsid w:val="007A60D8"/>
    <w:rsid w:val="007A6CA6"/>
    <w:rsid w:val="007A7952"/>
    <w:rsid w:val="007A7CFE"/>
    <w:rsid w:val="007B0472"/>
    <w:rsid w:val="007B115C"/>
    <w:rsid w:val="007B368F"/>
    <w:rsid w:val="007B3BE1"/>
    <w:rsid w:val="007B4BCD"/>
    <w:rsid w:val="007B4F49"/>
    <w:rsid w:val="007C02FA"/>
    <w:rsid w:val="007C1660"/>
    <w:rsid w:val="007C26D3"/>
    <w:rsid w:val="007C273C"/>
    <w:rsid w:val="007C3BCA"/>
    <w:rsid w:val="007C4384"/>
    <w:rsid w:val="007C4726"/>
    <w:rsid w:val="007C5479"/>
    <w:rsid w:val="007C5E53"/>
    <w:rsid w:val="007D074C"/>
    <w:rsid w:val="007D0B7D"/>
    <w:rsid w:val="007D10EA"/>
    <w:rsid w:val="007D3C10"/>
    <w:rsid w:val="007D515F"/>
    <w:rsid w:val="007D65F5"/>
    <w:rsid w:val="007D7650"/>
    <w:rsid w:val="007D7FE6"/>
    <w:rsid w:val="007E1013"/>
    <w:rsid w:val="007E1A33"/>
    <w:rsid w:val="007E3684"/>
    <w:rsid w:val="007E502E"/>
    <w:rsid w:val="007E5641"/>
    <w:rsid w:val="007E7BBB"/>
    <w:rsid w:val="007F1276"/>
    <w:rsid w:val="007F1D49"/>
    <w:rsid w:val="007F2582"/>
    <w:rsid w:val="007F2F0B"/>
    <w:rsid w:val="007F5192"/>
    <w:rsid w:val="007F58C3"/>
    <w:rsid w:val="007F6767"/>
    <w:rsid w:val="007F70B2"/>
    <w:rsid w:val="007F73DB"/>
    <w:rsid w:val="00800075"/>
    <w:rsid w:val="008011F5"/>
    <w:rsid w:val="00801540"/>
    <w:rsid w:val="00801ACE"/>
    <w:rsid w:val="00803150"/>
    <w:rsid w:val="008038CC"/>
    <w:rsid w:val="00804CB8"/>
    <w:rsid w:val="008054FE"/>
    <w:rsid w:val="008122B2"/>
    <w:rsid w:val="00812766"/>
    <w:rsid w:val="00812FEF"/>
    <w:rsid w:val="00814000"/>
    <w:rsid w:val="0081406E"/>
    <w:rsid w:val="008212A2"/>
    <w:rsid w:val="00821A46"/>
    <w:rsid w:val="00822015"/>
    <w:rsid w:val="00822B5D"/>
    <w:rsid w:val="00824319"/>
    <w:rsid w:val="0082506C"/>
    <w:rsid w:val="00832025"/>
    <w:rsid w:val="00833214"/>
    <w:rsid w:val="00834497"/>
    <w:rsid w:val="008345EB"/>
    <w:rsid w:val="00834843"/>
    <w:rsid w:val="00836389"/>
    <w:rsid w:val="00837B7F"/>
    <w:rsid w:val="008410E8"/>
    <w:rsid w:val="008410F2"/>
    <w:rsid w:val="00842069"/>
    <w:rsid w:val="00844908"/>
    <w:rsid w:val="00845793"/>
    <w:rsid w:val="00845E7D"/>
    <w:rsid w:val="00847125"/>
    <w:rsid w:val="008476CE"/>
    <w:rsid w:val="00851673"/>
    <w:rsid w:val="008521DC"/>
    <w:rsid w:val="008545AE"/>
    <w:rsid w:val="00855851"/>
    <w:rsid w:val="00856F8E"/>
    <w:rsid w:val="00857128"/>
    <w:rsid w:val="00862BE4"/>
    <w:rsid w:val="008645EC"/>
    <w:rsid w:val="00865C90"/>
    <w:rsid w:val="00865DBD"/>
    <w:rsid w:val="00867C16"/>
    <w:rsid w:val="008701ED"/>
    <w:rsid w:val="008726AE"/>
    <w:rsid w:val="00873194"/>
    <w:rsid w:val="0087335B"/>
    <w:rsid w:val="00873E50"/>
    <w:rsid w:val="0087547F"/>
    <w:rsid w:val="008756F0"/>
    <w:rsid w:val="00875BF6"/>
    <w:rsid w:val="00881FC6"/>
    <w:rsid w:val="00882D5D"/>
    <w:rsid w:val="0088487A"/>
    <w:rsid w:val="008851D2"/>
    <w:rsid w:val="00885219"/>
    <w:rsid w:val="00885C9F"/>
    <w:rsid w:val="00886414"/>
    <w:rsid w:val="00886484"/>
    <w:rsid w:val="00890930"/>
    <w:rsid w:val="00892557"/>
    <w:rsid w:val="008945B4"/>
    <w:rsid w:val="00894ABF"/>
    <w:rsid w:val="00894BA6"/>
    <w:rsid w:val="008967CE"/>
    <w:rsid w:val="00897157"/>
    <w:rsid w:val="00897A2C"/>
    <w:rsid w:val="008A1077"/>
    <w:rsid w:val="008A2D10"/>
    <w:rsid w:val="008A565F"/>
    <w:rsid w:val="008A740A"/>
    <w:rsid w:val="008A7F14"/>
    <w:rsid w:val="008B0538"/>
    <w:rsid w:val="008B3119"/>
    <w:rsid w:val="008B3EA2"/>
    <w:rsid w:val="008B6731"/>
    <w:rsid w:val="008B78D4"/>
    <w:rsid w:val="008C236C"/>
    <w:rsid w:val="008C30DB"/>
    <w:rsid w:val="008C3BDB"/>
    <w:rsid w:val="008C4352"/>
    <w:rsid w:val="008C4526"/>
    <w:rsid w:val="008C488C"/>
    <w:rsid w:val="008C4DC8"/>
    <w:rsid w:val="008C5E58"/>
    <w:rsid w:val="008C70E4"/>
    <w:rsid w:val="008D01D8"/>
    <w:rsid w:val="008D04E1"/>
    <w:rsid w:val="008D1CC6"/>
    <w:rsid w:val="008D38B3"/>
    <w:rsid w:val="008D60FA"/>
    <w:rsid w:val="008D6E7B"/>
    <w:rsid w:val="008D7D0B"/>
    <w:rsid w:val="008E106D"/>
    <w:rsid w:val="008E1218"/>
    <w:rsid w:val="008E18DD"/>
    <w:rsid w:val="008E4B72"/>
    <w:rsid w:val="008E5961"/>
    <w:rsid w:val="008E65F5"/>
    <w:rsid w:val="008E7770"/>
    <w:rsid w:val="008F10D5"/>
    <w:rsid w:val="008F3936"/>
    <w:rsid w:val="008F570D"/>
    <w:rsid w:val="008F6ACA"/>
    <w:rsid w:val="008F70CD"/>
    <w:rsid w:val="008F7138"/>
    <w:rsid w:val="009001F3"/>
    <w:rsid w:val="00901195"/>
    <w:rsid w:val="0090363C"/>
    <w:rsid w:val="00903650"/>
    <w:rsid w:val="00904086"/>
    <w:rsid w:val="00904F45"/>
    <w:rsid w:val="00905318"/>
    <w:rsid w:val="0091294E"/>
    <w:rsid w:val="009130F4"/>
    <w:rsid w:val="009133E3"/>
    <w:rsid w:val="009144D6"/>
    <w:rsid w:val="00914BCA"/>
    <w:rsid w:val="00915095"/>
    <w:rsid w:val="00915E64"/>
    <w:rsid w:val="0091646B"/>
    <w:rsid w:val="009173FD"/>
    <w:rsid w:val="00924425"/>
    <w:rsid w:val="00926980"/>
    <w:rsid w:val="009277FB"/>
    <w:rsid w:val="00927E7C"/>
    <w:rsid w:val="00930E5F"/>
    <w:rsid w:val="0093110B"/>
    <w:rsid w:val="00931D48"/>
    <w:rsid w:val="009322DB"/>
    <w:rsid w:val="009343F2"/>
    <w:rsid w:val="00940301"/>
    <w:rsid w:val="00941C48"/>
    <w:rsid w:val="00942F7A"/>
    <w:rsid w:val="00943023"/>
    <w:rsid w:val="00943411"/>
    <w:rsid w:val="00947CC0"/>
    <w:rsid w:val="00947DCE"/>
    <w:rsid w:val="0095041F"/>
    <w:rsid w:val="009515ED"/>
    <w:rsid w:val="00951CD5"/>
    <w:rsid w:val="00952584"/>
    <w:rsid w:val="00953360"/>
    <w:rsid w:val="00954C90"/>
    <w:rsid w:val="00956405"/>
    <w:rsid w:val="00961456"/>
    <w:rsid w:val="00961B49"/>
    <w:rsid w:val="00963360"/>
    <w:rsid w:val="00964C57"/>
    <w:rsid w:val="0096621E"/>
    <w:rsid w:val="009663C6"/>
    <w:rsid w:val="00971032"/>
    <w:rsid w:val="00971CC4"/>
    <w:rsid w:val="00971EE3"/>
    <w:rsid w:val="0097374C"/>
    <w:rsid w:val="0097525F"/>
    <w:rsid w:val="009757D0"/>
    <w:rsid w:val="00976579"/>
    <w:rsid w:val="00977060"/>
    <w:rsid w:val="009866BC"/>
    <w:rsid w:val="00986FA3"/>
    <w:rsid w:val="009873CD"/>
    <w:rsid w:val="009878BF"/>
    <w:rsid w:val="00987BCC"/>
    <w:rsid w:val="00987C36"/>
    <w:rsid w:val="009906AE"/>
    <w:rsid w:val="00990F7B"/>
    <w:rsid w:val="009919A0"/>
    <w:rsid w:val="00991EC2"/>
    <w:rsid w:val="00996F30"/>
    <w:rsid w:val="0099707C"/>
    <w:rsid w:val="009A0A76"/>
    <w:rsid w:val="009A24D9"/>
    <w:rsid w:val="009A2916"/>
    <w:rsid w:val="009A2EF3"/>
    <w:rsid w:val="009A3CC3"/>
    <w:rsid w:val="009A47FD"/>
    <w:rsid w:val="009A546C"/>
    <w:rsid w:val="009A55E0"/>
    <w:rsid w:val="009A5D87"/>
    <w:rsid w:val="009A5F60"/>
    <w:rsid w:val="009A7F3B"/>
    <w:rsid w:val="009B07D7"/>
    <w:rsid w:val="009B0B94"/>
    <w:rsid w:val="009B1097"/>
    <w:rsid w:val="009B341F"/>
    <w:rsid w:val="009B3991"/>
    <w:rsid w:val="009B3B45"/>
    <w:rsid w:val="009B4E42"/>
    <w:rsid w:val="009B4F57"/>
    <w:rsid w:val="009B5036"/>
    <w:rsid w:val="009B5042"/>
    <w:rsid w:val="009B6C1A"/>
    <w:rsid w:val="009C08FC"/>
    <w:rsid w:val="009C326B"/>
    <w:rsid w:val="009C32E2"/>
    <w:rsid w:val="009C38C8"/>
    <w:rsid w:val="009C3A30"/>
    <w:rsid w:val="009C7246"/>
    <w:rsid w:val="009C761D"/>
    <w:rsid w:val="009D13E2"/>
    <w:rsid w:val="009D1D36"/>
    <w:rsid w:val="009D5AAA"/>
    <w:rsid w:val="009D6463"/>
    <w:rsid w:val="009E0CA8"/>
    <w:rsid w:val="009E1F52"/>
    <w:rsid w:val="009E2061"/>
    <w:rsid w:val="009E3D13"/>
    <w:rsid w:val="009E4358"/>
    <w:rsid w:val="009E52C8"/>
    <w:rsid w:val="009E5E77"/>
    <w:rsid w:val="009E600C"/>
    <w:rsid w:val="009E7200"/>
    <w:rsid w:val="009F4C00"/>
    <w:rsid w:val="009F5CB7"/>
    <w:rsid w:val="009F62BF"/>
    <w:rsid w:val="00A004EF"/>
    <w:rsid w:val="00A04774"/>
    <w:rsid w:val="00A04883"/>
    <w:rsid w:val="00A0642B"/>
    <w:rsid w:val="00A0663A"/>
    <w:rsid w:val="00A07044"/>
    <w:rsid w:val="00A0779C"/>
    <w:rsid w:val="00A102A4"/>
    <w:rsid w:val="00A10793"/>
    <w:rsid w:val="00A11097"/>
    <w:rsid w:val="00A1189D"/>
    <w:rsid w:val="00A1191F"/>
    <w:rsid w:val="00A11ECE"/>
    <w:rsid w:val="00A1243B"/>
    <w:rsid w:val="00A12BB8"/>
    <w:rsid w:val="00A12DBA"/>
    <w:rsid w:val="00A144A5"/>
    <w:rsid w:val="00A152A6"/>
    <w:rsid w:val="00A15BF5"/>
    <w:rsid w:val="00A161E4"/>
    <w:rsid w:val="00A16FC8"/>
    <w:rsid w:val="00A174E8"/>
    <w:rsid w:val="00A17A99"/>
    <w:rsid w:val="00A17EA4"/>
    <w:rsid w:val="00A2044F"/>
    <w:rsid w:val="00A20472"/>
    <w:rsid w:val="00A211BC"/>
    <w:rsid w:val="00A262DD"/>
    <w:rsid w:val="00A27BD6"/>
    <w:rsid w:val="00A31197"/>
    <w:rsid w:val="00A3309F"/>
    <w:rsid w:val="00A33C77"/>
    <w:rsid w:val="00A33DE0"/>
    <w:rsid w:val="00A34CAD"/>
    <w:rsid w:val="00A35145"/>
    <w:rsid w:val="00A3603A"/>
    <w:rsid w:val="00A3754E"/>
    <w:rsid w:val="00A40A93"/>
    <w:rsid w:val="00A41203"/>
    <w:rsid w:val="00A413AA"/>
    <w:rsid w:val="00A42AA1"/>
    <w:rsid w:val="00A42F85"/>
    <w:rsid w:val="00A43592"/>
    <w:rsid w:val="00A469F0"/>
    <w:rsid w:val="00A47BAE"/>
    <w:rsid w:val="00A50FF9"/>
    <w:rsid w:val="00A5153B"/>
    <w:rsid w:val="00A52485"/>
    <w:rsid w:val="00A530D2"/>
    <w:rsid w:val="00A53732"/>
    <w:rsid w:val="00A53EE5"/>
    <w:rsid w:val="00A5418D"/>
    <w:rsid w:val="00A5772B"/>
    <w:rsid w:val="00A608DF"/>
    <w:rsid w:val="00A60C95"/>
    <w:rsid w:val="00A61F07"/>
    <w:rsid w:val="00A6253E"/>
    <w:rsid w:val="00A63A77"/>
    <w:rsid w:val="00A654B9"/>
    <w:rsid w:val="00A65BF5"/>
    <w:rsid w:val="00A66D78"/>
    <w:rsid w:val="00A67C0F"/>
    <w:rsid w:val="00A71582"/>
    <w:rsid w:val="00A7299B"/>
    <w:rsid w:val="00A72AE0"/>
    <w:rsid w:val="00A82B37"/>
    <w:rsid w:val="00A83DFA"/>
    <w:rsid w:val="00A84580"/>
    <w:rsid w:val="00A8494A"/>
    <w:rsid w:val="00A8596C"/>
    <w:rsid w:val="00A8626C"/>
    <w:rsid w:val="00A87E6B"/>
    <w:rsid w:val="00A90131"/>
    <w:rsid w:val="00A92C4E"/>
    <w:rsid w:val="00A93666"/>
    <w:rsid w:val="00A9416C"/>
    <w:rsid w:val="00A9430C"/>
    <w:rsid w:val="00A952A9"/>
    <w:rsid w:val="00A9537D"/>
    <w:rsid w:val="00A96010"/>
    <w:rsid w:val="00A9609C"/>
    <w:rsid w:val="00A961BB"/>
    <w:rsid w:val="00A9636B"/>
    <w:rsid w:val="00A97A97"/>
    <w:rsid w:val="00AA1476"/>
    <w:rsid w:val="00AA1CFC"/>
    <w:rsid w:val="00AA2391"/>
    <w:rsid w:val="00AA428E"/>
    <w:rsid w:val="00AA6113"/>
    <w:rsid w:val="00AB2962"/>
    <w:rsid w:val="00AB3E20"/>
    <w:rsid w:val="00AB57AA"/>
    <w:rsid w:val="00AB5963"/>
    <w:rsid w:val="00AB6910"/>
    <w:rsid w:val="00AC0AE6"/>
    <w:rsid w:val="00AC1AB1"/>
    <w:rsid w:val="00AC1D01"/>
    <w:rsid w:val="00AC2A13"/>
    <w:rsid w:val="00AC3CA0"/>
    <w:rsid w:val="00AC4038"/>
    <w:rsid w:val="00AC4E03"/>
    <w:rsid w:val="00AC5620"/>
    <w:rsid w:val="00AC6BBD"/>
    <w:rsid w:val="00AC72E6"/>
    <w:rsid w:val="00AC7549"/>
    <w:rsid w:val="00AD165F"/>
    <w:rsid w:val="00AD1E6C"/>
    <w:rsid w:val="00AD30AC"/>
    <w:rsid w:val="00AD422E"/>
    <w:rsid w:val="00AD4422"/>
    <w:rsid w:val="00AD4557"/>
    <w:rsid w:val="00AD4BFA"/>
    <w:rsid w:val="00AE1017"/>
    <w:rsid w:val="00AE111D"/>
    <w:rsid w:val="00AE2202"/>
    <w:rsid w:val="00AE5F68"/>
    <w:rsid w:val="00AE6DF5"/>
    <w:rsid w:val="00AF0334"/>
    <w:rsid w:val="00AF2FB7"/>
    <w:rsid w:val="00AF4259"/>
    <w:rsid w:val="00AF4C1C"/>
    <w:rsid w:val="00AF7546"/>
    <w:rsid w:val="00B04D81"/>
    <w:rsid w:val="00B05D17"/>
    <w:rsid w:val="00B06416"/>
    <w:rsid w:val="00B1090A"/>
    <w:rsid w:val="00B128BF"/>
    <w:rsid w:val="00B12E25"/>
    <w:rsid w:val="00B13059"/>
    <w:rsid w:val="00B13578"/>
    <w:rsid w:val="00B1397D"/>
    <w:rsid w:val="00B13994"/>
    <w:rsid w:val="00B13EFA"/>
    <w:rsid w:val="00B165E5"/>
    <w:rsid w:val="00B25F8D"/>
    <w:rsid w:val="00B26AF0"/>
    <w:rsid w:val="00B2762F"/>
    <w:rsid w:val="00B3013F"/>
    <w:rsid w:val="00B31512"/>
    <w:rsid w:val="00B364F6"/>
    <w:rsid w:val="00B40993"/>
    <w:rsid w:val="00B4110E"/>
    <w:rsid w:val="00B416AC"/>
    <w:rsid w:val="00B4343A"/>
    <w:rsid w:val="00B438B7"/>
    <w:rsid w:val="00B45C4F"/>
    <w:rsid w:val="00B46096"/>
    <w:rsid w:val="00B46FF5"/>
    <w:rsid w:val="00B472CC"/>
    <w:rsid w:val="00B50E07"/>
    <w:rsid w:val="00B531BF"/>
    <w:rsid w:val="00B5335A"/>
    <w:rsid w:val="00B533E1"/>
    <w:rsid w:val="00B54588"/>
    <w:rsid w:val="00B54EAE"/>
    <w:rsid w:val="00B55AAD"/>
    <w:rsid w:val="00B55B37"/>
    <w:rsid w:val="00B56E4B"/>
    <w:rsid w:val="00B605E8"/>
    <w:rsid w:val="00B60D98"/>
    <w:rsid w:val="00B624A7"/>
    <w:rsid w:val="00B63D7F"/>
    <w:rsid w:val="00B662CA"/>
    <w:rsid w:val="00B66955"/>
    <w:rsid w:val="00B71BF7"/>
    <w:rsid w:val="00B7399E"/>
    <w:rsid w:val="00B75214"/>
    <w:rsid w:val="00B75556"/>
    <w:rsid w:val="00B75727"/>
    <w:rsid w:val="00B7697B"/>
    <w:rsid w:val="00B77429"/>
    <w:rsid w:val="00B82D08"/>
    <w:rsid w:val="00B83352"/>
    <w:rsid w:val="00B85110"/>
    <w:rsid w:val="00B8534F"/>
    <w:rsid w:val="00B8682B"/>
    <w:rsid w:val="00B8791C"/>
    <w:rsid w:val="00B92FAB"/>
    <w:rsid w:val="00B945DB"/>
    <w:rsid w:val="00B9521C"/>
    <w:rsid w:val="00B962D3"/>
    <w:rsid w:val="00B9679A"/>
    <w:rsid w:val="00BA1A32"/>
    <w:rsid w:val="00BA372A"/>
    <w:rsid w:val="00BA5D3B"/>
    <w:rsid w:val="00BA6571"/>
    <w:rsid w:val="00BB0495"/>
    <w:rsid w:val="00BB3D0A"/>
    <w:rsid w:val="00BB431C"/>
    <w:rsid w:val="00BB4CF9"/>
    <w:rsid w:val="00BB5D9E"/>
    <w:rsid w:val="00BC09CB"/>
    <w:rsid w:val="00BC0D7F"/>
    <w:rsid w:val="00BC3B5C"/>
    <w:rsid w:val="00BC3E51"/>
    <w:rsid w:val="00BC644D"/>
    <w:rsid w:val="00BC6ED5"/>
    <w:rsid w:val="00BC7A16"/>
    <w:rsid w:val="00BC7A19"/>
    <w:rsid w:val="00BD573D"/>
    <w:rsid w:val="00BD6225"/>
    <w:rsid w:val="00BE72C6"/>
    <w:rsid w:val="00BE7A9B"/>
    <w:rsid w:val="00BF3AE6"/>
    <w:rsid w:val="00BF3FB7"/>
    <w:rsid w:val="00BF41BC"/>
    <w:rsid w:val="00BF45F7"/>
    <w:rsid w:val="00BF466E"/>
    <w:rsid w:val="00BF4812"/>
    <w:rsid w:val="00BF5222"/>
    <w:rsid w:val="00BF5D20"/>
    <w:rsid w:val="00BF6C6B"/>
    <w:rsid w:val="00C00C2D"/>
    <w:rsid w:val="00C02442"/>
    <w:rsid w:val="00C033EF"/>
    <w:rsid w:val="00C05789"/>
    <w:rsid w:val="00C11A62"/>
    <w:rsid w:val="00C12583"/>
    <w:rsid w:val="00C12E3F"/>
    <w:rsid w:val="00C16FA6"/>
    <w:rsid w:val="00C20925"/>
    <w:rsid w:val="00C20B38"/>
    <w:rsid w:val="00C20BB1"/>
    <w:rsid w:val="00C212E0"/>
    <w:rsid w:val="00C234D4"/>
    <w:rsid w:val="00C240FF"/>
    <w:rsid w:val="00C279BB"/>
    <w:rsid w:val="00C31613"/>
    <w:rsid w:val="00C32D7D"/>
    <w:rsid w:val="00C33266"/>
    <w:rsid w:val="00C34A6B"/>
    <w:rsid w:val="00C366EF"/>
    <w:rsid w:val="00C40F49"/>
    <w:rsid w:val="00C428F0"/>
    <w:rsid w:val="00C42A0B"/>
    <w:rsid w:val="00C449F8"/>
    <w:rsid w:val="00C45A3C"/>
    <w:rsid w:val="00C45FC2"/>
    <w:rsid w:val="00C465BD"/>
    <w:rsid w:val="00C46971"/>
    <w:rsid w:val="00C5083B"/>
    <w:rsid w:val="00C51C1C"/>
    <w:rsid w:val="00C55153"/>
    <w:rsid w:val="00C55553"/>
    <w:rsid w:val="00C55F8A"/>
    <w:rsid w:val="00C56BC9"/>
    <w:rsid w:val="00C570F7"/>
    <w:rsid w:val="00C57833"/>
    <w:rsid w:val="00C60ADB"/>
    <w:rsid w:val="00C60E47"/>
    <w:rsid w:val="00C61468"/>
    <w:rsid w:val="00C61B03"/>
    <w:rsid w:val="00C632B3"/>
    <w:rsid w:val="00C63DAC"/>
    <w:rsid w:val="00C6644A"/>
    <w:rsid w:val="00C67CBB"/>
    <w:rsid w:val="00C70D56"/>
    <w:rsid w:val="00C70E7E"/>
    <w:rsid w:val="00C72505"/>
    <w:rsid w:val="00C72CA6"/>
    <w:rsid w:val="00C733BA"/>
    <w:rsid w:val="00C74ED7"/>
    <w:rsid w:val="00C75216"/>
    <w:rsid w:val="00C757D7"/>
    <w:rsid w:val="00C76F41"/>
    <w:rsid w:val="00C8063A"/>
    <w:rsid w:val="00C8226B"/>
    <w:rsid w:val="00C83C01"/>
    <w:rsid w:val="00C856EC"/>
    <w:rsid w:val="00C865B4"/>
    <w:rsid w:val="00C86D33"/>
    <w:rsid w:val="00C900B4"/>
    <w:rsid w:val="00C900CD"/>
    <w:rsid w:val="00C9078E"/>
    <w:rsid w:val="00C90D83"/>
    <w:rsid w:val="00C92668"/>
    <w:rsid w:val="00C952FD"/>
    <w:rsid w:val="00C95CF7"/>
    <w:rsid w:val="00C96022"/>
    <w:rsid w:val="00C968F4"/>
    <w:rsid w:val="00C97C34"/>
    <w:rsid w:val="00CA3FE1"/>
    <w:rsid w:val="00CA5391"/>
    <w:rsid w:val="00CA54FF"/>
    <w:rsid w:val="00CA648D"/>
    <w:rsid w:val="00CA6D14"/>
    <w:rsid w:val="00CA73C0"/>
    <w:rsid w:val="00CA7DDD"/>
    <w:rsid w:val="00CB0A5F"/>
    <w:rsid w:val="00CB32E2"/>
    <w:rsid w:val="00CB58C3"/>
    <w:rsid w:val="00CB5A40"/>
    <w:rsid w:val="00CB6ACB"/>
    <w:rsid w:val="00CB755A"/>
    <w:rsid w:val="00CC0A9A"/>
    <w:rsid w:val="00CC1BA9"/>
    <w:rsid w:val="00CC1CF6"/>
    <w:rsid w:val="00CC24EA"/>
    <w:rsid w:val="00CC369C"/>
    <w:rsid w:val="00CC4F2B"/>
    <w:rsid w:val="00CC50FA"/>
    <w:rsid w:val="00CD6810"/>
    <w:rsid w:val="00CE0129"/>
    <w:rsid w:val="00CE1206"/>
    <w:rsid w:val="00CE13E7"/>
    <w:rsid w:val="00CE1EB1"/>
    <w:rsid w:val="00CE43AB"/>
    <w:rsid w:val="00CE4934"/>
    <w:rsid w:val="00CE6317"/>
    <w:rsid w:val="00CE737B"/>
    <w:rsid w:val="00CF0C0C"/>
    <w:rsid w:val="00CF157E"/>
    <w:rsid w:val="00CF2F52"/>
    <w:rsid w:val="00CF42AD"/>
    <w:rsid w:val="00CF677A"/>
    <w:rsid w:val="00D02599"/>
    <w:rsid w:val="00D0277C"/>
    <w:rsid w:val="00D02788"/>
    <w:rsid w:val="00D02E99"/>
    <w:rsid w:val="00D03210"/>
    <w:rsid w:val="00D05618"/>
    <w:rsid w:val="00D0613C"/>
    <w:rsid w:val="00D06212"/>
    <w:rsid w:val="00D1027B"/>
    <w:rsid w:val="00D12572"/>
    <w:rsid w:val="00D130DE"/>
    <w:rsid w:val="00D13DCE"/>
    <w:rsid w:val="00D16D33"/>
    <w:rsid w:val="00D17F2B"/>
    <w:rsid w:val="00D2106B"/>
    <w:rsid w:val="00D215BC"/>
    <w:rsid w:val="00D220E8"/>
    <w:rsid w:val="00D24571"/>
    <w:rsid w:val="00D24832"/>
    <w:rsid w:val="00D258A8"/>
    <w:rsid w:val="00D276B5"/>
    <w:rsid w:val="00D34377"/>
    <w:rsid w:val="00D3728F"/>
    <w:rsid w:val="00D426AE"/>
    <w:rsid w:val="00D42982"/>
    <w:rsid w:val="00D435C3"/>
    <w:rsid w:val="00D50F07"/>
    <w:rsid w:val="00D5571C"/>
    <w:rsid w:val="00D618B5"/>
    <w:rsid w:val="00D61D9B"/>
    <w:rsid w:val="00D620F9"/>
    <w:rsid w:val="00D6277C"/>
    <w:rsid w:val="00D62FF2"/>
    <w:rsid w:val="00D62FFD"/>
    <w:rsid w:val="00D66AC9"/>
    <w:rsid w:val="00D67637"/>
    <w:rsid w:val="00D706E9"/>
    <w:rsid w:val="00D727EC"/>
    <w:rsid w:val="00D73369"/>
    <w:rsid w:val="00D7358B"/>
    <w:rsid w:val="00D73E16"/>
    <w:rsid w:val="00D75D98"/>
    <w:rsid w:val="00D766E1"/>
    <w:rsid w:val="00D76CB6"/>
    <w:rsid w:val="00D80055"/>
    <w:rsid w:val="00D83048"/>
    <w:rsid w:val="00D8346C"/>
    <w:rsid w:val="00D8458C"/>
    <w:rsid w:val="00D8716E"/>
    <w:rsid w:val="00D90997"/>
    <w:rsid w:val="00D9105C"/>
    <w:rsid w:val="00D9182A"/>
    <w:rsid w:val="00D93560"/>
    <w:rsid w:val="00D96F59"/>
    <w:rsid w:val="00DA0005"/>
    <w:rsid w:val="00DA2F50"/>
    <w:rsid w:val="00DA4146"/>
    <w:rsid w:val="00DA447B"/>
    <w:rsid w:val="00DA45BB"/>
    <w:rsid w:val="00DA55BC"/>
    <w:rsid w:val="00DA5979"/>
    <w:rsid w:val="00DA682C"/>
    <w:rsid w:val="00DA7A4A"/>
    <w:rsid w:val="00DA7C20"/>
    <w:rsid w:val="00DB0A33"/>
    <w:rsid w:val="00DB14E1"/>
    <w:rsid w:val="00DB1BCD"/>
    <w:rsid w:val="00DB200C"/>
    <w:rsid w:val="00DB4025"/>
    <w:rsid w:val="00DB4030"/>
    <w:rsid w:val="00DB58EC"/>
    <w:rsid w:val="00DB5F89"/>
    <w:rsid w:val="00DB6ACC"/>
    <w:rsid w:val="00DB7666"/>
    <w:rsid w:val="00DC1945"/>
    <w:rsid w:val="00DC1DB2"/>
    <w:rsid w:val="00DC3ED1"/>
    <w:rsid w:val="00DC4A49"/>
    <w:rsid w:val="00DC7BE6"/>
    <w:rsid w:val="00DC7E26"/>
    <w:rsid w:val="00DD2604"/>
    <w:rsid w:val="00DD29B3"/>
    <w:rsid w:val="00DD3A0B"/>
    <w:rsid w:val="00DD540F"/>
    <w:rsid w:val="00DD6737"/>
    <w:rsid w:val="00DE17E1"/>
    <w:rsid w:val="00DE20F5"/>
    <w:rsid w:val="00DE39EF"/>
    <w:rsid w:val="00DE61E3"/>
    <w:rsid w:val="00DE624E"/>
    <w:rsid w:val="00DF15E2"/>
    <w:rsid w:val="00DF64B1"/>
    <w:rsid w:val="00DF6E26"/>
    <w:rsid w:val="00DF76AF"/>
    <w:rsid w:val="00DF7C89"/>
    <w:rsid w:val="00E00CF8"/>
    <w:rsid w:val="00E01513"/>
    <w:rsid w:val="00E03FF4"/>
    <w:rsid w:val="00E0456E"/>
    <w:rsid w:val="00E11063"/>
    <w:rsid w:val="00E112D2"/>
    <w:rsid w:val="00E11BCD"/>
    <w:rsid w:val="00E13C83"/>
    <w:rsid w:val="00E14806"/>
    <w:rsid w:val="00E15D77"/>
    <w:rsid w:val="00E20019"/>
    <w:rsid w:val="00E2076B"/>
    <w:rsid w:val="00E2198E"/>
    <w:rsid w:val="00E22E66"/>
    <w:rsid w:val="00E2392E"/>
    <w:rsid w:val="00E23F24"/>
    <w:rsid w:val="00E25F7B"/>
    <w:rsid w:val="00E26049"/>
    <w:rsid w:val="00E274B1"/>
    <w:rsid w:val="00E27AA3"/>
    <w:rsid w:val="00E30A9B"/>
    <w:rsid w:val="00E30E6C"/>
    <w:rsid w:val="00E351A0"/>
    <w:rsid w:val="00E353FB"/>
    <w:rsid w:val="00E35DA7"/>
    <w:rsid w:val="00E40E34"/>
    <w:rsid w:val="00E440DE"/>
    <w:rsid w:val="00E459C8"/>
    <w:rsid w:val="00E46FDE"/>
    <w:rsid w:val="00E516A9"/>
    <w:rsid w:val="00E530C0"/>
    <w:rsid w:val="00E56EE7"/>
    <w:rsid w:val="00E6079E"/>
    <w:rsid w:val="00E6190E"/>
    <w:rsid w:val="00E64B72"/>
    <w:rsid w:val="00E64D26"/>
    <w:rsid w:val="00E65B93"/>
    <w:rsid w:val="00E665C5"/>
    <w:rsid w:val="00E67522"/>
    <w:rsid w:val="00E713F5"/>
    <w:rsid w:val="00E717F6"/>
    <w:rsid w:val="00E728F3"/>
    <w:rsid w:val="00E72B51"/>
    <w:rsid w:val="00E73A97"/>
    <w:rsid w:val="00E74118"/>
    <w:rsid w:val="00E759AC"/>
    <w:rsid w:val="00E77AE3"/>
    <w:rsid w:val="00E8203B"/>
    <w:rsid w:val="00E8209A"/>
    <w:rsid w:val="00E820E3"/>
    <w:rsid w:val="00E86FC8"/>
    <w:rsid w:val="00E8798C"/>
    <w:rsid w:val="00E91D52"/>
    <w:rsid w:val="00E929B6"/>
    <w:rsid w:val="00E9318B"/>
    <w:rsid w:val="00E96E38"/>
    <w:rsid w:val="00EA1920"/>
    <w:rsid w:val="00EA1CDA"/>
    <w:rsid w:val="00EA2CE9"/>
    <w:rsid w:val="00EA2D85"/>
    <w:rsid w:val="00EA390F"/>
    <w:rsid w:val="00EA4D3E"/>
    <w:rsid w:val="00EA654D"/>
    <w:rsid w:val="00EA7584"/>
    <w:rsid w:val="00EB06DA"/>
    <w:rsid w:val="00EB1CC8"/>
    <w:rsid w:val="00EB2D22"/>
    <w:rsid w:val="00EB5065"/>
    <w:rsid w:val="00EB5138"/>
    <w:rsid w:val="00EB59D9"/>
    <w:rsid w:val="00EC0500"/>
    <w:rsid w:val="00EC1A6C"/>
    <w:rsid w:val="00EC2451"/>
    <w:rsid w:val="00EC2CF4"/>
    <w:rsid w:val="00EC4434"/>
    <w:rsid w:val="00ED05FD"/>
    <w:rsid w:val="00ED160E"/>
    <w:rsid w:val="00ED1CE6"/>
    <w:rsid w:val="00ED2771"/>
    <w:rsid w:val="00ED2D01"/>
    <w:rsid w:val="00ED4A94"/>
    <w:rsid w:val="00ED59D2"/>
    <w:rsid w:val="00ED7C4F"/>
    <w:rsid w:val="00EE076A"/>
    <w:rsid w:val="00EE1845"/>
    <w:rsid w:val="00EE281F"/>
    <w:rsid w:val="00EE3AAD"/>
    <w:rsid w:val="00EE5496"/>
    <w:rsid w:val="00EE58C0"/>
    <w:rsid w:val="00EE5B7B"/>
    <w:rsid w:val="00EF33E6"/>
    <w:rsid w:val="00EF6BF2"/>
    <w:rsid w:val="00EF721B"/>
    <w:rsid w:val="00EF7B9E"/>
    <w:rsid w:val="00F0091C"/>
    <w:rsid w:val="00F015A4"/>
    <w:rsid w:val="00F01626"/>
    <w:rsid w:val="00F01BDD"/>
    <w:rsid w:val="00F02519"/>
    <w:rsid w:val="00F040CC"/>
    <w:rsid w:val="00F121F9"/>
    <w:rsid w:val="00F12C9A"/>
    <w:rsid w:val="00F13855"/>
    <w:rsid w:val="00F149CD"/>
    <w:rsid w:val="00F16BE4"/>
    <w:rsid w:val="00F16CD7"/>
    <w:rsid w:val="00F172B2"/>
    <w:rsid w:val="00F1745D"/>
    <w:rsid w:val="00F2017F"/>
    <w:rsid w:val="00F21135"/>
    <w:rsid w:val="00F21B9A"/>
    <w:rsid w:val="00F222F9"/>
    <w:rsid w:val="00F22790"/>
    <w:rsid w:val="00F22CC9"/>
    <w:rsid w:val="00F257F7"/>
    <w:rsid w:val="00F27765"/>
    <w:rsid w:val="00F30435"/>
    <w:rsid w:val="00F306CB"/>
    <w:rsid w:val="00F3128D"/>
    <w:rsid w:val="00F32FD5"/>
    <w:rsid w:val="00F3444D"/>
    <w:rsid w:val="00F35264"/>
    <w:rsid w:val="00F35AE4"/>
    <w:rsid w:val="00F36002"/>
    <w:rsid w:val="00F3663B"/>
    <w:rsid w:val="00F36975"/>
    <w:rsid w:val="00F37FD4"/>
    <w:rsid w:val="00F4394F"/>
    <w:rsid w:val="00F43AD2"/>
    <w:rsid w:val="00F4443C"/>
    <w:rsid w:val="00F4465B"/>
    <w:rsid w:val="00F45E12"/>
    <w:rsid w:val="00F463E0"/>
    <w:rsid w:val="00F4650D"/>
    <w:rsid w:val="00F4725A"/>
    <w:rsid w:val="00F47625"/>
    <w:rsid w:val="00F513A6"/>
    <w:rsid w:val="00F52015"/>
    <w:rsid w:val="00F5228A"/>
    <w:rsid w:val="00F52965"/>
    <w:rsid w:val="00F52FE4"/>
    <w:rsid w:val="00F531E1"/>
    <w:rsid w:val="00F54A34"/>
    <w:rsid w:val="00F55349"/>
    <w:rsid w:val="00F557D6"/>
    <w:rsid w:val="00F56565"/>
    <w:rsid w:val="00F615F7"/>
    <w:rsid w:val="00F62FD1"/>
    <w:rsid w:val="00F63ADB"/>
    <w:rsid w:val="00F65BF4"/>
    <w:rsid w:val="00F664D7"/>
    <w:rsid w:val="00F670CF"/>
    <w:rsid w:val="00F6719B"/>
    <w:rsid w:val="00F67983"/>
    <w:rsid w:val="00F70886"/>
    <w:rsid w:val="00F7093E"/>
    <w:rsid w:val="00F70B46"/>
    <w:rsid w:val="00F73585"/>
    <w:rsid w:val="00F74E38"/>
    <w:rsid w:val="00F76EA5"/>
    <w:rsid w:val="00F76F49"/>
    <w:rsid w:val="00F77C86"/>
    <w:rsid w:val="00F77D34"/>
    <w:rsid w:val="00F802BC"/>
    <w:rsid w:val="00F81C5D"/>
    <w:rsid w:val="00F84525"/>
    <w:rsid w:val="00F87711"/>
    <w:rsid w:val="00F9074A"/>
    <w:rsid w:val="00F91223"/>
    <w:rsid w:val="00F9371A"/>
    <w:rsid w:val="00F93F86"/>
    <w:rsid w:val="00F94C05"/>
    <w:rsid w:val="00F94D6E"/>
    <w:rsid w:val="00F96F35"/>
    <w:rsid w:val="00F97945"/>
    <w:rsid w:val="00FA0651"/>
    <w:rsid w:val="00FA11DC"/>
    <w:rsid w:val="00FA301F"/>
    <w:rsid w:val="00FA378A"/>
    <w:rsid w:val="00FA3B78"/>
    <w:rsid w:val="00FA4A5A"/>
    <w:rsid w:val="00FA4D0D"/>
    <w:rsid w:val="00FA57F6"/>
    <w:rsid w:val="00FA5E7B"/>
    <w:rsid w:val="00FA6DC0"/>
    <w:rsid w:val="00FA7771"/>
    <w:rsid w:val="00FB054E"/>
    <w:rsid w:val="00FB184C"/>
    <w:rsid w:val="00FB71CE"/>
    <w:rsid w:val="00FB78D2"/>
    <w:rsid w:val="00FC0C8B"/>
    <w:rsid w:val="00FC0E8C"/>
    <w:rsid w:val="00FD105C"/>
    <w:rsid w:val="00FD275E"/>
    <w:rsid w:val="00FD2865"/>
    <w:rsid w:val="00FD350C"/>
    <w:rsid w:val="00FE0042"/>
    <w:rsid w:val="00FE17D9"/>
    <w:rsid w:val="00FE356F"/>
    <w:rsid w:val="00FE5603"/>
    <w:rsid w:val="00FE5B30"/>
    <w:rsid w:val="00FF03B4"/>
    <w:rsid w:val="00FF12F8"/>
    <w:rsid w:val="00FF5998"/>
    <w:rsid w:val="00FF5CA3"/>
    <w:rsid w:val="00FF6719"/>
    <w:rsid w:val="00FF7E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D8BE892"/>
  <w15:chartTrackingRefBased/>
  <w15:docId w15:val="{12A2A634-A8D6-448B-87B1-20F3F7452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Title" w:uiPriority="10" w:qFormat="1"/>
    <w:lsdException w:name="Default Paragraph Font" w:uiPriority="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44D"/>
    <w:pPr>
      <w:jc w:val="both"/>
    </w:pPr>
    <w:rPr>
      <w:rFonts w:ascii="Trebuchet MS" w:hAnsi="Trebuchet MS"/>
      <w:sz w:val="22"/>
      <w:szCs w:val="24"/>
      <w:lang w:val="es-ES" w:eastAsia="ja-JP"/>
    </w:rPr>
  </w:style>
  <w:style w:type="paragraph" w:styleId="Ttulo1">
    <w:name w:val="heading 1"/>
    <w:basedOn w:val="Normal"/>
    <w:next w:val="Normal"/>
    <w:link w:val="Ttulo1Car"/>
    <w:uiPriority w:val="9"/>
    <w:qFormat/>
    <w:rsid w:val="00137E70"/>
    <w:pPr>
      <w:keepNext/>
      <w:numPr>
        <w:numId w:val="2"/>
      </w:numPr>
      <w:spacing w:before="240" w:after="60"/>
      <w:outlineLvl w:val="0"/>
    </w:pPr>
    <w:rPr>
      <w:b/>
      <w:bCs/>
      <w:kern w:val="32"/>
      <w:sz w:val="24"/>
      <w:szCs w:val="32"/>
    </w:rPr>
  </w:style>
  <w:style w:type="paragraph" w:styleId="Ttulo2">
    <w:name w:val="heading 2"/>
    <w:basedOn w:val="Normal"/>
    <w:next w:val="Normal"/>
    <w:link w:val="Ttulo2Car"/>
    <w:qFormat/>
    <w:rsid w:val="00137E70"/>
    <w:pPr>
      <w:keepNext/>
      <w:numPr>
        <w:ilvl w:val="1"/>
        <w:numId w:val="2"/>
      </w:numPr>
      <w:spacing w:before="60" w:after="60"/>
      <w:outlineLvl w:val="1"/>
    </w:pPr>
    <w:rPr>
      <w:rFonts w:eastAsia="Arial Unicode MS"/>
      <w:b/>
      <w:bCs/>
      <w:i/>
      <w:iCs/>
      <w:szCs w:val="28"/>
    </w:rPr>
  </w:style>
  <w:style w:type="paragraph" w:styleId="Ttulo3">
    <w:name w:val="heading 3"/>
    <w:basedOn w:val="Normal"/>
    <w:next w:val="Normal"/>
    <w:link w:val="Ttulo3Car"/>
    <w:uiPriority w:val="9"/>
    <w:qFormat/>
    <w:rsid w:val="00137E70"/>
    <w:pPr>
      <w:keepNext/>
      <w:numPr>
        <w:ilvl w:val="2"/>
        <w:numId w:val="2"/>
      </w:numPr>
      <w:spacing w:before="120" w:after="60"/>
      <w:outlineLvl w:val="2"/>
    </w:pPr>
    <w:rPr>
      <w:b/>
      <w:bCs/>
      <w:szCs w:val="26"/>
    </w:rPr>
  </w:style>
  <w:style w:type="paragraph" w:styleId="Ttulo4">
    <w:name w:val="heading 4"/>
    <w:basedOn w:val="Normal"/>
    <w:next w:val="Normal"/>
    <w:qFormat/>
    <w:rsid w:val="00762C0F"/>
    <w:pPr>
      <w:keepNext/>
      <w:numPr>
        <w:numId w:val="1"/>
      </w:numPr>
      <w:spacing w:before="120"/>
      <w:jc w:val="left"/>
      <w:outlineLvl w:val="3"/>
    </w:pPr>
    <w:rPr>
      <w:rFonts w:eastAsia="Times New Roman" w:cs="Arial"/>
      <w:bCs/>
      <w:i/>
      <w:szCs w:val="20"/>
      <w:lang w:val="es-ES_tradnl" w:eastAsia="es-ES"/>
    </w:rPr>
  </w:style>
  <w:style w:type="paragraph" w:styleId="Ttulo5">
    <w:name w:val="heading 5"/>
    <w:basedOn w:val="Normal"/>
    <w:next w:val="Normal"/>
    <w:qFormat/>
    <w:rsid w:val="007D0B7D"/>
    <w:pPr>
      <w:keepNext/>
      <w:autoSpaceDE w:val="0"/>
      <w:autoSpaceDN w:val="0"/>
      <w:adjustRightInd w:val="0"/>
      <w:jc w:val="right"/>
      <w:outlineLvl w:val="4"/>
    </w:pPr>
    <w:rPr>
      <w:rFonts w:eastAsia="Times New Roman" w:cs="Arial"/>
      <w:b/>
      <w:bCs/>
      <w:color w:val="000000"/>
      <w:sz w:val="20"/>
      <w:szCs w:val="20"/>
      <w:lang w:eastAsia="es-ES"/>
    </w:rPr>
  </w:style>
  <w:style w:type="paragraph" w:styleId="Ttulo6">
    <w:name w:val="heading 6"/>
    <w:basedOn w:val="Normal"/>
    <w:next w:val="Normal"/>
    <w:qFormat/>
    <w:rsid w:val="007D0B7D"/>
    <w:pPr>
      <w:keepNext/>
      <w:autoSpaceDE w:val="0"/>
      <w:autoSpaceDN w:val="0"/>
      <w:adjustRightInd w:val="0"/>
      <w:jc w:val="left"/>
      <w:outlineLvl w:val="5"/>
    </w:pPr>
    <w:rPr>
      <w:rFonts w:eastAsia="Times New Roman" w:cs="Arial"/>
      <w:b/>
      <w:bCs/>
      <w:color w:val="000000"/>
      <w:sz w:val="20"/>
      <w:szCs w:val="20"/>
      <w:lang w:eastAsia="es-ES"/>
    </w:rPr>
  </w:style>
  <w:style w:type="paragraph" w:styleId="Ttulo7">
    <w:name w:val="heading 7"/>
    <w:basedOn w:val="Normal"/>
    <w:next w:val="Normal"/>
    <w:qFormat/>
    <w:rsid w:val="007D0B7D"/>
    <w:pPr>
      <w:keepNext/>
      <w:autoSpaceDE w:val="0"/>
      <w:autoSpaceDN w:val="0"/>
      <w:adjustRightInd w:val="0"/>
      <w:jc w:val="center"/>
      <w:outlineLvl w:val="6"/>
    </w:pPr>
    <w:rPr>
      <w:rFonts w:eastAsia="Times New Roman" w:cs="Arial"/>
      <w:b/>
      <w:bCs/>
      <w:color w:val="000000"/>
      <w:sz w:val="18"/>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F41BC"/>
    <w:rPr>
      <w:rFonts w:ascii="Trebuchet MS" w:hAnsi="Trebuchet MS"/>
      <w:b/>
      <w:bCs/>
      <w:kern w:val="32"/>
      <w:sz w:val="24"/>
      <w:szCs w:val="32"/>
      <w:lang w:val="es-ES" w:eastAsia="ja-JP"/>
    </w:rPr>
  </w:style>
  <w:style w:type="character" w:customStyle="1" w:styleId="Ttulo2Car">
    <w:name w:val="Título 2 Car"/>
    <w:link w:val="Ttulo2"/>
    <w:rsid w:val="00137E70"/>
    <w:rPr>
      <w:rFonts w:ascii="Trebuchet MS" w:eastAsia="Arial Unicode MS" w:hAnsi="Trebuchet MS"/>
      <w:b/>
      <w:bCs/>
      <w:i/>
      <w:iCs/>
      <w:sz w:val="22"/>
      <w:szCs w:val="28"/>
      <w:lang w:val="es-ES" w:eastAsia="ja-JP"/>
    </w:rPr>
  </w:style>
  <w:style w:type="character" w:customStyle="1" w:styleId="Ttulo3Car">
    <w:name w:val="Título 3 Car"/>
    <w:link w:val="Ttulo3"/>
    <w:uiPriority w:val="9"/>
    <w:rsid w:val="004D477B"/>
    <w:rPr>
      <w:rFonts w:ascii="Trebuchet MS" w:hAnsi="Trebuchet MS"/>
      <w:b/>
      <w:bCs/>
      <w:sz w:val="22"/>
      <w:szCs w:val="26"/>
      <w:lang w:val="es-ES" w:eastAsia="ja-JP"/>
    </w:rPr>
  </w:style>
  <w:style w:type="paragraph" w:styleId="Encabezado">
    <w:name w:val="header"/>
    <w:aliases w:val="encabezado,Encabezado1,para doc. Metro"/>
    <w:basedOn w:val="Normal"/>
    <w:link w:val="EncabezadoCar"/>
    <w:uiPriority w:val="99"/>
    <w:rsid w:val="00B13059"/>
    <w:pPr>
      <w:tabs>
        <w:tab w:val="center" w:pos="4252"/>
        <w:tab w:val="right" w:pos="8504"/>
      </w:tabs>
    </w:pPr>
    <w:rPr>
      <w:lang w:val="x-none"/>
    </w:rPr>
  </w:style>
  <w:style w:type="character" w:customStyle="1" w:styleId="EncabezadoCar">
    <w:name w:val="Encabezado Car"/>
    <w:aliases w:val="encabezado Car,Encabezado1 Car,para doc. Metro Car"/>
    <w:link w:val="Encabezado"/>
    <w:uiPriority w:val="99"/>
    <w:rsid w:val="00D66AC9"/>
    <w:rPr>
      <w:rFonts w:ascii="Trebuchet MS" w:hAnsi="Trebuchet MS"/>
      <w:sz w:val="22"/>
      <w:szCs w:val="24"/>
      <w:lang w:eastAsia="ja-JP"/>
    </w:rPr>
  </w:style>
  <w:style w:type="paragraph" w:styleId="Piedepgina">
    <w:name w:val="footer"/>
    <w:basedOn w:val="Normal"/>
    <w:link w:val="PiedepginaCar"/>
    <w:uiPriority w:val="99"/>
    <w:rsid w:val="00B13059"/>
    <w:pPr>
      <w:tabs>
        <w:tab w:val="center" w:pos="4252"/>
        <w:tab w:val="right" w:pos="8504"/>
      </w:tabs>
    </w:pPr>
    <w:rPr>
      <w:lang w:val="x-none"/>
    </w:rPr>
  </w:style>
  <w:style w:type="character" w:customStyle="1" w:styleId="PiedepginaCar">
    <w:name w:val="Pie de página Car"/>
    <w:link w:val="Piedepgina"/>
    <w:uiPriority w:val="99"/>
    <w:rsid w:val="00D66AC9"/>
    <w:rPr>
      <w:rFonts w:ascii="Trebuchet MS" w:hAnsi="Trebuchet MS"/>
      <w:sz w:val="22"/>
      <w:szCs w:val="24"/>
      <w:lang w:eastAsia="ja-JP"/>
    </w:rPr>
  </w:style>
  <w:style w:type="paragraph" w:customStyle="1" w:styleId="Car">
    <w:name w:val="Car"/>
    <w:basedOn w:val="Normal"/>
    <w:rsid w:val="00B13059"/>
    <w:pPr>
      <w:spacing w:after="160" w:line="240" w:lineRule="exact"/>
      <w:jc w:val="left"/>
    </w:pPr>
    <w:rPr>
      <w:sz w:val="24"/>
    </w:rPr>
  </w:style>
  <w:style w:type="character" w:styleId="Hipervnculo">
    <w:name w:val="Hyperlink"/>
    <w:uiPriority w:val="99"/>
    <w:rsid w:val="00E929B6"/>
    <w:rPr>
      <w:color w:val="0000FF"/>
      <w:u w:val="single"/>
    </w:rPr>
  </w:style>
  <w:style w:type="character" w:styleId="Nmerodepgina">
    <w:name w:val="page number"/>
    <w:uiPriority w:val="99"/>
    <w:rsid w:val="00D220E8"/>
    <w:rPr>
      <w:rFonts w:ascii="Arial" w:hAnsi="Arial"/>
      <w:sz w:val="20"/>
    </w:rPr>
  </w:style>
  <w:style w:type="paragraph" w:styleId="Textonotapie">
    <w:name w:val="footnote text"/>
    <w:aliases w:val="Char,Char Car,texto de nota al pie,Texto nota pie Car Car Car Car Car Car Car Car,Texto nota pie Car Car Car,fn,Footnote Text Char Char Char Char Char Char,Texto nota pie Car Car Car Car Car,Texto nota pie Car1, Char"/>
    <w:basedOn w:val="Normal"/>
    <w:link w:val="TextonotapieCar"/>
    <w:rsid w:val="0088487A"/>
    <w:pPr>
      <w:jc w:val="left"/>
    </w:pPr>
    <w:rPr>
      <w:sz w:val="20"/>
      <w:szCs w:val="20"/>
    </w:rPr>
  </w:style>
  <w:style w:type="character" w:customStyle="1" w:styleId="TextonotapieCar">
    <w:name w:val="Texto nota pie Car"/>
    <w:aliases w:val="Char Car1,Char Car Car,texto de nota al pie Car,Texto nota pie Car Car Car Car Car Car Car Car Car,Texto nota pie Car Car Car Car,fn Car,Footnote Text Char Char Char Char Char Char Car,Texto nota pie Car Car Car Car Car Car, Char Car"/>
    <w:link w:val="Textonotapie"/>
    <w:rsid w:val="003F6476"/>
    <w:rPr>
      <w:rFonts w:ascii="Trebuchet MS" w:hAnsi="Trebuchet MS"/>
      <w:lang w:val="es-ES" w:eastAsia="ja-JP"/>
    </w:rPr>
  </w:style>
  <w:style w:type="character" w:styleId="Refdenotaalpie">
    <w:name w:val="footnote reference"/>
    <w:aliases w:val="referencia nota al pie"/>
    <w:rsid w:val="0088487A"/>
    <w:rPr>
      <w:rFonts w:ascii="Trebuchet MS" w:eastAsia="MS Mincho" w:hAnsi="Trebuchet MS"/>
      <w:sz w:val="24"/>
      <w:szCs w:val="24"/>
      <w:vertAlign w:val="superscript"/>
      <w:lang w:val="es-ES" w:eastAsia="ja-JP" w:bidi="ar-SA"/>
    </w:rPr>
  </w:style>
  <w:style w:type="paragraph" w:styleId="Textoindependiente3">
    <w:name w:val="Body Text 3"/>
    <w:basedOn w:val="Normal"/>
    <w:rsid w:val="007D0B7D"/>
    <w:rPr>
      <w:rFonts w:ascii="Tahoma" w:eastAsia="Times New Roman" w:hAnsi="Tahoma" w:cs="Tahoma"/>
      <w:lang w:eastAsia="es-ES"/>
    </w:rPr>
  </w:style>
  <w:style w:type="paragraph" w:styleId="Textoindependiente">
    <w:name w:val="Body Text"/>
    <w:basedOn w:val="Normal"/>
    <w:link w:val="TextoindependienteCar"/>
    <w:uiPriority w:val="99"/>
    <w:rsid w:val="007D0B7D"/>
    <w:rPr>
      <w:rFonts w:ascii="Tahoma" w:eastAsia="Times New Roman" w:hAnsi="Tahoma"/>
      <w:sz w:val="24"/>
      <w:szCs w:val="20"/>
      <w:lang w:eastAsia="es-ES"/>
    </w:rPr>
  </w:style>
  <w:style w:type="paragraph" w:styleId="Sangra2detindependiente">
    <w:name w:val="Body Text Indent 2"/>
    <w:basedOn w:val="Normal"/>
    <w:rsid w:val="007D0B7D"/>
    <w:pPr>
      <w:spacing w:after="120" w:line="480" w:lineRule="auto"/>
      <w:ind w:left="283"/>
      <w:jc w:val="left"/>
    </w:pPr>
    <w:rPr>
      <w:rFonts w:ascii="Times New Roman" w:eastAsia="Times New Roman" w:hAnsi="Times New Roman"/>
      <w:sz w:val="20"/>
      <w:szCs w:val="20"/>
      <w:lang w:val="es-ES_tradnl" w:eastAsia="es-ES"/>
    </w:rPr>
  </w:style>
  <w:style w:type="paragraph" w:styleId="Textoindependiente2">
    <w:name w:val="Body Text 2"/>
    <w:basedOn w:val="Normal"/>
    <w:rsid w:val="007D0B7D"/>
    <w:pPr>
      <w:spacing w:after="120" w:line="480" w:lineRule="auto"/>
      <w:jc w:val="left"/>
    </w:pPr>
    <w:rPr>
      <w:rFonts w:ascii="Times New Roman" w:eastAsia="Times New Roman" w:hAnsi="Times New Roman"/>
      <w:sz w:val="20"/>
      <w:szCs w:val="20"/>
      <w:lang w:val="es-ES_tradnl" w:eastAsia="es-ES"/>
    </w:rPr>
  </w:style>
  <w:style w:type="paragraph" w:styleId="Sangradetextonormal">
    <w:name w:val="Body Text Indent"/>
    <w:basedOn w:val="Normal"/>
    <w:rsid w:val="007D0B7D"/>
    <w:pPr>
      <w:autoSpaceDE w:val="0"/>
      <w:autoSpaceDN w:val="0"/>
      <w:adjustRightInd w:val="0"/>
      <w:ind w:left="2880"/>
    </w:pPr>
    <w:rPr>
      <w:rFonts w:eastAsia="Times New Roman" w:cs="Arial"/>
      <w:sz w:val="24"/>
      <w:lang w:val="es-CO" w:eastAsia="es-ES"/>
    </w:rPr>
  </w:style>
  <w:style w:type="paragraph" w:customStyle="1" w:styleId="Car4">
    <w:name w:val="Car4"/>
    <w:basedOn w:val="Normal"/>
    <w:rsid w:val="007D0B7D"/>
    <w:pPr>
      <w:spacing w:after="160" w:line="240" w:lineRule="exact"/>
      <w:jc w:val="left"/>
    </w:pPr>
    <w:rPr>
      <w:rFonts w:ascii="Verdana" w:eastAsia="Times New Roman" w:hAnsi="Verdana"/>
      <w:sz w:val="20"/>
      <w:szCs w:val="20"/>
      <w:lang w:val="en-US" w:eastAsia="en-US"/>
    </w:rPr>
  </w:style>
  <w:style w:type="paragraph" w:styleId="Textosinformato">
    <w:name w:val="Plain Text"/>
    <w:basedOn w:val="Normal"/>
    <w:link w:val="TextosinformatoCar"/>
    <w:rsid w:val="007D0B7D"/>
    <w:pPr>
      <w:jc w:val="left"/>
    </w:pPr>
    <w:rPr>
      <w:rFonts w:ascii="Courier New" w:hAnsi="Courier New"/>
      <w:sz w:val="20"/>
      <w:szCs w:val="20"/>
      <w:lang w:eastAsia="es-ES"/>
    </w:rPr>
  </w:style>
  <w:style w:type="character" w:customStyle="1" w:styleId="TextosinformatoCar">
    <w:name w:val="Texto sin formato Car"/>
    <w:link w:val="Textosinformato"/>
    <w:rsid w:val="007D0B7D"/>
    <w:rPr>
      <w:rFonts w:ascii="Courier New" w:hAnsi="Courier New"/>
      <w:lang w:val="es-ES" w:eastAsia="es-ES" w:bidi="ar-SA"/>
    </w:rPr>
  </w:style>
  <w:style w:type="paragraph" w:styleId="NormalWeb">
    <w:name w:val="Normal (Web)"/>
    <w:basedOn w:val="Normal"/>
    <w:uiPriority w:val="99"/>
    <w:rsid w:val="007D0B7D"/>
    <w:pPr>
      <w:spacing w:before="100" w:beforeAutospacing="1" w:after="100" w:afterAutospacing="1"/>
      <w:jc w:val="left"/>
    </w:pPr>
    <w:rPr>
      <w:rFonts w:ascii="Times New Roman" w:eastAsia="Times New Roman" w:hAnsi="Times New Roman"/>
      <w:sz w:val="24"/>
      <w:lang w:eastAsia="es-ES"/>
    </w:rPr>
  </w:style>
  <w:style w:type="table" w:styleId="Tablaconcuadrcula">
    <w:name w:val="Table Grid"/>
    <w:basedOn w:val="Tablanormal"/>
    <w:uiPriority w:val="39"/>
    <w:rsid w:val="007D0B7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
    <w:name w:val="sinespaciado"/>
    <w:basedOn w:val="Normal"/>
    <w:rsid w:val="007D0B7D"/>
    <w:pPr>
      <w:jc w:val="left"/>
    </w:pPr>
    <w:rPr>
      <w:rFonts w:ascii="Calibri" w:eastAsia="Calibri" w:hAnsi="Calibri"/>
      <w:szCs w:val="22"/>
      <w:lang w:eastAsia="es-ES"/>
    </w:rPr>
  </w:style>
  <w:style w:type="character" w:customStyle="1" w:styleId="miltonramirez">
    <w:name w:val="milton.ramirez"/>
    <w:semiHidden/>
    <w:rsid w:val="007D0B7D"/>
    <w:rPr>
      <w:rFonts w:ascii="Arial" w:hAnsi="Arial" w:cs="Arial"/>
      <w:color w:val="000080"/>
      <w:sz w:val="20"/>
      <w:szCs w:val="20"/>
    </w:rPr>
  </w:style>
  <w:style w:type="paragraph" w:customStyle="1" w:styleId="ww-textoindependiente2">
    <w:name w:val="ww-textoindependiente2"/>
    <w:basedOn w:val="Normal"/>
    <w:rsid w:val="007D0B7D"/>
    <w:rPr>
      <w:rFonts w:eastAsia="Times New Roman" w:cs="Arial"/>
      <w:i/>
      <w:iCs/>
      <w:sz w:val="24"/>
      <w:lang w:eastAsia="es-ES"/>
    </w:rPr>
  </w:style>
  <w:style w:type="character" w:customStyle="1" w:styleId="Marthacaldas">
    <w:name w:val="Martha.caldas"/>
    <w:semiHidden/>
    <w:rsid w:val="007555F1"/>
    <w:rPr>
      <w:rFonts w:ascii="Arial" w:hAnsi="Arial" w:cs="Arial"/>
      <w:color w:val="000080"/>
      <w:sz w:val="20"/>
      <w:szCs w:val="20"/>
    </w:rPr>
  </w:style>
  <w:style w:type="paragraph" w:styleId="TDC1">
    <w:name w:val="toc 1"/>
    <w:basedOn w:val="Normal"/>
    <w:next w:val="Normal"/>
    <w:autoRedefine/>
    <w:uiPriority w:val="39"/>
    <w:rsid w:val="00AE2202"/>
    <w:pPr>
      <w:tabs>
        <w:tab w:val="right" w:leader="dot" w:pos="8830"/>
      </w:tabs>
      <w:spacing w:before="120" w:after="60"/>
      <w:ind w:left="851" w:hanging="851"/>
    </w:pPr>
  </w:style>
  <w:style w:type="paragraph" w:styleId="TDC2">
    <w:name w:val="toc 2"/>
    <w:basedOn w:val="Normal"/>
    <w:next w:val="Normal"/>
    <w:autoRedefine/>
    <w:uiPriority w:val="39"/>
    <w:rsid w:val="00AE2202"/>
    <w:pPr>
      <w:tabs>
        <w:tab w:val="right" w:leader="dot" w:pos="8830"/>
      </w:tabs>
      <w:spacing w:before="60" w:after="60"/>
      <w:ind w:left="993" w:hanging="851"/>
    </w:pPr>
  </w:style>
  <w:style w:type="paragraph" w:customStyle="1" w:styleId="EstiloTtulo1TrebuchetMS">
    <w:name w:val="Estilo Título 1 + Trebuchet MS"/>
    <w:basedOn w:val="Ttulo1"/>
    <w:next w:val="Normal"/>
    <w:rsid w:val="002C35A7"/>
  </w:style>
  <w:style w:type="paragraph" w:styleId="TDC3">
    <w:name w:val="toc 3"/>
    <w:basedOn w:val="Normal"/>
    <w:next w:val="Normal"/>
    <w:autoRedefine/>
    <w:uiPriority w:val="39"/>
    <w:rsid w:val="002C1AC2"/>
    <w:pPr>
      <w:tabs>
        <w:tab w:val="right" w:leader="dot" w:pos="8830"/>
      </w:tabs>
      <w:spacing w:after="60"/>
      <w:ind w:left="1418" w:hanging="992"/>
      <w:jc w:val="left"/>
    </w:pPr>
  </w:style>
  <w:style w:type="paragraph" w:styleId="TDC4">
    <w:name w:val="toc 4"/>
    <w:basedOn w:val="Normal"/>
    <w:next w:val="Normal"/>
    <w:autoRedefine/>
    <w:uiPriority w:val="39"/>
    <w:rsid w:val="00F802BC"/>
    <w:pPr>
      <w:ind w:left="660"/>
    </w:pPr>
  </w:style>
  <w:style w:type="paragraph" w:customStyle="1" w:styleId="Listavistosa-nfasis12">
    <w:name w:val="Lista vistosa - Énfasis 12"/>
    <w:basedOn w:val="Normal"/>
    <w:link w:val="Listavistosa-nfasis1Car"/>
    <w:uiPriority w:val="34"/>
    <w:qFormat/>
    <w:rsid w:val="003601BE"/>
    <w:pPr>
      <w:spacing w:after="200" w:line="276" w:lineRule="auto"/>
      <w:ind w:left="720"/>
      <w:contextualSpacing/>
      <w:jc w:val="left"/>
    </w:pPr>
    <w:rPr>
      <w:rFonts w:ascii="Calibri" w:eastAsia="Calibri" w:hAnsi="Calibri"/>
      <w:szCs w:val="22"/>
      <w:lang w:val="x-none" w:eastAsia="en-US"/>
    </w:rPr>
  </w:style>
  <w:style w:type="paragraph" w:styleId="HTMLconformatoprevio">
    <w:name w:val="HTML Preformatted"/>
    <w:basedOn w:val="Normal"/>
    <w:link w:val="HTMLconformatoprevioCar"/>
    <w:rsid w:val="00360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Sun" w:hAnsi="Courier New"/>
      <w:sz w:val="20"/>
      <w:szCs w:val="20"/>
      <w:lang w:val="x-none" w:eastAsia="zh-CN"/>
    </w:rPr>
  </w:style>
  <w:style w:type="character" w:customStyle="1" w:styleId="HTMLconformatoprevioCar">
    <w:name w:val="HTML con formato previo Car"/>
    <w:link w:val="HTMLconformatoprevio"/>
    <w:rsid w:val="003601BE"/>
    <w:rPr>
      <w:rFonts w:ascii="Courier New" w:eastAsia="SimSun" w:hAnsi="Courier New" w:cs="Courier New"/>
      <w:lang w:eastAsia="zh-CN"/>
    </w:rPr>
  </w:style>
  <w:style w:type="paragraph" w:customStyle="1" w:styleId="Prrafodelista1">
    <w:name w:val="Párrafo de lista1"/>
    <w:basedOn w:val="Normal"/>
    <w:rsid w:val="003601BE"/>
    <w:pPr>
      <w:spacing w:after="200" w:line="120" w:lineRule="auto"/>
      <w:ind w:left="720"/>
      <w:jc w:val="left"/>
    </w:pPr>
    <w:rPr>
      <w:rFonts w:ascii="Calibri" w:eastAsia="Times New Roman" w:hAnsi="Calibri"/>
      <w:szCs w:val="22"/>
      <w:lang w:eastAsia="es-ES"/>
    </w:rPr>
  </w:style>
  <w:style w:type="paragraph" w:customStyle="1" w:styleId="Prrafo">
    <w:name w:val="Párrafo"/>
    <w:basedOn w:val="Textonotapie"/>
    <w:link w:val="PrrafoCar"/>
    <w:rsid w:val="003601BE"/>
    <w:pPr>
      <w:spacing w:line="360" w:lineRule="auto"/>
      <w:ind w:firstLine="709"/>
      <w:jc w:val="both"/>
    </w:pPr>
    <w:rPr>
      <w:rFonts w:ascii="Times New Roman" w:eastAsia="Calibri" w:hAnsi="Times New Roman"/>
      <w:sz w:val="24"/>
      <w:szCs w:val="24"/>
      <w:lang w:val="x-none" w:eastAsia="x-none"/>
    </w:rPr>
  </w:style>
  <w:style w:type="character" w:customStyle="1" w:styleId="PrrafoCar">
    <w:name w:val="Párrafo Car"/>
    <w:link w:val="Prrafo"/>
    <w:locked/>
    <w:rsid w:val="003601BE"/>
    <w:rPr>
      <w:rFonts w:eastAsia="Calibri"/>
      <w:sz w:val="24"/>
      <w:szCs w:val="24"/>
    </w:rPr>
  </w:style>
  <w:style w:type="paragraph" w:customStyle="1" w:styleId="TablaNo">
    <w:name w:val="Tabla No"/>
    <w:basedOn w:val="Normal"/>
    <w:next w:val="Normal"/>
    <w:link w:val="TablaNoCar"/>
    <w:qFormat/>
    <w:rsid w:val="00A42AA1"/>
    <w:pPr>
      <w:numPr>
        <w:numId w:val="3"/>
      </w:numPr>
      <w:autoSpaceDE w:val="0"/>
      <w:autoSpaceDN w:val="0"/>
      <w:adjustRightInd w:val="0"/>
      <w:spacing w:line="360" w:lineRule="auto"/>
      <w:jc w:val="center"/>
    </w:pPr>
    <w:rPr>
      <w:rFonts w:ascii="Times New Roman" w:eastAsia="Times New Roman" w:hAnsi="Times New Roman"/>
      <w:b/>
      <w:sz w:val="24"/>
      <w:lang w:eastAsia="ko-KR"/>
    </w:rPr>
  </w:style>
  <w:style w:type="character" w:customStyle="1" w:styleId="TablaNoCar">
    <w:name w:val="Tabla No Car"/>
    <w:link w:val="TablaNo"/>
    <w:locked/>
    <w:rsid w:val="00A42AA1"/>
    <w:rPr>
      <w:rFonts w:eastAsia="Times New Roman"/>
      <w:b/>
      <w:sz w:val="24"/>
      <w:szCs w:val="24"/>
      <w:lang w:val="es-ES" w:eastAsia="ko-KR"/>
    </w:rPr>
  </w:style>
  <w:style w:type="paragraph" w:styleId="Descripcin">
    <w:name w:val="caption"/>
    <w:aliases w:val="Geomatica_Epígrafe,Epígrafe Car,Tablas Car"/>
    <w:basedOn w:val="Normal"/>
    <w:next w:val="Normal"/>
    <w:qFormat/>
    <w:rsid w:val="00D67637"/>
    <w:pPr>
      <w:keepNext/>
      <w:spacing w:after="120" w:line="360" w:lineRule="auto"/>
      <w:ind w:left="57" w:firstLine="709"/>
      <w:jc w:val="left"/>
    </w:pPr>
    <w:rPr>
      <w:rFonts w:eastAsia="Times New Roman"/>
      <w:b/>
      <w:bCs/>
      <w:sz w:val="20"/>
      <w:szCs w:val="20"/>
      <w:lang w:val="es-CO" w:eastAsia="es-CO"/>
    </w:rPr>
  </w:style>
  <w:style w:type="table" w:styleId="Sombreadomedio2-nfasis4">
    <w:name w:val="Medium Shading 2 Accent 4"/>
    <w:basedOn w:val="Tablanormal"/>
    <w:uiPriority w:val="69"/>
    <w:rsid w:val="00C570F7"/>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Refdecomentario">
    <w:name w:val="annotation reference"/>
    <w:uiPriority w:val="99"/>
    <w:rsid w:val="00AB2962"/>
    <w:rPr>
      <w:sz w:val="16"/>
      <w:szCs w:val="16"/>
    </w:rPr>
  </w:style>
  <w:style w:type="paragraph" w:styleId="Textocomentario">
    <w:name w:val="annotation text"/>
    <w:basedOn w:val="Normal"/>
    <w:link w:val="TextocomentarioCar"/>
    <w:uiPriority w:val="99"/>
    <w:rsid w:val="00AB2962"/>
    <w:rPr>
      <w:sz w:val="20"/>
      <w:szCs w:val="20"/>
    </w:rPr>
  </w:style>
  <w:style w:type="character" w:customStyle="1" w:styleId="TextocomentarioCar">
    <w:name w:val="Texto comentario Car"/>
    <w:link w:val="Textocomentario"/>
    <w:uiPriority w:val="99"/>
    <w:rsid w:val="00AB2962"/>
    <w:rPr>
      <w:rFonts w:ascii="Trebuchet MS" w:hAnsi="Trebuchet MS"/>
      <w:lang w:val="es-ES" w:eastAsia="ja-JP"/>
    </w:rPr>
  </w:style>
  <w:style w:type="paragraph" w:styleId="Asuntodelcomentario">
    <w:name w:val="annotation subject"/>
    <w:basedOn w:val="Textocomentario"/>
    <w:next w:val="Textocomentario"/>
    <w:link w:val="AsuntodelcomentarioCar"/>
    <w:rsid w:val="00AB2962"/>
    <w:rPr>
      <w:b/>
      <w:bCs/>
    </w:rPr>
  </w:style>
  <w:style w:type="character" w:customStyle="1" w:styleId="AsuntodelcomentarioCar">
    <w:name w:val="Asunto del comentario Car"/>
    <w:link w:val="Asuntodelcomentario"/>
    <w:rsid w:val="00AB2962"/>
    <w:rPr>
      <w:rFonts w:ascii="Trebuchet MS" w:hAnsi="Trebuchet MS"/>
      <w:b/>
      <w:bCs/>
      <w:lang w:val="es-ES" w:eastAsia="ja-JP"/>
    </w:rPr>
  </w:style>
  <w:style w:type="paragraph" w:styleId="Textodeglobo">
    <w:name w:val="Balloon Text"/>
    <w:basedOn w:val="Normal"/>
    <w:link w:val="TextodegloboCar"/>
    <w:uiPriority w:val="99"/>
    <w:rsid w:val="00AB2962"/>
    <w:rPr>
      <w:rFonts w:ascii="Tahoma" w:hAnsi="Tahoma"/>
      <w:sz w:val="16"/>
      <w:szCs w:val="16"/>
    </w:rPr>
  </w:style>
  <w:style w:type="character" w:customStyle="1" w:styleId="TextodegloboCar">
    <w:name w:val="Texto de globo Car"/>
    <w:link w:val="Textodeglobo"/>
    <w:uiPriority w:val="99"/>
    <w:rsid w:val="00AB2962"/>
    <w:rPr>
      <w:rFonts w:ascii="Tahoma" w:hAnsi="Tahoma" w:cs="Tahoma"/>
      <w:sz w:val="16"/>
      <w:szCs w:val="16"/>
      <w:lang w:val="es-ES" w:eastAsia="ja-JP"/>
    </w:rPr>
  </w:style>
  <w:style w:type="paragraph" w:customStyle="1" w:styleId="Cuadrculamedia21">
    <w:name w:val="Cuadrícula media 21"/>
    <w:link w:val="Cuadrculamedia2Car"/>
    <w:uiPriority w:val="1"/>
    <w:qFormat/>
    <w:rsid w:val="007A60D8"/>
    <w:rPr>
      <w:rFonts w:ascii="Calibri" w:eastAsia="Times New Roman" w:hAnsi="Calibri"/>
      <w:sz w:val="22"/>
      <w:szCs w:val="22"/>
      <w:lang w:val="es-ES" w:eastAsia="en-US"/>
    </w:rPr>
  </w:style>
  <w:style w:type="character" w:customStyle="1" w:styleId="Cuadrculamedia2Car">
    <w:name w:val="Cuadrícula media 2 Car"/>
    <w:link w:val="Cuadrculamedia21"/>
    <w:uiPriority w:val="1"/>
    <w:rsid w:val="007A60D8"/>
    <w:rPr>
      <w:rFonts w:ascii="Calibri" w:eastAsia="Times New Roman" w:hAnsi="Calibri"/>
      <w:sz w:val="22"/>
      <w:szCs w:val="22"/>
      <w:lang w:val="es-ES" w:eastAsia="en-US" w:bidi="ar-SA"/>
    </w:rPr>
  </w:style>
  <w:style w:type="character" w:styleId="Textoennegrita">
    <w:name w:val="Strong"/>
    <w:uiPriority w:val="22"/>
    <w:qFormat/>
    <w:rsid w:val="00F149CD"/>
    <w:rPr>
      <w:b/>
      <w:bCs/>
    </w:rPr>
  </w:style>
  <w:style w:type="character" w:styleId="nfasis">
    <w:name w:val="Emphasis"/>
    <w:uiPriority w:val="20"/>
    <w:qFormat/>
    <w:rsid w:val="003F0958"/>
    <w:rPr>
      <w:i/>
      <w:iCs/>
    </w:rPr>
  </w:style>
  <w:style w:type="paragraph" w:styleId="Lista">
    <w:name w:val="List"/>
    <w:basedOn w:val="Normal"/>
    <w:rsid w:val="003F6476"/>
    <w:pPr>
      <w:widowControl w:val="0"/>
      <w:ind w:left="283" w:hanging="283"/>
      <w:jc w:val="left"/>
    </w:pPr>
    <w:rPr>
      <w:rFonts w:ascii="Times New Roman" w:eastAsia="Times New Roman" w:hAnsi="Times New Roman"/>
      <w:color w:val="000000"/>
      <w:sz w:val="20"/>
      <w:szCs w:val="20"/>
      <w:lang w:eastAsia="es-ES"/>
    </w:rPr>
  </w:style>
  <w:style w:type="paragraph" w:customStyle="1" w:styleId="textocaja">
    <w:name w:val="textocaja"/>
    <w:basedOn w:val="Normal"/>
    <w:rsid w:val="003F6476"/>
    <w:pPr>
      <w:spacing w:before="100" w:beforeAutospacing="1" w:after="100" w:afterAutospacing="1"/>
    </w:pPr>
    <w:rPr>
      <w:rFonts w:ascii="Georgia" w:eastAsia="Times New Roman" w:hAnsi="Georgia"/>
      <w:szCs w:val="22"/>
      <w:lang w:val="es-CO" w:eastAsia="es-CO"/>
    </w:rPr>
  </w:style>
  <w:style w:type="character" w:customStyle="1" w:styleId="apple-converted-space">
    <w:name w:val="apple-converted-space"/>
    <w:rsid w:val="00F91223"/>
  </w:style>
  <w:style w:type="table" w:styleId="Cuadrculamedia1-nfasis1">
    <w:name w:val="Medium Grid 1 Accent 1"/>
    <w:basedOn w:val="Tablanormal"/>
    <w:uiPriority w:val="62"/>
    <w:rsid w:val="0061331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Sun" w:eastAsia="Times New Roman"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Times New Roman"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uiPriority w:val="99"/>
    <w:unhideWhenUsed/>
    <w:rsid w:val="000E1C4F"/>
    <w:rPr>
      <w:color w:val="800080"/>
      <w:u w:val="single"/>
    </w:rPr>
  </w:style>
  <w:style w:type="paragraph" w:customStyle="1" w:styleId="default">
    <w:name w:val="default"/>
    <w:basedOn w:val="Normal"/>
    <w:rsid w:val="00A11ECE"/>
    <w:pPr>
      <w:jc w:val="left"/>
    </w:pPr>
    <w:rPr>
      <w:rFonts w:ascii="Arial" w:eastAsia="Calibri" w:hAnsi="Arial" w:cs="Arial"/>
      <w:color w:val="000000"/>
      <w:sz w:val="24"/>
      <w:lang w:val="es-CO" w:eastAsia="es-CO"/>
    </w:rPr>
  </w:style>
  <w:style w:type="character" w:customStyle="1" w:styleId="Listavistosa-nfasis1Car">
    <w:name w:val="Lista vistosa - Énfasis 1 Car"/>
    <w:link w:val="Listavistosa-nfasis12"/>
    <w:uiPriority w:val="34"/>
    <w:locked/>
    <w:rsid w:val="00A11ECE"/>
    <w:rPr>
      <w:rFonts w:ascii="Calibri" w:eastAsia="Calibri" w:hAnsi="Calibri"/>
      <w:sz w:val="22"/>
      <w:szCs w:val="22"/>
      <w:lang w:eastAsia="en-US"/>
    </w:rPr>
  </w:style>
  <w:style w:type="paragraph" w:customStyle="1" w:styleId="textoelt">
    <w:name w:val="textoelt"/>
    <w:basedOn w:val="Normal"/>
    <w:rsid w:val="00A11ECE"/>
    <w:pPr>
      <w:spacing w:before="100" w:beforeAutospacing="1" w:after="100" w:afterAutospacing="1"/>
      <w:jc w:val="left"/>
    </w:pPr>
    <w:rPr>
      <w:rFonts w:ascii="Times New Roman" w:eastAsia="Times New Roman" w:hAnsi="Times New Roman"/>
      <w:sz w:val="24"/>
      <w:lang w:eastAsia="es-ES"/>
    </w:rPr>
  </w:style>
  <w:style w:type="character" w:customStyle="1" w:styleId="Tablanormal41">
    <w:name w:val="Tabla normal 41"/>
    <w:uiPriority w:val="21"/>
    <w:qFormat/>
    <w:rsid w:val="00A11ECE"/>
    <w:rPr>
      <w:b/>
      <w:bCs/>
      <w:i/>
      <w:iCs/>
      <w:color w:val="4F81BD"/>
    </w:rPr>
  </w:style>
  <w:style w:type="character" w:customStyle="1" w:styleId="nfasisintenso1">
    <w:name w:val="Énfasis intenso1"/>
    <w:uiPriority w:val="21"/>
    <w:qFormat/>
    <w:rsid w:val="00A11ECE"/>
    <w:rPr>
      <w:b/>
      <w:bCs/>
      <w:i/>
      <w:iCs/>
      <w:color w:val="4F81BD"/>
    </w:rPr>
  </w:style>
  <w:style w:type="paragraph" w:customStyle="1" w:styleId="EstiloJustificado">
    <w:name w:val="Estilo Justificado"/>
    <w:basedOn w:val="Normal"/>
    <w:rsid w:val="00A11ECE"/>
    <w:rPr>
      <w:rFonts w:ascii="Arial Narrow" w:eastAsia="Times New Roman" w:hAnsi="Arial Narrow"/>
      <w:sz w:val="24"/>
      <w:szCs w:val="20"/>
      <w:lang w:eastAsia="es-ES"/>
    </w:rPr>
  </w:style>
  <w:style w:type="paragraph" w:customStyle="1" w:styleId="CUADRO">
    <w:name w:val="CUADRO"/>
    <w:basedOn w:val="Normal"/>
    <w:autoRedefine/>
    <w:rsid w:val="00A11ECE"/>
    <w:rPr>
      <w:rFonts w:ascii="Calibri" w:eastAsia="Times New Roman" w:hAnsi="Calibri" w:cs="Arial"/>
      <w:szCs w:val="22"/>
      <w:lang w:val="es-CO" w:eastAsia="es-ES"/>
    </w:rPr>
  </w:style>
  <w:style w:type="paragraph" w:customStyle="1" w:styleId="Sombreadovistoso-nfasis11">
    <w:name w:val="Sombreado vistoso - Énfasis 11"/>
    <w:hidden/>
    <w:uiPriority w:val="99"/>
    <w:semiHidden/>
    <w:rsid w:val="005B4CF2"/>
    <w:rPr>
      <w:rFonts w:ascii="Trebuchet MS" w:hAnsi="Trebuchet MS"/>
      <w:sz w:val="22"/>
      <w:szCs w:val="24"/>
      <w:lang w:val="es-ES" w:eastAsia="ja-JP"/>
    </w:rPr>
  </w:style>
  <w:style w:type="paragraph" w:customStyle="1" w:styleId="Default0">
    <w:name w:val="Default"/>
    <w:basedOn w:val="Normal"/>
    <w:rsid w:val="0007500B"/>
    <w:pPr>
      <w:autoSpaceDE w:val="0"/>
      <w:autoSpaceDN w:val="0"/>
      <w:jc w:val="left"/>
    </w:pPr>
    <w:rPr>
      <w:rFonts w:ascii="Arial" w:eastAsia="Calibri" w:hAnsi="Arial" w:cs="Arial"/>
      <w:color w:val="000000"/>
      <w:sz w:val="24"/>
      <w:lang w:val="es-CO" w:eastAsia="en-US"/>
    </w:rPr>
  </w:style>
  <w:style w:type="paragraph" w:customStyle="1" w:styleId="Textoindependiente31">
    <w:name w:val="Texto independiente 31"/>
    <w:basedOn w:val="Normal"/>
    <w:uiPriority w:val="99"/>
    <w:rsid w:val="0007500B"/>
    <w:rPr>
      <w:rFonts w:ascii="Arial" w:eastAsia="Calibri" w:hAnsi="Arial" w:cs="Arial"/>
      <w:sz w:val="24"/>
      <w:lang w:val="es-CO" w:eastAsia="ar-SA"/>
    </w:rPr>
  </w:style>
  <w:style w:type="table" w:customStyle="1" w:styleId="Tabladecuadrcula4-nfasis11">
    <w:name w:val="Tabla de cuadrícula 4 - Énfasis 11"/>
    <w:basedOn w:val="Tablanormal"/>
    <w:uiPriority w:val="49"/>
    <w:rsid w:val="00A15BF5"/>
    <w:rPr>
      <w:rFonts w:ascii="Calibri" w:eastAsia="Calibri" w:hAnsi="Calibri"/>
      <w:sz w:val="22"/>
      <w:szCs w:val="22"/>
      <w:lang w:val="es-MX"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uiPriority w:val="49"/>
    <w:rsid w:val="00A15BF5"/>
    <w:rPr>
      <w:rFonts w:ascii="Calibri" w:eastAsia="Calibri" w:hAnsi="Calibri"/>
      <w:sz w:val="22"/>
      <w:szCs w:val="22"/>
      <w:lang w:val="es-MX"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uiPriority w:val="51"/>
    <w:rsid w:val="00A15BF5"/>
    <w:rPr>
      <w:rFonts w:ascii="Calibri" w:eastAsia="Calibri" w:hAnsi="Calibri"/>
      <w:color w:val="2F5496"/>
      <w:sz w:val="22"/>
      <w:szCs w:val="22"/>
      <w:lang w:val="es-MX"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translate">
    <w:name w:val="notranslate"/>
    <w:rsid w:val="00A15BF5"/>
  </w:style>
  <w:style w:type="paragraph" w:styleId="Puesto">
    <w:name w:val="Title"/>
    <w:basedOn w:val="Normal"/>
    <w:next w:val="Normal"/>
    <w:link w:val="PuestoCar"/>
    <w:uiPriority w:val="10"/>
    <w:qFormat/>
    <w:rsid w:val="00A15BF5"/>
    <w:pPr>
      <w:pBdr>
        <w:bottom w:val="single" w:sz="8" w:space="4" w:color="5B9BD5"/>
      </w:pBdr>
      <w:spacing w:after="300"/>
      <w:contextualSpacing/>
      <w:jc w:val="left"/>
    </w:pPr>
    <w:rPr>
      <w:rFonts w:ascii="Calibri Light" w:eastAsia="Times New Roman" w:hAnsi="Calibri Light"/>
      <w:color w:val="323E4F"/>
      <w:spacing w:val="5"/>
      <w:kern w:val="28"/>
      <w:sz w:val="52"/>
      <w:szCs w:val="52"/>
      <w:lang w:val="es-MX" w:eastAsia="en-US"/>
    </w:rPr>
  </w:style>
  <w:style w:type="character" w:customStyle="1" w:styleId="PuestoCar">
    <w:name w:val="Puesto Car"/>
    <w:link w:val="Puesto"/>
    <w:uiPriority w:val="10"/>
    <w:rsid w:val="00A15BF5"/>
    <w:rPr>
      <w:rFonts w:ascii="Calibri Light" w:eastAsia="Times New Roman" w:hAnsi="Calibri Light"/>
      <w:color w:val="323E4F"/>
      <w:spacing w:val="5"/>
      <w:kern w:val="28"/>
      <w:sz w:val="52"/>
      <w:szCs w:val="52"/>
      <w:lang w:val="es-MX" w:eastAsia="en-US"/>
    </w:rPr>
  </w:style>
  <w:style w:type="table" w:styleId="Tabladecuadrcula2-nfasis1">
    <w:name w:val="Grid Table 2 Accent 1"/>
    <w:basedOn w:val="Tablanormal"/>
    <w:uiPriority w:val="47"/>
    <w:rsid w:val="009C3A30"/>
    <w:pPr>
      <w:spacing w:before="40"/>
    </w:pPr>
    <w:rPr>
      <w:rFonts w:ascii="Cambria" w:eastAsia="Cambria" w:hAnsi="Cambria"/>
      <w:color w:val="595959"/>
      <w:lang w:val="es-ES" w:eastAsia="ja-JP"/>
    </w:rPr>
    <w:tblPr>
      <w:tblStyleRowBandSize w:val="1"/>
      <w:tblStyleColBandSize w:val="1"/>
      <w:tblInd w:w="0" w:type="dxa"/>
      <w:tblBorders>
        <w:top w:val="single" w:sz="2" w:space="0" w:color="B1C0CD"/>
        <w:bottom w:val="single" w:sz="2" w:space="0" w:color="B1C0CD"/>
        <w:insideH w:val="single" w:sz="2" w:space="0" w:color="B1C0CD"/>
        <w:insideV w:val="single" w:sz="2" w:space="0" w:color="B1C0CD"/>
      </w:tblBorders>
      <w:tblCellMar>
        <w:top w:w="0" w:type="dxa"/>
        <w:left w:w="108" w:type="dxa"/>
        <w:bottom w:w="0" w:type="dxa"/>
        <w:right w:w="108" w:type="dxa"/>
      </w:tblCellMar>
    </w:tblPr>
    <w:tblStylePr w:type="firstRow">
      <w:rPr>
        <w:b/>
        <w:bCs/>
      </w:rPr>
      <w:tblPr/>
      <w:tcPr>
        <w:tcBorders>
          <w:top w:val="nil"/>
          <w:bottom w:val="single" w:sz="12" w:space="0" w:color="B1C0CD"/>
          <w:insideH w:val="nil"/>
          <w:insideV w:val="nil"/>
        </w:tcBorders>
        <w:shd w:val="clear" w:color="auto" w:fill="FFFFFF"/>
      </w:tcPr>
    </w:tblStylePr>
    <w:tblStylePr w:type="lastRow">
      <w:rPr>
        <w:b/>
        <w:bCs/>
      </w:rPr>
      <w:tblPr/>
      <w:tcPr>
        <w:tcBorders>
          <w:top w:val="double" w:sz="2" w:space="0" w:color="B1C0C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AEE"/>
      </w:tcPr>
    </w:tblStylePr>
    <w:tblStylePr w:type="band1Horz">
      <w:tblPr/>
      <w:tcPr>
        <w:shd w:val="clear" w:color="auto" w:fill="E5EAEE"/>
      </w:tcPr>
    </w:tblStylePr>
  </w:style>
  <w:style w:type="paragraph" w:styleId="TDC5">
    <w:name w:val="toc 5"/>
    <w:basedOn w:val="Normal"/>
    <w:next w:val="Normal"/>
    <w:autoRedefine/>
    <w:uiPriority w:val="39"/>
    <w:unhideWhenUsed/>
    <w:rsid w:val="00490FC3"/>
    <w:pPr>
      <w:spacing w:after="100" w:line="259" w:lineRule="auto"/>
      <w:ind w:left="880"/>
      <w:jc w:val="left"/>
    </w:pPr>
    <w:rPr>
      <w:rFonts w:ascii="Calibri" w:eastAsia="Times New Roman" w:hAnsi="Calibri"/>
      <w:szCs w:val="22"/>
      <w:lang w:val="es-CO" w:eastAsia="es-CO"/>
    </w:rPr>
  </w:style>
  <w:style w:type="paragraph" w:styleId="TDC6">
    <w:name w:val="toc 6"/>
    <w:basedOn w:val="Normal"/>
    <w:next w:val="Normal"/>
    <w:autoRedefine/>
    <w:uiPriority w:val="39"/>
    <w:unhideWhenUsed/>
    <w:rsid w:val="00490FC3"/>
    <w:pPr>
      <w:spacing w:after="100" w:line="259" w:lineRule="auto"/>
      <w:ind w:left="1100"/>
      <w:jc w:val="left"/>
    </w:pPr>
    <w:rPr>
      <w:rFonts w:ascii="Calibri" w:eastAsia="Times New Roman" w:hAnsi="Calibri"/>
      <w:szCs w:val="22"/>
      <w:lang w:val="es-CO" w:eastAsia="es-CO"/>
    </w:rPr>
  </w:style>
  <w:style w:type="paragraph" w:styleId="TDC7">
    <w:name w:val="toc 7"/>
    <w:basedOn w:val="Normal"/>
    <w:next w:val="Normal"/>
    <w:autoRedefine/>
    <w:uiPriority w:val="39"/>
    <w:unhideWhenUsed/>
    <w:rsid w:val="00490FC3"/>
    <w:pPr>
      <w:spacing w:after="100" w:line="259" w:lineRule="auto"/>
      <w:ind w:left="1320"/>
      <w:jc w:val="left"/>
    </w:pPr>
    <w:rPr>
      <w:rFonts w:ascii="Calibri" w:eastAsia="Times New Roman" w:hAnsi="Calibri"/>
      <w:szCs w:val="22"/>
      <w:lang w:val="es-CO" w:eastAsia="es-CO"/>
    </w:rPr>
  </w:style>
  <w:style w:type="paragraph" w:styleId="TDC8">
    <w:name w:val="toc 8"/>
    <w:basedOn w:val="Normal"/>
    <w:next w:val="Normal"/>
    <w:autoRedefine/>
    <w:uiPriority w:val="39"/>
    <w:unhideWhenUsed/>
    <w:rsid w:val="00490FC3"/>
    <w:pPr>
      <w:spacing w:after="100" w:line="259" w:lineRule="auto"/>
      <w:ind w:left="1540"/>
      <w:jc w:val="left"/>
    </w:pPr>
    <w:rPr>
      <w:rFonts w:ascii="Calibri" w:eastAsia="Times New Roman" w:hAnsi="Calibri"/>
      <w:szCs w:val="22"/>
      <w:lang w:val="es-CO" w:eastAsia="es-CO"/>
    </w:rPr>
  </w:style>
  <w:style w:type="paragraph" w:styleId="TDC9">
    <w:name w:val="toc 9"/>
    <w:basedOn w:val="Normal"/>
    <w:next w:val="Normal"/>
    <w:autoRedefine/>
    <w:uiPriority w:val="39"/>
    <w:unhideWhenUsed/>
    <w:rsid w:val="00490FC3"/>
    <w:pPr>
      <w:spacing w:after="100" w:line="259" w:lineRule="auto"/>
      <w:ind w:left="1760"/>
      <w:jc w:val="left"/>
    </w:pPr>
    <w:rPr>
      <w:rFonts w:ascii="Calibri" w:eastAsia="Times New Roman" w:hAnsi="Calibri"/>
      <w:szCs w:val="22"/>
      <w:lang w:val="es-CO" w:eastAsia="es-CO"/>
    </w:rPr>
  </w:style>
  <w:style w:type="paragraph" w:styleId="Prrafodelista">
    <w:name w:val="List Paragraph"/>
    <w:aliases w:val="HOJA,Colorful List Accent 1,Colorful List - Accent 11,Párrafo de lista (analisis predial),Lista vistosa - Énfasis 11"/>
    <w:basedOn w:val="Normal"/>
    <w:link w:val="PrrafodelistaCar"/>
    <w:uiPriority w:val="34"/>
    <w:qFormat/>
    <w:rsid w:val="00586525"/>
    <w:pPr>
      <w:spacing w:after="160" w:line="259" w:lineRule="auto"/>
      <w:ind w:left="720"/>
      <w:contextualSpacing/>
      <w:jc w:val="left"/>
    </w:pPr>
    <w:rPr>
      <w:rFonts w:ascii="Calibri" w:eastAsia="Calibri" w:hAnsi="Calibri"/>
      <w:szCs w:val="22"/>
      <w:lang w:val="es-MX" w:eastAsia="en-US"/>
    </w:rPr>
  </w:style>
  <w:style w:type="paragraph" w:styleId="Sinespaciado0">
    <w:name w:val="No Spacing"/>
    <w:uiPriority w:val="1"/>
    <w:qFormat/>
    <w:rsid w:val="00586525"/>
    <w:rPr>
      <w:rFonts w:ascii="Calibri" w:eastAsia="Times New Roman" w:hAnsi="Calibri"/>
      <w:sz w:val="22"/>
      <w:szCs w:val="22"/>
      <w:lang w:eastAsia="en-US"/>
    </w:rPr>
  </w:style>
  <w:style w:type="character" w:customStyle="1" w:styleId="PrrafodelistaCar">
    <w:name w:val="Párrafo de lista Car"/>
    <w:aliases w:val="HOJA Car,Colorful List Accent 1 Car,Colorful List - Accent 11 Car,Párrafo de lista (analisis predial) Car,Lista vistosa - Énfasis 11 Car"/>
    <w:link w:val="Prrafodelista"/>
    <w:uiPriority w:val="34"/>
    <w:locked/>
    <w:rsid w:val="00586525"/>
    <w:rPr>
      <w:rFonts w:ascii="Calibri" w:eastAsia="Calibri" w:hAnsi="Calibri"/>
      <w:sz w:val="22"/>
      <w:szCs w:val="22"/>
      <w:lang w:val="es-MX" w:eastAsia="en-US"/>
    </w:rPr>
  </w:style>
  <w:style w:type="character" w:customStyle="1" w:styleId="TextoindependienteCar">
    <w:name w:val="Texto independiente Car"/>
    <w:link w:val="Textoindependiente"/>
    <w:uiPriority w:val="99"/>
    <w:rsid w:val="00586525"/>
    <w:rPr>
      <w:rFonts w:ascii="Tahoma" w:eastAsia="Times New Roman" w:hAnsi="Tahoma"/>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60711">
      <w:bodyDiv w:val="1"/>
      <w:marLeft w:val="0"/>
      <w:marRight w:val="0"/>
      <w:marTop w:val="0"/>
      <w:marBottom w:val="0"/>
      <w:divBdr>
        <w:top w:val="none" w:sz="0" w:space="0" w:color="auto"/>
        <w:left w:val="none" w:sz="0" w:space="0" w:color="auto"/>
        <w:bottom w:val="none" w:sz="0" w:space="0" w:color="auto"/>
        <w:right w:val="none" w:sz="0" w:space="0" w:color="auto"/>
      </w:divBdr>
    </w:div>
    <w:div w:id="37242104">
      <w:bodyDiv w:val="1"/>
      <w:marLeft w:val="0"/>
      <w:marRight w:val="0"/>
      <w:marTop w:val="0"/>
      <w:marBottom w:val="0"/>
      <w:divBdr>
        <w:top w:val="none" w:sz="0" w:space="0" w:color="auto"/>
        <w:left w:val="none" w:sz="0" w:space="0" w:color="auto"/>
        <w:bottom w:val="none" w:sz="0" w:space="0" w:color="auto"/>
        <w:right w:val="none" w:sz="0" w:space="0" w:color="auto"/>
      </w:divBdr>
    </w:div>
    <w:div w:id="51662473">
      <w:bodyDiv w:val="1"/>
      <w:marLeft w:val="0"/>
      <w:marRight w:val="0"/>
      <w:marTop w:val="0"/>
      <w:marBottom w:val="0"/>
      <w:divBdr>
        <w:top w:val="none" w:sz="0" w:space="0" w:color="auto"/>
        <w:left w:val="none" w:sz="0" w:space="0" w:color="auto"/>
        <w:bottom w:val="none" w:sz="0" w:space="0" w:color="auto"/>
        <w:right w:val="none" w:sz="0" w:space="0" w:color="auto"/>
      </w:divBdr>
    </w:div>
    <w:div w:id="54940928">
      <w:bodyDiv w:val="1"/>
      <w:marLeft w:val="0"/>
      <w:marRight w:val="0"/>
      <w:marTop w:val="0"/>
      <w:marBottom w:val="0"/>
      <w:divBdr>
        <w:top w:val="none" w:sz="0" w:space="0" w:color="auto"/>
        <w:left w:val="none" w:sz="0" w:space="0" w:color="auto"/>
        <w:bottom w:val="none" w:sz="0" w:space="0" w:color="auto"/>
        <w:right w:val="none" w:sz="0" w:space="0" w:color="auto"/>
      </w:divBdr>
    </w:div>
    <w:div w:id="58287057">
      <w:bodyDiv w:val="1"/>
      <w:marLeft w:val="0"/>
      <w:marRight w:val="0"/>
      <w:marTop w:val="0"/>
      <w:marBottom w:val="0"/>
      <w:divBdr>
        <w:top w:val="none" w:sz="0" w:space="0" w:color="auto"/>
        <w:left w:val="none" w:sz="0" w:space="0" w:color="auto"/>
        <w:bottom w:val="none" w:sz="0" w:space="0" w:color="auto"/>
        <w:right w:val="none" w:sz="0" w:space="0" w:color="auto"/>
      </w:divBdr>
    </w:div>
    <w:div w:id="93522564">
      <w:bodyDiv w:val="1"/>
      <w:marLeft w:val="0"/>
      <w:marRight w:val="0"/>
      <w:marTop w:val="0"/>
      <w:marBottom w:val="0"/>
      <w:divBdr>
        <w:top w:val="none" w:sz="0" w:space="0" w:color="auto"/>
        <w:left w:val="none" w:sz="0" w:space="0" w:color="auto"/>
        <w:bottom w:val="none" w:sz="0" w:space="0" w:color="auto"/>
        <w:right w:val="none" w:sz="0" w:space="0" w:color="auto"/>
      </w:divBdr>
    </w:div>
    <w:div w:id="110633541">
      <w:bodyDiv w:val="1"/>
      <w:marLeft w:val="0"/>
      <w:marRight w:val="0"/>
      <w:marTop w:val="0"/>
      <w:marBottom w:val="0"/>
      <w:divBdr>
        <w:top w:val="none" w:sz="0" w:space="0" w:color="auto"/>
        <w:left w:val="none" w:sz="0" w:space="0" w:color="auto"/>
        <w:bottom w:val="none" w:sz="0" w:space="0" w:color="auto"/>
        <w:right w:val="none" w:sz="0" w:space="0" w:color="auto"/>
      </w:divBdr>
    </w:div>
    <w:div w:id="115488788">
      <w:bodyDiv w:val="1"/>
      <w:marLeft w:val="0"/>
      <w:marRight w:val="0"/>
      <w:marTop w:val="0"/>
      <w:marBottom w:val="0"/>
      <w:divBdr>
        <w:top w:val="none" w:sz="0" w:space="0" w:color="auto"/>
        <w:left w:val="none" w:sz="0" w:space="0" w:color="auto"/>
        <w:bottom w:val="none" w:sz="0" w:space="0" w:color="auto"/>
        <w:right w:val="none" w:sz="0" w:space="0" w:color="auto"/>
      </w:divBdr>
    </w:div>
    <w:div w:id="145782659">
      <w:bodyDiv w:val="1"/>
      <w:marLeft w:val="0"/>
      <w:marRight w:val="0"/>
      <w:marTop w:val="0"/>
      <w:marBottom w:val="0"/>
      <w:divBdr>
        <w:top w:val="none" w:sz="0" w:space="0" w:color="auto"/>
        <w:left w:val="none" w:sz="0" w:space="0" w:color="auto"/>
        <w:bottom w:val="none" w:sz="0" w:space="0" w:color="auto"/>
        <w:right w:val="none" w:sz="0" w:space="0" w:color="auto"/>
      </w:divBdr>
      <w:divsChild>
        <w:div w:id="516776233">
          <w:marLeft w:val="0"/>
          <w:marRight w:val="0"/>
          <w:marTop w:val="0"/>
          <w:marBottom w:val="0"/>
          <w:divBdr>
            <w:top w:val="none" w:sz="0" w:space="0" w:color="auto"/>
            <w:left w:val="none" w:sz="0" w:space="0" w:color="auto"/>
            <w:bottom w:val="none" w:sz="0" w:space="0" w:color="auto"/>
            <w:right w:val="none" w:sz="0" w:space="0" w:color="auto"/>
          </w:divBdr>
        </w:div>
      </w:divsChild>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57120710">
      <w:bodyDiv w:val="1"/>
      <w:marLeft w:val="0"/>
      <w:marRight w:val="0"/>
      <w:marTop w:val="0"/>
      <w:marBottom w:val="0"/>
      <w:divBdr>
        <w:top w:val="none" w:sz="0" w:space="0" w:color="auto"/>
        <w:left w:val="none" w:sz="0" w:space="0" w:color="auto"/>
        <w:bottom w:val="none" w:sz="0" w:space="0" w:color="auto"/>
        <w:right w:val="none" w:sz="0" w:space="0" w:color="auto"/>
      </w:divBdr>
    </w:div>
    <w:div w:id="184639080">
      <w:bodyDiv w:val="1"/>
      <w:marLeft w:val="0"/>
      <w:marRight w:val="0"/>
      <w:marTop w:val="0"/>
      <w:marBottom w:val="0"/>
      <w:divBdr>
        <w:top w:val="none" w:sz="0" w:space="0" w:color="auto"/>
        <w:left w:val="none" w:sz="0" w:space="0" w:color="auto"/>
        <w:bottom w:val="none" w:sz="0" w:space="0" w:color="auto"/>
        <w:right w:val="none" w:sz="0" w:space="0" w:color="auto"/>
      </w:divBdr>
    </w:div>
    <w:div w:id="209997307">
      <w:bodyDiv w:val="1"/>
      <w:marLeft w:val="0"/>
      <w:marRight w:val="0"/>
      <w:marTop w:val="0"/>
      <w:marBottom w:val="0"/>
      <w:divBdr>
        <w:top w:val="none" w:sz="0" w:space="0" w:color="auto"/>
        <w:left w:val="none" w:sz="0" w:space="0" w:color="auto"/>
        <w:bottom w:val="none" w:sz="0" w:space="0" w:color="auto"/>
        <w:right w:val="none" w:sz="0" w:space="0" w:color="auto"/>
      </w:divBdr>
    </w:div>
    <w:div w:id="268859484">
      <w:bodyDiv w:val="1"/>
      <w:marLeft w:val="0"/>
      <w:marRight w:val="0"/>
      <w:marTop w:val="0"/>
      <w:marBottom w:val="0"/>
      <w:divBdr>
        <w:top w:val="none" w:sz="0" w:space="0" w:color="auto"/>
        <w:left w:val="none" w:sz="0" w:space="0" w:color="auto"/>
        <w:bottom w:val="none" w:sz="0" w:space="0" w:color="auto"/>
        <w:right w:val="none" w:sz="0" w:space="0" w:color="auto"/>
      </w:divBdr>
    </w:div>
    <w:div w:id="279605769">
      <w:bodyDiv w:val="1"/>
      <w:marLeft w:val="0"/>
      <w:marRight w:val="0"/>
      <w:marTop w:val="0"/>
      <w:marBottom w:val="0"/>
      <w:divBdr>
        <w:top w:val="none" w:sz="0" w:space="0" w:color="auto"/>
        <w:left w:val="none" w:sz="0" w:space="0" w:color="auto"/>
        <w:bottom w:val="none" w:sz="0" w:space="0" w:color="auto"/>
        <w:right w:val="none" w:sz="0" w:space="0" w:color="auto"/>
      </w:divBdr>
    </w:div>
    <w:div w:id="292910775">
      <w:bodyDiv w:val="1"/>
      <w:marLeft w:val="0"/>
      <w:marRight w:val="0"/>
      <w:marTop w:val="0"/>
      <w:marBottom w:val="0"/>
      <w:divBdr>
        <w:top w:val="none" w:sz="0" w:space="0" w:color="auto"/>
        <w:left w:val="none" w:sz="0" w:space="0" w:color="auto"/>
        <w:bottom w:val="none" w:sz="0" w:space="0" w:color="auto"/>
        <w:right w:val="none" w:sz="0" w:space="0" w:color="auto"/>
      </w:divBdr>
    </w:div>
    <w:div w:id="308248363">
      <w:bodyDiv w:val="1"/>
      <w:marLeft w:val="0"/>
      <w:marRight w:val="0"/>
      <w:marTop w:val="0"/>
      <w:marBottom w:val="0"/>
      <w:divBdr>
        <w:top w:val="none" w:sz="0" w:space="0" w:color="auto"/>
        <w:left w:val="none" w:sz="0" w:space="0" w:color="auto"/>
        <w:bottom w:val="none" w:sz="0" w:space="0" w:color="auto"/>
        <w:right w:val="none" w:sz="0" w:space="0" w:color="auto"/>
      </w:divBdr>
    </w:div>
    <w:div w:id="309987645">
      <w:bodyDiv w:val="1"/>
      <w:marLeft w:val="0"/>
      <w:marRight w:val="0"/>
      <w:marTop w:val="0"/>
      <w:marBottom w:val="0"/>
      <w:divBdr>
        <w:top w:val="none" w:sz="0" w:space="0" w:color="auto"/>
        <w:left w:val="none" w:sz="0" w:space="0" w:color="auto"/>
        <w:bottom w:val="none" w:sz="0" w:space="0" w:color="auto"/>
        <w:right w:val="none" w:sz="0" w:space="0" w:color="auto"/>
      </w:divBdr>
    </w:div>
    <w:div w:id="312178952">
      <w:bodyDiv w:val="1"/>
      <w:marLeft w:val="0"/>
      <w:marRight w:val="0"/>
      <w:marTop w:val="0"/>
      <w:marBottom w:val="0"/>
      <w:divBdr>
        <w:top w:val="none" w:sz="0" w:space="0" w:color="auto"/>
        <w:left w:val="none" w:sz="0" w:space="0" w:color="auto"/>
        <w:bottom w:val="none" w:sz="0" w:space="0" w:color="auto"/>
        <w:right w:val="none" w:sz="0" w:space="0" w:color="auto"/>
      </w:divBdr>
    </w:div>
    <w:div w:id="316423960">
      <w:bodyDiv w:val="1"/>
      <w:marLeft w:val="0"/>
      <w:marRight w:val="0"/>
      <w:marTop w:val="0"/>
      <w:marBottom w:val="0"/>
      <w:divBdr>
        <w:top w:val="none" w:sz="0" w:space="0" w:color="auto"/>
        <w:left w:val="none" w:sz="0" w:space="0" w:color="auto"/>
        <w:bottom w:val="none" w:sz="0" w:space="0" w:color="auto"/>
        <w:right w:val="none" w:sz="0" w:space="0" w:color="auto"/>
      </w:divBdr>
      <w:divsChild>
        <w:div w:id="791360998">
          <w:marLeft w:val="274"/>
          <w:marRight w:val="0"/>
          <w:marTop w:val="0"/>
          <w:marBottom w:val="0"/>
          <w:divBdr>
            <w:top w:val="none" w:sz="0" w:space="0" w:color="auto"/>
            <w:left w:val="none" w:sz="0" w:space="0" w:color="auto"/>
            <w:bottom w:val="none" w:sz="0" w:space="0" w:color="auto"/>
            <w:right w:val="none" w:sz="0" w:space="0" w:color="auto"/>
          </w:divBdr>
        </w:div>
        <w:div w:id="794569521">
          <w:marLeft w:val="274"/>
          <w:marRight w:val="0"/>
          <w:marTop w:val="0"/>
          <w:marBottom w:val="0"/>
          <w:divBdr>
            <w:top w:val="none" w:sz="0" w:space="0" w:color="auto"/>
            <w:left w:val="none" w:sz="0" w:space="0" w:color="auto"/>
            <w:bottom w:val="none" w:sz="0" w:space="0" w:color="auto"/>
            <w:right w:val="none" w:sz="0" w:space="0" w:color="auto"/>
          </w:divBdr>
        </w:div>
        <w:div w:id="995112063">
          <w:marLeft w:val="274"/>
          <w:marRight w:val="0"/>
          <w:marTop w:val="0"/>
          <w:marBottom w:val="0"/>
          <w:divBdr>
            <w:top w:val="none" w:sz="0" w:space="0" w:color="auto"/>
            <w:left w:val="none" w:sz="0" w:space="0" w:color="auto"/>
            <w:bottom w:val="none" w:sz="0" w:space="0" w:color="auto"/>
            <w:right w:val="none" w:sz="0" w:space="0" w:color="auto"/>
          </w:divBdr>
        </w:div>
      </w:divsChild>
    </w:div>
    <w:div w:id="337931541">
      <w:bodyDiv w:val="1"/>
      <w:marLeft w:val="0"/>
      <w:marRight w:val="0"/>
      <w:marTop w:val="0"/>
      <w:marBottom w:val="0"/>
      <w:divBdr>
        <w:top w:val="none" w:sz="0" w:space="0" w:color="auto"/>
        <w:left w:val="none" w:sz="0" w:space="0" w:color="auto"/>
        <w:bottom w:val="none" w:sz="0" w:space="0" w:color="auto"/>
        <w:right w:val="none" w:sz="0" w:space="0" w:color="auto"/>
      </w:divBdr>
    </w:div>
    <w:div w:id="338967185">
      <w:bodyDiv w:val="1"/>
      <w:marLeft w:val="0"/>
      <w:marRight w:val="0"/>
      <w:marTop w:val="0"/>
      <w:marBottom w:val="0"/>
      <w:divBdr>
        <w:top w:val="none" w:sz="0" w:space="0" w:color="auto"/>
        <w:left w:val="none" w:sz="0" w:space="0" w:color="auto"/>
        <w:bottom w:val="none" w:sz="0" w:space="0" w:color="auto"/>
        <w:right w:val="none" w:sz="0" w:space="0" w:color="auto"/>
      </w:divBdr>
    </w:div>
    <w:div w:id="363096942">
      <w:bodyDiv w:val="1"/>
      <w:marLeft w:val="0"/>
      <w:marRight w:val="0"/>
      <w:marTop w:val="0"/>
      <w:marBottom w:val="0"/>
      <w:divBdr>
        <w:top w:val="none" w:sz="0" w:space="0" w:color="auto"/>
        <w:left w:val="none" w:sz="0" w:space="0" w:color="auto"/>
        <w:bottom w:val="none" w:sz="0" w:space="0" w:color="auto"/>
        <w:right w:val="none" w:sz="0" w:space="0" w:color="auto"/>
      </w:divBdr>
    </w:div>
    <w:div w:id="363336625">
      <w:bodyDiv w:val="1"/>
      <w:marLeft w:val="0"/>
      <w:marRight w:val="0"/>
      <w:marTop w:val="0"/>
      <w:marBottom w:val="0"/>
      <w:divBdr>
        <w:top w:val="none" w:sz="0" w:space="0" w:color="auto"/>
        <w:left w:val="none" w:sz="0" w:space="0" w:color="auto"/>
        <w:bottom w:val="none" w:sz="0" w:space="0" w:color="auto"/>
        <w:right w:val="none" w:sz="0" w:space="0" w:color="auto"/>
      </w:divBdr>
    </w:div>
    <w:div w:id="369646383">
      <w:bodyDiv w:val="1"/>
      <w:marLeft w:val="0"/>
      <w:marRight w:val="0"/>
      <w:marTop w:val="0"/>
      <w:marBottom w:val="0"/>
      <w:divBdr>
        <w:top w:val="none" w:sz="0" w:space="0" w:color="auto"/>
        <w:left w:val="none" w:sz="0" w:space="0" w:color="auto"/>
        <w:bottom w:val="none" w:sz="0" w:space="0" w:color="auto"/>
        <w:right w:val="none" w:sz="0" w:space="0" w:color="auto"/>
      </w:divBdr>
    </w:div>
    <w:div w:id="373892544">
      <w:bodyDiv w:val="1"/>
      <w:marLeft w:val="0"/>
      <w:marRight w:val="0"/>
      <w:marTop w:val="0"/>
      <w:marBottom w:val="0"/>
      <w:divBdr>
        <w:top w:val="none" w:sz="0" w:space="0" w:color="auto"/>
        <w:left w:val="none" w:sz="0" w:space="0" w:color="auto"/>
        <w:bottom w:val="none" w:sz="0" w:space="0" w:color="auto"/>
        <w:right w:val="none" w:sz="0" w:space="0" w:color="auto"/>
      </w:divBdr>
    </w:div>
    <w:div w:id="397751790">
      <w:bodyDiv w:val="1"/>
      <w:marLeft w:val="0"/>
      <w:marRight w:val="0"/>
      <w:marTop w:val="0"/>
      <w:marBottom w:val="0"/>
      <w:divBdr>
        <w:top w:val="none" w:sz="0" w:space="0" w:color="auto"/>
        <w:left w:val="none" w:sz="0" w:space="0" w:color="auto"/>
        <w:bottom w:val="none" w:sz="0" w:space="0" w:color="auto"/>
        <w:right w:val="none" w:sz="0" w:space="0" w:color="auto"/>
      </w:divBdr>
    </w:div>
    <w:div w:id="402797460">
      <w:bodyDiv w:val="1"/>
      <w:marLeft w:val="0"/>
      <w:marRight w:val="0"/>
      <w:marTop w:val="0"/>
      <w:marBottom w:val="0"/>
      <w:divBdr>
        <w:top w:val="none" w:sz="0" w:space="0" w:color="auto"/>
        <w:left w:val="none" w:sz="0" w:space="0" w:color="auto"/>
        <w:bottom w:val="none" w:sz="0" w:space="0" w:color="auto"/>
        <w:right w:val="none" w:sz="0" w:space="0" w:color="auto"/>
      </w:divBdr>
    </w:div>
    <w:div w:id="420183719">
      <w:bodyDiv w:val="1"/>
      <w:marLeft w:val="0"/>
      <w:marRight w:val="0"/>
      <w:marTop w:val="0"/>
      <w:marBottom w:val="0"/>
      <w:divBdr>
        <w:top w:val="none" w:sz="0" w:space="0" w:color="auto"/>
        <w:left w:val="none" w:sz="0" w:space="0" w:color="auto"/>
        <w:bottom w:val="none" w:sz="0" w:space="0" w:color="auto"/>
        <w:right w:val="none" w:sz="0" w:space="0" w:color="auto"/>
      </w:divBdr>
    </w:div>
    <w:div w:id="440154305">
      <w:bodyDiv w:val="1"/>
      <w:marLeft w:val="0"/>
      <w:marRight w:val="0"/>
      <w:marTop w:val="0"/>
      <w:marBottom w:val="0"/>
      <w:divBdr>
        <w:top w:val="none" w:sz="0" w:space="0" w:color="auto"/>
        <w:left w:val="none" w:sz="0" w:space="0" w:color="auto"/>
        <w:bottom w:val="none" w:sz="0" w:space="0" w:color="auto"/>
        <w:right w:val="none" w:sz="0" w:space="0" w:color="auto"/>
      </w:divBdr>
    </w:div>
    <w:div w:id="440926536">
      <w:bodyDiv w:val="1"/>
      <w:marLeft w:val="0"/>
      <w:marRight w:val="0"/>
      <w:marTop w:val="0"/>
      <w:marBottom w:val="0"/>
      <w:divBdr>
        <w:top w:val="none" w:sz="0" w:space="0" w:color="auto"/>
        <w:left w:val="none" w:sz="0" w:space="0" w:color="auto"/>
        <w:bottom w:val="none" w:sz="0" w:space="0" w:color="auto"/>
        <w:right w:val="none" w:sz="0" w:space="0" w:color="auto"/>
      </w:divBdr>
    </w:div>
    <w:div w:id="449127429">
      <w:bodyDiv w:val="1"/>
      <w:marLeft w:val="0"/>
      <w:marRight w:val="0"/>
      <w:marTop w:val="0"/>
      <w:marBottom w:val="0"/>
      <w:divBdr>
        <w:top w:val="none" w:sz="0" w:space="0" w:color="auto"/>
        <w:left w:val="none" w:sz="0" w:space="0" w:color="auto"/>
        <w:bottom w:val="none" w:sz="0" w:space="0" w:color="auto"/>
        <w:right w:val="none" w:sz="0" w:space="0" w:color="auto"/>
      </w:divBdr>
    </w:div>
    <w:div w:id="491868265">
      <w:bodyDiv w:val="1"/>
      <w:marLeft w:val="0"/>
      <w:marRight w:val="0"/>
      <w:marTop w:val="0"/>
      <w:marBottom w:val="0"/>
      <w:divBdr>
        <w:top w:val="none" w:sz="0" w:space="0" w:color="auto"/>
        <w:left w:val="none" w:sz="0" w:space="0" w:color="auto"/>
        <w:bottom w:val="none" w:sz="0" w:space="0" w:color="auto"/>
        <w:right w:val="none" w:sz="0" w:space="0" w:color="auto"/>
      </w:divBdr>
    </w:div>
    <w:div w:id="498930380">
      <w:bodyDiv w:val="1"/>
      <w:marLeft w:val="0"/>
      <w:marRight w:val="0"/>
      <w:marTop w:val="0"/>
      <w:marBottom w:val="0"/>
      <w:divBdr>
        <w:top w:val="none" w:sz="0" w:space="0" w:color="auto"/>
        <w:left w:val="none" w:sz="0" w:space="0" w:color="auto"/>
        <w:bottom w:val="none" w:sz="0" w:space="0" w:color="auto"/>
        <w:right w:val="none" w:sz="0" w:space="0" w:color="auto"/>
      </w:divBdr>
    </w:div>
    <w:div w:id="500318397">
      <w:bodyDiv w:val="1"/>
      <w:marLeft w:val="0"/>
      <w:marRight w:val="0"/>
      <w:marTop w:val="0"/>
      <w:marBottom w:val="0"/>
      <w:divBdr>
        <w:top w:val="none" w:sz="0" w:space="0" w:color="auto"/>
        <w:left w:val="none" w:sz="0" w:space="0" w:color="auto"/>
        <w:bottom w:val="none" w:sz="0" w:space="0" w:color="auto"/>
        <w:right w:val="none" w:sz="0" w:space="0" w:color="auto"/>
      </w:divBdr>
    </w:div>
    <w:div w:id="514416898">
      <w:bodyDiv w:val="1"/>
      <w:marLeft w:val="0"/>
      <w:marRight w:val="0"/>
      <w:marTop w:val="0"/>
      <w:marBottom w:val="0"/>
      <w:divBdr>
        <w:top w:val="none" w:sz="0" w:space="0" w:color="auto"/>
        <w:left w:val="none" w:sz="0" w:space="0" w:color="auto"/>
        <w:bottom w:val="none" w:sz="0" w:space="0" w:color="auto"/>
        <w:right w:val="none" w:sz="0" w:space="0" w:color="auto"/>
      </w:divBdr>
    </w:div>
    <w:div w:id="522129347">
      <w:bodyDiv w:val="1"/>
      <w:marLeft w:val="0"/>
      <w:marRight w:val="0"/>
      <w:marTop w:val="0"/>
      <w:marBottom w:val="0"/>
      <w:divBdr>
        <w:top w:val="none" w:sz="0" w:space="0" w:color="auto"/>
        <w:left w:val="none" w:sz="0" w:space="0" w:color="auto"/>
        <w:bottom w:val="none" w:sz="0" w:space="0" w:color="auto"/>
        <w:right w:val="none" w:sz="0" w:space="0" w:color="auto"/>
      </w:divBdr>
    </w:div>
    <w:div w:id="529345550">
      <w:bodyDiv w:val="1"/>
      <w:marLeft w:val="0"/>
      <w:marRight w:val="0"/>
      <w:marTop w:val="0"/>
      <w:marBottom w:val="0"/>
      <w:divBdr>
        <w:top w:val="none" w:sz="0" w:space="0" w:color="auto"/>
        <w:left w:val="none" w:sz="0" w:space="0" w:color="auto"/>
        <w:bottom w:val="none" w:sz="0" w:space="0" w:color="auto"/>
        <w:right w:val="none" w:sz="0" w:space="0" w:color="auto"/>
      </w:divBdr>
    </w:div>
    <w:div w:id="538933649">
      <w:bodyDiv w:val="1"/>
      <w:marLeft w:val="0"/>
      <w:marRight w:val="0"/>
      <w:marTop w:val="0"/>
      <w:marBottom w:val="0"/>
      <w:divBdr>
        <w:top w:val="none" w:sz="0" w:space="0" w:color="auto"/>
        <w:left w:val="none" w:sz="0" w:space="0" w:color="auto"/>
        <w:bottom w:val="none" w:sz="0" w:space="0" w:color="auto"/>
        <w:right w:val="none" w:sz="0" w:space="0" w:color="auto"/>
      </w:divBdr>
    </w:div>
    <w:div w:id="542210299">
      <w:bodyDiv w:val="1"/>
      <w:marLeft w:val="0"/>
      <w:marRight w:val="0"/>
      <w:marTop w:val="0"/>
      <w:marBottom w:val="0"/>
      <w:divBdr>
        <w:top w:val="none" w:sz="0" w:space="0" w:color="auto"/>
        <w:left w:val="none" w:sz="0" w:space="0" w:color="auto"/>
        <w:bottom w:val="none" w:sz="0" w:space="0" w:color="auto"/>
        <w:right w:val="none" w:sz="0" w:space="0" w:color="auto"/>
      </w:divBdr>
    </w:div>
    <w:div w:id="561134493">
      <w:bodyDiv w:val="1"/>
      <w:marLeft w:val="0"/>
      <w:marRight w:val="0"/>
      <w:marTop w:val="0"/>
      <w:marBottom w:val="0"/>
      <w:divBdr>
        <w:top w:val="none" w:sz="0" w:space="0" w:color="auto"/>
        <w:left w:val="none" w:sz="0" w:space="0" w:color="auto"/>
        <w:bottom w:val="none" w:sz="0" w:space="0" w:color="auto"/>
        <w:right w:val="none" w:sz="0" w:space="0" w:color="auto"/>
      </w:divBdr>
    </w:div>
    <w:div w:id="565992594">
      <w:bodyDiv w:val="1"/>
      <w:marLeft w:val="0"/>
      <w:marRight w:val="0"/>
      <w:marTop w:val="0"/>
      <w:marBottom w:val="0"/>
      <w:divBdr>
        <w:top w:val="none" w:sz="0" w:space="0" w:color="auto"/>
        <w:left w:val="none" w:sz="0" w:space="0" w:color="auto"/>
        <w:bottom w:val="none" w:sz="0" w:space="0" w:color="auto"/>
        <w:right w:val="none" w:sz="0" w:space="0" w:color="auto"/>
      </w:divBdr>
    </w:div>
    <w:div w:id="572856778">
      <w:bodyDiv w:val="1"/>
      <w:marLeft w:val="0"/>
      <w:marRight w:val="0"/>
      <w:marTop w:val="0"/>
      <w:marBottom w:val="0"/>
      <w:divBdr>
        <w:top w:val="none" w:sz="0" w:space="0" w:color="auto"/>
        <w:left w:val="none" w:sz="0" w:space="0" w:color="auto"/>
        <w:bottom w:val="none" w:sz="0" w:space="0" w:color="auto"/>
        <w:right w:val="none" w:sz="0" w:space="0" w:color="auto"/>
      </w:divBdr>
    </w:div>
    <w:div w:id="592007143">
      <w:bodyDiv w:val="1"/>
      <w:marLeft w:val="0"/>
      <w:marRight w:val="0"/>
      <w:marTop w:val="0"/>
      <w:marBottom w:val="0"/>
      <w:divBdr>
        <w:top w:val="none" w:sz="0" w:space="0" w:color="auto"/>
        <w:left w:val="none" w:sz="0" w:space="0" w:color="auto"/>
        <w:bottom w:val="none" w:sz="0" w:space="0" w:color="auto"/>
        <w:right w:val="none" w:sz="0" w:space="0" w:color="auto"/>
      </w:divBdr>
    </w:div>
    <w:div w:id="598293011">
      <w:bodyDiv w:val="1"/>
      <w:marLeft w:val="0"/>
      <w:marRight w:val="0"/>
      <w:marTop w:val="0"/>
      <w:marBottom w:val="0"/>
      <w:divBdr>
        <w:top w:val="none" w:sz="0" w:space="0" w:color="auto"/>
        <w:left w:val="none" w:sz="0" w:space="0" w:color="auto"/>
        <w:bottom w:val="none" w:sz="0" w:space="0" w:color="auto"/>
        <w:right w:val="none" w:sz="0" w:space="0" w:color="auto"/>
      </w:divBdr>
    </w:div>
    <w:div w:id="599947703">
      <w:bodyDiv w:val="1"/>
      <w:marLeft w:val="0"/>
      <w:marRight w:val="0"/>
      <w:marTop w:val="0"/>
      <w:marBottom w:val="0"/>
      <w:divBdr>
        <w:top w:val="none" w:sz="0" w:space="0" w:color="auto"/>
        <w:left w:val="none" w:sz="0" w:space="0" w:color="auto"/>
        <w:bottom w:val="none" w:sz="0" w:space="0" w:color="auto"/>
        <w:right w:val="none" w:sz="0" w:space="0" w:color="auto"/>
      </w:divBdr>
    </w:div>
    <w:div w:id="603344464">
      <w:bodyDiv w:val="1"/>
      <w:marLeft w:val="0"/>
      <w:marRight w:val="0"/>
      <w:marTop w:val="0"/>
      <w:marBottom w:val="0"/>
      <w:divBdr>
        <w:top w:val="none" w:sz="0" w:space="0" w:color="auto"/>
        <w:left w:val="none" w:sz="0" w:space="0" w:color="auto"/>
        <w:bottom w:val="none" w:sz="0" w:space="0" w:color="auto"/>
        <w:right w:val="none" w:sz="0" w:space="0" w:color="auto"/>
      </w:divBdr>
    </w:div>
    <w:div w:id="619186976">
      <w:bodyDiv w:val="1"/>
      <w:marLeft w:val="0"/>
      <w:marRight w:val="0"/>
      <w:marTop w:val="0"/>
      <w:marBottom w:val="0"/>
      <w:divBdr>
        <w:top w:val="none" w:sz="0" w:space="0" w:color="auto"/>
        <w:left w:val="none" w:sz="0" w:space="0" w:color="auto"/>
        <w:bottom w:val="none" w:sz="0" w:space="0" w:color="auto"/>
        <w:right w:val="none" w:sz="0" w:space="0" w:color="auto"/>
      </w:divBdr>
    </w:div>
    <w:div w:id="648481975">
      <w:bodyDiv w:val="1"/>
      <w:marLeft w:val="0"/>
      <w:marRight w:val="0"/>
      <w:marTop w:val="0"/>
      <w:marBottom w:val="0"/>
      <w:divBdr>
        <w:top w:val="none" w:sz="0" w:space="0" w:color="auto"/>
        <w:left w:val="none" w:sz="0" w:space="0" w:color="auto"/>
        <w:bottom w:val="none" w:sz="0" w:space="0" w:color="auto"/>
        <w:right w:val="none" w:sz="0" w:space="0" w:color="auto"/>
      </w:divBdr>
    </w:div>
    <w:div w:id="654770892">
      <w:bodyDiv w:val="1"/>
      <w:marLeft w:val="0"/>
      <w:marRight w:val="0"/>
      <w:marTop w:val="0"/>
      <w:marBottom w:val="0"/>
      <w:divBdr>
        <w:top w:val="none" w:sz="0" w:space="0" w:color="auto"/>
        <w:left w:val="none" w:sz="0" w:space="0" w:color="auto"/>
        <w:bottom w:val="none" w:sz="0" w:space="0" w:color="auto"/>
        <w:right w:val="none" w:sz="0" w:space="0" w:color="auto"/>
      </w:divBdr>
    </w:div>
    <w:div w:id="714430320">
      <w:bodyDiv w:val="1"/>
      <w:marLeft w:val="0"/>
      <w:marRight w:val="0"/>
      <w:marTop w:val="0"/>
      <w:marBottom w:val="0"/>
      <w:divBdr>
        <w:top w:val="none" w:sz="0" w:space="0" w:color="auto"/>
        <w:left w:val="none" w:sz="0" w:space="0" w:color="auto"/>
        <w:bottom w:val="none" w:sz="0" w:space="0" w:color="auto"/>
        <w:right w:val="none" w:sz="0" w:space="0" w:color="auto"/>
      </w:divBdr>
    </w:div>
    <w:div w:id="729770649">
      <w:bodyDiv w:val="1"/>
      <w:marLeft w:val="0"/>
      <w:marRight w:val="0"/>
      <w:marTop w:val="0"/>
      <w:marBottom w:val="0"/>
      <w:divBdr>
        <w:top w:val="none" w:sz="0" w:space="0" w:color="auto"/>
        <w:left w:val="none" w:sz="0" w:space="0" w:color="auto"/>
        <w:bottom w:val="none" w:sz="0" w:space="0" w:color="auto"/>
        <w:right w:val="none" w:sz="0" w:space="0" w:color="auto"/>
      </w:divBdr>
    </w:div>
    <w:div w:id="736560962">
      <w:bodyDiv w:val="1"/>
      <w:marLeft w:val="0"/>
      <w:marRight w:val="0"/>
      <w:marTop w:val="0"/>
      <w:marBottom w:val="0"/>
      <w:divBdr>
        <w:top w:val="none" w:sz="0" w:space="0" w:color="auto"/>
        <w:left w:val="none" w:sz="0" w:space="0" w:color="auto"/>
        <w:bottom w:val="none" w:sz="0" w:space="0" w:color="auto"/>
        <w:right w:val="none" w:sz="0" w:space="0" w:color="auto"/>
      </w:divBdr>
    </w:div>
    <w:div w:id="750002715">
      <w:bodyDiv w:val="1"/>
      <w:marLeft w:val="0"/>
      <w:marRight w:val="0"/>
      <w:marTop w:val="0"/>
      <w:marBottom w:val="0"/>
      <w:divBdr>
        <w:top w:val="none" w:sz="0" w:space="0" w:color="auto"/>
        <w:left w:val="none" w:sz="0" w:space="0" w:color="auto"/>
        <w:bottom w:val="none" w:sz="0" w:space="0" w:color="auto"/>
        <w:right w:val="none" w:sz="0" w:space="0" w:color="auto"/>
      </w:divBdr>
      <w:divsChild>
        <w:div w:id="15230388">
          <w:marLeft w:val="547"/>
          <w:marRight w:val="0"/>
          <w:marTop w:val="0"/>
          <w:marBottom w:val="0"/>
          <w:divBdr>
            <w:top w:val="none" w:sz="0" w:space="0" w:color="auto"/>
            <w:left w:val="none" w:sz="0" w:space="0" w:color="auto"/>
            <w:bottom w:val="none" w:sz="0" w:space="0" w:color="auto"/>
            <w:right w:val="none" w:sz="0" w:space="0" w:color="auto"/>
          </w:divBdr>
        </w:div>
        <w:div w:id="147943158">
          <w:marLeft w:val="547"/>
          <w:marRight w:val="0"/>
          <w:marTop w:val="0"/>
          <w:marBottom w:val="0"/>
          <w:divBdr>
            <w:top w:val="none" w:sz="0" w:space="0" w:color="auto"/>
            <w:left w:val="none" w:sz="0" w:space="0" w:color="auto"/>
            <w:bottom w:val="none" w:sz="0" w:space="0" w:color="auto"/>
            <w:right w:val="none" w:sz="0" w:space="0" w:color="auto"/>
          </w:divBdr>
        </w:div>
        <w:div w:id="175577698">
          <w:marLeft w:val="547"/>
          <w:marRight w:val="0"/>
          <w:marTop w:val="0"/>
          <w:marBottom w:val="0"/>
          <w:divBdr>
            <w:top w:val="none" w:sz="0" w:space="0" w:color="auto"/>
            <w:left w:val="none" w:sz="0" w:space="0" w:color="auto"/>
            <w:bottom w:val="none" w:sz="0" w:space="0" w:color="auto"/>
            <w:right w:val="none" w:sz="0" w:space="0" w:color="auto"/>
          </w:divBdr>
        </w:div>
        <w:div w:id="228930302">
          <w:marLeft w:val="547"/>
          <w:marRight w:val="0"/>
          <w:marTop w:val="0"/>
          <w:marBottom w:val="0"/>
          <w:divBdr>
            <w:top w:val="none" w:sz="0" w:space="0" w:color="auto"/>
            <w:left w:val="none" w:sz="0" w:space="0" w:color="auto"/>
            <w:bottom w:val="none" w:sz="0" w:space="0" w:color="auto"/>
            <w:right w:val="none" w:sz="0" w:space="0" w:color="auto"/>
          </w:divBdr>
        </w:div>
        <w:div w:id="246420873">
          <w:marLeft w:val="547"/>
          <w:marRight w:val="0"/>
          <w:marTop w:val="0"/>
          <w:marBottom w:val="0"/>
          <w:divBdr>
            <w:top w:val="none" w:sz="0" w:space="0" w:color="auto"/>
            <w:left w:val="none" w:sz="0" w:space="0" w:color="auto"/>
            <w:bottom w:val="none" w:sz="0" w:space="0" w:color="auto"/>
            <w:right w:val="none" w:sz="0" w:space="0" w:color="auto"/>
          </w:divBdr>
        </w:div>
        <w:div w:id="690303172">
          <w:marLeft w:val="547"/>
          <w:marRight w:val="0"/>
          <w:marTop w:val="0"/>
          <w:marBottom w:val="0"/>
          <w:divBdr>
            <w:top w:val="none" w:sz="0" w:space="0" w:color="auto"/>
            <w:left w:val="none" w:sz="0" w:space="0" w:color="auto"/>
            <w:bottom w:val="none" w:sz="0" w:space="0" w:color="auto"/>
            <w:right w:val="none" w:sz="0" w:space="0" w:color="auto"/>
          </w:divBdr>
        </w:div>
        <w:div w:id="728528517">
          <w:marLeft w:val="547"/>
          <w:marRight w:val="0"/>
          <w:marTop w:val="0"/>
          <w:marBottom w:val="0"/>
          <w:divBdr>
            <w:top w:val="none" w:sz="0" w:space="0" w:color="auto"/>
            <w:left w:val="none" w:sz="0" w:space="0" w:color="auto"/>
            <w:bottom w:val="none" w:sz="0" w:space="0" w:color="auto"/>
            <w:right w:val="none" w:sz="0" w:space="0" w:color="auto"/>
          </w:divBdr>
        </w:div>
        <w:div w:id="773673463">
          <w:marLeft w:val="547"/>
          <w:marRight w:val="0"/>
          <w:marTop w:val="0"/>
          <w:marBottom w:val="0"/>
          <w:divBdr>
            <w:top w:val="none" w:sz="0" w:space="0" w:color="auto"/>
            <w:left w:val="none" w:sz="0" w:space="0" w:color="auto"/>
            <w:bottom w:val="none" w:sz="0" w:space="0" w:color="auto"/>
            <w:right w:val="none" w:sz="0" w:space="0" w:color="auto"/>
          </w:divBdr>
        </w:div>
        <w:div w:id="1058631422">
          <w:marLeft w:val="547"/>
          <w:marRight w:val="0"/>
          <w:marTop w:val="0"/>
          <w:marBottom w:val="0"/>
          <w:divBdr>
            <w:top w:val="none" w:sz="0" w:space="0" w:color="auto"/>
            <w:left w:val="none" w:sz="0" w:space="0" w:color="auto"/>
            <w:bottom w:val="none" w:sz="0" w:space="0" w:color="auto"/>
            <w:right w:val="none" w:sz="0" w:space="0" w:color="auto"/>
          </w:divBdr>
        </w:div>
        <w:div w:id="1176115369">
          <w:marLeft w:val="547"/>
          <w:marRight w:val="0"/>
          <w:marTop w:val="0"/>
          <w:marBottom w:val="0"/>
          <w:divBdr>
            <w:top w:val="none" w:sz="0" w:space="0" w:color="auto"/>
            <w:left w:val="none" w:sz="0" w:space="0" w:color="auto"/>
            <w:bottom w:val="none" w:sz="0" w:space="0" w:color="auto"/>
            <w:right w:val="none" w:sz="0" w:space="0" w:color="auto"/>
          </w:divBdr>
        </w:div>
        <w:div w:id="1193228309">
          <w:marLeft w:val="547"/>
          <w:marRight w:val="0"/>
          <w:marTop w:val="0"/>
          <w:marBottom w:val="0"/>
          <w:divBdr>
            <w:top w:val="none" w:sz="0" w:space="0" w:color="auto"/>
            <w:left w:val="none" w:sz="0" w:space="0" w:color="auto"/>
            <w:bottom w:val="none" w:sz="0" w:space="0" w:color="auto"/>
            <w:right w:val="none" w:sz="0" w:space="0" w:color="auto"/>
          </w:divBdr>
        </w:div>
        <w:div w:id="1229655929">
          <w:marLeft w:val="547"/>
          <w:marRight w:val="0"/>
          <w:marTop w:val="0"/>
          <w:marBottom w:val="0"/>
          <w:divBdr>
            <w:top w:val="none" w:sz="0" w:space="0" w:color="auto"/>
            <w:left w:val="none" w:sz="0" w:space="0" w:color="auto"/>
            <w:bottom w:val="none" w:sz="0" w:space="0" w:color="auto"/>
            <w:right w:val="none" w:sz="0" w:space="0" w:color="auto"/>
          </w:divBdr>
        </w:div>
        <w:div w:id="1248541117">
          <w:marLeft w:val="547"/>
          <w:marRight w:val="0"/>
          <w:marTop w:val="0"/>
          <w:marBottom w:val="0"/>
          <w:divBdr>
            <w:top w:val="none" w:sz="0" w:space="0" w:color="auto"/>
            <w:left w:val="none" w:sz="0" w:space="0" w:color="auto"/>
            <w:bottom w:val="none" w:sz="0" w:space="0" w:color="auto"/>
            <w:right w:val="none" w:sz="0" w:space="0" w:color="auto"/>
          </w:divBdr>
        </w:div>
        <w:div w:id="1277562686">
          <w:marLeft w:val="547"/>
          <w:marRight w:val="0"/>
          <w:marTop w:val="0"/>
          <w:marBottom w:val="0"/>
          <w:divBdr>
            <w:top w:val="none" w:sz="0" w:space="0" w:color="auto"/>
            <w:left w:val="none" w:sz="0" w:space="0" w:color="auto"/>
            <w:bottom w:val="none" w:sz="0" w:space="0" w:color="auto"/>
            <w:right w:val="none" w:sz="0" w:space="0" w:color="auto"/>
          </w:divBdr>
        </w:div>
        <w:div w:id="1337420083">
          <w:marLeft w:val="547"/>
          <w:marRight w:val="0"/>
          <w:marTop w:val="0"/>
          <w:marBottom w:val="0"/>
          <w:divBdr>
            <w:top w:val="none" w:sz="0" w:space="0" w:color="auto"/>
            <w:left w:val="none" w:sz="0" w:space="0" w:color="auto"/>
            <w:bottom w:val="none" w:sz="0" w:space="0" w:color="auto"/>
            <w:right w:val="none" w:sz="0" w:space="0" w:color="auto"/>
          </w:divBdr>
        </w:div>
        <w:div w:id="1353412749">
          <w:marLeft w:val="547"/>
          <w:marRight w:val="0"/>
          <w:marTop w:val="0"/>
          <w:marBottom w:val="0"/>
          <w:divBdr>
            <w:top w:val="none" w:sz="0" w:space="0" w:color="auto"/>
            <w:left w:val="none" w:sz="0" w:space="0" w:color="auto"/>
            <w:bottom w:val="none" w:sz="0" w:space="0" w:color="auto"/>
            <w:right w:val="none" w:sz="0" w:space="0" w:color="auto"/>
          </w:divBdr>
        </w:div>
        <w:div w:id="1518500923">
          <w:marLeft w:val="547"/>
          <w:marRight w:val="0"/>
          <w:marTop w:val="0"/>
          <w:marBottom w:val="0"/>
          <w:divBdr>
            <w:top w:val="none" w:sz="0" w:space="0" w:color="auto"/>
            <w:left w:val="none" w:sz="0" w:space="0" w:color="auto"/>
            <w:bottom w:val="none" w:sz="0" w:space="0" w:color="auto"/>
            <w:right w:val="none" w:sz="0" w:space="0" w:color="auto"/>
          </w:divBdr>
        </w:div>
        <w:div w:id="1533108112">
          <w:marLeft w:val="547"/>
          <w:marRight w:val="0"/>
          <w:marTop w:val="0"/>
          <w:marBottom w:val="0"/>
          <w:divBdr>
            <w:top w:val="none" w:sz="0" w:space="0" w:color="auto"/>
            <w:left w:val="none" w:sz="0" w:space="0" w:color="auto"/>
            <w:bottom w:val="none" w:sz="0" w:space="0" w:color="auto"/>
            <w:right w:val="none" w:sz="0" w:space="0" w:color="auto"/>
          </w:divBdr>
        </w:div>
        <w:div w:id="1623729728">
          <w:marLeft w:val="547"/>
          <w:marRight w:val="0"/>
          <w:marTop w:val="0"/>
          <w:marBottom w:val="0"/>
          <w:divBdr>
            <w:top w:val="none" w:sz="0" w:space="0" w:color="auto"/>
            <w:left w:val="none" w:sz="0" w:space="0" w:color="auto"/>
            <w:bottom w:val="none" w:sz="0" w:space="0" w:color="auto"/>
            <w:right w:val="none" w:sz="0" w:space="0" w:color="auto"/>
          </w:divBdr>
        </w:div>
        <w:div w:id="1644431059">
          <w:marLeft w:val="547"/>
          <w:marRight w:val="0"/>
          <w:marTop w:val="0"/>
          <w:marBottom w:val="0"/>
          <w:divBdr>
            <w:top w:val="none" w:sz="0" w:space="0" w:color="auto"/>
            <w:left w:val="none" w:sz="0" w:space="0" w:color="auto"/>
            <w:bottom w:val="none" w:sz="0" w:space="0" w:color="auto"/>
            <w:right w:val="none" w:sz="0" w:space="0" w:color="auto"/>
          </w:divBdr>
        </w:div>
        <w:div w:id="1828473823">
          <w:marLeft w:val="547"/>
          <w:marRight w:val="0"/>
          <w:marTop w:val="0"/>
          <w:marBottom w:val="0"/>
          <w:divBdr>
            <w:top w:val="none" w:sz="0" w:space="0" w:color="auto"/>
            <w:left w:val="none" w:sz="0" w:space="0" w:color="auto"/>
            <w:bottom w:val="none" w:sz="0" w:space="0" w:color="auto"/>
            <w:right w:val="none" w:sz="0" w:space="0" w:color="auto"/>
          </w:divBdr>
        </w:div>
        <w:div w:id="1903826480">
          <w:marLeft w:val="547"/>
          <w:marRight w:val="0"/>
          <w:marTop w:val="0"/>
          <w:marBottom w:val="0"/>
          <w:divBdr>
            <w:top w:val="none" w:sz="0" w:space="0" w:color="auto"/>
            <w:left w:val="none" w:sz="0" w:space="0" w:color="auto"/>
            <w:bottom w:val="none" w:sz="0" w:space="0" w:color="auto"/>
            <w:right w:val="none" w:sz="0" w:space="0" w:color="auto"/>
          </w:divBdr>
        </w:div>
        <w:div w:id="1915238197">
          <w:marLeft w:val="547"/>
          <w:marRight w:val="0"/>
          <w:marTop w:val="0"/>
          <w:marBottom w:val="0"/>
          <w:divBdr>
            <w:top w:val="none" w:sz="0" w:space="0" w:color="auto"/>
            <w:left w:val="none" w:sz="0" w:space="0" w:color="auto"/>
            <w:bottom w:val="none" w:sz="0" w:space="0" w:color="auto"/>
            <w:right w:val="none" w:sz="0" w:space="0" w:color="auto"/>
          </w:divBdr>
        </w:div>
        <w:div w:id="1944530746">
          <w:marLeft w:val="547"/>
          <w:marRight w:val="0"/>
          <w:marTop w:val="0"/>
          <w:marBottom w:val="0"/>
          <w:divBdr>
            <w:top w:val="none" w:sz="0" w:space="0" w:color="auto"/>
            <w:left w:val="none" w:sz="0" w:space="0" w:color="auto"/>
            <w:bottom w:val="none" w:sz="0" w:space="0" w:color="auto"/>
            <w:right w:val="none" w:sz="0" w:space="0" w:color="auto"/>
          </w:divBdr>
        </w:div>
      </w:divsChild>
    </w:div>
    <w:div w:id="752629851">
      <w:bodyDiv w:val="1"/>
      <w:marLeft w:val="0"/>
      <w:marRight w:val="0"/>
      <w:marTop w:val="0"/>
      <w:marBottom w:val="0"/>
      <w:divBdr>
        <w:top w:val="none" w:sz="0" w:space="0" w:color="auto"/>
        <w:left w:val="none" w:sz="0" w:space="0" w:color="auto"/>
        <w:bottom w:val="none" w:sz="0" w:space="0" w:color="auto"/>
        <w:right w:val="none" w:sz="0" w:space="0" w:color="auto"/>
      </w:divBdr>
    </w:div>
    <w:div w:id="764036825">
      <w:bodyDiv w:val="1"/>
      <w:marLeft w:val="0"/>
      <w:marRight w:val="0"/>
      <w:marTop w:val="0"/>
      <w:marBottom w:val="0"/>
      <w:divBdr>
        <w:top w:val="none" w:sz="0" w:space="0" w:color="auto"/>
        <w:left w:val="none" w:sz="0" w:space="0" w:color="auto"/>
        <w:bottom w:val="none" w:sz="0" w:space="0" w:color="auto"/>
        <w:right w:val="none" w:sz="0" w:space="0" w:color="auto"/>
      </w:divBdr>
    </w:div>
    <w:div w:id="785542185">
      <w:bodyDiv w:val="1"/>
      <w:marLeft w:val="0"/>
      <w:marRight w:val="0"/>
      <w:marTop w:val="0"/>
      <w:marBottom w:val="0"/>
      <w:divBdr>
        <w:top w:val="none" w:sz="0" w:space="0" w:color="auto"/>
        <w:left w:val="none" w:sz="0" w:space="0" w:color="auto"/>
        <w:bottom w:val="none" w:sz="0" w:space="0" w:color="auto"/>
        <w:right w:val="none" w:sz="0" w:space="0" w:color="auto"/>
      </w:divBdr>
    </w:div>
    <w:div w:id="798961019">
      <w:bodyDiv w:val="1"/>
      <w:marLeft w:val="0"/>
      <w:marRight w:val="0"/>
      <w:marTop w:val="0"/>
      <w:marBottom w:val="0"/>
      <w:divBdr>
        <w:top w:val="none" w:sz="0" w:space="0" w:color="auto"/>
        <w:left w:val="none" w:sz="0" w:space="0" w:color="auto"/>
        <w:bottom w:val="none" w:sz="0" w:space="0" w:color="auto"/>
        <w:right w:val="none" w:sz="0" w:space="0" w:color="auto"/>
      </w:divBdr>
    </w:div>
    <w:div w:id="814025019">
      <w:bodyDiv w:val="1"/>
      <w:marLeft w:val="0"/>
      <w:marRight w:val="0"/>
      <w:marTop w:val="0"/>
      <w:marBottom w:val="0"/>
      <w:divBdr>
        <w:top w:val="none" w:sz="0" w:space="0" w:color="auto"/>
        <w:left w:val="none" w:sz="0" w:space="0" w:color="auto"/>
        <w:bottom w:val="none" w:sz="0" w:space="0" w:color="auto"/>
        <w:right w:val="none" w:sz="0" w:space="0" w:color="auto"/>
      </w:divBdr>
    </w:div>
    <w:div w:id="837768890">
      <w:bodyDiv w:val="1"/>
      <w:marLeft w:val="0"/>
      <w:marRight w:val="0"/>
      <w:marTop w:val="0"/>
      <w:marBottom w:val="0"/>
      <w:divBdr>
        <w:top w:val="none" w:sz="0" w:space="0" w:color="auto"/>
        <w:left w:val="none" w:sz="0" w:space="0" w:color="auto"/>
        <w:bottom w:val="none" w:sz="0" w:space="0" w:color="auto"/>
        <w:right w:val="none" w:sz="0" w:space="0" w:color="auto"/>
      </w:divBdr>
    </w:div>
    <w:div w:id="867331753">
      <w:bodyDiv w:val="1"/>
      <w:marLeft w:val="0"/>
      <w:marRight w:val="0"/>
      <w:marTop w:val="0"/>
      <w:marBottom w:val="0"/>
      <w:divBdr>
        <w:top w:val="none" w:sz="0" w:space="0" w:color="auto"/>
        <w:left w:val="none" w:sz="0" w:space="0" w:color="auto"/>
        <w:bottom w:val="none" w:sz="0" w:space="0" w:color="auto"/>
        <w:right w:val="none" w:sz="0" w:space="0" w:color="auto"/>
      </w:divBdr>
    </w:div>
    <w:div w:id="871259676">
      <w:bodyDiv w:val="1"/>
      <w:marLeft w:val="0"/>
      <w:marRight w:val="0"/>
      <w:marTop w:val="0"/>
      <w:marBottom w:val="0"/>
      <w:divBdr>
        <w:top w:val="none" w:sz="0" w:space="0" w:color="auto"/>
        <w:left w:val="none" w:sz="0" w:space="0" w:color="auto"/>
        <w:bottom w:val="none" w:sz="0" w:space="0" w:color="auto"/>
        <w:right w:val="none" w:sz="0" w:space="0" w:color="auto"/>
      </w:divBdr>
    </w:div>
    <w:div w:id="872426851">
      <w:bodyDiv w:val="1"/>
      <w:marLeft w:val="0"/>
      <w:marRight w:val="0"/>
      <w:marTop w:val="0"/>
      <w:marBottom w:val="0"/>
      <w:divBdr>
        <w:top w:val="none" w:sz="0" w:space="0" w:color="auto"/>
        <w:left w:val="none" w:sz="0" w:space="0" w:color="auto"/>
        <w:bottom w:val="none" w:sz="0" w:space="0" w:color="auto"/>
        <w:right w:val="none" w:sz="0" w:space="0" w:color="auto"/>
      </w:divBdr>
    </w:div>
    <w:div w:id="878201982">
      <w:bodyDiv w:val="1"/>
      <w:marLeft w:val="0"/>
      <w:marRight w:val="0"/>
      <w:marTop w:val="0"/>
      <w:marBottom w:val="0"/>
      <w:divBdr>
        <w:top w:val="none" w:sz="0" w:space="0" w:color="auto"/>
        <w:left w:val="none" w:sz="0" w:space="0" w:color="auto"/>
        <w:bottom w:val="none" w:sz="0" w:space="0" w:color="auto"/>
        <w:right w:val="none" w:sz="0" w:space="0" w:color="auto"/>
      </w:divBdr>
    </w:div>
    <w:div w:id="887496251">
      <w:bodyDiv w:val="1"/>
      <w:marLeft w:val="0"/>
      <w:marRight w:val="0"/>
      <w:marTop w:val="0"/>
      <w:marBottom w:val="0"/>
      <w:divBdr>
        <w:top w:val="none" w:sz="0" w:space="0" w:color="auto"/>
        <w:left w:val="none" w:sz="0" w:space="0" w:color="auto"/>
        <w:bottom w:val="none" w:sz="0" w:space="0" w:color="auto"/>
        <w:right w:val="none" w:sz="0" w:space="0" w:color="auto"/>
      </w:divBdr>
    </w:div>
    <w:div w:id="945696997">
      <w:bodyDiv w:val="1"/>
      <w:marLeft w:val="0"/>
      <w:marRight w:val="0"/>
      <w:marTop w:val="0"/>
      <w:marBottom w:val="0"/>
      <w:divBdr>
        <w:top w:val="none" w:sz="0" w:space="0" w:color="auto"/>
        <w:left w:val="none" w:sz="0" w:space="0" w:color="auto"/>
        <w:bottom w:val="none" w:sz="0" w:space="0" w:color="auto"/>
        <w:right w:val="none" w:sz="0" w:space="0" w:color="auto"/>
      </w:divBdr>
    </w:div>
    <w:div w:id="952787039">
      <w:bodyDiv w:val="1"/>
      <w:marLeft w:val="0"/>
      <w:marRight w:val="0"/>
      <w:marTop w:val="0"/>
      <w:marBottom w:val="0"/>
      <w:divBdr>
        <w:top w:val="none" w:sz="0" w:space="0" w:color="auto"/>
        <w:left w:val="none" w:sz="0" w:space="0" w:color="auto"/>
        <w:bottom w:val="none" w:sz="0" w:space="0" w:color="auto"/>
        <w:right w:val="none" w:sz="0" w:space="0" w:color="auto"/>
      </w:divBdr>
    </w:div>
    <w:div w:id="957957521">
      <w:bodyDiv w:val="1"/>
      <w:marLeft w:val="0"/>
      <w:marRight w:val="0"/>
      <w:marTop w:val="0"/>
      <w:marBottom w:val="0"/>
      <w:divBdr>
        <w:top w:val="none" w:sz="0" w:space="0" w:color="auto"/>
        <w:left w:val="none" w:sz="0" w:space="0" w:color="auto"/>
        <w:bottom w:val="none" w:sz="0" w:space="0" w:color="auto"/>
        <w:right w:val="none" w:sz="0" w:space="0" w:color="auto"/>
      </w:divBdr>
    </w:div>
    <w:div w:id="971902983">
      <w:bodyDiv w:val="1"/>
      <w:marLeft w:val="0"/>
      <w:marRight w:val="0"/>
      <w:marTop w:val="0"/>
      <w:marBottom w:val="0"/>
      <w:divBdr>
        <w:top w:val="none" w:sz="0" w:space="0" w:color="auto"/>
        <w:left w:val="none" w:sz="0" w:space="0" w:color="auto"/>
        <w:bottom w:val="none" w:sz="0" w:space="0" w:color="auto"/>
        <w:right w:val="none" w:sz="0" w:space="0" w:color="auto"/>
      </w:divBdr>
    </w:div>
    <w:div w:id="979068432">
      <w:bodyDiv w:val="1"/>
      <w:marLeft w:val="0"/>
      <w:marRight w:val="0"/>
      <w:marTop w:val="0"/>
      <w:marBottom w:val="0"/>
      <w:divBdr>
        <w:top w:val="none" w:sz="0" w:space="0" w:color="auto"/>
        <w:left w:val="none" w:sz="0" w:space="0" w:color="auto"/>
        <w:bottom w:val="none" w:sz="0" w:space="0" w:color="auto"/>
        <w:right w:val="none" w:sz="0" w:space="0" w:color="auto"/>
      </w:divBdr>
    </w:div>
    <w:div w:id="980959416">
      <w:bodyDiv w:val="1"/>
      <w:marLeft w:val="0"/>
      <w:marRight w:val="0"/>
      <w:marTop w:val="0"/>
      <w:marBottom w:val="0"/>
      <w:divBdr>
        <w:top w:val="none" w:sz="0" w:space="0" w:color="auto"/>
        <w:left w:val="none" w:sz="0" w:space="0" w:color="auto"/>
        <w:bottom w:val="none" w:sz="0" w:space="0" w:color="auto"/>
        <w:right w:val="none" w:sz="0" w:space="0" w:color="auto"/>
      </w:divBdr>
    </w:div>
    <w:div w:id="991101132">
      <w:bodyDiv w:val="1"/>
      <w:marLeft w:val="0"/>
      <w:marRight w:val="0"/>
      <w:marTop w:val="0"/>
      <w:marBottom w:val="0"/>
      <w:divBdr>
        <w:top w:val="none" w:sz="0" w:space="0" w:color="auto"/>
        <w:left w:val="none" w:sz="0" w:space="0" w:color="auto"/>
        <w:bottom w:val="none" w:sz="0" w:space="0" w:color="auto"/>
        <w:right w:val="none" w:sz="0" w:space="0" w:color="auto"/>
      </w:divBdr>
    </w:div>
    <w:div w:id="1005673006">
      <w:bodyDiv w:val="1"/>
      <w:marLeft w:val="0"/>
      <w:marRight w:val="0"/>
      <w:marTop w:val="0"/>
      <w:marBottom w:val="0"/>
      <w:divBdr>
        <w:top w:val="none" w:sz="0" w:space="0" w:color="auto"/>
        <w:left w:val="none" w:sz="0" w:space="0" w:color="auto"/>
        <w:bottom w:val="none" w:sz="0" w:space="0" w:color="auto"/>
        <w:right w:val="none" w:sz="0" w:space="0" w:color="auto"/>
      </w:divBdr>
    </w:div>
    <w:div w:id="1015770708">
      <w:bodyDiv w:val="1"/>
      <w:marLeft w:val="0"/>
      <w:marRight w:val="0"/>
      <w:marTop w:val="0"/>
      <w:marBottom w:val="0"/>
      <w:divBdr>
        <w:top w:val="none" w:sz="0" w:space="0" w:color="auto"/>
        <w:left w:val="none" w:sz="0" w:space="0" w:color="auto"/>
        <w:bottom w:val="none" w:sz="0" w:space="0" w:color="auto"/>
        <w:right w:val="none" w:sz="0" w:space="0" w:color="auto"/>
      </w:divBdr>
    </w:div>
    <w:div w:id="1052384127">
      <w:bodyDiv w:val="1"/>
      <w:marLeft w:val="0"/>
      <w:marRight w:val="0"/>
      <w:marTop w:val="0"/>
      <w:marBottom w:val="0"/>
      <w:divBdr>
        <w:top w:val="none" w:sz="0" w:space="0" w:color="auto"/>
        <w:left w:val="none" w:sz="0" w:space="0" w:color="auto"/>
        <w:bottom w:val="none" w:sz="0" w:space="0" w:color="auto"/>
        <w:right w:val="none" w:sz="0" w:space="0" w:color="auto"/>
      </w:divBdr>
    </w:div>
    <w:div w:id="1061564437">
      <w:bodyDiv w:val="1"/>
      <w:marLeft w:val="0"/>
      <w:marRight w:val="0"/>
      <w:marTop w:val="0"/>
      <w:marBottom w:val="0"/>
      <w:divBdr>
        <w:top w:val="none" w:sz="0" w:space="0" w:color="auto"/>
        <w:left w:val="none" w:sz="0" w:space="0" w:color="auto"/>
        <w:bottom w:val="none" w:sz="0" w:space="0" w:color="auto"/>
        <w:right w:val="none" w:sz="0" w:space="0" w:color="auto"/>
      </w:divBdr>
    </w:div>
    <w:div w:id="1077287463">
      <w:bodyDiv w:val="1"/>
      <w:marLeft w:val="0"/>
      <w:marRight w:val="0"/>
      <w:marTop w:val="0"/>
      <w:marBottom w:val="0"/>
      <w:divBdr>
        <w:top w:val="none" w:sz="0" w:space="0" w:color="auto"/>
        <w:left w:val="none" w:sz="0" w:space="0" w:color="auto"/>
        <w:bottom w:val="none" w:sz="0" w:space="0" w:color="auto"/>
        <w:right w:val="none" w:sz="0" w:space="0" w:color="auto"/>
      </w:divBdr>
    </w:div>
    <w:div w:id="1081415867">
      <w:bodyDiv w:val="1"/>
      <w:marLeft w:val="0"/>
      <w:marRight w:val="0"/>
      <w:marTop w:val="0"/>
      <w:marBottom w:val="0"/>
      <w:divBdr>
        <w:top w:val="none" w:sz="0" w:space="0" w:color="auto"/>
        <w:left w:val="none" w:sz="0" w:space="0" w:color="auto"/>
        <w:bottom w:val="none" w:sz="0" w:space="0" w:color="auto"/>
        <w:right w:val="none" w:sz="0" w:space="0" w:color="auto"/>
      </w:divBdr>
    </w:div>
    <w:div w:id="1082527181">
      <w:bodyDiv w:val="1"/>
      <w:marLeft w:val="0"/>
      <w:marRight w:val="0"/>
      <w:marTop w:val="0"/>
      <w:marBottom w:val="0"/>
      <w:divBdr>
        <w:top w:val="none" w:sz="0" w:space="0" w:color="auto"/>
        <w:left w:val="none" w:sz="0" w:space="0" w:color="auto"/>
        <w:bottom w:val="none" w:sz="0" w:space="0" w:color="auto"/>
        <w:right w:val="none" w:sz="0" w:space="0" w:color="auto"/>
      </w:divBdr>
    </w:div>
    <w:div w:id="1110078889">
      <w:bodyDiv w:val="1"/>
      <w:marLeft w:val="0"/>
      <w:marRight w:val="0"/>
      <w:marTop w:val="0"/>
      <w:marBottom w:val="0"/>
      <w:divBdr>
        <w:top w:val="none" w:sz="0" w:space="0" w:color="auto"/>
        <w:left w:val="none" w:sz="0" w:space="0" w:color="auto"/>
        <w:bottom w:val="none" w:sz="0" w:space="0" w:color="auto"/>
        <w:right w:val="none" w:sz="0" w:space="0" w:color="auto"/>
      </w:divBdr>
    </w:div>
    <w:div w:id="1125539130">
      <w:bodyDiv w:val="1"/>
      <w:marLeft w:val="0"/>
      <w:marRight w:val="0"/>
      <w:marTop w:val="0"/>
      <w:marBottom w:val="0"/>
      <w:divBdr>
        <w:top w:val="none" w:sz="0" w:space="0" w:color="auto"/>
        <w:left w:val="none" w:sz="0" w:space="0" w:color="auto"/>
        <w:bottom w:val="none" w:sz="0" w:space="0" w:color="auto"/>
        <w:right w:val="none" w:sz="0" w:space="0" w:color="auto"/>
      </w:divBdr>
    </w:div>
    <w:div w:id="1130170643">
      <w:bodyDiv w:val="1"/>
      <w:marLeft w:val="0"/>
      <w:marRight w:val="0"/>
      <w:marTop w:val="0"/>
      <w:marBottom w:val="0"/>
      <w:divBdr>
        <w:top w:val="none" w:sz="0" w:space="0" w:color="auto"/>
        <w:left w:val="none" w:sz="0" w:space="0" w:color="auto"/>
        <w:bottom w:val="none" w:sz="0" w:space="0" w:color="auto"/>
        <w:right w:val="none" w:sz="0" w:space="0" w:color="auto"/>
      </w:divBdr>
    </w:div>
    <w:div w:id="1131440085">
      <w:bodyDiv w:val="1"/>
      <w:marLeft w:val="0"/>
      <w:marRight w:val="0"/>
      <w:marTop w:val="0"/>
      <w:marBottom w:val="0"/>
      <w:divBdr>
        <w:top w:val="none" w:sz="0" w:space="0" w:color="auto"/>
        <w:left w:val="none" w:sz="0" w:space="0" w:color="auto"/>
        <w:bottom w:val="none" w:sz="0" w:space="0" w:color="auto"/>
        <w:right w:val="none" w:sz="0" w:space="0" w:color="auto"/>
      </w:divBdr>
    </w:div>
    <w:div w:id="1150174635">
      <w:bodyDiv w:val="1"/>
      <w:marLeft w:val="0"/>
      <w:marRight w:val="0"/>
      <w:marTop w:val="0"/>
      <w:marBottom w:val="0"/>
      <w:divBdr>
        <w:top w:val="none" w:sz="0" w:space="0" w:color="auto"/>
        <w:left w:val="none" w:sz="0" w:space="0" w:color="auto"/>
        <w:bottom w:val="none" w:sz="0" w:space="0" w:color="auto"/>
        <w:right w:val="none" w:sz="0" w:space="0" w:color="auto"/>
      </w:divBdr>
    </w:div>
    <w:div w:id="1210804444">
      <w:bodyDiv w:val="1"/>
      <w:marLeft w:val="0"/>
      <w:marRight w:val="0"/>
      <w:marTop w:val="0"/>
      <w:marBottom w:val="0"/>
      <w:divBdr>
        <w:top w:val="none" w:sz="0" w:space="0" w:color="auto"/>
        <w:left w:val="none" w:sz="0" w:space="0" w:color="auto"/>
        <w:bottom w:val="none" w:sz="0" w:space="0" w:color="auto"/>
        <w:right w:val="none" w:sz="0" w:space="0" w:color="auto"/>
      </w:divBdr>
    </w:div>
    <w:div w:id="1223714190">
      <w:bodyDiv w:val="1"/>
      <w:marLeft w:val="0"/>
      <w:marRight w:val="0"/>
      <w:marTop w:val="0"/>
      <w:marBottom w:val="0"/>
      <w:divBdr>
        <w:top w:val="none" w:sz="0" w:space="0" w:color="auto"/>
        <w:left w:val="none" w:sz="0" w:space="0" w:color="auto"/>
        <w:bottom w:val="none" w:sz="0" w:space="0" w:color="auto"/>
        <w:right w:val="none" w:sz="0" w:space="0" w:color="auto"/>
      </w:divBdr>
    </w:div>
    <w:div w:id="1238242904">
      <w:bodyDiv w:val="1"/>
      <w:marLeft w:val="0"/>
      <w:marRight w:val="0"/>
      <w:marTop w:val="0"/>
      <w:marBottom w:val="0"/>
      <w:divBdr>
        <w:top w:val="none" w:sz="0" w:space="0" w:color="auto"/>
        <w:left w:val="none" w:sz="0" w:space="0" w:color="auto"/>
        <w:bottom w:val="none" w:sz="0" w:space="0" w:color="auto"/>
        <w:right w:val="none" w:sz="0" w:space="0" w:color="auto"/>
      </w:divBdr>
    </w:div>
    <w:div w:id="1277786452">
      <w:bodyDiv w:val="1"/>
      <w:marLeft w:val="0"/>
      <w:marRight w:val="0"/>
      <w:marTop w:val="0"/>
      <w:marBottom w:val="0"/>
      <w:divBdr>
        <w:top w:val="none" w:sz="0" w:space="0" w:color="auto"/>
        <w:left w:val="none" w:sz="0" w:space="0" w:color="auto"/>
        <w:bottom w:val="none" w:sz="0" w:space="0" w:color="auto"/>
        <w:right w:val="none" w:sz="0" w:space="0" w:color="auto"/>
      </w:divBdr>
    </w:div>
    <w:div w:id="1300766283">
      <w:bodyDiv w:val="1"/>
      <w:marLeft w:val="0"/>
      <w:marRight w:val="0"/>
      <w:marTop w:val="0"/>
      <w:marBottom w:val="0"/>
      <w:divBdr>
        <w:top w:val="none" w:sz="0" w:space="0" w:color="auto"/>
        <w:left w:val="none" w:sz="0" w:space="0" w:color="auto"/>
        <w:bottom w:val="none" w:sz="0" w:space="0" w:color="auto"/>
        <w:right w:val="none" w:sz="0" w:space="0" w:color="auto"/>
      </w:divBdr>
    </w:div>
    <w:div w:id="1315329441">
      <w:bodyDiv w:val="1"/>
      <w:marLeft w:val="0"/>
      <w:marRight w:val="0"/>
      <w:marTop w:val="0"/>
      <w:marBottom w:val="0"/>
      <w:divBdr>
        <w:top w:val="none" w:sz="0" w:space="0" w:color="auto"/>
        <w:left w:val="none" w:sz="0" w:space="0" w:color="auto"/>
        <w:bottom w:val="none" w:sz="0" w:space="0" w:color="auto"/>
        <w:right w:val="none" w:sz="0" w:space="0" w:color="auto"/>
      </w:divBdr>
    </w:div>
    <w:div w:id="1323855819">
      <w:bodyDiv w:val="1"/>
      <w:marLeft w:val="0"/>
      <w:marRight w:val="0"/>
      <w:marTop w:val="0"/>
      <w:marBottom w:val="0"/>
      <w:divBdr>
        <w:top w:val="none" w:sz="0" w:space="0" w:color="auto"/>
        <w:left w:val="none" w:sz="0" w:space="0" w:color="auto"/>
        <w:bottom w:val="none" w:sz="0" w:space="0" w:color="auto"/>
        <w:right w:val="none" w:sz="0" w:space="0" w:color="auto"/>
      </w:divBdr>
    </w:div>
    <w:div w:id="1358584950">
      <w:bodyDiv w:val="1"/>
      <w:marLeft w:val="0"/>
      <w:marRight w:val="0"/>
      <w:marTop w:val="0"/>
      <w:marBottom w:val="0"/>
      <w:divBdr>
        <w:top w:val="none" w:sz="0" w:space="0" w:color="auto"/>
        <w:left w:val="none" w:sz="0" w:space="0" w:color="auto"/>
        <w:bottom w:val="none" w:sz="0" w:space="0" w:color="auto"/>
        <w:right w:val="none" w:sz="0" w:space="0" w:color="auto"/>
      </w:divBdr>
    </w:div>
    <w:div w:id="1366441588">
      <w:bodyDiv w:val="1"/>
      <w:marLeft w:val="0"/>
      <w:marRight w:val="0"/>
      <w:marTop w:val="0"/>
      <w:marBottom w:val="0"/>
      <w:divBdr>
        <w:top w:val="none" w:sz="0" w:space="0" w:color="auto"/>
        <w:left w:val="none" w:sz="0" w:space="0" w:color="auto"/>
        <w:bottom w:val="none" w:sz="0" w:space="0" w:color="auto"/>
        <w:right w:val="none" w:sz="0" w:space="0" w:color="auto"/>
      </w:divBdr>
    </w:div>
    <w:div w:id="1368607053">
      <w:bodyDiv w:val="1"/>
      <w:marLeft w:val="0"/>
      <w:marRight w:val="0"/>
      <w:marTop w:val="0"/>
      <w:marBottom w:val="0"/>
      <w:divBdr>
        <w:top w:val="none" w:sz="0" w:space="0" w:color="auto"/>
        <w:left w:val="none" w:sz="0" w:space="0" w:color="auto"/>
        <w:bottom w:val="none" w:sz="0" w:space="0" w:color="auto"/>
        <w:right w:val="none" w:sz="0" w:space="0" w:color="auto"/>
      </w:divBdr>
    </w:div>
    <w:div w:id="1397435994">
      <w:bodyDiv w:val="1"/>
      <w:marLeft w:val="0"/>
      <w:marRight w:val="0"/>
      <w:marTop w:val="0"/>
      <w:marBottom w:val="0"/>
      <w:divBdr>
        <w:top w:val="none" w:sz="0" w:space="0" w:color="auto"/>
        <w:left w:val="none" w:sz="0" w:space="0" w:color="auto"/>
        <w:bottom w:val="none" w:sz="0" w:space="0" w:color="auto"/>
        <w:right w:val="none" w:sz="0" w:space="0" w:color="auto"/>
      </w:divBdr>
    </w:div>
    <w:div w:id="1407923879">
      <w:bodyDiv w:val="1"/>
      <w:marLeft w:val="0"/>
      <w:marRight w:val="0"/>
      <w:marTop w:val="0"/>
      <w:marBottom w:val="0"/>
      <w:divBdr>
        <w:top w:val="none" w:sz="0" w:space="0" w:color="auto"/>
        <w:left w:val="none" w:sz="0" w:space="0" w:color="auto"/>
        <w:bottom w:val="none" w:sz="0" w:space="0" w:color="auto"/>
        <w:right w:val="none" w:sz="0" w:space="0" w:color="auto"/>
      </w:divBdr>
    </w:div>
    <w:div w:id="1412580113">
      <w:bodyDiv w:val="1"/>
      <w:marLeft w:val="0"/>
      <w:marRight w:val="0"/>
      <w:marTop w:val="0"/>
      <w:marBottom w:val="0"/>
      <w:divBdr>
        <w:top w:val="none" w:sz="0" w:space="0" w:color="auto"/>
        <w:left w:val="none" w:sz="0" w:space="0" w:color="auto"/>
        <w:bottom w:val="none" w:sz="0" w:space="0" w:color="auto"/>
        <w:right w:val="none" w:sz="0" w:space="0" w:color="auto"/>
      </w:divBdr>
    </w:div>
    <w:div w:id="1417019754">
      <w:bodyDiv w:val="1"/>
      <w:marLeft w:val="0"/>
      <w:marRight w:val="0"/>
      <w:marTop w:val="0"/>
      <w:marBottom w:val="0"/>
      <w:divBdr>
        <w:top w:val="none" w:sz="0" w:space="0" w:color="auto"/>
        <w:left w:val="none" w:sz="0" w:space="0" w:color="auto"/>
        <w:bottom w:val="none" w:sz="0" w:space="0" w:color="auto"/>
        <w:right w:val="none" w:sz="0" w:space="0" w:color="auto"/>
      </w:divBdr>
    </w:div>
    <w:div w:id="1428575107">
      <w:bodyDiv w:val="1"/>
      <w:marLeft w:val="0"/>
      <w:marRight w:val="0"/>
      <w:marTop w:val="0"/>
      <w:marBottom w:val="0"/>
      <w:divBdr>
        <w:top w:val="none" w:sz="0" w:space="0" w:color="auto"/>
        <w:left w:val="none" w:sz="0" w:space="0" w:color="auto"/>
        <w:bottom w:val="none" w:sz="0" w:space="0" w:color="auto"/>
        <w:right w:val="none" w:sz="0" w:space="0" w:color="auto"/>
      </w:divBdr>
    </w:div>
    <w:div w:id="1428817667">
      <w:bodyDiv w:val="1"/>
      <w:marLeft w:val="0"/>
      <w:marRight w:val="0"/>
      <w:marTop w:val="0"/>
      <w:marBottom w:val="0"/>
      <w:divBdr>
        <w:top w:val="none" w:sz="0" w:space="0" w:color="auto"/>
        <w:left w:val="none" w:sz="0" w:space="0" w:color="auto"/>
        <w:bottom w:val="none" w:sz="0" w:space="0" w:color="auto"/>
        <w:right w:val="none" w:sz="0" w:space="0" w:color="auto"/>
      </w:divBdr>
    </w:div>
    <w:div w:id="1438335008">
      <w:bodyDiv w:val="1"/>
      <w:marLeft w:val="0"/>
      <w:marRight w:val="0"/>
      <w:marTop w:val="0"/>
      <w:marBottom w:val="0"/>
      <w:divBdr>
        <w:top w:val="none" w:sz="0" w:space="0" w:color="auto"/>
        <w:left w:val="none" w:sz="0" w:space="0" w:color="auto"/>
        <w:bottom w:val="none" w:sz="0" w:space="0" w:color="auto"/>
        <w:right w:val="none" w:sz="0" w:space="0" w:color="auto"/>
      </w:divBdr>
    </w:div>
    <w:div w:id="1448626204">
      <w:bodyDiv w:val="1"/>
      <w:marLeft w:val="0"/>
      <w:marRight w:val="0"/>
      <w:marTop w:val="0"/>
      <w:marBottom w:val="0"/>
      <w:divBdr>
        <w:top w:val="none" w:sz="0" w:space="0" w:color="auto"/>
        <w:left w:val="none" w:sz="0" w:space="0" w:color="auto"/>
        <w:bottom w:val="none" w:sz="0" w:space="0" w:color="auto"/>
        <w:right w:val="none" w:sz="0" w:space="0" w:color="auto"/>
      </w:divBdr>
    </w:div>
    <w:div w:id="1454787090">
      <w:bodyDiv w:val="1"/>
      <w:marLeft w:val="0"/>
      <w:marRight w:val="0"/>
      <w:marTop w:val="0"/>
      <w:marBottom w:val="0"/>
      <w:divBdr>
        <w:top w:val="none" w:sz="0" w:space="0" w:color="auto"/>
        <w:left w:val="none" w:sz="0" w:space="0" w:color="auto"/>
        <w:bottom w:val="none" w:sz="0" w:space="0" w:color="auto"/>
        <w:right w:val="none" w:sz="0" w:space="0" w:color="auto"/>
      </w:divBdr>
    </w:div>
    <w:div w:id="1457336837">
      <w:bodyDiv w:val="1"/>
      <w:marLeft w:val="0"/>
      <w:marRight w:val="0"/>
      <w:marTop w:val="0"/>
      <w:marBottom w:val="0"/>
      <w:divBdr>
        <w:top w:val="none" w:sz="0" w:space="0" w:color="auto"/>
        <w:left w:val="none" w:sz="0" w:space="0" w:color="auto"/>
        <w:bottom w:val="none" w:sz="0" w:space="0" w:color="auto"/>
        <w:right w:val="none" w:sz="0" w:space="0" w:color="auto"/>
      </w:divBdr>
    </w:div>
    <w:div w:id="1476607333">
      <w:bodyDiv w:val="1"/>
      <w:marLeft w:val="0"/>
      <w:marRight w:val="0"/>
      <w:marTop w:val="0"/>
      <w:marBottom w:val="0"/>
      <w:divBdr>
        <w:top w:val="none" w:sz="0" w:space="0" w:color="auto"/>
        <w:left w:val="none" w:sz="0" w:space="0" w:color="auto"/>
        <w:bottom w:val="none" w:sz="0" w:space="0" w:color="auto"/>
        <w:right w:val="none" w:sz="0" w:space="0" w:color="auto"/>
      </w:divBdr>
    </w:div>
    <w:div w:id="1500390367">
      <w:bodyDiv w:val="1"/>
      <w:marLeft w:val="0"/>
      <w:marRight w:val="0"/>
      <w:marTop w:val="0"/>
      <w:marBottom w:val="0"/>
      <w:divBdr>
        <w:top w:val="none" w:sz="0" w:space="0" w:color="auto"/>
        <w:left w:val="none" w:sz="0" w:space="0" w:color="auto"/>
        <w:bottom w:val="none" w:sz="0" w:space="0" w:color="auto"/>
        <w:right w:val="none" w:sz="0" w:space="0" w:color="auto"/>
      </w:divBdr>
    </w:div>
    <w:div w:id="1502310006">
      <w:bodyDiv w:val="1"/>
      <w:marLeft w:val="0"/>
      <w:marRight w:val="0"/>
      <w:marTop w:val="0"/>
      <w:marBottom w:val="0"/>
      <w:divBdr>
        <w:top w:val="none" w:sz="0" w:space="0" w:color="auto"/>
        <w:left w:val="none" w:sz="0" w:space="0" w:color="auto"/>
        <w:bottom w:val="none" w:sz="0" w:space="0" w:color="auto"/>
        <w:right w:val="none" w:sz="0" w:space="0" w:color="auto"/>
      </w:divBdr>
    </w:div>
    <w:div w:id="1514341831">
      <w:bodyDiv w:val="1"/>
      <w:marLeft w:val="0"/>
      <w:marRight w:val="0"/>
      <w:marTop w:val="0"/>
      <w:marBottom w:val="0"/>
      <w:divBdr>
        <w:top w:val="none" w:sz="0" w:space="0" w:color="auto"/>
        <w:left w:val="none" w:sz="0" w:space="0" w:color="auto"/>
        <w:bottom w:val="none" w:sz="0" w:space="0" w:color="auto"/>
        <w:right w:val="none" w:sz="0" w:space="0" w:color="auto"/>
      </w:divBdr>
    </w:div>
    <w:div w:id="1562448728">
      <w:bodyDiv w:val="1"/>
      <w:marLeft w:val="0"/>
      <w:marRight w:val="0"/>
      <w:marTop w:val="0"/>
      <w:marBottom w:val="0"/>
      <w:divBdr>
        <w:top w:val="none" w:sz="0" w:space="0" w:color="auto"/>
        <w:left w:val="none" w:sz="0" w:space="0" w:color="auto"/>
        <w:bottom w:val="none" w:sz="0" w:space="0" w:color="auto"/>
        <w:right w:val="none" w:sz="0" w:space="0" w:color="auto"/>
      </w:divBdr>
    </w:div>
    <w:div w:id="1569805407">
      <w:bodyDiv w:val="1"/>
      <w:marLeft w:val="0"/>
      <w:marRight w:val="0"/>
      <w:marTop w:val="0"/>
      <w:marBottom w:val="0"/>
      <w:divBdr>
        <w:top w:val="none" w:sz="0" w:space="0" w:color="auto"/>
        <w:left w:val="none" w:sz="0" w:space="0" w:color="auto"/>
        <w:bottom w:val="none" w:sz="0" w:space="0" w:color="auto"/>
        <w:right w:val="none" w:sz="0" w:space="0" w:color="auto"/>
      </w:divBdr>
    </w:div>
    <w:div w:id="1579557454">
      <w:bodyDiv w:val="1"/>
      <w:marLeft w:val="0"/>
      <w:marRight w:val="0"/>
      <w:marTop w:val="0"/>
      <w:marBottom w:val="0"/>
      <w:divBdr>
        <w:top w:val="none" w:sz="0" w:space="0" w:color="auto"/>
        <w:left w:val="none" w:sz="0" w:space="0" w:color="auto"/>
        <w:bottom w:val="none" w:sz="0" w:space="0" w:color="auto"/>
        <w:right w:val="none" w:sz="0" w:space="0" w:color="auto"/>
      </w:divBdr>
    </w:div>
    <w:div w:id="1589734841">
      <w:bodyDiv w:val="1"/>
      <w:marLeft w:val="0"/>
      <w:marRight w:val="0"/>
      <w:marTop w:val="0"/>
      <w:marBottom w:val="0"/>
      <w:divBdr>
        <w:top w:val="none" w:sz="0" w:space="0" w:color="auto"/>
        <w:left w:val="none" w:sz="0" w:space="0" w:color="auto"/>
        <w:bottom w:val="none" w:sz="0" w:space="0" w:color="auto"/>
        <w:right w:val="none" w:sz="0" w:space="0" w:color="auto"/>
      </w:divBdr>
    </w:div>
    <w:div w:id="1593322414">
      <w:bodyDiv w:val="1"/>
      <w:marLeft w:val="0"/>
      <w:marRight w:val="0"/>
      <w:marTop w:val="0"/>
      <w:marBottom w:val="0"/>
      <w:divBdr>
        <w:top w:val="none" w:sz="0" w:space="0" w:color="auto"/>
        <w:left w:val="none" w:sz="0" w:space="0" w:color="auto"/>
        <w:bottom w:val="none" w:sz="0" w:space="0" w:color="auto"/>
        <w:right w:val="none" w:sz="0" w:space="0" w:color="auto"/>
      </w:divBdr>
    </w:div>
    <w:div w:id="1594972075">
      <w:bodyDiv w:val="1"/>
      <w:marLeft w:val="0"/>
      <w:marRight w:val="0"/>
      <w:marTop w:val="0"/>
      <w:marBottom w:val="0"/>
      <w:divBdr>
        <w:top w:val="none" w:sz="0" w:space="0" w:color="auto"/>
        <w:left w:val="none" w:sz="0" w:space="0" w:color="auto"/>
        <w:bottom w:val="none" w:sz="0" w:space="0" w:color="auto"/>
        <w:right w:val="none" w:sz="0" w:space="0" w:color="auto"/>
      </w:divBdr>
    </w:div>
    <w:div w:id="1601403325">
      <w:bodyDiv w:val="1"/>
      <w:marLeft w:val="0"/>
      <w:marRight w:val="0"/>
      <w:marTop w:val="0"/>
      <w:marBottom w:val="0"/>
      <w:divBdr>
        <w:top w:val="none" w:sz="0" w:space="0" w:color="auto"/>
        <w:left w:val="none" w:sz="0" w:space="0" w:color="auto"/>
        <w:bottom w:val="none" w:sz="0" w:space="0" w:color="auto"/>
        <w:right w:val="none" w:sz="0" w:space="0" w:color="auto"/>
      </w:divBdr>
    </w:div>
    <w:div w:id="1602224844">
      <w:bodyDiv w:val="1"/>
      <w:marLeft w:val="0"/>
      <w:marRight w:val="0"/>
      <w:marTop w:val="0"/>
      <w:marBottom w:val="0"/>
      <w:divBdr>
        <w:top w:val="none" w:sz="0" w:space="0" w:color="auto"/>
        <w:left w:val="none" w:sz="0" w:space="0" w:color="auto"/>
        <w:bottom w:val="none" w:sz="0" w:space="0" w:color="auto"/>
        <w:right w:val="none" w:sz="0" w:space="0" w:color="auto"/>
      </w:divBdr>
    </w:div>
    <w:div w:id="1606301548">
      <w:bodyDiv w:val="1"/>
      <w:marLeft w:val="0"/>
      <w:marRight w:val="0"/>
      <w:marTop w:val="0"/>
      <w:marBottom w:val="0"/>
      <w:divBdr>
        <w:top w:val="none" w:sz="0" w:space="0" w:color="auto"/>
        <w:left w:val="none" w:sz="0" w:space="0" w:color="auto"/>
        <w:bottom w:val="none" w:sz="0" w:space="0" w:color="auto"/>
        <w:right w:val="none" w:sz="0" w:space="0" w:color="auto"/>
      </w:divBdr>
    </w:div>
    <w:div w:id="1639795248">
      <w:bodyDiv w:val="1"/>
      <w:marLeft w:val="0"/>
      <w:marRight w:val="0"/>
      <w:marTop w:val="0"/>
      <w:marBottom w:val="0"/>
      <w:divBdr>
        <w:top w:val="none" w:sz="0" w:space="0" w:color="auto"/>
        <w:left w:val="none" w:sz="0" w:space="0" w:color="auto"/>
        <w:bottom w:val="none" w:sz="0" w:space="0" w:color="auto"/>
        <w:right w:val="none" w:sz="0" w:space="0" w:color="auto"/>
      </w:divBdr>
    </w:div>
    <w:div w:id="1647856975">
      <w:bodyDiv w:val="1"/>
      <w:marLeft w:val="0"/>
      <w:marRight w:val="0"/>
      <w:marTop w:val="0"/>
      <w:marBottom w:val="0"/>
      <w:divBdr>
        <w:top w:val="none" w:sz="0" w:space="0" w:color="auto"/>
        <w:left w:val="none" w:sz="0" w:space="0" w:color="auto"/>
        <w:bottom w:val="none" w:sz="0" w:space="0" w:color="auto"/>
        <w:right w:val="none" w:sz="0" w:space="0" w:color="auto"/>
      </w:divBdr>
    </w:div>
    <w:div w:id="1651592902">
      <w:bodyDiv w:val="1"/>
      <w:marLeft w:val="0"/>
      <w:marRight w:val="0"/>
      <w:marTop w:val="0"/>
      <w:marBottom w:val="0"/>
      <w:divBdr>
        <w:top w:val="none" w:sz="0" w:space="0" w:color="auto"/>
        <w:left w:val="none" w:sz="0" w:space="0" w:color="auto"/>
        <w:bottom w:val="none" w:sz="0" w:space="0" w:color="auto"/>
        <w:right w:val="none" w:sz="0" w:space="0" w:color="auto"/>
      </w:divBdr>
    </w:div>
    <w:div w:id="1652522045">
      <w:bodyDiv w:val="1"/>
      <w:marLeft w:val="0"/>
      <w:marRight w:val="0"/>
      <w:marTop w:val="0"/>
      <w:marBottom w:val="0"/>
      <w:divBdr>
        <w:top w:val="none" w:sz="0" w:space="0" w:color="auto"/>
        <w:left w:val="none" w:sz="0" w:space="0" w:color="auto"/>
        <w:bottom w:val="none" w:sz="0" w:space="0" w:color="auto"/>
        <w:right w:val="none" w:sz="0" w:space="0" w:color="auto"/>
      </w:divBdr>
    </w:div>
    <w:div w:id="1663270699">
      <w:bodyDiv w:val="1"/>
      <w:marLeft w:val="0"/>
      <w:marRight w:val="0"/>
      <w:marTop w:val="0"/>
      <w:marBottom w:val="0"/>
      <w:divBdr>
        <w:top w:val="none" w:sz="0" w:space="0" w:color="auto"/>
        <w:left w:val="none" w:sz="0" w:space="0" w:color="auto"/>
        <w:bottom w:val="none" w:sz="0" w:space="0" w:color="auto"/>
        <w:right w:val="none" w:sz="0" w:space="0" w:color="auto"/>
      </w:divBdr>
    </w:div>
    <w:div w:id="1673683272">
      <w:bodyDiv w:val="1"/>
      <w:marLeft w:val="0"/>
      <w:marRight w:val="0"/>
      <w:marTop w:val="0"/>
      <w:marBottom w:val="0"/>
      <w:divBdr>
        <w:top w:val="none" w:sz="0" w:space="0" w:color="auto"/>
        <w:left w:val="none" w:sz="0" w:space="0" w:color="auto"/>
        <w:bottom w:val="none" w:sz="0" w:space="0" w:color="auto"/>
        <w:right w:val="none" w:sz="0" w:space="0" w:color="auto"/>
      </w:divBdr>
    </w:div>
    <w:div w:id="1691491854">
      <w:bodyDiv w:val="1"/>
      <w:marLeft w:val="0"/>
      <w:marRight w:val="0"/>
      <w:marTop w:val="0"/>
      <w:marBottom w:val="0"/>
      <w:divBdr>
        <w:top w:val="none" w:sz="0" w:space="0" w:color="auto"/>
        <w:left w:val="none" w:sz="0" w:space="0" w:color="auto"/>
        <w:bottom w:val="none" w:sz="0" w:space="0" w:color="auto"/>
        <w:right w:val="none" w:sz="0" w:space="0" w:color="auto"/>
      </w:divBdr>
    </w:div>
    <w:div w:id="1703942726">
      <w:bodyDiv w:val="1"/>
      <w:marLeft w:val="0"/>
      <w:marRight w:val="0"/>
      <w:marTop w:val="0"/>
      <w:marBottom w:val="0"/>
      <w:divBdr>
        <w:top w:val="none" w:sz="0" w:space="0" w:color="auto"/>
        <w:left w:val="none" w:sz="0" w:space="0" w:color="auto"/>
        <w:bottom w:val="none" w:sz="0" w:space="0" w:color="auto"/>
        <w:right w:val="none" w:sz="0" w:space="0" w:color="auto"/>
      </w:divBdr>
    </w:div>
    <w:div w:id="1714496578">
      <w:bodyDiv w:val="1"/>
      <w:marLeft w:val="0"/>
      <w:marRight w:val="0"/>
      <w:marTop w:val="0"/>
      <w:marBottom w:val="0"/>
      <w:divBdr>
        <w:top w:val="none" w:sz="0" w:space="0" w:color="auto"/>
        <w:left w:val="none" w:sz="0" w:space="0" w:color="auto"/>
        <w:bottom w:val="none" w:sz="0" w:space="0" w:color="auto"/>
        <w:right w:val="none" w:sz="0" w:space="0" w:color="auto"/>
      </w:divBdr>
    </w:div>
    <w:div w:id="1716271519">
      <w:bodyDiv w:val="1"/>
      <w:marLeft w:val="0"/>
      <w:marRight w:val="0"/>
      <w:marTop w:val="0"/>
      <w:marBottom w:val="0"/>
      <w:divBdr>
        <w:top w:val="none" w:sz="0" w:space="0" w:color="auto"/>
        <w:left w:val="none" w:sz="0" w:space="0" w:color="auto"/>
        <w:bottom w:val="none" w:sz="0" w:space="0" w:color="auto"/>
        <w:right w:val="none" w:sz="0" w:space="0" w:color="auto"/>
      </w:divBdr>
    </w:div>
    <w:div w:id="1723865610">
      <w:bodyDiv w:val="1"/>
      <w:marLeft w:val="0"/>
      <w:marRight w:val="0"/>
      <w:marTop w:val="0"/>
      <w:marBottom w:val="0"/>
      <w:divBdr>
        <w:top w:val="none" w:sz="0" w:space="0" w:color="auto"/>
        <w:left w:val="none" w:sz="0" w:space="0" w:color="auto"/>
        <w:bottom w:val="none" w:sz="0" w:space="0" w:color="auto"/>
        <w:right w:val="none" w:sz="0" w:space="0" w:color="auto"/>
      </w:divBdr>
    </w:div>
    <w:div w:id="1734113063">
      <w:bodyDiv w:val="1"/>
      <w:marLeft w:val="0"/>
      <w:marRight w:val="0"/>
      <w:marTop w:val="0"/>
      <w:marBottom w:val="0"/>
      <w:divBdr>
        <w:top w:val="none" w:sz="0" w:space="0" w:color="auto"/>
        <w:left w:val="none" w:sz="0" w:space="0" w:color="auto"/>
        <w:bottom w:val="none" w:sz="0" w:space="0" w:color="auto"/>
        <w:right w:val="none" w:sz="0" w:space="0" w:color="auto"/>
      </w:divBdr>
    </w:div>
    <w:div w:id="1736469218">
      <w:bodyDiv w:val="1"/>
      <w:marLeft w:val="0"/>
      <w:marRight w:val="0"/>
      <w:marTop w:val="0"/>
      <w:marBottom w:val="0"/>
      <w:divBdr>
        <w:top w:val="none" w:sz="0" w:space="0" w:color="auto"/>
        <w:left w:val="none" w:sz="0" w:space="0" w:color="auto"/>
        <w:bottom w:val="none" w:sz="0" w:space="0" w:color="auto"/>
        <w:right w:val="none" w:sz="0" w:space="0" w:color="auto"/>
      </w:divBdr>
    </w:div>
    <w:div w:id="1742023418">
      <w:bodyDiv w:val="1"/>
      <w:marLeft w:val="0"/>
      <w:marRight w:val="0"/>
      <w:marTop w:val="0"/>
      <w:marBottom w:val="0"/>
      <w:divBdr>
        <w:top w:val="none" w:sz="0" w:space="0" w:color="auto"/>
        <w:left w:val="none" w:sz="0" w:space="0" w:color="auto"/>
        <w:bottom w:val="none" w:sz="0" w:space="0" w:color="auto"/>
        <w:right w:val="none" w:sz="0" w:space="0" w:color="auto"/>
      </w:divBdr>
    </w:div>
    <w:div w:id="1751463030">
      <w:bodyDiv w:val="1"/>
      <w:marLeft w:val="0"/>
      <w:marRight w:val="0"/>
      <w:marTop w:val="0"/>
      <w:marBottom w:val="0"/>
      <w:divBdr>
        <w:top w:val="none" w:sz="0" w:space="0" w:color="auto"/>
        <w:left w:val="none" w:sz="0" w:space="0" w:color="auto"/>
        <w:bottom w:val="none" w:sz="0" w:space="0" w:color="auto"/>
        <w:right w:val="none" w:sz="0" w:space="0" w:color="auto"/>
      </w:divBdr>
    </w:div>
    <w:div w:id="1765999734">
      <w:bodyDiv w:val="1"/>
      <w:marLeft w:val="0"/>
      <w:marRight w:val="0"/>
      <w:marTop w:val="0"/>
      <w:marBottom w:val="0"/>
      <w:divBdr>
        <w:top w:val="none" w:sz="0" w:space="0" w:color="auto"/>
        <w:left w:val="none" w:sz="0" w:space="0" w:color="auto"/>
        <w:bottom w:val="none" w:sz="0" w:space="0" w:color="auto"/>
        <w:right w:val="none" w:sz="0" w:space="0" w:color="auto"/>
      </w:divBdr>
    </w:div>
    <w:div w:id="1771583070">
      <w:bodyDiv w:val="1"/>
      <w:marLeft w:val="0"/>
      <w:marRight w:val="0"/>
      <w:marTop w:val="0"/>
      <w:marBottom w:val="0"/>
      <w:divBdr>
        <w:top w:val="none" w:sz="0" w:space="0" w:color="auto"/>
        <w:left w:val="none" w:sz="0" w:space="0" w:color="auto"/>
        <w:bottom w:val="none" w:sz="0" w:space="0" w:color="auto"/>
        <w:right w:val="none" w:sz="0" w:space="0" w:color="auto"/>
      </w:divBdr>
    </w:div>
    <w:div w:id="1802458121">
      <w:bodyDiv w:val="1"/>
      <w:marLeft w:val="0"/>
      <w:marRight w:val="0"/>
      <w:marTop w:val="0"/>
      <w:marBottom w:val="0"/>
      <w:divBdr>
        <w:top w:val="none" w:sz="0" w:space="0" w:color="auto"/>
        <w:left w:val="none" w:sz="0" w:space="0" w:color="auto"/>
        <w:bottom w:val="none" w:sz="0" w:space="0" w:color="auto"/>
        <w:right w:val="none" w:sz="0" w:space="0" w:color="auto"/>
      </w:divBdr>
    </w:div>
    <w:div w:id="1826822238">
      <w:bodyDiv w:val="1"/>
      <w:marLeft w:val="0"/>
      <w:marRight w:val="0"/>
      <w:marTop w:val="0"/>
      <w:marBottom w:val="0"/>
      <w:divBdr>
        <w:top w:val="none" w:sz="0" w:space="0" w:color="auto"/>
        <w:left w:val="none" w:sz="0" w:space="0" w:color="auto"/>
        <w:bottom w:val="none" w:sz="0" w:space="0" w:color="auto"/>
        <w:right w:val="none" w:sz="0" w:space="0" w:color="auto"/>
      </w:divBdr>
    </w:div>
    <w:div w:id="1847859251">
      <w:bodyDiv w:val="1"/>
      <w:marLeft w:val="0"/>
      <w:marRight w:val="0"/>
      <w:marTop w:val="0"/>
      <w:marBottom w:val="0"/>
      <w:divBdr>
        <w:top w:val="none" w:sz="0" w:space="0" w:color="auto"/>
        <w:left w:val="none" w:sz="0" w:space="0" w:color="auto"/>
        <w:bottom w:val="none" w:sz="0" w:space="0" w:color="auto"/>
        <w:right w:val="none" w:sz="0" w:space="0" w:color="auto"/>
      </w:divBdr>
      <w:divsChild>
        <w:div w:id="121309451">
          <w:marLeft w:val="0"/>
          <w:marRight w:val="0"/>
          <w:marTop w:val="0"/>
          <w:marBottom w:val="0"/>
          <w:divBdr>
            <w:top w:val="none" w:sz="0" w:space="0" w:color="auto"/>
            <w:left w:val="none" w:sz="0" w:space="0" w:color="auto"/>
            <w:bottom w:val="none" w:sz="0" w:space="0" w:color="auto"/>
            <w:right w:val="none" w:sz="0" w:space="0" w:color="auto"/>
          </w:divBdr>
        </w:div>
      </w:divsChild>
    </w:div>
    <w:div w:id="1866095284">
      <w:bodyDiv w:val="1"/>
      <w:marLeft w:val="0"/>
      <w:marRight w:val="0"/>
      <w:marTop w:val="0"/>
      <w:marBottom w:val="0"/>
      <w:divBdr>
        <w:top w:val="none" w:sz="0" w:space="0" w:color="auto"/>
        <w:left w:val="none" w:sz="0" w:space="0" w:color="auto"/>
        <w:bottom w:val="none" w:sz="0" w:space="0" w:color="auto"/>
        <w:right w:val="none" w:sz="0" w:space="0" w:color="auto"/>
      </w:divBdr>
    </w:div>
    <w:div w:id="1884172306">
      <w:bodyDiv w:val="1"/>
      <w:marLeft w:val="0"/>
      <w:marRight w:val="0"/>
      <w:marTop w:val="0"/>
      <w:marBottom w:val="0"/>
      <w:divBdr>
        <w:top w:val="none" w:sz="0" w:space="0" w:color="auto"/>
        <w:left w:val="none" w:sz="0" w:space="0" w:color="auto"/>
        <w:bottom w:val="none" w:sz="0" w:space="0" w:color="auto"/>
        <w:right w:val="none" w:sz="0" w:space="0" w:color="auto"/>
      </w:divBdr>
    </w:div>
    <w:div w:id="1888686970">
      <w:bodyDiv w:val="1"/>
      <w:marLeft w:val="0"/>
      <w:marRight w:val="0"/>
      <w:marTop w:val="0"/>
      <w:marBottom w:val="0"/>
      <w:divBdr>
        <w:top w:val="none" w:sz="0" w:space="0" w:color="auto"/>
        <w:left w:val="none" w:sz="0" w:space="0" w:color="auto"/>
        <w:bottom w:val="none" w:sz="0" w:space="0" w:color="auto"/>
        <w:right w:val="none" w:sz="0" w:space="0" w:color="auto"/>
      </w:divBdr>
      <w:divsChild>
        <w:div w:id="1237857437">
          <w:marLeft w:val="432"/>
          <w:marRight w:val="0"/>
          <w:marTop w:val="77"/>
          <w:marBottom w:val="0"/>
          <w:divBdr>
            <w:top w:val="none" w:sz="0" w:space="0" w:color="auto"/>
            <w:left w:val="none" w:sz="0" w:space="0" w:color="auto"/>
            <w:bottom w:val="none" w:sz="0" w:space="0" w:color="auto"/>
            <w:right w:val="none" w:sz="0" w:space="0" w:color="auto"/>
          </w:divBdr>
        </w:div>
        <w:div w:id="1328751745">
          <w:marLeft w:val="432"/>
          <w:marRight w:val="0"/>
          <w:marTop w:val="77"/>
          <w:marBottom w:val="0"/>
          <w:divBdr>
            <w:top w:val="none" w:sz="0" w:space="0" w:color="auto"/>
            <w:left w:val="none" w:sz="0" w:space="0" w:color="auto"/>
            <w:bottom w:val="none" w:sz="0" w:space="0" w:color="auto"/>
            <w:right w:val="none" w:sz="0" w:space="0" w:color="auto"/>
          </w:divBdr>
        </w:div>
        <w:div w:id="1486698676">
          <w:marLeft w:val="432"/>
          <w:marRight w:val="0"/>
          <w:marTop w:val="77"/>
          <w:marBottom w:val="0"/>
          <w:divBdr>
            <w:top w:val="none" w:sz="0" w:space="0" w:color="auto"/>
            <w:left w:val="none" w:sz="0" w:space="0" w:color="auto"/>
            <w:bottom w:val="none" w:sz="0" w:space="0" w:color="auto"/>
            <w:right w:val="none" w:sz="0" w:space="0" w:color="auto"/>
          </w:divBdr>
        </w:div>
      </w:divsChild>
    </w:div>
    <w:div w:id="1894466715">
      <w:bodyDiv w:val="1"/>
      <w:marLeft w:val="0"/>
      <w:marRight w:val="0"/>
      <w:marTop w:val="0"/>
      <w:marBottom w:val="0"/>
      <w:divBdr>
        <w:top w:val="none" w:sz="0" w:space="0" w:color="auto"/>
        <w:left w:val="none" w:sz="0" w:space="0" w:color="auto"/>
        <w:bottom w:val="none" w:sz="0" w:space="0" w:color="auto"/>
        <w:right w:val="none" w:sz="0" w:space="0" w:color="auto"/>
      </w:divBdr>
    </w:div>
    <w:div w:id="1897467196">
      <w:bodyDiv w:val="1"/>
      <w:marLeft w:val="0"/>
      <w:marRight w:val="0"/>
      <w:marTop w:val="0"/>
      <w:marBottom w:val="0"/>
      <w:divBdr>
        <w:top w:val="none" w:sz="0" w:space="0" w:color="auto"/>
        <w:left w:val="none" w:sz="0" w:space="0" w:color="auto"/>
        <w:bottom w:val="none" w:sz="0" w:space="0" w:color="auto"/>
        <w:right w:val="none" w:sz="0" w:space="0" w:color="auto"/>
      </w:divBdr>
    </w:div>
    <w:div w:id="1906643904">
      <w:bodyDiv w:val="1"/>
      <w:marLeft w:val="0"/>
      <w:marRight w:val="0"/>
      <w:marTop w:val="0"/>
      <w:marBottom w:val="0"/>
      <w:divBdr>
        <w:top w:val="none" w:sz="0" w:space="0" w:color="auto"/>
        <w:left w:val="none" w:sz="0" w:space="0" w:color="auto"/>
        <w:bottom w:val="none" w:sz="0" w:space="0" w:color="auto"/>
        <w:right w:val="none" w:sz="0" w:space="0" w:color="auto"/>
      </w:divBdr>
    </w:div>
    <w:div w:id="1915890391">
      <w:bodyDiv w:val="1"/>
      <w:marLeft w:val="0"/>
      <w:marRight w:val="0"/>
      <w:marTop w:val="0"/>
      <w:marBottom w:val="0"/>
      <w:divBdr>
        <w:top w:val="none" w:sz="0" w:space="0" w:color="auto"/>
        <w:left w:val="none" w:sz="0" w:space="0" w:color="auto"/>
        <w:bottom w:val="none" w:sz="0" w:space="0" w:color="auto"/>
        <w:right w:val="none" w:sz="0" w:space="0" w:color="auto"/>
      </w:divBdr>
    </w:div>
    <w:div w:id="1923878364">
      <w:bodyDiv w:val="1"/>
      <w:marLeft w:val="0"/>
      <w:marRight w:val="0"/>
      <w:marTop w:val="0"/>
      <w:marBottom w:val="0"/>
      <w:divBdr>
        <w:top w:val="none" w:sz="0" w:space="0" w:color="auto"/>
        <w:left w:val="none" w:sz="0" w:space="0" w:color="auto"/>
        <w:bottom w:val="none" w:sz="0" w:space="0" w:color="auto"/>
        <w:right w:val="none" w:sz="0" w:space="0" w:color="auto"/>
      </w:divBdr>
    </w:div>
    <w:div w:id="1975794001">
      <w:bodyDiv w:val="1"/>
      <w:marLeft w:val="0"/>
      <w:marRight w:val="0"/>
      <w:marTop w:val="0"/>
      <w:marBottom w:val="0"/>
      <w:divBdr>
        <w:top w:val="none" w:sz="0" w:space="0" w:color="auto"/>
        <w:left w:val="none" w:sz="0" w:space="0" w:color="auto"/>
        <w:bottom w:val="none" w:sz="0" w:space="0" w:color="auto"/>
        <w:right w:val="none" w:sz="0" w:space="0" w:color="auto"/>
      </w:divBdr>
    </w:div>
    <w:div w:id="1988196845">
      <w:bodyDiv w:val="1"/>
      <w:marLeft w:val="0"/>
      <w:marRight w:val="0"/>
      <w:marTop w:val="0"/>
      <w:marBottom w:val="0"/>
      <w:divBdr>
        <w:top w:val="none" w:sz="0" w:space="0" w:color="auto"/>
        <w:left w:val="none" w:sz="0" w:space="0" w:color="auto"/>
        <w:bottom w:val="none" w:sz="0" w:space="0" w:color="auto"/>
        <w:right w:val="none" w:sz="0" w:space="0" w:color="auto"/>
      </w:divBdr>
    </w:div>
    <w:div w:id="2016297270">
      <w:bodyDiv w:val="1"/>
      <w:marLeft w:val="0"/>
      <w:marRight w:val="0"/>
      <w:marTop w:val="0"/>
      <w:marBottom w:val="0"/>
      <w:divBdr>
        <w:top w:val="none" w:sz="0" w:space="0" w:color="auto"/>
        <w:left w:val="none" w:sz="0" w:space="0" w:color="auto"/>
        <w:bottom w:val="none" w:sz="0" w:space="0" w:color="auto"/>
        <w:right w:val="none" w:sz="0" w:space="0" w:color="auto"/>
      </w:divBdr>
      <w:divsChild>
        <w:div w:id="138809598">
          <w:marLeft w:val="547"/>
          <w:marRight w:val="0"/>
          <w:marTop w:val="0"/>
          <w:marBottom w:val="0"/>
          <w:divBdr>
            <w:top w:val="none" w:sz="0" w:space="0" w:color="auto"/>
            <w:left w:val="none" w:sz="0" w:space="0" w:color="auto"/>
            <w:bottom w:val="none" w:sz="0" w:space="0" w:color="auto"/>
            <w:right w:val="none" w:sz="0" w:space="0" w:color="auto"/>
          </w:divBdr>
        </w:div>
        <w:div w:id="354574897">
          <w:marLeft w:val="547"/>
          <w:marRight w:val="0"/>
          <w:marTop w:val="0"/>
          <w:marBottom w:val="0"/>
          <w:divBdr>
            <w:top w:val="none" w:sz="0" w:space="0" w:color="auto"/>
            <w:left w:val="none" w:sz="0" w:space="0" w:color="auto"/>
            <w:bottom w:val="none" w:sz="0" w:space="0" w:color="auto"/>
            <w:right w:val="none" w:sz="0" w:space="0" w:color="auto"/>
          </w:divBdr>
        </w:div>
        <w:div w:id="531725156">
          <w:marLeft w:val="547"/>
          <w:marRight w:val="0"/>
          <w:marTop w:val="0"/>
          <w:marBottom w:val="0"/>
          <w:divBdr>
            <w:top w:val="none" w:sz="0" w:space="0" w:color="auto"/>
            <w:left w:val="none" w:sz="0" w:space="0" w:color="auto"/>
            <w:bottom w:val="none" w:sz="0" w:space="0" w:color="auto"/>
            <w:right w:val="none" w:sz="0" w:space="0" w:color="auto"/>
          </w:divBdr>
        </w:div>
        <w:div w:id="569728316">
          <w:marLeft w:val="547"/>
          <w:marRight w:val="0"/>
          <w:marTop w:val="0"/>
          <w:marBottom w:val="0"/>
          <w:divBdr>
            <w:top w:val="none" w:sz="0" w:space="0" w:color="auto"/>
            <w:left w:val="none" w:sz="0" w:space="0" w:color="auto"/>
            <w:bottom w:val="none" w:sz="0" w:space="0" w:color="auto"/>
            <w:right w:val="none" w:sz="0" w:space="0" w:color="auto"/>
          </w:divBdr>
        </w:div>
        <w:div w:id="648825634">
          <w:marLeft w:val="547"/>
          <w:marRight w:val="0"/>
          <w:marTop w:val="0"/>
          <w:marBottom w:val="0"/>
          <w:divBdr>
            <w:top w:val="none" w:sz="0" w:space="0" w:color="auto"/>
            <w:left w:val="none" w:sz="0" w:space="0" w:color="auto"/>
            <w:bottom w:val="none" w:sz="0" w:space="0" w:color="auto"/>
            <w:right w:val="none" w:sz="0" w:space="0" w:color="auto"/>
          </w:divBdr>
        </w:div>
        <w:div w:id="700016936">
          <w:marLeft w:val="547"/>
          <w:marRight w:val="0"/>
          <w:marTop w:val="0"/>
          <w:marBottom w:val="0"/>
          <w:divBdr>
            <w:top w:val="none" w:sz="0" w:space="0" w:color="auto"/>
            <w:left w:val="none" w:sz="0" w:space="0" w:color="auto"/>
            <w:bottom w:val="none" w:sz="0" w:space="0" w:color="auto"/>
            <w:right w:val="none" w:sz="0" w:space="0" w:color="auto"/>
          </w:divBdr>
        </w:div>
        <w:div w:id="732974210">
          <w:marLeft w:val="547"/>
          <w:marRight w:val="0"/>
          <w:marTop w:val="0"/>
          <w:marBottom w:val="0"/>
          <w:divBdr>
            <w:top w:val="none" w:sz="0" w:space="0" w:color="auto"/>
            <w:left w:val="none" w:sz="0" w:space="0" w:color="auto"/>
            <w:bottom w:val="none" w:sz="0" w:space="0" w:color="auto"/>
            <w:right w:val="none" w:sz="0" w:space="0" w:color="auto"/>
          </w:divBdr>
        </w:div>
        <w:div w:id="830176302">
          <w:marLeft w:val="547"/>
          <w:marRight w:val="0"/>
          <w:marTop w:val="0"/>
          <w:marBottom w:val="0"/>
          <w:divBdr>
            <w:top w:val="none" w:sz="0" w:space="0" w:color="auto"/>
            <w:left w:val="none" w:sz="0" w:space="0" w:color="auto"/>
            <w:bottom w:val="none" w:sz="0" w:space="0" w:color="auto"/>
            <w:right w:val="none" w:sz="0" w:space="0" w:color="auto"/>
          </w:divBdr>
        </w:div>
        <w:div w:id="1196578269">
          <w:marLeft w:val="547"/>
          <w:marRight w:val="0"/>
          <w:marTop w:val="0"/>
          <w:marBottom w:val="0"/>
          <w:divBdr>
            <w:top w:val="none" w:sz="0" w:space="0" w:color="auto"/>
            <w:left w:val="none" w:sz="0" w:space="0" w:color="auto"/>
            <w:bottom w:val="none" w:sz="0" w:space="0" w:color="auto"/>
            <w:right w:val="none" w:sz="0" w:space="0" w:color="auto"/>
          </w:divBdr>
        </w:div>
        <w:div w:id="1227763116">
          <w:marLeft w:val="547"/>
          <w:marRight w:val="0"/>
          <w:marTop w:val="0"/>
          <w:marBottom w:val="0"/>
          <w:divBdr>
            <w:top w:val="none" w:sz="0" w:space="0" w:color="auto"/>
            <w:left w:val="none" w:sz="0" w:space="0" w:color="auto"/>
            <w:bottom w:val="none" w:sz="0" w:space="0" w:color="auto"/>
            <w:right w:val="none" w:sz="0" w:space="0" w:color="auto"/>
          </w:divBdr>
        </w:div>
        <w:div w:id="1419330799">
          <w:marLeft w:val="547"/>
          <w:marRight w:val="0"/>
          <w:marTop w:val="0"/>
          <w:marBottom w:val="0"/>
          <w:divBdr>
            <w:top w:val="none" w:sz="0" w:space="0" w:color="auto"/>
            <w:left w:val="none" w:sz="0" w:space="0" w:color="auto"/>
            <w:bottom w:val="none" w:sz="0" w:space="0" w:color="auto"/>
            <w:right w:val="none" w:sz="0" w:space="0" w:color="auto"/>
          </w:divBdr>
        </w:div>
        <w:div w:id="1792549797">
          <w:marLeft w:val="547"/>
          <w:marRight w:val="0"/>
          <w:marTop w:val="0"/>
          <w:marBottom w:val="0"/>
          <w:divBdr>
            <w:top w:val="none" w:sz="0" w:space="0" w:color="auto"/>
            <w:left w:val="none" w:sz="0" w:space="0" w:color="auto"/>
            <w:bottom w:val="none" w:sz="0" w:space="0" w:color="auto"/>
            <w:right w:val="none" w:sz="0" w:space="0" w:color="auto"/>
          </w:divBdr>
        </w:div>
      </w:divsChild>
    </w:div>
    <w:div w:id="2036224310">
      <w:bodyDiv w:val="1"/>
      <w:marLeft w:val="0"/>
      <w:marRight w:val="0"/>
      <w:marTop w:val="0"/>
      <w:marBottom w:val="0"/>
      <w:divBdr>
        <w:top w:val="none" w:sz="0" w:space="0" w:color="auto"/>
        <w:left w:val="none" w:sz="0" w:space="0" w:color="auto"/>
        <w:bottom w:val="none" w:sz="0" w:space="0" w:color="auto"/>
        <w:right w:val="none" w:sz="0" w:space="0" w:color="auto"/>
      </w:divBdr>
    </w:div>
    <w:div w:id="2037730494">
      <w:bodyDiv w:val="1"/>
      <w:marLeft w:val="0"/>
      <w:marRight w:val="0"/>
      <w:marTop w:val="0"/>
      <w:marBottom w:val="0"/>
      <w:divBdr>
        <w:top w:val="none" w:sz="0" w:space="0" w:color="auto"/>
        <w:left w:val="none" w:sz="0" w:space="0" w:color="auto"/>
        <w:bottom w:val="none" w:sz="0" w:space="0" w:color="auto"/>
        <w:right w:val="none" w:sz="0" w:space="0" w:color="auto"/>
      </w:divBdr>
    </w:div>
    <w:div w:id="2057968042">
      <w:bodyDiv w:val="1"/>
      <w:marLeft w:val="0"/>
      <w:marRight w:val="0"/>
      <w:marTop w:val="0"/>
      <w:marBottom w:val="0"/>
      <w:divBdr>
        <w:top w:val="none" w:sz="0" w:space="0" w:color="auto"/>
        <w:left w:val="none" w:sz="0" w:space="0" w:color="auto"/>
        <w:bottom w:val="none" w:sz="0" w:space="0" w:color="auto"/>
        <w:right w:val="none" w:sz="0" w:space="0" w:color="auto"/>
      </w:divBdr>
    </w:div>
    <w:div w:id="2063750860">
      <w:bodyDiv w:val="1"/>
      <w:marLeft w:val="0"/>
      <w:marRight w:val="0"/>
      <w:marTop w:val="0"/>
      <w:marBottom w:val="0"/>
      <w:divBdr>
        <w:top w:val="none" w:sz="0" w:space="0" w:color="auto"/>
        <w:left w:val="none" w:sz="0" w:space="0" w:color="auto"/>
        <w:bottom w:val="none" w:sz="0" w:space="0" w:color="auto"/>
        <w:right w:val="none" w:sz="0" w:space="0" w:color="auto"/>
      </w:divBdr>
    </w:div>
    <w:div w:id="2073459128">
      <w:bodyDiv w:val="1"/>
      <w:marLeft w:val="0"/>
      <w:marRight w:val="0"/>
      <w:marTop w:val="0"/>
      <w:marBottom w:val="0"/>
      <w:divBdr>
        <w:top w:val="none" w:sz="0" w:space="0" w:color="auto"/>
        <w:left w:val="none" w:sz="0" w:space="0" w:color="auto"/>
        <w:bottom w:val="none" w:sz="0" w:space="0" w:color="auto"/>
        <w:right w:val="none" w:sz="0" w:space="0" w:color="auto"/>
      </w:divBdr>
    </w:div>
    <w:div w:id="2075662702">
      <w:bodyDiv w:val="1"/>
      <w:marLeft w:val="0"/>
      <w:marRight w:val="0"/>
      <w:marTop w:val="0"/>
      <w:marBottom w:val="0"/>
      <w:divBdr>
        <w:top w:val="none" w:sz="0" w:space="0" w:color="auto"/>
        <w:left w:val="none" w:sz="0" w:space="0" w:color="auto"/>
        <w:bottom w:val="none" w:sz="0" w:space="0" w:color="auto"/>
        <w:right w:val="none" w:sz="0" w:space="0" w:color="auto"/>
      </w:divBdr>
    </w:div>
    <w:div w:id="2100591617">
      <w:bodyDiv w:val="1"/>
      <w:marLeft w:val="0"/>
      <w:marRight w:val="0"/>
      <w:marTop w:val="0"/>
      <w:marBottom w:val="0"/>
      <w:divBdr>
        <w:top w:val="none" w:sz="0" w:space="0" w:color="auto"/>
        <w:left w:val="none" w:sz="0" w:space="0" w:color="auto"/>
        <w:bottom w:val="none" w:sz="0" w:space="0" w:color="auto"/>
        <w:right w:val="none" w:sz="0" w:space="0" w:color="auto"/>
      </w:divBdr>
    </w:div>
    <w:div w:id="214499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http://web.presidencia.gov.co/asiescolombia/escudocolgar.jpg"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Gr&#225;fico%20en%20Microsoft%20PowerPoint"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giraldo\Downloads\Inversion%2520estimado%2520cierre%25202014%2520meta%25202015.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F:\RENDICI&#211;N%20CUENTAS\PPT\ultimos%20descargados\gr&#225;ficas\Gr&#225;ficas%20de%20tendencia%20presupuestal%202002-2014%20solo%20inversi&#243;n%20xa%20presentaci&#243;n.xls"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oleObject" Target="https://anionline-my.sharepoint.com/personal/orosero_ani_gov_co/Documents/Informe%20Gesti&#243;n%20ANI%202010-2014/Inversion%20estimado%20cierre%202014%20meta%202015.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giraldo\Desktop\PIB%20-%20III14\Resumen%20PIB%20III14.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giraldo\Desktop\PIB%20-%20III14\Resumen%20PIB%20III14.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giraldo\Desktop\PIB%20-%20III14\Resumen%20PIB%20III14.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giraldo\Desktop\PIB%20-%20III14\Presentaci&#243;n%20e%20Informe%20IIOC%202.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agiraldo\Google%20Drive\ANI\Bases%20PND%202015-2018\INVERSION%20PRIVADA%20EN%20INFRAESTRUCTURA%20ANI.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rosero\AppData\Local\Microsoft\Windows\INetCache\Content.Outlook\KXZB1AL0\20150119_Indicadores%20ANI_Diciembre.xls"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https://anionline-my.sharepoint.com/personal/orosero_ani_gov_co/Documents/Informe%20Gesti&#243;n%20ANI%202010-2014/Inversion%20estimado%20cierre%202014%20meta%202015.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oleObject" Target="https://anionline-my.sharepoint.com/personal/orosero_ani_gov_co/Documents/Informe%20Gesti&#243;n%20ANI%202010-2014/Inversion%20estimado%20cierre%202014%20meta%202015.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https://anionline-my.sharepoint.com/personal/orosero_ani_gov_co/Documents/Informe%20Gesti&#243;n%20ANI%202010-2014/Inversion%20estimado%20cierre%202014%20meta%202015.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accent5"/>
            </a:solidFill>
          </c:spPr>
          <c:invertIfNegative val="0"/>
          <c:dPt>
            <c:idx val="8"/>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'[Gráfico en Microsoft PowerPoint]Hoja2'!$B$16:$B$24</c:f>
              <c:strCache>
                <c:ptCount val="9"/>
                <c:pt idx="0">
                  <c:v>España</c:v>
                </c:pt>
                <c:pt idx="1">
                  <c:v>Chile</c:v>
                </c:pt>
                <c:pt idx="2">
                  <c:v>Ecuador</c:v>
                </c:pt>
                <c:pt idx="3">
                  <c:v>Mexico</c:v>
                </c:pt>
                <c:pt idx="4">
                  <c:v>Peru</c:v>
                </c:pt>
                <c:pt idx="5">
                  <c:v>Argentina</c:v>
                </c:pt>
                <c:pt idx="6">
                  <c:v>Brasil</c:v>
                </c:pt>
                <c:pt idx="7">
                  <c:v>Venezuela</c:v>
                </c:pt>
                <c:pt idx="8">
                  <c:v>Colombia</c:v>
                </c:pt>
              </c:strCache>
            </c:strRef>
          </c:cat>
          <c:val>
            <c:numRef>
              <c:f>'[Gráfico en Microsoft PowerPoint]Hoja2'!$D$16:$D$24</c:f>
              <c:numCache>
                <c:formatCode>General</c:formatCode>
                <c:ptCount val="9"/>
                <c:pt idx="0">
                  <c:v>13</c:v>
                </c:pt>
                <c:pt idx="1">
                  <c:v>27</c:v>
                </c:pt>
                <c:pt idx="2">
                  <c:v>50</c:v>
                </c:pt>
                <c:pt idx="3">
                  <c:v>51</c:v>
                </c:pt>
                <c:pt idx="4">
                  <c:v>98</c:v>
                </c:pt>
                <c:pt idx="5">
                  <c:v>103</c:v>
                </c:pt>
                <c:pt idx="6">
                  <c:v>120</c:v>
                </c:pt>
                <c:pt idx="7">
                  <c:v>128</c:v>
                </c:pt>
                <c:pt idx="8">
                  <c:v>130</c:v>
                </c:pt>
              </c:numCache>
            </c:numRef>
          </c:val>
        </c:ser>
        <c:dLbls>
          <c:showLegendKey val="0"/>
          <c:showVal val="0"/>
          <c:showCatName val="0"/>
          <c:showSerName val="0"/>
          <c:showPercent val="0"/>
          <c:showBubbleSize val="0"/>
        </c:dLbls>
        <c:gapWidth val="150"/>
        <c:shape val="box"/>
        <c:axId val="-1163692128"/>
        <c:axId val="-1163687776"/>
        <c:axId val="0"/>
      </c:bar3DChart>
      <c:catAx>
        <c:axId val="-1163692128"/>
        <c:scaling>
          <c:orientation val="minMax"/>
        </c:scaling>
        <c:delete val="0"/>
        <c:axPos val="l"/>
        <c:numFmt formatCode="General" sourceLinked="0"/>
        <c:majorTickMark val="out"/>
        <c:minorTickMark val="none"/>
        <c:tickLblPos val="nextTo"/>
        <c:crossAx val="-1163687776"/>
        <c:crosses val="autoZero"/>
        <c:auto val="1"/>
        <c:lblAlgn val="ctr"/>
        <c:lblOffset val="100"/>
        <c:noMultiLvlLbl val="0"/>
      </c:catAx>
      <c:valAx>
        <c:axId val="-1163687776"/>
        <c:scaling>
          <c:orientation val="minMax"/>
        </c:scaling>
        <c:delete val="1"/>
        <c:axPos val="b"/>
        <c:numFmt formatCode="General" sourceLinked="1"/>
        <c:majorTickMark val="out"/>
        <c:minorTickMark val="none"/>
        <c:tickLblPos val="nextTo"/>
        <c:crossAx val="-1163692128"/>
        <c:crosses val="autoZero"/>
        <c:crossBetween val="between"/>
      </c:valAx>
    </c:plotArea>
    <c:plotVisOnly val="1"/>
    <c:dispBlanksAs val="gap"/>
    <c:showDLblsOverMax val="0"/>
  </c:chart>
  <c:txPr>
    <a:bodyPr/>
    <a:lstStyle/>
    <a:p>
      <a:pPr>
        <a:defRPr sz="800"/>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'[Inversion%20estimado%20cierre%202014%20meta%202015.xlsx]inv 10-14'!$B$26</c:f>
              <c:strCache>
                <c:ptCount val="1"/>
                <c:pt idx="0">
                  <c:v>Kilómetros</c:v>
                </c:pt>
              </c:strCache>
            </c:strRef>
          </c:tx>
          <c:invertIfNegative val="0"/>
          <c:dPt>
            <c:idx val="4"/>
            <c:invertIfNegative val="0"/>
            <c:bubble3D val="0"/>
            <c:spPr>
              <a:solidFill>
                <a:srgbClr val="ED7D31"/>
              </a:solidFill>
            </c:spPr>
            <c:extLst>
              <c:ext xmlns:c16="http://schemas.microsoft.com/office/drawing/2014/chart" uri="{C3380CC4-5D6E-409C-BE32-E72D297353CC}">
                <c16:uniqueId val="{00000001-5F57-40C2-9989-4CA3489317D3}"/>
              </c:ext>
            </c:extLst>
          </c:dPt>
          <c:dLbls>
            <c:spPr>
              <a:noFill/>
              <a:ln>
                <a:noFill/>
              </a:ln>
              <a:effectLst/>
            </c:spPr>
            <c:txPr>
              <a:bodyPr wrap="square" lIns="38100" tIns="19050" rIns="38100" bIns="19050" anchor="ctr">
                <a:spAutoFit/>
              </a:bodyPr>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'[Inversion%20estimado%20cierre%202014%20meta%202015.xlsx]inv 10-14'!$A$27:$A$31</c:f>
              <c:strCache>
                <c:ptCount val="5"/>
                <c:pt idx="0">
                  <c:v>2010</c:v>
                </c:pt>
                <c:pt idx="1">
                  <c:v>2011</c:v>
                </c:pt>
                <c:pt idx="2">
                  <c:v>2012</c:v>
                </c:pt>
                <c:pt idx="3">
                  <c:v>2013</c:v>
                </c:pt>
                <c:pt idx="4">
                  <c:v>2014 3T</c:v>
                </c:pt>
              </c:strCache>
            </c:strRef>
          </c:cat>
          <c:val>
            <c:numRef>
              <c:f>'[Inversion%20estimado%20cierre%202014%20meta%202015.xlsx]inv 10-14'!$B$27:$B$31</c:f>
              <c:numCache>
                <c:formatCode>"$"\ #,##0</c:formatCode>
                <c:ptCount val="5"/>
                <c:pt idx="0">
                  <c:v>231723</c:v>
                </c:pt>
                <c:pt idx="1">
                  <c:v>346552</c:v>
                </c:pt>
                <c:pt idx="2">
                  <c:v>589770</c:v>
                </c:pt>
                <c:pt idx="3">
                  <c:v>618752</c:v>
                </c:pt>
                <c:pt idx="4">
                  <c:v>192000</c:v>
                </c:pt>
              </c:numCache>
            </c:numRef>
          </c:val>
          <c:extLst>
            <c:ext xmlns:c16="http://schemas.microsoft.com/office/drawing/2014/chart" uri="{C3380CC4-5D6E-409C-BE32-E72D297353CC}">
              <c16:uniqueId val="{00000002-5F57-40C2-9989-4CA3489317D3}"/>
            </c:ext>
          </c:extLst>
        </c:ser>
        <c:dLbls>
          <c:dLblPos val="outEnd"/>
          <c:showLegendKey val="0"/>
          <c:showVal val="1"/>
          <c:showCatName val="0"/>
          <c:showSerName val="0"/>
          <c:showPercent val="0"/>
          <c:showBubbleSize val="0"/>
        </c:dLbls>
        <c:gapWidth val="219"/>
        <c:overlap val="-27"/>
        <c:axId val="-1163675264"/>
        <c:axId val="-1163676352"/>
      </c:barChart>
      <c:catAx>
        <c:axId val="-11636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163676352"/>
        <c:crosses val="autoZero"/>
        <c:auto val="1"/>
        <c:lblAlgn val="ctr"/>
        <c:lblOffset val="100"/>
        <c:noMultiLvlLbl val="0"/>
      </c:catAx>
      <c:valAx>
        <c:axId val="-1163676352"/>
        <c:scaling>
          <c:orientation val="minMax"/>
        </c:scaling>
        <c:delete val="1"/>
        <c:axPos val="l"/>
        <c:numFmt formatCode="&quot;$&quot;#,##0" sourceLinked="0"/>
        <c:majorTickMark val="none"/>
        <c:minorTickMark val="none"/>
        <c:tickLblPos val="nextTo"/>
        <c:crossAx val="-116367526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02627309777232"/>
          <c:y val="0.24040860493129801"/>
          <c:w val="0.70789550812734103"/>
          <c:h val="0.63254910767960404"/>
        </c:manualLayout>
      </c:layout>
      <c:areaChart>
        <c:grouping val="standard"/>
        <c:varyColors val="0"/>
        <c:ser>
          <c:idx val="1"/>
          <c:order val="1"/>
          <c:tx>
            <c:strRef>
              <c:f>'TOTAL Inversión Sector'!$A$10</c:f>
              <c:strCache>
                <c:ptCount val="1"/>
                <c:pt idx="0">
                  <c:v>Promedio Apropiación</c:v>
                </c:pt>
              </c:strCache>
            </c:strRef>
          </c:tx>
          <c:cat>
            <c:numRef>
              <c:f>'TOTAL Inversión Sector'!$B$4:$N$4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'TOTAL Inversión Sector'!$B$10:$N$10</c:f>
              <c:numCache>
                <c:formatCode>General</c:formatCode>
                <c:ptCount val="13"/>
              </c:numCache>
            </c:numRef>
          </c:val>
        </c:ser>
        <c:ser>
          <c:idx val="0"/>
          <c:order val="0"/>
          <c:tx>
            <c:strRef>
              <c:f>'TOTAL Inversión Sector'!$A$5</c:f>
              <c:strCache>
                <c:ptCount val="1"/>
                <c:pt idx="0">
                  <c:v>Apropiación</c:v>
                </c:pt>
              </c:strCache>
            </c:strRef>
          </c:tx>
          <c:cat>
            <c:numRef>
              <c:f>'TOTAL Inversión Sector'!$B$4:$N$4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'TOTAL Inversión Sector'!$B$5:$N$5</c:f>
              <c:numCache>
                <c:formatCode>_("$"* #,##0_);_("$"* \(#,##0\);_("$"* "-"??_);_(@_)</c:formatCode>
                <c:ptCount val="13"/>
                <c:pt idx="0">
                  <c:v>1532716.3283829999</c:v>
                </c:pt>
                <c:pt idx="1">
                  <c:v>931959.08160829998</c:v>
                </c:pt>
                <c:pt idx="2">
                  <c:v>1162299.5847180511</c:v>
                </c:pt>
                <c:pt idx="3">
                  <c:v>1470525.5268149201</c:v>
                </c:pt>
                <c:pt idx="4">
                  <c:v>2571260.1709461687</c:v>
                </c:pt>
                <c:pt idx="5">
                  <c:v>2877951.6933669997</c:v>
                </c:pt>
                <c:pt idx="6">
                  <c:v>2331539.1985971997</c:v>
                </c:pt>
                <c:pt idx="7">
                  <c:v>3527298.0252089999</c:v>
                </c:pt>
                <c:pt idx="8">
                  <c:v>3788437.23104</c:v>
                </c:pt>
                <c:pt idx="9">
                  <c:v>4969876.2517010001</c:v>
                </c:pt>
                <c:pt idx="10">
                  <c:v>7689203.1342419991</c:v>
                </c:pt>
                <c:pt idx="11">
                  <c:v>7952770.8500589998</c:v>
                </c:pt>
                <c:pt idx="12">
                  <c:v>7447196.2899119994</c:v>
                </c:pt>
              </c:numCache>
            </c:numRef>
          </c:val>
        </c:ser>
        <c:dLbls>
          <c:showLegendKey val="0"/>
          <c:showVal val="0"/>
          <c:showCatName val="0"/>
          <c:showSerName val="0"/>
          <c:showPercent val="0"/>
          <c:showBubbleSize val="0"/>
        </c:dLbls>
        <c:axId val="-1163674176"/>
        <c:axId val="-1163673632"/>
      </c:areaChart>
      <c:catAx>
        <c:axId val="-1163674176"/>
        <c:scaling>
          <c:orientation val="minMax"/>
        </c:scaling>
        <c:delete val="0"/>
        <c:axPos val="b"/>
        <c:numFmt formatCode="General" sourceLinked="1"/>
        <c:majorTickMark val="out"/>
        <c:minorTickMark val="none"/>
        <c:tickLblPos val="nextTo"/>
        <c:txPr>
          <a:bodyPr rot="0" vert="horz"/>
          <a:lstStyle/>
          <a:p>
            <a:pPr>
              <a:defRPr sz="800">
                <a:latin typeface="+mn-lt"/>
              </a:defRPr>
            </a:pPr>
            <a:endParaRPr lang="es-CO"/>
          </a:p>
        </c:txPr>
        <c:crossAx val="-1163673632"/>
        <c:crosses val="autoZero"/>
        <c:auto val="1"/>
        <c:lblAlgn val="ctr"/>
        <c:lblOffset val="100"/>
        <c:noMultiLvlLbl val="0"/>
      </c:catAx>
      <c:valAx>
        <c:axId val="-1163673632"/>
        <c:scaling>
          <c:orientation val="minMax"/>
        </c:scaling>
        <c:delete val="0"/>
        <c:axPos val="l"/>
        <c:majorGridlines/>
        <c:numFmt formatCode="&quot;$&quot;\ #,##0" sourceLinked="0"/>
        <c:majorTickMark val="out"/>
        <c:minorTickMark val="none"/>
        <c:tickLblPos val="nextTo"/>
        <c:txPr>
          <a:bodyPr rot="0" vert="horz"/>
          <a:lstStyle/>
          <a:p>
            <a:pPr>
              <a:defRPr sz="800"/>
            </a:pPr>
            <a:endParaRPr lang="es-CO"/>
          </a:p>
        </c:txPr>
        <c:crossAx val="-1163674176"/>
        <c:crosses val="autoZero"/>
        <c:crossBetween val="midCat"/>
      </c:valAx>
    </c:plotArea>
    <c:legend>
      <c:legendPos val="b"/>
      <c:legendEntry>
        <c:idx val="0"/>
        <c:delete val="1"/>
      </c:legendEntry>
      <c:layout>
        <c:manualLayout>
          <c:xMode val="edge"/>
          <c:yMode val="edge"/>
          <c:x val="0.32036319513238803"/>
          <c:y val="6.23401547580969E-2"/>
          <c:w val="0.35280632133038681"/>
          <c:h val="9.6404446463630208E-2"/>
        </c:manualLayout>
      </c:layout>
      <c:overlay val="0"/>
      <c:txPr>
        <a:bodyPr/>
        <a:lstStyle/>
        <a:p>
          <a:pPr>
            <a:defRPr sz="900"/>
          </a:pPr>
          <a:endParaRPr lang="es-CO"/>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 10-14'!$B$51</c:f>
              <c:strCache>
                <c:ptCount val="1"/>
                <c:pt idx="0">
                  <c:v>% Obligado</c:v>
                </c:pt>
              </c:strCache>
            </c:strRef>
          </c:tx>
          <c:spPr>
            <a:solidFill>
              <a:schemeClr val="accent1">
                <a:lumMod val="75000"/>
              </a:schemeClr>
            </a:solidFill>
            <a:ln>
              <a:noFill/>
            </a:ln>
            <a:effectLst/>
          </c:spPr>
          <c:invertIfNegative val="0"/>
          <c:dPt>
            <c:idx val="6"/>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 10-14'!$A$52:$A$58</c:f>
              <c:numCache>
                <c:formatCode>General</c:formatCode>
                <c:ptCount val="7"/>
                <c:pt idx="0">
                  <c:v>2008</c:v>
                </c:pt>
                <c:pt idx="1">
                  <c:v>2009</c:v>
                </c:pt>
                <c:pt idx="2">
                  <c:v>2010</c:v>
                </c:pt>
                <c:pt idx="3">
                  <c:v>2011</c:v>
                </c:pt>
                <c:pt idx="4">
                  <c:v>2012</c:v>
                </c:pt>
                <c:pt idx="5">
                  <c:v>2013</c:v>
                </c:pt>
                <c:pt idx="6">
                  <c:v>2014</c:v>
                </c:pt>
              </c:numCache>
            </c:numRef>
          </c:cat>
          <c:val>
            <c:numRef>
              <c:f>'inv 10-14'!$B$52:$B$58</c:f>
              <c:numCache>
                <c:formatCode>0.0%</c:formatCode>
                <c:ptCount val="7"/>
                <c:pt idx="0">
                  <c:v>0.96099999999999997</c:v>
                </c:pt>
                <c:pt idx="1">
                  <c:v>0.85799999999999998</c:v>
                </c:pt>
                <c:pt idx="2">
                  <c:v>0.81</c:v>
                </c:pt>
                <c:pt idx="3">
                  <c:v>0.98899999999999999</c:v>
                </c:pt>
                <c:pt idx="4">
                  <c:v>0.94099999999999995</c:v>
                </c:pt>
                <c:pt idx="5">
                  <c:v>0.97599999999999998</c:v>
                </c:pt>
                <c:pt idx="6">
                  <c:v>0.95199999999999996</c:v>
                </c:pt>
              </c:numCache>
            </c:numRef>
          </c:val>
        </c:ser>
        <c:dLbls>
          <c:showLegendKey val="0"/>
          <c:showVal val="1"/>
          <c:showCatName val="0"/>
          <c:showSerName val="0"/>
          <c:showPercent val="0"/>
          <c:showBubbleSize val="0"/>
        </c:dLbls>
        <c:gapWidth val="219"/>
        <c:axId val="-1163672000"/>
        <c:axId val="-1163670912"/>
      </c:barChart>
      <c:catAx>
        <c:axId val="-116367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163670912"/>
        <c:crosses val="autoZero"/>
        <c:auto val="1"/>
        <c:lblAlgn val="ctr"/>
        <c:lblOffset val="100"/>
        <c:noMultiLvlLbl val="0"/>
      </c:catAx>
      <c:valAx>
        <c:axId val="-1163670912"/>
        <c:scaling>
          <c:orientation val="minMax"/>
        </c:scaling>
        <c:delete val="1"/>
        <c:axPos val="l"/>
        <c:numFmt formatCode="0.0%" sourceLinked="1"/>
        <c:majorTickMark val="none"/>
        <c:minorTickMark val="none"/>
        <c:tickLblPos val="nextTo"/>
        <c:crossAx val="-116367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Demanda!$M$23</c:f>
              <c:strCache>
                <c:ptCount val="1"/>
                <c:pt idx="0">
                  <c:v>2013/2012 Enero -Sep</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Demanda!$K$24:$K$26</c:f>
              <c:strCache>
                <c:ptCount val="3"/>
                <c:pt idx="0">
                  <c:v>Edificaciones y Construcciones</c:v>
                </c:pt>
                <c:pt idx="1">
                  <c:v>Obras Civiles</c:v>
                </c:pt>
                <c:pt idx="2">
                  <c:v>Total Sector Constructivo</c:v>
                </c:pt>
              </c:strCache>
            </c:strRef>
          </c:cat>
          <c:val>
            <c:numRef>
              <c:f>Demanda!$M$24:$M$26</c:f>
              <c:numCache>
                <c:formatCode>#,#00%</c:formatCode>
                <c:ptCount val="3"/>
                <c:pt idx="0">
                  <c:v>0.16</c:v>
                </c:pt>
                <c:pt idx="1">
                  <c:v>0.105</c:v>
                </c:pt>
                <c:pt idx="2">
                  <c:v>0.125</c:v>
                </c:pt>
              </c:numCache>
            </c:numRef>
          </c:val>
        </c:ser>
        <c:ser>
          <c:idx val="0"/>
          <c:order val="1"/>
          <c:tx>
            <c:strRef>
              <c:f>Demanda!$L$23</c:f>
              <c:strCache>
                <c:ptCount val="1"/>
                <c:pt idx="0">
                  <c:v>2014/2013 Enero - Sep</c:v>
                </c:pt>
              </c:strCache>
            </c:strRef>
          </c:tx>
          <c:spPr>
            <a:solidFill>
              <a:schemeClr val="accent1"/>
            </a:solidFill>
            <a:ln>
              <a:noFill/>
            </a:ln>
            <a:effectLst/>
          </c:spPr>
          <c:invertIfNegative val="0"/>
          <c:dLbls>
            <c:dLbl>
              <c:idx val="2"/>
              <c:layout>
                <c:manualLayout>
                  <c:x val="1.152737752161369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Demanda!$K$24:$K$26</c:f>
              <c:strCache>
                <c:ptCount val="3"/>
                <c:pt idx="0">
                  <c:v>Edificaciones y Construcciones</c:v>
                </c:pt>
                <c:pt idx="1">
                  <c:v>Obras Civiles</c:v>
                </c:pt>
                <c:pt idx="2">
                  <c:v>Total Sector Constructivo</c:v>
                </c:pt>
              </c:strCache>
            </c:strRef>
          </c:cat>
          <c:val>
            <c:numRef>
              <c:f>Demanda!$L$24:$L$26</c:f>
              <c:numCache>
                <c:formatCode>#,#00%</c:formatCode>
                <c:ptCount val="3"/>
                <c:pt idx="0">
                  <c:v>7.6999999999999999E-2</c:v>
                </c:pt>
                <c:pt idx="1">
                  <c:v>0.184</c:v>
                </c:pt>
                <c:pt idx="2">
                  <c:v>0.13700000000000001</c:v>
                </c:pt>
              </c:numCache>
            </c:numRef>
          </c:val>
        </c:ser>
        <c:dLbls>
          <c:showLegendKey val="0"/>
          <c:showVal val="0"/>
          <c:showCatName val="0"/>
          <c:showSerName val="0"/>
          <c:showPercent val="0"/>
          <c:showBubbleSize val="0"/>
        </c:dLbls>
        <c:gapWidth val="182"/>
        <c:axId val="-929380288"/>
        <c:axId val="-929374848"/>
      </c:barChart>
      <c:catAx>
        <c:axId val="-9293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29374848"/>
        <c:crosses val="autoZero"/>
        <c:auto val="1"/>
        <c:lblAlgn val="ctr"/>
        <c:lblOffset val="100"/>
        <c:noMultiLvlLbl val="0"/>
      </c:catAx>
      <c:valAx>
        <c:axId val="-929374848"/>
        <c:scaling>
          <c:orientation val="minMax"/>
          <c:max val="0.2"/>
        </c:scaling>
        <c:delete val="1"/>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Variacion Porcentual</a:t>
                </a:r>
                <a:r>
                  <a:rPr lang="es-MX" sz="800" baseline="0"/>
                  <a:t> </a:t>
                </a:r>
                <a:endParaRPr lang="es-MX"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title>
        <c:numFmt formatCode="#,#00%" sourceLinked="1"/>
        <c:majorTickMark val="out"/>
        <c:minorTickMark val="none"/>
        <c:tickLblPos val="nextTo"/>
        <c:crossAx val="-929380288"/>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46994588639381E-2"/>
          <c:y val="0.18998999564516322"/>
          <c:w val="0.91450228443666759"/>
          <c:h val="0.58303266145785826"/>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'Formacion Bruta de Capital Sec'!$V$4:$V$8</c:f>
              <c:strCache>
                <c:ptCount val="5"/>
                <c:pt idx="0">
                  <c:v>2010</c:v>
                </c:pt>
                <c:pt idx="1">
                  <c:v>2011</c:v>
                </c:pt>
                <c:pt idx="2">
                  <c:v>2012</c:v>
                </c:pt>
                <c:pt idx="3">
                  <c:v>2013</c:v>
                </c:pt>
                <c:pt idx="4">
                  <c:v>2014 3T</c:v>
                </c:pt>
              </c:strCache>
            </c:strRef>
          </c:cat>
          <c:val>
            <c:numRef>
              <c:f>'Formacion Bruta de Capital Sec'!$W$4:$W$7</c:f>
            </c:numRef>
          </c:val>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'Formacion Bruta de Capital Sec'!$V$4:$V$8</c:f>
              <c:strCache>
                <c:ptCount val="5"/>
                <c:pt idx="0">
                  <c:v>2010</c:v>
                </c:pt>
                <c:pt idx="1">
                  <c:v>2011</c:v>
                </c:pt>
                <c:pt idx="2">
                  <c:v>2012</c:v>
                </c:pt>
                <c:pt idx="3">
                  <c:v>2013</c:v>
                </c:pt>
                <c:pt idx="4">
                  <c:v>2014 3T</c:v>
                </c:pt>
              </c:strCache>
            </c:strRef>
          </c:cat>
          <c:val>
            <c:numRef>
              <c:f>'Formacion Bruta de Capital Sec'!$X$4:$X$7</c:f>
            </c:numRef>
          </c:val>
        </c:ser>
        <c:ser>
          <c:idx val="2"/>
          <c:order val="2"/>
          <c:tx>
            <c:strRef>
              <c:f>'Formacion Bruta de Capital Sec'!$Y$3</c:f>
              <c:strCache>
                <c:ptCount val="1"/>
                <c:pt idx="0">
                  <c:v>Obras Civiles</c:v>
                </c:pt>
              </c:strCache>
            </c:strRef>
          </c:tx>
          <c:spPr>
            <a:solidFill>
              <a:schemeClr val="accent4"/>
            </a:solidFill>
            <a:ln>
              <a:noFill/>
            </a:ln>
            <a:effectLst/>
          </c:spPr>
          <c:invertIfNegative val="0"/>
          <c:dPt>
            <c:idx val="3"/>
            <c:invertIfNegative val="0"/>
            <c:bubble3D val="0"/>
            <c:spPr>
              <a:solidFill>
                <a:schemeClr val="accent4"/>
              </a:solidFill>
              <a:ln>
                <a:noFill/>
              </a:ln>
              <a:effectLst/>
            </c:spPr>
          </c:dPt>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'Formacion Bruta de Capital Sec'!$V$4:$V$8</c:f>
              <c:strCache>
                <c:ptCount val="5"/>
                <c:pt idx="0">
                  <c:v>2010</c:v>
                </c:pt>
                <c:pt idx="1">
                  <c:v>2011</c:v>
                </c:pt>
                <c:pt idx="2">
                  <c:v>2012</c:v>
                </c:pt>
                <c:pt idx="3">
                  <c:v>2013</c:v>
                </c:pt>
                <c:pt idx="4">
                  <c:v>2014 3T</c:v>
                </c:pt>
              </c:strCache>
            </c:strRef>
          </c:cat>
          <c:val>
            <c:numRef>
              <c:f>'Formacion Bruta de Capital Sec'!$Y$4:$Y$8</c:f>
              <c:numCache>
                <c:formatCode>_-"$"* #.##0_-;\-"$"* #.##0_-;_-"$"* "-"??_-;_-@_-</c:formatCode>
                <c:ptCount val="5"/>
                <c:pt idx="0">
                  <c:v>29304</c:v>
                </c:pt>
                <c:pt idx="1">
                  <c:v>34677</c:v>
                </c:pt>
                <c:pt idx="2">
                  <c:v>36498</c:v>
                </c:pt>
                <c:pt idx="3">
                  <c:v>40859</c:v>
                </c:pt>
                <c:pt idx="4">
                  <c:v>36309</c:v>
                </c:pt>
              </c:numCache>
            </c:numRef>
          </c:val>
        </c:ser>
        <c:ser>
          <c:idx val="3"/>
          <c:order val="3"/>
          <c:tx>
            <c:strRef>
              <c:f>'Formacion Bruta de Capital Sec'!$Z$3</c:f>
              <c:strCache>
                <c:ptCount val="1"/>
                <c:pt idx="0">
                  <c:v>Edificaciones</c:v>
                </c:pt>
              </c:strCache>
            </c:strRef>
          </c:tx>
          <c:spPr>
            <a:solidFill>
              <a:schemeClr val="accent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'Formacion Bruta de Capital Sec'!$V$4:$V$8</c:f>
              <c:strCache>
                <c:ptCount val="5"/>
                <c:pt idx="0">
                  <c:v>2010</c:v>
                </c:pt>
                <c:pt idx="1">
                  <c:v>2011</c:v>
                </c:pt>
                <c:pt idx="2">
                  <c:v>2012</c:v>
                </c:pt>
                <c:pt idx="3">
                  <c:v>2013</c:v>
                </c:pt>
                <c:pt idx="4">
                  <c:v>2014 3T</c:v>
                </c:pt>
              </c:strCache>
            </c:strRef>
          </c:cat>
          <c:val>
            <c:numRef>
              <c:f>'Formacion Bruta de Capital Sec'!$Z$4:$Z$8</c:f>
              <c:numCache>
                <c:formatCode>_-"$"* #.##0_-;\-"$"* #.##0_-;_-"$"* "-"??_-;_-@_-</c:formatCode>
                <c:ptCount val="5"/>
                <c:pt idx="0">
                  <c:v>26669</c:v>
                </c:pt>
                <c:pt idx="1">
                  <c:v>28057</c:v>
                </c:pt>
                <c:pt idx="2">
                  <c:v>29499</c:v>
                </c:pt>
                <c:pt idx="3">
                  <c:v>33053</c:v>
                </c:pt>
                <c:pt idx="4">
                  <c:v>27265</c:v>
                </c:pt>
              </c:numCache>
            </c:numRef>
          </c:val>
        </c:ser>
        <c:dLbls>
          <c:dLblPos val="ctr"/>
          <c:showLegendKey val="0"/>
          <c:showVal val="1"/>
          <c:showCatName val="0"/>
          <c:showSerName val="0"/>
          <c:showPercent val="0"/>
          <c:showBubbleSize val="0"/>
        </c:dLbls>
        <c:gapWidth val="219"/>
        <c:overlap val="100"/>
        <c:axId val="-929383008"/>
        <c:axId val="-929384640"/>
      </c:barChart>
      <c:catAx>
        <c:axId val="-92938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929384640"/>
        <c:crosses val="autoZero"/>
        <c:auto val="1"/>
        <c:lblAlgn val="ctr"/>
        <c:lblOffset val="100"/>
        <c:noMultiLvlLbl val="0"/>
      </c:catAx>
      <c:valAx>
        <c:axId val="-92938464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 miles</a:t>
                </a:r>
                <a:r>
                  <a:rPr lang="es-MX" baseline="0"/>
                  <a:t> de millones de pesos</a:t>
                </a:r>
                <a:endParaRPr lang="es-MX"/>
              </a:p>
            </c:rich>
          </c:tx>
          <c:layout>
            <c:manualLayout>
              <c:xMode val="edge"/>
              <c:yMode val="edge"/>
              <c:x val="2.4747091798710347E-2"/>
              <c:y val="0.33374999999999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_-&quot;$&quot;* #.##0_-;\-&quot;$&quot;* #.##0_-;_-&quot;$&quot;* &quot;-&quot;??_-;_-@_-" sourceLinked="1"/>
        <c:majorTickMark val="out"/>
        <c:minorTickMark val="none"/>
        <c:tickLblPos val="nextTo"/>
        <c:crossAx val="-929383008"/>
        <c:crosses val="autoZero"/>
        <c:crossBetween val="between"/>
      </c:valAx>
      <c:spPr>
        <a:noFill/>
        <a:ln>
          <a:noFill/>
        </a:ln>
        <a:effectLst/>
      </c:spPr>
    </c:plotArea>
    <c:legend>
      <c:legendPos val="r"/>
      <c:layout>
        <c:manualLayout>
          <c:xMode val="edge"/>
          <c:yMode val="edge"/>
          <c:x val="0.19887479342859921"/>
          <c:y val="2.4650026854751261E-2"/>
          <c:w val="0.59742150286769713"/>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Pt>
            <c:idx val="0"/>
            <c:invertIfNegative val="0"/>
            <c:bubble3D val="0"/>
            <c:spPr>
              <a:solidFill>
                <a:srgbClr val="FF0000"/>
              </a:solidFill>
              <a:ln>
                <a:noFill/>
              </a:ln>
              <a:effectLst/>
            </c:spPr>
          </c:dPt>
          <c:dPt>
            <c:idx val="5"/>
            <c:invertIfNegative val="0"/>
            <c:bubble3D val="0"/>
            <c:spPr>
              <a:solidFill>
                <a:schemeClr val="accent2"/>
              </a:solidFill>
              <a:ln>
                <a:no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Demanda!$B$23:$H$23</c:f>
              <c:strCache>
                <c:ptCount val="7"/>
                <c:pt idx="0">
                  <c:v>Total FBKF</c:v>
                </c:pt>
                <c:pt idx="1">
                  <c:v>Agropecuario y Otros</c:v>
                </c:pt>
                <c:pt idx="2">
                  <c:v>Maquinaria y equipo </c:v>
                </c:pt>
                <c:pt idx="3">
                  <c:v>Equipo de transporte</c:v>
                </c:pt>
                <c:pt idx="4">
                  <c:v>Construcción y edificaciones</c:v>
                </c:pt>
                <c:pt idx="5">
                  <c:v>Obras civiles</c:v>
                </c:pt>
                <c:pt idx="6">
                  <c:v>Servicios</c:v>
                </c:pt>
              </c:strCache>
            </c:strRef>
          </c:cat>
          <c:val>
            <c:numRef>
              <c:f>Demanda!$B$24:$H$24</c:f>
              <c:numCache>
                <c:formatCode>#,#00%</c:formatCode>
                <c:ptCount val="7"/>
                <c:pt idx="0">
                  <c:v>0.12997185648776799</c:v>
                </c:pt>
                <c:pt idx="1">
                  <c:v>0.12243667068757499</c:v>
                </c:pt>
                <c:pt idx="2">
                  <c:v>0.10127919258303</c:v>
                </c:pt>
                <c:pt idx="3">
                  <c:v>0.12630913687251699</c:v>
                </c:pt>
                <c:pt idx="4">
                  <c:v>8.3664546899841E-2</c:v>
                </c:pt>
                <c:pt idx="5">
                  <c:v>0.180243141334027</c:v>
                </c:pt>
                <c:pt idx="6">
                  <c:v>5.22999369880277E-2</c:v>
                </c:pt>
              </c:numCache>
            </c:numRef>
          </c:val>
        </c:ser>
        <c:dLbls>
          <c:dLblPos val="outEnd"/>
          <c:showLegendKey val="0"/>
          <c:showVal val="1"/>
          <c:showCatName val="0"/>
          <c:showSerName val="0"/>
          <c:showPercent val="0"/>
          <c:showBubbleSize val="0"/>
        </c:dLbls>
        <c:gapWidth val="219"/>
        <c:overlap val="-27"/>
        <c:axId val="-929383552"/>
        <c:axId val="-929381376"/>
      </c:barChart>
      <c:catAx>
        <c:axId val="-9293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CO"/>
          </a:p>
        </c:txPr>
        <c:crossAx val="-929381376"/>
        <c:crosses val="autoZero"/>
        <c:auto val="1"/>
        <c:lblAlgn val="ctr"/>
        <c:lblOffset val="100"/>
        <c:noMultiLvlLbl val="0"/>
      </c:catAx>
      <c:valAx>
        <c:axId val="-929381376"/>
        <c:scaling>
          <c:orientation val="minMax"/>
        </c:scaling>
        <c:delete val="1"/>
        <c:axPos val="l"/>
        <c:numFmt formatCode="#,#00%" sourceLinked="1"/>
        <c:majorTickMark val="none"/>
        <c:minorTickMark val="none"/>
        <c:tickLblPos val="nextTo"/>
        <c:crossAx val="-92938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s-MX" sz="1300"/>
              <a:t>Indicador de Inversión en Obras</a:t>
            </a:r>
            <a:r>
              <a:rPr lang="es-MX" sz="1300" baseline="0"/>
              <a:t> Civiles (Contribuciones)</a:t>
            </a:r>
            <a:endParaRPr lang="es-MX"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'IIOC Años'!$F$12</c:f>
              <c:strCache>
                <c:ptCount val="1"/>
                <c:pt idx="0">
                  <c:v>2011</c:v>
                </c:pt>
              </c:strCache>
            </c:strRef>
          </c:tx>
          <c:spPr>
            <a:solidFill>
              <a:schemeClr val="accent6"/>
            </a:solidFill>
            <a:ln>
              <a:noFill/>
            </a:ln>
            <a:effectLst/>
          </c:spPr>
          <c:invertIfNegative val="0"/>
          <c:cat>
            <c:strRef>
              <c:f>'IIOC Años'!$E$13:$E$18</c:f>
              <c:strCache>
                <c:ptCount val="6"/>
                <c:pt idx="0">
                  <c:v>IIOC</c:v>
                </c:pt>
                <c:pt idx="1">
                  <c:v>Grupo 1 Carreteras</c:v>
                </c:pt>
                <c:pt idx="2">
                  <c:v>Grupo 2 Vías Férreas  y Pistas de Aterrizaje</c:v>
                </c:pt>
                <c:pt idx="3">
                  <c:v>Grupo 3 Puertos y Acueductos</c:v>
                </c:pt>
                <c:pt idx="4">
                  <c:v>Grupo 4 Mineria</c:v>
                </c:pt>
                <c:pt idx="5">
                  <c:v>Grupo 5 Otras Obras de Ing</c:v>
                </c:pt>
              </c:strCache>
            </c:strRef>
          </c:cat>
          <c:val>
            <c:numRef>
              <c:f>'IIOC Años'!$F$13:$F$18</c:f>
              <c:numCache>
                <c:formatCode>#,#00%</c:formatCode>
                <c:ptCount val="6"/>
                <c:pt idx="0">
                  <c:v>3.9572757449423346E-2</c:v>
                </c:pt>
                <c:pt idx="1">
                  <c:v>1.2637315952927209E-2</c:v>
                </c:pt>
                <c:pt idx="2">
                  <c:v>-6.2664379059344218E-3</c:v>
                </c:pt>
                <c:pt idx="3">
                  <c:v>3.0185533440792202E-2</c:v>
                </c:pt>
                <c:pt idx="4">
                  <c:v>-3.3581089792102593E-2</c:v>
                </c:pt>
                <c:pt idx="5">
                  <c:v>3.6597435753741109E-2</c:v>
                </c:pt>
              </c:numCache>
            </c:numRef>
          </c:val>
        </c:ser>
        <c:ser>
          <c:idx val="1"/>
          <c:order val="1"/>
          <c:tx>
            <c:strRef>
              <c:f>'IIOC Años'!$G$12</c:f>
              <c:strCache>
                <c:ptCount val="1"/>
                <c:pt idx="0">
                  <c:v>2012</c:v>
                </c:pt>
              </c:strCache>
            </c:strRef>
          </c:tx>
          <c:spPr>
            <a:solidFill>
              <a:schemeClr val="accent5"/>
            </a:solidFill>
            <a:ln>
              <a:noFill/>
            </a:ln>
            <a:effectLst/>
          </c:spPr>
          <c:invertIfNegative val="0"/>
          <c:cat>
            <c:strRef>
              <c:f>'IIOC Años'!$E$13:$E$18</c:f>
              <c:strCache>
                <c:ptCount val="6"/>
                <c:pt idx="0">
                  <c:v>IIOC</c:v>
                </c:pt>
                <c:pt idx="1">
                  <c:v>Grupo 1 Carreteras</c:v>
                </c:pt>
                <c:pt idx="2">
                  <c:v>Grupo 2 Vías Férreas  y Pistas de Aterrizaje</c:v>
                </c:pt>
                <c:pt idx="3">
                  <c:v>Grupo 3 Puertos y Acueductos</c:v>
                </c:pt>
                <c:pt idx="4">
                  <c:v>Grupo 4 Mineria</c:v>
                </c:pt>
                <c:pt idx="5">
                  <c:v>Grupo 5 Otras Obras de Ing</c:v>
                </c:pt>
              </c:strCache>
            </c:strRef>
          </c:cat>
          <c:val>
            <c:numRef>
              <c:f>'IIOC Años'!$G$13:$G$18</c:f>
              <c:numCache>
                <c:formatCode>#,#00%</c:formatCode>
                <c:ptCount val="6"/>
                <c:pt idx="0">
                  <c:v>8.3715627358486019E-2</c:v>
                </c:pt>
                <c:pt idx="1">
                  <c:v>5.421429338005599E-2</c:v>
                </c:pt>
                <c:pt idx="2">
                  <c:v>-4.3976672982736133E-3</c:v>
                </c:pt>
                <c:pt idx="3">
                  <c:v>-2.018352431828237E-3</c:v>
                </c:pt>
                <c:pt idx="4">
                  <c:v>6.5746604620527957E-3</c:v>
                </c:pt>
                <c:pt idx="5">
                  <c:v>2.934269324647933E-2</c:v>
                </c:pt>
              </c:numCache>
            </c:numRef>
          </c:val>
        </c:ser>
        <c:ser>
          <c:idx val="2"/>
          <c:order val="2"/>
          <c:tx>
            <c:strRef>
              <c:f>'IIOC Años'!$H$12</c:f>
              <c:strCache>
                <c:ptCount val="1"/>
                <c:pt idx="0">
                  <c:v>2013</c:v>
                </c:pt>
              </c:strCache>
            </c:strRef>
          </c:tx>
          <c:spPr>
            <a:solidFill>
              <a:schemeClr val="accent4"/>
            </a:solidFill>
            <a:ln>
              <a:noFill/>
            </a:ln>
            <a:effectLst/>
          </c:spPr>
          <c:invertIfNegative val="0"/>
          <c:cat>
            <c:strRef>
              <c:f>'IIOC Años'!$E$13:$E$18</c:f>
              <c:strCache>
                <c:ptCount val="6"/>
                <c:pt idx="0">
                  <c:v>IIOC</c:v>
                </c:pt>
                <c:pt idx="1">
                  <c:v>Grupo 1 Carreteras</c:v>
                </c:pt>
                <c:pt idx="2">
                  <c:v>Grupo 2 Vías Férreas  y Pistas de Aterrizaje</c:v>
                </c:pt>
                <c:pt idx="3">
                  <c:v>Grupo 3 Puertos y Acueductos</c:v>
                </c:pt>
                <c:pt idx="4">
                  <c:v>Grupo 4 Mineria</c:v>
                </c:pt>
                <c:pt idx="5">
                  <c:v>Grupo 5 Otras Obras de Ing</c:v>
                </c:pt>
              </c:strCache>
            </c:strRef>
          </c:cat>
          <c:val>
            <c:numRef>
              <c:f>'IIOC Años'!$H$13:$H$18</c:f>
              <c:numCache>
                <c:formatCode>#,#00%</c:formatCode>
                <c:ptCount val="6"/>
                <c:pt idx="0">
                  <c:v>0.10222165998156353</c:v>
                </c:pt>
                <c:pt idx="1">
                  <c:v>5.5632798613485725E-2</c:v>
                </c:pt>
                <c:pt idx="2">
                  <c:v>-1.0559354543577691E-4</c:v>
                </c:pt>
                <c:pt idx="3">
                  <c:v>5.3151910561355147E-2</c:v>
                </c:pt>
                <c:pt idx="4">
                  <c:v>4.0000000000000001E-3</c:v>
                </c:pt>
                <c:pt idx="5">
                  <c:v>-1.0784992999383675E-2</c:v>
                </c:pt>
              </c:numCache>
            </c:numRef>
          </c:val>
        </c:ser>
        <c:ser>
          <c:idx val="3"/>
          <c:order val="3"/>
          <c:tx>
            <c:strRef>
              <c:f>'IIOC Años'!$I$12</c:f>
              <c:strCache>
                <c:ptCount val="1"/>
                <c:pt idx="0">
                  <c:v>2014</c:v>
                </c:pt>
              </c:strCache>
            </c:strRef>
          </c:tx>
          <c:spPr>
            <a:solidFill>
              <a:schemeClr val="accent2"/>
            </a:solidFill>
            <a:ln>
              <a:noFill/>
            </a:ln>
            <a:effectLst/>
          </c:spPr>
          <c:invertIfNegative val="0"/>
          <c:cat>
            <c:strRef>
              <c:f>'IIOC Años'!$E$13:$E$18</c:f>
              <c:strCache>
                <c:ptCount val="6"/>
                <c:pt idx="0">
                  <c:v>IIOC</c:v>
                </c:pt>
                <c:pt idx="1">
                  <c:v>Grupo 1 Carreteras</c:v>
                </c:pt>
                <c:pt idx="2">
                  <c:v>Grupo 2 Vías Férreas  y Pistas de Aterrizaje</c:v>
                </c:pt>
                <c:pt idx="3">
                  <c:v>Grupo 3 Puertos y Acueductos</c:v>
                </c:pt>
                <c:pt idx="4">
                  <c:v>Grupo 4 Mineria</c:v>
                </c:pt>
                <c:pt idx="5">
                  <c:v>Grupo 5 Otras Obras de Ing</c:v>
                </c:pt>
              </c:strCache>
            </c:strRef>
          </c:cat>
          <c:val>
            <c:numRef>
              <c:f>'IIOC Años'!$I$13:$I$18</c:f>
              <c:numCache>
                <c:formatCode>#,#00%</c:formatCode>
                <c:ptCount val="6"/>
                <c:pt idx="0">
                  <c:v>0.16400000000000001</c:v>
                </c:pt>
                <c:pt idx="1">
                  <c:v>0.26600000000000001</c:v>
                </c:pt>
                <c:pt idx="2">
                  <c:v>-0.04</c:v>
                </c:pt>
                <c:pt idx="3">
                  <c:v>7.6999999999999999E-2</c:v>
                </c:pt>
                <c:pt idx="4">
                  <c:v>2.7E-2</c:v>
                </c:pt>
                <c:pt idx="5">
                  <c:v>0.47199999999999998</c:v>
                </c:pt>
              </c:numCache>
            </c:numRef>
          </c:val>
        </c:ser>
        <c:dLbls>
          <c:showLegendKey val="0"/>
          <c:showVal val="0"/>
          <c:showCatName val="0"/>
          <c:showSerName val="0"/>
          <c:showPercent val="0"/>
          <c:showBubbleSize val="0"/>
        </c:dLbls>
        <c:gapWidth val="219"/>
        <c:overlap val="-27"/>
        <c:axId val="-929377568"/>
        <c:axId val="-929389536"/>
      </c:barChart>
      <c:catAx>
        <c:axId val="-9293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29389536"/>
        <c:crosses val="autoZero"/>
        <c:auto val="1"/>
        <c:lblAlgn val="ctr"/>
        <c:lblOffset val="100"/>
        <c:noMultiLvlLbl val="0"/>
      </c:catAx>
      <c:valAx>
        <c:axId val="-929389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937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11684746303267E-2"/>
          <c:y val="0.20678452929232902"/>
          <c:w val="0.80419844071215241"/>
          <c:h val="0.57600554647650171"/>
        </c:manualLayout>
      </c:layout>
      <c:areaChart>
        <c:grouping val="stacked"/>
        <c:varyColors val="0"/>
        <c:ser>
          <c:idx val="3"/>
          <c:order val="0"/>
          <c:tx>
            <c:strRef>
              <c:f>DC!$B$36</c:f>
              <c:strCache>
                <c:ptCount val="1"/>
                <c:pt idx="0">
                  <c:v>Km Construidos</c:v>
                </c:pt>
              </c:strCache>
            </c:strRef>
          </c:tx>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Lit>
              <c:ptCount val="12"/>
              <c:pt idx="0">
                <c:v>9</c:v>
              </c:pt>
              <c:pt idx="1">
                <c:v>10</c:v>
              </c:pt>
              <c:pt idx="2">
                <c:v>11</c:v>
              </c:pt>
              <c:pt idx="3">
                <c:v>12</c:v>
              </c:pt>
              <c:pt idx="4">
                <c:v>13</c:v>
              </c:pt>
              <c:pt idx="5">
                <c:v>14</c:v>
              </c:pt>
              <c:pt idx="6">
                <c:v>15</c:v>
              </c:pt>
              <c:pt idx="7">
                <c:v>16</c:v>
              </c:pt>
              <c:pt idx="8">
                <c:v>17</c:v>
              </c:pt>
              <c:pt idx="9">
                <c:v>18</c:v>
              </c:pt>
              <c:pt idx="10">
                <c:v>19</c:v>
              </c:pt>
              <c:pt idx="11">
                <c:v>20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DC!$C$36:$V$36</c15:sqref>
                  </c15:fullRef>
                </c:ext>
              </c:extLst>
              <c:f>DC!$K$36:$V$36</c:f>
              <c:numCache>
                <c:formatCode>0</c:formatCode>
                <c:ptCount val="12"/>
                <c:pt idx="0">
                  <c:v>743</c:v>
                </c:pt>
                <c:pt idx="1">
                  <c:v>844.40699999999993</c:v>
                </c:pt>
                <c:pt idx="2">
                  <c:v>1042.3219999999999</c:v>
                </c:pt>
                <c:pt idx="3">
                  <c:v>1342.5419999999999</c:v>
                </c:pt>
                <c:pt idx="4">
                  <c:v>1642.5419999999999</c:v>
                </c:pt>
                <c:pt idx="5">
                  <c:v>1942.5419999999999</c:v>
                </c:pt>
                <c:pt idx="6">
                  <c:v>2242.5420000000004</c:v>
                </c:pt>
                <c:pt idx="7">
                  <c:v>2542.5420000000004</c:v>
                </c:pt>
                <c:pt idx="8">
                  <c:v>2842.5420000000004</c:v>
                </c:pt>
                <c:pt idx="9">
                  <c:v>3142.5420000000004</c:v>
                </c:pt>
                <c:pt idx="10">
                  <c:v>3442.5420000000004</c:v>
                </c:pt>
                <c:pt idx="11">
                  <c:v>3742.5420000000004</c:v>
                </c:pt>
              </c:numCache>
            </c:numRef>
          </c:val>
        </c:ser>
        <c:dLbls>
          <c:showLegendKey val="0"/>
          <c:showVal val="0"/>
          <c:showCatName val="0"/>
          <c:showSerName val="0"/>
          <c:showPercent val="0"/>
          <c:showBubbleSize val="0"/>
        </c:dLbls>
        <c:axId val="-929373216"/>
        <c:axId val="-929373760"/>
        <c:extLst>
          <c:ext xmlns:c15="http://schemas.microsoft.com/office/drawing/2012/chart" uri="{02D57815-91ED-43cb-92C2-25804820EDAC}">
            <c15:filteredAreaSeries>
              <c15:ser>
                <c:idx val="2"/>
                <c:order val="1"/>
                <c:tx>
                  <c:strRef>
                    <c:extLst>
                      <c:ext uri="{02D57815-91ED-43cb-92C2-25804820EDAC}">
                        <c15:formulaRef>
                          <c15:sqref>DC!$B$35</c15:sqref>
                        </c15:formulaRef>
                      </c:ext>
                    </c:extLst>
                    <c:strCache>
                      <c:ptCount val="1"/>
                      <c:pt idx="0">
                        <c:v>Km DC en Servicio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val>
                  <c:numRef>
                    <c:extLst>
                      <c:ext uri="{02D57815-91ED-43cb-92C2-25804820EDAC}">
                        <c15:fullRef>
                          <c15:sqref>DC!$C$35:$V$35</c15:sqref>
                        </c15:fullRef>
                        <c15:formulaRef>
                          <c15:sqref>DC!$K$35:$V$35</c15:sqref>
                        </c15:formulaRef>
                      </c:ext>
                    </c:extLst>
                    <c:numCache>
                      <c:formatCode>0</c:formatCode>
                      <c:ptCount val="12"/>
                      <c:pt idx="0">
                        <c:v>645</c:v>
                      </c:pt>
                      <c:pt idx="1">
                        <c:v>743</c:v>
                      </c:pt>
                      <c:pt idx="2">
                        <c:v>844.40699999999993</c:v>
                      </c:pt>
                      <c:pt idx="3">
                        <c:v>1042.3219999999999</c:v>
                      </c:pt>
                      <c:pt idx="4">
                        <c:v>1342.5419999999999</c:v>
                      </c:pt>
                      <c:pt idx="5">
                        <c:v>1642.5419999999999</c:v>
                      </c:pt>
                      <c:pt idx="6">
                        <c:v>1942.5419999999999</c:v>
                      </c:pt>
                      <c:pt idx="7">
                        <c:v>2242.5419999999999</c:v>
                      </c:pt>
                      <c:pt idx="8">
                        <c:v>2542.5419999999995</c:v>
                      </c:pt>
                      <c:pt idx="9">
                        <c:v>2842.5419999999995</c:v>
                      </c:pt>
                      <c:pt idx="10">
                        <c:v>3142.5419999999995</c:v>
                      </c:pt>
                      <c:pt idx="11">
                        <c:v>3442.5419999999995</c:v>
                      </c:pt>
                    </c:numCache>
                  </c:numRef>
                </c:val>
              </c15:ser>
            </c15:filteredAreaSeries>
          </c:ext>
        </c:extLst>
      </c:areaChart>
      <c:barChart>
        <c:barDir val="col"/>
        <c:grouping val="stacked"/>
        <c:varyColors val="0"/>
        <c:ser>
          <c:idx val="0"/>
          <c:order val="2"/>
          <c:tx>
            <c:strRef>
              <c:f>DC!$B$33</c:f>
              <c:strCache>
                <c:ptCount val="1"/>
                <c:pt idx="0">
                  <c:v>Concesiones Existentes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DC!$C$32:$V$32</c15:sqref>
                  </c15:fullRef>
                </c:ext>
              </c:extLst>
              <c:f>DC!$K$32:$V$32</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extLst>
                <c:ext xmlns:c15="http://schemas.microsoft.com/office/drawing/2012/chart" uri="{02D57815-91ED-43cb-92C2-25804820EDAC}">
                  <c15:fullRef>
                    <c15:sqref>DC!$C$33:$V$33</c15:sqref>
                  </c15:fullRef>
                </c:ext>
              </c:extLst>
              <c:f>DC!$K$33:$V$33</c:f>
              <c:numCache>
                <c:formatCode>0</c:formatCode>
                <c:ptCount val="12"/>
                <c:pt idx="0">
                  <c:v>98</c:v>
                </c:pt>
                <c:pt idx="1">
                  <c:v>101.40699999999998</c:v>
                </c:pt>
                <c:pt idx="2">
                  <c:v>197.91500000000002</c:v>
                </c:pt>
                <c:pt idx="3">
                  <c:v>300.22000000000003</c:v>
                </c:pt>
                <c:pt idx="4">
                  <c:v>300</c:v>
                </c:pt>
                <c:pt idx="5">
                  <c:v>300</c:v>
                </c:pt>
                <c:pt idx="6">
                  <c:v>224.97666666666669</c:v>
                </c:pt>
                <c:pt idx="7">
                  <c:v>224.97666666666669</c:v>
                </c:pt>
                <c:pt idx="8">
                  <c:v>0</c:v>
                </c:pt>
                <c:pt idx="9">
                  <c:v>0</c:v>
                </c:pt>
                <c:pt idx="10">
                  <c:v>0</c:v>
                </c:pt>
                <c:pt idx="11">
                  <c:v>0</c:v>
                </c:pt>
              </c:numCache>
            </c:numRef>
          </c:val>
        </c:ser>
        <c:ser>
          <c:idx val="1"/>
          <c:order val="3"/>
          <c:tx>
            <c:strRef>
              <c:f>DC!$B$34</c:f>
              <c:strCache>
                <c:ptCount val="1"/>
                <c:pt idx="0">
                  <c:v>4° Genereación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DC!$C$32:$V$32</c15:sqref>
                  </c15:fullRef>
                </c:ext>
              </c:extLst>
              <c:f>DC!$K$32:$V$32</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extLst>
                <c:ext xmlns:c15="http://schemas.microsoft.com/office/drawing/2012/chart" uri="{02D57815-91ED-43cb-92C2-25804820EDAC}">
                  <c15:fullRef>
                    <c15:sqref>DC!$C$34:$V$34</c15:sqref>
                  </c15:fullRef>
                </c:ext>
              </c:extLst>
              <c:f>DC!$K$34:$V$34</c:f>
              <c:numCache>
                <c:formatCode>0</c:formatCode>
                <c:ptCount val="12"/>
                <c:pt idx="0">
                  <c:v>0</c:v>
                </c:pt>
                <c:pt idx="1">
                  <c:v>0</c:v>
                </c:pt>
                <c:pt idx="2">
                  <c:v>0</c:v>
                </c:pt>
                <c:pt idx="3">
                  <c:v>0</c:v>
                </c:pt>
                <c:pt idx="4">
                  <c:v>0</c:v>
                </c:pt>
                <c:pt idx="5">
                  <c:v>0</c:v>
                </c:pt>
                <c:pt idx="6">
                  <c:v>75.023333333333312</c:v>
                </c:pt>
                <c:pt idx="7">
                  <c:v>75.023333333333312</c:v>
                </c:pt>
                <c:pt idx="8">
                  <c:v>300</c:v>
                </c:pt>
                <c:pt idx="9">
                  <c:v>300</c:v>
                </c:pt>
                <c:pt idx="10">
                  <c:v>300</c:v>
                </c:pt>
                <c:pt idx="11">
                  <c:v>300</c:v>
                </c:pt>
              </c:numCache>
            </c:numRef>
          </c:val>
        </c:ser>
        <c:dLbls>
          <c:showLegendKey val="0"/>
          <c:showVal val="0"/>
          <c:showCatName val="0"/>
          <c:showSerName val="0"/>
          <c:showPercent val="0"/>
          <c:showBubbleSize val="0"/>
        </c:dLbls>
        <c:gapWidth val="150"/>
        <c:overlap val="100"/>
        <c:axId val="-929375392"/>
        <c:axId val="-929386816"/>
      </c:barChart>
      <c:catAx>
        <c:axId val="-929375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9386816"/>
        <c:crosses val="autoZero"/>
        <c:auto val="1"/>
        <c:lblAlgn val="ctr"/>
        <c:lblOffset val="100"/>
        <c:noMultiLvlLbl val="0"/>
      </c:catAx>
      <c:valAx>
        <c:axId val="-92938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MX" sz="600"/>
                  <a:t>Kilometros  </a:t>
                </a:r>
                <a:r>
                  <a:rPr lang="es-MX" sz="600" b="0" i="0" u="none" strike="noStrike" baseline="0">
                    <a:effectLst/>
                  </a:rPr>
                  <a:t>DC</a:t>
                </a:r>
                <a:r>
                  <a:rPr lang="es-MX" sz="600"/>
                  <a:t> </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29375392"/>
        <c:crosses val="autoZero"/>
        <c:crossBetween val="between"/>
      </c:valAx>
      <c:valAx>
        <c:axId val="-92937376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Kilometros Construccion</a:t>
                </a:r>
                <a:r>
                  <a:rPr lang="es-MX" baseline="0"/>
                  <a:t> Acumulada DC</a:t>
                </a:r>
                <a:endParaRPr lang="es-MX"/>
              </a:p>
            </c:rich>
          </c:tx>
          <c:layout>
            <c:manualLayout>
              <c:xMode val="edge"/>
              <c:yMode val="edge"/>
              <c:x val="0.96100901180455889"/>
              <c:y val="0.110466795424156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29373216"/>
        <c:crosses val="max"/>
        <c:crossBetween val="between"/>
      </c:valAx>
      <c:catAx>
        <c:axId val="-929373216"/>
        <c:scaling>
          <c:orientation val="minMax"/>
        </c:scaling>
        <c:delete val="1"/>
        <c:axPos val="b"/>
        <c:majorTickMark val="out"/>
        <c:minorTickMark val="none"/>
        <c:tickLblPos val="nextTo"/>
        <c:crossAx val="-929373760"/>
        <c:crosses val="autoZero"/>
        <c:auto val="1"/>
        <c:lblAlgn val="ctr"/>
        <c:lblOffset val="100"/>
        <c:noMultiLvlLbl val="0"/>
      </c:catAx>
      <c:spPr>
        <a:noFill/>
        <a:ln>
          <a:noFill/>
        </a:ln>
        <a:effectLst/>
      </c:spPr>
    </c:plotArea>
    <c:legend>
      <c:legendPos val="r"/>
      <c:layout>
        <c:manualLayout>
          <c:xMode val="edge"/>
          <c:yMode val="edge"/>
          <c:x val="8.4639298455311374E-2"/>
          <c:y val="4.1920007454228796E-2"/>
          <c:w val="0.86464310131500399"/>
          <c:h val="0.10477850360886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55934818492517"/>
          <c:y val="6.3638993346832512E-2"/>
          <c:w val="0.84444065181507488"/>
          <c:h val="0.52397258557895765"/>
        </c:manualLayout>
      </c:layout>
      <c:barChart>
        <c:barDir val="col"/>
        <c:grouping val="stacked"/>
        <c:varyColors val="0"/>
        <c:ser>
          <c:idx val="0"/>
          <c:order val="0"/>
          <c:tx>
            <c:strRef>
              <c:f>'Serie Historica DNP'!$A$2</c:f>
              <c:strCache>
                <c:ptCount val="1"/>
                <c:pt idx="0">
                  <c:v>Carreteras</c:v>
                </c:pt>
              </c:strCache>
            </c:strRef>
          </c:tx>
          <c:spPr>
            <a:solidFill>
              <a:schemeClr val="accent1"/>
            </a:solidFill>
            <a:ln>
              <a:noFill/>
            </a:ln>
            <a:effectLst/>
          </c:spPr>
          <c:invertIfNegative val="0"/>
          <c:cat>
            <c:numRef>
              <c:f>'Serie Historica DNP'!$B$1:$I$1</c:f>
              <c:numCache>
                <c:formatCode>General</c:formatCode>
                <c:ptCount val="4"/>
                <c:pt idx="0">
                  <c:v>2015</c:v>
                </c:pt>
                <c:pt idx="1">
                  <c:v>2016</c:v>
                </c:pt>
                <c:pt idx="2">
                  <c:v>2017</c:v>
                </c:pt>
                <c:pt idx="3">
                  <c:v>2018</c:v>
                </c:pt>
              </c:numCache>
              <c:extLst/>
            </c:numRef>
          </c:cat>
          <c:val>
            <c:numRef>
              <c:f>'Serie Historica DNP'!$B$2:$I$2</c:f>
              <c:numCache>
                <c:formatCode>_("$"\ * #.##0_);_("$"\ * \(#.##0\);_("$"\ * "-"??_);_(@_)</c:formatCode>
                <c:ptCount val="4"/>
                <c:pt idx="0">
                  <c:v>3500</c:v>
                </c:pt>
                <c:pt idx="1">
                  <c:v>5000</c:v>
                </c:pt>
                <c:pt idx="2">
                  <c:v>7000</c:v>
                </c:pt>
                <c:pt idx="3">
                  <c:v>8500</c:v>
                </c:pt>
              </c:numCache>
              <c:extLst/>
            </c:numRef>
          </c:val>
        </c:ser>
        <c:ser>
          <c:idx val="1"/>
          <c:order val="1"/>
          <c:tx>
            <c:strRef>
              <c:f>'Serie Historica DNP'!$A$3</c:f>
              <c:strCache>
                <c:ptCount val="1"/>
                <c:pt idx="0">
                  <c:v>Aeropuertos</c:v>
                </c:pt>
              </c:strCache>
            </c:strRef>
          </c:tx>
          <c:spPr>
            <a:solidFill>
              <a:schemeClr val="accent2"/>
            </a:solidFill>
            <a:ln>
              <a:noFill/>
            </a:ln>
            <a:effectLst/>
          </c:spPr>
          <c:invertIfNegative val="0"/>
          <c:cat>
            <c:numRef>
              <c:f>'Serie Historica DNP'!$B$1:$I$1</c:f>
              <c:numCache>
                <c:formatCode>General</c:formatCode>
                <c:ptCount val="4"/>
                <c:pt idx="0">
                  <c:v>2015</c:v>
                </c:pt>
                <c:pt idx="1">
                  <c:v>2016</c:v>
                </c:pt>
                <c:pt idx="2">
                  <c:v>2017</c:v>
                </c:pt>
                <c:pt idx="3">
                  <c:v>2018</c:v>
                </c:pt>
              </c:numCache>
              <c:extLst/>
            </c:numRef>
          </c:cat>
          <c:val>
            <c:numRef>
              <c:f>'Serie Historica DNP'!$B$3:$I$3</c:f>
              <c:numCache>
                <c:formatCode>_("$"\ * #.##0_);_("$"\ * \(#.##0\);_("$"\ * "-"??_);_(@_)</c:formatCode>
                <c:ptCount val="4"/>
                <c:pt idx="0">
                  <c:v>500</c:v>
                </c:pt>
                <c:pt idx="1">
                  <c:v>500</c:v>
                </c:pt>
                <c:pt idx="2">
                  <c:v>500</c:v>
                </c:pt>
                <c:pt idx="3">
                  <c:v>500</c:v>
                </c:pt>
              </c:numCache>
              <c:extLst/>
            </c:numRef>
          </c:val>
        </c:ser>
        <c:ser>
          <c:idx val="2"/>
          <c:order val="2"/>
          <c:tx>
            <c:strRef>
              <c:f>'Serie Historica DNP'!$A$4</c:f>
              <c:strCache>
                <c:ptCount val="1"/>
                <c:pt idx="0">
                  <c:v>Puertos</c:v>
                </c:pt>
              </c:strCache>
            </c:strRef>
          </c:tx>
          <c:spPr>
            <a:solidFill>
              <a:schemeClr val="accent3"/>
            </a:solidFill>
            <a:ln>
              <a:noFill/>
            </a:ln>
            <a:effectLst/>
          </c:spPr>
          <c:invertIfNegative val="0"/>
          <c:cat>
            <c:numRef>
              <c:f>'Serie Historica DNP'!$B$1:$I$1</c:f>
              <c:numCache>
                <c:formatCode>General</c:formatCode>
                <c:ptCount val="4"/>
                <c:pt idx="0">
                  <c:v>2015</c:v>
                </c:pt>
                <c:pt idx="1">
                  <c:v>2016</c:v>
                </c:pt>
                <c:pt idx="2">
                  <c:v>2017</c:v>
                </c:pt>
                <c:pt idx="3">
                  <c:v>2018</c:v>
                </c:pt>
              </c:numCache>
              <c:extLst/>
            </c:numRef>
          </c:cat>
          <c:val>
            <c:numRef>
              <c:f>'Serie Historica DNP'!$B$4:$I$4</c:f>
              <c:numCache>
                <c:formatCode>_("$"\ * #.##0_);_("$"\ * \(#.##0\);_("$"\ * "-"??_);_(@_)</c:formatCode>
                <c:ptCount val="4"/>
                <c:pt idx="0">
                  <c:v>450</c:v>
                </c:pt>
                <c:pt idx="1">
                  <c:v>440</c:v>
                </c:pt>
                <c:pt idx="2">
                  <c:v>410</c:v>
                </c:pt>
                <c:pt idx="3">
                  <c:v>700</c:v>
                </c:pt>
              </c:numCache>
              <c:extLst/>
            </c:numRef>
          </c:val>
        </c:ser>
        <c:ser>
          <c:idx val="3"/>
          <c:order val="3"/>
          <c:tx>
            <c:strRef>
              <c:f>'Serie Historica DNP'!$A$5</c:f>
              <c:strCache>
                <c:ptCount val="1"/>
                <c:pt idx="0">
                  <c:v>Ferrocarriles</c:v>
                </c:pt>
              </c:strCache>
            </c:strRef>
          </c:tx>
          <c:spPr>
            <a:solidFill>
              <a:schemeClr val="accent4"/>
            </a:solidFill>
            <a:ln>
              <a:noFill/>
            </a:ln>
            <a:effectLst/>
          </c:spPr>
          <c:invertIfNegative val="0"/>
          <c:cat>
            <c:numRef>
              <c:f>'Serie Historica DNP'!$B$1:$I$1</c:f>
              <c:numCache>
                <c:formatCode>General</c:formatCode>
                <c:ptCount val="4"/>
                <c:pt idx="0">
                  <c:v>2015</c:v>
                </c:pt>
                <c:pt idx="1">
                  <c:v>2016</c:v>
                </c:pt>
                <c:pt idx="2">
                  <c:v>2017</c:v>
                </c:pt>
                <c:pt idx="3">
                  <c:v>2018</c:v>
                </c:pt>
              </c:numCache>
              <c:extLst/>
            </c:numRef>
          </c:cat>
          <c:val>
            <c:numRef>
              <c:f>'Serie Historica DNP'!$B$5:$I$5</c:f>
              <c:numCache>
                <c:formatCode>_("$"\ * #.##0_);_("$"\ * \(#.##0\);_("$"\ * "-"??_);_(@_)</c:formatCode>
                <c:ptCount val="4"/>
                <c:pt idx="0">
                  <c:v>100</c:v>
                </c:pt>
                <c:pt idx="1">
                  <c:v>140</c:v>
                </c:pt>
                <c:pt idx="2">
                  <c:v>230</c:v>
                </c:pt>
                <c:pt idx="3">
                  <c:v>300</c:v>
                </c:pt>
              </c:numCache>
              <c:extLst/>
            </c:numRef>
          </c:val>
        </c:ser>
        <c:dLbls>
          <c:showLegendKey val="0"/>
          <c:showVal val="0"/>
          <c:showCatName val="0"/>
          <c:showSerName val="0"/>
          <c:showPercent val="0"/>
          <c:showBubbleSize val="0"/>
        </c:dLbls>
        <c:gapWidth val="150"/>
        <c:overlap val="100"/>
        <c:axId val="-929372128"/>
        <c:axId val="-929379744"/>
      </c:barChart>
      <c:catAx>
        <c:axId val="-929372128"/>
        <c:scaling>
          <c:orientation val="minMax"/>
        </c:scaling>
        <c:delete val="1"/>
        <c:axPos val="b"/>
        <c:numFmt formatCode="General" sourceLinked="1"/>
        <c:majorTickMark val="none"/>
        <c:minorTickMark val="none"/>
        <c:tickLblPos val="nextTo"/>
        <c:crossAx val="-929379744"/>
        <c:crosses val="autoZero"/>
        <c:auto val="1"/>
        <c:lblAlgn val="ctr"/>
        <c:lblOffset val="100"/>
        <c:noMultiLvlLbl val="0"/>
      </c:catAx>
      <c:valAx>
        <c:axId val="-92937974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Miles de Millones de Pesos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quot;$&quot;\ * #.##0_);_(&quot;$&quot;\ * \(#.##0\);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29372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spPr>
            <a:solidFill>
              <a:schemeClr val="accent5"/>
            </a:solidFill>
          </c:spPr>
          <c:invertIfNegative val="0"/>
          <c:dPt>
            <c:idx val="8"/>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37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Hoja2!$B$31:$B$39</c:f>
              <c:strCache>
                <c:ptCount val="9"/>
                <c:pt idx="0">
                  <c:v>España</c:v>
                </c:pt>
                <c:pt idx="1">
                  <c:v>Ecuador</c:v>
                </c:pt>
                <c:pt idx="2">
                  <c:v>Mexico</c:v>
                </c:pt>
                <c:pt idx="3">
                  <c:v>Chile</c:v>
                </c:pt>
                <c:pt idx="4">
                  <c:v>Peru</c:v>
                </c:pt>
                <c:pt idx="5">
                  <c:v>Brasil</c:v>
                </c:pt>
                <c:pt idx="6">
                  <c:v>Argentina</c:v>
                </c:pt>
                <c:pt idx="7">
                  <c:v>Venezuela</c:v>
                </c:pt>
                <c:pt idx="8">
                  <c:v>Colombia</c:v>
                </c:pt>
              </c:strCache>
            </c:strRef>
          </c:cat>
          <c:val>
            <c:numRef>
              <c:f>Hoja2!$D$31:$D$39</c:f>
              <c:numCache>
                <c:formatCode>General</c:formatCode>
                <c:ptCount val="9"/>
                <c:pt idx="0">
                  <c:v>5</c:v>
                </c:pt>
                <c:pt idx="1">
                  <c:v>57</c:v>
                </c:pt>
                <c:pt idx="2">
                  <c:v>60</c:v>
                </c:pt>
                <c:pt idx="3">
                  <c:v>65</c:v>
                </c:pt>
                <c:pt idx="4">
                  <c:v>102</c:v>
                </c:pt>
                <c:pt idx="5">
                  <c:v>103</c:v>
                </c:pt>
                <c:pt idx="6">
                  <c:v>106</c:v>
                </c:pt>
                <c:pt idx="7">
                  <c:v>109</c:v>
                </c:pt>
                <c:pt idx="8">
                  <c:v>113</c:v>
                </c:pt>
              </c:numCache>
            </c:numRef>
          </c:val>
        </c:ser>
        <c:dLbls>
          <c:showLegendKey val="0"/>
          <c:showVal val="0"/>
          <c:showCatName val="0"/>
          <c:showSerName val="0"/>
          <c:showPercent val="0"/>
          <c:showBubbleSize val="0"/>
        </c:dLbls>
        <c:gapWidth val="150"/>
        <c:shape val="box"/>
        <c:axId val="-1163686688"/>
        <c:axId val="-1163689408"/>
        <c:axId val="0"/>
      </c:bar3DChart>
      <c:catAx>
        <c:axId val="-1163686688"/>
        <c:scaling>
          <c:orientation val="minMax"/>
        </c:scaling>
        <c:delete val="0"/>
        <c:axPos val="l"/>
        <c:numFmt formatCode="General" sourceLinked="0"/>
        <c:majorTickMark val="out"/>
        <c:minorTickMark val="none"/>
        <c:tickLblPos val="nextTo"/>
        <c:crossAx val="-1163689408"/>
        <c:crosses val="autoZero"/>
        <c:auto val="1"/>
        <c:lblAlgn val="ctr"/>
        <c:lblOffset val="100"/>
        <c:noMultiLvlLbl val="0"/>
      </c:catAx>
      <c:valAx>
        <c:axId val="-1163689408"/>
        <c:scaling>
          <c:orientation val="minMax"/>
        </c:scaling>
        <c:delete val="1"/>
        <c:axPos val="b"/>
        <c:numFmt formatCode="General" sourceLinked="1"/>
        <c:majorTickMark val="out"/>
        <c:minorTickMark val="none"/>
        <c:tickLblPos val="nextTo"/>
        <c:crossAx val="-1163686688"/>
        <c:crosses val="autoZero"/>
        <c:crossBetween val="between"/>
      </c:valAx>
      <c:spPr>
        <a:noFill/>
        <a:ln w="25373">
          <a:noFill/>
        </a:ln>
      </c:spPr>
    </c:plotArea>
    <c:plotVisOnly val="1"/>
    <c:dispBlanksAs val="gap"/>
    <c:showDLblsOverMax val="0"/>
  </c:chart>
  <c:txPr>
    <a:bodyPr/>
    <a:lstStyle/>
    <a:p>
      <a:pPr>
        <a:defRPr sz="799"/>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spPr>
            <a:solidFill>
              <a:schemeClr val="accent5"/>
            </a:solidFill>
          </c:spPr>
          <c:invertIfNegative val="0"/>
          <c:dPt>
            <c:idx val="5"/>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Hoja2!$B$58:$B$66</c:f>
              <c:strCache>
                <c:ptCount val="9"/>
                <c:pt idx="0">
                  <c:v>España</c:v>
                </c:pt>
                <c:pt idx="1">
                  <c:v>Chile</c:v>
                </c:pt>
                <c:pt idx="2">
                  <c:v>Mexico</c:v>
                </c:pt>
                <c:pt idx="3">
                  <c:v>Ecuador</c:v>
                </c:pt>
                <c:pt idx="4">
                  <c:v>Peru</c:v>
                </c:pt>
                <c:pt idx="5">
                  <c:v>Colombia</c:v>
                </c:pt>
                <c:pt idx="6">
                  <c:v>Argentina</c:v>
                </c:pt>
                <c:pt idx="7">
                  <c:v>Brasil</c:v>
                </c:pt>
                <c:pt idx="8">
                  <c:v>Venezuela</c:v>
                </c:pt>
              </c:strCache>
            </c:strRef>
          </c:cat>
          <c:val>
            <c:numRef>
              <c:f>Hoja2!$D$58:$D$66</c:f>
              <c:numCache>
                <c:formatCode>General</c:formatCode>
                <c:ptCount val="9"/>
                <c:pt idx="0">
                  <c:v>12</c:v>
                </c:pt>
                <c:pt idx="1">
                  <c:v>46</c:v>
                </c:pt>
                <c:pt idx="2">
                  <c:v>64</c:v>
                </c:pt>
                <c:pt idx="3">
                  <c:v>70</c:v>
                </c:pt>
                <c:pt idx="4">
                  <c:v>85</c:v>
                </c:pt>
                <c:pt idx="5">
                  <c:v>96</c:v>
                </c:pt>
                <c:pt idx="6">
                  <c:v>111</c:v>
                </c:pt>
                <c:pt idx="7">
                  <c:v>123</c:v>
                </c:pt>
                <c:pt idx="8">
                  <c:v>135</c:v>
                </c:pt>
              </c:numCache>
            </c:numRef>
          </c:val>
        </c:ser>
        <c:dLbls>
          <c:showLegendKey val="0"/>
          <c:showVal val="0"/>
          <c:showCatName val="0"/>
          <c:showSerName val="0"/>
          <c:showPercent val="0"/>
          <c:showBubbleSize val="0"/>
        </c:dLbls>
        <c:gapWidth val="150"/>
        <c:shape val="box"/>
        <c:axId val="-1163695392"/>
        <c:axId val="-1163702464"/>
        <c:axId val="0"/>
      </c:bar3DChart>
      <c:catAx>
        <c:axId val="-1163695392"/>
        <c:scaling>
          <c:orientation val="minMax"/>
        </c:scaling>
        <c:delete val="0"/>
        <c:axPos val="l"/>
        <c:numFmt formatCode="General" sourceLinked="0"/>
        <c:majorTickMark val="out"/>
        <c:minorTickMark val="none"/>
        <c:tickLblPos val="nextTo"/>
        <c:crossAx val="-1163702464"/>
        <c:crosses val="autoZero"/>
        <c:auto val="1"/>
        <c:lblAlgn val="ctr"/>
        <c:lblOffset val="100"/>
        <c:noMultiLvlLbl val="0"/>
      </c:catAx>
      <c:valAx>
        <c:axId val="-1163702464"/>
        <c:scaling>
          <c:orientation val="minMax"/>
        </c:scaling>
        <c:delete val="1"/>
        <c:axPos val="b"/>
        <c:numFmt formatCode="General" sourceLinked="1"/>
        <c:majorTickMark val="out"/>
        <c:minorTickMark val="none"/>
        <c:tickLblPos val="nextTo"/>
        <c:crossAx val="-1163695392"/>
        <c:crosses val="autoZero"/>
        <c:crossBetween val="between"/>
      </c:valAx>
      <c:spPr>
        <a:noFill/>
        <a:ln w="25377">
          <a:noFill/>
        </a:ln>
      </c:spPr>
    </c:plotArea>
    <c:plotVisOnly val="1"/>
    <c:dispBlanksAs val="gap"/>
    <c:showDLblsOverMax val="0"/>
  </c:chart>
  <c:txPr>
    <a:bodyPr/>
    <a:lstStyle/>
    <a:p>
      <a:pPr>
        <a:defRPr sz="799"/>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spPr>
            <a:solidFill>
              <a:schemeClr val="accent5"/>
            </a:solidFill>
          </c:spPr>
          <c:invertIfNegative val="0"/>
          <c:dPt>
            <c:idx val="6"/>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Hoja2!$B$44:$B$52</c:f>
              <c:strCache>
                <c:ptCount val="9"/>
                <c:pt idx="0">
                  <c:v>España</c:v>
                </c:pt>
                <c:pt idx="1">
                  <c:v>Chile</c:v>
                </c:pt>
                <c:pt idx="2">
                  <c:v>Mexico</c:v>
                </c:pt>
                <c:pt idx="3">
                  <c:v>Ecuador</c:v>
                </c:pt>
                <c:pt idx="4">
                  <c:v>Peru</c:v>
                </c:pt>
                <c:pt idx="5">
                  <c:v>Argentina</c:v>
                </c:pt>
                <c:pt idx="6">
                  <c:v>Colombia</c:v>
                </c:pt>
                <c:pt idx="7">
                  <c:v>Brasil</c:v>
                </c:pt>
                <c:pt idx="8">
                  <c:v>Venezuela</c:v>
                </c:pt>
              </c:strCache>
            </c:strRef>
          </c:cat>
          <c:val>
            <c:numRef>
              <c:f>Hoja2!$D$44:$D$52</c:f>
              <c:numCache>
                <c:formatCode>General</c:formatCode>
                <c:ptCount val="9"/>
                <c:pt idx="0">
                  <c:v>12</c:v>
                </c:pt>
                <c:pt idx="1">
                  <c:v>32</c:v>
                </c:pt>
                <c:pt idx="2">
                  <c:v>62</c:v>
                </c:pt>
                <c:pt idx="3">
                  <c:v>69</c:v>
                </c:pt>
                <c:pt idx="4">
                  <c:v>93</c:v>
                </c:pt>
                <c:pt idx="5">
                  <c:v>99</c:v>
                </c:pt>
                <c:pt idx="6">
                  <c:v>110</c:v>
                </c:pt>
                <c:pt idx="7">
                  <c:v>131</c:v>
                </c:pt>
                <c:pt idx="8">
                  <c:v>141</c:v>
                </c:pt>
              </c:numCache>
            </c:numRef>
          </c:val>
        </c:ser>
        <c:dLbls>
          <c:showLegendKey val="0"/>
          <c:showVal val="0"/>
          <c:showCatName val="0"/>
          <c:showSerName val="0"/>
          <c:showPercent val="0"/>
          <c:showBubbleSize val="0"/>
        </c:dLbls>
        <c:gapWidth val="150"/>
        <c:shape val="box"/>
        <c:axId val="-1163685056"/>
        <c:axId val="-1163685600"/>
        <c:axId val="0"/>
      </c:bar3DChart>
      <c:catAx>
        <c:axId val="-1163685056"/>
        <c:scaling>
          <c:orientation val="minMax"/>
        </c:scaling>
        <c:delete val="0"/>
        <c:axPos val="l"/>
        <c:numFmt formatCode="General" sourceLinked="0"/>
        <c:majorTickMark val="out"/>
        <c:minorTickMark val="none"/>
        <c:tickLblPos val="nextTo"/>
        <c:crossAx val="-1163685600"/>
        <c:crosses val="autoZero"/>
        <c:auto val="1"/>
        <c:lblAlgn val="ctr"/>
        <c:lblOffset val="100"/>
        <c:noMultiLvlLbl val="0"/>
      </c:catAx>
      <c:valAx>
        <c:axId val="-1163685600"/>
        <c:scaling>
          <c:orientation val="minMax"/>
        </c:scaling>
        <c:delete val="1"/>
        <c:axPos val="b"/>
        <c:numFmt formatCode="General" sourceLinked="1"/>
        <c:majorTickMark val="out"/>
        <c:minorTickMark val="none"/>
        <c:tickLblPos val="nextTo"/>
        <c:crossAx val="-1163685056"/>
        <c:crosses val="autoZero"/>
        <c:crossBetween val="between"/>
      </c:valAx>
      <c:spPr>
        <a:noFill/>
        <a:ln w="25377">
          <a:noFill/>
        </a:ln>
      </c:spPr>
    </c:plotArea>
    <c:plotVisOnly val="1"/>
    <c:dispBlanksAs val="gap"/>
    <c:showDLblsOverMax val="0"/>
  </c:chart>
  <c:txPr>
    <a:bodyPr/>
    <a:lstStyle/>
    <a:p>
      <a:pPr>
        <a:defRPr sz="799"/>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454042341578607E-2"/>
          <c:y val="5.2708768817386079E-2"/>
          <c:w val="0.92860591346424015"/>
          <c:h val="0.84050971274460862"/>
        </c:manualLayout>
      </c:layout>
      <c:barChart>
        <c:barDir val="col"/>
        <c:grouping val="clustered"/>
        <c:varyColors val="0"/>
        <c:ser>
          <c:idx val="0"/>
          <c:order val="0"/>
          <c:tx>
            <c:strRef>
              <c:f>Hoja1!$D$14</c:f>
              <c:strCache>
                <c:ptCount val="1"/>
                <c:pt idx="0">
                  <c:v>Chile</c:v>
                </c:pt>
              </c:strCache>
            </c:strRef>
          </c:tx>
          <c:spPr>
            <a:solidFill>
              <a:schemeClr val="accent6"/>
            </a:solidFill>
            <a:ln>
              <a:noFill/>
            </a:ln>
            <a:effectLst/>
          </c:spPr>
          <c:invertIfNegative val="0"/>
          <c:cat>
            <c:numRef>
              <c:f>Hoja1!$C$15:$C$31</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numCache>
            </c:numRef>
          </c:cat>
          <c:val>
            <c:numRef>
              <c:f>Hoja1!$D$15:$D$31</c:f>
              <c:numCache>
                <c:formatCode>General</c:formatCode>
                <c:ptCount val="17"/>
                <c:pt idx="0">
                  <c:v>0</c:v>
                </c:pt>
                <c:pt idx="1">
                  <c:v>0</c:v>
                </c:pt>
                <c:pt idx="2">
                  <c:v>0</c:v>
                </c:pt>
                <c:pt idx="3">
                  <c:v>0.1</c:v>
                </c:pt>
                <c:pt idx="4">
                  <c:v>0.25</c:v>
                </c:pt>
                <c:pt idx="5">
                  <c:v>0.3</c:v>
                </c:pt>
                <c:pt idx="6">
                  <c:v>0.5</c:v>
                </c:pt>
                <c:pt idx="7">
                  <c:v>0.65</c:v>
                </c:pt>
                <c:pt idx="8">
                  <c:v>0.1</c:v>
                </c:pt>
                <c:pt idx="9">
                  <c:v>0.25</c:v>
                </c:pt>
                <c:pt idx="10">
                  <c:v>0.25</c:v>
                </c:pt>
                <c:pt idx="11">
                  <c:v>0.2</c:v>
                </c:pt>
                <c:pt idx="12">
                  <c:v>0.15</c:v>
                </c:pt>
                <c:pt idx="13">
                  <c:v>0.15</c:v>
                </c:pt>
                <c:pt idx="14">
                  <c:v>0.25</c:v>
                </c:pt>
                <c:pt idx="15">
                  <c:v>0</c:v>
                </c:pt>
                <c:pt idx="16">
                  <c:v>0.1</c:v>
                </c:pt>
              </c:numCache>
            </c:numRef>
          </c:val>
        </c:ser>
        <c:ser>
          <c:idx val="1"/>
          <c:order val="1"/>
          <c:tx>
            <c:strRef>
              <c:f>Hoja1!$E$14</c:f>
              <c:strCache>
                <c:ptCount val="1"/>
                <c:pt idx="0">
                  <c:v>Colombia</c:v>
                </c:pt>
              </c:strCache>
            </c:strRef>
          </c:tx>
          <c:spPr>
            <a:solidFill>
              <a:schemeClr val="accent5"/>
            </a:solidFill>
            <a:ln>
              <a:noFill/>
            </a:ln>
            <a:effectLst/>
          </c:spPr>
          <c:invertIfNegative val="0"/>
          <c:cat>
            <c:numRef>
              <c:f>Hoja1!$C$15:$C$31</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numCache>
            </c:numRef>
          </c:cat>
          <c:val>
            <c:numRef>
              <c:f>Hoja1!$E$15:$E$31</c:f>
              <c:numCache>
                <c:formatCode>General</c:formatCode>
                <c:ptCount val="17"/>
                <c:pt idx="0">
                  <c:v>0.25</c:v>
                </c:pt>
                <c:pt idx="1">
                  <c:v>1.5</c:v>
                </c:pt>
                <c:pt idx="2">
                  <c:v>2</c:v>
                </c:pt>
                <c:pt idx="3">
                  <c:v>1.85</c:v>
                </c:pt>
                <c:pt idx="4">
                  <c:v>2.25</c:v>
                </c:pt>
                <c:pt idx="5">
                  <c:v>2.5</c:v>
                </c:pt>
                <c:pt idx="6">
                  <c:v>1.75</c:v>
                </c:pt>
                <c:pt idx="7">
                  <c:v>0.75</c:v>
                </c:pt>
                <c:pt idx="8">
                  <c:v>0.25</c:v>
                </c:pt>
                <c:pt idx="9">
                  <c:v>1.5</c:v>
                </c:pt>
                <c:pt idx="10">
                  <c:v>2</c:v>
                </c:pt>
                <c:pt idx="11">
                  <c:v>3.9</c:v>
                </c:pt>
                <c:pt idx="12">
                  <c:v>3.75</c:v>
                </c:pt>
                <c:pt idx="13">
                  <c:v>1.3</c:v>
                </c:pt>
                <c:pt idx="14">
                  <c:v>2.4</c:v>
                </c:pt>
                <c:pt idx="15">
                  <c:v>1.1000000000000001</c:v>
                </c:pt>
                <c:pt idx="16">
                  <c:v>0.9</c:v>
                </c:pt>
              </c:numCache>
            </c:numRef>
          </c:val>
        </c:ser>
        <c:ser>
          <c:idx val="2"/>
          <c:order val="2"/>
          <c:tx>
            <c:strRef>
              <c:f>Hoja1!$F$14</c:f>
              <c:strCache>
                <c:ptCount val="1"/>
                <c:pt idx="0">
                  <c:v>Peru</c:v>
                </c:pt>
              </c:strCache>
            </c:strRef>
          </c:tx>
          <c:spPr>
            <a:solidFill>
              <a:schemeClr val="accent4"/>
            </a:solidFill>
            <a:ln>
              <a:noFill/>
            </a:ln>
            <a:effectLst/>
          </c:spPr>
          <c:invertIfNegative val="0"/>
          <c:cat>
            <c:numRef>
              <c:f>Hoja1!$C$15:$C$31</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numCache>
            </c:numRef>
          </c:cat>
          <c:val>
            <c:numRef>
              <c:f>Hoja1!$F$15:$F$31</c:f>
              <c:numCache>
                <c:formatCode>General</c:formatCode>
                <c:ptCount val="17"/>
                <c:pt idx="0">
                  <c:v>0</c:v>
                </c:pt>
                <c:pt idx="1">
                  <c:v>1</c:v>
                </c:pt>
                <c:pt idx="2">
                  <c:v>0</c:v>
                </c:pt>
                <c:pt idx="3">
                  <c:v>0</c:v>
                </c:pt>
                <c:pt idx="4">
                  <c:v>0</c:v>
                </c:pt>
                <c:pt idx="5">
                  <c:v>0</c:v>
                </c:pt>
                <c:pt idx="6">
                  <c:v>1</c:v>
                </c:pt>
                <c:pt idx="7">
                  <c:v>1</c:v>
                </c:pt>
                <c:pt idx="8">
                  <c:v>0</c:v>
                </c:pt>
                <c:pt idx="9">
                  <c:v>0</c:v>
                </c:pt>
                <c:pt idx="10">
                  <c:v>0.5</c:v>
                </c:pt>
                <c:pt idx="11">
                  <c:v>0.25</c:v>
                </c:pt>
                <c:pt idx="12">
                  <c:v>1.85</c:v>
                </c:pt>
                <c:pt idx="13">
                  <c:v>0.4</c:v>
                </c:pt>
                <c:pt idx="14">
                  <c:v>0.5</c:v>
                </c:pt>
                <c:pt idx="15">
                  <c:v>0.9</c:v>
                </c:pt>
                <c:pt idx="16">
                  <c:v>0.75</c:v>
                </c:pt>
              </c:numCache>
            </c:numRef>
          </c:val>
        </c:ser>
        <c:dLbls>
          <c:showLegendKey val="0"/>
          <c:showVal val="0"/>
          <c:showCatName val="0"/>
          <c:showSerName val="0"/>
          <c:showPercent val="0"/>
          <c:showBubbleSize val="0"/>
        </c:dLbls>
        <c:gapWidth val="219"/>
        <c:overlap val="-27"/>
        <c:axId val="-1163700288"/>
        <c:axId val="-1163692672"/>
      </c:barChart>
      <c:catAx>
        <c:axId val="-11637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3692672"/>
        <c:crosses val="autoZero"/>
        <c:auto val="1"/>
        <c:lblAlgn val="ctr"/>
        <c:lblOffset val="100"/>
        <c:noMultiLvlLbl val="0"/>
      </c:catAx>
      <c:valAx>
        <c:axId val="-11636926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3700288"/>
        <c:crosses val="autoZero"/>
        <c:crossBetween val="between"/>
      </c:valAx>
      <c:spPr>
        <a:noFill/>
        <a:ln>
          <a:noFill/>
        </a:ln>
        <a:effectLst/>
      </c:spPr>
    </c:plotArea>
    <c:legend>
      <c:legendPos val="b"/>
      <c:layout>
        <c:manualLayout>
          <c:xMode val="edge"/>
          <c:yMode val="edge"/>
          <c:x val="0.38778823726463929"/>
          <c:y val="6.1492502878918359E-2"/>
          <c:w val="0.22894915252189013"/>
          <c:h val="5.79900809075193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Hoja2!$B$2</c:f>
              <c:strCache>
                <c:ptCount val="1"/>
                <c:pt idx="0">
                  <c:v>Kilómetros</c:v>
                </c:pt>
              </c:strCache>
            </c:strRef>
          </c:tx>
          <c:spPr>
            <a:solidFill>
              <a:schemeClr val="accent1"/>
            </a:solidFill>
            <a:ln>
              <a:noFill/>
            </a:ln>
            <a:effectLst/>
          </c:spPr>
          <c:invertIfNegative val="0"/>
          <c:dPt>
            <c:idx val="3"/>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Hoja2!$A$3:$A$6</c:f>
              <c:numCache>
                <c:formatCode>General</c:formatCode>
                <c:ptCount val="4"/>
                <c:pt idx="0">
                  <c:v>2011</c:v>
                </c:pt>
                <c:pt idx="1">
                  <c:v>2012</c:v>
                </c:pt>
                <c:pt idx="2">
                  <c:v>2013</c:v>
                </c:pt>
                <c:pt idx="3">
                  <c:v>2014</c:v>
                </c:pt>
              </c:numCache>
            </c:numRef>
          </c:cat>
          <c:val>
            <c:numRef>
              <c:f>Hoja2!$B$3:$B$6</c:f>
              <c:numCache>
                <c:formatCode>0</c:formatCode>
                <c:ptCount val="4"/>
                <c:pt idx="0">
                  <c:v>101</c:v>
                </c:pt>
                <c:pt idx="1">
                  <c:v>202</c:v>
                </c:pt>
                <c:pt idx="2">
                  <c:v>250</c:v>
                </c:pt>
                <c:pt idx="3">
                  <c:v>212.36</c:v>
                </c:pt>
              </c:numCache>
            </c:numRef>
          </c:val>
        </c:ser>
        <c:dLbls>
          <c:dLblPos val="outEnd"/>
          <c:showLegendKey val="0"/>
          <c:showVal val="1"/>
          <c:showCatName val="0"/>
          <c:showSerName val="0"/>
          <c:showPercent val="0"/>
          <c:showBubbleSize val="0"/>
        </c:dLbls>
        <c:gapWidth val="219"/>
        <c:overlap val="-27"/>
        <c:axId val="-1163699200"/>
        <c:axId val="-1163682336"/>
      </c:barChart>
      <c:catAx>
        <c:axId val="-116369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3682336"/>
        <c:crosses val="autoZero"/>
        <c:auto val="1"/>
        <c:lblAlgn val="ctr"/>
        <c:lblOffset val="100"/>
        <c:noMultiLvlLbl val="0"/>
      </c:catAx>
      <c:valAx>
        <c:axId val="-116368233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Kilómetros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crossAx val="-116369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 10-14'!$B$39</c:f>
              <c:strCache>
                <c:ptCount val="1"/>
                <c:pt idx="0">
                  <c:v>Kilómetros</c:v>
                </c:pt>
              </c:strCache>
            </c:strRef>
          </c:tx>
          <c:spPr>
            <a:solidFill>
              <a:schemeClr val="accent1"/>
            </a:solidFill>
            <a:ln>
              <a:noFill/>
            </a:ln>
            <a:effectLst/>
          </c:spPr>
          <c:invertIfNegative val="0"/>
          <c:dPt>
            <c:idx val="3"/>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 10-14'!$A$40:$A$43</c:f>
              <c:numCache>
                <c:formatCode>General</c:formatCode>
                <c:ptCount val="4"/>
                <c:pt idx="0">
                  <c:v>2011</c:v>
                </c:pt>
                <c:pt idx="1">
                  <c:v>2012</c:v>
                </c:pt>
                <c:pt idx="2">
                  <c:v>2013</c:v>
                </c:pt>
                <c:pt idx="3">
                  <c:v>2014</c:v>
                </c:pt>
              </c:numCache>
            </c:numRef>
          </c:cat>
          <c:val>
            <c:numRef>
              <c:f>'inv 10-14'!$B$40:$B$43</c:f>
              <c:numCache>
                <c:formatCode>#,##0.0</c:formatCode>
                <c:ptCount val="4"/>
                <c:pt idx="0">
                  <c:v>407.64</c:v>
                </c:pt>
                <c:pt idx="1">
                  <c:v>215.86</c:v>
                </c:pt>
                <c:pt idx="2">
                  <c:v>280</c:v>
                </c:pt>
                <c:pt idx="3">
                  <c:v>268.39</c:v>
                </c:pt>
              </c:numCache>
            </c:numRef>
          </c:val>
        </c:ser>
        <c:dLbls>
          <c:dLblPos val="outEnd"/>
          <c:showLegendKey val="0"/>
          <c:showVal val="1"/>
          <c:showCatName val="0"/>
          <c:showSerName val="0"/>
          <c:showPercent val="0"/>
          <c:showBubbleSize val="0"/>
        </c:dLbls>
        <c:gapWidth val="219"/>
        <c:overlap val="-27"/>
        <c:axId val="-1163697568"/>
        <c:axId val="-1163680704"/>
      </c:barChart>
      <c:catAx>
        <c:axId val="-116369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3680704"/>
        <c:crosses val="autoZero"/>
        <c:auto val="1"/>
        <c:lblAlgn val="ctr"/>
        <c:lblOffset val="100"/>
        <c:noMultiLvlLbl val="0"/>
      </c:catAx>
      <c:valAx>
        <c:axId val="-1163680704"/>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Kilómetros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 sourceLinked="1"/>
        <c:majorTickMark val="none"/>
        <c:minorTickMark val="none"/>
        <c:tickLblPos val="nextTo"/>
        <c:crossAx val="-116369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'[Inversion estimado cierre 2014 meta 2015.xlsx]inv 10-14'!$B$4</c:f>
              <c:strCache>
                <c:ptCount val="1"/>
                <c:pt idx="0">
                  <c:v>Kilómetros</c:v>
                </c:pt>
              </c:strCache>
            </c:strRef>
          </c:tx>
          <c:invertIfNegative val="0"/>
          <c:dPt>
            <c:idx val="3"/>
            <c:invertIfNegative val="0"/>
            <c:bubble3D val="0"/>
            <c:spPr>
              <a:solidFill>
                <a:srgbClr val="ED7D31"/>
              </a:solidFill>
            </c:spPr>
          </c:dPt>
          <c:dLbls>
            <c:spPr>
              <a:noFill/>
              <a:ln>
                <a:noFill/>
              </a:ln>
              <a:effectLst/>
            </c:spPr>
            <c:txPr>
              <a:bodyPr wrap="square" lIns="38100" tIns="19050" rIns="38100" bIns="19050" anchor="ctr">
                <a:spAutoFit/>
              </a:bodyPr>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'[Inversion estimado cierre 2014 meta 2015.xlsx]inv 10-14'!$A$5:$A$8</c:f>
              <c:strCache>
                <c:ptCount val="4"/>
                <c:pt idx="0">
                  <c:v>2011</c:v>
                </c:pt>
                <c:pt idx="1">
                  <c:v>2012</c:v>
                </c:pt>
                <c:pt idx="2">
                  <c:v>2013</c:v>
                </c:pt>
                <c:pt idx="3">
                  <c:v>2014 3T</c:v>
                </c:pt>
              </c:strCache>
            </c:strRef>
          </c:cat>
          <c:val>
            <c:numRef>
              <c:f>'[Inversion estimado cierre 2014 meta 2015.xlsx]inv 10-14'!$B$5:$B$8</c:f>
              <c:numCache>
                <c:formatCode>"$"\ #,##0</c:formatCode>
                <c:ptCount val="4"/>
                <c:pt idx="0">
                  <c:v>2628686</c:v>
                </c:pt>
                <c:pt idx="1">
                  <c:v>2685382</c:v>
                </c:pt>
                <c:pt idx="2">
                  <c:v>2826407</c:v>
                </c:pt>
                <c:pt idx="3">
                  <c:v>2706000</c:v>
                </c:pt>
              </c:numCache>
            </c:numRef>
          </c:val>
        </c:ser>
        <c:dLbls>
          <c:dLblPos val="outEnd"/>
          <c:showLegendKey val="0"/>
          <c:showVal val="1"/>
          <c:showCatName val="0"/>
          <c:showSerName val="0"/>
          <c:showPercent val="0"/>
          <c:showBubbleSize val="0"/>
        </c:dLbls>
        <c:gapWidth val="219"/>
        <c:overlap val="-27"/>
        <c:axId val="-1163695936"/>
        <c:axId val="-1163679072"/>
      </c:barChart>
      <c:catAx>
        <c:axId val="-116369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163679072"/>
        <c:crosses val="autoZero"/>
        <c:auto val="1"/>
        <c:lblAlgn val="ctr"/>
        <c:lblOffset val="100"/>
        <c:noMultiLvlLbl val="0"/>
      </c:catAx>
      <c:valAx>
        <c:axId val="-1163679072"/>
        <c:scaling>
          <c:orientation val="minMax"/>
        </c:scaling>
        <c:delete val="1"/>
        <c:axPos val="l"/>
        <c:numFmt formatCode="&quot;$&quot;#,##0" sourceLinked="0"/>
        <c:majorTickMark val="none"/>
        <c:minorTickMark val="none"/>
        <c:tickLblPos val="nextTo"/>
        <c:crossAx val="-116369593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'[Inversion estimado cierre 2014 meta 2015.xlsx]inv 10-14'!$B$14</c:f>
              <c:strCache>
                <c:ptCount val="1"/>
                <c:pt idx="0">
                  <c:v>Kilómetros</c:v>
                </c:pt>
              </c:strCache>
            </c:strRef>
          </c:tx>
          <c:invertIfNegative val="0"/>
          <c:dPt>
            <c:idx val="4"/>
            <c:invertIfNegative val="0"/>
            <c:bubble3D val="0"/>
            <c:spPr>
              <a:solidFill>
                <a:srgbClr val="ED7D31"/>
              </a:solidFill>
            </c:spPr>
          </c:dPt>
          <c:dLbls>
            <c:spPr>
              <a:noFill/>
              <a:ln>
                <a:noFill/>
              </a:ln>
              <a:effectLst/>
            </c:spPr>
            <c:txPr>
              <a:bodyPr wrap="square" lIns="38100" tIns="19050" rIns="38100" bIns="19050" anchor="ctr">
                <a:spAutoFit/>
              </a:bodyPr>
              <a:lstStyle/>
              <a:p>
                <a:pPr>
                  <a:defRPr sz="8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'[Inversion estimado cierre 2014 meta 2015.xlsx]inv 10-14'!$A$15:$A$19</c:f>
              <c:strCache>
                <c:ptCount val="5"/>
                <c:pt idx="0">
                  <c:v>2010</c:v>
                </c:pt>
                <c:pt idx="1">
                  <c:v>2011</c:v>
                </c:pt>
                <c:pt idx="2">
                  <c:v>2012</c:v>
                </c:pt>
                <c:pt idx="3">
                  <c:v>2013</c:v>
                </c:pt>
                <c:pt idx="4">
                  <c:v>2014 3T</c:v>
                </c:pt>
              </c:strCache>
            </c:strRef>
          </c:cat>
          <c:val>
            <c:numRef>
              <c:f>'[Inversion estimado cierre 2014 meta 2015.xlsx]inv 10-14'!$B$15:$B$19</c:f>
              <c:numCache>
                <c:formatCode>"$"\ #,##0</c:formatCode>
                <c:ptCount val="5"/>
                <c:pt idx="0">
                  <c:v>168</c:v>
                </c:pt>
                <c:pt idx="1">
                  <c:v>339</c:v>
                </c:pt>
                <c:pt idx="2">
                  <c:v>229</c:v>
                </c:pt>
                <c:pt idx="3">
                  <c:v>379</c:v>
                </c:pt>
                <c:pt idx="4">
                  <c:v>448.9259272220084</c:v>
                </c:pt>
              </c:numCache>
            </c:numRef>
          </c:val>
        </c:ser>
        <c:dLbls>
          <c:dLblPos val="outEnd"/>
          <c:showLegendKey val="0"/>
          <c:showVal val="1"/>
          <c:showCatName val="0"/>
          <c:showSerName val="0"/>
          <c:showPercent val="0"/>
          <c:showBubbleSize val="0"/>
        </c:dLbls>
        <c:gapWidth val="219"/>
        <c:overlap val="-27"/>
        <c:axId val="-1163694304"/>
        <c:axId val="-1163677440"/>
      </c:barChart>
      <c:catAx>
        <c:axId val="-11636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163677440"/>
        <c:crosses val="autoZero"/>
        <c:auto val="1"/>
        <c:lblAlgn val="ctr"/>
        <c:lblOffset val="100"/>
        <c:noMultiLvlLbl val="0"/>
      </c:catAx>
      <c:valAx>
        <c:axId val="-1163677440"/>
        <c:scaling>
          <c:orientation val="minMax"/>
        </c:scaling>
        <c:delete val="1"/>
        <c:axPos val="l"/>
        <c:numFmt formatCode="&quot;$&quot;#,##0" sourceLinked="0"/>
        <c:majorTickMark val="none"/>
        <c:minorTickMark val="none"/>
        <c:tickLblPos val="nextTo"/>
        <c:crossAx val="-116369430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3F96E034E27D4C8AAFCB80A4B1D6CB" ma:contentTypeVersion="1" ma:contentTypeDescription="Crear nuevo documento." ma:contentTypeScope="" ma:versionID="104ed6839f99d16e6fed0dc0adc45279">
  <xsd:schema xmlns:xsd="http://www.w3.org/2001/XMLSchema" xmlns:xs="http://www.w3.org/2001/XMLSchema" xmlns:p="http://schemas.microsoft.com/office/2006/metadata/properties" xmlns:ns3="2a8b0008-a881-43e8-887a-db4a2ef51022" targetNamespace="http://schemas.microsoft.com/office/2006/metadata/properties" ma:root="true" ma:fieldsID="85136e184f9e0d84b588585b3cb0ef60" ns3:_="">
    <xsd:import namespace="2a8b0008-a881-43e8-887a-db4a2ef5102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b0008-a881-43e8-887a-db4a2ef5102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8b0008-a881-43e8-887a-db4a2ef51022">
      <UserInfo>
        <DisplayName>Poldy Paola Osorio Alvarez</DisplayName>
        <AccountId>29</AccountId>
        <AccountType/>
      </UserInfo>
      <UserInfo>
        <DisplayName>Alejandro Giraldo Vasquez</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0466-D118-40A4-9ED8-A389F5CCC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b0008-a881-43e8-887a-db4a2ef51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ADE15-E8A3-4E31-935A-EC6E244033CA}">
  <ds:schemaRefs>
    <ds:schemaRef ds:uri="http://schemas.microsoft.com/sharepoint/v3/contenttype/forms"/>
  </ds:schemaRefs>
</ds:datastoreItem>
</file>

<file path=customXml/itemProps3.xml><?xml version="1.0" encoding="utf-8"?>
<ds:datastoreItem xmlns:ds="http://schemas.openxmlformats.org/officeDocument/2006/customXml" ds:itemID="{451AE8FD-4841-449A-AF7B-61219B7791D9}">
  <ds:schemaRefs>
    <ds:schemaRef ds:uri="http://schemas.microsoft.com/office/2006/metadata/properties"/>
    <ds:schemaRef ds:uri="http://schemas.microsoft.com/office/infopath/2007/PartnerControls"/>
    <ds:schemaRef ds:uri="2a8b0008-a881-43e8-887a-db4a2ef51022"/>
  </ds:schemaRefs>
</ds:datastoreItem>
</file>

<file path=customXml/itemProps4.xml><?xml version="1.0" encoding="utf-8"?>
<ds:datastoreItem xmlns:ds="http://schemas.openxmlformats.org/officeDocument/2006/customXml" ds:itemID="{D0FEDA84-087E-4C77-B8B0-354FA3D2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8931</Words>
  <Characters>49122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
  <LinksUpToDate>false</LinksUpToDate>
  <CharactersWithSpaces>57938</CharactersWithSpaces>
  <SharedDoc>false</SharedDoc>
  <HLinks>
    <vt:vector size="792" baseType="variant">
      <vt:variant>
        <vt:i4>1507378</vt:i4>
      </vt:variant>
      <vt:variant>
        <vt:i4>776</vt:i4>
      </vt:variant>
      <vt:variant>
        <vt:i4>0</vt:i4>
      </vt:variant>
      <vt:variant>
        <vt:i4>5</vt:i4>
      </vt:variant>
      <vt:variant>
        <vt:lpwstr/>
      </vt:variant>
      <vt:variant>
        <vt:lpwstr>_Toc402533766</vt:lpwstr>
      </vt:variant>
      <vt:variant>
        <vt:i4>1507378</vt:i4>
      </vt:variant>
      <vt:variant>
        <vt:i4>770</vt:i4>
      </vt:variant>
      <vt:variant>
        <vt:i4>0</vt:i4>
      </vt:variant>
      <vt:variant>
        <vt:i4>5</vt:i4>
      </vt:variant>
      <vt:variant>
        <vt:lpwstr/>
      </vt:variant>
      <vt:variant>
        <vt:lpwstr>_Toc402533765</vt:lpwstr>
      </vt:variant>
      <vt:variant>
        <vt:i4>1507378</vt:i4>
      </vt:variant>
      <vt:variant>
        <vt:i4>764</vt:i4>
      </vt:variant>
      <vt:variant>
        <vt:i4>0</vt:i4>
      </vt:variant>
      <vt:variant>
        <vt:i4>5</vt:i4>
      </vt:variant>
      <vt:variant>
        <vt:lpwstr/>
      </vt:variant>
      <vt:variant>
        <vt:lpwstr>_Toc402533764</vt:lpwstr>
      </vt:variant>
      <vt:variant>
        <vt:i4>1507378</vt:i4>
      </vt:variant>
      <vt:variant>
        <vt:i4>758</vt:i4>
      </vt:variant>
      <vt:variant>
        <vt:i4>0</vt:i4>
      </vt:variant>
      <vt:variant>
        <vt:i4>5</vt:i4>
      </vt:variant>
      <vt:variant>
        <vt:lpwstr/>
      </vt:variant>
      <vt:variant>
        <vt:lpwstr>_Toc402533763</vt:lpwstr>
      </vt:variant>
      <vt:variant>
        <vt:i4>1507378</vt:i4>
      </vt:variant>
      <vt:variant>
        <vt:i4>752</vt:i4>
      </vt:variant>
      <vt:variant>
        <vt:i4>0</vt:i4>
      </vt:variant>
      <vt:variant>
        <vt:i4>5</vt:i4>
      </vt:variant>
      <vt:variant>
        <vt:lpwstr/>
      </vt:variant>
      <vt:variant>
        <vt:lpwstr>_Toc402533762</vt:lpwstr>
      </vt:variant>
      <vt:variant>
        <vt:i4>1507378</vt:i4>
      </vt:variant>
      <vt:variant>
        <vt:i4>746</vt:i4>
      </vt:variant>
      <vt:variant>
        <vt:i4>0</vt:i4>
      </vt:variant>
      <vt:variant>
        <vt:i4>5</vt:i4>
      </vt:variant>
      <vt:variant>
        <vt:lpwstr/>
      </vt:variant>
      <vt:variant>
        <vt:lpwstr>_Toc402533761</vt:lpwstr>
      </vt:variant>
      <vt:variant>
        <vt:i4>1507378</vt:i4>
      </vt:variant>
      <vt:variant>
        <vt:i4>740</vt:i4>
      </vt:variant>
      <vt:variant>
        <vt:i4>0</vt:i4>
      </vt:variant>
      <vt:variant>
        <vt:i4>5</vt:i4>
      </vt:variant>
      <vt:variant>
        <vt:lpwstr/>
      </vt:variant>
      <vt:variant>
        <vt:lpwstr>_Toc402533760</vt:lpwstr>
      </vt:variant>
      <vt:variant>
        <vt:i4>1310770</vt:i4>
      </vt:variant>
      <vt:variant>
        <vt:i4>734</vt:i4>
      </vt:variant>
      <vt:variant>
        <vt:i4>0</vt:i4>
      </vt:variant>
      <vt:variant>
        <vt:i4>5</vt:i4>
      </vt:variant>
      <vt:variant>
        <vt:lpwstr/>
      </vt:variant>
      <vt:variant>
        <vt:lpwstr>_Toc402533759</vt:lpwstr>
      </vt:variant>
      <vt:variant>
        <vt:i4>1310770</vt:i4>
      </vt:variant>
      <vt:variant>
        <vt:i4>728</vt:i4>
      </vt:variant>
      <vt:variant>
        <vt:i4>0</vt:i4>
      </vt:variant>
      <vt:variant>
        <vt:i4>5</vt:i4>
      </vt:variant>
      <vt:variant>
        <vt:lpwstr/>
      </vt:variant>
      <vt:variant>
        <vt:lpwstr>_Toc402533758</vt:lpwstr>
      </vt:variant>
      <vt:variant>
        <vt:i4>1310770</vt:i4>
      </vt:variant>
      <vt:variant>
        <vt:i4>722</vt:i4>
      </vt:variant>
      <vt:variant>
        <vt:i4>0</vt:i4>
      </vt:variant>
      <vt:variant>
        <vt:i4>5</vt:i4>
      </vt:variant>
      <vt:variant>
        <vt:lpwstr/>
      </vt:variant>
      <vt:variant>
        <vt:lpwstr>_Toc402533757</vt:lpwstr>
      </vt:variant>
      <vt:variant>
        <vt:i4>1310770</vt:i4>
      </vt:variant>
      <vt:variant>
        <vt:i4>716</vt:i4>
      </vt:variant>
      <vt:variant>
        <vt:i4>0</vt:i4>
      </vt:variant>
      <vt:variant>
        <vt:i4>5</vt:i4>
      </vt:variant>
      <vt:variant>
        <vt:lpwstr/>
      </vt:variant>
      <vt:variant>
        <vt:lpwstr>_Toc402533756</vt:lpwstr>
      </vt:variant>
      <vt:variant>
        <vt:i4>1310770</vt:i4>
      </vt:variant>
      <vt:variant>
        <vt:i4>710</vt:i4>
      </vt:variant>
      <vt:variant>
        <vt:i4>0</vt:i4>
      </vt:variant>
      <vt:variant>
        <vt:i4>5</vt:i4>
      </vt:variant>
      <vt:variant>
        <vt:lpwstr/>
      </vt:variant>
      <vt:variant>
        <vt:lpwstr>_Toc402533755</vt:lpwstr>
      </vt:variant>
      <vt:variant>
        <vt:i4>1310770</vt:i4>
      </vt:variant>
      <vt:variant>
        <vt:i4>704</vt:i4>
      </vt:variant>
      <vt:variant>
        <vt:i4>0</vt:i4>
      </vt:variant>
      <vt:variant>
        <vt:i4>5</vt:i4>
      </vt:variant>
      <vt:variant>
        <vt:lpwstr/>
      </vt:variant>
      <vt:variant>
        <vt:lpwstr>_Toc402533754</vt:lpwstr>
      </vt:variant>
      <vt:variant>
        <vt:i4>1310770</vt:i4>
      </vt:variant>
      <vt:variant>
        <vt:i4>698</vt:i4>
      </vt:variant>
      <vt:variant>
        <vt:i4>0</vt:i4>
      </vt:variant>
      <vt:variant>
        <vt:i4>5</vt:i4>
      </vt:variant>
      <vt:variant>
        <vt:lpwstr/>
      </vt:variant>
      <vt:variant>
        <vt:lpwstr>_Toc402533753</vt:lpwstr>
      </vt:variant>
      <vt:variant>
        <vt:i4>1310770</vt:i4>
      </vt:variant>
      <vt:variant>
        <vt:i4>692</vt:i4>
      </vt:variant>
      <vt:variant>
        <vt:i4>0</vt:i4>
      </vt:variant>
      <vt:variant>
        <vt:i4>5</vt:i4>
      </vt:variant>
      <vt:variant>
        <vt:lpwstr/>
      </vt:variant>
      <vt:variant>
        <vt:lpwstr>_Toc402533752</vt:lpwstr>
      </vt:variant>
      <vt:variant>
        <vt:i4>1310770</vt:i4>
      </vt:variant>
      <vt:variant>
        <vt:i4>686</vt:i4>
      </vt:variant>
      <vt:variant>
        <vt:i4>0</vt:i4>
      </vt:variant>
      <vt:variant>
        <vt:i4>5</vt:i4>
      </vt:variant>
      <vt:variant>
        <vt:lpwstr/>
      </vt:variant>
      <vt:variant>
        <vt:lpwstr>_Toc402533751</vt:lpwstr>
      </vt:variant>
      <vt:variant>
        <vt:i4>1310770</vt:i4>
      </vt:variant>
      <vt:variant>
        <vt:i4>680</vt:i4>
      </vt:variant>
      <vt:variant>
        <vt:i4>0</vt:i4>
      </vt:variant>
      <vt:variant>
        <vt:i4>5</vt:i4>
      </vt:variant>
      <vt:variant>
        <vt:lpwstr/>
      </vt:variant>
      <vt:variant>
        <vt:lpwstr>_Toc402533750</vt:lpwstr>
      </vt:variant>
      <vt:variant>
        <vt:i4>1376306</vt:i4>
      </vt:variant>
      <vt:variant>
        <vt:i4>674</vt:i4>
      </vt:variant>
      <vt:variant>
        <vt:i4>0</vt:i4>
      </vt:variant>
      <vt:variant>
        <vt:i4>5</vt:i4>
      </vt:variant>
      <vt:variant>
        <vt:lpwstr/>
      </vt:variant>
      <vt:variant>
        <vt:lpwstr>_Toc402533749</vt:lpwstr>
      </vt:variant>
      <vt:variant>
        <vt:i4>1376306</vt:i4>
      </vt:variant>
      <vt:variant>
        <vt:i4>668</vt:i4>
      </vt:variant>
      <vt:variant>
        <vt:i4>0</vt:i4>
      </vt:variant>
      <vt:variant>
        <vt:i4>5</vt:i4>
      </vt:variant>
      <vt:variant>
        <vt:lpwstr/>
      </vt:variant>
      <vt:variant>
        <vt:lpwstr>_Toc402533748</vt:lpwstr>
      </vt:variant>
      <vt:variant>
        <vt:i4>1376306</vt:i4>
      </vt:variant>
      <vt:variant>
        <vt:i4>662</vt:i4>
      </vt:variant>
      <vt:variant>
        <vt:i4>0</vt:i4>
      </vt:variant>
      <vt:variant>
        <vt:i4>5</vt:i4>
      </vt:variant>
      <vt:variant>
        <vt:lpwstr/>
      </vt:variant>
      <vt:variant>
        <vt:lpwstr>_Toc402533747</vt:lpwstr>
      </vt:variant>
      <vt:variant>
        <vt:i4>1376306</vt:i4>
      </vt:variant>
      <vt:variant>
        <vt:i4>656</vt:i4>
      </vt:variant>
      <vt:variant>
        <vt:i4>0</vt:i4>
      </vt:variant>
      <vt:variant>
        <vt:i4>5</vt:i4>
      </vt:variant>
      <vt:variant>
        <vt:lpwstr/>
      </vt:variant>
      <vt:variant>
        <vt:lpwstr>_Toc402533746</vt:lpwstr>
      </vt:variant>
      <vt:variant>
        <vt:i4>1376306</vt:i4>
      </vt:variant>
      <vt:variant>
        <vt:i4>650</vt:i4>
      </vt:variant>
      <vt:variant>
        <vt:i4>0</vt:i4>
      </vt:variant>
      <vt:variant>
        <vt:i4>5</vt:i4>
      </vt:variant>
      <vt:variant>
        <vt:lpwstr/>
      </vt:variant>
      <vt:variant>
        <vt:lpwstr>_Toc402533745</vt:lpwstr>
      </vt:variant>
      <vt:variant>
        <vt:i4>1376306</vt:i4>
      </vt:variant>
      <vt:variant>
        <vt:i4>644</vt:i4>
      </vt:variant>
      <vt:variant>
        <vt:i4>0</vt:i4>
      </vt:variant>
      <vt:variant>
        <vt:i4>5</vt:i4>
      </vt:variant>
      <vt:variant>
        <vt:lpwstr/>
      </vt:variant>
      <vt:variant>
        <vt:lpwstr>_Toc402533744</vt:lpwstr>
      </vt:variant>
      <vt:variant>
        <vt:i4>1376306</vt:i4>
      </vt:variant>
      <vt:variant>
        <vt:i4>638</vt:i4>
      </vt:variant>
      <vt:variant>
        <vt:i4>0</vt:i4>
      </vt:variant>
      <vt:variant>
        <vt:i4>5</vt:i4>
      </vt:variant>
      <vt:variant>
        <vt:lpwstr/>
      </vt:variant>
      <vt:variant>
        <vt:lpwstr>_Toc402533743</vt:lpwstr>
      </vt:variant>
      <vt:variant>
        <vt:i4>1376306</vt:i4>
      </vt:variant>
      <vt:variant>
        <vt:i4>632</vt:i4>
      </vt:variant>
      <vt:variant>
        <vt:i4>0</vt:i4>
      </vt:variant>
      <vt:variant>
        <vt:i4>5</vt:i4>
      </vt:variant>
      <vt:variant>
        <vt:lpwstr/>
      </vt:variant>
      <vt:variant>
        <vt:lpwstr>_Toc402533742</vt:lpwstr>
      </vt:variant>
      <vt:variant>
        <vt:i4>1376306</vt:i4>
      </vt:variant>
      <vt:variant>
        <vt:i4>626</vt:i4>
      </vt:variant>
      <vt:variant>
        <vt:i4>0</vt:i4>
      </vt:variant>
      <vt:variant>
        <vt:i4>5</vt:i4>
      </vt:variant>
      <vt:variant>
        <vt:lpwstr/>
      </vt:variant>
      <vt:variant>
        <vt:lpwstr>_Toc402533741</vt:lpwstr>
      </vt:variant>
      <vt:variant>
        <vt:i4>1376306</vt:i4>
      </vt:variant>
      <vt:variant>
        <vt:i4>620</vt:i4>
      </vt:variant>
      <vt:variant>
        <vt:i4>0</vt:i4>
      </vt:variant>
      <vt:variant>
        <vt:i4>5</vt:i4>
      </vt:variant>
      <vt:variant>
        <vt:lpwstr/>
      </vt:variant>
      <vt:variant>
        <vt:lpwstr>_Toc402533740</vt:lpwstr>
      </vt:variant>
      <vt:variant>
        <vt:i4>1179698</vt:i4>
      </vt:variant>
      <vt:variant>
        <vt:i4>614</vt:i4>
      </vt:variant>
      <vt:variant>
        <vt:i4>0</vt:i4>
      </vt:variant>
      <vt:variant>
        <vt:i4>5</vt:i4>
      </vt:variant>
      <vt:variant>
        <vt:lpwstr/>
      </vt:variant>
      <vt:variant>
        <vt:lpwstr>_Toc402533739</vt:lpwstr>
      </vt:variant>
      <vt:variant>
        <vt:i4>1179698</vt:i4>
      </vt:variant>
      <vt:variant>
        <vt:i4>608</vt:i4>
      </vt:variant>
      <vt:variant>
        <vt:i4>0</vt:i4>
      </vt:variant>
      <vt:variant>
        <vt:i4>5</vt:i4>
      </vt:variant>
      <vt:variant>
        <vt:lpwstr/>
      </vt:variant>
      <vt:variant>
        <vt:lpwstr>_Toc402533738</vt:lpwstr>
      </vt:variant>
      <vt:variant>
        <vt:i4>1179698</vt:i4>
      </vt:variant>
      <vt:variant>
        <vt:i4>602</vt:i4>
      </vt:variant>
      <vt:variant>
        <vt:i4>0</vt:i4>
      </vt:variant>
      <vt:variant>
        <vt:i4>5</vt:i4>
      </vt:variant>
      <vt:variant>
        <vt:lpwstr/>
      </vt:variant>
      <vt:variant>
        <vt:lpwstr>_Toc402533737</vt:lpwstr>
      </vt:variant>
      <vt:variant>
        <vt:i4>1179698</vt:i4>
      </vt:variant>
      <vt:variant>
        <vt:i4>596</vt:i4>
      </vt:variant>
      <vt:variant>
        <vt:i4>0</vt:i4>
      </vt:variant>
      <vt:variant>
        <vt:i4>5</vt:i4>
      </vt:variant>
      <vt:variant>
        <vt:lpwstr/>
      </vt:variant>
      <vt:variant>
        <vt:lpwstr>_Toc402533736</vt:lpwstr>
      </vt:variant>
      <vt:variant>
        <vt:i4>1179698</vt:i4>
      </vt:variant>
      <vt:variant>
        <vt:i4>590</vt:i4>
      </vt:variant>
      <vt:variant>
        <vt:i4>0</vt:i4>
      </vt:variant>
      <vt:variant>
        <vt:i4>5</vt:i4>
      </vt:variant>
      <vt:variant>
        <vt:lpwstr/>
      </vt:variant>
      <vt:variant>
        <vt:lpwstr>_Toc402533735</vt:lpwstr>
      </vt:variant>
      <vt:variant>
        <vt:i4>1179698</vt:i4>
      </vt:variant>
      <vt:variant>
        <vt:i4>584</vt:i4>
      </vt:variant>
      <vt:variant>
        <vt:i4>0</vt:i4>
      </vt:variant>
      <vt:variant>
        <vt:i4>5</vt:i4>
      </vt:variant>
      <vt:variant>
        <vt:lpwstr/>
      </vt:variant>
      <vt:variant>
        <vt:lpwstr>_Toc402533734</vt:lpwstr>
      </vt:variant>
      <vt:variant>
        <vt:i4>1179698</vt:i4>
      </vt:variant>
      <vt:variant>
        <vt:i4>578</vt:i4>
      </vt:variant>
      <vt:variant>
        <vt:i4>0</vt:i4>
      </vt:variant>
      <vt:variant>
        <vt:i4>5</vt:i4>
      </vt:variant>
      <vt:variant>
        <vt:lpwstr/>
      </vt:variant>
      <vt:variant>
        <vt:lpwstr>_Toc402533733</vt:lpwstr>
      </vt:variant>
      <vt:variant>
        <vt:i4>1179698</vt:i4>
      </vt:variant>
      <vt:variant>
        <vt:i4>572</vt:i4>
      </vt:variant>
      <vt:variant>
        <vt:i4>0</vt:i4>
      </vt:variant>
      <vt:variant>
        <vt:i4>5</vt:i4>
      </vt:variant>
      <vt:variant>
        <vt:lpwstr/>
      </vt:variant>
      <vt:variant>
        <vt:lpwstr>_Toc402533732</vt:lpwstr>
      </vt:variant>
      <vt:variant>
        <vt:i4>1179698</vt:i4>
      </vt:variant>
      <vt:variant>
        <vt:i4>566</vt:i4>
      </vt:variant>
      <vt:variant>
        <vt:i4>0</vt:i4>
      </vt:variant>
      <vt:variant>
        <vt:i4>5</vt:i4>
      </vt:variant>
      <vt:variant>
        <vt:lpwstr/>
      </vt:variant>
      <vt:variant>
        <vt:lpwstr>_Toc402533731</vt:lpwstr>
      </vt:variant>
      <vt:variant>
        <vt:i4>1179698</vt:i4>
      </vt:variant>
      <vt:variant>
        <vt:i4>560</vt:i4>
      </vt:variant>
      <vt:variant>
        <vt:i4>0</vt:i4>
      </vt:variant>
      <vt:variant>
        <vt:i4>5</vt:i4>
      </vt:variant>
      <vt:variant>
        <vt:lpwstr/>
      </vt:variant>
      <vt:variant>
        <vt:lpwstr>_Toc402533730</vt:lpwstr>
      </vt:variant>
      <vt:variant>
        <vt:i4>1245234</vt:i4>
      </vt:variant>
      <vt:variant>
        <vt:i4>554</vt:i4>
      </vt:variant>
      <vt:variant>
        <vt:i4>0</vt:i4>
      </vt:variant>
      <vt:variant>
        <vt:i4>5</vt:i4>
      </vt:variant>
      <vt:variant>
        <vt:lpwstr/>
      </vt:variant>
      <vt:variant>
        <vt:lpwstr>_Toc402533729</vt:lpwstr>
      </vt:variant>
      <vt:variant>
        <vt:i4>1245234</vt:i4>
      </vt:variant>
      <vt:variant>
        <vt:i4>548</vt:i4>
      </vt:variant>
      <vt:variant>
        <vt:i4>0</vt:i4>
      </vt:variant>
      <vt:variant>
        <vt:i4>5</vt:i4>
      </vt:variant>
      <vt:variant>
        <vt:lpwstr/>
      </vt:variant>
      <vt:variant>
        <vt:lpwstr>_Toc402533728</vt:lpwstr>
      </vt:variant>
      <vt:variant>
        <vt:i4>1245234</vt:i4>
      </vt:variant>
      <vt:variant>
        <vt:i4>542</vt:i4>
      </vt:variant>
      <vt:variant>
        <vt:i4>0</vt:i4>
      </vt:variant>
      <vt:variant>
        <vt:i4>5</vt:i4>
      </vt:variant>
      <vt:variant>
        <vt:lpwstr/>
      </vt:variant>
      <vt:variant>
        <vt:lpwstr>_Toc402533727</vt:lpwstr>
      </vt:variant>
      <vt:variant>
        <vt:i4>1245234</vt:i4>
      </vt:variant>
      <vt:variant>
        <vt:i4>536</vt:i4>
      </vt:variant>
      <vt:variant>
        <vt:i4>0</vt:i4>
      </vt:variant>
      <vt:variant>
        <vt:i4>5</vt:i4>
      </vt:variant>
      <vt:variant>
        <vt:lpwstr/>
      </vt:variant>
      <vt:variant>
        <vt:lpwstr>_Toc402533726</vt:lpwstr>
      </vt:variant>
      <vt:variant>
        <vt:i4>1245234</vt:i4>
      </vt:variant>
      <vt:variant>
        <vt:i4>530</vt:i4>
      </vt:variant>
      <vt:variant>
        <vt:i4>0</vt:i4>
      </vt:variant>
      <vt:variant>
        <vt:i4>5</vt:i4>
      </vt:variant>
      <vt:variant>
        <vt:lpwstr/>
      </vt:variant>
      <vt:variant>
        <vt:lpwstr>_Toc402533725</vt:lpwstr>
      </vt:variant>
      <vt:variant>
        <vt:i4>1245234</vt:i4>
      </vt:variant>
      <vt:variant>
        <vt:i4>524</vt:i4>
      </vt:variant>
      <vt:variant>
        <vt:i4>0</vt:i4>
      </vt:variant>
      <vt:variant>
        <vt:i4>5</vt:i4>
      </vt:variant>
      <vt:variant>
        <vt:lpwstr/>
      </vt:variant>
      <vt:variant>
        <vt:lpwstr>_Toc402533724</vt:lpwstr>
      </vt:variant>
      <vt:variant>
        <vt:i4>1245234</vt:i4>
      </vt:variant>
      <vt:variant>
        <vt:i4>518</vt:i4>
      </vt:variant>
      <vt:variant>
        <vt:i4>0</vt:i4>
      </vt:variant>
      <vt:variant>
        <vt:i4>5</vt:i4>
      </vt:variant>
      <vt:variant>
        <vt:lpwstr/>
      </vt:variant>
      <vt:variant>
        <vt:lpwstr>_Toc402533723</vt:lpwstr>
      </vt:variant>
      <vt:variant>
        <vt:i4>1245234</vt:i4>
      </vt:variant>
      <vt:variant>
        <vt:i4>512</vt:i4>
      </vt:variant>
      <vt:variant>
        <vt:i4>0</vt:i4>
      </vt:variant>
      <vt:variant>
        <vt:i4>5</vt:i4>
      </vt:variant>
      <vt:variant>
        <vt:lpwstr/>
      </vt:variant>
      <vt:variant>
        <vt:lpwstr>_Toc402533722</vt:lpwstr>
      </vt:variant>
      <vt:variant>
        <vt:i4>1245234</vt:i4>
      </vt:variant>
      <vt:variant>
        <vt:i4>506</vt:i4>
      </vt:variant>
      <vt:variant>
        <vt:i4>0</vt:i4>
      </vt:variant>
      <vt:variant>
        <vt:i4>5</vt:i4>
      </vt:variant>
      <vt:variant>
        <vt:lpwstr/>
      </vt:variant>
      <vt:variant>
        <vt:lpwstr>_Toc402533721</vt:lpwstr>
      </vt:variant>
      <vt:variant>
        <vt:i4>1245234</vt:i4>
      </vt:variant>
      <vt:variant>
        <vt:i4>500</vt:i4>
      </vt:variant>
      <vt:variant>
        <vt:i4>0</vt:i4>
      </vt:variant>
      <vt:variant>
        <vt:i4>5</vt:i4>
      </vt:variant>
      <vt:variant>
        <vt:lpwstr/>
      </vt:variant>
      <vt:variant>
        <vt:lpwstr>_Toc402533720</vt:lpwstr>
      </vt:variant>
      <vt:variant>
        <vt:i4>1048626</vt:i4>
      </vt:variant>
      <vt:variant>
        <vt:i4>494</vt:i4>
      </vt:variant>
      <vt:variant>
        <vt:i4>0</vt:i4>
      </vt:variant>
      <vt:variant>
        <vt:i4>5</vt:i4>
      </vt:variant>
      <vt:variant>
        <vt:lpwstr/>
      </vt:variant>
      <vt:variant>
        <vt:lpwstr>_Toc402533719</vt:lpwstr>
      </vt:variant>
      <vt:variant>
        <vt:i4>1048626</vt:i4>
      </vt:variant>
      <vt:variant>
        <vt:i4>488</vt:i4>
      </vt:variant>
      <vt:variant>
        <vt:i4>0</vt:i4>
      </vt:variant>
      <vt:variant>
        <vt:i4>5</vt:i4>
      </vt:variant>
      <vt:variant>
        <vt:lpwstr/>
      </vt:variant>
      <vt:variant>
        <vt:lpwstr>_Toc402533718</vt:lpwstr>
      </vt:variant>
      <vt:variant>
        <vt:i4>1048626</vt:i4>
      </vt:variant>
      <vt:variant>
        <vt:i4>482</vt:i4>
      </vt:variant>
      <vt:variant>
        <vt:i4>0</vt:i4>
      </vt:variant>
      <vt:variant>
        <vt:i4>5</vt:i4>
      </vt:variant>
      <vt:variant>
        <vt:lpwstr/>
      </vt:variant>
      <vt:variant>
        <vt:lpwstr>_Toc402533717</vt:lpwstr>
      </vt:variant>
      <vt:variant>
        <vt:i4>1048626</vt:i4>
      </vt:variant>
      <vt:variant>
        <vt:i4>476</vt:i4>
      </vt:variant>
      <vt:variant>
        <vt:i4>0</vt:i4>
      </vt:variant>
      <vt:variant>
        <vt:i4>5</vt:i4>
      </vt:variant>
      <vt:variant>
        <vt:lpwstr/>
      </vt:variant>
      <vt:variant>
        <vt:lpwstr>_Toc402533716</vt:lpwstr>
      </vt:variant>
      <vt:variant>
        <vt:i4>1048626</vt:i4>
      </vt:variant>
      <vt:variant>
        <vt:i4>470</vt:i4>
      </vt:variant>
      <vt:variant>
        <vt:i4>0</vt:i4>
      </vt:variant>
      <vt:variant>
        <vt:i4>5</vt:i4>
      </vt:variant>
      <vt:variant>
        <vt:lpwstr/>
      </vt:variant>
      <vt:variant>
        <vt:lpwstr>_Toc402533715</vt:lpwstr>
      </vt:variant>
      <vt:variant>
        <vt:i4>1048626</vt:i4>
      </vt:variant>
      <vt:variant>
        <vt:i4>464</vt:i4>
      </vt:variant>
      <vt:variant>
        <vt:i4>0</vt:i4>
      </vt:variant>
      <vt:variant>
        <vt:i4>5</vt:i4>
      </vt:variant>
      <vt:variant>
        <vt:lpwstr/>
      </vt:variant>
      <vt:variant>
        <vt:lpwstr>_Toc402533714</vt:lpwstr>
      </vt:variant>
      <vt:variant>
        <vt:i4>1048626</vt:i4>
      </vt:variant>
      <vt:variant>
        <vt:i4>458</vt:i4>
      </vt:variant>
      <vt:variant>
        <vt:i4>0</vt:i4>
      </vt:variant>
      <vt:variant>
        <vt:i4>5</vt:i4>
      </vt:variant>
      <vt:variant>
        <vt:lpwstr/>
      </vt:variant>
      <vt:variant>
        <vt:lpwstr>_Toc402533713</vt:lpwstr>
      </vt:variant>
      <vt:variant>
        <vt:i4>1048626</vt:i4>
      </vt:variant>
      <vt:variant>
        <vt:i4>452</vt:i4>
      </vt:variant>
      <vt:variant>
        <vt:i4>0</vt:i4>
      </vt:variant>
      <vt:variant>
        <vt:i4>5</vt:i4>
      </vt:variant>
      <vt:variant>
        <vt:lpwstr/>
      </vt:variant>
      <vt:variant>
        <vt:lpwstr>_Toc402533712</vt:lpwstr>
      </vt:variant>
      <vt:variant>
        <vt:i4>1048626</vt:i4>
      </vt:variant>
      <vt:variant>
        <vt:i4>446</vt:i4>
      </vt:variant>
      <vt:variant>
        <vt:i4>0</vt:i4>
      </vt:variant>
      <vt:variant>
        <vt:i4>5</vt:i4>
      </vt:variant>
      <vt:variant>
        <vt:lpwstr/>
      </vt:variant>
      <vt:variant>
        <vt:lpwstr>_Toc402533711</vt:lpwstr>
      </vt:variant>
      <vt:variant>
        <vt:i4>1048626</vt:i4>
      </vt:variant>
      <vt:variant>
        <vt:i4>440</vt:i4>
      </vt:variant>
      <vt:variant>
        <vt:i4>0</vt:i4>
      </vt:variant>
      <vt:variant>
        <vt:i4>5</vt:i4>
      </vt:variant>
      <vt:variant>
        <vt:lpwstr/>
      </vt:variant>
      <vt:variant>
        <vt:lpwstr>_Toc402533710</vt:lpwstr>
      </vt:variant>
      <vt:variant>
        <vt:i4>1114162</vt:i4>
      </vt:variant>
      <vt:variant>
        <vt:i4>434</vt:i4>
      </vt:variant>
      <vt:variant>
        <vt:i4>0</vt:i4>
      </vt:variant>
      <vt:variant>
        <vt:i4>5</vt:i4>
      </vt:variant>
      <vt:variant>
        <vt:lpwstr/>
      </vt:variant>
      <vt:variant>
        <vt:lpwstr>_Toc402533709</vt:lpwstr>
      </vt:variant>
      <vt:variant>
        <vt:i4>1114162</vt:i4>
      </vt:variant>
      <vt:variant>
        <vt:i4>428</vt:i4>
      </vt:variant>
      <vt:variant>
        <vt:i4>0</vt:i4>
      </vt:variant>
      <vt:variant>
        <vt:i4>5</vt:i4>
      </vt:variant>
      <vt:variant>
        <vt:lpwstr/>
      </vt:variant>
      <vt:variant>
        <vt:lpwstr>_Toc402533708</vt:lpwstr>
      </vt:variant>
      <vt:variant>
        <vt:i4>1114162</vt:i4>
      </vt:variant>
      <vt:variant>
        <vt:i4>422</vt:i4>
      </vt:variant>
      <vt:variant>
        <vt:i4>0</vt:i4>
      </vt:variant>
      <vt:variant>
        <vt:i4>5</vt:i4>
      </vt:variant>
      <vt:variant>
        <vt:lpwstr/>
      </vt:variant>
      <vt:variant>
        <vt:lpwstr>_Toc402533707</vt:lpwstr>
      </vt:variant>
      <vt:variant>
        <vt:i4>1114162</vt:i4>
      </vt:variant>
      <vt:variant>
        <vt:i4>416</vt:i4>
      </vt:variant>
      <vt:variant>
        <vt:i4>0</vt:i4>
      </vt:variant>
      <vt:variant>
        <vt:i4>5</vt:i4>
      </vt:variant>
      <vt:variant>
        <vt:lpwstr/>
      </vt:variant>
      <vt:variant>
        <vt:lpwstr>_Toc402533706</vt:lpwstr>
      </vt:variant>
      <vt:variant>
        <vt:i4>1114162</vt:i4>
      </vt:variant>
      <vt:variant>
        <vt:i4>410</vt:i4>
      </vt:variant>
      <vt:variant>
        <vt:i4>0</vt:i4>
      </vt:variant>
      <vt:variant>
        <vt:i4>5</vt:i4>
      </vt:variant>
      <vt:variant>
        <vt:lpwstr/>
      </vt:variant>
      <vt:variant>
        <vt:lpwstr>_Toc402533705</vt:lpwstr>
      </vt:variant>
      <vt:variant>
        <vt:i4>1114162</vt:i4>
      </vt:variant>
      <vt:variant>
        <vt:i4>404</vt:i4>
      </vt:variant>
      <vt:variant>
        <vt:i4>0</vt:i4>
      </vt:variant>
      <vt:variant>
        <vt:i4>5</vt:i4>
      </vt:variant>
      <vt:variant>
        <vt:lpwstr/>
      </vt:variant>
      <vt:variant>
        <vt:lpwstr>_Toc402533704</vt:lpwstr>
      </vt:variant>
      <vt:variant>
        <vt:i4>1114162</vt:i4>
      </vt:variant>
      <vt:variant>
        <vt:i4>398</vt:i4>
      </vt:variant>
      <vt:variant>
        <vt:i4>0</vt:i4>
      </vt:variant>
      <vt:variant>
        <vt:i4>5</vt:i4>
      </vt:variant>
      <vt:variant>
        <vt:lpwstr/>
      </vt:variant>
      <vt:variant>
        <vt:lpwstr>_Toc402533703</vt:lpwstr>
      </vt:variant>
      <vt:variant>
        <vt:i4>1114162</vt:i4>
      </vt:variant>
      <vt:variant>
        <vt:i4>392</vt:i4>
      </vt:variant>
      <vt:variant>
        <vt:i4>0</vt:i4>
      </vt:variant>
      <vt:variant>
        <vt:i4>5</vt:i4>
      </vt:variant>
      <vt:variant>
        <vt:lpwstr/>
      </vt:variant>
      <vt:variant>
        <vt:lpwstr>_Toc402533702</vt:lpwstr>
      </vt:variant>
      <vt:variant>
        <vt:i4>1114162</vt:i4>
      </vt:variant>
      <vt:variant>
        <vt:i4>386</vt:i4>
      </vt:variant>
      <vt:variant>
        <vt:i4>0</vt:i4>
      </vt:variant>
      <vt:variant>
        <vt:i4>5</vt:i4>
      </vt:variant>
      <vt:variant>
        <vt:lpwstr/>
      </vt:variant>
      <vt:variant>
        <vt:lpwstr>_Toc402533701</vt:lpwstr>
      </vt:variant>
      <vt:variant>
        <vt:i4>1114162</vt:i4>
      </vt:variant>
      <vt:variant>
        <vt:i4>380</vt:i4>
      </vt:variant>
      <vt:variant>
        <vt:i4>0</vt:i4>
      </vt:variant>
      <vt:variant>
        <vt:i4>5</vt:i4>
      </vt:variant>
      <vt:variant>
        <vt:lpwstr/>
      </vt:variant>
      <vt:variant>
        <vt:lpwstr>_Toc402533700</vt:lpwstr>
      </vt:variant>
      <vt:variant>
        <vt:i4>1572915</vt:i4>
      </vt:variant>
      <vt:variant>
        <vt:i4>374</vt:i4>
      </vt:variant>
      <vt:variant>
        <vt:i4>0</vt:i4>
      </vt:variant>
      <vt:variant>
        <vt:i4>5</vt:i4>
      </vt:variant>
      <vt:variant>
        <vt:lpwstr/>
      </vt:variant>
      <vt:variant>
        <vt:lpwstr>_Toc402533699</vt:lpwstr>
      </vt:variant>
      <vt:variant>
        <vt:i4>1572915</vt:i4>
      </vt:variant>
      <vt:variant>
        <vt:i4>368</vt:i4>
      </vt:variant>
      <vt:variant>
        <vt:i4>0</vt:i4>
      </vt:variant>
      <vt:variant>
        <vt:i4>5</vt:i4>
      </vt:variant>
      <vt:variant>
        <vt:lpwstr/>
      </vt:variant>
      <vt:variant>
        <vt:lpwstr>_Toc402533698</vt:lpwstr>
      </vt:variant>
      <vt:variant>
        <vt:i4>1572915</vt:i4>
      </vt:variant>
      <vt:variant>
        <vt:i4>362</vt:i4>
      </vt:variant>
      <vt:variant>
        <vt:i4>0</vt:i4>
      </vt:variant>
      <vt:variant>
        <vt:i4>5</vt:i4>
      </vt:variant>
      <vt:variant>
        <vt:lpwstr/>
      </vt:variant>
      <vt:variant>
        <vt:lpwstr>_Toc402533697</vt:lpwstr>
      </vt:variant>
      <vt:variant>
        <vt:i4>1572915</vt:i4>
      </vt:variant>
      <vt:variant>
        <vt:i4>356</vt:i4>
      </vt:variant>
      <vt:variant>
        <vt:i4>0</vt:i4>
      </vt:variant>
      <vt:variant>
        <vt:i4>5</vt:i4>
      </vt:variant>
      <vt:variant>
        <vt:lpwstr/>
      </vt:variant>
      <vt:variant>
        <vt:lpwstr>_Toc402533696</vt:lpwstr>
      </vt:variant>
      <vt:variant>
        <vt:i4>1572915</vt:i4>
      </vt:variant>
      <vt:variant>
        <vt:i4>350</vt:i4>
      </vt:variant>
      <vt:variant>
        <vt:i4>0</vt:i4>
      </vt:variant>
      <vt:variant>
        <vt:i4>5</vt:i4>
      </vt:variant>
      <vt:variant>
        <vt:lpwstr/>
      </vt:variant>
      <vt:variant>
        <vt:lpwstr>_Toc402533695</vt:lpwstr>
      </vt:variant>
      <vt:variant>
        <vt:i4>1572915</vt:i4>
      </vt:variant>
      <vt:variant>
        <vt:i4>344</vt:i4>
      </vt:variant>
      <vt:variant>
        <vt:i4>0</vt:i4>
      </vt:variant>
      <vt:variant>
        <vt:i4>5</vt:i4>
      </vt:variant>
      <vt:variant>
        <vt:lpwstr/>
      </vt:variant>
      <vt:variant>
        <vt:lpwstr>_Toc402533694</vt:lpwstr>
      </vt:variant>
      <vt:variant>
        <vt:i4>1572915</vt:i4>
      </vt:variant>
      <vt:variant>
        <vt:i4>338</vt:i4>
      </vt:variant>
      <vt:variant>
        <vt:i4>0</vt:i4>
      </vt:variant>
      <vt:variant>
        <vt:i4>5</vt:i4>
      </vt:variant>
      <vt:variant>
        <vt:lpwstr/>
      </vt:variant>
      <vt:variant>
        <vt:lpwstr>_Toc402533693</vt:lpwstr>
      </vt:variant>
      <vt:variant>
        <vt:i4>1572915</vt:i4>
      </vt:variant>
      <vt:variant>
        <vt:i4>332</vt:i4>
      </vt:variant>
      <vt:variant>
        <vt:i4>0</vt:i4>
      </vt:variant>
      <vt:variant>
        <vt:i4>5</vt:i4>
      </vt:variant>
      <vt:variant>
        <vt:lpwstr/>
      </vt:variant>
      <vt:variant>
        <vt:lpwstr>_Toc402533692</vt:lpwstr>
      </vt:variant>
      <vt:variant>
        <vt:i4>1572915</vt:i4>
      </vt:variant>
      <vt:variant>
        <vt:i4>326</vt:i4>
      </vt:variant>
      <vt:variant>
        <vt:i4>0</vt:i4>
      </vt:variant>
      <vt:variant>
        <vt:i4>5</vt:i4>
      </vt:variant>
      <vt:variant>
        <vt:lpwstr/>
      </vt:variant>
      <vt:variant>
        <vt:lpwstr>_Toc402533691</vt:lpwstr>
      </vt:variant>
      <vt:variant>
        <vt:i4>1572915</vt:i4>
      </vt:variant>
      <vt:variant>
        <vt:i4>320</vt:i4>
      </vt:variant>
      <vt:variant>
        <vt:i4>0</vt:i4>
      </vt:variant>
      <vt:variant>
        <vt:i4>5</vt:i4>
      </vt:variant>
      <vt:variant>
        <vt:lpwstr/>
      </vt:variant>
      <vt:variant>
        <vt:lpwstr>_Toc402533690</vt:lpwstr>
      </vt:variant>
      <vt:variant>
        <vt:i4>1638451</vt:i4>
      </vt:variant>
      <vt:variant>
        <vt:i4>314</vt:i4>
      </vt:variant>
      <vt:variant>
        <vt:i4>0</vt:i4>
      </vt:variant>
      <vt:variant>
        <vt:i4>5</vt:i4>
      </vt:variant>
      <vt:variant>
        <vt:lpwstr/>
      </vt:variant>
      <vt:variant>
        <vt:lpwstr>_Toc402533689</vt:lpwstr>
      </vt:variant>
      <vt:variant>
        <vt:i4>1638451</vt:i4>
      </vt:variant>
      <vt:variant>
        <vt:i4>308</vt:i4>
      </vt:variant>
      <vt:variant>
        <vt:i4>0</vt:i4>
      </vt:variant>
      <vt:variant>
        <vt:i4>5</vt:i4>
      </vt:variant>
      <vt:variant>
        <vt:lpwstr/>
      </vt:variant>
      <vt:variant>
        <vt:lpwstr>_Toc402533688</vt:lpwstr>
      </vt:variant>
      <vt:variant>
        <vt:i4>1638451</vt:i4>
      </vt:variant>
      <vt:variant>
        <vt:i4>302</vt:i4>
      </vt:variant>
      <vt:variant>
        <vt:i4>0</vt:i4>
      </vt:variant>
      <vt:variant>
        <vt:i4>5</vt:i4>
      </vt:variant>
      <vt:variant>
        <vt:lpwstr/>
      </vt:variant>
      <vt:variant>
        <vt:lpwstr>_Toc402533687</vt:lpwstr>
      </vt:variant>
      <vt:variant>
        <vt:i4>1638451</vt:i4>
      </vt:variant>
      <vt:variant>
        <vt:i4>296</vt:i4>
      </vt:variant>
      <vt:variant>
        <vt:i4>0</vt:i4>
      </vt:variant>
      <vt:variant>
        <vt:i4>5</vt:i4>
      </vt:variant>
      <vt:variant>
        <vt:lpwstr/>
      </vt:variant>
      <vt:variant>
        <vt:lpwstr>_Toc402533686</vt:lpwstr>
      </vt:variant>
      <vt:variant>
        <vt:i4>1638451</vt:i4>
      </vt:variant>
      <vt:variant>
        <vt:i4>290</vt:i4>
      </vt:variant>
      <vt:variant>
        <vt:i4>0</vt:i4>
      </vt:variant>
      <vt:variant>
        <vt:i4>5</vt:i4>
      </vt:variant>
      <vt:variant>
        <vt:lpwstr/>
      </vt:variant>
      <vt:variant>
        <vt:lpwstr>_Toc402533685</vt:lpwstr>
      </vt:variant>
      <vt:variant>
        <vt:i4>1638451</vt:i4>
      </vt:variant>
      <vt:variant>
        <vt:i4>284</vt:i4>
      </vt:variant>
      <vt:variant>
        <vt:i4>0</vt:i4>
      </vt:variant>
      <vt:variant>
        <vt:i4>5</vt:i4>
      </vt:variant>
      <vt:variant>
        <vt:lpwstr/>
      </vt:variant>
      <vt:variant>
        <vt:lpwstr>_Toc402533684</vt:lpwstr>
      </vt:variant>
      <vt:variant>
        <vt:i4>1638451</vt:i4>
      </vt:variant>
      <vt:variant>
        <vt:i4>278</vt:i4>
      </vt:variant>
      <vt:variant>
        <vt:i4>0</vt:i4>
      </vt:variant>
      <vt:variant>
        <vt:i4>5</vt:i4>
      </vt:variant>
      <vt:variant>
        <vt:lpwstr/>
      </vt:variant>
      <vt:variant>
        <vt:lpwstr>_Toc402533683</vt:lpwstr>
      </vt:variant>
      <vt:variant>
        <vt:i4>1638451</vt:i4>
      </vt:variant>
      <vt:variant>
        <vt:i4>272</vt:i4>
      </vt:variant>
      <vt:variant>
        <vt:i4>0</vt:i4>
      </vt:variant>
      <vt:variant>
        <vt:i4>5</vt:i4>
      </vt:variant>
      <vt:variant>
        <vt:lpwstr/>
      </vt:variant>
      <vt:variant>
        <vt:lpwstr>_Toc402533682</vt:lpwstr>
      </vt:variant>
      <vt:variant>
        <vt:i4>1638451</vt:i4>
      </vt:variant>
      <vt:variant>
        <vt:i4>266</vt:i4>
      </vt:variant>
      <vt:variant>
        <vt:i4>0</vt:i4>
      </vt:variant>
      <vt:variant>
        <vt:i4>5</vt:i4>
      </vt:variant>
      <vt:variant>
        <vt:lpwstr/>
      </vt:variant>
      <vt:variant>
        <vt:lpwstr>_Toc402533681</vt:lpwstr>
      </vt:variant>
      <vt:variant>
        <vt:i4>1638451</vt:i4>
      </vt:variant>
      <vt:variant>
        <vt:i4>260</vt:i4>
      </vt:variant>
      <vt:variant>
        <vt:i4>0</vt:i4>
      </vt:variant>
      <vt:variant>
        <vt:i4>5</vt:i4>
      </vt:variant>
      <vt:variant>
        <vt:lpwstr/>
      </vt:variant>
      <vt:variant>
        <vt:lpwstr>_Toc402533680</vt:lpwstr>
      </vt:variant>
      <vt:variant>
        <vt:i4>1441843</vt:i4>
      </vt:variant>
      <vt:variant>
        <vt:i4>254</vt:i4>
      </vt:variant>
      <vt:variant>
        <vt:i4>0</vt:i4>
      </vt:variant>
      <vt:variant>
        <vt:i4>5</vt:i4>
      </vt:variant>
      <vt:variant>
        <vt:lpwstr/>
      </vt:variant>
      <vt:variant>
        <vt:lpwstr>_Toc402533679</vt:lpwstr>
      </vt:variant>
      <vt:variant>
        <vt:i4>1441843</vt:i4>
      </vt:variant>
      <vt:variant>
        <vt:i4>248</vt:i4>
      </vt:variant>
      <vt:variant>
        <vt:i4>0</vt:i4>
      </vt:variant>
      <vt:variant>
        <vt:i4>5</vt:i4>
      </vt:variant>
      <vt:variant>
        <vt:lpwstr/>
      </vt:variant>
      <vt:variant>
        <vt:lpwstr>_Toc402533678</vt:lpwstr>
      </vt:variant>
      <vt:variant>
        <vt:i4>1441843</vt:i4>
      </vt:variant>
      <vt:variant>
        <vt:i4>242</vt:i4>
      </vt:variant>
      <vt:variant>
        <vt:i4>0</vt:i4>
      </vt:variant>
      <vt:variant>
        <vt:i4>5</vt:i4>
      </vt:variant>
      <vt:variant>
        <vt:lpwstr/>
      </vt:variant>
      <vt:variant>
        <vt:lpwstr>_Toc402533677</vt:lpwstr>
      </vt:variant>
      <vt:variant>
        <vt:i4>1441843</vt:i4>
      </vt:variant>
      <vt:variant>
        <vt:i4>236</vt:i4>
      </vt:variant>
      <vt:variant>
        <vt:i4>0</vt:i4>
      </vt:variant>
      <vt:variant>
        <vt:i4>5</vt:i4>
      </vt:variant>
      <vt:variant>
        <vt:lpwstr/>
      </vt:variant>
      <vt:variant>
        <vt:lpwstr>_Toc402533676</vt:lpwstr>
      </vt:variant>
      <vt:variant>
        <vt:i4>1441843</vt:i4>
      </vt:variant>
      <vt:variant>
        <vt:i4>230</vt:i4>
      </vt:variant>
      <vt:variant>
        <vt:i4>0</vt:i4>
      </vt:variant>
      <vt:variant>
        <vt:i4>5</vt:i4>
      </vt:variant>
      <vt:variant>
        <vt:lpwstr/>
      </vt:variant>
      <vt:variant>
        <vt:lpwstr>_Toc402533675</vt:lpwstr>
      </vt:variant>
      <vt:variant>
        <vt:i4>1441843</vt:i4>
      </vt:variant>
      <vt:variant>
        <vt:i4>224</vt:i4>
      </vt:variant>
      <vt:variant>
        <vt:i4>0</vt:i4>
      </vt:variant>
      <vt:variant>
        <vt:i4>5</vt:i4>
      </vt:variant>
      <vt:variant>
        <vt:lpwstr/>
      </vt:variant>
      <vt:variant>
        <vt:lpwstr>_Toc402533674</vt:lpwstr>
      </vt:variant>
      <vt:variant>
        <vt:i4>1441843</vt:i4>
      </vt:variant>
      <vt:variant>
        <vt:i4>218</vt:i4>
      </vt:variant>
      <vt:variant>
        <vt:i4>0</vt:i4>
      </vt:variant>
      <vt:variant>
        <vt:i4>5</vt:i4>
      </vt:variant>
      <vt:variant>
        <vt:lpwstr/>
      </vt:variant>
      <vt:variant>
        <vt:lpwstr>_Toc402533673</vt:lpwstr>
      </vt:variant>
      <vt:variant>
        <vt:i4>1441843</vt:i4>
      </vt:variant>
      <vt:variant>
        <vt:i4>212</vt:i4>
      </vt:variant>
      <vt:variant>
        <vt:i4>0</vt:i4>
      </vt:variant>
      <vt:variant>
        <vt:i4>5</vt:i4>
      </vt:variant>
      <vt:variant>
        <vt:lpwstr/>
      </vt:variant>
      <vt:variant>
        <vt:lpwstr>_Toc402533672</vt:lpwstr>
      </vt:variant>
      <vt:variant>
        <vt:i4>1441843</vt:i4>
      </vt:variant>
      <vt:variant>
        <vt:i4>206</vt:i4>
      </vt:variant>
      <vt:variant>
        <vt:i4>0</vt:i4>
      </vt:variant>
      <vt:variant>
        <vt:i4>5</vt:i4>
      </vt:variant>
      <vt:variant>
        <vt:lpwstr/>
      </vt:variant>
      <vt:variant>
        <vt:lpwstr>_Toc402533671</vt:lpwstr>
      </vt:variant>
      <vt:variant>
        <vt:i4>1441843</vt:i4>
      </vt:variant>
      <vt:variant>
        <vt:i4>200</vt:i4>
      </vt:variant>
      <vt:variant>
        <vt:i4>0</vt:i4>
      </vt:variant>
      <vt:variant>
        <vt:i4>5</vt:i4>
      </vt:variant>
      <vt:variant>
        <vt:lpwstr/>
      </vt:variant>
      <vt:variant>
        <vt:lpwstr>_Toc402533670</vt:lpwstr>
      </vt:variant>
      <vt:variant>
        <vt:i4>1507379</vt:i4>
      </vt:variant>
      <vt:variant>
        <vt:i4>194</vt:i4>
      </vt:variant>
      <vt:variant>
        <vt:i4>0</vt:i4>
      </vt:variant>
      <vt:variant>
        <vt:i4>5</vt:i4>
      </vt:variant>
      <vt:variant>
        <vt:lpwstr/>
      </vt:variant>
      <vt:variant>
        <vt:lpwstr>_Toc402533669</vt:lpwstr>
      </vt:variant>
      <vt:variant>
        <vt:i4>1507379</vt:i4>
      </vt:variant>
      <vt:variant>
        <vt:i4>188</vt:i4>
      </vt:variant>
      <vt:variant>
        <vt:i4>0</vt:i4>
      </vt:variant>
      <vt:variant>
        <vt:i4>5</vt:i4>
      </vt:variant>
      <vt:variant>
        <vt:lpwstr/>
      </vt:variant>
      <vt:variant>
        <vt:lpwstr>_Toc402533668</vt:lpwstr>
      </vt:variant>
      <vt:variant>
        <vt:i4>1507379</vt:i4>
      </vt:variant>
      <vt:variant>
        <vt:i4>182</vt:i4>
      </vt:variant>
      <vt:variant>
        <vt:i4>0</vt:i4>
      </vt:variant>
      <vt:variant>
        <vt:i4>5</vt:i4>
      </vt:variant>
      <vt:variant>
        <vt:lpwstr/>
      </vt:variant>
      <vt:variant>
        <vt:lpwstr>_Toc402533667</vt:lpwstr>
      </vt:variant>
      <vt:variant>
        <vt:i4>1507379</vt:i4>
      </vt:variant>
      <vt:variant>
        <vt:i4>176</vt:i4>
      </vt:variant>
      <vt:variant>
        <vt:i4>0</vt:i4>
      </vt:variant>
      <vt:variant>
        <vt:i4>5</vt:i4>
      </vt:variant>
      <vt:variant>
        <vt:lpwstr/>
      </vt:variant>
      <vt:variant>
        <vt:lpwstr>_Toc402533666</vt:lpwstr>
      </vt:variant>
      <vt:variant>
        <vt:i4>1507379</vt:i4>
      </vt:variant>
      <vt:variant>
        <vt:i4>170</vt:i4>
      </vt:variant>
      <vt:variant>
        <vt:i4>0</vt:i4>
      </vt:variant>
      <vt:variant>
        <vt:i4>5</vt:i4>
      </vt:variant>
      <vt:variant>
        <vt:lpwstr/>
      </vt:variant>
      <vt:variant>
        <vt:lpwstr>_Toc402533665</vt:lpwstr>
      </vt:variant>
      <vt:variant>
        <vt:i4>1507379</vt:i4>
      </vt:variant>
      <vt:variant>
        <vt:i4>164</vt:i4>
      </vt:variant>
      <vt:variant>
        <vt:i4>0</vt:i4>
      </vt:variant>
      <vt:variant>
        <vt:i4>5</vt:i4>
      </vt:variant>
      <vt:variant>
        <vt:lpwstr/>
      </vt:variant>
      <vt:variant>
        <vt:lpwstr>_Toc402533664</vt:lpwstr>
      </vt:variant>
      <vt:variant>
        <vt:i4>1507379</vt:i4>
      </vt:variant>
      <vt:variant>
        <vt:i4>158</vt:i4>
      </vt:variant>
      <vt:variant>
        <vt:i4>0</vt:i4>
      </vt:variant>
      <vt:variant>
        <vt:i4>5</vt:i4>
      </vt:variant>
      <vt:variant>
        <vt:lpwstr/>
      </vt:variant>
      <vt:variant>
        <vt:lpwstr>_Toc402533663</vt:lpwstr>
      </vt:variant>
      <vt:variant>
        <vt:i4>1507379</vt:i4>
      </vt:variant>
      <vt:variant>
        <vt:i4>152</vt:i4>
      </vt:variant>
      <vt:variant>
        <vt:i4>0</vt:i4>
      </vt:variant>
      <vt:variant>
        <vt:i4>5</vt:i4>
      </vt:variant>
      <vt:variant>
        <vt:lpwstr/>
      </vt:variant>
      <vt:variant>
        <vt:lpwstr>_Toc402533662</vt:lpwstr>
      </vt:variant>
      <vt:variant>
        <vt:i4>1507379</vt:i4>
      </vt:variant>
      <vt:variant>
        <vt:i4>146</vt:i4>
      </vt:variant>
      <vt:variant>
        <vt:i4>0</vt:i4>
      </vt:variant>
      <vt:variant>
        <vt:i4>5</vt:i4>
      </vt:variant>
      <vt:variant>
        <vt:lpwstr/>
      </vt:variant>
      <vt:variant>
        <vt:lpwstr>_Toc402533661</vt:lpwstr>
      </vt:variant>
      <vt:variant>
        <vt:i4>1507379</vt:i4>
      </vt:variant>
      <vt:variant>
        <vt:i4>140</vt:i4>
      </vt:variant>
      <vt:variant>
        <vt:i4>0</vt:i4>
      </vt:variant>
      <vt:variant>
        <vt:i4>5</vt:i4>
      </vt:variant>
      <vt:variant>
        <vt:lpwstr/>
      </vt:variant>
      <vt:variant>
        <vt:lpwstr>_Toc402533660</vt:lpwstr>
      </vt:variant>
      <vt:variant>
        <vt:i4>1310771</vt:i4>
      </vt:variant>
      <vt:variant>
        <vt:i4>134</vt:i4>
      </vt:variant>
      <vt:variant>
        <vt:i4>0</vt:i4>
      </vt:variant>
      <vt:variant>
        <vt:i4>5</vt:i4>
      </vt:variant>
      <vt:variant>
        <vt:lpwstr/>
      </vt:variant>
      <vt:variant>
        <vt:lpwstr>_Toc402533659</vt:lpwstr>
      </vt:variant>
      <vt:variant>
        <vt:i4>1310771</vt:i4>
      </vt:variant>
      <vt:variant>
        <vt:i4>128</vt:i4>
      </vt:variant>
      <vt:variant>
        <vt:i4>0</vt:i4>
      </vt:variant>
      <vt:variant>
        <vt:i4>5</vt:i4>
      </vt:variant>
      <vt:variant>
        <vt:lpwstr/>
      </vt:variant>
      <vt:variant>
        <vt:lpwstr>_Toc402533658</vt:lpwstr>
      </vt:variant>
      <vt:variant>
        <vt:i4>1310771</vt:i4>
      </vt:variant>
      <vt:variant>
        <vt:i4>122</vt:i4>
      </vt:variant>
      <vt:variant>
        <vt:i4>0</vt:i4>
      </vt:variant>
      <vt:variant>
        <vt:i4>5</vt:i4>
      </vt:variant>
      <vt:variant>
        <vt:lpwstr/>
      </vt:variant>
      <vt:variant>
        <vt:lpwstr>_Toc402533657</vt:lpwstr>
      </vt:variant>
      <vt:variant>
        <vt:i4>1310771</vt:i4>
      </vt:variant>
      <vt:variant>
        <vt:i4>116</vt:i4>
      </vt:variant>
      <vt:variant>
        <vt:i4>0</vt:i4>
      </vt:variant>
      <vt:variant>
        <vt:i4>5</vt:i4>
      </vt:variant>
      <vt:variant>
        <vt:lpwstr/>
      </vt:variant>
      <vt:variant>
        <vt:lpwstr>_Toc402533656</vt:lpwstr>
      </vt:variant>
      <vt:variant>
        <vt:i4>1310771</vt:i4>
      </vt:variant>
      <vt:variant>
        <vt:i4>110</vt:i4>
      </vt:variant>
      <vt:variant>
        <vt:i4>0</vt:i4>
      </vt:variant>
      <vt:variant>
        <vt:i4>5</vt:i4>
      </vt:variant>
      <vt:variant>
        <vt:lpwstr/>
      </vt:variant>
      <vt:variant>
        <vt:lpwstr>_Toc402533655</vt:lpwstr>
      </vt:variant>
      <vt:variant>
        <vt:i4>1310771</vt:i4>
      </vt:variant>
      <vt:variant>
        <vt:i4>104</vt:i4>
      </vt:variant>
      <vt:variant>
        <vt:i4>0</vt:i4>
      </vt:variant>
      <vt:variant>
        <vt:i4>5</vt:i4>
      </vt:variant>
      <vt:variant>
        <vt:lpwstr/>
      </vt:variant>
      <vt:variant>
        <vt:lpwstr>_Toc402533654</vt:lpwstr>
      </vt:variant>
      <vt:variant>
        <vt:i4>1310771</vt:i4>
      </vt:variant>
      <vt:variant>
        <vt:i4>98</vt:i4>
      </vt:variant>
      <vt:variant>
        <vt:i4>0</vt:i4>
      </vt:variant>
      <vt:variant>
        <vt:i4>5</vt:i4>
      </vt:variant>
      <vt:variant>
        <vt:lpwstr/>
      </vt:variant>
      <vt:variant>
        <vt:lpwstr>_Toc402533653</vt:lpwstr>
      </vt:variant>
      <vt:variant>
        <vt:i4>1310771</vt:i4>
      </vt:variant>
      <vt:variant>
        <vt:i4>92</vt:i4>
      </vt:variant>
      <vt:variant>
        <vt:i4>0</vt:i4>
      </vt:variant>
      <vt:variant>
        <vt:i4>5</vt:i4>
      </vt:variant>
      <vt:variant>
        <vt:lpwstr/>
      </vt:variant>
      <vt:variant>
        <vt:lpwstr>_Toc402533652</vt:lpwstr>
      </vt:variant>
      <vt:variant>
        <vt:i4>1310771</vt:i4>
      </vt:variant>
      <vt:variant>
        <vt:i4>86</vt:i4>
      </vt:variant>
      <vt:variant>
        <vt:i4>0</vt:i4>
      </vt:variant>
      <vt:variant>
        <vt:i4>5</vt:i4>
      </vt:variant>
      <vt:variant>
        <vt:lpwstr/>
      </vt:variant>
      <vt:variant>
        <vt:lpwstr>_Toc402533651</vt:lpwstr>
      </vt:variant>
      <vt:variant>
        <vt:i4>1310771</vt:i4>
      </vt:variant>
      <vt:variant>
        <vt:i4>80</vt:i4>
      </vt:variant>
      <vt:variant>
        <vt:i4>0</vt:i4>
      </vt:variant>
      <vt:variant>
        <vt:i4>5</vt:i4>
      </vt:variant>
      <vt:variant>
        <vt:lpwstr/>
      </vt:variant>
      <vt:variant>
        <vt:lpwstr>_Toc402533650</vt:lpwstr>
      </vt:variant>
      <vt:variant>
        <vt:i4>1376307</vt:i4>
      </vt:variant>
      <vt:variant>
        <vt:i4>74</vt:i4>
      </vt:variant>
      <vt:variant>
        <vt:i4>0</vt:i4>
      </vt:variant>
      <vt:variant>
        <vt:i4>5</vt:i4>
      </vt:variant>
      <vt:variant>
        <vt:lpwstr/>
      </vt:variant>
      <vt:variant>
        <vt:lpwstr>_Toc402533649</vt:lpwstr>
      </vt:variant>
      <vt:variant>
        <vt:i4>1376307</vt:i4>
      </vt:variant>
      <vt:variant>
        <vt:i4>68</vt:i4>
      </vt:variant>
      <vt:variant>
        <vt:i4>0</vt:i4>
      </vt:variant>
      <vt:variant>
        <vt:i4>5</vt:i4>
      </vt:variant>
      <vt:variant>
        <vt:lpwstr/>
      </vt:variant>
      <vt:variant>
        <vt:lpwstr>_Toc402533648</vt:lpwstr>
      </vt:variant>
      <vt:variant>
        <vt:i4>1376307</vt:i4>
      </vt:variant>
      <vt:variant>
        <vt:i4>62</vt:i4>
      </vt:variant>
      <vt:variant>
        <vt:i4>0</vt:i4>
      </vt:variant>
      <vt:variant>
        <vt:i4>5</vt:i4>
      </vt:variant>
      <vt:variant>
        <vt:lpwstr/>
      </vt:variant>
      <vt:variant>
        <vt:lpwstr>_Toc402533647</vt:lpwstr>
      </vt:variant>
      <vt:variant>
        <vt:i4>1376307</vt:i4>
      </vt:variant>
      <vt:variant>
        <vt:i4>56</vt:i4>
      </vt:variant>
      <vt:variant>
        <vt:i4>0</vt:i4>
      </vt:variant>
      <vt:variant>
        <vt:i4>5</vt:i4>
      </vt:variant>
      <vt:variant>
        <vt:lpwstr/>
      </vt:variant>
      <vt:variant>
        <vt:lpwstr>_Toc402533646</vt:lpwstr>
      </vt:variant>
      <vt:variant>
        <vt:i4>1376307</vt:i4>
      </vt:variant>
      <vt:variant>
        <vt:i4>50</vt:i4>
      </vt:variant>
      <vt:variant>
        <vt:i4>0</vt:i4>
      </vt:variant>
      <vt:variant>
        <vt:i4>5</vt:i4>
      </vt:variant>
      <vt:variant>
        <vt:lpwstr/>
      </vt:variant>
      <vt:variant>
        <vt:lpwstr>_Toc402533645</vt:lpwstr>
      </vt:variant>
      <vt:variant>
        <vt:i4>1376307</vt:i4>
      </vt:variant>
      <vt:variant>
        <vt:i4>44</vt:i4>
      </vt:variant>
      <vt:variant>
        <vt:i4>0</vt:i4>
      </vt:variant>
      <vt:variant>
        <vt:i4>5</vt:i4>
      </vt:variant>
      <vt:variant>
        <vt:lpwstr/>
      </vt:variant>
      <vt:variant>
        <vt:lpwstr>_Toc402533644</vt:lpwstr>
      </vt:variant>
      <vt:variant>
        <vt:i4>1376307</vt:i4>
      </vt:variant>
      <vt:variant>
        <vt:i4>38</vt:i4>
      </vt:variant>
      <vt:variant>
        <vt:i4>0</vt:i4>
      </vt:variant>
      <vt:variant>
        <vt:i4>5</vt:i4>
      </vt:variant>
      <vt:variant>
        <vt:lpwstr/>
      </vt:variant>
      <vt:variant>
        <vt:lpwstr>_Toc402533643</vt:lpwstr>
      </vt:variant>
      <vt:variant>
        <vt:i4>1376307</vt:i4>
      </vt:variant>
      <vt:variant>
        <vt:i4>32</vt:i4>
      </vt:variant>
      <vt:variant>
        <vt:i4>0</vt:i4>
      </vt:variant>
      <vt:variant>
        <vt:i4>5</vt:i4>
      </vt:variant>
      <vt:variant>
        <vt:lpwstr/>
      </vt:variant>
      <vt:variant>
        <vt:lpwstr>_Toc402533642</vt:lpwstr>
      </vt:variant>
      <vt:variant>
        <vt:i4>1376307</vt:i4>
      </vt:variant>
      <vt:variant>
        <vt:i4>26</vt:i4>
      </vt:variant>
      <vt:variant>
        <vt:i4>0</vt:i4>
      </vt:variant>
      <vt:variant>
        <vt:i4>5</vt:i4>
      </vt:variant>
      <vt:variant>
        <vt:lpwstr/>
      </vt:variant>
      <vt:variant>
        <vt:lpwstr>_Toc402533641</vt:lpwstr>
      </vt:variant>
      <vt:variant>
        <vt:i4>1376307</vt:i4>
      </vt:variant>
      <vt:variant>
        <vt:i4>20</vt:i4>
      </vt:variant>
      <vt:variant>
        <vt:i4>0</vt:i4>
      </vt:variant>
      <vt:variant>
        <vt:i4>5</vt:i4>
      </vt:variant>
      <vt:variant>
        <vt:lpwstr/>
      </vt:variant>
      <vt:variant>
        <vt:lpwstr>_Toc402533640</vt:lpwstr>
      </vt:variant>
      <vt:variant>
        <vt:i4>1179699</vt:i4>
      </vt:variant>
      <vt:variant>
        <vt:i4>14</vt:i4>
      </vt:variant>
      <vt:variant>
        <vt:i4>0</vt:i4>
      </vt:variant>
      <vt:variant>
        <vt:i4>5</vt:i4>
      </vt:variant>
      <vt:variant>
        <vt:lpwstr/>
      </vt:variant>
      <vt:variant>
        <vt:lpwstr>_Toc402533639</vt:lpwstr>
      </vt:variant>
      <vt:variant>
        <vt:i4>1179699</vt:i4>
      </vt:variant>
      <vt:variant>
        <vt:i4>8</vt:i4>
      </vt:variant>
      <vt:variant>
        <vt:i4>0</vt:i4>
      </vt:variant>
      <vt:variant>
        <vt:i4>5</vt:i4>
      </vt:variant>
      <vt:variant>
        <vt:lpwstr/>
      </vt:variant>
      <vt:variant>
        <vt:lpwstr>_Toc402533638</vt:lpwstr>
      </vt:variant>
      <vt:variant>
        <vt:i4>1179699</vt:i4>
      </vt:variant>
      <vt:variant>
        <vt:i4>2</vt:i4>
      </vt:variant>
      <vt:variant>
        <vt:i4>0</vt:i4>
      </vt:variant>
      <vt:variant>
        <vt:i4>5</vt:i4>
      </vt:variant>
      <vt:variant>
        <vt:lpwstr/>
      </vt:variant>
      <vt:variant>
        <vt:lpwstr>_Toc402533637</vt:lpwstr>
      </vt:variant>
      <vt:variant>
        <vt:i4>6750211</vt:i4>
      </vt:variant>
      <vt:variant>
        <vt:i4>127203</vt:i4>
      </vt:variant>
      <vt:variant>
        <vt:i4>1038</vt:i4>
      </vt:variant>
      <vt:variant>
        <vt:i4>1</vt:i4>
      </vt:variant>
      <vt:variant>
        <vt:lpwstr>cid:image011.png@01CFF844.4C457A40</vt:lpwstr>
      </vt:variant>
      <vt:variant>
        <vt:lpwstr/>
      </vt:variant>
      <vt:variant>
        <vt:i4>5505034</vt:i4>
      </vt:variant>
      <vt:variant>
        <vt:i4>-1</vt:i4>
      </vt:variant>
      <vt:variant>
        <vt:i4>1052</vt:i4>
      </vt:variant>
      <vt:variant>
        <vt:i4>1</vt:i4>
      </vt:variant>
      <vt:variant>
        <vt:lpwstr>http://web.presidencia.gov.co/asiescolombia/escudocolgar.jpg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Agencia Nacional de Infraestructu</dc:subject>
  <dc:creator>Oscar Rosero</dc:creator>
  <cp:keywords>Agencia Nacional de Infraestructura</cp:keywords>
  <dc:description/>
  <cp:lastModifiedBy>Oscar Laureano Rosero Jimenez</cp:lastModifiedBy>
  <cp:revision>2</cp:revision>
  <cp:lastPrinted>2015-02-05T22:55:00Z</cp:lastPrinted>
  <dcterms:created xsi:type="dcterms:W3CDTF">2015-02-05T22:54:00Z</dcterms:created>
  <dcterms:modified xsi:type="dcterms:W3CDTF">2015-02-05T22:55:00Z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0x0101009F3F96E034E27D4C8AAFCB80A4B1D6CB</vt:lpwstr>
  </property>
</Properties>
</file>