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A517" w14:textId="4A7E57E6" w:rsidR="005570F7" w:rsidRPr="002C238C" w:rsidRDefault="00ED2B68" w:rsidP="00261FB9">
      <w:pPr>
        <w:spacing w:after="0"/>
        <w:jc w:val="both"/>
      </w:pPr>
      <w:r w:rsidRPr="002C238C">
        <w:t xml:space="preserve"> </w:t>
      </w:r>
      <w:r w:rsidRPr="002C238C">
        <w:tab/>
      </w:r>
      <w:r w:rsidRPr="002C238C">
        <w:tab/>
      </w:r>
      <w:r w:rsidRPr="002C238C">
        <w:tab/>
      </w:r>
      <w:r w:rsidRPr="002C238C">
        <w:tab/>
      </w:r>
      <w:r w:rsidRPr="002C238C">
        <w:tab/>
      </w:r>
    </w:p>
    <w:p w14:paraId="6BFEDF21" w14:textId="2BC2E741" w:rsidR="005570F7" w:rsidRPr="002C238C" w:rsidRDefault="005570F7" w:rsidP="00261FB9">
      <w:pPr>
        <w:spacing w:after="0"/>
        <w:jc w:val="both"/>
        <w:rPr>
          <w:b/>
        </w:rPr>
      </w:pPr>
    </w:p>
    <w:p w14:paraId="6F2E8299" w14:textId="66552D8D" w:rsidR="005570F7" w:rsidRPr="002C238C" w:rsidRDefault="005570F7" w:rsidP="00261FB9">
      <w:pPr>
        <w:spacing w:after="0"/>
        <w:jc w:val="both"/>
        <w:rPr>
          <w:b/>
        </w:rPr>
      </w:pPr>
    </w:p>
    <w:p w14:paraId="6CC171BB" w14:textId="54350845" w:rsidR="005570F7" w:rsidRPr="002C238C" w:rsidRDefault="005570F7" w:rsidP="00261FB9">
      <w:pPr>
        <w:spacing w:after="0"/>
        <w:jc w:val="both"/>
        <w:rPr>
          <w:b/>
        </w:rPr>
      </w:pPr>
    </w:p>
    <w:p w14:paraId="118B2A4B" w14:textId="22E22FF4" w:rsidR="005570F7" w:rsidRPr="002C238C" w:rsidRDefault="005570F7" w:rsidP="00261FB9">
      <w:pPr>
        <w:spacing w:after="0"/>
        <w:jc w:val="both"/>
        <w:rPr>
          <w:b/>
        </w:rPr>
      </w:pPr>
    </w:p>
    <w:p w14:paraId="5A5659AA" w14:textId="3DBAA72C" w:rsidR="005570F7" w:rsidRPr="002C238C" w:rsidRDefault="005570F7" w:rsidP="00261FB9">
      <w:pPr>
        <w:spacing w:after="0"/>
        <w:jc w:val="both"/>
        <w:rPr>
          <w:b/>
        </w:rPr>
      </w:pPr>
    </w:p>
    <w:p w14:paraId="3CAC29B6" w14:textId="33C90615" w:rsidR="005570F7" w:rsidRPr="002C238C" w:rsidRDefault="005570F7" w:rsidP="00261FB9">
      <w:pPr>
        <w:spacing w:after="0"/>
        <w:jc w:val="both"/>
        <w:rPr>
          <w:b/>
        </w:rPr>
      </w:pPr>
    </w:p>
    <w:p w14:paraId="41FB1ABC" w14:textId="593D8699" w:rsidR="005570F7" w:rsidRPr="002C238C" w:rsidRDefault="005570F7" w:rsidP="00261FB9">
      <w:pPr>
        <w:spacing w:after="0"/>
        <w:jc w:val="both"/>
        <w:rPr>
          <w:b/>
        </w:rPr>
      </w:pPr>
    </w:p>
    <w:p w14:paraId="28616F6E" w14:textId="77777777" w:rsidR="005570F7" w:rsidRPr="002C238C" w:rsidRDefault="005570F7" w:rsidP="00261FB9">
      <w:pPr>
        <w:spacing w:after="0"/>
        <w:jc w:val="both"/>
        <w:rPr>
          <w:b/>
        </w:rPr>
      </w:pPr>
    </w:p>
    <w:p w14:paraId="68462C2F" w14:textId="6357E4B6" w:rsidR="005570F7" w:rsidRPr="002C238C" w:rsidRDefault="005570F7" w:rsidP="00261FB9">
      <w:pPr>
        <w:spacing w:after="0"/>
        <w:jc w:val="both"/>
        <w:rPr>
          <w:b/>
        </w:rPr>
      </w:pPr>
    </w:p>
    <w:p w14:paraId="6719F631" w14:textId="48504AE2" w:rsidR="005570F7" w:rsidRPr="002C238C" w:rsidRDefault="005570F7" w:rsidP="00261FB9">
      <w:pPr>
        <w:spacing w:after="0"/>
        <w:jc w:val="both"/>
        <w:rPr>
          <w:b/>
        </w:rPr>
      </w:pPr>
    </w:p>
    <w:p w14:paraId="6A069DF3" w14:textId="5AD2210C" w:rsidR="005570F7" w:rsidRPr="002C238C" w:rsidRDefault="005570F7" w:rsidP="00261FB9">
      <w:pPr>
        <w:spacing w:after="0"/>
        <w:jc w:val="both"/>
        <w:rPr>
          <w:b/>
        </w:rPr>
      </w:pPr>
    </w:p>
    <w:p w14:paraId="1AE65F8D" w14:textId="798144EF" w:rsidR="005570F7" w:rsidRPr="002C238C" w:rsidRDefault="005570F7" w:rsidP="00261FB9">
      <w:pPr>
        <w:spacing w:after="0"/>
        <w:jc w:val="both"/>
        <w:rPr>
          <w:b/>
        </w:rPr>
      </w:pPr>
    </w:p>
    <w:p w14:paraId="12EC69C2" w14:textId="40D1D7FC" w:rsidR="005570F7" w:rsidRPr="002C238C" w:rsidRDefault="008A53DE" w:rsidP="00261FB9">
      <w:pPr>
        <w:spacing w:after="0"/>
        <w:jc w:val="both"/>
        <w:rPr>
          <w:b/>
        </w:rPr>
      </w:pPr>
      <w:r w:rsidRPr="002C238C">
        <w:rPr>
          <w:noProof/>
          <w:lang w:eastAsia="es-CO"/>
        </w:rPr>
        <mc:AlternateContent>
          <mc:Choice Requires="wps">
            <w:drawing>
              <wp:anchor distT="0" distB="0" distL="114300" distR="114300" simplePos="0" relativeHeight="251659264" behindDoc="0" locked="0" layoutInCell="1" allowOverlap="1" wp14:anchorId="2982760B" wp14:editId="4CA667E3">
                <wp:simplePos x="0" y="0"/>
                <wp:positionH relativeFrom="page">
                  <wp:posOffset>515620</wp:posOffset>
                </wp:positionH>
                <wp:positionV relativeFrom="paragraph">
                  <wp:posOffset>217170</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EC" id="Rectángulo 2" o:spid="_x0000_s1026" style="position:absolute;margin-left:40.6pt;margin-top:17.1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OkJgergAAAACgEAAA8AAABkcnMvZG93bnJl&#10;di54bWxMj0FPg0AQhe8m/ofNmHizC1hrgyyN0ZCoB42lP2DKjkDKzhJ2W2h/vctJT5OZ9/Lme9lm&#10;Mp040eBaywriRQSCuLK65VrBrizu1iCcR9bYWSYFZ3Kwya+vMky1HfmbTltfixDCLkUFjfd9KqWr&#10;GjLoFrYnDtqPHQz6sA611AOOIdx0MomilTTYcvjQYE8vDVWH7dEo+CrPxXj5xA+dvF/iw+7tNSn6&#10;Uqnbm+n5CYSnyf+ZYcYP6JAHpr09snaiU7COk+BUcL8Mc9bj1XzZK1gmD48g80z+r5D/AgAA//8D&#10;AFBLAQItABQABgAIAAAAIQC2gziS/gAAAOEBAAATAAAAAAAAAAAAAAAAAAAAAABbQ29udGVudF9U&#10;eXBlc10ueG1sUEsBAi0AFAAGAAgAAAAhADj9If/WAAAAlAEAAAsAAAAAAAAAAAAAAAAALwEAAF9y&#10;ZWxzLy5yZWxzUEsBAi0AFAAGAAgAAAAhADopr9+dAgAAlQUAAA4AAAAAAAAAAAAAAAAALgIAAGRy&#10;cy9lMm9Eb2MueG1sUEsBAi0AFAAGAAgAAAAhAOkJgergAAAACgEAAA8AAAAAAAAAAAAAAAAA9wQA&#10;AGRycy9kb3ducmV2LnhtbFBLBQYAAAAABAAEAPMAAAAEBgAAAAA=&#10;" filled="f" strokecolor="#ed7d31 [3205]" strokeweight="1pt">
                <w10:wrap anchorx="page"/>
              </v:rect>
            </w:pict>
          </mc:Fallback>
        </mc:AlternateContent>
      </w:r>
    </w:p>
    <w:p w14:paraId="12A20089" w14:textId="6F17C824" w:rsidR="005570F7" w:rsidRPr="002C238C" w:rsidRDefault="008A53DE" w:rsidP="00261FB9">
      <w:pPr>
        <w:spacing w:after="0"/>
        <w:jc w:val="both"/>
        <w:rPr>
          <w:b/>
        </w:rPr>
      </w:pPr>
      <w:r w:rsidRPr="002C238C">
        <w:rPr>
          <w:noProof/>
          <w:lang w:eastAsia="es-CO"/>
        </w:rPr>
        <mc:AlternateContent>
          <mc:Choice Requires="wps">
            <w:drawing>
              <wp:anchor distT="0" distB="0" distL="114300" distR="114300" simplePos="0" relativeHeight="251661312" behindDoc="0" locked="0" layoutInCell="1" allowOverlap="1" wp14:anchorId="07F1B6C4" wp14:editId="333F2C80">
                <wp:simplePos x="0" y="0"/>
                <wp:positionH relativeFrom="margin">
                  <wp:posOffset>423545</wp:posOffset>
                </wp:positionH>
                <wp:positionV relativeFrom="paragraph">
                  <wp:posOffset>77470</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0C17" id="Rectángulo: esquinas redondeadas 5" o:spid="_x0000_s1026" style="position:absolute;margin-left:33.35pt;margin-top:6.1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M1tx698AAAAJAQAA&#10;DwAAAGRycy9kb3ducmV2LnhtbEyPwU7DMBBE70j8g7VI3KjTUNI2jVMBEqpAXCiI8yZekkC8DrHb&#10;pHw97qk9zs5o5m22Hk0r9tS7xrKC6SQCQVxa3XCl4OP96WYBwnlkja1lUnAgB+v88iLDVNuB32i/&#10;9ZUIJexSVFB736VSurImg25iO+LgfdneoA+yr6TucQjlppVxFCXSYMNhocaOHmsqf7Y7o2Cjn1/v&#10;DljQbHh4iTea/8bP32+lrq/G+xUIT6M/heGIH9AhD0yF3bF2olWQJPOQDPc4BnH0p8sZiELB7SKa&#10;g8wzef5B/g8AAP//AwBQSwECLQAUAAYACAAAACEAtoM4kv4AAADhAQAAEwAAAAAAAAAAAAAAAAAA&#10;AAAAW0NvbnRlbnRfVHlwZXNdLnhtbFBLAQItABQABgAIAAAAIQA4/SH/1gAAAJQBAAALAAAAAAAA&#10;AAAAAAAAAC8BAABfcmVscy8ucmVsc1BLAQItABQABgAIAAAAIQDWhLuPqwIAAM0FAAAOAAAAAAAA&#10;AAAAAAAAAC4CAABkcnMvZTJvRG9jLnhtbFBLAQItABQABgAIAAAAIQAzW3Hr3wAAAAkBAAAPAAAA&#10;AAAAAAAAAAAAAAUFAABkcnMvZG93bnJldi54bWxQSwUGAAAAAAQABADzAAAAEQYAAAAA&#10;" fillcolor="#ed7d31 [3205]" strokecolor="white [3212]" strokeweight="1pt">
                <v:stroke joinstyle="miter"/>
                <w10:wrap anchorx="margin"/>
              </v:roundrect>
            </w:pict>
          </mc:Fallback>
        </mc:AlternateContent>
      </w:r>
      <w:r w:rsidRPr="002C238C">
        <w:rPr>
          <w:noProof/>
          <w:lang w:eastAsia="es-CO"/>
        </w:rPr>
        <mc:AlternateContent>
          <mc:Choice Requires="wps">
            <w:drawing>
              <wp:anchor distT="0" distB="0" distL="114300" distR="114300" simplePos="0" relativeHeight="251662336" behindDoc="0" locked="0" layoutInCell="1" allowOverlap="1" wp14:anchorId="2FDA308F" wp14:editId="41084560">
                <wp:simplePos x="0" y="0"/>
                <wp:positionH relativeFrom="column">
                  <wp:posOffset>1091565</wp:posOffset>
                </wp:positionH>
                <wp:positionV relativeFrom="paragraph">
                  <wp:posOffset>149860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14:paraId="799A11E0" w14:textId="0E38CCB2"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Plan de</w:t>
                            </w:r>
                            <w:r w:rsidR="00EC028B" w:rsidRPr="00EC028B">
                              <w:rPr>
                                <w:rFonts w:ascii="Work Sans" w:hAnsi="Work Sans"/>
                                <w:b/>
                                <w:sz w:val="28"/>
                                <w:szCs w:val="28"/>
                              </w:rPr>
                              <w:t xml:space="preserve">l Sistema </w:t>
                            </w:r>
                            <w:r w:rsidR="00F3520B">
                              <w:rPr>
                                <w:rFonts w:ascii="Work Sans" w:hAnsi="Work Sans"/>
                                <w:b/>
                                <w:sz w:val="28"/>
                                <w:szCs w:val="28"/>
                              </w:rPr>
                              <w:t xml:space="preserve">de </w:t>
                            </w:r>
                            <w:r w:rsidR="00EC028B" w:rsidRPr="00EC028B">
                              <w:rPr>
                                <w:rFonts w:ascii="Work Sans" w:hAnsi="Work Sans"/>
                                <w:b/>
                                <w:sz w:val="28"/>
                                <w:szCs w:val="28"/>
                              </w:rPr>
                              <w:t>Ge</w:t>
                            </w:r>
                            <w:r w:rsidR="00F3520B">
                              <w:rPr>
                                <w:rFonts w:ascii="Work Sans" w:hAnsi="Work Sans"/>
                                <w:b/>
                                <w:sz w:val="28"/>
                                <w:szCs w:val="28"/>
                              </w:rPr>
                              <w:t>stión</w:t>
                            </w:r>
                            <w:r w:rsidR="00EC028B" w:rsidRPr="00EC028B">
                              <w:rPr>
                                <w:rFonts w:ascii="Work Sans" w:hAnsi="Work Sans"/>
                                <w:b/>
                                <w:sz w:val="28"/>
                                <w:szCs w:val="28"/>
                              </w:rPr>
                              <w:t xml:space="preserve"> de</w:t>
                            </w:r>
                            <w:r w:rsidR="00F3520B">
                              <w:rPr>
                                <w:rFonts w:ascii="Work Sans" w:hAnsi="Work Sans"/>
                                <w:b/>
                                <w:sz w:val="28"/>
                                <w:szCs w:val="28"/>
                              </w:rPr>
                              <w:t xml:space="preserve"> la</w:t>
                            </w:r>
                            <w:r w:rsidR="00EC028B" w:rsidRPr="00EC028B">
                              <w:rPr>
                                <w:rFonts w:ascii="Work Sans" w:hAnsi="Work Sans"/>
                                <w:b/>
                                <w:sz w:val="28"/>
                                <w:szCs w:val="28"/>
                              </w:rPr>
                              <w:t xml:space="preserve"> Seguridad y Salud en </w:t>
                            </w:r>
                            <w:r w:rsidR="00EC028B">
                              <w:rPr>
                                <w:rFonts w:ascii="Work Sans" w:hAnsi="Work Sans"/>
                                <w:b/>
                                <w:sz w:val="28"/>
                                <w:szCs w:val="28"/>
                              </w:rPr>
                              <w:t>e</w:t>
                            </w:r>
                            <w:r w:rsidR="00EC028B" w:rsidRPr="00EC028B">
                              <w:rPr>
                                <w:rFonts w:ascii="Work Sans" w:hAnsi="Work Sans"/>
                                <w:b/>
                                <w:sz w:val="28"/>
                                <w:szCs w:val="28"/>
                              </w:rPr>
                              <w:t>l Trabajo (SG-SST)</w:t>
                            </w:r>
                          </w:p>
                          <w:p w14:paraId="45EEA238" w14:textId="77777777" w:rsidR="00062CEC" w:rsidRPr="00EC028B" w:rsidRDefault="00062CEC" w:rsidP="005570F7">
                            <w:pPr>
                              <w:spacing w:after="0" w:line="276" w:lineRule="auto"/>
                              <w:rPr>
                                <w:rFonts w:ascii="Work Sans" w:hAnsi="Work Sans"/>
                                <w:b/>
                                <w:sz w:val="28"/>
                                <w:szCs w:val="28"/>
                              </w:rPr>
                            </w:pPr>
                          </w:p>
                          <w:p w14:paraId="1F3C389F" w14:textId="77777777"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Grupo Interno de Trabajo de Talento Humano</w:t>
                            </w:r>
                          </w:p>
                          <w:p w14:paraId="6454E77A" w14:textId="77777777"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Vicepresidencia Administrativa y Financiera</w:t>
                            </w:r>
                          </w:p>
                          <w:p w14:paraId="28412A9C" w14:textId="77777777" w:rsidR="00062CEC" w:rsidRPr="00EF18E6" w:rsidRDefault="00062CEC"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85.95pt;margin-top:11.8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DLWZw/fAAAACgEAAA8AAABkcnMvZG93bnJldi54bWxMj8FOwzAMhu9IvENkJG4sXVeF&#10;rjSdKhBCAiTE4LJb1pi2onGqJtu6t8ec4Pjbn35/LjezG8QRp9B70rBcJCCQGm97ajV8fjze5CBC&#10;NGTN4Ak1nDHAprq8KE1h/Yne8biNreASCoXR0MU4FlKGpkNnwsKPSLz78pMzkePUSjuZE5e7QaZJ&#10;oqQzPfGFzox432HzvT04Dc/Zzjys4gueI81vdf2Uj1l41fr6aq7vQESc4x8Mv/qsDhU77f2BbBAD&#10;59vlmlEN6UqBYCBXKgOx50GWKpBVKf+/UP0AAAD//wMAUEsBAi0AFAAGAAgAAAAhALaDOJL+AAAA&#10;4QEAABMAAAAAAAAAAAAAAAAAAAAAAFtDb250ZW50X1R5cGVzXS54bWxQSwECLQAUAAYACAAAACEA&#10;OP0h/9YAAACUAQAACwAAAAAAAAAAAAAAAAAvAQAAX3JlbHMvLnJlbHNQSwECLQAUAAYACAAAACEA&#10;7llsgUwCAACpBAAADgAAAAAAAAAAAAAAAAAuAgAAZHJzL2Uyb0RvYy54bWxQSwECLQAUAAYACAAA&#10;ACEAMtZnD98AAAAKAQAADwAAAAAAAAAAAAAAAACmBAAAZHJzL2Rvd25yZXYueG1sUEsFBgAAAAAE&#10;AAQA8wAAALIFAAAAAA==&#10;" fillcolor="white [3201]" strokecolor="white [3212]" strokeweight=".5pt">
                <v:textbox>
                  <w:txbxContent>
                    <w:p w14:paraId="799A11E0" w14:textId="0E38CCB2"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Plan de</w:t>
                      </w:r>
                      <w:r w:rsidR="00EC028B" w:rsidRPr="00EC028B">
                        <w:rPr>
                          <w:rFonts w:ascii="Work Sans" w:hAnsi="Work Sans"/>
                          <w:b/>
                          <w:sz w:val="28"/>
                          <w:szCs w:val="28"/>
                        </w:rPr>
                        <w:t xml:space="preserve">l Sistema </w:t>
                      </w:r>
                      <w:r w:rsidR="00F3520B">
                        <w:rPr>
                          <w:rFonts w:ascii="Work Sans" w:hAnsi="Work Sans"/>
                          <w:b/>
                          <w:sz w:val="28"/>
                          <w:szCs w:val="28"/>
                        </w:rPr>
                        <w:t xml:space="preserve">de </w:t>
                      </w:r>
                      <w:r w:rsidR="00EC028B" w:rsidRPr="00EC028B">
                        <w:rPr>
                          <w:rFonts w:ascii="Work Sans" w:hAnsi="Work Sans"/>
                          <w:b/>
                          <w:sz w:val="28"/>
                          <w:szCs w:val="28"/>
                        </w:rPr>
                        <w:t>Ge</w:t>
                      </w:r>
                      <w:r w:rsidR="00F3520B">
                        <w:rPr>
                          <w:rFonts w:ascii="Work Sans" w:hAnsi="Work Sans"/>
                          <w:b/>
                          <w:sz w:val="28"/>
                          <w:szCs w:val="28"/>
                        </w:rPr>
                        <w:t>stión</w:t>
                      </w:r>
                      <w:r w:rsidR="00EC028B" w:rsidRPr="00EC028B">
                        <w:rPr>
                          <w:rFonts w:ascii="Work Sans" w:hAnsi="Work Sans"/>
                          <w:b/>
                          <w:sz w:val="28"/>
                          <w:szCs w:val="28"/>
                        </w:rPr>
                        <w:t xml:space="preserve"> de</w:t>
                      </w:r>
                      <w:r w:rsidR="00F3520B">
                        <w:rPr>
                          <w:rFonts w:ascii="Work Sans" w:hAnsi="Work Sans"/>
                          <w:b/>
                          <w:sz w:val="28"/>
                          <w:szCs w:val="28"/>
                        </w:rPr>
                        <w:t xml:space="preserve"> la</w:t>
                      </w:r>
                      <w:r w:rsidR="00EC028B" w:rsidRPr="00EC028B">
                        <w:rPr>
                          <w:rFonts w:ascii="Work Sans" w:hAnsi="Work Sans"/>
                          <w:b/>
                          <w:sz w:val="28"/>
                          <w:szCs w:val="28"/>
                        </w:rPr>
                        <w:t xml:space="preserve"> Seguridad y Salud en </w:t>
                      </w:r>
                      <w:r w:rsidR="00EC028B">
                        <w:rPr>
                          <w:rFonts w:ascii="Work Sans" w:hAnsi="Work Sans"/>
                          <w:b/>
                          <w:sz w:val="28"/>
                          <w:szCs w:val="28"/>
                        </w:rPr>
                        <w:t>e</w:t>
                      </w:r>
                      <w:r w:rsidR="00EC028B" w:rsidRPr="00EC028B">
                        <w:rPr>
                          <w:rFonts w:ascii="Work Sans" w:hAnsi="Work Sans"/>
                          <w:b/>
                          <w:sz w:val="28"/>
                          <w:szCs w:val="28"/>
                        </w:rPr>
                        <w:t>l Trabajo (SG-SST)</w:t>
                      </w:r>
                    </w:p>
                    <w:p w14:paraId="45EEA238" w14:textId="77777777" w:rsidR="00062CEC" w:rsidRPr="00EC028B" w:rsidRDefault="00062CEC" w:rsidP="005570F7">
                      <w:pPr>
                        <w:spacing w:after="0" w:line="276" w:lineRule="auto"/>
                        <w:rPr>
                          <w:rFonts w:ascii="Work Sans" w:hAnsi="Work Sans"/>
                          <w:b/>
                          <w:sz w:val="28"/>
                          <w:szCs w:val="28"/>
                        </w:rPr>
                      </w:pPr>
                    </w:p>
                    <w:p w14:paraId="1F3C389F" w14:textId="77777777"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Grupo Interno de Trabajo de Talento Humano</w:t>
                      </w:r>
                    </w:p>
                    <w:p w14:paraId="6454E77A" w14:textId="77777777" w:rsidR="00062CEC" w:rsidRPr="00EC028B" w:rsidRDefault="00062CEC" w:rsidP="005570F7">
                      <w:pPr>
                        <w:spacing w:after="0" w:line="276" w:lineRule="auto"/>
                        <w:rPr>
                          <w:rFonts w:ascii="Work Sans" w:hAnsi="Work Sans"/>
                          <w:b/>
                          <w:sz w:val="28"/>
                          <w:szCs w:val="28"/>
                        </w:rPr>
                      </w:pPr>
                      <w:r w:rsidRPr="00EC028B">
                        <w:rPr>
                          <w:rFonts w:ascii="Work Sans" w:hAnsi="Work Sans"/>
                          <w:b/>
                          <w:sz w:val="28"/>
                          <w:szCs w:val="28"/>
                        </w:rPr>
                        <w:t>Vicepresidencia Administrativa y Financiera</w:t>
                      </w:r>
                    </w:p>
                    <w:p w14:paraId="28412A9C" w14:textId="77777777" w:rsidR="00062CEC" w:rsidRPr="00EF18E6" w:rsidRDefault="00062CEC" w:rsidP="005570F7">
                      <w:pPr>
                        <w:spacing w:after="0" w:line="240" w:lineRule="auto"/>
                        <w:rPr>
                          <w:rFonts w:ascii="Franklin Gothic Demi Cond" w:hAnsi="Franklin Gothic Demi Cond"/>
                          <w:sz w:val="28"/>
                          <w:szCs w:val="28"/>
                        </w:rPr>
                      </w:pPr>
                    </w:p>
                  </w:txbxContent>
                </v:textbox>
              </v:shape>
            </w:pict>
          </mc:Fallback>
        </mc:AlternateContent>
      </w:r>
    </w:p>
    <w:p w14:paraId="6BFB3F10" w14:textId="5101AD45" w:rsidR="005570F7" w:rsidRPr="002C238C" w:rsidRDefault="005570F7" w:rsidP="00261FB9">
      <w:pPr>
        <w:spacing w:after="0"/>
        <w:jc w:val="both"/>
        <w:rPr>
          <w:b/>
        </w:rPr>
      </w:pPr>
    </w:p>
    <w:p w14:paraId="20AF4AF7" w14:textId="1F38EE2F" w:rsidR="005570F7" w:rsidRPr="002C238C" w:rsidRDefault="008A53DE" w:rsidP="00261FB9">
      <w:pPr>
        <w:spacing w:after="0"/>
        <w:jc w:val="both"/>
        <w:rPr>
          <w:b/>
        </w:rPr>
      </w:pPr>
      <w:r w:rsidRPr="002C238C">
        <w:rPr>
          <w:noProof/>
          <w:lang w:eastAsia="es-CO"/>
        </w:rPr>
        <mc:AlternateContent>
          <mc:Choice Requires="wps">
            <w:drawing>
              <wp:anchor distT="0" distB="0" distL="114300" distR="114300" simplePos="0" relativeHeight="251664384" behindDoc="0" locked="0" layoutInCell="1" allowOverlap="1" wp14:anchorId="04C6139C" wp14:editId="20491D27">
                <wp:simplePos x="0" y="0"/>
                <wp:positionH relativeFrom="margin">
                  <wp:posOffset>92710</wp:posOffset>
                </wp:positionH>
                <wp:positionV relativeFrom="paragraph">
                  <wp:posOffset>73025</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6FDA" id="Rectángulo: esquinas redondeadas 4" o:spid="_x0000_s1026" style="position:absolute;margin-left:7.3pt;margin-top:5.75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B1NBeneAAAACAEA&#10;AA8AAABkcnMvZG93bnJldi54bWxMj8FOwzAQRO9I/QdrK3GjTpM2oBCnAiRUgbhQEGcn3iYp8TrE&#10;bpPy9SwnOK1GM5p9k28m24kTDr51pGC5iEAgVc60VCt4f3u8ugHhgyajO0eo4IweNsXsIteZcSO9&#10;4mkXasEl5DOtoAmhz6T0VYNW+4Xrkdjbu8HqwHKopRn0yOW2k3EUpdLqlvhDo3t8aLD63B2tgq15&#10;elmfdYmr8f453hr6nj6+Dkpdzqe7WxABp/AXhl98RoeCmUp3JONFx3qVcpLvcg2C/fQ6AVEqSOIk&#10;AVnk8v+A4gcAAP//AwBQSwECLQAUAAYACAAAACEAtoM4kv4AAADhAQAAEwAAAAAAAAAAAAAAAAAA&#10;AAAAW0NvbnRlbnRfVHlwZXNdLnhtbFBLAQItABQABgAIAAAAIQA4/SH/1gAAAJQBAAALAAAAAAAA&#10;AAAAAAAAAC8BAABfcmVscy8ucmVsc1BLAQItABQABgAIAAAAIQAZIk4XrAIAAM0FAAAOAAAAAAAA&#10;AAAAAAAAAC4CAABkcnMvZTJvRG9jLnhtbFBLAQItABQABgAIAAAAIQAdTQXp3gAAAAgBAAAPAAAA&#10;AAAAAAAAAAAAAAYFAABkcnMvZG93bnJldi54bWxQSwUGAAAAAAQABADzAAAAEQYAAAAA&#10;" fillcolor="#ed7d31 [3205]" strokecolor="white [3212]" strokeweight="1pt">
                <v:stroke joinstyle="miter"/>
                <w10:wrap anchorx="margin"/>
              </v:roundrect>
            </w:pict>
          </mc:Fallback>
        </mc:AlternateContent>
      </w:r>
    </w:p>
    <w:p w14:paraId="7FDBACD5" w14:textId="6616415C" w:rsidR="005570F7" w:rsidRPr="002C238C" w:rsidRDefault="008A53DE" w:rsidP="00261FB9">
      <w:pPr>
        <w:spacing w:after="0"/>
        <w:jc w:val="both"/>
        <w:rPr>
          <w:b/>
        </w:rPr>
      </w:pPr>
      <w:r w:rsidRPr="002C238C">
        <w:rPr>
          <w:noProof/>
          <w:lang w:eastAsia="es-CO"/>
        </w:rPr>
        <mc:AlternateContent>
          <mc:Choice Requires="wps">
            <w:drawing>
              <wp:anchor distT="0" distB="0" distL="114300" distR="114300" simplePos="0" relativeHeight="251660288" behindDoc="0" locked="0" layoutInCell="1" allowOverlap="1" wp14:anchorId="7C49E01C" wp14:editId="620F8451">
                <wp:simplePos x="0" y="0"/>
                <wp:positionH relativeFrom="leftMargin">
                  <wp:posOffset>834390</wp:posOffset>
                </wp:positionH>
                <wp:positionV relativeFrom="paragraph">
                  <wp:posOffset>243840</wp:posOffset>
                </wp:positionV>
                <wp:extent cx="334645" cy="1619250"/>
                <wp:effectExtent l="0" t="0" r="27305" b="19050"/>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25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1B75" id="Rectángulo: esquinas redondeadas 3" o:spid="_x0000_s1026" style="position:absolute;margin-left:65.7pt;margin-top:19.2pt;width:26.3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8rAIAAM0FAAAOAAAAZHJzL2Uyb0RvYy54bWysVNtu2zAMfR+wfxD0vjrOpVuNOkXQosOA&#10;og3aDn1WZCkWIIuapNz2N/uW/dgo+dKsLTZgWB4UyiQPySOS5xf7RpOtcF6BKWl+MqJEGA6VMuuS&#10;fn28/vCJEh+YqZgGI0p6EJ5ezN+/O9/ZQoyhBl0JRxDE+GJnS1qHYIss87wWDfMnYIVBpQTXsIBX&#10;t84qx3aI3uhsPBqdZjtwlXXAhff49apV0nnCl1LwcCelF4HokmJuIZ0unat4ZvNzVqwds7XiXRrs&#10;H7JomDIYdIC6YoGRjVOvoBrFHXiQ4YRDk4GUiotUA1aTj15U81AzK1ItSI63A03+/8Hy2+3SEVWV&#10;dEKJYQ0+0T2S9vOHWW80FET4bxtlmCdOVGAqwSqUJ5G2nfUFej/YpetuHsXIwV66Jv5jdWSfqD4M&#10;VIt9IBw/TibT0+mMEo6q/DQ/G8/SW2TP3tb58FlAQ6JQUgcbU8XUEs1se+MDhkX73i5G9KBVda20&#10;TpfYQ+JSO7Jl+PqMc2HCOKaOXr9ZavM359U6f+2IMNEzi0y0tScpHLSIeNrcC4nUYrXjlHRq6pcJ&#10;5a2qZpVo85yN8NcH60tIOSfAiCyxwgG7A+gtj4vtc+7so6tIMzE4j/6UWMvU4JEigwmDc6MMuLcA&#10;dBgit/Y9SS01kaUVVAdsPAftRHrLrxW+8w3zYckcjiAOK66VcIeH1LArKXQSJTW47299j/Y4Gail&#10;ZIcjXVJsXuYEJfqLwZk5y6fTuAPSZTr7OMaLO9asjjVm01wC9k2OC8zyJEb7oHtROmiecPssYlRU&#10;McMxdkl5cP3lMrSrBvcXF4tFMsO5tyzcmAfLI3hkNbbw4/6JOds1e8AxuYV+/Fnxot1b2+hpYLEJ&#10;IFWahWdeO75xZ6TG6fZbXErH92T1vIXnvwAAAP//AwBQSwMEFAAGAAgAAAAhAAFfX/vfAAAACgEA&#10;AA8AAABkcnMvZG93bnJldi54bWxMj01PwzAMhu9I/IfISNxY+gUqpekESGgCcWEgzm5j2kLjlCZb&#10;O3492QlO1is/ev24XC9mEHuaXG9ZQbyKQBA3VvfcKnh7fbjIQTiPrHGwTAoO5GBdnZ6UWGg78wvt&#10;t74VoYRdgQo678dCStd0ZNCt7Egcdh92MuhDnFqpJ5xDuRlkEkVX0mDP4UKHI9131Hxtd0bBRj8+&#10;Xx6wpmy+e0o2mn+W9+9Ppc7PltsbEJ4W/wfDUT+oQxWcartj7cQQchpnAVWQ5mEegTyLQdQKkus0&#10;A1mV8v8L1S8AAAD//wMAUEsBAi0AFAAGAAgAAAAhALaDOJL+AAAA4QEAABMAAAAAAAAAAAAAAAAA&#10;AAAAAFtDb250ZW50X1R5cGVzXS54bWxQSwECLQAUAAYACAAAACEAOP0h/9YAAACUAQAACwAAAAAA&#10;AAAAAAAAAAAvAQAAX3JlbHMvLnJlbHNQSwECLQAUAAYACAAAACEAWQIEPKwCAADNBQAADgAAAAAA&#10;AAAAAAAAAAAuAgAAZHJzL2Uyb0RvYy54bWxQSwECLQAUAAYACAAAACEAAV9f+98AAAAKAQAADwAA&#10;AAAAAAAAAAAAAAAGBQAAZHJzL2Rvd25yZXYueG1sUEsFBgAAAAAEAAQA8wAAABIGAAAAAA==&#10;" fillcolor="#ed7d31 [3205]" strokecolor="white [3212]" strokeweight="1pt">
                <v:stroke joinstyle="miter"/>
                <w10:wrap anchorx="margin"/>
              </v:roundrect>
            </w:pict>
          </mc:Fallback>
        </mc:AlternateContent>
      </w:r>
    </w:p>
    <w:p w14:paraId="2884AD34" w14:textId="30AA9E39" w:rsidR="005570F7" w:rsidRPr="002C238C" w:rsidRDefault="005570F7" w:rsidP="00261FB9">
      <w:pPr>
        <w:spacing w:after="0"/>
        <w:jc w:val="both"/>
        <w:rPr>
          <w:b/>
        </w:rPr>
      </w:pPr>
    </w:p>
    <w:p w14:paraId="0780A7F6" w14:textId="08AEBA7E" w:rsidR="005570F7" w:rsidRPr="002C238C" w:rsidRDefault="005570F7" w:rsidP="00261FB9">
      <w:pPr>
        <w:spacing w:after="0"/>
        <w:jc w:val="both"/>
        <w:rPr>
          <w:b/>
        </w:rPr>
      </w:pPr>
    </w:p>
    <w:p w14:paraId="4D923986" w14:textId="424BB402" w:rsidR="005570F7" w:rsidRPr="002C238C" w:rsidRDefault="008A53DE" w:rsidP="00261FB9">
      <w:pPr>
        <w:spacing w:after="0"/>
        <w:jc w:val="both"/>
        <w:rPr>
          <w:b/>
        </w:rPr>
      </w:pPr>
      <w:r w:rsidRPr="002C238C">
        <w:rPr>
          <w:noProof/>
          <w:lang w:eastAsia="es-CO"/>
        </w:rPr>
        <w:drawing>
          <wp:anchor distT="0" distB="0" distL="114300" distR="114300" simplePos="0" relativeHeight="251663360" behindDoc="0" locked="0" layoutInCell="1" allowOverlap="1" wp14:anchorId="3CA05036" wp14:editId="2FC58465">
            <wp:simplePos x="0" y="0"/>
            <wp:positionH relativeFrom="margin">
              <wp:posOffset>2858770</wp:posOffset>
            </wp:positionH>
            <wp:positionV relativeFrom="paragraph">
              <wp:posOffset>346075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14:paraId="3BC4FD32" w14:textId="3A8F364E" w:rsidR="005570F7" w:rsidRPr="002C238C" w:rsidRDefault="005570F7" w:rsidP="00261FB9">
      <w:pPr>
        <w:spacing w:after="0"/>
        <w:jc w:val="both"/>
        <w:rPr>
          <w:b/>
        </w:rPr>
      </w:pPr>
    </w:p>
    <w:p w14:paraId="6397DA66" w14:textId="77777777" w:rsidR="005570F7" w:rsidRPr="002C238C" w:rsidRDefault="005570F7" w:rsidP="00261FB9">
      <w:pPr>
        <w:spacing w:after="0"/>
        <w:jc w:val="both"/>
        <w:rPr>
          <w:b/>
        </w:rPr>
      </w:pPr>
    </w:p>
    <w:p w14:paraId="1A5CB04A" w14:textId="77777777" w:rsidR="005570F7" w:rsidRPr="002C238C" w:rsidRDefault="005570F7" w:rsidP="00261FB9">
      <w:pPr>
        <w:spacing w:after="0"/>
        <w:jc w:val="both"/>
        <w:rPr>
          <w:b/>
        </w:rPr>
      </w:pPr>
    </w:p>
    <w:p w14:paraId="7096A6FE" w14:textId="77777777" w:rsidR="00D01C29" w:rsidRDefault="00D01C29" w:rsidP="00261FB9">
      <w:pPr>
        <w:spacing w:after="0"/>
        <w:jc w:val="both"/>
        <w:rPr>
          <w:rFonts w:ascii="Work Sans" w:hAnsi="Work Sans"/>
          <w:sz w:val="28"/>
          <w:szCs w:val="28"/>
        </w:rPr>
      </w:pPr>
    </w:p>
    <w:p w14:paraId="07F6B61C" w14:textId="77777777" w:rsidR="00D01C29" w:rsidRDefault="00D01C29" w:rsidP="00261FB9">
      <w:pPr>
        <w:spacing w:after="0"/>
        <w:jc w:val="both"/>
        <w:rPr>
          <w:rFonts w:ascii="Work Sans" w:hAnsi="Work Sans"/>
          <w:sz w:val="28"/>
          <w:szCs w:val="28"/>
        </w:rPr>
      </w:pPr>
    </w:p>
    <w:p w14:paraId="7FEF52F2" w14:textId="77777777" w:rsidR="00D01C29" w:rsidRDefault="00D01C29" w:rsidP="00261FB9">
      <w:pPr>
        <w:spacing w:after="0"/>
        <w:jc w:val="both"/>
        <w:rPr>
          <w:rFonts w:ascii="Work Sans" w:hAnsi="Work Sans"/>
          <w:sz w:val="28"/>
          <w:szCs w:val="28"/>
        </w:rPr>
      </w:pPr>
    </w:p>
    <w:p w14:paraId="1B8C11B7" w14:textId="77777777" w:rsidR="00D01C29" w:rsidRDefault="00D01C29" w:rsidP="00261FB9">
      <w:pPr>
        <w:spacing w:after="0"/>
        <w:jc w:val="both"/>
        <w:rPr>
          <w:rFonts w:ascii="Work Sans" w:hAnsi="Work Sans"/>
          <w:sz w:val="28"/>
          <w:szCs w:val="28"/>
        </w:rPr>
      </w:pPr>
    </w:p>
    <w:p w14:paraId="28AB24BC" w14:textId="77777777" w:rsidR="00D01C29" w:rsidRDefault="00D01C29" w:rsidP="00261FB9">
      <w:pPr>
        <w:spacing w:after="0"/>
        <w:jc w:val="both"/>
        <w:rPr>
          <w:rFonts w:ascii="Work Sans" w:hAnsi="Work Sans"/>
          <w:sz w:val="28"/>
          <w:szCs w:val="28"/>
        </w:rPr>
      </w:pPr>
    </w:p>
    <w:p w14:paraId="30AE8678" w14:textId="77777777" w:rsidR="00D01C29" w:rsidRDefault="00D01C29" w:rsidP="00261FB9">
      <w:pPr>
        <w:spacing w:after="0"/>
        <w:jc w:val="both"/>
        <w:rPr>
          <w:rFonts w:ascii="Work Sans" w:hAnsi="Work Sans"/>
          <w:sz w:val="28"/>
          <w:szCs w:val="28"/>
        </w:rPr>
      </w:pPr>
    </w:p>
    <w:p w14:paraId="14A7ADB7" w14:textId="77777777" w:rsidR="00D01C29" w:rsidRDefault="00D01C29" w:rsidP="00261FB9">
      <w:pPr>
        <w:spacing w:after="0"/>
        <w:jc w:val="both"/>
        <w:rPr>
          <w:rFonts w:ascii="Work Sans" w:hAnsi="Work Sans"/>
          <w:sz w:val="28"/>
          <w:szCs w:val="28"/>
        </w:rPr>
      </w:pPr>
    </w:p>
    <w:p w14:paraId="0425F084" w14:textId="77777777" w:rsidR="00D01C29" w:rsidRDefault="00D01C29" w:rsidP="00261FB9">
      <w:pPr>
        <w:spacing w:after="0"/>
        <w:jc w:val="both"/>
        <w:rPr>
          <w:rFonts w:ascii="Work Sans" w:hAnsi="Work Sans"/>
          <w:sz w:val="28"/>
          <w:szCs w:val="28"/>
        </w:rPr>
      </w:pPr>
    </w:p>
    <w:p w14:paraId="19A1899B" w14:textId="77777777" w:rsidR="00D01C29" w:rsidRDefault="00D01C29" w:rsidP="00261FB9">
      <w:pPr>
        <w:spacing w:after="0"/>
        <w:jc w:val="both"/>
        <w:rPr>
          <w:rFonts w:ascii="Work Sans" w:hAnsi="Work Sans"/>
          <w:sz w:val="28"/>
          <w:szCs w:val="28"/>
        </w:rPr>
      </w:pPr>
    </w:p>
    <w:p w14:paraId="65AA5754" w14:textId="77777777" w:rsidR="00D01C29" w:rsidRDefault="00D01C29" w:rsidP="00261FB9">
      <w:pPr>
        <w:spacing w:after="0"/>
        <w:jc w:val="both"/>
        <w:rPr>
          <w:rFonts w:ascii="Work Sans" w:hAnsi="Work Sans"/>
          <w:sz w:val="28"/>
          <w:szCs w:val="28"/>
        </w:rPr>
      </w:pPr>
    </w:p>
    <w:p w14:paraId="109B9F24" w14:textId="3437DE06" w:rsidR="00B60F91" w:rsidRDefault="005570F7" w:rsidP="001219FF">
      <w:pPr>
        <w:spacing w:after="0"/>
        <w:jc w:val="center"/>
        <w:rPr>
          <w:rFonts w:ascii="Work Sans" w:hAnsi="Work Sans"/>
          <w:sz w:val="28"/>
          <w:szCs w:val="28"/>
        </w:rPr>
      </w:pPr>
      <w:r w:rsidRPr="00B45B96">
        <w:rPr>
          <w:rFonts w:ascii="Work Sans" w:hAnsi="Work Sans"/>
          <w:sz w:val="28"/>
          <w:szCs w:val="28"/>
        </w:rPr>
        <w:t>Bogotá D.C, enero 201</w:t>
      </w:r>
      <w:bookmarkStart w:id="0" w:name="_Toc536178338"/>
      <w:r w:rsidR="001219FF">
        <w:rPr>
          <w:rFonts w:ascii="Work Sans" w:hAnsi="Work Sans"/>
          <w:sz w:val="28"/>
          <w:szCs w:val="28"/>
        </w:rPr>
        <w:t>9</w:t>
      </w:r>
    </w:p>
    <w:p w14:paraId="5E4D6485" w14:textId="6B11542B" w:rsidR="001219FF" w:rsidRDefault="001219FF" w:rsidP="001219FF">
      <w:pPr>
        <w:spacing w:after="0"/>
        <w:jc w:val="center"/>
        <w:rPr>
          <w:rFonts w:ascii="Work Sans" w:hAnsi="Work Sans"/>
          <w:sz w:val="28"/>
          <w:szCs w:val="28"/>
        </w:rPr>
      </w:pPr>
    </w:p>
    <w:p w14:paraId="0F1EA34D" w14:textId="02B14AF7" w:rsidR="00B47886" w:rsidRDefault="00B776A1" w:rsidP="00B47886">
      <w:pPr>
        <w:pStyle w:val="Ttulo1"/>
      </w:pPr>
      <w:r>
        <w:lastRenderedPageBreak/>
        <w:t>INTRODUCCIÓN</w:t>
      </w:r>
      <w:r w:rsidR="00B47886">
        <w:t xml:space="preserve"> </w:t>
      </w:r>
    </w:p>
    <w:p w14:paraId="478CF20B" w14:textId="77777777" w:rsidR="00B47886" w:rsidRPr="00B47886" w:rsidRDefault="00B47886" w:rsidP="00B47886"/>
    <w:p w14:paraId="09323FF3" w14:textId="64A4535A" w:rsidR="00B47886" w:rsidRPr="00B47886" w:rsidRDefault="00B47886" w:rsidP="00B47886">
      <w:pPr>
        <w:spacing w:line="276" w:lineRule="auto"/>
        <w:jc w:val="both"/>
        <w:rPr>
          <w:rFonts w:asciiTheme="majorHAnsi" w:hAnsiTheme="majorHAnsi" w:cs="Arial"/>
          <w:sz w:val="24"/>
          <w:szCs w:val="24"/>
        </w:rPr>
      </w:pPr>
      <w:r w:rsidRPr="00B47886">
        <w:rPr>
          <w:rFonts w:asciiTheme="majorHAnsi" w:hAnsiTheme="majorHAnsi" w:cs="Arial"/>
          <w:sz w:val="24"/>
          <w:szCs w:val="24"/>
        </w:rPr>
        <w:t>El modo de proceder de los trabajadores es un factor fundamental hacia la prevención de accidentes y enfermedades laborales.</w:t>
      </w:r>
    </w:p>
    <w:p w14:paraId="67CC083E" w14:textId="56B8A39D" w:rsidR="00B47886" w:rsidRPr="00B47886" w:rsidRDefault="00B47886" w:rsidP="00B47886">
      <w:pPr>
        <w:spacing w:line="276" w:lineRule="auto"/>
        <w:jc w:val="both"/>
        <w:rPr>
          <w:rFonts w:asciiTheme="majorHAnsi" w:hAnsiTheme="majorHAnsi" w:cs="Arial"/>
          <w:sz w:val="24"/>
          <w:szCs w:val="24"/>
        </w:rPr>
      </w:pPr>
      <w:r w:rsidRPr="00B47886">
        <w:rPr>
          <w:rFonts w:asciiTheme="majorHAnsi" w:hAnsiTheme="majorHAnsi" w:cs="Arial"/>
          <w:sz w:val="24"/>
          <w:szCs w:val="24"/>
        </w:rPr>
        <w:t xml:space="preserve">Por esta razón se hace necesario que todos los </w:t>
      </w:r>
      <w:bookmarkStart w:id="1" w:name="_Hlk536630227"/>
      <w:r w:rsidR="000D754A">
        <w:rPr>
          <w:rFonts w:asciiTheme="majorHAnsi" w:hAnsiTheme="majorHAnsi" w:cs="Arial"/>
          <w:sz w:val="24"/>
          <w:szCs w:val="24"/>
        </w:rPr>
        <w:t xml:space="preserve">servidores públicos vinculados a la </w:t>
      </w:r>
      <w:r w:rsidRPr="00B47886">
        <w:rPr>
          <w:rFonts w:asciiTheme="majorHAnsi" w:hAnsiTheme="majorHAnsi" w:cs="Arial"/>
          <w:sz w:val="24"/>
          <w:szCs w:val="24"/>
        </w:rPr>
        <w:t xml:space="preserve">planta </w:t>
      </w:r>
      <w:r w:rsidR="000D754A">
        <w:rPr>
          <w:rFonts w:asciiTheme="majorHAnsi" w:hAnsiTheme="majorHAnsi" w:cs="Arial"/>
          <w:sz w:val="24"/>
          <w:szCs w:val="24"/>
        </w:rPr>
        <w:t xml:space="preserve">de personal </w:t>
      </w:r>
      <w:r w:rsidRPr="00B47886">
        <w:rPr>
          <w:rFonts w:asciiTheme="majorHAnsi" w:hAnsiTheme="majorHAnsi" w:cs="Arial"/>
          <w:sz w:val="24"/>
          <w:szCs w:val="24"/>
        </w:rPr>
        <w:t xml:space="preserve">y </w:t>
      </w:r>
      <w:r w:rsidR="000D754A">
        <w:rPr>
          <w:rFonts w:asciiTheme="majorHAnsi" w:hAnsiTheme="majorHAnsi" w:cs="Arial"/>
          <w:sz w:val="24"/>
          <w:szCs w:val="24"/>
        </w:rPr>
        <w:t xml:space="preserve">los </w:t>
      </w:r>
      <w:r w:rsidRPr="00B47886">
        <w:rPr>
          <w:rFonts w:asciiTheme="majorHAnsi" w:hAnsiTheme="majorHAnsi" w:cs="Arial"/>
          <w:sz w:val="24"/>
          <w:szCs w:val="24"/>
        </w:rPr>
        <w:t>contratistas de la entidad</w:t>
      </w:r>
      <w:bookmarkEnd w:id="1"/>
      <w:r w:rsidRPr="00B47886">
        <w:rPr>
          <w:rFonts w:asciiTheme="majorHAnsi" w:hAnsiTheme="majorHAnsi" w:cs="Arial"/>
          <w:sz w:val="24"/>
          <w:szCs w:val="24"/>
        </w:rPr>
        <w:t xml:space="preserve"> asuman </w:t>
      </w:r>
      <w:r w:rsidR="000D754A">
        <w:rPr>
          <w:rFonts w:asciiTheme="majorHAnsi" w:hAnsiTheme="majorHAnsi" w:cs="Arial"/>
          <w:sz w:val="24"/>
          <w:szCs w:val="24"/>
        </w:rPr>
        <w:t>la</w:t>
      </w:r>
      <w:r w:rsidRPr="00B47886">
        <w:rPr>
          <w:rFonts w:asciiTheme="majorHAnsi" w:hAnsiTheme="majorHAnsi" w:cs="Arial"/>
          <w:sz w:val="24"/>
          <w:szCs w:val="24"/>
        </w:rPr>
        <w:t xml:space="preserve"> responsabilidad y </w:t>
      </w:r>
      <w:r w:rsidR="000D754A">
        <w:rPr>
          <w:rFonts w:asciiTheme="majorHAnsi" w:hAnsiTheme="majorHAnsi" w:cs="Arial"/>
          <w:sz w:val="24"/>
          <w:szCs w:val="24"/>
        </w:rPr>
        <w:t xml:space="preserve">el </w:t>
      </w:r>
      <w:r w:rsidRPr="00B47886">
        <w:rPr>
          <w:rFonts w:asciiTheme="majorHAnsi" w:hAnsiTheme="majorHAnsi" w:cs="Arial"/>
          <w:sz w:val="24"/>
          <w:szCs w:val="24"/>
        </w:rPr>
        <w:t>compromiso hacia el autocuidado</w:t>
      </w:r>
      <w:r w:rsidR="000D754A">
        <w:rPr>
          <w:rFonts w:asciiTheme="majorHAnsi" w:hAnsiTheme="majorHAnsi" w:cs="Arial"/>
          <w:sz w:val="24"/>
          <w:szCs w:val="24"/>
        </w:rPr>
        <w:t>;</w:t>
      </w:r>
      <w:r w:rsidRPr="00B47886">
        <w:rPr>
          <w:rFonts w:asciiTheme="majorHAnsi" w:hAnsiTheme="majorHAnsi" w:cs="Arial"/>
          <w:sz w:val="24"/>
          <w:szCs w:val="24"/>
        </w:rPr>
        <w:t xml:space="preserve"> la aplicación de </w:t>
      </w:r>
      <w:r w:rsidR="00F3520B">
        <w:rPr>
          <w:rFonts w:asciiTheme="majorHAnsi" w:hAnsiTheme="majorHAnsi" w:cs="Arial"/>
          <w:sz w:val="24"/>
          <w:szCs w:val="24"/>
        </w:rPr>
        <w:t xml:space="preserve">todas </w:t>
      </w:r>
      <w:r w:rsidRPr="00B47886">
        <w:rPr>
          <w:rFonts w:asciiTheme="majorHAnsi" w:hAnsiTheme="majorHAnsi" w:cs="Arial"/>
          <w:sz w:val="24"/>
          <w:szCs w:val="24"/>
        </w:rPr>
        <w:t xml:space="preserve">las medidas de seguridad que permitan controlar </w:t>
      </w:r>
      <w:r w:rsidR="000D754A">
        <w:rPr>
          <w:rFonts w:asciiTheme="majorHAnsi" w:hAnsiTheme="majorHAnsi" w:cs="Arial"/>
          <w:sz w:val="24"/>
          <w:szCs w:val="24"/>
        </w:rPr>
        <w:t xml:space="preserve">y minimizar </w:t>
      </w:r>
      <w:r w:rsidRPr="00B47886">
        <w:rPr>
          <w:rFonts w:asciiTheme="majorHAnsi" w:hAnsiTheme="majorHAnsi" w:cs="Arial"/>
          <w:sz w:val="24"/>
          <w:szCs w:val="24"/>
        </w:rPr>
        <w:t>los riesgos a los cuales se exponen los trabajadores y que pueden generar</w:t>
      </w:r>
      <w:r w:rsidR="00B559B7">
        <w:rPr>
          <w:rFonts w:asciiTheme="majorHAnsi" w:hAnsiTheme="majorHAnsi" w:cs="Arial"/>
          <w:sz w:val="24"/>
          <w:szCs w:val="24"/>
        </w:rPr>
        <w:t xml:space="preserve">, incidentes, </w:t>
      </w:r>
      <w:r w:rsidRPr="00B47886">
        <w:rPr>
          <w:rFonts w:asciiTheme="majorHAnsi" w:hAnsiTheme="majorHAnsi" w:cs="Arial"/>
          <w:sz w:val="24"/>
          <w:szCs w:val="24"/>
        </w:rPr>
        <w:t>accidentes y/o enfermedades laborales.</w:t>
      </w:r>
    </w:p>
    <w:p w14:paraId="196530DB" w14:textId="36A1AAD9" w:rsidR="00B47886" w:rsidRPr="00B47886" w:rsidRDefault="004A7213" w:rsidP="00B47886">
      <w:pPr>
        <w:spacing w:line="276" w:lineRule="auto"/>
        <w:jc w:val="both"/>
        <w:rPr>
          <w:rFonts w:asciiTheme="majorHAnsi" w:hAnsiTheme="majorHAnsi" w:cs="Arial"/>
          <w:sz w:val="24"/>
          <w:szCs w:val="24"/>
        </w:rPr>
      </w:pPr>
      <w:r>
        <w:rPr>
          <w:rFonts w:asciiTheme="majorHAnsi" w:hAnsiTheme="majorHAnsi" w:cs="Arial"/>
          <w:sz w:val="24"/>
          <w:szCs w:val="24"/>
        </w:rPr>
        <w:t xml:space="preserve">En este sentido, </w:t>
      </w:r>
      <w:r w:rsidR="0053605E">
        <w:rPr>
          <w:rFonts w:asciiTheme="majorHAnsi" w:hAnsiTheme="majorHAnsi" w:cs="Arial"/>
          <w:sz w:val="24"/>
          <w:szCs w:val="24"/>
        </w:rPr>
        <w:t>l</w:t>
      </w:r>
      <w:r w:rsidR="00B47886" w:rsidRPr="00B47886">
        <w:rPr>
          <w:rFonts w:asciiTheme="majorHAnsi" w:hAnsiTheme="majorHAnsi" w:cs="Arial"/>
          <w:sz w:val="24"/>
          <w:szCs w:val="24"/>
        </w:rPr>
        <w:t xml:space="preserve">a Agencia Nacional de </w:t>
      </w:r>
      <w:r>
        <w:rPr>
          <w:rFonts w:asciiTheme="majorHAnsi" w:hAnsiTheme="majorHAnsi" w:cs="Arial"/>
          <w:sz w:val="24"/>
          <w:szCs w:val="24"/>
        </w:rPr>
        <w:t xml:space="preserve">Infraestructura asume el compromiso </w:t>
      </w:r>
      <w:r w:rsidR="00B47886" w:rsidRPr="00B47886">
        <w:rPr>
          <w:rFonts w:asciiTheme="majorHAnsi" w:hAnsiTheme="majorHAnsi" w:cs="Arial"/>
          <w:sz w:val="24"/>
          <w:szCs w:val="24"/>
        </w:rPr>
        <w:t xml:space="preserve">con la aplicación del Decreto 1072 del 26 de mayo de 2015, por medio del cual se expide el Decreto Único Reglamentario del Sector Trabajo en el cual definió las directrices para los empleadores públicos, con el fin de implementar el Sistema de Gestión de la Seguridad y Salud en el Trabajo </w:t>
      </w:r>
      <w:r w:rsidR="0053605E">
        <w:rPr>
          <w:rFonts w:asciiTheme="majorHAnsi" w:hAnsiTheme="majorHAnsi" w:cs="Arial"/>
          <w:sz w:val="24"/>
          <w:szCs w:val="24"/>
        </w:rPr>
        <w:t>(</w:t>
      </w:r>
      <w:r w:rsidR="00B47886" w:rsidRPr="00B47886">
        <w:rPr>
          <w:rFonts w:asciiTheme="majorHAnsi" w:hAnsiTheme="majorHAnsi" w:cs="Arial"/>
          <w:sz w:val="24"/>
          <w:szCs w:val="24"/>
        </w:rPr>
        <w:t>SG-SST</w:t>
      </w:r>
      <w:r w:rsidR="0053605E">
        <w:rPr>
          <w:rFonts w:asciiTheme="majorHAnsi" w:hAnsiTheme="majorHAnsi" w:cs="Arial"/>
          <w:sz w:val="24"/>
          <w:szCs w:val="24"/>
        </w:rPr>
        <w:t>)</w:t>
      </w:r>
      <w:r w:rsidR="00B47886" w:rsidRPr="00B47886">
        <w:rPr>
          <w:rFonts w:asciiTheme="majorHAnsi" w:hAnsiTheme="majorHAnsi" w:cs="Arial"/>
          <w:sz w:val="24"/>
          <w:szCs w:val="24"/>
        </w:rPr>
        <w:t xml:space="preserve"> con cobertura sobre los trabajadores dependientes y contratistas. </w:t>
      </w:r>
    </w:p>
    <w:p w14:paraId="5A0FFE79" w14:textId="671772B5" w:rsidR="00B47886" w:rsidRPr="00B47886" w:rsidRDefault="00FC58B2" w:rsidP="00B47886">
      <w:pPr>
        <w:spacing w:line="276" w:lineRule="auto"/>
        <w:jc w:val="both"/>
        <w:rPr>
          <w:rFonts w:asciiTheme="majorHAnsi" w:hAnsiTheme="majorHAnsi" w:cs="Arial"/>
          <w:sz w:val="24"/>
          <w:szCs w:val="24"/>
        </w:rPr>
      </w:pPr>
      <w:r>
        <w:rPr>
          <w:rFonts w:asciiTheme="majorHAnsi" w:hAnsiTheme="majorHAnsi" w:cs="Arial"/>
          <w:sz w:val="24"/>
          <w:szCs w:val="24"/>
        </w:rPr>
        <w:t>Por otro lado</w:t>
      </w:r>
      <w:r w:rsidR="008F7547">
        <w:rPr>
          <w:rFonts w:asciiTheme="majorHAnsi" w:hAnsiTheme="majorHAnsi" w:cs="Arial"/>
          <w:sz w:val="24"/>
          <w:szCs w:val="24"/>
        </w:rPr>
        <w:t>, y de conformidad con la Resolución 1111 de 201</w:t>
      </w:r>
      <w:r>
        <w:rPr>
          <w:rFonts w:asciiTheme="majorHAnsi" w:hAnsiTheme="majorHAnsi" w:cs="Arial"/>
          <w:sz w:val="24"/>
          <w:szCs w:val="24"/>
        </w:rPr>
        <w:t>7, e</w:t>
      </w:r>
      <w:r w:rsidR="00B47886" w:rsidRPr="00B47886">
        <w:rPr>
          <w:rFonts w:asciiTheme="majorHAnsi" w:hAnsiTheme="majorHAnsi" w:cs="Arial"/>
          <w:sz w:val="24"/>
          <w:szCs w:val="24"/>
        </w:rPr>
        <w:t xml:space="preserve">l Sistema de Gestión de </w:t>
      </w:r>
      <w:r w:rsidR="0053605E">
        <w:rPr>
          <w:rFonts w:asciiTheme="majorHAnsi" w:hAnsiTheme="majorHAnsi" w:cs="Arial"/>
          <w:sz w:val="24"/>
          <w:szCs w:val="24"/>
        </w:rPr>
        <w:t xml:space="preserve">la </w:t>
      </w:r>
      <w:r w:rsidR="00B47886" w:rsidRPr="00B47886">
        <w:rPr>
          <w:rFonts w:asciiTheme="majorHAnsi" w:hAnsiTheme="majorHAnsi" w:cs="Arial"/>
          <w:sz w:val="24"/>
          <w:szCs w:val="24"/>
        </w:rPr>
        <w:t xml:space="preserve">Seguridad y Salud en el Trabajo </w:t>
      </w:r>
      <w:r w:rsidR="0053605E">
        <w:rPr>
          <w:rFonts w:asciiTheme="majorHAnsi" w:hAnsiTheme="majorHAnsi" w:cs="Arial"/>
          <w:sz w:val="24"/>
          <w:szCs w:val="24"/>
        </w:rPr>
        <w:t>(</w:t>
      </w:r>
      <w:r w:rsidR="00B47886" w:rsidRPr="00B47886">
        <w:rPr>
          <w:rFonts w:asciiTheme="majorHAnsi" w:hAnsiTheme="majorHAnsi" w:cs="Arial"/>
          <w:sz w:val="24"/>
          <w:szCs w:val="24"/>
        </w:rPr>
        <w:t>SG-SST</w:t>
      </w:r>
      <w:r w:rsidR="0053605E">
        <w:rPr>
          <w:rFonts w:asciiTheme="majorHAnsi" w:hAnsiTheme="majorHAnsi" w:cs="Arial"/>
          <w:sz w:val="24"/>
          <w:szCs w:val="24"/>
        </w:rPr>
        <w:t>)</w:t>
      </w:r>
      <w:r w:rsidR="00B47886" w:rsidRPr="00B47886">
        <w:rPr>
          <w:rFonts w:asciiTheme="majorHAnsi" w:hAnsiTheme="majorHAnsi" w:cs="Arial"/>
          <w:sz w:val="24"/>
          <w:szCs w:val="24"/>
        </w:rPr>
        <w:t xml:space="preserve"> que </w:t>
      </w:r>
      <w:r w:rsidR="00923D74">
        <w:rPr>
          <w:rFonts w:asciiTheme="majorHAnsi" w:hAnsiTheme="majorHAnsi" w:cs="Arial"/>
          <w:sz w:val="24"/>
          <w:szCs w:val="24"/>
        </w:rPr>
        <w:t>se encuentra implementado</w:t>
      </w:r>
      <w:r w:rsidR="00B47886" w:rsidRPr="00B47886">
        <w:rPr>
          <w:rFonts w:asciiTheme="majorHAnsi" w:hAnsiTheme="majorHAnsi" w:cs="Arial"/>
          <w:sz w:val="24"/>
          <w:szCs w:val="24"/>
        </w:rPr>
        <w:t xml:space="preserve"> en </w:t>
      </w:r>
      <w:r>
        <w:rPr>
          <w:rFonts w:asciiTheme="majorHAnsi" w:hAnsiTheme="majorHAnsi" w:cs="Arial"/>
          <w:sz w:val="24"/>
          <w:szCs w:val="24"/>
        </w:rPr>
        <w:t>la Entidad,</w:t>
      </w:r>
      <w:r w:rsidR="00B47886" w:rsidRPr="00B47886">
        <w:rPr>
          <w:rFonts w:asciiTheme="majorHAnsi" w:hAnsiTheme="majorHAnsi" w:cs="Arial"/>
          <w:sz w:val="24"/>
          <w:szCs w:val="24"/>
        </w:rPr>
        <w:t xml:space="preserve"> debe ser el producto de un proceso lógico y por etapas de acuerdo con el ciclo PHVA (planificar, hacer, verificar y actuar) y debe estar fundamentado en el cumplimiento de las obligaciones legales, la promoción de la salud, la prevención de los riesgos laborales y la mejora continua.</w:t>
      </w:r>
    </w:p>
    <w:p w14:paraId="32A25BA6" w14:textId="7C4158C9" w:rsidR="00B47886" w:rsidRPr="00B47886" w:rsidRDefault="00FC58B2" w:rsidP="00B47886">
      <w:pPr>
        <w:pStyle w:val="Default"/>
        <w:spacing w:line="276" w:lineRule="auto"/>
        <w:jc w:val="both"/>
        <w:rPr>
          <w:rFonts w:asciiTheme="majorHAnsi" w:hAnsiTheme="majorHAnsi"/>
          <w:color w:val="auto"/>
        </w:rPr>
      </w:pPr>
      <w:r>
        <w:rPr>
          <w:rFonts w:asciiTheme="majorHAnsi" w:hAnsiTheme="majorHAnsi"/>
          <w:color w:val="auto"/>
        </w:rPr>
        <w:t>Así las cosas, e</w:t>
      </w:r>
      <w:r w:rsidR="00B47886" w:rsidRPr="00B47886">
        <w:rPr>
          <w:rFonts w:asciiTheme="majorHAnsi" w:hAnsiTheme="majorHAnsi"/>
          <w:color w:val="auto"/>
        </w:rPr>
        <w:t xml:space="preserve">l Sistema de Gestión de la Seguridad y Salud en el Trabajo incluye los siguientes elementos principales: </w:t>
      </w:r>
    </w:p>
    <w:p w14:paraId="19A2B42B" w14:textId="77777777" w:rsidR="00B47886" w:rsidRPr="00B47886" w:rsidRDefault="00B47886" w:rsidP="00B47886">
      <w:pPr>
        <w:pStyle w:val="Default"/>
        <w:spacing w:line="276" w:lineRule="auto"/>
        <w:jc w:val="both"/>
        <w:rPr>
          <w:rFonts w:asciiTheme="majorHAnsi" w:hAnsiTheme="majorHAnsi" w:cstheme="minorHAnsi"/>
        </w:rPr>
      </w:pPr>
    </w:p>
    <w:p w14:paraId="11E68654" w14:textId="611FB81B" w:rsidR="00B47886" w:rsidRPr="00B47886" w:rsidRDefault="00B47886" w:rsidP="00B47886">
      <w:pPr>
        <w:pStyle w:val="Default"/>
        <w:numPr>
          <w:ilvl w:val="0"/>
          <w:numId w:val="12"/>
        </w:numPr>
        <w:spacing w:after="27" w:line="276" w:lineRule="auto"/>
        <w:ind w:hanging="294"/>
        <w:jc w:val="both"/>
        <w:rPr>
          <w:rFonts w:asciiTheme="majorHAnsi" w:hAnsiTheme="majorHAnsi"/>
          <w:color w:val="auto"/>
        </w:rPr>
      </w:pPr>
      <w:r w:rsidRPr="00B47886">
        <w:rPr>
          <w:rFonts w:asciiTheme="majorHAnsi" w:hAnsiTheme="majorHAnsi"/>
          <w:color w:val="auto"/>
        </w:rPr>
        <w:t>Planeación estratégica en seguridad y salud en el trabajo</w:t>
      </w:r>
      <w:r w:rsidR="0053605E">
        <w:rPr>
          <w:rFonts w:asciiTheme="majorHAnsi" w:hAnsiTheme="majorHAnsi"/>
          <w:color w:val="auto"/>
        </w:rPr>
        <w:t xml:space="preserve"> (recursos, gestión integral del SG-SST)</w:t>
      </w:r>
    </w:p>
    <w:p w14:paraId="53BBFA8A" w14:textId="62733C7D" w:rsidR="00B47886" w:rsidRPr="00B47886" w:rsidRDefault="00A51F4E" w:rsidP="00B47886">
      <w:pPr>
        <w:pStyle w:val="Default"/>
        <w:numPr>
          <w:ilvl w:val="0"/>
          <w:numId w:val="12"/>
        </w:numPr>
        <w:spacing w:after="27" w:line="276" w:lineRule="auto"/>
        <w:ind w:hanging="294"/>
        <w:jc w:val="both"/>
        <w:rPr>
          <w:rFonts w:asciiTheme="majorHAnsi" w:hAnsiTheme="majorHAnsi"/>
          <w:color w:val="auto"/>
        </w:rPr>
      </w:pPr>
      <w:r>
        <w:rPr>
          <w:rFonts w:asciiTheme="majorHAnsi" w:hAnsiTheme="majorHAnsi"/>
          <w:color w:val="auto"/>
        </w:rPr>
        <w:t>Gestión del cambio (gestión de la salud, gestión de peligros y riesgos; y gestión de amen</w:t>
      </w:r>
      <w:r w:rsidR="00B55840">
        <w:rPr>
          <w:rFonts w:asciiTheme="majorHAnsi" w:hAnsiTheme="majorHAnsi"/>
          <w:color w:val="auto"/>
        </w:rPr>
        <w:t>a</w:t>
      </w:r>
      <w:r>
        <w:rPr>
          <w:rFonts w:asciiTheme="majorHAnsi" w:hAnsiTheme="majorHAnsi"/>
          <w:color w:val="auto"/>
        </w:rPr>
        <w:t>zas)</w:t>
      </w:r>
      <w:r w:rsidR="00B47886" w:rsidRPr="00B47886">
        <w:rPr>
          <w:rFonts w:asciiTheme="majorHAnsi" w:hAnsiTheme="majorHAnsi"/>
          <w:color w:val="auto"/>
        </w:rPr>
        <w:t xml:space="preserve"> </w:t>
      </w:r>
    </w:p>
    <w:p w14:paraId="6D87588C" w14:textId="6803494B" w:rsidR="00B47886" w:rsidRPr="00B47886" w:rsidRDefault="00A51F4E" w:rsidP="00B47886">
      <w:pPr>
        <w:pStyle w:val="Default"/>
        <w:numPr>
          <w:ilvl w:val="0"/>
          <w:numId w:val="12"/>
        </w:numPr>
        <w:spacing w:after="27" w:line="276" w:lineRule="auto"/>
        <w:ind w:hanging="294"/>
        <w:jc w:val="both"/>
        <w:rPr>
          <w:rFonts w:asciiTheme="majorHAnsi" w:hAnsiTheme="majorHAnsi"/>
          <w:color w:val="auto"/>
        </w:rPr>
      </w:pPr>
      <w:r>
        <w:rPr>
          <w:rFonts w:asciiTheme="majorHAnsi" w:hAnsiTheme="majorHAnsi"/>
          <w:color w:val="auto"/>
        </w:rPr>
        <w:t>Verificación (gestión y resultados)</w:t>
      </w:r>
    </w:p>
    <w:p w14:paraId="11142A89" w14:textId="4F2560E6" w:rsidR="00B47886" w:rsidRPr="00A51F4E" w:rsidRDefault="00B47886" w:rsidP="00917AE6">
      <w:pPr>
        <w:pStyle w:val="Default"/>
        <w:numPr>
          <w:ilvl w:val="0"/>
          <w:numId w:val="12"/>
        </w:numPr>
        <w:spacing w:after="27" w:line="276" w:lineRule="auto"/>
        <w:ind w:hanging="294"/>
        <w:jc w:val="both"/>
        <w:rPr>
          <w:rFonts w:asciiTheme="majorHAnsi" w:hAnsiTheme="majorHAnsi"/>
          <w:color w:val="auto"/>
        </w:rPr>
      </w:pPr>
      <w:r w:rsidRPr="00A51F4E">
        <w:rPr>
          <w:rFonts w:asciiTheme="majorHAnsi" w:hAnsiTheme="majorHAnsi"/>
          <w:color w:val="auto"/>
        </w:rPr>
        <w:t>A</w:t>
      </w:r>
      <w:r w:rsidR="00A51F4E" w:rsidRPr="00A51F4E">
        <w:rPr>
          <w:rFonts w:asciiTheme="majorHAnsi" w:hAnsiTheme="majorHAnsi"/>
          <w:color w:val="auto"/>
        </w:rPr>
        <w:t>ctuar (</w:t>
      </w:r>
      <w:r w:rsidRPr="00A51F4E">
        <w:rPr>
          <w:rFonts w:asciiTheme="majorHAnsi" w:hAnsiTheme="majorHAnsi"/>
          <w:color w:val="auto"/>
        </w:rPr>
        <w:t>Acciones de mejora</w:t>
      </w:r>
      <w:r w:rsidR="00A51F4E">
        <w:rPr>
          <w:rFonts w:asciiTheme="majorHAnsi" w:hAnsiTheme="majorHAnsi"/>
          <w:color w:val="auto"/>
        </w:rPr>
        <w:t>)</w:t>
      </w:r>
      <w:r w:rsidRPr="00A51F4E">
        <w:rPr>
          <w:rFonts w:asciiTheme="majorHAnsi" w:hAnsiTheme="majorHAnsi"/>
          <w:color w:val="auto"/>
        </w:rPr>
        <w:t xml:space="preserve"> </w:t>
      </w:r>
    </w:p>
    <w:p w14:paraId="4DB0718E" w14:textId="77777777" w:rsidR="00B47886" w:rsidRPr="00B47886" w:rsidRDefault="00B47886" w:rsidP="00B47886">
      <w:pPr>
        <w:pStyle w:val="Default"/>
        <w:spacing w:line="276" w:lineRule="auto"/>
        <w:jc w:val="both"/>
        <w:rPr>
          <w:rFonts w:asciiTheme="majorHAnsi" w:hAnsiTheme="majorHAnsi" w:cstheme="minorHAnsi"/>
        </w:rPr>
      </w:pPr>
    </w:p>
    <w:p w14:paraId="05013FBD" w14:textId="77777777" w:rsidR="00B47886" w:rsidRPr="00B47886" w:rsidRDefault="00B47886" w:rsidP="00B47886">
      <w:pPr>
        <w:pStyle w:val="Default"/>
        <w:spacing w:line="276" w:lineRule="auto"/>
        <w:jc w:val="both"/>
        <w:rPr>
          <w:rFonts w:asciiTheme="majorHAnsi" w:hAnsiTheme="majorHAnsi"/>
          <w:color w:val="auto"/>
        </w:rPr>
      </w:pPr>
      <w:r w:rsidRPr="00B47886">
        <w:rPr>
          <w:rFonts w:asciiTheme="majorHAnsi" w:hAnsiTheme="majorHAnsi"/>
          <w:color w:val="auto"/>
        </w:rPr>
        <w:t xml:space="preserve">Lo anterior con el objetivo de reconocer, evaluar, controlar y prevenir los riesgos que puedan afectar la seguridad y salud en la población de trabajadores de la Entidad. </w:t>
      </w:r>
    </w:p>
    <w:p w14:paraId="1BF6DF66" w14:textId="77777777" w:rsidR="00B47886" w:rsidRPr="00B47886" w:rsidRDefault="00B47886" w:rsidP="00B47886">
      <w:pPr>
        <w:pStyle w:val="Default"/>
        <w:spacing w:line="276" w:lineRule="auto"/>
        <w:jc w:val="both"/>
        <w:rPr>
          <w:rFonts w:asciiTheme="majorHAnsi" w:hAnsiTheme="majorHAnsi"/>
          <w:color w:val="auto"/>
        </w:rPr>
      </w:pPr>
    </w:p>
    <w:p w14:paraId="68E50632" w14:textId="73004F38" w:rsidR="00B47886" w:rsidRDefault="00404B90" w:rsidP="0092363C">
      <w:pPr>
        <w:spacing w:after="0" w:line="276" w:lineRule="auto"/>
        <w:jc w:val="both"/>
        <w:rPr>
          <w:rFonts w:asciiTheme="majorHAnsi" w:hAnsiTheme="majorHAnsi" w:cs="Arial"/>
          <w:sz w:val="24"/>
          <w:szCs w:val="24"/>
        </w:rPr>
      </w:pPr>
      <w:r>
        <w:rPr>
          <w:rFonts w:asciiTheme="majorHAnsi" w:hAnsiTheme="majorHAnsi" w:cs="Arial"/>
          <w:sz w:val="24"/>
          <w:szCs w:val="24"/>
        </w:rPr>
        <w:lastRenderedPageBreak/>
        <w:t>Es por eso que l</w:t>
      </w:r>
      <w:r w:rsidR="00B47886" w:rsidRPr="00B47886">
        <w:rPr>
          <w:rFonts w:asciiTheme="majorHAnsi" w:hAnsiTheme="majorHAnsi" w:cs="Arial"/>
          <w:sz w:val="24"/>
          <w:szCs w:val="24"/>
        </w:rPr>
        <w:t xml:space="preserve">a Agencia Nacional de </w:t>
      </w:r>
      <w:r>
        <w:rPr>
          <w:rFonts w:asciiTheme="majorHAnsi" w:hAnsiTheme="majorHAnsi" w:cs="Arial"/>
          <w:sz w:val="24"/>
          <w:szCs w:val="24"/>
        </w:rPr>
        <w:t xml:space="preserve">Infraestructura </w:t>
      </w:r>
      <w:r w:rsidR="00B47886" w:rsidRPr="00B47886">
        <w:rPr>
          <w:rFonts w:asciiTheme="majorHAnsi" w:hAnsiTheme="majorHAnsi" w:cs="Arial"/>
          <w:sz w:val="24"/>
          <w:szCs w:val="24"/>
        </w:rPr>
        <w:t>está comprometida en destinar los recursos físicos, técnicos, financieros y humanos requeridos para la planeación, ejecución, evaluación y mejora del Sistema de Gestión de la Seguridad y Salud en el Trabajo SG-SST.</w:t>
      </w:r>
    </w:p>
    <w:p w14:paraId="6DEC1DFD" w14:textId="77777777" w:rsidR="00935F5B" w:rsidRDefault="00935F5B" w:rsidP="0092363C">
      <w:pPr>
        <w:spacing w:after="0" w:line="276" w:lineRule="auto"/>
        <w:jc w:val="both"/>
        <w:rPr>
          <w:rFonts w:asciiTheme="majorHAnsi" w:hAnsiTheme="majorHAnsi" w:cs="Arial"/>
          <w:sz w:val="24"/>
          <w:szCs w:val="24"/>
        </w:rPr>
      </w:pPr>
    </w:p>
    <w:p w14:paraId="470FD98C" w14:textId="16475C7D" w:rsidR="00935F5B" w:rsidRDefault="00935F5B" w:rsidP="00935F5B">
      <w:pPr>
        <w:pStyle w:val="Ttulo1"/>
        <w:rPr>
          <w:rFonts w:eastAsiaTheme="minorHAnsi"/>
        </w:rPr>
      </w:pPr>
      <w:r w:rsidRPr="00B47886">
        <w:rPr>
          <w:rFonts w:eastAsiaTheme="minorHAnsi"/>
        </w:rPr>
        <w:t>MARCO NORMATIVO</w:t>
      </w:r>
    </w:p>
    <w:p w14:paraId="4AB3D857" w14:textId="79774E1C" w:rsidR="00935F5B" w:rsidRDefault="00935F5B" w:rsidP="00935F5B"/>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06"/>
      </w:tblGrid>
      <w:tr w:rsidR="00512FBF" w:rsidRPr="00512FBF" w14:paraId="60A524D2" w14:textId="77777777" w:rsidTr="00512FBF">
        <w:trPr>
          <w:trHeight w:val="340"/>
          <w:tblHeader/>
        </w:trPr>
        <w:tc>
          <w:tcPr>
            <w:tcW w:w="2122" w:type="dxa"/>
            <w:shd w:val="clear" w:color="auto" w:fill="F2F2F2" w:themeFill="background1" w:themeFillShade="F2"/>
            <w:vAlign w:val="center"/>
          </w:tcPr>
          <w:p w14:paraId="11212787" w14:textId="2C4A511D" w:rsidR="00512FBF" w:rsidRPr="00512FBF" w:rsidRDefault="00512FBF" w:rsidP="00512FBF">
            <w:pPr>
              <w:jc w:val="center"/>
              <w:rPr>
                <w:rFonts w:asciiTheme="majorHAnsi" w:hAnsiTheme="majorHAnsi"/>
                <w:b/>
                <w:sz w:val="20"/>
                <w:szCs w:val="20"/>
              </w:rPr>
            </w:pPr>
            <w:r w:rsidRPr="00512FBF">
              <w:rPr>
                <w:rFonts w:asciiTheme="majorHAnsi" w:hAnsiTheme="majorHAnsi"/>
                <w:b/>
                <w:sz w:val="20"/>
                <w:szCs w:val="20"/>
              </w:rPr>
              <w:t>Normatividad</w:t>
            </w:r>
          </w:p>
        </w:tc>
        <w:tc>
          <w:tcPr>
            <w:tcW w:w="6706" w:type="dxa"/>
            <w:shd w:val="clear" w:color="auto" w:fill="F2F2F2" w:themeFill="background1" w:themeFillShade="F2"/>
            <w:vAlign w:val="center"/>
          </w:tcPr>
          <w:p w14:paraId="3FF622E3" w14:textId="00752E90" w:rsidR="00512FBF" w:rsidRPr="00512FBF" w:rsidRDefault="00512FBF" w:rsidP="00512FBF">
            <w:pPr>
              <w:jc w:val="center"/>
              <w:rPr>
                <w:rFonts w:asciiTheme="majorHAnsi" w:hAnsiTheme="majorHAnsi"/>
                <w:b/>
                <w:sz w:val="20"/>
                <w:szCs w:val="20"/>
              </w:rPr>
            </w:pPr>
            <w:r w:rsidRPr="00512FBF">
              <w:rPr>
                <w:rFonts w:asciiTheme="majorHAnsi" w:hAnsiTheme="majorHAnsi"/>
                <w:b/>
                <w:sz w:val="20"/>
                <w:szCs w:val="20"/>
              </w:rPr>
              <w:t>Aplicación</w:t>
            </w:r>
          </w:p>
        </w:tc>
      </w:tr>
      <w:tr w:rsidR="00512FBF" w:rsidRPr="00512FBF" w14:paraId="042CD069" w14:textId="77777777" w:rsidTr="00512FBF">
        <w:trPr>
          <w:trHeight w:val="567"/>
        </w:trPr>
        <w:tc>
          <w:tcPr>
            <w:tcW w:w="2122" w:type="dxa"/>
            <w:vAlign w:val="center"/>
          </w:tcPr>
          <w:p w14:paraId="3A827BA2" w14:textId="72B103DC" w:rsidR="00512FBF" w:rsidRPr="00512FBF" w:rsidRDefault="00512FBF" w:rsidP="00935F5B">
            <w:pPr>
              <w:rPr>
                <w:rFonts w:asciiTheme="majorHAnsi" w:hAnsiTheme="majorHAnsi"/>
                <w:sz w:val="20"/>
                <w:szCs w:val="20"/>
              </w:rPr>
            </w:pPr>
            <w:r w:rsidRPr="00512FBF">
              <w:rPr>
                <w:rFonts w:asciiTheme="majorHAnsi" w:hAnsiTheme="majorHAnsi" w:cs="Arial"/>
                <w:sz w:val="20"/>
                <w:szCs w:val="20"/>
              </w:rPr>
              <w:t>Ley 1523 de 2012</w:t>
            </w:r>
          </w:p>
        </w:tc>
        <w:tc>
          <w:tcPr>
            <w:tcW w:w="6706" w:type="dxa"/>
            <w:vAlign w:val="center"/>
          </w:tcPr>
          <w:p w14:paraId="3ACDCC8B" w14:textId="094E4468" w:rsidR="00512FBF" w:rsidRPr="00512FBF" w:rsidRDefault="00512FBF" w:rsidP="00512FBF">
            <w:pPr>
              <w:jc w:val="both"/>
              <w:rPr>
                <w:rFonts w:asciiTheme="majorHAnsi" w:hAnsiTheme="majorHAnsi"/>
                <w:sz w:val="20"/>
                <w:szCs w:val="20"/>
              </w:rPr>
            </w:pPr>
            <w:r w:rsidRPr="00512FBF">
              <w:rPr>
                <w:rFonts w:asciiTheme="majorHAnsi" w:hAnsiTheme="majorHAnsi"/>
                <w:sz w:val="20"/>
                <w:szCs w:val="20"/>
              </w:rPr>
              <w:t>“Por la cual se adopta la política nacional de gestión del riesgo de desastres y se establece el Sistema Nacional de Gestión del Riesgo de Desastres y se dictan otras disposiciones”.</w:t>
            </w:r>
          </w:p>
        </w:tc>
      </w:tr>
      <w:tr w:rsidR="00512FBF" w:rsidRPr="00512FBF" w14:paraId="4127BFB4" w14:textId="77777777" w:rsidTr="00512FBF">
        <w:trPr>
          <w:trHeight w:val="567"/>
        </w:trPr>
        <w:tc>
          <w:tcPr>
            <w:tcW w:w="2122" w:type="dxa"/>
            <w:vAlign w:val="center"/>
          </w:tcPr>
          <w:p w14:paraId="4643EC70" w14:textId="55CDE40F" w:rsidR="00512FBF" w:rsidRPr="00512FBF" w:rsidRDefault="00512FBF" w:rsidP="00935F5B">
            <w:pPr>
              <w:rPr>
                <w:rFonts w:asciiTheme="majorHAnsi" w:hAnsiTheme="majorHAnsi"/>
                <w:sz w:val="20"/>
                <w:szCs w:val="20"/>
              </w:rPr>
            </w:pPr>
            <w:r w:rsidRPr="00512FBF">
              <w:rPr>
                <w:rFonts w:asciiTheme="majorHAnsi" w:hAnsiTheme="majorHAnsi"/>
                <w:sz w:val="20"/>
                <w:szCs w:val="20"/>
              </w:rPr>
              <w:t>Ley 1562 de 2012</w:t>
            </w:r>
          </w:p>
        </w:tc>
        <w:tc>
          <w:tcPr>
            <w:tcW w:w="6706" w:type="dxa"/>
            <w:vAlign w:val="center"/>
          </w:tcPr>
          <w:p w14:paraId="36D2698B" w14:textId="3DB74D68" w:rsidR="00512FBF" w:rsidRPr="00512FBF" w:rsidRDefault="00512FBF" w:rsidP="00512FBF">
            <w:pPr>
              <w:jc w:val="both"/>
              <w:rPr>
                <w:rFonts w:asciiTheme="majorHAnsi" w:hAnsiTheme="majorHAnsi"/>
                <w:sz w:val="20"/>
                <w:szCs w:val="20"/>
              </w:rPr>
            </w:pPr>
            <w:r w:rsidRPr="00512FBF">
              <w:rPr>
                <w:rFonts w:asciiTheme="majorHAnsi" w:hAnsiTheme="majorHAnsi"/>
                <w:sz w:val="20"/>
                <w:szCs w:val="20"/>
              </w:rPr>
              <w:t>“Por la cual se modifica el sistema de riesgos laborales y se dictan otras disposiciones en materia de Salud Ocupacional”.</w:t>
            </w:r>
          </w:p>
        </w:tc>
      </w:tr>
      <w:tr w:rsidR="00512FBF" w:rsidRPr="00512FBF" w14:paraId="17499966" w14:textId="77777777" w:rsidTr="00512FBF">
        <w:trPr>
          <w:trHeight w:val="567"/>
        </w:trPr>
        <w:tc>
          <w:tcPr>
            <w:tcW w:w="2122" w:type="dxa"/>
            <w:vAlign w:val="center"/>
          </w:tcPr>
          <w:p w14:paraId="63ECFD19" w14:textId="172091B4" w:rsidR="00512FBF" w:rsidRPr="00512FBF" w:rsidRDefault="00512FBF" w:rsidP="00935F5B">
            <w:pPr>
              <w:rPr>
                <w:rFonts w:asciiTheme="majorHAnsi" w:hAnsiTheme="majorHAnsi"/>
                <w:sz w:val="20"/>
                <w:szCs w:val="20"/>
              </w:rPr>
            </w:pPr>
            <w:r w:rsidRPr="00512FBF">
              <w:rPr>
                <w:rFonts w:asciiTheme="majorHAnsi" w:hAnsiTheme="majorHAnsi"/>
                <w:sz w:val="20"/>
                <w:szCs w:val="20"/>
              </w:rPr>
              <w:t>Ley 1010 de 2006</w:t>
            </w:r>
          </w:p>
        </w:tc>
        <w:tc>
          <w:tcPr>
            <w:tcW w:w="6706" w:type="dxa"/>
            <w:vAlign w:val="center"/>
          </w:tcPr>
          <w:p w14:paraId="15B68CF0" w14:textId="55627019" w:rsidR="00512FBF" w:rsidRPr="00512FBF" w:rsidRDefault="00512FBF" w:rsidP="00512FBF">
            <w:pPr>
              <w:pStyle w:val="Default"/>
              <w:spacing w:line="276" w:lineRule="auto"/>
              <w:jc w:val="both"/>
              <w:rPr>
                <w:rFonts w:asciiTheme="majorHAnsi" w:hAnsiTheme="majorHAnsi"/>
                <w:color w:val="auto"/>
                <w:sz w:val="20"/>
                <w:szCs w:val="20"/>
              </w:rPr>
            </w:pPr>
            <w:r w:rsidRPr="00512FBF">
              <w:rPr>
                <w:rFonts w:asciiTheme="majorHAnsi" w:hAnsiTheme="majorHAnsi"/>
                <w:i/>
                <w:color w:val="auto"/>
                <w:sz w:val="20"/>
                <w:szCs w:val="20"/>
              </w:rPr>
              <w:t>“Por la cual se definen, previenen, corrigen y sancionan las diversas formas de agresión, maltrato, trato ofensivo y desconsiderado y en general todo ultraje a la dignidad humana que se ejerce sobre quienes realizan sus actividades económicas en el contexto de una relación laboral privada o pública”.</w:t>
            </w:r>
          </w:p>
        </w:tc>
      </w:tr>
      <w:tr w:rsidR="00512FBF" w:rsidRPr="00512FBF" w14:paraId="6817F777" w14:textId="77777777" w:rsidTr="00512FBF">
        <w:trPr>
          <w:trHeight w:val="567"/>
        </w:trPr>
        <w:tc>
          <w:tcPr>
            <w:tcW w:w="2122" w:type="dxa"/>
            <w:vAlign w:val="center"/>
          </w:tcPr>
          <w:p w14:paraId="3874A8A8" w14:textId="5A6128D3" w:rsidR="00512FBF" w:rsidRPr="00512FBF" w:rsidRDefault="00512FBF" w:rsidP="00935F5B">
            <w:pPr>
              <w:rPr>
                <w:rFonts w:asciiTheme="majorHAnsi" w:hAnsiTheme="majorHAnsi"/>
                <w:sz w:val="20"/>
                <w:szCs w:val="20"/>
              </w:rPr>
            </w:pPr>
            <w:r w:rsidRPr="00512FBF">
              <w:rPr>
                <w:rFonts w:asciiTheme="majorHAnsi" w:hAnsiTheme="majorHAnsi"/>
                <w:sz w:val="20"/>
                <w:szCs w:val="20"/>
              </w:rPr>
              <w:t>Ley 776 de 2002</w:t>
            </w:r>
          </w:p>
        </w:tc>
        <w:tc>
          <w:tcPr>
            <w:tcW w:w="6706" w:type="dxa"/>
            <w:vAlign w:val="center"/>
          </w:tcPr>
          <w:p w14:paraId="6E770C18" w14:textId="7503251D"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“Se dictan normas sobre la organización, administración y prestaciones del Sistema General de Riesgos Profesionales. Esta Ley modifica las prestaciones económicas del Sistema General de Riesgos Profesionales”.</w:t>
            </w:r>
          </w:p>
        </w:tc>
      </w:tr>
      <w:tr w:rsidR="00512FBF" w:rsidRPr="00512FBF" w14:paraId="7EED3862" w14:textId="77777777" w:rsidTr="00512FBF">
        <w:trPr>
          <w:trHeight w:val="567"/>
        </w:trPr>
        <w:tc>
          <w:tcPr>
            <w:tcW w:w="2122" w:type="dxa"/>
            <w:vAlign w:val="center"/>
          </w:tcPr>
          <w:p w14:paraId="39CCE9E6" w14:textId="7961BD8E" w:rsidR="00512FBF" w:rsidRPr="00512FBF" w:rsidRDefault="00512FBF" w:rsidP="00935F5B">
            <w:pPr>
              <w:rPr>
                <w:rFonts w:asciiTheme="majorHAnsi" w:hAnsiTheme="majorHAnsi"/>
                <w:sz w:val="20"/>
                <w:szCs w:val="20"/>
              </w:rPr>
            </w:pPr>
            <w:r w:rsidRPr="00512FBF">
              <w:rPr>
                <w:rFonts w:asciiTheme="majorHAnsi" w:hAnsiTheme="majorHAnsi"/>
                <w:sz w:val="20"/>
                <w:szCs w:val="20"/>
              </w:rPr>
              <w:t>Ley 100 de 1993</w:t>
            </w:r>
          </w:p>
        </w:tc>
        <w:tc>
          <w:tcPr>
            <w:tcW w:w="6706" w:type="dxa"/>
            <w:vAlign w:val="center"/>
          </w:tcPr>
          <w:p w14:paraId="0535E05E" w14:textId="574BD59A"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crea el Sistema de Seguridad Social Integral y se dictan otras disposiciones”.</w:t>
            </w:r>
          </w:p>
        </w:tc>
      </w:tr>
      <w:tr w:rsidR="00512FBF" w:rsidRPr="00512FBF" w14:paraId="0F187E83" w14:textId="77777777" w:rsidTr="00512FBF">
        <w:trPr>
          <w:trHeight w:val="567"/>
        </w:trPr>
        <w:tc>
          <w:tcPr>
            <w:tcW w:w="2122" w:type="dxa"/>
            <w:vAlign w:val="center"/>
          </w:tcPr>
          <w:p w14:paraId="475FC637" w14:textId="29CC3536" w:rsidR="00512FBF" w:rsidRPr="00512FBF" w:rsidRDefault="00512FBF" w:rsidP="00935F5B">
            <w:pPr>
              <w:rPr>
                <w:rFonts w:asciiTheme="majorHAnsi" w:hAnsiTheme="majorHAnsi"/>
                <w:sz w:val="20"/>
                <w:szCs w:val="20"/>
              </w:rPr>
            </w:pPr>
            <w:r w:rsidRPr="00512FBF">
              <w:rPr>
                <w:rFonts w:asciiTheme="majorHAnsi" w:hAnsiTheme="majorHAnsi"/>
                <w:sz w:val="20"/>
                <w:szCs w:val="20"/>
              </w:rPr>
              <w:t>Ley 9 de 1979</w:t>
            </w:r>
          </w:p>
        </w:tc>
        <w:tc>
          <w:tcPr>
            <w:tcW w:w="6706" w:type="dxa"/>
            <w:vAlign w:val="center"/>
          </w:tcPr>
          <w:p w14:paraId="4044164E" w14:textId="3C9BEBA1"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dictan Medidas Sanitarias”.</w:t>
            </w:r>
          </w:p>
        </w:tc>
      </w:tr>
      <w:tr w:rsidR="00512FBF" w:rsidRPr="00512FBF" w14:paraId="2F88F464" w14:textId="77777777" w:rsidTr="00512FBF">
        <w:trPr>
          <w:trHeight w:val="567"/>
        </w:trPr>
        <w:tc>
          <w:tcPr>
            <w:tcW w:w="2122" w:type="dxa"/>
            <w:vAlign w:val="center"/>
          </w:tcPr>
          <w:p w14:paraId="4A285EE7" w14:textId="7E8619CF"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052 de 2017</w:t>
            </w:r>
          </w:p>
        </w:tc>
        <w:tc>
          <w:tcPr>
            <w:tcW w:w="6706" w:type="dxa"/>
            <w:vAlign w:val="center"/>
          </w:tcPr>
          <w:p w14:paraId="09CD9991" w14:textId="490FFE03"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medio del cual se modifica el artículo 2.2.4.6.37. del Decreto 1072 de 2015 Decreto Único Reglamentario del Sector Trabajo, sobre la transición para la implementación del Sistema de Gestión de la Seguridad y Salud en el Trabajo (SG-SST)”.</w:t>
            </w:r>
          </w:p>
        </w:tc>
      </w:tr>
      <w:tr w:rsidR="00512FBF" w:rsidRPr="00512FBF" w14:paraId="40693CDA" w14:textId="77777777" w:rsidTr="00512FBF">
        <w:trPr>
          <w:trHeight w:val="567"/>
        </w:trPr>
        <w:tc>
          <w:tcPr>
            <w:tcW w:w="2122" w:type="dxa"/>
            <w:vAlign w:val="center"/>
          </w:tcPr>
          <w:p w14:paraId="170FC4B0" w14:textId="74BF83FD"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171 de 2016</w:t>
            </w:r>
          </w:p>
        </w:tc>
        <w:tc>
          <w:tcPr>
            <w:tcW w:w="6706" w:type="dxa"/>
            <w:vAlign w:val="center"/>
          </w:tcPr>
          <w:p w14:paraId="52F948C3" w14:textId="30386B88"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medio del cual se modifica el artículo 2.2.4.6.37 del Título 4 de la Parte 2 del Libro 2 del Decreto 1072 de 2015, Decreto Único Reglamentario del Sector Trabajo, sobre la transición para la implementación del Sistema de Gestión de la Seguridad y Salud en el Trabajo (SG-SST)”.</w:t>
            </w:r>
          </w:p>
        </w:tc>
      </w:tr>
      <w:tr w:rsidR="00512FBF" w:rsidRPr="00512FBF" w14:paraId="5B97DF8B" w14:textId="77777777" w:rsidTr="00512FBF">
        <w:trPr>
          <w:trHeight w:val="567"/>
        </w:trPr>
        <w:tc>
          <w:tcPr>
            <w:tcW w:w="2122" w:type="dxa"/>
            <w:vAlign w:val="center"/>
          </w:tcPr>
          <w:p w14:paraId="3F006C8D" w14:textId="2B858A7A"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1072 de 2015</w:t>
            </w:r>
          </w:p>
        </w:tc>
        <w:tc>
          <w:tcPr>
            <w:tcW w:w="6706" w:type="dxa"/>
            <w:vAlign w:val="center"/>
          </w:tcPr>
          <w:p w14:paraId="0E512F7F" w14:textId="6F14DF76"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el cual se expide el Decreto Único reglamentario del Sector Trabajo”.</w:t>
            </w:r>
          </w:p>
        </w:tc>
      </w:tr>
      <w:tr w:rsidR="00512FBF" w:rsidRPr="00512FBF" w14:paraId="6FCDDA67" w14:textId="77777777" w:rsidTr="00512FBF">
        <w:trPr>
          <w:trHeight w:val="567"/>
        </w:trPr>
        <w:tc>
          <w:tcPr>
            <w:tcW w:w="2122" w:type="dxa"/>
            <w:vAlign w:val="center"/>
          </w:tcPr>
          <w:p w14:paraId="06115175" w14:textId="47C2D818"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0472 de 2015</w:t>
            </w:r>
          </w:p>
        </w:tc>
        <w:tc>
          <w:tcPr>
            <w:tcW w:w="6706" w:type="dxa"/>
            <w:vAlign w:val="center"/>
          </w:tcPr>
          <w:p w14:paraId="616EB976" w14:textId="1A75FBF4"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el cual se reglamentan los criterios de graduación de las multas por infracción a las normas de seguridad y salud en el trabajo y Riesgos Laborales”.</w:t>
            </w:r>
          </w:p>
        </w:tc>
      </w:tr>
      <w:tr w:rsidR="00512FBF" w:rsidRPr="00512FBF" w14:paraId="68B8F33D" w14:textId="77777777" w:rsidTr="00512FBF">
        <w:trPr>
          <w:trHeight w:val="567"/>
        </w:trPr>
        <w:tc>
          <w:tcPr>
            <w:tcW w:w="2122" w:type="dxa"/>
            <w:vAlign w:val="center"/>
          </w:tcPr>
          <w:p w14:paraId="23D11FDC" w14:textId="07F59433"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1443 de 2014</w:t>
            </w:r>
          </w:p>
        </w:tc>
        <w:tc>
          <w:tcPr>
            <w:tcW w:w="6706" w:type="dxa"/>
            <w:vAlign w:val="center"/>
          </w:tcPr>
          <w:p w14:paraId="28BFFF7C" w14:textId="72A99BF7"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el cual se dictan disposiciones para la implementación del Sistema de Gestión de la Seguridad y Salud en el Trabajo (SG-SST)”.</w:t>
            </w:r>
          </w:p>
        </w:tc>
      </w:tr>
      <w:tr w:rsidR="00512FBF" w:rsidRPr="00512FBF" w14:paraId="6D9E9E18" w14:textId="77777777" w:rsidTr="00512FBF">
        <w:trPr>
          <w:trHeight w:val="567"/>
        </w:trPr>
        <w:tc>
          <w:tcPr>
            <w:tcW w:w="2122" w:type="dxa"/>
            <w:vAlign w:val="center"/>
          </w:tcPr>
          <w:p w14:paraId="6E4A386B" w14:textId="64197FCE"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2463 de 2001</w:t>
            </w:r>
          </w:p>
        </w:tc>
        <w:tc>
          <w:tcPr>
            <w:tcW w:w="6706" w:type="dxa"/>
            <w:vAlign w:val="center"/>
          </w:tcPr>
          <w:p w14:paraId="3063541D" w14:textId="42A8F9C2"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“Reglamenta la integración, financiación y funcionamiento de las Juntas de Calificación de Invalidez”.</w:t>
            </w:r>
          </w:p>
        </w:tc>
      </w:tr>
      <w:tr w:rsidR="00512FBF" w:rsidRPr="00512FBF" w14:paraId="716D6784" w14:textId="77777777" w:rsidTr="00512FBF">
        <w:trPr>
          <w:trHeight w:val="567"/>
        </w:trPr>
        <w:tc>
          <w:tcPr>
            <w:tcW w:w="2122" w:type="dxa"/>
            <w:vAlign w:val="center"/>
          </w:tcPr>
          <w:p w14:paraId="47E6D272" w14:textId="7005569B" w:rsidR="00512FBF" w:rsidRPr="00512FBF" w:rsidRDefault="00512FBF" w:rsidP="00935F5B">
            <w:pPr>
              <w:rPr>
                <w:rFonts w:asciiTheme="majorHAnsi" w:hAnsiTheme="majorHAnsi"/>
                <w:sz w:val="20"/>
                <w:szCs w:val="20"/>
              </w:rPr>
            </w:pPr>
            <w:r w:rsidRPr="00512FBF">
              <w:rPr>
                <w:rFonts w:asciiTheme="majorHAnsi" w:hAnsiTheme="majorHAnsi"/>
                <w:sz w:val="20"/>
                <w:szCs w:val="20"/>
              </w:rPr>
              <w:t>Decreto 1295 de 1994</w:t>
            </w:r>
          </w:p>
        </w:tc>
        <w:tc>
          <w:tcPr>
            <w:tcW w:w="6706" w:type="dxa"/>
            <w:vAlign w:val="center"/>
          </w:tcPr>
          <w:p w14:paraId="7D243760" w14:textId="605C1166"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el cual se determina la organización y administración del Sistema General de Riesgos Profesionales”.</w:t>
            </w:r>
          </w:p>
        </w:tc>
      </w:tr>
      <w:tr w:rsidR="00512FBF" w:rsidRPr="00512FBF" w14:paraId="2DA5E65A" w14:textId="77777777" w:rsidTr="00512FBF">
        <w:trPr>
          <w:trHeight w:val="567"/>
        </w:trPr>
        <w:tc>
          <w:tcPr>
            <w:tcW w:w="2122" w:type="dxa"/>
            <w:vAlign w:val="center"/>
          </w:tcPr>
          <w:p w14:paraId="7B1B5772" w14:textId="30C214AE" w:rsidR="00512FBF" w:rsidRPr="00512FBF" w:rsidRDefault="00512FBF" w:rsidP="00935F5B">
            <w:pPr>
              <w:rPr>
                <w:rFonts w:asciiTheme="majorHAnsi" w:hAnsiTheme="majorHAnsi"/>
                <w:sz w:val="20"/>
                <w:szCs w:val="20"/>
              </w:rPr>
            </w:pPr>
            <w:r w:rsidRPr="00512FBF">
              <w:rPr>
                <w:rFonts w:asciiTheme="majorHAnsi" w:hAnsiTheme="majorHAnsi"/>
                <w:sz w:val="20"/>
                <w:szCs w:val="20"/>
              </w:rPr>
              <w:lastRenderedPageBreak/>
              <w:t>Decreto 614 de 1984</w:t>
            </w:r>
          </w:p>
        </w:tc>
        <w:tc>
          <w:tcPr>
            <w:tcW w:w="6706" w:type="dxa"/>
            <w:vAlign w:val="center"/>
          </w:tcPr>
          <w:p w14:paraId="62F6B5B6" w14:textId="5D37451E"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el cual se determinan las bases para la organización y administración de salud ocupacional en el país”.</w:t>
            </w:r>
          </w:p>
        </w:tc>
      </w:tr>
      <w:tr w:rsidR="00512FBF" w:rsidRPr="00512FBF" w14:paraId="6690945D" w14:textId="77777777" w:rsidTr="00512FBF">
        <w:trPr>
          <w:trHeight w:val="567"/>
        </w:trPr>
        <w:tc>
          <w:tcPr>
            <w:tcW w:w="2122" w:type="dxa"/>
            <w:vAlign w:val="center"/>
          </w:tcPr>
          <w:p w14:paraId="44CC37D3" w14:textId="419C138B"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1111 de 2017:</w:t>
            </w:r>
          </w:p>
        </w:tc>
        <w:tc>
          <w:tcPr>
            <w:tcW w:w="6706" w:type="dxa"/>
            <w:vAlign w:val="center"/>
          </w:tcPr>
          <w:p w14:paraId="69867703" w14:textId="24C02EB7"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definen los Estándares Mínimos del Sistema de Gestión de Seguridad y Salud en el Trabajo para empleadores y contratantes”.</w:t>
            </w:r>
          </w:p>
        </w:tc>
      </w:tr>
      <w:tr w:rsidR="00512FBF" w:rsidRPr="00512FBF" w14:paraId="6FAF6776" w14:textId="77777777" w:rsidTr="00512FBF">
        <w:trPr>
          <w:trHeight w:val="567"/>
        </w:trPr>
        <w:tc>
          <w:tcPr>
            <w:tcW w:w="2122" w:type="dxa"/>
            <w:vAlign w:val="center"/>
          </w:tcPr>
          <w:p w14:paraId="60D57DE7" w14:textId="2646E8F0"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652 de 2012</w:t>
            </w:r>
          </w:p>
        </w:tc>
        <w:tc>
          <w:tcPr>
            <w:tcW w:w="6706" w:type="dxa"/>
            <w:vAlign w:val="center"/>
          </w:tcPr>
          <w:p w14:paraId="794BE57A" w14:textId="4CBFE613"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establece la conformación y funcionamiento del Comité de Convivencia Laboral en Entidades Públicas y Empresas privadas y se dictan otras disposiciones”.</w:t>
            </w:r>
          </w:p>
        </w:tc>
      </w:tr>
      <w:tr w:rsidR="00512FBF" w:rsidRPr="00512FBF" w14:paraId="7C216A76" w14:textId="77777777" w:rsidTr="00512FBF">
        <w:trPr>
          <w:trHeight w:val="567"/>
        </w:trPr>
        <w:tc>
          <w:tcPr>
            <w:tcW w:w="2122" w:type="dxa"/>
            <w:vAlign w:val="center"/>
          </w:tcPr>
          <w:p w14:paraId="1E0D9C75" w14:textId="10D9DA3D"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1918 de 2009</w:t>
            </w:r>
          </w:p>
        </w:tc>
        <w:tc>
          <w:tcPr>
            <w:tcW w:w="6706" w:type="dxa"/>
            <w:vAlign w:val="center"/>
          </w:tcPr>
          <w:p w14:paraId="0B37F0E6" w14:textId="76374B91"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modifica la Resolución 2346 de 2007 sobre la práctica de evaluaciones médicas ocupacionales”.</w:t>
            </w:r>
          </w:p>
        </w:tc>
      </w:tr>
      <w:tr w:rsidR="00512FBF" w:rsidRPr="00512FBF" w14:paraId="4F9F9B17" w14:textId="77777777" w:rsidTr="00512FBF">
        <w:trPr>
          <w:trHeight w:val="567"/>
        </w:trPr>
        <w:tc>
          <w:tcPr>
            <w:tcW w:w="2122" w:type="dxa"/>
            <w:vAlign w:val="center"/>
          </w:tcPr>
          <w:p w14:paraId="7E0DFEFB" w14:textId="6428F1D2"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2646 de 2008</w:t>
            </w:r>
          </w:p>
        </w:tc>
        <w:tc>
          <w:tcPr>
            <w:tcW w:w="6706" w:type="dxa"/>
            <w:vAlign w:val="center"/>
          </w:tcPr>
          <w:p w14:paraId="79FBE57B" w14:textId="7E0219C2"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512FBF" w:rsidRPr="00512FBF" w14:paraId="0D66FAAE" w14:textId="77777777" w:rsidTr="00512FBF">
        <w:trPr>
          <w:trHeight w:val="567"/>
        </w:trPr>
        <w:tc>
          <w:tcPr>
            <w:tcW w:w="2122" w:type="dxa"/>
            <w:vAlign w:val="center"/>
          </w:tcPr>
          <w:p w14:paraId="76B1A800" w14:textId="7656A0C5"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1401 de 2007</w:t>
            </w:r>
          </w:p>
        </w:tc>
        <w:tc>
          <w:tcPr>
            <w:tcW w:w="6706" w:type="dxa"/>
            <w:vAlign w:val="center"/>
          </w:tcPr>
          <w:p w14:paraId="1886FB64" w14:textId="78151F64"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reglamenta la investigación de incidentes y accidentes de trabajo”.</w:t>
            </w:r>
          </w:p>
        </w:tc>
      </w:tr>
      <w:tr w:rsidR="00512FBF" w:rsidRPr="00512FBF" w14:paraId="6BC871D3" w14:textId="77777777" w:rsidTr="00512FBF">
        <w:trPr>
          <w:trHeight w:val="567"/>
        </w:trPr>
        <w:tc>
          <w:tcPr>
            <w:tcW w:w="2122" w:type="dxa"/>
            <w:vAlign w:val="center"/>
          </w:tcPr>
          <w:p w14:paraId="1E67200A" w14:textId="5BD888E1"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1016 de 1989</w:t>
            </w:r>
          </w:p>
        </w:tc>
        <w:tc>
          <w:tcPr>
            <w:tcW w:w="6706" w:type="dxa"/>
            <w:vAlign w:val="center"/>
          </w:tcPr>
          <w:p w14:paraId="7544CF0F" w14:textId="690C801F"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reglamenta la organización, funcionamiento y forma de los Programas de Salud Ocupacional que deben desarrollar los patronos o empleadores en el país”.</w:t>
            </w:r>
          </w:p>
        </w:tc>
      </w:tr>
      <w:tr w:rsidR="00512FBF" w:rsidRPr="00512FBF" w14:paraId="3B39ABF1" w14:textId="77777777" w:rsidTr="00512FBF">
        <w:trPr>
          <w:trHeight w:val="567"/>
        </w:trPr>
        <w:tc>
          <w:tcPr>
            <w:tcW w:w="2122" w:type="dxa"/>
            <w:vAlign w:val="center"/>
          </w:tcPr>
          <w:p w14:paraId="369A80F3" w14:textId="3AB23734"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2013 de 1989</w:t>
            </w:r>
          </w:p>
        </w:tc>
        <w:tc>
          <w:tcPr>
            <w:tcW w:w="6706" w:type="dxa"/>
            <w:vAlign w:val="center"/>
          </w:tcPr>
          <w:p w14:paraId="6051BFD8" w14:textId="3E1E8F18"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“Por la cual se reglamenta la organización y funcionamiento de los Comités de Medicina, Higiene y Seguridad Industrial en los lugares de trabajo (Actualmente Comité Paritario de Salud Ocupacional)”.</w:t>
            </w:r>
          </w:p>
        </w:tc>
      </w:tr>
      <w:tr w:rsidR="00512FBF" w:rsidRPr="00512FBF" w14:paraId="02134748" w14:textId="77777777" w:rsidTr="00512FBF">
        <w:trPr>
          <w:trHeight w:val="567"/>
        </w:trPr>
        <w:tc>
          <w:tcPr>
            <w:tcW w:w="2122" w:type="dxa"/>
            <w:vAlign w:val="center"/>
          </w:tcPr>
          <w:p w14:paraId="637255EA" w14:textId="76AFCE34"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1016 de 1989</w:t>
            </w:r>
          </w:p>
        </w:tc>
        <w:tc>
          <w:tcPr>
            <w:tcW w:w="6706" w:type="dxa"/>
            <w:vAlign w:val="center"/>
          </w:tcPr>
          <w:p w14:paraId="3456D417" w14:textId="1CCE203B"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“Reglamento de organización y funcionamiento y forma de los Programas de Salud Ocupacional”.</w:t>
            </w:r>
          </w:p>
        </w:tc>
      </w:tr>
      <w:tr w:rsidR="00512FBF" w:rsidRPr="00512FBF" w14:paraId="264A8F92" w14:textId="77777777" w:rsidTr="00512FBF">
        <w:trPr>
          <w:trHeight w:val="567"/>
        </w:trPr>
        <w:tc>
          <w:tcPr>
            <w:tcW w:w="2122" w:type="dxa"/>
            <w:vAlign w:val="center"/>
          </w:tcPr>
          <w:p w14:paraId="3D02F608" w14:textId="20C02E6F"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2013 de 1986</w:t>
            </w:r>
          </w:p>
        </w:tc>
        <w:tc>
          <w:tcPr>
            <w:tcW w:w="6706" w:type="dxa"/>
            <w:vAlign w:val="center"/>
          </w:tcPr>
          <w:p w14:paraId="35A56CC5" w14:textId="37DAF16F"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“Reglamento para la organización y funcionamiento de los comités de Medicina, Higiene y Seguridad Industrial en lugares de trabajo”.</w:t>
            </w:r>
          </w:p>
        </w:tc>
      </w:tr>
      <w:tr w:rsidR="00512FBF" w:rsidRPr="00512FBF" w14:paraId="19DEC2B8" w14:textId="77777777" w:rsidTr="00512FBF">
        <w:trPr>
          <w:trHeight w:val="567"/>
        </w:trPr>
        <w:tc>
          <w:tcPr>
            <w:tcW w:w="2122" w:type="dxa"/>
            <w:vAlign w:val="center"/>
          </w:tcPr>
          <w:p w14:paraId="0112987D" w14:textId="6D954D3E" w:rsidR="00512FBF" w:rsidRPr="00512FBF" w:rsidRDefault="00512FBF" w:rsidP="00935F5B">
            <w:pPr>
              <w:rPr>
                <w:rFonts w:asciiTheme="majorHAnsi" w:hAnsiTheme="majorHAnsi"/>
                <w:sz w:val="20"/>
                <w:szCs w:val="20"/>
              </w:rPr>
            </w:pPr>
            <w:r w:rsidRPr="00512FBF">
              <w:rPr>
                <w:rFonts w:asciiTheme="majorHAnsi" w:hAnsiTheme="majorHAnsi"/>
                <w:sz w:val="20"/>
                <w:szCs w:val="20"/>
              </w:rPr>
              <w:t>Resolución 2400 de 1979</w:t>
            </w:r>
          </w:p>
        </w:tc>
        <w:tc>
          <w:tcPr>
            <w:tcW w:w="6706" w:type="dxa"/>
            <w:vAlign w:val="center"/>
          </w:tcPr>
          <w:p w14:paraId="4170A7B6" w14:textId="36A1FB63" w:rsidR="00512FBF" w:rsidRPr="00512FBF" w:rsidRDefault="00512FBF" w:rsidP="00512FBF">
            <w:pPr>
              <w:pStyle w:val="Default"/>
              <w:spacing w:line="276" w:lineRule="auto"/>
              <w:jc w:val="both"/>
              <w:rPr>
                <w:rFonts w:asciiTheme="majorHAnsi" w:hAnsiTheme="majorHAnsi"/>
                <w:i/>
                <w:color w:val="auto"/>
                <w:sz w:val="20"/>
                <w:szCs w:val="20"/>
              </w:rPr>
            </w:pPr>
            <w:r w:rsidRPr="00512FBF">
              <w:rPr>
                <w:rFonts w:asciiTheme="majorHAnsi" w:hAnsiTheme="majorHAnsi"/>
                <w:i/>
                <w:color w:val="auto"/>
                <w:sz w:val="20"/>
                <w:szCs w:val="20"/>
              </w:rPr>
              <w:t>“Estatuto de Seguridad Industrial”.</w:t>
            </w:r>
          </w:p>
        </w:tc>
      </w:tr>
    </w:tbl>
    <w:p w14:paraId="70FC7497" w14:textId="77777777" w:rsidR="00512FBF" w:rsidRPr="00935F5B" w:rsidRDefault="00512FBF" w:rsidP="00935F5B"/>
    <w:p w14:paraId="50CC4214" w14:textId="77777777" w:rsidR="00935F5B" w:rsidRDefault="00935F5B">
      <w:pPr>
        <w:rPr>
          <w:rFonts w:ascii="Work Sans" w:hAnsi="Work Sans" w:cstheme="majorBidi"/>
          <w:b/>
          <w:color w:val="000000" w:themeColor="text1"/>
          <w:sz w:val="24"/>
          <w:szCs w:val="32"/>
        </w:rPr>
      </w:pPr>
      <w:r>
        <w:br w:type="page"/>
      </w:r>
    </w:p>
    <w:p w14:paraId="352BAA92" w14:textId="1C7F83DF" w:rsidR="00B47886" w:rsidRPr="00B47886" w:rsidRDefault="00B776A1" w:rsidP="0092363C">
      <w:pPr>
        <w:pStyle w:val="Ttulo1"/>
        <w:spacing w:before="0"/>
        <w:rPr>
          <w:rFonts w:eastAsiaTheme="minorHAnsi"/>
        </w:rPr>
      </w:pPr>
      <w:bookmarkStart w:id="2" w:name="_Toc505608312"/>
      <w:r w:rsidRPr="00B47886">
        <w:rPr>
          <w:rFonts w:eastAsiaTheme="minorHAnsi"/>
        </w:rPr>
        <w:lastRenderedPageBreak/>
        <w:t>OBJETIVO GENERAL</w:t>
      </w:r>
      <w:bookmarkEnd w:id="2"/>
    </w:p>
    <w:p w14:paraId="0BA24EA3" w14:textId="77777777" w:rsidR="00404B90" w:rsidRDefault="00404B90" w:rsidP="0092363C">
      <w:pPr>
        <w:spacing w:after="0" w:line="276" w:lineRule="auto"/>
        <w:jc w:val="both"/>
        <w:rPr>
          <w:rFonts w:asciiTheme="majorHAnsi" w:hAnsiTheme="majorHAnsi" w:cs="Arial"/>
          <w:sz w:val="24"/>
          <w:szCs w:val="24"/>
        </w:rPr>
      </w:pPr>
    </w:p>
    <w:p w14:paraId="7C7A7D9B" w14:textId="3A629D78" w:rsidR="005D4986" w:rsidRDefault="005E5CF2" w:rsidP="00A60B3C">
      <w:pPr>
        <w:spacing w:after="0" w:line="276" w:lineRule="auto"/>
        <w:jc w:val="both"/>
        <w:rPr>
          <w:rFonts w:asciiTheme="majorHAnsi" w:hAnsiTheme="majorHAnsi" w:cs="Arial"/>
          <w:sz w:val="24"/>
          <w:szCs w:val="24"/>
        </w:rPr>
      </w:pPr>
      <w:r>
        <w:rPr>
          <w:rFonts w:asciiTheme="majorHAnsi" w:hAnsiTheme="majorHAnsi" w:cs="Arial"/>
          <w:sz w:val="24"/>
          <w:szCs w:val="24"/>
        </w:rPr>
        <w:t>D</w:t>
      </w:r>
      <w:r w:rsidRPr="005E5CF2">
        <w:rPr>
          <w:rFonts w:asciiTheme="majorHAnsi" w:hAnsiTheme="majorHAnsi" w:cs="Arial"/>
          <w:sz w:val="24"/>
          <w:szCs w:val="24"/>
        </w:rPr>
        <w:t>esarroll</w:t>
      </w:r>
      <w:r>
        <w:rPr>
          <w:rFonts w:asciiTheme="majorHAnsi" w:hAnsiTheme="majorHAnsi" w:cs="Arial"/>
          <w:sz w:val="24"/>
          <w:szCs w:val="24"/>
        </w:rPr>
        <w:t>ar</w:t>
      </w:r>
      <w:r w:rsidRPr="005E5CF2">
        <w:rPr>
          <w:rFonts w:asciiTheme="majorHAnsi" w:hAnsiTheme="majorHAnsi" w:cs="Arial"/>
          <w:sz w:val="24"/>
          <w:szCs w:val="24"/>
        </w:rPr>
        <w:t xml:space="preserve"> actividades tendientes a conseguir condiciones de trabajo seguras y saludables en la entidad, a través de la promoción de la salud y de la identificación, evaluación y control de los riesgos ocupacionales, con el fin de evitar la presentación de accidentes de trabajo, enfermedades laborales y otras situaciones que afecten la calidad de vida de los servidores públicos</w:t>
      </w:r>
      <w:r w:rsidR="00A96054">
        <w:rPr>
          <w:rFonts w:asciiTheme="majorHAnsi" w:hAnsiTheme="majorHAnsi" w:cs="Arial"/>
          <w:sz w:val="24"/>
          <w:szCs w:val="24"/>
        </w:rPr>
        <w:t xml:space="preserve"> vinculados a la </w:t>
      </w:r>
      <w:r w:rsidR="00A96054" w:rsidRPr="00B47886">
        <w:rPr>
          <w:rFonts w:asciiTheme="majorHAnsi" w:hAnsiTheme="majorHAnsi" w:cs="Arial"/>
          <w:sz w:val="24"/>
          <w:szCs w:val="24"/>
        </w:rPr>
        <w:t xml:space="preserve">planta </w:t>
      </w:r>
      <w:r w:rsidR="00A96054">
        <w:rPr>
          <w:rFonts w:asciiTheme="majorHAnsi" w:hAnsiTheme="majorHAnsi" w:cs="Arial"/>
          <w:sz w:val="24"/>
          <w:szCs w:val="24"/>
        </w:rPr>
        <w:t xml:space="preserve">de personal </w:t>
      </w:r>
      <w:r w:rsidR="00A96054" w:rsidRPr="00B47886">
        <w:rPr>
          <w:rFonts w:asciiTheme="majorHAnsi" w:hAnsiTheme="majorHAnsi" w:cs="Arial"/>
          <w:sz w:val="24"/>
          <w:szCs w:val="24"/>
        </w:rPr>
        <w:t xml:space="preserve">y </w:t>
      </w:r>
      <w:r w:rsidR="00A96054">
        <w:rPr>
          <w:rFonts w:asciiTheme="majorHAnsi" w:hAnsiTheme="majorHAnsi" w:cs="Arial"/>
          <w:sz w:val="24"/>
          <w:szCs w:val="24"/>
        </w:rPr>
        <w:t xml:space="preserve">los </w:t>
      </w:r>
      <w:r w:rsidR="00A96054" w:rsidRPr="00B47886">
        <w:rPr>
          <w:rFonts w:asciiTheme="majorHAnsi" w:hAnsiTheme="majorHAnsi" w:cs="Arial"/>
          <w:sz w:val="24"/>
          <w:szCs w:val="24"/>
        </w:rPr>
        <w:t>contratistas de la entidad</w:t>
      </w:r>
      <w:r w:rsidRPr="005E5CF2">
        <w:rPr>
          <w:rFonts w:asciiTheme="majorHAnsi" w:hAnsiTheme="majorHAnsi" w:cs="Arial"/>
          <w:sz w:val="24"/>
          <w:szCs w:val="24"/>
        </w:rPr>
        <w:t>.</w:t>
      </w:r>
    </w:p>
    <w:p w14:paraId="3537FACE" w14:textId="77777777" w:rsidR="00A60B3C" w:rsidRDefault="00A60B3C" w:rsidP="00A60B3C">
      <w:pPr>
        <w:spacing w:after="0" w:line="276" w:lineRule="auto"/>
        <w:jc w:val="both"/>
        <w:rPr>
          <w:rFonts w:asciiTheme="majorHAnsi" w:hAnsiTheme="majorHAnsi" w:cs="Arial"/>
          <w:sz w:val="24"/>
          <w:szCs w:val="24"/>
        </w:rPr>
      </w:pPr>
    </w:p>
    <w:p w14:paraId="29038492" w14:textId="7DB18BA4" w:rsidR="00B47886" w:rsidRPr="00A60B3C" w:rsidRDefault="00B776A1" w:rsidP="00A60B3C">
      <w:pPr>
        <w:pStyle w:val="Ttulo1"/>
        <w:spacing w:before="0"/>
        <w:rPr>
          <w:rFonts w:eastAsiaTheme="minorHAnsi"/>
        </w:rPr>
      </w:pPr>
      <w:r w:rsidRPr="00A60B3C">
        <w:rPr>
          <w:rFonts w:eastAsiaTheme="minorHAnsi"/>
        </w:rPr>
        <w:t xml:space="preserve"> ALCANCE</w:t>
      </w:r>
    </w:p>
    <w:p w14:paraId="1AE094E2" w14:textId="77777777" w:rsidR="00A60B3C" w:rsidRPr="00B47886" w:rsidRDefault="00A60B3C" w:rsidP="00A60B3C">
      <w:pPr>
        <w:spacing w:after="0" w:line="276" w:lineRule="auto"/>
        <w:jc w:val="both"/>
        <w:rPr>
          <w:rFonts w:asciiTheme="majorHAnsi" w:hAnsiTheme="majorHAnsi" w:cs="Arial"/>
          <w:b/>
          <w:sz w:val="24"/>
          <w:szCs w:val="24"/>
        </w:rPr>
      </w:pPr>
    </w:p>
    <w:p w14:paraId="040C0652" w14:textId="77777777" w:rsidR="00DC4F4D" w:rsidRPr="0056197F" w:rsidRDefault="00DC4F4D" w:rsidP="0056197F">
      <w:pPr>
        <w:jc w:val="both"/>
        <w:rPr>
          <w:rFonts w:asciiTheme="majorHAnsi" w:hAnsiTheme="majorHAnsi"/>
          <w:b/>
          <w:sz w:val="24"/>
          <w:szCs w:val="24"/>
        </w:rPr>
      </w:pPr>
      <w:bookmarkStart w:id="3" w:name="_Toc505608314"/>
      <w:r w:rsidRPr="0056197F">
        <w:rPr>
          <w:rFonts w:asciiTheme="majorHAnsi" w:hAnsiTheme="majorHAnsi"/>
          <w:sz w:val="24"/>
          <w:szCs w:val="24"/>
        </w:rPr>
        <w:t>Para definir los procesos de la Entidad, a los cuales se aplican las directrices definidas en este manual, se ha tenido en cuenta las áreas de aplicación, el objeto y alcance de cada una de las normas que busca satisfacer el Sistema de Gestión y la interacción de los procesos de la Entidad:</w:t>
      </w:r>
    </w:p>
    <w:p w14:paraId="573B7E00" w14:textId="77777777" w:rsidR="00DC4F4D" w:rsidRPr="0056197F" w:rsidRDefault="00DC4F4D" w:rsidP="0056197F">
      <w:pPr>
        <w:jc w:val="both"/>
        <w:rPr>
          <w:rFonts w:asciiTheme="majorHAnsi" w:hAnsiTheme="majorHAnsi"/>
          <w:b/>
          <w:sz w:val="24"/>
          <w:szCs w:val="24"/>
        </w:rPr>
      </w:pPr>
      <w:r w:rsidRPr="0056197F">
        <w:rPr>
          <w:rFonts w:asciiTheme="majorHAnsi" w:hAnsiTheme="majorHAnsi"/>
          <w:sz w:val="24"/>
          <w:szCs w:val="24"/>
        </w:rPr>
        <w:t>Área de seguridad y salud en el trabajo: cubre los funcionarios de la Entidad en todos sus procesos y verifica el cumplimiento de la legislación básica en seguridad y salud en el trabajo de sus contratistas, cuando estos ejecutan sus actividades en las instalaciones de responsabilidad de la Entidad, se pretende satisfacer los requisitos de la legislación colombiana</w:t>
      </w:r>
    </w:p>
    <w:p w14:paraId="3C3335D4" w14:textId="699D77A5" w:rsidR="00B47886" w:rsidRPr="00B47886" w:rsidRDefault="009F0BE7" w:rsidP="00DC4F4D">
      <w:pPr>
        <w:pStyle w:val="Ttulo1"/>
      </w:pPr>
      <w:r w:rsidRPr="00B47886">
        <w:t>METODOLOGÍA</w:t>
      </w:r>
      <w:bookmarkEnd w:id="3"/>
    </w:p>
    <w:p w14:paraId="13A4E999" w14:textId="77777777" w:rsidR="00B47886" w:rsidRPr="00B47886" w:rsidRDefault="00B47886" w:rsidP="00B47886">
      <w:pPr>
        <w:spacing w:line="276" w:lineRule="auto"/>
        <w:jc w:val="both"/>
        <w:rPr>
          <w:rFonts w:asciiTheme="majorHAnsi" w:hAnsiTheme="majorHAnsi" w:cs="Arial"/>
          <w:sz w:val="24"/>
          <w:szCs w:val="24"/>
        </w:rPr>
      </w:pPr>
    </w:p>
    <w:p w14:paraId="38A2556B" w14:textId="564EF97B" w:rsidR="00B47886" w:rsidRPr="00B47886" w:rsidRDefault="00B47886" w:rsidP="00B47886">
      <w:pPr>
        <w:spacing w:line="276" w:lineRule="auto"/>
        <w:jc w:val="both"/>
        <w:rPr>
          <w:rFonts w:asciiTheme="majorHAnsi" w:hAnsiTheme="majorHAnsi" w:cs="Arial"/>
          <w:sz w:val="24"/>
          <w:szCs w:val="24"/>
        </w:rPr>
      </w:pPr>
      <w:r w:rsidRPr="00B47886">
        <w:rPr>
          <w:rFonts w:asciiTheme="majorHAnsi" w:hAnsiTheme="majorHAnsi" w:cs="Arial"/>
          <w:sz w:val="24"/>
          <w:szCs w:val="24"/>
        </w:rPr>
        <w:t xml:space="preserve">El Sistema de Gestión de la Seguridad y Salud en el Trabajo SG-SST está diseñado y se </w:t>
      </w:r>
      <w:r w:rsidR="00DC4F4D">
        <w:rPr>
          <w:rFonts w:asciiTheme="majorHAnsi" w:hAnsiTheme="majorHAnsi" w:cs="Arial"/>
          <w:sz w:val="24"/>
          <w:szCs w:val="24"/>
        </w:rPr>
        <w:t xml:space="preserve">está </w:t>
      </w:r>
      <w:r w:rsidRPr="00B47886">
        <w:rPr>
          <w:rFonts w:asciiTheme="majorHAnsi" w:hAnsiTheme="majorHAnsi" w:cs="Arial"/>
          <w:sz w:val="24"/>
          <w:szCs w:val="24"/>
        </w:rPr>
        <w:t>implementa</w:t>
      </w:r>
      <w:r w:rsidR="00DC4F4D">
        <w:rPr>
          <w:rFonts w:asciiTheme="majorHAnsi" w:hAnsiTheme="majorHAnsi" w:cs="Arial"/>
          <w:sz w:val="24"/>
          <w:szCs w:val="24"/>
        </w:rPr>
        <w:t>ndo</w:t>
      </w:r>
      <w:r w:rsidRPr="00B47886">
        <w:rPr>
          <w:rFonts w:asciiTheme="majorHAnsi" w:hAnsiTheme="majorHAnsi" w:cs="Arial"/>
          <w:sz w:val="24"/>
          <w:szCs w:val="24"/>
        </w:rPr>
        <w:t xml:space="preserve"> de acuerdo con los siguientes elementos:</w:t>
      </w:r>
    </w:p>
    <w:p w14:paraId="46B3C49C" w14:textId="7777777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Política, objetivos e indicadores de seguridad y salud en el trabajo.</w:t>
      </w:r>
    </w:p>
    <w:p w14:paraId="798A6D3C" w14:textId="14CD564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Planes, programas, procedimientos</w:t>
      </w:r>
      <w:r w:rsidR="00DC4F4D">
        <w:rPr>
          <w:rFonts w:asciiTheme="majorHAnsi" w:hAnsiTheme="majorHAnsi" w:cs="Arial"/>
          <w:sz w:val="24"/>
          <w:szCs w:val="24"/>
        </w:rPr>
        <w:t>, instructivos, manuales</w:t>
      </w:r>
      <w:r w:rsidRPr="00B47886">
        <w:rPr>
          <w:rFonts w:asciiTheme="majorHAnsi" w:hAnsiTheme="majorHAnsi" w:cs="Arial"/>
          <w:sz w:val="24"/>
          <w:szCs w:val="24"/>
        </w:rPr>
        <w:t xml:space="preserve"> y responsabilidades relacionadas.</w:t>
      </w:r>
    </w:p>
    <w:p w14:paraId="4E8D8B76" w14:textId="7777777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Cumplimiento de los requisitos normativos aplicables.</w:t>
      </w:r>
    </w:p>
    <w:p w14:paraId="272C00AA" w14:textId="1D9C46EE"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Identificación, evaluación, valoración de peligros.</w:t>
      </w:r>
    </w:p>
    <w:p w14:paraId="5E224895" w14:textId="5ECB7F90" w:rsidR="00B47886" w:rsidRPr="00B47886" w:rsidRDefault="00B11C0F" w:rsidP="009F0BE7">
      <w:pPr>
        <w:pStyle w:val="Prrafodelista"/>
        <w:numPr>
          <w:ilvl w:val="0"/>
          <w:numId w:val="18"/>
        </w:numPr>
        <w:spacing w:after="200" w:line="276" w:lineRule="auto"/>
        <w:jc w:val="both"/>
        <w:rPr>
          <w:rFonts w:asciiTheme="majorHAnsi" w:hAnsiTheme="majorHAnsi" w:cs="Arial"/>
          <w:sz w:val="24"/>
          <w:szCs w:val="24"/>
        </w:rPr>
      </w:pPr>
      <w:r>
        <w:rPr>
          <w:rFonts w:asciiTheme="majorHAnsi" w:hAnsiTheme="majorHAnsi" w:cs="Arial"/>
          <w:sz w:val="24"/>
          <w:szCs w:val="24"/>
        </w:rPr>
        <w:t xml:space="preserve">Participación </w:t>
      </w:r>
      <w:r w:rsidR="00B47886" w:rsidRPr="00B47886">
        <w:rPr>
          <w:rFonts w:asciiTheme="majorHAnsi" w:hAnsiTheme="majorHAnsi" w:cs="Arial"/>
          <w:sz w:val="24"/>
          <w:szCs w:val="24"/>
        </w:rPr>
        <w:t>y capacitación de los trabajadores.</w:t>
      </w:r>
    </w:p>
    <w:p w14:paraId="64475943" w14:textId="7777777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Descripción de las condiciones de salud y perfil sociodemográfico de los trabajadores.</w:t>
      </w:r>
    </w:p>
    <w:p w14:paraId="2C7157C9" w14:textId="7777777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Programa de inspecciones de seguridad.</w:t>
      </w:r>
    </w:p>
    <w:p w14:paraId="50CD4A67" w14:textId="77777777" w:rsidR="00B47886" w:rsidRPr="00B47886" w:rsidRDefault="00B47886" w:rsidP="009F0BE7">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Indicadores de accidentes laborales.</w:t>
      </w:r>
    </w:p>
    <w:p w14:paraId="5E0CF442" w14:textId="53CE98E1" w:rsidR="00B47886" w:rsidRPr="00B11C0F" w:rsidRDefault="00B47886" w:rsidP="00B11C0F">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Los planes de prevención, preparaci</w:t>
      </w:r>
      <w:r w:rsidR="00B11C0F">
        <w:rPr>
          <w:rFonts w:asciiTheme="majorHAnsi" w:hAnsiTheme="majorHAnsi" w:cs="Arial"/>
          <w:sz w:val="24"/>
          <w:szCs w:val="24"/>
        </w:rPr>
        <w:t>ón y respuesta ante emergencias</w:t>
      </w:r>
      <w:r w:rsidRPr="00B11C0F">
        <w:rPr>
          <w:rFonts w:asciiTheme="majorHAnsi" w:hAnsiTheme="majorHAnsi" w:cs="Arial"/>
          <w:sz w:val="24"/>
          <w:szCs w:val="24"/>
        </w:rPr>
        <w:t>.</w:t>
      </w:r>
    </w:p>
    <w:p w14:paraId="4AA3745E" w14:textId="50101A09" w:rsidR="00B47886" w:rsidRPr="00B11C0F" w:rsidRDefault="00B47886" w:rsidP="00B11C0F">
      <w:pPr>
        <w:pStyle w:val="Prrafodelista"/>
        <w:numPr>
          <w:ilvl w:val="0"/>
          <w:numId w:val="18"/>
        </w:numPr>
        <w:spacing w:after="200" w:line="276" w:lineRule="auto"/>
        <w:jc w:val="both"/>
        <w:rPr>
          <w:rFonts w:asciiTheme="majorHAnsi" w:hAnsiTheme="majorHAnsi" w:cs="Arial"/>
          <w:sz w:val="24"/>
          <w:szCs w:val="24"/>
        </w:rPr>
      </w:pPr>
      <w:r w:rsidRPr="00B47886">
        <w:rPr>
          <w:rFonts w:asciiTheme="majorHAnsi" w:hAnsiTheme="majorHAnsi" w:cs="Arial"/>
          <w:sz w:val="24"/>
          <w:szCs w:val="24"/>
        </w:rPr>
        <w:t>Programas de prevención de la salud de los trabajadores.</w:t>
      </w:r>
    </w:p>
    <w:p w14:paraId="7BB41D93" w14:textId="6C1B45D5" w:rsidR="00B47886" w:rsidRPr="00B47886" w:rsidRDefault="004C41F0" w:rsidP="00B776A1">
      <w:pPr>
        <w:pStyle w:val="Ttulo1"/>
        <w:spacing w:before="0"/>
      </w:pPr>
      <w:bookmarkStart w:id="4" w:name="_Toc505608315"/>
      <w:r w:rsidRPr="00B47886">
        <w:lastRenderedPageBreak/>
        <w:t>ESTRATEGIAS PARA LA EJECUCIÓN</w:t>
      </w:r>
      <w:bookmarkEnd w:id="4"/>
    </w:p>
    <w:p w14:paraId="47DF9207" w14:textId="77777777" w:rsidR="00B47886" w:rsidRPr="00B47886" w:rsidRDefault="00B47886" w:rsidP="00B47886">
      <w:pPr>
        <w:pStyle w:val="Default"/>
        <w:spacing w:line="276" w:lineRule="auto"/>
        <w:jc w:val="both"/>
        <w:rPr>
          <w:rFonts w:asciiTheme="majorHAnsi" w:hAnsiTheme="majorHAnsi"/>
          <w:color w:val="auto"/>
        </w:rPr>
      </w:pPr>
    </w:p>
    <w:p w14:paraId="66F1F9AC" w14:textId="1B7AE8E0" w:rsidR="00B47886" w:rsidRPr="00B47886" w:rsidRDefault="00B47886" w:rsidP="00B47886">
      <w:pPr>
        <w:pStyle w:val="Default"/>
        <w:spacing w:line="276" w:lineRule="auto"/>
        <w:jc w:val="both"/>
        <w:rPr>
          <w:rFonts w:asciiTheme="majorHAnsi" w:hAnsiTheme="majorHAnsi"/>
          <w:color w:val="auto"/>
        </w:rPr>
      </w:pPr>
      <w:r w:rsidRPr="00B47886">
        <w:rPr>
          <w:rFonts w:asciiTheme="majorHAnsi" w:hAnsiTheme="majorHAnsi"/>
          <w:color w:val="auto"/>
        </w:rPr>
        <w:t xml:space="preserve">El Sistema de Gestión de la Seguridad y Salud en el Trabajo SG-SST se está ejecutando con la intervención de la ARL Positiva, EPS´s, proveedores externos y Caja de Compensación - Compensar. </w:t>
      </w:r>
    </w:p>
    <w:p w14:paraId="6C04213C" w14:textId="77777777" w:rsidR="00B47886" w:rsidRPr="00B47886" w:rsidRDefault="00B47886" w:rsidP="00B47886">
      <w:pPr>
        <w:pStyle w:val="Default"/>
        <w:spacing w:line="276" w:lineRule="auto"/>
        <w:jc w:val="both"/>
        <w:rPr>
          <w:rFonts w:asciiTheme="majorHAnsi" w:hAnsiTheme="majorHAnsi"/>
          <w:color w:val="auto"/>
        </w:rPr>
      </w:pPr>
    </w:p>
    <w:p w14:paraId="757BEE42" w14:textId="5F966BA6" w:rsidR="00B47886" w:rsidRDefault="00B47886" w:rsidP="00B776A1">
      <w:pPr>
        <w:pStyle w:val="Default"/>
        <w:spacing w:line="276" w:lineRule="auto"/>
        <w:jc w:val="both"/>
        <w:rPr>
          <w:rFonts w:asciiTheme="majorHAnsi" w:hAnsiTheme="majorHAnsi"/>
          <w:color w:val="auto"/>
        </w:rPr>
      </w:pPr>
      <w:r w:rsidRPr="00B47886">
        <w:rPr>
          <w:rFonts w:asciiTheme="majorHAnsi" w:hAnsiTheme="majorHAnsi"/>
          <w:color w:val="auto"/>
        </w:rPr>
        <w:t>Cada una de las actividades diseñadas para la ejecución del Sistema durante la vigencia 201</w:t>
      </w:r>
      <w:r w:rsidR="009D6180">
        <w:rPr>
          <w:rFonts w:asciiTheme="majorHAnsi" w:hAnsiTheme="majorHAnsi"/>
          <w:color w:val="auto"/>
        </w:rPr>
        <w:t>9</w:t>
      </w:r>
      <w:r w:rsidRPr="00B47886">
        <w:rPr>
          <w:rFonts w:asciiTheme="majorHAnsi" w:hAnsiTheme="majorHAnsi"/>
          <w:color w:val="auto"/>
        </w:rPr>
        <w:t>, se ha estructurado con el propósito de generar una cultura de autocuidado, basada en el comportamiento de los funcionarios, con el fin de que todas estas actividades encaminadas a controlar y prevenir los riesgos a los que pudiesen estar expuestos los trabajadores se vean reflejadas en el cambio de actitud y el compromiso que cada colaborador asume para el mejoramiento de su bienestar.</w:t>
      </w:r>
    </w:p>
    <w:p w14:paraId="28ACA702" w14:textId="77777777" w:rsidR="00B776A1" w:rsidRPr="00B47886" w:rsidRDefault="00B776A1" w:rsidP="00B776A1">
      <w:pPr>
        <w:pStyle w:val="Default"/>
        <w:spacing w:line="276" w:lineRule="auto"/>
        <w:jc w:val="both"/>
        <w:rPr>
          <w:rFonts w:asciiTheme="majorHAnsi" w:hAnsiTheme="majorHAnsi"/>
          <w:color w:val="auto"/>
        </w:rPr>
      </w:pPr>
    </w:p>
    <w:p w14:paraId="574CEF10" w14:textId="77777777" w:rsidR="00B47886" w:rsidRPr="005745E3" w:rsidRDefault="00B47886" w:rsidP="00B776A1">
      <w:pPr>
        <w:pStyle w:val="Ttulo1"/>
        <w:spacing w:line="276" w:lineRule="auto"/>
        <w:rPr>
          <w:color w:val="auto"/>
        </w:rPr>
      </w:pPr>
      <w:r w:rsidRPr="005745E3">
        <w:rPr>
          <w:color w:val="auto"/>
        </w:rPr>
        <w:t>LINEAMIENTOS GENERALES</w:t>
      </w:r>
    </w:p>
    <w:p w14:paraId="3D7C0D7B" w14:textId="77777777" w:rsidR="00B47886" w:rsidRPr="005745E3" w:rsidRDefault="00B47886" w:rsidP="00B47886">
      <w:pPr>
        <w:pStyle w:val="Default"/>
        <w:spacing w:line="276" w:lineRule="auto"/>
        <w:jc w:val="both"/>
        <w:rPr>
          <w:rFonts w:asciiTheme="majorHAnsi" w:hAnsiTheme="majorHAnsi" w:cstheme="minorHAnsi"/>
          <w:color w:val="auto"/>
        </w:rPr>
      </w:pPr>
    </w:p>
    <w:p w14:paraId="5B1E0B43" w14:textId="0F06EA33" w:rsidR="00B47886" w:rsidRPr="005745E3" w:rsidRDefault="00B47886" w:rsidP="00B47886">
      <w:pPr>
        <w:spacing w:line="276" w:lineRule="auto"/>
        <w:jc w:val="both"/>
        <w:rPr>
          <w:rFonts w:asciiTheme="majorHAnsi" w:hAnsiTheme="majorHAnsi" w:cs="Arial"/>
          <w:sz w:val="24"/>
          <w:szCs w:val="24"/>
        </w:rPr>
      </w:pPr>
      <w:r w:rsidRPr="005745E3">
        <w:rPr>
          <w:rFonts w:asciiTheme="majorHAnsi" w:hAnsiTheme="majorHAnsi" w:cs="Arial"/>
          <w:sz w:val="24"/>
          <w:szCs w:val="24"/>
        </w:rPr>
        <w:t>El Sistema de Gestión de la Seguridad y Salud en el Trabajo SG-SST está diseñado y se implementará de acuerdo con los siguientes programas:</w:t>
      </w:r>
    </w:p>
    <w:p w14:paraId="17537115" w14:textId="77777777" w:rsidR="000D3E86" w:rsidRPr="00B47886" w:rsidRDefault="000D3E86" w:rsidP="00B47886">
      <w:pPr>
        <w:spacing w:line="276" w:lineRule="auto"/>
        <w:jc w:val="both"/>
        <w:rPr>
          <w:rFonts w:asciiTheme="majorHAnsi" w:hAnsiTheme="majorHAnsi" w:cs="Arial"/>
          <w:sz w:val="24"/>
          <w:szCs w:val="24"/>
        </w:rPr>
      </w:pPr>
    </w:p>
    <w:p w14:paraId="2AA2F28A" w14:textId="09C5FD90" w:rsidR="00B47886" w:rsidRPr="000D3E86" w:rsidRDefault="00B47886" w:rsidP="000D3E86">
      <w:pPr>
        <w:pStyle w:val="Ttulo2"/>
      </w:pPr>
      <w:r w:rsidRPr="000D3E86">
        <w:t xml:space="preserve">Sistema de Gestión de </w:t>
      </w:r>
      <w:r w:rsidR="005745E3">
        <w:t xml:space="preserve">la </w:t>
      </w:r>
      <w:r w:rsidRPr="000D3E86">
        <w:t>Seguridad y Salud en el Trabajo</w:t>
      </w:r>
    </w:p>
    <w:p w14:paraId="4526AD94" w14:textId="2A653009" w:rsidR="00B47886" w:rsidRDefault="00B47886" w:rsidP="000D3E86">
      <w:pPr>
        <w:shd w:val="clear" w:color="auto" w:fill="FFFFFF"/>
        <w:spacing w:before="100" w:beforeAutospacing="1" w:after="0"/>
        <w:jc w:val="both"/>
        <w:rPr>
          <w:rFonts w:asciiTheme="majorHAnsi" w:hAnsiTheme="majorHAnsi" w:cs="Arial"/>
          <w:sz w:val="24"/>
          <w:szCs w:val="24"/>
        </w:rPr>
      </w:pPr>
      <w:r w:rsidRPr="000D3E86">
        <w:rPr>
          <w:rFonts w:asciiTheme="majorHAnsi" w:hAnsiTheme="majorHAnsi" w:cs="Arial"/>
          <w:sz w:val="24"/>
          <w:szCs w:val="24"/>
        </w:rPr>
        <w:t>Implementación del Sistema de Gestión de Seguridad y Salud en el Trabajo. Siguiendo los lineamientos del Decreto</w:t>
      </w:r>
      <w:r w:rsidR="00B776A1" w:rsidRPr="000D3E86">
        <w:rPr>
          <w:rFonts w:asciiTheme="majorHAnsi" w:hAnsiTheme="majorHAnsi" w:cs="Arial"/>
          <w:sz w:val="24"/>
          <w:szCs w:val="24"/>
        </w:rPr>
        <w:t xml:space="preserve"> </w:t>
      </w:r>
      <w:r w:rsidRPr="000D3E86">
        <w:rPr>
          <w:rFonts w:asciiTheme="majorHAnsi" w:hAnsiTheme="majorHAnsi" w:cs="Arial"/>
          <w:sz w:val="24"/>
          <w:szCs w:val="24"/>
        </w:rPr>
        <w:t>1072 de 2015 Reglamentario del Sector Trabajo, Libro 2, Parte 2, Titulo 4 Capitulo 6 Sistema de Gestión de Seguridad y Salud en el Trabajo</w:t>
      </w:r>
      <w:r w:rsidR="005745E3">
        <w:rPr>
          <w:rFonts w:asciiTheme="majorHAnsi" w:hAnsiTheme="majorHAnsi" w:cs="Arial"/>
          <w:sz w:val="24"/>
          <w:szCs w:val="24"/>
        </w:rPr>
        <w:t xml:space="preserve"> y resolución 1111 de 2017</w:t>
      </w:r>
      <w:r w:rsidRPr="000D3E86">
        <w:rPr>
          <w:rFonts w:asciiTheme="majorHAnsi" w:hAnsiTheme="majorHAnsi" w:cs="Arial"/>
          <w:sz w:val="24"/>
          <w:szCs w:val="24"/>
        </w:rPr>
        <w:t>.</w:t>
      </w:r>
    </w:p>
    <w:p w14:paraId="0B222771" w14:textId="77777777" w:rsidR="000D3E86" w:rsidRPr="000D3E86" w:rsidRDefault="000D3E86" w:rsidP="000D3E86">
      <w:pPr>
        <w:shd w:val="clear" w:color="auto" w:fill="FFFFFF"/>
        <w:spacing w:before="100" w:beforeAutospacing="1" w:after="0"/>
        <w:jc w:val="both"/>
        <w:rPr>
          <w:rFonts w:asciiTheme="majorHAnsi" w:hAnsiTheme="majorHAnsi" w:cs="Arial"/>
          <w:sz w:val="24"/>
          <w:szCs w:val="24"/>
        </w:rPr>
      </w:pPr>
    </w:p>
    <w:p w14:paraId="0521DE85" w14:textId="2BBB2730" w:rsidR="00B47886" w:rsidRPr="000D3E86" w:rsidRDefault="00B47886" w:rsidP="000D3E86">
      <w:pPr>
        <w:pStyle w:val="Ttulo2"/>
      </w:pPr>
      <w:r w:rsidRPr="000D3E86">
        <w:t>Programa de Inducción y Reinducción en Seguridad y Salud en el Trabajo</w:t>
      </w:r>
    </w:p>
    <w:p w14:paraId="77BF700C" w14:textId="0112F56D" w:rsidR="00B47886" w:rsidRPr="000D3E86" w:rsidRDefault="00B47886" w:rsidP="000D3E86">
      <w:pPr>
        <w:shd w:val="clear" w:color="auto" w:fill="FFFFFF"/>
        <w:spacing w:before="100" w:beforeAutospacing="1" w:after="0"/>
        <w:jc w:val="both"/>
        <w:rPr>
          <w:rFonts w:asciiTheme="majorHAnsi" w:hAnsiTheme="majorHAnsi" w:cs="Arial"/>
          <w:sz w:val="24"/>
          <w:szCs w:val="24"/>
        </w:rPr>
      </w:pPr>
      <w:r w:rsidRPr="000D3E86">
        <w:rPr>
          <w:rFonts w:asciiTheme="majorHAnsi" w:hAnsiTheme="majorHAnsi" w:cs="Arial"/>
          <w:sz w:val="24"/>
          <w:szCs w:val="24"/>
        </w:rPr>
        <w:t xml:space="preserve">Incluir en el programa de inducción y reinducción de la entidad los temas de importancia en Seguridad y Salud en el Trabajo como son: </w:t>
      </w:r>
      <w:r w:rsidRPr="000D3E86">
        <w:rPr>
          <w:rFonts w:asciiTheme="majorHAnsi" w:hAnsiTheme="majorHAnsi" w:cs="Arial"/>
          <w:sz w:val="24"/>
          <w:szCs w:val="24"/>
          <w:lang w:val="es-ES"/>
        </w:rPr>
        <w:t xml:space="preserve">Aspectos generales y legales en Seguridad y Salud en el Trabajo, Política de </w:t>
      </w:r>
      <w:r w:rsidRPr="000D3E86">
        <w:rPr>
          <w:rFonts w:asciiTheme="majorHAnsi" w:hAnsiTheme="majorHAnsi" w:cs="Arial"/>
          <w:sz w:val="24"/>
          <w:szCs w:val="24"/>
        </w:rPr>
        <w:t xml:space="preserve">Seguridad y Salud en el Trabajo, </w:t>
      </w:r>
      <w:r w:rsidRPr="000D3E86">
        <w:rPr>
          <w:rFonts w:asciiTheme="majorHAnsi" w:hAnsiTheme="majorHAnsi" w:cs="Arial"/>
          <w:sz w:val="24"/>
          <w:szCs w:val="24"/>
          <w:lang w:val="es-ES"/>
        </w:rPr>
        <w:t>Política de no alcohol, no drogas, ni tabaquismo</w:t>
      </w:r>
      <w:r w:rsidRPr="000D3E86">
        <w:rPr>
          <w:rFonts w:asciiTheme="majorHAnsi" w:hAnsiTheme="majorHAnsi" w:cs="Arial"/>
          <w:sz w:val="24"/>
          <w:szCs w:val="24"/>
        </w:rPr>
        <w:t xml:space="preserve">, </w:t>
      </w:r>
      <w:r w:rsidRPr="000D3E86">
        <w:rPr>
          <w:rFonts w:asciiTheme="majorHAnsi" w:hAnsiTheme="majorHAnsi" w:cs="Arial"/>
          <w:sz w:val="24"/>
          <w:szCs w:val="24"/>
          <w:lang w:val="es-ES"/>
        </w:rPr>
        <w:t>Reglamento de Higiene y Seguridad Industrial</w:t>
      </w:r>
      <w:r w:rsidRPr="000D3E86">
        <w:rPr>
          <w:rFonts w:asciiTheme="majorHAnsi" w:hAnsiTheme="majorHAnsi" w:cs="Arial"/>
          <w:sz w:val="24"/>
          <w:szCs w:val="24"/>
        </w:rPr>
        <w:t xml:space="preserve">, </w:t>
      </w:r>
      <w:r w:rsidRPr="000D3E86">
        <w:rPr>
          <w:rFonts w:asciiTheme="majorHAnsi" w:hAnsiTheme="majorHAnsi" w:cs="Arial"/>
          <w:sz w:val="24"/>
          <w:szCs w:val="24"/>
          <w:lang w:val="es-ES"/>
        </w:rPr>
        <w:t xml:space="preserve">Funcionamiento del COPASST, Funcionamiento del Comité de Convivencia Laboral,  </w:t>
      </w:r>
      <w:r w:rsidR="005745E3">
        <w:rPr>
          <w:rFonts w:asciiTheme="majorHAnsi" w:hAnsiTheme="majorHAnsi" w:cs="Arial"/>
          <w:sz w:val="24"/>
          <w:szCs w:val="24"/>
          <w:lang w:val="es-ES"/>
        </w:rPr>
        <w:t>p</w:t>
      </w:r>
      <w:r w:rsidRPr="000D3E86">
        <w:rPr>
          <w:rFonts w:asciiTheme="majorHAnsi" w:hAnsiTheme="majorHAnsi" w:cs="Arial"/>
          <w:sz w:val="24"/>
          <w:szCs w:val="24"/>
          <w:lang w:val="es-ES"/>
        </w:rPr>
        <w:t>eligros y riesgos asociados a la labor a desempeñar y sus controles</w:t>
      </w:r>
      <w:r w:rsidRPr="000D3E86">
        <w:rPr>
          <w:rFonts w:asciiTheme="majorHAnsi" w:hAnsiTheme="majorHAnsi" w:cs="Arial"/>
          <w:sz w:val="24"/>
          <w:szCs w:val="24"/>
        </w:rPr>
        <w:t xml:space="preserve">, </w:t>
      </w:r>
      <w:r w:rsidR="005745E3" w:rsidRPr="000D3E86">
        <w:rPr>
          <w:rFonts w:asciiTheme="majorHAnsi" w:hAnsiTheme="majorHAnsi" w:cs="Arial"/>
          <w:sz w:val="24"/>
          <w:szCs w:val="24"/>
          <w:lang w:val="es-ES"/>
        </w:rPr>
        <w:t>responsabilidades</w:t>
      </w:r>
      <w:r w:rsidRPr="000D3E86">
        <w:rPr>
          <w:rFonts w:asciiTheme="majorHAnsi" w:hAnsiTheme="majorHAnsi" w:cs="Arial"/>
          <w:sz w:val="24"/>
          <w:szCs w:val="24"/>
          <w:lang w:val="es-ES"/>
        </w:rPr>
        <w:t xml:space="preserve"> generales en SG- SST</w:t>
      </w:r>
      <w:r w:rsidRPr="000D3E86">
        <w:rPr>
          <w:rFonts w:asciiTheme="majorHAnsi" w:hAnsiTheme="majorHAnsi" w:cs="Arial"/>
          <w:sz w:val="24"/>
          <w:szCs w:val="24"/>
        </w:rPr>
        <w:t xml:space="preserve">, </w:t>
      </w:r>
      <w:r w:rsidRPr="000D3E86">
        <w:rPr>
          <w:rFonts w:asciiTheme="majorHAnsi" w:hAnsiTheme="majorHAnsi" w:cs="Arial"/>
          <w:sz w:val="24"/>
          <w:szCs w:val="24"/>
          <w:lang w:val="es-ES"/>
        </w:rPr>
        <w:t>¿Qué es accidente de trabajo?</w:t>
      </w:r>
      <w:r w:rsidRPr="000D3E86">
        <w:rPr>
          <w:rFonts w:asciiTheme="majorHAnsi" w:hAnsiTheme="majorHAnsi" w:cs="Arial"/>
          <w:sz w:val="24"/>
          <w:szCs w:val="24"/>
        </w:rPr>
        <w:t xml:space="preserve">, </w:t>
      </w:r>
      <w:r w:rsidRPr="000D3E86">
        <w:rPr>
          <w:rFonts w:asciiTheme="majorHAnsi" w:hAnsiTheme="majorHAnsi" w:cs="Arial"/>
          <w:sz w:val="24"/>
          <w:szCs w:val="24"/>
          <w:lang w:val="es-ES"/>
        </w:rPr>
        <w:t>¿Qué hacer en caso de un accidente laboral?  ARL, ¿Qué es enfermedad laboral?</w:t>
      </w:r>
      <w:r w:rsidRPr="000D3E86">
        <w:rPr>
          <w:rFonts w:asciiTheme="majorHAnsi" w:hAnsiTheme="majorHAnsi" w:cs="Arial"/>
          <w:sz w:val="24"/>
          <w:szCs w:val="24"/>
        </w:rPr>
        <w:t xml:space="preserve">, </w:t>
      </w:r>
      <w:r w:rsidRPr="000D3E86">
        <w:rPr>
          <w:rFonts w:asciiTheme="majorHAnsi" w:hAnsiTheme="majorHAnsi" w:cs="Arial"/>
          <w:sz w:val="24"/>
          <w:szCs w:val="24"/>
          <w:lang w:val="es-ES"/>
        </w:rPr>
        <w:lastRenderedPageBreak/>
        <w:t>Plan de emergencias: política de emergencias, activación del plan, ruta de evacuación, punto de encuentro, acciones en caso de emergencias, Cómo actuar en caso de emergencia.</w:t>
      </w:r>
      <w:r w:rsidRPr="000D3E86">
        <w:rPr>
          <w:rFonts w:asciiTheme="majorHAnsi" w:hAnsiTheme="majorHAnsi" w:cs="Arial"/>
          <w:sz w:val="24"/>
          <w:szCs w:val="24"/>
        </w:rPr>
        <w:t> </w:t>
      </w:r>
    </w:p>
    <w:p w14:paraId="063A62CA" w14:textId="77777777" w:rsidR="00B47886" w:rsidRPr="00B47886" w:rsidRDefault="00B47886" w:rsidP="00B47886">
      <w:pPr>
        <w:pStyle w:val="Prrafodelista"/>
        <w:jc w:val="both"/>
        <w:rPr>
          <w:rFonts w:asciiTheme="majorHAnsi" w:hAnsiTheme="majorHAnsi" w:cs="Arial"/>
          <w:sz w:val="24"/>
          <w:szCs w:val="24"/>
        </w:rPr>
      </w:pPr>
    </w:p>
    <w:p w14:paraId="08EC9E8D" w14:textId="6BE62487" w:rsidR="00B47886" w:rsidRPr="000D3E86" w:rsidRDefault="00B47886" w:rsidP="000D3E86">
      <w:pPr>
        <w:pStyle w:val="Ttulo2"/>
      </w:pPr>
      <w:r w:rsidRPr="000D3E86">
        <w:t>Prevención, Preparación y Respuesta ante Emergencias:</w:t>
      </w:r>
    </w:p>
    <w:p w14:paraId="110CCE8E" w14:textId="062714E7" w:rsidR="00B47886" w:rsidRPr="000D3E86" w:rsidRDefault="005745E3" w:rsidP="000D3E86">
      <w:pPr>
        <w:shd w:val="clear" w:color="auto" w:fill="FFFFFF"/>
        <w:spacing w:before="100" w:beforeAutospacing="1" w:after="0"/>
        <w:jc w:val="both"/>
        <w:rPr>
          <w:rFonts w:asciiTheme="majorHAnsi" w:hAnsiTheme="majorHAnsi" w:cs="Arial"/>
          <w:sz w:val="24"/>
          <w:szCs w:val="24"/>
        </w:rPr>
      </w:pPr>
      <w:r>
        <w:rPr>
          <w:rFonts w:asciiTheme="majorHAnsi" w:hAnsiTheme="majorHAnsi" w:cs="Arial"/>
          <w:sz w:val="24"/>
          <w:szCs w:val="24"/>
        </w:rPr>
        <w:t>A</w:t>
      </w:r>
      <w:r w:rsidR="00B47886" w:rsidRPr="000D3E86">
        <w:rPr>
          <w:rFonts w:asciiTheme="majorHAnsi" w:hAnsiTheme="majorHAnsi" w:cs="Arial"/>
          <w:sz w:val="24"/>
          <w:szCs w:val="24"/>
        </w:rPr>
        <w:t xml:space="preserve">ctualización del plan de prevención preparación y respuesta ante emergencias </w:t>
      </w:r>
      <w:r>
        <w:rPr>
          <w:rFonts w:asciiTheme="majorHAnsi" w:hAnsiTheme="majorHAnsi" w:cs="Arial"/>
          <w:sz w:val="24"/>
          <w:szCs w:val="24"/>
        </w:rPr>
        <w:t>e</w:t>
      </w:r>
      <w:r w:rsidR="00B47886" w:rsidRPr="000D3E86">
        <w:rPr>
          <w:rFonts w:asciiTheme="majorHAnsi" w:hAnsiTheme="majorHAnsi" w:cs="Arial"/>
          <w:sz w:val="24"/>
          <w:szCs w:val="24"/>
        </w:rPr>
        <w:t>n la</w:t>
      </w:r>
      <w:r>
        <w:rPr>
          <w:rFonts w:asciiTheme="majorHAnsi" w:hAnsiTheme="majorHAnsi" w:cs="Arial"/>
          <w:sz w:val="24"/>
          <w:szCs w:val="24"/>
        </w:rPr>
        <w:t xml:space="preserve"> Entidad</w:t>
      </w:r>
      <w:r w:rsidR="00B47886" w:rsidRPr="000D3E86">
        <w:rPr>
          <w:rFonts w:asciiTheme="majorHAnsi" w:hAnsiTheme="majorHAnsi" w:cs="Arial"/>
          <w:sz w:val="24"/>
          <w:szCs w:val="24"/>
        </w:rPr>
        <w:t xml:space="preserve">. Conformación brigada de emergencias, capacitación brigada de emergencias (Primeros auxilios, evacuación y rescate, incendios, logística e inspecciones de seguridad), Dotación para la brigada de emergencias (botiquines y chalecos) y realización de simulacros (incendio –primeros auxilios y distrital de evacuación). </w:t>
      </w:r>
    </w:p>
    <w:p w14:paraId="335CD99B" w14:textId="77777777" w:rsidR="00B47886" w:rsidRPr="00B47886" w:rsidRDefault="00B47886" w:rsidP="00B47886">
      <w:pPr>
        <w:pStyle w:val="Prrafodelista"/>
        <w:spacing w:after="0"/>
        <w:ind w:left="142"/>
        <w:jc w:val="both"/>
        <w:rPr>
          <w:rFonts w:asciiTheme="majorHAnsi" w:hAnsiTheme="majorHAnsi" w:cs="Arial"/>
          <w:sz w:val="24"/>
          <w:szCs w:val="24"/>
        </w:rPr>
      </w:pPr>
    </w:p>
    <w:p w14:paraId="0C14D5BF" w14:textId="2539C597" w:rsidR="00B47886" w:rsidRPr="000D3E86" w:rsidRDefault="00B47886" w:rsidP="000D3E86">
      <w:pPr>
        <w:pStyle w:val="Ttulo2"/>
      </w:pPr>
      <w:r w:rsidRPr="000D3E86">
        <w:t>Programa Orden y Aseo</w:t>
      </w:r>
    </w:p>
    <w:p w14:paraId="627D8807" w14:textId="77777777" w:rsidR="00B47886" w:rsidRPr="000D3E86" w:rsidRDefault="00B47886" w:rsidP="000D3E86">
      <w:pPr>
        <w:shd w:val="clear" w:color="auto" w:fill="FFFFFF"/>
        <w:spacing w:before="100" w:beforeAutospacing="1" w:after="0"/>
        <w:jc w:val="both"/>
        <w:rPr>
          <w:rFonts w:asciiTheme="majorHAnsi" w:hAnsiTheme="majorHAnsi" w:cs="Arial"/>
          <w:sz w:val="24"/>
          <w:szCs w:val="24"/>
        </w:rPr>
      </w:pPr>
      <w:r w:rsidRPr="000D3E86">
        <w:rPr>
          <w:rFonts w:asciiTheme="majorHAnsi" w:hAnsiTheme="majorHAnsi" w:cs="Arial"/>
          <w:sz w:val="24"/>
          <w:szCs w:val="24"/>
        </w:rPr>
        <w:t>Programa orden y aseo (metodología 5´s): Las 5 S son cinco principios japoneses cuyos nombres comienzan por S, los cuales van en la misma dirección, que es conseguir una empresa limpia, ordenada y un grato ambiente de trabajo. Seiri clasificación, Seiton organizar, Seiso limpieza, Seiketsu estandarizar y Shitsuke disciplina. Se realizará actividades lúdicas concientizando al personal en el tema y la importancia de su aplicación.</w:t>
      </w:r>
    </w:p>
    <w:p w14:paraId="2BB43B3D" w14:textId="77777777" w:rsidR="000D3E86" w:rsidRPr="00B47886" w:rsidRDefault="000D3E86" w:rsidP="00B47886">
      <w:pPr>
        <w:pStyle w:val="Prrafodelista"/>
        <w:jc w:val="both"/>
        <w:rPr>
          <w:rFonts w:asciiTheme="majorHAnsi" w:hAnsiTheme="majorHAnsi" w:cs="Arial"/>
          <w:sz w:val="24"/>
          <w:szCs w:val="24"/>
        </w:rPr>
      </w:pPr>
    </w:p>
    <w:p w14:paraId="7A3B0C26" w14:textId="15A975F8" w:rsidR="00B47886" w:rsidRPr="000D3E86" w:rsidRDefault="00B47886" w:rsidP="000D3E86">
      <w:pPr>
        <w:pStyle w:val="Ttulo2"/>
      </w:pPr>
      <w:r w:rsidRPr="000D3E86">
        <w:t>Programa Inspecciones</w:t>
      </w:r>
    </w:p>
    <w:p w14:paraId="3A0C4507" w14:textId="77777777" w:rsidR="00B47886" w:rsidRPr="000D3E86" w:rsidRDefault="00B47886" w:rsidP="000D3E86">
      <w:pPr>
        <w:shd w:val="clear" w:color="auto" w:fill="FFFFFF"/>
        <w:spacing w:before="100" w:beforeAutospacing="1" w:after="0"/>
        <w:jc w:val="both"/>
        <w:rPr>
          <w:rFonts w:asciiTheme="majorHAnsi" w:hAnsiTheme="majorHAnsi" w:cs="Arial"/>
          <w:sz w:val="24"/>
          <w:szCs w:val="24"/>
        </w:rPr>
      </w:pPr>
      <w:r w:rsidRPr="000D3E86">
        <w:rPr>
          <w:rFonts w:asciiTheme="majorHAnsi" w:hAnsiTheme="majorHAnsi" w:cs="Arial"/>
          <w:sz w:val="24"/>
          <w:szCs w:val="24"/>
        </w:rPr>
        <w:t>Las inspecciones de seguridad se entienden como un proceso administrativo que tiene como finalidad la identificación o localización, análisis y control de situaciones o condiciones subestándar, que encierran la posibilidad de generar: problemas no previstos durante el diseño o el análisis del trabajo, Identificar acciones inapropiadas de los trabajadores que pueden tener consecuencias potencialmente dañinos para la salud del trabajador, los efectos indeseados de cambios introducidos en el proceso productivo o en los materiales. Además, se debe proponer soluciones a los hallazgos encontrados. Para esto se capacitará al COPASST y la brigada de emergencias en el tema, con el fin de establecer un cronograma y plan de acción a llevar acabo para abordar el hallazgo.</w:t>
      </w:r>
    </w:p>
    <w:p w14:paraId="03C0F450" w14:textId="77777777" w:rsidR="00B47886" w:rsidRPr="00B47886" w:rsidRDefault="00B47886" w:rsidP="00B47886">
      <w:pPr>
        <w:pStyle w:val="Prrafodelista"/>
        <w:spacing w:after="0"/>
        <w:ind w:left="142"/>
        <w:jc w:val="both"/>
        <w:rPr>
          <w:rFonts w:asciiTheme="majorHAnsi" w:hAnsiTheme="majorHAnsi" w:cs="Arial"/>
          <w:sz w:val="24"/>
          <w:szCs w:val="24"/>
        </w:rPr>
      </w:pPr>
    </w:p>
    <w:p w14:paraId="1C696194" w14:textId="1A7E8678" w:rsidR="00B47886" w:rsidRPr="000D3E86" w:rsidRDefault="00B47886" w:rsidP="000D3E86">
      <w:pPr>
        <w:pStyle w:val="Ttulo2"/>
      </w:pPr>
      <w:r w:rsidRPr="000D3E86">
        <w:t xml:space="preserve">Identificación, </w:t>
      </w:r>
      <w:r w:rsidR="005745E3">
        <w:t>evaluación y va</w:t>
      </w:r>
      <w:r w:rsidRPr="000D3E86">
        <w:t xml:space="preserve">loración </w:t>
      </w:r>
      <w:r w:rsidR="005745E3">
        <w:t>de peligros</w:t>
      </w:r>
    </w:p>
    <w:p w14:paraId="20C3C834" w14:textId="77777777" w:rsidR="00B47886" w:rsidRPr="000D3E86" w:rsidRDefault="00B47886" w:rsidP="000D3E86">
      <w:pPr>
        <w:shd w:val="clear" w:color="auto" w:fill="FFFFFF"/>
        <w:spacing w:before="100" w:beforeAutospacing="1" w:after="0"/>
        <w:jc w:val="both"/>
        <w:rPr>
          <w:rFonts w:asciiTheme="majorHAnsi" w:hAnsiTheme="majorHAnsi" w:cs="Arial"/>
          <w:sz w:val="24"/>
          <w:szCs w:val="24"/>
        </w:rPr>
      </w:pPr>
      <w:r w:rsidRPr="000D3E86">
        <w:rPr>
          <w:rFonts w:asciiTheme="majorHAnsi" w:hAnsiTheme="majorHAnsi" w:cs="Arial"/>
          <w:sz w:val="24"/>
          <w:szCs w:val="24"/>
        </w:rPr>
        <w:t>Identificar los peligros, evaluar y priorizar los riesgos que puedan afectar la Seguridad y Salud en el Trabajo; estableciendo los controles necesarios para la promoción de ambientes de trabajo seguros y saludables. Se capacitará a los miembros del COPASST, a los trabajadores de planta y contratistas para que sean un apoyo en el reporte de condiciones y de actos inseguros.</w:t>
      </w:r>
    </w:p>
    <w:p w14:paraId="54BB9009" w14:textId="59A65F6D" w:rsidR="00B47886" w:rsidRDefault="00B47886" w:rsidP="000D3E86">
      <w:pPr>
        <w:pStyle w:val="Ttulo2"/>
      </w:pPr>
      <w:r w:rsidRPr="000D3E86">
        <w:lastRenderedPageBreak/>
        <w:t>Subprograma de Medicina Preventiva y del Trabajo</w:t>
      </w:r>
    </w:p>
    <w:p w14:paraId="5EA7C5C4" w14:textId="77777777" w:rsidR="00336534" w:rsidRPr="00336534" w:rsidRDefault="00336534" w:rsidP="00336534"/>
    <w:p w14:paraId="2B22053C" w14:textId="607B3B3E" w:rsidR="00B47886" w:rsidRPr="000D3E86" w:rsidRDefault="00B47886" w:rsidP="000D3E86">
      <w:pPr>
        <w:spacing w:after="0" w:line="276" w:lineRule="auto"/>
        <w:jc w:val="both"/>
        <w:rPr>
          <w:rFonts w:asciiTheme="majorHAnsi" w:hAnsiTheme="majorHAnsi" w:cs="Arial"/>
          <w:sz w:val="24"/>
          <w:szCs w:val="24"/>
        </w:rPr>
      </w:pPr>
      <w:r w:rsidRPr="00977390">
        <w:rPr>
          <w:rFonts w:asciiTheme="majorHAnsi" w:hAnsiTheme="majorHAnsi" w:cs="Arial"/>
          <w:b/>
          <w:sz w:val="24"/>
          <w:szCs w:val="24"/>
        </w:rPr>
        <w:t xml:space="preserve">Exámenes médicos ocupacionales (ingreso, </w:t>
      </w:r>
      <w:r w:rsidR="00DF007B">
        <w:rPr>
          <w:rFonts w:asciiTheme="majorHAnsi" w:hAnsiTheme="majorHAnsi" w:cs="Arial"/>
          <w:b/>
          <w:sz w:val="24"/>
          <w:szCs w:val="24"/>
        </w:rPr>
        <w:t>retiro</w:t>
      </w:r>
      <w:r w:rsidRPr="00977390">
        <w:rPr>
          <w:rFonts w:asciiTheme="majorHAnsi" w:hAnsiTheme="majorHAnsi" w:cs="Arial"/>
          <w:b/>
          <w:sz w:val="24"/>
          <w:szCs w:val="24"/>
        </w:rPr>
        <w:t xml:space="preserve"> y periódicos):</w:t>
      </w:r>
      <w:r w:rsidRPr="000D3E86">
        <w:rPr>
          <w:rFonts w:asciiTheme="majorHAnsi" w:hAnsiTheme="majorHAnsi" w:cs="Arial"/>
          <w:sz w:val="24"/>
          <w:szCs w:val="24"/>
        </w:rPr>
        <w:t xml:space="preserve"> Acto médico mediante el cual se interroga y examina a un trabajador, con el fin de monitorear la exposición a factores de riesgo y determinar la existencia de consecuencias en la persona por dicha exposición. Se llevarán a cabo a los servidores de carrera administrativa, libre nombramiento, provisionales y de planta temporal y de acuerdo al diagnóstico de condiciones de salud entregado por al IPS contratada para este servicio, se enlaza con el siguiente subprograma de medicina preventiva y del trabajo planteando programas de intervención y prevención de enfermedades.</w:t>
      </w:r>
    </w:p>
    <w:p w14:paraId="79607AC1" w14:textId="77777777" w:rsidR="005A01F3" w:rsidRDefault="005A01F3" w:rsidP="000D3E86">
      <w:pPr>
        <w:shd w:val="clear" w:color="auto" w:fill="FFFFFF"/>
        <w:spacing w:after="0" w:line="276" w:lineRule="auto"/>
        <w:jc w:val="both"/>
        <w:rPr>
          <w:rFonts w:asciiTheme="majorHAnsi" w:hAnsiTheme="majorHAnsi" w:cs="Arial"/>
          <w:sz w:val="24"/>
          <w:szCs w:val="24"/>
        </w:rPr>
      </w:pPr>
    </w:p>
    <w:p w14:paraId="6382881F" w14:textId="145A3255" w:rsidR="00B47886" w:rsidRPr="000D3E86" w:rsidRDefault="00B47886" w:rsidP="000D3E86">
      <w:pPr>
        <w:shd w:val="clear" w:color="auto" w:fill="FFFFFF"/>
        <w:spacing w:after="0" w:line="276" w:lineRule="auto"/>
        <w:jc w:val="both"/>
        <w:rPr>
          <w:rFonts w:asciiTheme="majorHAnsi" w:hAnsiTheme="majorHAnsi" w:cs="Arial"/>
          <w:sz w:val="24"/>
          <w:szCs w:val="24"/>
        </w:rPr>
      </w:pPr>
      <w:r w:rsidRPr="005A01F3">
        <w:rPr>
          <w:rFonts w:asciiTheme="majorHAnsi" w:hAnsiTheme="majorHAnsi" w:cs="Arial"/>
          <w:b/>
          <w:sz w:val="24"/>
          <w:szCs w:val="24"/>
        </w:rPr>
        <w:t>Programa de riesgo psicosocial:</w:t>
      </w:r>
      <w:r w:rsidRPr="000D3E86">
        <w:rPr>
          <w:rFonts w:asciiTheme="majorHAnsi" w:hAnsiTheme="majorHAnsi" w:cs="Arial"/>
          <w:sz w:val="24"/>
          <w:szCs w:val="24"/>
        </w:rPr>
        <w:t xml:space="preserve"> Su principal objetivo es el de disminuir el impacto en la salud de los funcionarios de la </w:t>
      </w:r>
      <w:r w:rsidR="004C07F8">
        <w:rPr>
          <w:rFonts w:asciiTheme="majorHAnsi" w:hAnsiTheme="majorHAnsi" w:cs="Arial"/>
          <w:sz w:val="24"/>
          <w:szCs w:val="24"/>
        </w:rPr>
        <w:t>e</w:t>
      </w:r>
      <w:r w:rsidRPr="000D3E86">
        <w:rPr>
          <w:rFonts w:asciiTheme="majorHAnsi" w:hAnsiTheme="majorHAnsi" w:cs="Arial"/>
          <w:sz w:val="24"/>
          <w:szCs w:val="24"/>
        </w:rPr>
        <w:t xml:space="preserve">ntidad, frente a la exposición por factores de riesgo psicosocial, una vez realizada la primera fase del programa que es: aplicación de las baterías a nivel intralaboral, extralaboral e individual, y una vez verificado el informe del mismo, se realizará la segunda fase del programa que es: capacitación al Comité de Convivencia Laboral, a los funcionarios y contratistas en varias actividades que se articulan con el Programa de Bienestar Social. </w:t>
      </w:r>
    </w:p>
    <w:p w14:paraId="21ACFDF5" w14:textId="77777777" w:rsidR="00B47886" w:rsidRPr="00B47886" w:rsidRDefault="00B47886" w:rsidP="00B47886">
      <w:pPr>
        <w:shd w:val="clear" w:color="auto" w:fill="FFFFFF"/>
        <w:spacing w:after="0" w:line="276" w:lineRule="auto"/>
        <w:ind w:left="862"/>
        <w:jc w:val="both"/>
        <w:rPr>
          <w:rFonts w:asciiTheme="majorHAnsi" w:hAnsiTheme="majorHAnsi" w:cs="Arial"/>
          <w:sz w:val="24"/>
          <w:szCs w:val="24"/>
        </w:rPr>
      </w:pPr>
    </w:p>
    <w:p w14:paraId="04975AAD" w14:textId="72419C7C" w:rsidR="00B47886" w:rsidRPr="000D3E86" w:rsidRDefault="00B47886" w:rsidP="000D3E86">
      <w:pPr>
        <w:shd w:val="clear" w:color="auto" w:fill="FFFFFF"/>
        <w:spacing w:after="0" w:line="276" w:lineRule="auto"/>
        <w:jc w:val="both"/>
        <w:rPr>
          <w:rFonts w:asciiTheme="majorHAnsi" w:hAnsiTheme="majorHAnsi" w:cs="Arial"/>
          <w:sz w:val="24"/>
          <w:szCs w:val="24"/>
        </w:rPr>
      </w:pPr>
      <w:r w:rsidRPr="005A01F3">
        <w:rPr>
          <w:rFonts w:asciiTheme="majorHAnsi" w:hAnsiTheme="majorHAnsi" w:cs="Arial"/>
          <w:b/>
          <w:sz w:val="24"/>
          <w:szCs w:val="24"/>
        </w:rPr>
        <w:t>Programa para la prevención del riesgo biomecánico:</w:t>
      </w:r>
      <w:r w:rsidRPr="000D3E86">
        <w:rPr>
          <w:rFonts w:asciiTheme="majorHAnsi" w:hAnsiTheme="majorHAnsi" w:cs="Arial"/>
          <w:sz w:val="24"/>
          <w:szCs w:val="24"/>
        </w:rPr>
        <w:t xml:space="preserve"> Disminuir el impacto sobre la salud de los funcionarios de la </w:t>
      </w:r>
      <w:r w:rsidR="00336534">
        <w:rPr>
          <w:rFonts w:asciiTheme="majorHAnsi" w:hAnsiTheme="majorHAnsi" w:cs="Arial"/>
          <w:sz w:val="24"/>
          <w:szCs w:val="24"/>
        </w:rPr>
        <w:t>entidad</w:t>
      </w:r>
      <w:r w:rsidRPr="000D3E86">
        <w:rPr>
          <w:rFonts w:asciiTheme="majorHAnsi" w:hAnsiTheme="majorHAnsi" w:cs="Arial"/>
          <w:sz w:val="24"/>
          <w:szCs w:val="24"/>
        </w:rPr>
        <w:t xml:space="preserve">, derivado de la exposición a factores de riesgo ergonómico a nivel laboral, a través del proceso sistemático de intervenciones y controles realizados a las condiciones de trabajo y a la persona, con el fin de proporcionar entornos de trabajo seguros. Se impartirán capacitaciones en el riesgo y medidas preventivas, se suministrarán elementos biomecánicos de acuerdo con las necesidades identificadas y se enlazará con varias actividades planteadas en el Programa de Bienestar Social. </w:t>
      </w:r>
    </w:p>
    <w:p w14:paraId="3D7E5AF1" w14:textId="77777777" w:rsidR="00B47886" w:rsidRPr="00B47886" w:rsidRDefault="00B47886" w:rsidP="00B47886">
      <w:pPr>
        <w:shd w:val="clear" w:color="auto" w:fill="FFFFFF"/>
        <w:spacing w:after="0" w:line="276" w:lineRule="auto"/>
        <w:ind w:left="862"/>
        <w:jc w:val="both"/>
        <w:rPr>
          <w:rFonts w:asciiTheme="majorHAnsi" w:hAnsiTheme="majorHAnsi" w:cs="Arial"/>
          <w:sz w:val="24"/>
          <w:szCs w:val="24"/>
        </w:rPr>
      </w:pPr>
    </w:p>
    <w:p w14:paraId="33739CF4" w14:textId="77777777" w:rsidR="00B47886" w:rsidRPr="000D3E86" w:rsidRDefault="00B47886" w:rsidP="000D3E86">
      <w:pPr>
        <w:shd w:val="clear" w:color="auto" w:fill="FFFFFF"/>
        <w:spacing w:after="0" w:line="276" w:lineRule="auto"/>
        <w:jc w:val="both"/>
        <w:rPr>
          <w:rFonts w:asciiTheme="majorHAnsi" w:hAnsiTheme="majorHAnsi" w:cs="Arial"/>
          <w:sz w:val="24"/>
          <w:szCs w:val="24"/>
        </w:rPr>
      </w:pPr>
      <w:r w:rsidRPr="005A01F3">
        <w:rPr>
          <w:rFonts w:asciiTheme="majorHAnsi" w:hAnsiTheme="majorHAnsi" w:cs="Arial"/>
          <w:b/>
          <w:sz w:val="24"/>
          <w:szCs w:val="24"/>
        </w:rPr>
        <w:t>Campaña prevención del tabaquismo y consumo de drogas:</w:t>
      </w:r>
      <w:r w:rsidRPr="000D3E86">
        <w:rPr>
          <w:rFonts w:asciiTheme="majorHAnsi" w:hAnsiTheme="majorHAnsi" w:cs="Arial"/>
          <w:sz w:val="24"/>
          <w:szCs w:val="24"/>
        </w:rPr>
        <w:t xml:space="preserve"> Su objetivo general es el de generar una cultura preventiva ante el consumo de sustancias psicoactivas (alcohol, drogas y tabaquismo), a través del desarrollo de actividades, capacitaciones orientadas a la promoción de estilos de vida y trabajo saludables. </w:t>
      </w:r>
    </w:p>
    <w:p w14:paraId="35B586B0" w14:textId="7BE884D9" w:rsidR="00B47886" w:rsidRDefault="000D3E86" w:rsidP="000D3E86">
      <w:pPr>
        <w:pStyle w:val="Ttulo1"/>
      </w:pPr>
      <w:r>
        <w:br w:type="page"/>
      </w:r>
      <w:bookmarkStart w:id="5" w:name="_Toc505608316"/>
      <w:r w:rsidRPr="000D3E86">
        <w:lastRenderedPageBreak/>
        <w:t>Cronograma de actividades</w:t>
      </w:r>
      <w:bookmarkEnd w:id="5"/>
    </w:p>
    <w:p w14:paraId="223D73A4" w14:textId="2A8A2954" w:rsidR="000D3E86" w:rsidRDefault="000D3E86" w:rsidP="000D3E86"/>
    <w:p w14:paraId="116051B0" w14:textId="2F141FCE" w:rsidR="000D3E86" w:rsidRDefault="00977390" w:rsidP="000D3E86">
      <w:r>
        <w:t>El Cronograma de Actividades definirá la meta y los responsables.</w:t>
      </w:r>
    </w:p>
    <w:p w14:paraId="12709726" w14:textId="77777777" w:rsidR="009419C4" w:rsidRDefault="009419C4" w:rsidP="000D3E86"/>
    <w:tbl>
      <w:tblPr>
        <w:tblW w:w="4411" w:type="pct"/>
        <w:jc w:val="center"/>
        <w:tblCellMar>
          <w:left w:w="70" w:type="dxa"/>
          <w:right w:w="70" w:type="dxa"/>
        </w:tblCellMar>
        <w:tblLook w:val="04A0" w:firstRow="1" w:lastRow="0" w:firstColumn="1" w:lastColumn="0" w:noHBand="0" w:noVBand="1"/>
      </w:tblPr>
      <w:tblGrid>
        <w:gridCol w:w="1194"/>
        <w:gridCol w:w="1662"/>
        <w:gridCol w:w="1945"/>
        <w:gridCol w:w="813"/>
        <w:gridCol w:w="1033"/>
        <w:gridCol w:w="1150"/>
      </w:tblGrid>
      <w:tr w:rsidR="00953A30" w:rsidRPr="00953A30" w14:paraId="4A3331EC" w14:textId="77777777" w:rsidTr="00877BC0">
        <w:trPr>
          <w:trHeight w:val="405"/>
          <w:tblHeader/>
          <w:jc w:val="center"/>
        </w:trPr>
        <w:tc>
          <w:tcPr>
            <w:tcW w:w="5000" w:type="pct"/>
            <w:gridSpan w:val="6"/>
            <w:tcBorders>
              <w:top w:val="nil"/>
              <w:left w:val="nil"/>
              <w:bottom w:val="dotted" w:sz="4" w:space="0" w:color="auto"/>
              <w:right w:val="nil"/>
            </w:tcBorders>
            <w:shd w:val="clear" w:color="000000" w:fill="FFFFFF"/>
            <w:noWrap/>
            <w:vAlign w:val="center"/>
            <w:hideMark/>
          </w:tcPr>
          <w:p w14:paraId="64B9E280" w14:textId="77777777" w:rsidR="00953A30" w:rsidRPr="00953A30" w:rsidRDefault="00953A30" w:rsidP="00953A30">
            <w:pPr>
              <w:spacing w:after="0" w:line="240" w:lineRule="auto"/>
              <w:jc w:val="center"/>
              <w:rPr>
                <w:rFonts w:asciiTheme="majorHAnsi" w:eastAsia="Times New Roman" w:hAnsiTheme="majorHAnsi" w:cs="Times New Roman"/>
                <w:b/>
                <w:bCs/>
                <w:color w:val="000000"/>
                <w:sz w:val="16"/>
                <w:szCs w:val="16"/>
                <w:lang w:val="es-MX" w:eastAsia="es-MX"/>
              </w:rPr>
            </w:pPr>
            <w:r w:rsidRPr="00953A30">
              <w:rPr>
                <w:rFonts w:asciiTheme="majorHAnsi" w:eastAsia="Times New Roman" w:hAnsiTheme="majorHAnsi" w:cs="Times New Roman"/>
                <w:b/>
                <w:bCs/>
                <w:color w:val="000000"/>
                <w:sz w:val="16"/>
                <w:szCs w:val="16"/>
                <w:lang w:val="es-MX" w:eastAsia="es-MX"/>
              </w:rPr>
              <w:t>AGENCIA NACIONAL DE INFRAESTRUCTURA</w:t>
            </w:r>
          </w:p>
        </w:tc>
      </w:tr>
      <w:tr w:rsidR="00953A30" w:rsidRPr="00953A30" w14:paraId="4373C771" w14:textId="77777777" w:rsidTr="00877BC0">
        <w:trPr>
          <w:trHeight w:val="330"/>
          <w:tblHeader/>
          <w:jc w:val="center"/>
        </w:trPr>
        <w:tc>
          <w:tcPr>
            <w:tcW w:w="5000" w:type="pct"/>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290F1A61" w14:textId="77777777" w:rsidR="00953A30" w:rsidRPr="00953A30" w:rsidRDefault="00953A30"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PLAN DE TRABAJO ANUAL EN SEGURIDAD Y SALUD EN EL TRABAJO</w:t>
            </w:r>
          </w:p>
        </w:tc>
      </w:tr>
      <w:tr w:rsidR="00FD36CA" w:rsidRPr="00953A30" w14:paraId="020CE40C" w14:textId="77777777" w:rsidTr="00877BC0">
        <w:trPr>
          <w:trHeight w:val="195"/>
          <w:tblHeader/>
          <w:jc w:val="center"/>
        </w:trPr>
        <w:tc>
          <w:tcPr>
            <w:tcW w:w="811" w:type="pct"/>
            <w:tcBorders>
              <w:top w:val="dotted" w:sz="4" w:space="0" w:color="auto"/>
              <w:left w:val="nil"/>
              <w:bottom w:val="dotted" w:sz="4" w:space="0" w:color="auto"/>
              <w:right w:val="nil"/>
            </w:tcBorders>
            <w:shd w:val="clear" w:color="000000" w:fill="FFFFFF"/>
            <w:noWrap/>
            <w:vAlign w:val="bottom"/>
            <w:hideMark/>
          </w:tcPr>
          <w:p w14:paraId="4BB70979"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1066" w:type="pct"/>
            <w:tcBorders>
              <w:top w:val="dotted" w:sz="4" w:space="0" w:color="auto"/>
              <w:left w:val="nil"/>
              <w:bottom w:val="dotted" w:sz="4" w:space="0" w:color="auto"/>
              <w:right w:val="nil"/>
            </w:tcBorders>
            <w:shd w:val="clear" w:color="000000" w:fill="FFFFFF"/>
            <w:noWrap/>
            <w:vAlign w:val="center"/>
            <w:hideMark/>
          </w:tcPr>
          <w:p w14:paraId="47F3557A" w14:textId="77777777" w:rsidR="00953A30" w:rsidRPr="00953A30" w:rsidRDefault="00953A30" w:rsidP="00953A30">
            <w:pPr>
              <w:spacing w:after="0" w:line="240" w:lineRule="auto"/>
              <w:jc w:val="center"/>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1293" w:type="pct"/>
            <w:tcBorders>
              <w:top w:val="dotted" w:sz="4" w:space="0" w:color="auto"/>
              <w:left w:val="nil"/>
              <w:bottom w:val="dotted" w:sz="4" w:space="0" w:color="auto"/>
              <w:right w:val="nil"/>
            </w:tcBorders>
            <w:shd w:val="clear" w:color="000000" w:fill="FFFFFF"/>
            <w:noWrap/>
            <w:vAlign w:val="bottom"/>
            <w:hideMark/>
          </w:tcPr>
          <w:p w14:paraId="5D230016"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521" w:type="pct"/>
            <w:tcBorders>
              <w:top w:val="dotted" w:sz="4" w:space="0" w:color="auto"/>
              <w:left w:val="nil"/>
              <w:bottom w:val="dotted" w:sz="4" w:space="0" w:color="auto"/>
              <w:right w:val="nil"/>
            </w:tcBorders>
            <w:shd w:val="clear" w:color="000000" w:fill="FFFFFF"/>
            <w:noWrap/>
            <w:vAlign w:val="bottom"/>
            <w:hideMark/>
          </w:tcPr>
          <w:p w14:paraId="22C732DF"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nil"/>
              <w:bottom w:val="dotted" w:sz="4" w:space="0" w:color="auto"/>
              <w:right w:val="nil"/>
            </w:tcBorders>
            <w:shd w:val="clear" w:color="000000" w:fill="FFFFFF"/>
            <w:noWrap/>
            <w:vAlign w:val="bottom"/>
            <w:hideMark/>
          </w:tcPr>
          <w:p w14:paraId="4EF7578C"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tcBorders>
              <w:top w:val="dotted" w:sz="4" w:space="0" w:color="auto"/>
              <w:left w:val="nil"/>
              <w:bottom w:val="dotted" w:sz="4" w:space="0" w:color="auto"/>
              <w:right w:val="nil"/>
            </w:tcBorders>
            <w:shd w:val="clear" w:color="000000" w:fill="FFFFFF"/>
            <w:noWrap/>
            <w:vAlign w:val="bottom"/>
            <w:hideMark/>
          </w:tcPr>
          <w:p w14:paraId="01E67B17"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r>
      <w:tr w:rsidR="00FD36CA" w:rsidRPr="00953A30" w14:paraId="4E08ADA9" w14:textId="77777777" w:rsidTr="00877BC0">
        <w:trPr>
          <w:trHeight w:val="210"/>
          <w:tblHeader/>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textDirection w:val="btLr"/>
            <w:vAlign w:val="center"/>
            <w:hideMark/>
          </w:tcPr>
          <w:p w14:paraId="439546CD" w14:textId="3DAA6839" w:rsidR="00953A30" w:rsidRPr="00953A30" w:rsidRDefault="009419C4" w:rsidP="00953A30">
            <w:pPr>
              <w:spacing w:after="0" w:line="240" w:lineRule="auto"/>
              <w:ind w:left="113" w:right="113"/>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 xml:space="preserve">Objetivos </w:t>
            </w:r>
            <w:r>
              <w:rPr>
                <w:rFonts w:asciiTheme="majorHAnsi" w:eastAsia="Times New Roman" w:hAnsiTheme="majorHAnsi" w:cs="Times New Roman"/>
                <w:b/>
                <w:bCs/>
                <w:sz w:val="16"/>
                <w:szCs w:val="16"/>
                <w:lang w:val="es-MX" w:eastAsia="es-MX"/>
              </w:rPr>
              <w:t>d</w:t>
            </w:r>
            <w:r w:rsidRPr="00953A30">
              <w:rPr>
                <w:rFonts w:asciiTheme="majorHAnsi" w:eastAsia="Times New Roman" w:hAnsiTheme="majorHAnsi" w:cs="Times New Roman"/>
                <w:b/>
                <w:bCs/>
                <w:sz w:val="16"/>
                <w:szCs w:val="16"/>
                <w:lang w:val="es-MX" w:eastAsia="es-MX"/>
              </w:rPr>
              <w:t>el SG-SST</w:t>
            </w:r>
          </w:p>
        </w:tc>
        <w:tc>
          <w:tcPr>
            <w:tcW w:w="106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50C9F7EA" w14:textId="2CAB4DD2" w:rsidR="00953A30" w:rsidRPr="00953A30" w:rsidRDefault="009419C4"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Meta</w:t>
            </w:r>
          </w:p>
        </w:tc>
        <w:tc>
          <w:tcPr>
            <w:tcW w:w="1293"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F38AF36" w14:textId="665B3E6E" w:rsidR="00953A30" w:rsidRPr="00953A30" w:rsidRDefault="009419C4"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Actividad</w:t>
            </w:r>
          </w:p>
        </w:tc>
        <w:tc>
          <w:tcPr>
            <w:tcW w:w="1831" w:type="pct"/>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CA69756" w14:textId="34963E1C" w:rsidR="00953A30" w:rsidRPr="00953A30" w:rsidRDefault="009419C4"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Recursos</w:t>
            </w:r>
          </w:p>
        </w:tc>
      </w:tr>
      <w:tr w:rsidR="00993A78" w:rsidRPr="00953A30" w14:paraId="3BCA6C23" w14:textId="77777777" w:rsidTr="00877BC0">
        <w:trPr>
          <w:trHeight w:val="423"/>
          <w:tblHeader/>
          <w:jc w:val="center"/>
        </w:trPr>
        <w:tc>
          <w:tcPr>
            <w:tcW w:w="811"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3DFB0A21"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2C076BE"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C98404D"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5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7E78551" w14:textId="77777777" w:rsidR="00953A30" w:rsidRPr="00953A30" w:rsidRDefault="00953A30"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Financiero</w:t>
            </w:r>
          </w:p>
        </w:tc>
        <w:tc>
          <w:tcPr>
            <w:tcW w:w="662"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7F248DF" w14:textId="77777777" w:rsidR="00953A30" w:rsidRPr="00953A30" w:rsidRDefault="00953A30"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Técnico</w:t>
            </w:r>
          </w:p>
        </w:tc>
        <w:tc>
          <w:tcPr>
            <w:tcW w:w="64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4E261B0" w14:textId="77777777" w:rsidR="00953A30" w:rsidRPr="00953A30" w:rsidRDefault="00953A30" w:rsidP="00953A30">
            <w:pPr>
              <w:spacing w:after="0" w:line="240" w:lineRule="auto"/>
              <w:jc w:val="center"/>
              <w:rPr>
                <w:rFonts w:asciiTheme="majorHAnsi" w:eastAsia="Times New Roman" w:hAnsiTheme="majorHAnsi" w:cs="Times New Roman"/>
                <w:b/>
                <w:bCs/>
                <w:sz w:val="16"/>
                <w:szCs w:val="16"/>
                <w:lang w:val="es-MX" w:eastAsia="es-MX"/>
              </w:rPr>
            </w:pPr>
            <w:r w:rsidRPr="00953A30">
              <w:rPr>
                <w:rFonts w:asciiTheme="majorHAnsi" w:eastAsia="Times New Roman" w:hAnsiTheme="majorHAnsi" w:cs="Times New Roman"/>
                <w:b/>
                <w:bCs/>
                <w:sz w:val="16"/>
                <w:szCs w:val="16"/>
                <w:lang w:val="es-MX" w:eastAsia="es-MX"/>
              </w:rPr>
              <w:t>Personal</w:t>
            </w:r>
          </w:p>
        </w:tc>
      </w:tr>
      <w:tr w:rsidR="00FD36CA" w:rsidRPr="00953A30" w14:paraId="5C0169A6" w14:textId="77777777" w:rsidTr="00877BC0">
        <w:trPr>
          <w:trHeight w:val="371"/>
          <w:jc w:val="center"/>
        </w:trPr>
        <w:tc>
          <w:tcPr>
            <w:tcW w:w="811"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5FA35454"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7E6FDA6"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39D88B2"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D91E1C5"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08EF286"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6FABBC0" w14:textId="77777777" w:rsidR="00953A30" w:rsidRPr="00953A30" w:rsidRDefault="00953A30" w:rsidP="00953A30">
            <w:pPr>
              <w:spacing w:after="0" w:line="240" w:lineRule="auto"/>
              <w:rPr>
                <w:rFonts w:asciiTheme="majorHAnsi" w:eastAsia="Times New Roman" w:hAnsiTheme="majorHAnsi" w:cs="Times New Roman"/>
                <w:b/>
                <w:bCs/>
                <w:sz w:val="16"/>
                <w:szCs w:val="16"/>
                <w:lang w:val="es-MX" w:eastAsia="es-MX"/>
              </w:rPr>
            </w:pPr>
          </w:p>
        </w:tc>
      </w:tr>
      <w:tr w:rsidR="00FD36CA" w:rsidRPr="00953A30" w14:paraId="3F85CEDE" w14:textId="77777777" w:rsidTr="00877BC0">
        <w:trPr>
          <w:trHeight w:val="600"/>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hideMark/>
          </w:tcPr>
          <w:p w14:paraId="3D3EF3C9"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Evitar accidentes y la aparición de enfermedades laborales</w:t>
            </w: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31B4C8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inspecciones de seguridad cada cuatro meses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95376B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Inspección de oficinas</w:t>
            </w:r>
            <w:r w:rsidRPr="00953A30">
              <w:rPr>
                <w:rFonts w:asciiTheme="majorHAnsi" w:eastAsia="Times New Roman" w:hAnsiTheme="majorHAnsi" w:cs="Times New Roman"/>
                <w:color w:val="000000"/>
                <w:sz w:val="16"/>
                <w:szCs w:val="16"/>
                <w:lang w:val="es-MX" w:eastAsia="es-MX"/>
              </w:rPr>
              <w:br/>
              <w:t>(Piso 2, 6 y 7 - Torre 4)</w:t>
            </w:r>
            <w:r w:rsidRPr="00953A30">
              <w:rPr>
                <w:rFonts w:asciiTheme="majorHAnsi" w:eastAsia="Times New Roman" w:hAnsiTheme="majorHAnsi" w:cs="Times New Roman"/>
                <w:color w:val="000000"/>
                <w:sz w:val="16"/>
                <w:szCs w:val="16"/>
                <w:lang w:val="es-MX" w:eastAsia="es-MX"/>
              </w:rPr>
              <w:br/>
              <w:t>(Piso 8 - Torre 3)</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51FF042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3F4E4D2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9F322A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SST/Copasst</w:t>
            </w:r>
          </w:p>
        </w:tc>
      </w:tr>
      <w:tr w:rsidR="00FD36CA" w:rsidRPr="00953A30" w14:paraId="3B6FF5B5" w14:textId="77777777" w:rsidTr="00877BC0">
        <w:trPr>
          <w:trHeight w:val="371"/>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0B5DDED6"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2B3A767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7CDF419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1BE51F7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3FF4122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116A70A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75EC9620" w14:textId="77777777" w:rsidTr="00877BC0">
        <w:trPr>
          <w:trHeight w:val="540"/>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5131E816"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2A16AD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mensualmente pausas activas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58C5B3A" w14:textId="001BCF04"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Acciones educativas de sensibilización mediante ejercicios de cali</w:t>
            </w:r>
            <w:r w:rsidR="009419C4">
              <w:rPr>
                <w:rFonts w:asciiTheme="majorHAnsi" w:eastAsia="Times New Roman" w:hAnsiTheme="majorHAnsi" w:cs="Times New Roman"/>
                <w:color w:val="000000"/>
                <w:sz w:val="16"/>
                <w:szCs w:val="16"/>
                <w:lang w:val="es-MX" w:eastAsia="es-MX"/>
              </w:rPr>
              <w:t>stenia</w:t>
            </w:r>
            <w:r w:rsidRPr="00953A30">
              <w:rPr>
                <w:rFonts w:asciiTheme="majorHAnsi" w:eastAsia="Times New Roman" w:hAnsiTheme="majorHAnsi" w:cs="Times New Roman"/>
                <w:color w:val="000000"/>
                <w:sz w:val="16"/>
                <w:szCs w:val="16"/>
                <w:lang w:val="es-MX" w:eastAsia="es-MX"/>
              </w:rPr>
              <w:t>, estiramiento y fortalecimiento</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74947E7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7FC557A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0C0223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38CE54FB" w14:textId="77777777" w:rsidTr="00877BC0">
        <w:trPr>
          <w:trHeight w:val="371"/>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10485226"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41842D7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06D1B1F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35A3E70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6BE2E32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7A30AF9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5B877B47" w14:textId="77777777" w:rsidTr="00877BC0">
        <w:trPr>
          <w:trHeight w:val="423"/>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5E9F0284"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53059E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Disminuir nivel de riesgo psicosocial</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AF66FA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Seguimiento diagnóstico de riesgo psicosocial</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5B2626F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1B2C97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2E8E43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SST/Proveedor</w:t>
            </w:r>
          </w:p>
        </w:tc>
      </w:tr>
      <w:tr w:rsidR="00FD36CA" w:rsidRPr="00953A30" w14:paraId="7984987F" w14:textId="77777777" w:rsidTr="00877BC0">
        <w:trPr>
          <w:trHeight w:val="371"/>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77912B35"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173376F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2C68563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39C096C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2C655AD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475A97F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0E4CF1AF" w14:textId="77777777" w:rsidTr="00877BC0">
        <w:trPr>
          <w:trHeight w:val="600"/>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hideMark/>
          </w:tcPr>
          <w:p w14:paraId="6EDB420F"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Fortalecer los conocimientos de seguridad y salud en el trabajo, mediante la implementación del plan de capacitación anual</w:t>
            </w: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6C82387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Cumplir un 80% de las capacitaciones programadas al año</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ABC8F7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Definir el plan de capacitación anual de acuerdo a los riesgos prioritarios y actividades a desarrollar el personal</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0ED95DB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3EC1A6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3BCD53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SST/Copasst</w:t>
            </w:r>
          </w:p>
        </w:tc>
      </w:tr>
      <w:tr w:rsidR="00FD36CA" w:rsidRPr="00953A30" w14:paraId="1C43719A" w14:textId="77777777" w:rsidTr="00877BC0">
        <w:trPr>
          <w:trHeight w:val="478"/>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38E0715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1569A56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10FAFEC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080C6E5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5FF1978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524E2DE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2C284EFB" w14:textId="77777777" w:rsidTr="00877BC0">
        <w:trPr>
          <w:trHeight w:val="645"/>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6269D86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19F5E0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Capacitar en seguridad y salud en el trabajo a toda la entidad</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9E7FDE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inducción/reinducción SST</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44035C7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FFEC56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BE8C70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0AD2C988" w14:textId="77777777" w:rsidTr="00877BC0">
        <w:trPr>
          <w:trHeight w:val="622"/>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216ABB5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16A1CF6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589D566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2707FCD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787C8F8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5D9A7DA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375E9A7C" w14:textId="77777777" w:rsidTr="00877BC0">
        <w:trPr>
          <w:trHeight w:val="645"/>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38A2EC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731C0B0" w14:textId="7E2257B6"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xml:space="preserve">Contar </w:t>
            </w:r>
            <w:r w:rsidR="009419C4">
              <w:rPr>
                <w:rFonts w:asciiTheme="majorHAnsi" w:eastAsia="Times New Roman" w:hAnsiTheme="majorHAnsi" w:cs="Times New Roman"/>
                <w:color w:val="000000"/>
                <w:sz w:val="16"/>
                <w:szCs w:val="16"/>
                <w:lang w:val="es-MX" w:eastAsia="es-MX"/>
              </w:rPr>
              <w:t xml:space="preserve">con </w:t>
            </w:r>
            <w:r w:rsidR="00BE0793" w:rsidRPr="00953A30">
              <w:rPr>
                <w:rFonts w:asciiTheme="majorHAnsi" w:eastAsia="Times New Roman" w:hAnsiTheme="majorHAnsi" w:cs="Times New Roman"/>
                <w:color w:val="000000"/>
                <w:sz w:val="16"/>
                <w:szCs w:val="16"/>
                <w:lang w:val="es-MX" w:eastAsia="es-MX"/>
              </w:rPr>
              <w:t>una</w:t>
            </w:r>
            <w:r w:rsidRPr="00953A30">
              <w:rPr>
                <w:rFonts w:asciiTheme="majorHAnsi" w:eastAsia="Times New Roman" w:hAnsiTheme="majorHAnsi" w:cs="Times New Roman"/>
                <w:color w:val="000000"/>
                <w:sz w:val="16"/>
                <w:szCs w:val="16"/>
                <w:lang w:val="es-MX" w:eastAsia="es-MX"/>
              </w:rPr>
              <w:t xml:space="preserve"> brigada que cubran cada uno de los pisos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ABA20D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Organizar la brigada de emergencias</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189B59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B08162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046CE2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0755DB5F" w14:textId="77777777" w:rsidTr="00877BC0">
        <w:trPr>
          <w:trHeight w:val="579"/>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4359605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56D2A56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6A21380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176FB1A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32FE005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55610DA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60F9ED6E" w14:textId="77777777" w:rsidTr="00877BC0">
        <w:trPr>
          <w:trHeight w:val="11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03CD903A"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35BF31D4" w14:textId="77777777" w:rsidR="009419C4" w:rsidRDefault="009419C4" w:rsidP="009419C4">
            <w:pPr>
              <w:spacing w:after="0" w:line="240" w:lineRule="auto"/>
              <w:jc w:val="both"/>
              <w:rPr>
                <w:rFonts w:asciiTheme="majorHAnsi" w:eastAsia="Times New Roman" w:hAnsiTheme="majorHAnsi" w:cs="Times New Roman"/>
                <w:color w:val="000000"/>
                <w:sz w:val="16"/>
                <w:szCs w:val="16"/>
                <w:lang w:val="es-MX" w:eastAsia="es-MX"/>
              </w:rPr>
            </w:pPr>
          </w:p>
          <w:p w14:paraId="025E167E" w14:textId="77777777" w:rsidR="009419C4"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dos (2) simulacros al año</w:t>
            </w:r>
          </w:p>
          <w:p w14:paraId="0022A3D7" w14:textId="02E766C4"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BF42D5F"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simulacro de emergencias</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34F0A2CE"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717D6D2D" w14:textId="0EA293BA"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right w:val="dotted" w:sz="4" w:space="0" w:color="auto"/>
            </w:tcBorders>
            <w:shd w:val="clear" w:color="000000" w:fill="FFFFFF"/>
            <w:vAlign w:val="center"/>
            <w:hideMark/>
          </w:tcPr>
          <w:p w14:paraId="14448C8C"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73D25380" w14:textId="24D0998C"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6DA54F3"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SST/Brigada</w:t>
            </w:r>
          </w:p>
        </w:tc>
      </w:tr>
      <w:tr w:rsidR="00FD36CA" w:rsidRPr="00953A30" w14:paraId="141D5127" w14:textId="77777777" w:rsidTr="00877BC0">
        <w:trPr>
          <w:trHeight w:val="970"/>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hideMark/>
          </w:tcPr>
          <w:p w14:paraId="0D863985" w14:textId="77777777" w:rsidR="009419C4" w:rsidRPr="00953A30" w:rsidRDefault="009419C4"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Implementar eficazmente las medidas de prevención y control de acuerdo a la identificación de peligros, evaluación y valoración de los riesgos</w:t>
            </w: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7159603B"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doce (12) reuniones al año del Copasst</w:t>
            </w: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0CCDAB20"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Reuniones del Comité Paritario de Seguridad y Salud en el Trabajo</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2DB19A3B"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492AAF7C" w14:textId="11768B4C"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059AFF1E"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Sala para reuniones</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2639D7EC"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Copasst</w:t>
            </w:r>
          </w:p>
        </w:tc>
      </w:tr>
      <w:tr w:rsidR="00FD36CA" w:rsidRPr="00953A30" w14:paraId="52B89072" w14:textId="77777777" w:rsidTr="00877BC0">
        <w:trPr>
          <w:trHeight w:val="8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055DACB8"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75B7C16B"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Conformar nuevo Copasst</w:t>
            </w: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25841704"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Convocatoria, elección y constitución del Copasst</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5D7A8D78"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5773B2B8" w14:textId="4192152D"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0C9C1483"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Sala para reuniones</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ACBACFF"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6FF2F33C" w14:textId="77777777" w:rsidTr="00877BC0">
        <w:trPr>
          <w:trHeight w:val="4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24D602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D6F853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Actualizar anualmente la matriz de peligros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A56C49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Actualizar y revisar matriz de peligros</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DC1538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CAE97D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103201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3806B9DF" w14:textId="77777777" w:rsidTr="00877BC0">
        <w:trPr>
          <w:trHeight w:val="4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66A3FA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4519D76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0B6907B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575A095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342627B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36CED67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7024BACC" w14:textId="77777777" w:rsidTr="00877BC0">
        <w:trPr>
          <w:trHeight w:val="97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751578A6"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3C273EF"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una (1) revisión por la alta dirección al año</w:t>
            </w: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5E68CEF"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Revisión por la alta dirección</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709F9A50"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58B9A95B" w14:textId="35EFE2E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5A2DD8D"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341A4DBA"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Representante por la alta dirección</w:t>
            </w:r>
          </w:p>
        </w:tc>
      </w:tr>
      <w:tr w:rsidR="00FD36CA" w:rsidRPr="00953A30" w14:paraId="66B2EF14" w14:textId="77777777" w:rsidTr="00877BC0">
        <w:trPr>
          <w:trHeight w:val="4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47F69A2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A83990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una (1) auditoria de seguimiento al año</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592DF3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Auditoria de seguimiento al SG-SST</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E89040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96BBD2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54582A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0E405196" w14:textId="77777777" w:rsidTr="00877BC0">
        <w:trPr>
          <w:trHeight w:val="48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798AAFF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588ED2C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7A381F8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561EBA6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73E240D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49DF154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734FC225" w14:textId="77777777" w:rsidTr="00877BC0">
        <w:trPr>
          <w:trHeight w:val="69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486A69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CB179B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inspección: extintores/camillas/silla de ruedas/botiquines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F976EA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xml:space="preserve">Verificar que se encuentren en buen estado de uso y manejo </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7F7C91D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68F5015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A420F4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SST/Copasst/</w:t>
            </w:r>
            <w:r w:rsidRPr="00953A30">
              <w:rPr>
                <w:rFonts w:asciiTheme="majorHAnsi" w:eastAsia="Times New Roman" w:hAnsiTheme="majorHAnsi" w:cs="Times New Roman"/>
                <w:color w:val="000000"/>
                <w:sz w:val="16"/>
                <w:szCs w:val="16"/>
                <w:lang w:val="es-MX" w:eastAsia="es-MX"/>
              </w:rPr>
              <w:br/>
              <w:t>Brigada de emergencias</w:t>
            </w:r>
          </w:p>
        </w:tc>
      </w:tr>
      <w:tr w:rsidR="00FD36CA" w:rsidRPr="00953A30" w14:paraId="270A4109" w14:textId="77777777" w:rsidTr="00877BC0">
        <w:trPr>
          <w:trHeight w:val="69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5D7F29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58833D8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3DDC9C1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535C163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0ECCEDE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66CECFE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141BF2D3" w14:textId="77777777" w:rsidTr="00877BC0">
        <w:trPr>
          <w:trHeight w:val="495"/>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hideMark/>
          </w:tcPr>
          <w:p w14:paraId="4F6DBCA0"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las evaluaciones médicas requeridas para el monitoreo de las condiciones de salud de los trabajadores</w:t>
            </w: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FEA3578" w14:textId="7F6AD164"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Cumplir un 90% de los exámenes médicos periódicos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712134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Realizar exámenes médicos periódicos</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B7AB76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DDBBD9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Enfermería</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2063B4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SST/Proveedor</w:t>
            </w:r>
          </w:p>
        </w:tc>
      </w:tr>
      <w:tr w:rsidR="00FD36CA" w:rsidRPr="00953A30" w14:paraId="23EA3327" w14:textId="77777777" w:rsidTr="00877BC0">
        <w:trPr>
          <w:trHeight w:val="495"/>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0F3F43B3" w14:textId="77777777" w:rsidR="00953A30" w:rsidRPr="00953A30" w:rsidRDefault="00953A30"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0914E29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0145E6B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71B1D4B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4E3AA4E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3AD54CA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2EA91639" w14:textId="77777777" w:rsidTr="00877BC0">
        <w:trPr>
          <w:trHeight w:val="1210"/>
          <w:jc w:val="center"/>
        </w:trPr>
        <w:tc>
          <w:tcPr>
            <w:tcW w:w="811" w:type="pct"/>
            <w:vMerge/>
            <w:tcBorders>
              <w:top w:val="dotted" w:sz="4" w:space="0" w:color="auto"/>
              <w:left w:val="dotted" w:sz="4" w:space="0" w:color="auto"/>
              <w:bottom w:val="dotted" w:sz="4" w:space="0" w:color="auto"/>
              <w:right w:val="dotted" w:sz="4" w:space="0" w:color="auto"/>
            </w:tcBorders>
            <w:textDirection w:val="btLr"/>
            <w:vAlign w:val="center"/>
            <w:hideMark/>
          </w:tcPr>
          <w:p w14:paraId="6AB93782" w14:textId="77777777" w:rsidR="009419C4" w:rsidRPr="00953A30" w:rsidRDefault="009419C4"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E9355FC"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Elaborar documento del diagnóstico de condiciones de salud</w:t>
            </w: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55683A1" w14:textId="70356B4A"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Seguimiento diagnóstico de condiciones de salud</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18B4DB66"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7304A495" w14:textId="6D518A08"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142AD3F4"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A11F9CD"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SST/Proveedor</w:t>
            </w:r>
          </w:p>
        </w:tc>
      </w:tr>
      <w:tr w:rsidR="00FD36CA" w:rsidRPr="00953A30" w14:paraId="78BB40C9" w14:textId="77777777" w:rsidTr="00877BC0">
        <w:trPr>
          <w:trHeight w:val="1270"/>
          <w:jc w:val="center"/>
        </w:trPr>
        <w:tc>
          <w:tcPr>
            <w:tcW w:w="811"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hideMark/>
          </w:tcPr>
          <w:p w14:paraId="770D1053" w14:textId="77777777" w:rsidR="009419C4" w:rsidRPr="00953A30" w:rsidRDefault="009419C4" w:rsidP="009419C4">
            <w:pPr>
              <w:spacing w:after="0" w:line="240" w:lineRule="auto"/>
              <w:ind w:left="113" w:right="113"/>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Cumplir la normatividad nacional vigente aplicable en materia de riesgos laborales</w:t>
            </w:r>
          </w:p>
        </w:tc>
        <w:tc>
          <w:tcPr>
            <w:tcW w:w="1066"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B383065"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Actualizar la matriz de requisitos legales al 100% mensualmente</w:t>
            </w:r>
          </w:p>
        </w:tc>
        <w:tc>
          <w:tcPr>
            <w:tcW w:w="129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5A5706D"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Actualizar y revisar matriz de requisitos legales</w:t>
            </w:r>
          </w:p>
        </w:tc>
        <w:tc>
          <w:tcPr>
            <w:tcW w:w="521" w:type="pct"/>
            <w:tcBorders>
              <w:top w:val="dotted" w:sz="4" w:space="0" w:color="auto"/>
              <w:left w:val="dotted" w:sz="4" w:space="0" w:color="auto"/>
              <w:right w:val="dotted" w:sz="4" w:space="0" w:color="auto"/>
            </w:tcBorders>
            <w:shd w:val="clear" w:color="000000" w:fill="FFFFFF"/>
            <w:noWrap/>
            <w:vAlign w:val="bottom"/>
            <w:hideMark/>
          </w:tcPr>
          <w:p w14:paraId="3BEA7E1B"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p w14:paraId="76D6E85A" w14:textId="2DF4A6C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2D9CADF9"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Internet, correo electrónico</w:t>
            </w:r>
          </w:p>
        </w:tc>
        <w:tc>
          <w:tcPr>
            <w:tcW w:w="647"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ECAE4DF" w14:textId="77777777" w:rsidR="009419C4" w:rsidRPr="00953A30" w:rsidRDefault="009419C4"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49316494" w14:textId="77777777" w:rsidTr="00877BC0">
        <w:trPr>
          <w:trHeight w:val="84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7A42D81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16A24CE" w14:textId="4C61F8B5"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Cumplimiento de los requisitos legales identificados al 100% al finalizar el año 2019</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012E34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Seguimiento al cumplimiento requisitos legales identificados</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3FA6F38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2D9C49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7566A1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126E7CC1" w14:textId="77777777" w:rsidTr="00877BC0">
        <w:trPr>
          <w:trHeight w:val="84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06EC595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342CDED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386E7FD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022BB78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622D382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7BD0C04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11DE9981" w14:textId="77777777" w:rsidTr="00877BC0">
        <w:trPr>
          <w:trHeight w:val="63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33B4BAE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771F72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Revisión de la política y objetivos del SG-SST anualmente</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A232321" w14:textId="3D7D3C10"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Verificar si debe ser actualizada</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10776E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669C54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2C104B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592951B4" w14:textId="77777777" w:rsidTr="00877BC0">
        <w:trPr>
          <w:trHeight w:val="63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23B3A61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3DF8352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761BB66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2030EE06"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102831F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7111F67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4F824B99" w14:textId="77777777" w:rsidTr="00877BC0">
        <w:trPr>
          <w:trHeight w:val="60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213046D3"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5419DDB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Comunicar y publicar la Política, Objetivos del SG-SST al 100%</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F5BF093"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Divulgación a todos los funcionarios</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0529269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16BA845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Mecanismo de comunicación (intranet)</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0C73BF6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1719B7E9" w14:textId="77777777" w:rsidTr="00877BC0">
        <w:trPr>
          <w:trHeight w:val="60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49B187A"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5D06EFB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6E28035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10143C94"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7364C0D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7B48134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2955C0AA" w14:textId="77777777" w:rsidTr="00877BC0">
        <w:trPr>
          <w:trHeight w:val="615"/>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0B12303"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698FADD"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Documentar las responsabilidades al 100% de todos los cargos</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5DCC2C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Comunicar las responsabilidades en seguridad y salud en el trabajo</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1294BF9"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85456B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Mecanismo de comunicación (intranet)</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668F7A5A"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4C30C8F5" w14:textId="77777777" w:rsidTr="00877BC0">
        <w:trPr>
          <w:trHeight w:val="615"/>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59CCF7CC"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274B363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0B6C6F9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5A00EA5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702BBFB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59667F5C"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0019D907" w14:textId="77777777" w:rsidTr="00877BC0">
        <w:trPr>
          <w:trHeight w:val="66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069A455C"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6763928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Rendición de cuentas para todos los niveles, una vez al año</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1F9BA3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Rendir cuentas en relación de su desempeño</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46969A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B081DB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Mecanismo de comunicación (intranet)</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7169BA38"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Responsable SST</w:t>
            </w:r>
          </w:p>
        </w:tc>
      </w:tr>
      <w:tr w:rsidR="00FD36CA" w:rsidRPr="00953A30" w14:paraId="49B6033D" w14:textId="77777777" w:rsidTr="00877BC0">
        <w:trPr>
          <w:trHeight w:val="66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7AA79D8F"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0B5463C0"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3F83741F"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310AAC05"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0175FEBB"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26BA074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p>
        </w:tc>
      </w:tr>
      <w:tr w:rsidR="00FD36CA" w:rsidRPr="00953A30" w14:paraId="61DE547C" w14:textId="77777777" w:rsidTr="00877BC0">
        <w:trPr>
          <w:trHeight w:val="54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66A71556"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32EA620E"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Documentar recursos financieros una vez al año</w:t>
            </w:r>
          </w:p>
        </w:tc>
        <w:tc>
          <w:tcPr>
            <w:tcW w:w="1293"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64C0767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Aprobar el presupuesto</w:t>
            </w:r>
          </w:p>
        </w:tc>
        <w:tc>
          <w:tcPr>
            <w:tcW w:w="521"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468CD891"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VAF</w:t>
            </w:r>
          </w:p>
        </w:tc>
        <w:tc>
          <w:tcPr>
            <w:tcW w:w="662" w:type="pct"/>
            <w:vMerge w:val="restart"/>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45D14C2"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 </w:t>
            </w:r>
          </w:p>
        </w:tc>
        <w:tc>
          <w:tcPr>
            <w:tcW w:w="647" w:type="pct"/>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14:paraId="21F22767" w14:textId="77777777" w:rsidR="00953A30" w:rsidRPr="00953A30" w:rsidRDefault="00953A30" w:rsidP="009419C4">
            <w:pPr>
              <w:spacing w:after="0" w:line="240" w:lineRule="auto"/>
              <w:jc w:val="both"/>
              <w:rPr>
                <w:rFonts w:asciiTheme="majorHAnsi" w:eastAsia="Times New Roman" w:hAnsiTheme="majorHAnsi" w:cs="Times New Roman"/>
                <w:color w:val="000000"/>
                <w:sz w:val="16"/>
                <w:szCs w:val="16"/>
                <w:lang w:val="es-MX" w:eastAsia="es-MX"/>
              </w:rPr>
            </w:pPr>
            <w:r w:rsidRPr="00953A30">
              <w:rPr>
                <w:rFonts w:asciiTheme="majorHAnsi" w:eastAsia="Times New Roman" w:hAnsiTheme="majorHAnsi" w:cs="Times New Roman"/>
                <w:color w:val="000000"/>
                <w:sz w:val="16"/>
                <w:szCs w:val="16"/>
                <w:lang w:val="es-MX" w:eastAsia="es-MX"/>
              </w:rPr>
              <w:t>Vicepresidencia Administrativa y Financiera</w:t>
            </w:r>
          </w:p>
        </w:tc>
      </w:tr>
      <w:tr w:rsidR="00FD36CA" w:rsidRPr="00953A30" w14:paraId="56601750" w14:textId="77777777" w:rsidTr="00877BC0">
        <w:trPr>
          <w:trHeight w:val="540"/>
          <w:jc w:val="center"/>
        </w:trPr>
        <w:tc>
          <w:tcPr>
            <w:tcW w:w="811" w:type="pct"/>
            <w:vMerge/>
            <w:tcBorders>
              <w:top w:val="dotted" w:sz="4" w:space="0" w:color="auto"/>
              <w:left w:val="dotted" w:sz="4" w:space="0" w:color="auto"/>
              <w:bottom w:val="dotted" w:sz="4" w:space="0" w:color="auto"/>
              <w:right w:val="dotted" w:sz="4" w:space="0" w:color="auto"/>
            </w:tcBorders>
            <w:vAlign w:val="center"/>
            <w:hideMark/>
          </w:tcPr>
          <w:p w14:paraId="295C107C"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066" w:type="pct"/>
            <w:vMerge/>
            <w:tcBorders>
              <w:top w:val="dotted" w:sz="4" w:space="0" w:color="auto"/>
              <w:left w:val="dotted" w:sz="4" w:space="0" w:color="auto"/>
              <w:bottom w:val="dotted" w:sz="4" w:space="0" w:color="auto"/>
              <w:right w:val="dotted" w:sz="4" w:space="0" w:color="auto"/>
            </w:tcBorders>
            <w:vAlign w:val="center"/>
            <w:hideMark/>
          </w:tcPr>
          <w:p w14:paraId="4BF12D0D"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1293" w:type="pct"/>
            <w:vMerge/>
            <w:tcBorders>
              <w:top w:val="dotted" w:sz="4" w:space="0" w:color="auto"/>
              <w:left w:val="dotted" w:sz="4" w:space="0" w:color="auto"/>
              <w:bottom w:val="dotted" w:sz="4" w:space="0" w:color="auto"/>
              <w:right w:val="dotted" w:sz="4" w:space="0" w:color="auto"/>
            </w:tcBorders>
            <w:vAlign w:val="center"/>
            <w:hideMark/>
          </w:tcPr>
          <w:p w14:paraId="7E5A3AEA"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521" w:type="pct"/>
            <w:vMerge/>
            <w:tcBorders>
              <w:top w:val="dotted" w:sz="4" w:space="0" w:color="auto"/>
              <w:left w:val="dotted" w:sz="4" w:space="0" w:color="auto"/>
              <w:bottom w:val="dotted" w:sz="4" w:space="0" w:color="auto"/>
              <w:right w:val="dotted" w:sz="4" w:space="0" w:color="auto"/>
            </w:tcBorders>
            <w:vAlign w:val="center"/>
            <w:hideMark/>
          </w:tcPr>
          <w:p w14:paraId="66931220"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662" w:type="pct"/>
            <w:vMerge/>
            <w:tcBorders>
              <w:top w:val="dotted" w:sz="4" w:space="0" w:color="auto"/>
              <w:left w:val="dotted" w:sz="4" w:space="0" w:color="auto"/>
              <w:bottom w:val="dotted" w:sz="4" w:space="0" w:color="auto"/>
              <w:right w:val="dotted" w:sz="4" w:space="0" w:color="auto"/>
            </w:tcBorders>
            <w:vAlign w:val="center"/>
            <w:hideMark/>
          </w:tcPr>
          <w:p w14:paraId="332B3DDA"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c>
          <w:tcPr>
            <w:tcW w:w="647" w:type="pct"/>
            <w:vMerge/>
            <w:tcBorders>
              <w:top w:val="dotted" w:sz="4" w:space="0" w:color="auto"/>
              <w:left w:val="dotted" w:sz="4" w:space="0" w:color="auto"/>
              <w:bottom w:val="dotted" w:sz="4" w:space="0" w:color="auto"/>
              <w:right w:val="dotted" w:sz="4" w:space="0" w:color="auto"/>
            </w:tcBorders>
            <w:vAlign w:val="center"/>
            <w:hideMark/>
          </w:tcPr>
          <w:p w14:paraId="1CF0A113" w14:textId="77777777" w:rsidR="00953A30" w:rsidRPr="00953A30" w:rsidRDefault="00953A30" w:rsidP="00953A30">
            <w:pPr>
              <w:spacing w:after="0" w:line="240" w:lineRule="auto"/>
              <w:rPr>
                <w:rFonts w:asciiTheme="majorHAnsi" w:eastAsia="Times New Roman" w:hAnsiTheme="majorHAnsi" w:cs="Times New Roman"/>
                <w:color w:val="000000"/>
                <w:sz w:val="16"/>
                <w:szCs w:val="16"/>
                <w:lang w:val="es-MX" w:eastAsia="es-MX"/>
              </w:rPr>
            </w:pPr>
          </w:p>
        </w:tc>
      </w:tr>
    </w:tbl>
    <w:p w14:paraId="1BD87AA6" w14:textId="77777777" w:rsidR="000D0277" w:rsidRPr="000D3E86" w:rsidRDefault="000D0277" w:rsidP="000D3E86"/>
    <w:bookmarkEnd w:id="0"/>
    <w:p w14:paraId="12D6E544" w14:textId="36AC13B2" w:rsidR="001219FF" w:rsidRDefault="001219FF" w:rsidP="001219FF">
      <w:pPr>
        <w:tabs>
          <w:tab w:val="left" w:pos="1185"/>
        </w:tabs>
        <w:rPr>
          <w:rFonts w:ascii="Work Sans" w:hAnsi="Work Sans"/>
          <w:sz w:val="28"/>
          <w:szCs w:val="28"/>
        </w:rPr>
      </w:pPr>
    </w:p>
    <w:p w14:paraId="77EC9D47" w14:textId="77777777" w:rsidR="009419C4" w:rsidRPr="00676A1A" w:rsidRDefault="009419C4" w:rsidP="009419C4">
      <w:pPr>
        <w:spacing w:after="0"/>
        <w:rPr>
          <w:rFonts w:asciiTheme="majorHAnsi" w:hAnsiTheme="majorHAnsi" w:cs="Arial"/>
          <w:color w:val="000000"/>
          <w:sz w:val="24"/>
          <w:szCs w:val="24"/>
        </w:rPr>
      </w:pPr>
      <w:r w:rsidRPr="00676A1A">
        <w:rPr>
          <w:rFonts w:asciiTheme="majorHAnsi" w:hAnsiTheme="majorHAnsi" w:cs="Arial"/>
          <w:color w:val="000000"/>
          <w:sz w:val="24"/>
          <w:szCs w:val="24"/>
        </w:rPr>
        <w:t xml:space="preserve">Revisó:       </w:t>
      </w:r>
      <w:r>
        <w:rPr>
          <w:rFonts w:asciiTheme="majorHAnsi" w:hAnsiTheme="majorHAnsi" w:cs="Arial"/>
          <w:color w:val="000000"/>
          <w:sz w:val="24"/>
          <w:szCs w:val="24"/>
        </w:rPr>
        <w:tab/>
      </w:r>
      <w:r w:rsidRPr="00676A1A">
        <w:rPr>
          <w:rFonts w:asciiTheme="majorHAnsi" w:hAnsiTheme="majorHAnsi" w:cs="Arial"/>
          <w:color w:val="000000"/>
          <w:sz w:val="24"/>
          <w:szCs w:val="24"/>
        </w:rPr>
        <w:t xml:space="preserve">Clemencia Rojas Arias/ Coordinadora GIT Talento Humano </w:t>
      </w:r>
    </w:p>
    <w:p w14:paraId="4B5AA14F" w14:textId="6A5A2EA5" w:rsidR="009419C4" w:rsidRDefault="009419C4" w:rsidP="009419C4">
      <w:pPr>
        <w:spacing w:after="0"/>
        <w:rPr>
          <w:rFonts w:asciiTheme="majorHAnsi" w:hAnsiTheme="majorHAnsi" w:cs="Arial"/>
          <w:color w:val="000000"/>
          <w:sz w:val="24"/>
          <w:szCs w:val="24"/>
        </w:rPr>
      </w:pPr>
      <w:r w:rsidRPr="00676A1A">
        <w:rPr>
          <w:rFonts w:asciiTheme="majorHAnsi" w:hAnsiTheme="majorHAnsi" w:cs="Arial"/>
          <w:color w:val="000000"/>
          <w:sz w:val="24"/>
          <w:szCs w:val="24"/>
        </w:rPr>
        <w:tab/>
      </w:r>
    </w:p>
    <w:p w14:paraId="20BC5459" w14:textId="77777777" w:rsidR="0068513A" w:rsidRPr="00676A1A" w:rsidRDefault="0068513A" w:rsidP="009419C4">
      <w:pPr>
        <w:spacing w:after="0"/>
        <w:rPr>
          <w:rFonts w:asciiTheme="majorHAnsi" w:hAnsiTheme="majorHAnsi" w:cs="Arial"/>
          <w:color w:val="000000"/>
          <w:sz w:val="24"/>
          <w:szCs w:val="24"/>
        </w:rPr>
      </w:pPr>
    </w:p>
    <w:p w14:paraId="6EEB2F7C" w14:textId="73F10756" w:rsidR="009419C4" w:rsidRDefault="009419C4" w:rsidP="008F23F9">
      <w:pPr>
        <w:spacing w:after="0"/>
        <w:rPr>
          <w:rFonts w:asciiTheme="majorHAnsi" w:hAnsiTheme="majorHAnsi" w:cs="Arial"/>
          <w:color w:val="000000"/>
          <w:sz w:val="24"/>
          <w:szCs w:val="24"/>
        </w:rPr>
      </w:pPr>
      <w:r w:rsidRPr="00676A1A">
        <w:rPr>
          <w:rFonts w:asciiTheme="majorHAnsi" w:hAnsiTheme="majorHAnsi" w:cs="Arial"/>
          <w:color w:val="000000"/>
          <w:sz w:val="24"/>
          <w:szCs w:val="24"/>
        </w:rPr>
        <w:t xml:space="preserve">Proyectó:  </w:t>
      </w:r>
      <w:r>
        <w:rPr>
          <w:rFonts w:asciiTheme="majorHAnsi" w:hAnsiTheme="majorHAnsi" w:cs="Arial"/>
          <w:color w:val="000000"/>
          <w:sz w:val="24"/>
          <w:szCs w:val="24"/>
        </w:rPr>
        <w:tab/>
      </w:r>
      <w:r w:rsidRPr="00676A1A">
        <w:rPr>
          <w:rFonts w:asciiTheme="majorHAnsi" w:hAnsiTheme="majorHAnsi" w:cs="Arial"/>
          <w:color w:val="000000"/>
          <w:sz w:val="24"/>
          <w:szCs w:val="24"/>
        </w:rPr>
        <w:t>J</w:t>
      </w:r>
      <w:r>
        <w:rPr>
          <w:rFonts w:asciiTheme="majorHAnsi" w:hAnsiTheme="majorHAnsi" w:cs="Arial"/>
          <w:color w:val="000000"/>
          <w:sz w:val="24"/>
          <w:szCs w:val="24"/>
        </w:rPr>
        <w:t>avier Fernando Rojas Hurtado</w:t>
      </w:r>
      <w:r w:rsidRPr="00676A1A">
        <w:rPr>
          <w:rFonts w:asciiTheme="majorHAnsi" w:hAnsiTheme="majorHAnsi" w:cs="Arial"/>
          <w:color w:val="000000"/>
          <w:sz w:val="24"/>
          <w:szCs w:val="24"/>
        </w:rPr>
        <w:t xml:space="preserve"> / </w:t>
      </w:r>
      <w:r>
        <w:rPr>
          <w:rFonts w:asciiTheme="majorHAnsi" w:hAnsiTheme="majorHAnsi" w:cs="Arial"/>
          <w:color w:val="000000"/>
          <w:sz w:val="24"/>
          <w:szCs w:val="24"/>
        </w:rPr>
        <w:t xml:space="preserve">Contratista </w:t>
      </w:r>
      <w:r w:rsidRPr="00676A1A">
        <w:rPr>
          <w:rFonts w:asciiTheme="majorHAnsi" w:hAnsiTheme="majorHAnsi" w:cs="Arial"/>
          <w:color w:val="000000"/>
          <w:sz w:val="24"/>
          <w:szCs w:val="24"/>
        </w:rPr>
        <w:t>GIT Talento Humano</w:t>
      </w:r>
    </w:p>
    <w:p w14:paraId="00B365C2" w14:textId="5CAC109F" w:rsidR="008F23F9" w:rsidRPr="00676A1A" w:rsidRDefault="008F23F9" w:rsidP="008F23F9">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t>Jhon Deiby Arévalo Zabala / Experto GIT Talento Humano</w:t>
      </w:r>
      <w:bookmarkStart w:id="6" w:name="_GoBack"/>
      <w:bookmarkEnd w:id="6"/>
    </w:p>
    <w:p w14:paraId="4F899571" w14:textId="6C36F161" w:rsidR="009419C4" w:rsidRPr="00676A1A" w:rsidRDefault="009419C4" w:rsidP="009419C4">
      <w:pPr>
        <w:spacing w:after="0"/>
        <w:rPr>
          <w:rFonts w:asciiTheme="majorHAnsi" w:hAnsiTheme="majorHAnsi" w:cs="Arial"/>
          <w:iCs/>
          <w:sz w:val="24"/>
          <w:szCs w:val="24"/>
          <w:lang w:val="pt-BR"/>
        </w:rPr>
      </w:pPr>
      <w:r w:rsidRPr="00676A1A">
        <w:rPr>
          <w:rFonts w:asciiTheme="majorHAnsi" w:hAnsiTheme="majorHAnsi" w:cs="Arial"/>
          <w:color w:val="000000"/>
          <w:sz w:val="24"/>
          <w:szCs w:val="24"/>
        </w:rPr>
        <w:tab/>
      </w:r>
      <w:r>
        <w:rPr>
          <w:rFonts w:asciiTheme="majorHAnsi" w:hAnsiTheme="majorHAnsi" w:cs="Arial"/>
          <w:color w:val="000000"/>
          <w:sz w:val="24"/>
          <w:szCs w:val="24"/>
        </w:rPr>
        <w:tab/>
      </w:r>
    </w:p>
    <w:p w14:paraId="027C5C46" w14:textId="77777777" w:rsidR="009419C4" w:rsidRPr="001219FF" w:rsidRDefault="009419C4" w:rsidP="001219FF">
      <w:pPr>
        <w:tabs>
          <w:tab w:val="left" w:pos="1185"/>
        </w:tabs>
        <w:rPr>
          <w:rFonts w:ascii="Work Sans" w:hAnsi="Work Sans"/>
          <w:sz w:val="28"/>
          <w:szCs w:val="28"/>
        </w:rPr>
      </w:pPr>
    </w:p>
    <w:sectPr w:rsidR="009419C4" w:rsidRPr="001219FF" w:rsidSect="00D90D19">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BE3C" w14:textId="77777777" w:rsidR="008D5D7C" w:rsidRDefault="008D5D7C" w:rsidP="00C003A3">
      <w:pPr>
        <w:spacing w:after="0" w:line="240" w:lineRule="auto"/>
      </w:pPr>
      <w:r>
        <w:separator/>
      </w:r>
    </w:p>
  </w:endnote>
  <w:endnote w:type="continuationSeparator" w:id="0">
    <w:p w14:paraId="17DA68CB" w14:textId="77777777" w:rsidR="008D5D7C" w:rsidRDefault="008D5D7C"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ork Sans">
    <w:altName w:val="Calibri"/>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01136F04" w14:textId="77777777" w:rsidR="00062CEC" w:rsidRPr="008D1F9B" w:rsidRDefault="00062CEC"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14:paraId="61968C12" w14:textId="796750E3" w:rsidR="00062CEC" w:rsidRPr="008D1F9B" w:rsidRDefault="00062CEC"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Pr>
            <w:rFonts w:ascii="Work Sans" w:hAnsi="Work Sans"/>
            <w:color w:val="767171" w:themeColor="background2" w:themeShade="80"/>
            <w:sz w:val="20"/>
            <w:szCs w:val="20"/>
          </w:rPr>
          <w:t>2</w:t>
        </w:r>
        <w:r w:rsidR="001219FF">
          <w:rPr>
            <w:rFonts w:ascii="Work Sans" w:hAnsi="Work Sans"/>
            <w:color w:val="767171" w:themeColor="background2" w:themeShade="80"/>
            <w:sz w:val="20"/>
            <w:szCs w:val="20"/>
          </w:rPr>
          <w:t>8</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14:paraId="4D13A915" w14:textId="11DA05FB" w:rsidR="00062CEC" w:rsidRPr="00411E35" w:rsidRDefault="00062CEC"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sidR="00B55840">
              <w:rPr>
                <w:rFonts w:ascii="Work Sans" w:hAnsi="Work Sans"/>
                <w:noProof/>
                <w:color w:val="767171" w:themeColor="background2" w:themeShade="80"/>
                <w:sz w:val="20"/>
                <w:szCs w:val="20"/>
              </w:rPr>
              <w:t>2</w:t>
            </w:r>
            <w:r w:rsidRPr="008D1F9B">
              <w:rPr>
                <w:rFonts w:ascii="Work Sans" w:hAnsi="Work Sans"/>
                <w:color w:val="767171" w:themeColor="background2" w:themeShade="80"/>
                <w:sz w:val="20"/>
                <w:szCs w:val="20"/>
              </w:rPr>
              <w:fldChar w:fldCharType="end"/>
            </w:r>
          </w:sdtContent>
        </w:sdt>
      </w:p>
    </w:sdtContent>
  </w:sdt>
  <w:p w14:paraId="2C4ACABC" w14:textId="77777777" w:rsidR="00062CEC" w:rsidRDefault="00062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D973" w14:textId="77777777" w:rsidR="008D5D7C" w:rsidRDefault="008D5D7C" w:rsidP="00C003A3">
      <w:pPr>
        <w:spacing w:after="0" w:line="240" w:lineRule="auto"/>
      </w:pPr>
      <w:r>
        <w:separator/>
      </w:r>
    </w:p>
  </w:footnote>
  <w:footnote w:type="continuationSeparator" w:id="0">
    <w:p w14:paraId="3F4EECD7" w14:textId="77777777" w:rsidR="008D5D7C" w:rsidRDefault="008D5D7C"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F178" w14:textId="71026E54" w:rsidR="00062CEC" w:rsidRDefault="00062CEC" w:rsidP="00EC028B">
    <w:pPr>
      <w:spacing w:after="0" w:line="240" w:lineRule="auto"/>
      <w:jc w:val="right"/>
    </w:pPr>
    <w:r w:rsidRPr="00405A3D">
      <w:rPr>
        <w:rFonts w:asciiTheme="majorHAnsi" w:hAnsiTheme="majorHAnsi"/>
        <w:noProof/>
        <w:sz w:val="24"/>
        <w:szCs w:val="24"/>
        <w:lang w:eastAsia="es-CO"/>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tab/>
    </w:r>
    <w:r w:rsidR="00EC028B" w:rsidRPr="00EC028B">
      <w:rPr>
        <w:rFonts w:ascii="Work Sans" w:hAnsi="Work Sans"/>
        <w:b/>
        <w:sz w:val="20"/>
        <w:szCs w:val="20"/>
      </w:rPr>
      <w:t xml:space="preserve">Plan del Sistema </w:t>
    </w:r>
    <w:r w:rsidR="00F3520B">
      <w:rPr>
        <w:rFonts w:ascii="Work Sans" w:hAnsi="Work Sans"/>
        <w:b/>
        <w:sz w:val="20"/>
        <w:szCs w:val="20"/>
      </w:rPr>
      <w:t>de Gestión</w:t>
    </w:r>
    <w:r w:rsidR="00EC028B" w:rsidRPr="00EC028B">
      <w:rPr>
        <w:rFonts w:ascii="Work Sans" w:hAnsi="Work Sans"/>
        <w:b/>
        <w:sz w:val="20"/>
        <w:szCs w:val="20"/>
      </w:rPr>
      <w:t xml:space="preserve"> de </w:t>
    </w:r>
    <w:r w:rsidR="00F3520B">
      <w:rPr>
        <w:rFonts w:ascii="Work Sans" w:hAnsi="Work Sans"/>
        <w:b/>
        <w:sz w:val="20"/>
        <w:szCs w:val="20"/>
      </w:rPr>
      <w:t xml:space="preserve">la </w:t>
    </w:r>
    <w:r w:rsidR="00EC028B" w:rsidRPr="00EC028B">
      <w:rPr>
        <w:rFonts w:ascii="Work Sans" w:hAnsi="Work Sans"/>
        <w:b/>
        <w:sz w:val="20"/>
        <w:szCs w:val="20"/>
      </w:rPr>
      <w:t>Seguridad y Salud en el Trabajo (SG-SST)</w:t>
    </w:r>
  </w:p>
  <w:p w14:paraId="5B0A6545" w14:textId="769D8E30" w:rsidR="00062CEC" w:rsidRDefault="00062CEC">
    <w:pPr>
      <w:pStyle w:val="Encabezado"/>
    </w:pPr>
  </w:p>
  <w:p w14:paraId="1564BAC1" w14:textId="77777777" w:rsidR="00EC028B" w:rsidRDefault="00EC02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78AC6C0B" w:rsidR="00062CEC" w:rsidRPr="004138D4" w:rsidRDefault="00062CEC"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D04"/>
    <w:multiLevelType w:val="multilevel"/>
    <w:tmpl w:val="C756AC8E"/>
    <w:lvl w:ilvl="0">
      <w:start w:val="6"/>
      <w:numFmt w:val="decimal"/>
      <w:lvlText w:val="%1."/>
      <w:lvlJc w:val="left"/>
      <w:pPr>
        <w:ind w:left="540" w:hanging="540"/>
      </w:pPr>
      <w:rPr>
        <w:rFonts w:hint="default"/>
        <w:b/>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6585295"/>
    <w:multiLevelType w:val="hybridMultilevel"/>
    <w:tmpl w:val="F2124F04"/>
    <w:lvl w:ilvl="0" w:tplc="0EFC5AD4">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E321FDA"/>
    <w:multiLevelType w:val="hybridMultilevel"/>
    <w:tmpl w:val="445CDDBA"/>
    <w:lvl w:ilvl="0" w:tplc="240A000B">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3" w15:restartNumberingAfterBreak="0">
    <w:nsid w:val="20EC359C"/>
    <w:multiLevelType w:val="hybridMultilevel"/>
    <w:tmpl w:val="BA0A97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903465"/>
    <w:multiLevelType w:val="hybridMultilevel"/>
    <w:tmpl w:val="61E03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F5F04"/>
    <w:multiLevelType w:val="hybridMultilevel"/>
    <w:tmpl w:val="0240C2CE"/>
    <w:lvl w:ilvl="0" w:tplc="E9F4E176">
      <w:start w:val="2"/>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C3879"/>
    <w:multiLevelType w:val="hybridMultilevel"/>
    <w:tmpl w:val="61B27260"/>
    <w:lvl w:ilvl="0" w:tplc="281C027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CC479F"/>
    <w:multiLevelType w:val="hybridMultilevel"/>
    <w:tmpl w:val="9F341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057F1"/>
    <w:multiLevelType w:val="hybridMultilevel"/>
    <w:tmpl w:val="EB92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737B57"/>
    <w:multiLevelType w:val="hybridMultilevel"/>
    <w:tmpl w:val="107497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2248E8"/>
    <w:multiLevelType w:val="hybridMultilevel"/>
    <w:tmpl w:val="569888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1D617C"/>
    <w:multiLevelType w:val="hybridMultilevel"/>
    <w:tmpl w:val="42B6D5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32119B"/>
    <w:multiLevelType w:val="hybridMultilevel"/>
    <w:tmpl w:val="3A1CA8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FA01C6"/>
    <w:multiLevelType w:val="hybridMultilevel"/>
    <w:tmpl w:val="6AB049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43A56C3"/>
    <w:multiLevelType w:val="hybridMultilevel"/>
    <w:tmpl w:val="9910A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E86C6A"/>
    <w:multiLevelType w:val="hybridMultilevel"/>
    <w:tmpl w:val="13F03298"/>
    <w:lvl w:ilvl="0" w:tplc="9E7A18A6">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8E1B7A"/>
    <w:multiLevelType w:val="hybridMultilevel"/>
    <w:tmpl w:val="9AEE1A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CD39B6"/>
    <w:multiLevelType w:val="hybridMultilevel"/>
    <w:tmpl w:val="8152AFE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7"/>
  </w:num>
  <w:num w:numId="5">
    <w:abstractNumId w:val="9"/>
  </w:num>
  <w:num w:numId="6">
    <w:abstractNumId w:val="10"/>
  </w:num>
  <w:num w:numId="7">
    <w:abstractNumId w:val="11"/>
  </w:num>
  <w:num w:numId="8">
    <w:abstractNumId w:val="4"/>
  </w:num>
  <w:num w:numId="9">
    <w:abstractNumId w:val="16"/>
  </w:num>
  <w:num w:numId="10">
    <w:abstractNumId w:val="14"/>
  </w:num>
  <w:num w:numId="11">
    <w:abstractNumId w:val="0"/>
  </w:num>
  <w:num w:numId="12">
    <w:abstractNumId w:val="8"/>
  </w:num>
  <w:num w:numId="13">
    <w:abstractNumId w:val="2"/>
  </w:num>
  <w:num w:numId="14">
    <w:abstractNumId w:val="3"/>
  </w:num>
  <w:num w:numId="15">
    <w:abstractNumId w:val="1"/>
  </w:num>
  <w:num w:numId="16">
    <w:abstractNumId w:val="13"/>
  </w:num>
  <w:num w:numId="17">
    <w:abstractNumId w:val="6"/>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074EB"/>
    <w:rsid w:val="00011569"/>
    <w:rsid w:val="00014F1D"/>
    <w:rsid w:val="00015C14"/>
    <w:rsid w:val="00016158"/>
    <w:rsid w:val="00017E07"/>
    <w:rsid w:val="00017ED6"/>
    <w:rsid w:val="00021417"/>
    <w:rsid w:val="00031F44"/>
    <w:rsid w:val="00032E96"/>
    <w:rsid w:val="000335DB"/>
    <w:rsid w:val="00034504"/>
    <w:rsid w:val="00036868"/>
    <w:rsid w:val="000407C3"/>
    <w:rsid w:val="00044F35"/>
    <w:rsid w:val="00046E63"/>
    <w:rsid w:val="00047746"/>
    <w:rsid w:val="00052F6F"/>
    <w:rsid w:val="0005505A"/>
    <w:rsid w:val="00056CA4"/>
    <w:rsid w:val="00061C80"/>
    <w:rsid w:val="00062CEC"/>
    <w:rsid w:val="00064F3C"/>
    <w:rsid w:val="000700EB"/>
    <w:rsid w:val="0007291F"/>
    <w:rsid w:val="000742E2"/>
    <w:rsid w:val="00077DB8"/>
    <w:rsid w:val="00080040"/>
    <w:rsid w:val="00081FDF"/>
    <w:rsid w:val="000859DB"/>
    <w:rsid w:val="00096031"/>
    <w:rsid w:val="000A63AE"/>
    <w:rsid w:val="000B0DCD"/>
    <w:rsid w:val="000B43FD"/>
    <w:rsid w:val="000B7B3C"/>
    <w:rsid w:val="000C2783"/>
    <w:rsid w:val="000C5473"/>
    <w:rsid w:val="000D0277"/>
    <w:rsid w:val="000D0638"/>
    <w:rsid w:val="000D092D"/>
    <w:rsid w:val="000D0F18"/>
    <w:rsid w:val="000D3E86"/>
    <w:rsid w:val="000D5983"/>
    <w:rsid w:val="000D754A"/>
    <w:rsid w:val="000E2513"/>
    <w:rsid w:val="000E347D"/>
    <w:rsid w:val="000E4A0C"/>
    <w:rsid w:val="000F3A10"/>
    <w:rsid w:val="00103CAF"/>
    <w:rsid w:val="0010531C"/>
    <w:rsid w:val="00112F3D"/>
    <w:rsid w:val="00114380"/>
    <w:rsid w:val="00116EB5"/>
    <w:rsid w:val="00120DB5"/>
    <w:rsid w:val="001219FF"/>
    <w:rsid w:val="001248DA"/>
    <w:rsid w:val="00126636"/>
    <w:rsid w:val="001303AF"/>
    <w:rsid w:val="00131824"/>
    <w:rsid w:val="001407D3"/>
    <w:rsid w:val="0014213D"/>
    <w:rsid w:val="001421D2"/>
    <w:rsid w:val="00142B26"/>
    <w:rsid w:val="00142C2C"/>
    <w:rsid w:val="001442AE"/>
    <w:rsid w:val="00145D01"/>
    <w:rsid w:val="00152B66"/>
    <w:rsid w:val="0015381F"/>
    <w:rsid w:val="0015459A"/>
    <w:rsid w:val="0015717E"/>
    <w:rsid w:val="001640F6"/>
    <w:rsid w:val="0016420F"/>
    <w:rsid w:val="00167B54"/>
    <w:rsid w:val="00173BC4"/>
    <w:rsid w:val="00181DF8"/>
    <w:rsid w:val="001839AB"/>
    <w:rsid w:val="00185A0B"/>
    <w:rsid w:val="001870E2"/>
    <w:rsid w:val="0018718C"/>
    <w:rsid w:val="001873B8"/>
    <w:rsid w:val="001915F3"/>
    <w:rsid w:val="00191DE9"/>
    <w:rsid w:val="00194139"/>
    <w:rsid w:val="00197F4C"/>
    <w:rsid w:val="001A2D88"/>
    <w:rsid w:val="001A79F3"/>
    <w:rsid w:val="001B2283"/>
    <w:rsid w:val="001B3E24"/>
    <w:rsid w:val="001B48C0"/>
    <w:rsid w:val="001C33AD"/>
    <w:rsid w:val="001C34E1"/>
    <w:rsid w:val="001C42DB"/>
    <w:rsid w:val="001D1D24"/>
    <w:rsid w:val="001D29CD"/>
    <w:rsid w:val="001E05DA"/>
    <w:rsid w:val="001E0E1B"/>
    <w:rsid w:val="001E0F15"/>
    <w:rsid w:val="001E2043"/>
    <w:rsid w:val="001E35DE"/>
    <w:rsid w:val="001F19F7"/>
    <w:rsid w:val="001F4DD2"/>
    <w:rsid w:val="00201BC8"/>
    <w:rsid w:val="00203959"/>
    <w:rsid w:val="00204C26"/>
    <w:rsid w:val="00207889"/>
    <w:rsid w:val="00212440"/>
    <w:rsid w:val="00215460"/>
    <w:rsid w:val="00215DBD"/>
    <w:rsid w:val="00217399"/>
    <w:rsid w:val="002216FF"/>
    <w:rsid w:val="00221BA0"/>
    <w:rsid w:val="00226305"/>
    <w:rsid w:val="00234F42"/>
    <w:rsid w:val="00237CA7"/>
    <w:rsid w:val="00241A24"/>
    <w:rsid w:val="00247414"/>
    <w:rsid w:val="00255DAC"/>
    <w:rsid w:val="002568C7"/>
    <w:rsid w:val="00261FB9"/>
    <w:rsid w:val="00262642"/>
    <w:rsid w:val="00263F7D"/>
    <w:rsid w:val="002719AC"/>
    <w:rsid w:val="00271E6E"/>
    <w:rsid w:val="00272E45"/>
    <w:rsid w:val="00275785"/>
    <w:rsid w:val="0028027B"/>
    <w:rsid w:val="00280A62"/>
    <w:rsid w:val="0028202A"/>
    <w:rsid w:val="00282879"/>
    <w:rsid w:val="00286AFB"/>
    <w:rsid w:val="00287511"/>
    <w:rsid w:val="00295817"/>
    <w:rsid w:val="00295C5D"/>
    <w:rsid w:val="00295EB2"/>
    <w:rsid w:val="00297AF0"/>
    <w:rsid w:val="002A016B"/>
    <w:rsid w:val="002A0A25"/>
    <w:rsid w:val="002A760E"/>
    <w:rsid w:val="002A7C6B"/>
    <w:rsid w:val="002B4F5B"/>
    <w:rsid w:val="002B7D20"/>
    <w:rsid w:val="002C238C"/>
    <w:rsid w:val="002C604A"/>
    <w:rsid w:val="002D264A"/>
    <w:rsid w:val="002D2FFA"/>
    <w:rsid w:val="002D46BF"/>
    <w:rsid w:val="002D502C"/>
    <w:rsid w:val="002D733B"/>
    <w:rsid w:val="002E009B"/>
    <w:rsid w:val="002E4623"/>
    <w:rsid w:val="002E6BD3"/>
    <w:rsid w:val="002F40A0"/>
    <w:rsid w:val="002F5449"/>
    <w:rsid w:val="002F68BA"/>
    <w:rsid w:val="002F7F45"/>
    <w:rsid w:val="00305CB2"/>
    <w:rsid w:val="003060B8"/>
    <w:rsid w:val="003107FA"/>
    <w:rsid w:val="00310F4A"/>
    <w:rsid w:val="0031301E"/>
    <w:rsid w:val="0031467B"/>
    <w:rsid w:val="003202A4"/>
    <w:rsid w:val="003236E0"/>
    <w:rsid w:val="00326501"/>
    <w:rsid w:val="0032719E"/>
    <w:rsid w:val="0033447D"/>
    <w:rsid w:val="00336534"/>
    <w:rsid w:val="00336695"/>
    <w:rsid w:val="003441BE"/>
    <w:rsid w:val="00345656"/>
    <w:rsid w:val="003502FC"/>
    <w:rsid w:val="00351A4E"/>
    <w:rsid w:val="00356554"/>
    <w:rsid w:val="00356B87"/>
    <w:rsid w:val="00364D04"/>
    <w:rsid w:val="0036644A"/>
    <w:rsid w:val="0038085D"/>
    <w:rsid w:val="00385831"/>
    <w:rsid w:val="00386C0D"/>
    <w:rsid w:val="00387DFB"/>
    <w:rsid w:val="003A069D"/>
    <w:rsid w:val="003A3FDC"/>
    <w:rsid w:val="003B599D"/>
    <w:rsid w:val="003B7486"/>
    <w:rsid w:val="003C091A"/>
    <w:rsid w:val="003C60BB"/>
    <w:rsid w:val="003D0E61"/>
    <w:rsid w:val="003D1EFA"/>
    <w:rsid w:val="003D345F"/>
    <w:rsid w:val="003D4CB8"/>
    <w:rsid w:val="003D56EB"/>
    <w:rsid w:val="003D764E"/>
    <w:rsid w:val="003E732B"/>
    <w:rsid w:val="003F251E"/>
    <w:rsid w:val="003F2945"/>
    <w:rsid w:val="003F36A6"/>
    <w:rsid w:val="00403471"/>
    <w:rsid w:val="004039F7"/>
    <w:rsid w:val="00404B90"/>
    <w:rsid w:val="00404BD3"/>
    <w:rsid w:val="00411E35"/>
    <w:rsid w:val="004138D4"/>
    <w:rsid w:val="004179F1"/>
    <w:rsid w:val="004207D8"/>
    <w:rsid w:val="00420D6B"/>
    <w:rsid w:val="00421C70"/>
    <w:rsid w:val="00422838"/>
    <w:rsid w:val="00423E97"/>
    <w:rsid w:val="0042742D"/>
    <w:rsid w:val="004337B1"/>
    <w:rsid w:val="00440023"/>
    <w:rsid w:val="00451140"/>
    <w:rsid w:val="0045619D"/>
    <w:rsid w:val="004609C8"/>
    <w:rsid w:val="00462A57"/>
    <w:rsid w:val="004640BD"/>
    <w:rsid w:val="00467ACD"/>
    <w:rsid w:val="00467C87"/>
    <w:rsid w:val="00467F17"/>
    <w:rsid w:val="0047595B"/>
    <w:rsid w:val="00475CF1"/>
    <w:rsid w:val="00477BD5"/>
    <w:rsid w:val="004A0708"/>
    <w:rsid w:val="004A350E"/>
    <w:rsid w:val="004A7213"/>
    <w:rsid w:val="004B0522"/>
    <w:rsid w:val="004B0BC5"/>
    <w:rsid w:val="004B1A6C"/>
    <w:rsid w:val="004C07F8"/>
    <w:rsid w:val="004C41F0"/>
    <w:rsid w:val="004C61FD"/>
    <w:rsid w:val="004C72FA"/>
    <w:rsid w:val="004D34F1"/>
    <w:rsid w:val="004D367F"/>
    <w:rsid w:val="004D443C"/>
    <w:rsid w:val="004D5041"/>
    <w:rsid w:val="004D5B41"/>
    <w:rsid w:val="004D5EA8"/>
    <w:rsid w:val="004D6F9E"/>
    <w:rsid w:val="004D7B75"/>
    <w:rsid w:val="004D7BDE"/>
    <w:rsid w:val="004E0681"/>
    <w:rsid w:val="004E2CBF"/>
    <w:rsid w:val="004E4187"/>
    <w:rsid w:val="004E4635"/>
    <w:rsid w:val="004E5E6D"/>
    <w:rsid w:val="004E6C28"/>
    <w:rsid w:val="004F05ED"/>
    <w:rsid w:val="004F1B70"/>
    <w:rsid w:val="004F40CF"/>
    <w:rsid w:val="004F4DE2"/>
    <w:rsid w:val="004F629B"/>
    <w:rsid w:val="004F7EEF"/>
    <w:rsid w:val="005013AF"/>
    <w:rsid w:val="00501838"/>
    <w:rsid w:val="005042AB"/>
    <w:rsid w:val="00504369"/>
    <w:rsid w:val="00504718"/>
    <w:rsid w:val="0050471A"/>
    <w:rsid w:val="005063BC"/>
    <w:rsid w:val="0051036C"/>
    <w:rsid w:val="00512285"/>
    <w:rsid w:val="00512FBF"/>
    <w:rsid w:val="00513AE3"/>
    <w:rsid w:val="00517009"/>
    <w:rsid w:val="00517C91"/>
    <w:rsid w:val="005233C1"/>
    <w:rsid w:val="00526197"/>
    <w:rsid w:val="00532B10"/>
    <w:rsid w:val="005356EC"/>
    <w:rsid w:val="0053605E"/>
    <w:rsid w:val="00536CB6"/>
    <w:rsid w:val="00537283"/>
    <w:rsid w:val="00546DC9"/>
    <w:rsid w:val="00551B87"/>
    <w:rsid w:val="005570F7"/>
    <w:rsid w:val="0056197F"/>
    <w:rsid w:val="00562BD7"/>
    <w:rsid w:val="00562F47"/>
    <w:rsid w:val="005651B2"/>
    <w:rsid w:val="00573B2C"/>
    <w:rsid w:val="005745E3"/>
    <w:rsid w:val="00574D6A"/>
    <w:rsid w:val="00580E72"/>
    <w:rsid w:val="00582647"/>
    <w:rsid w:val="00596004"/>
    <w:rsid w:val="005974AE"/>
    <w:rsid w:val="005A01F3"/>
    <w:rsid w:val="005A07E6"/>
    <w:rsid w:val="005A24F6"/>
    <w:rsid w:val="005B455E"/>
    <w:rsid w:val="005B63B9"/>
    <w:rsid w:val="005C5921"/>
    <w:rsid w:val="005C6102"/>
    <w:rsid w:val="005C781D"/>
    <w:rsid w:val="005C7C57"/>
    <w:rsid w:val="005C7DD8"/>
    <w:rsid w:val="005D0CD9"/>
    <w:rsid w:val="005D2269"/>
    <w:rsid w:val="005D3337"/>
    <w:rsid w:val="005D4986"/>
    <w:rsid w:val="005D6462"/>
    <w:rsid w:val="005D7A98"/>
    <w:rsid w:val="005E0020"/>
    <w:rsid w:val="005E0055"/>
    <w:rsid w:val="005E0FAE"/>
    <w:rsid w:val="005E250E"/>
    <w:rsid w:val="005E5318"/>
    <w:rsid w:val="005E5CF2"/>
    <w:rsid w:val="005F61C1"/>
    <w:rsid w:val="00603B35"/>
    <w:rsid w:val="006140DC"/>
    <w:rsid w:val="006170E6"/>
    <w:rsid w:val="00617DDD"/>
    <w:rsid w:val="00624FB0"/>
    <w:rsid w:val="00625520"/>
    <w:rsid w:val="006266E9"/>
    <w:rsid w:val="00632A54"/>
    <w:rsid w:val="006340B6"/>
    <w:rsid w:val="00637CF2"/>
    <w:rsid w:val="00637F51"/>
    <w:rsid w:val="00641230"/>
    <w:rsid w:val="00643432"/>
    <w:rsid w:val="00645E46"/>
    <w:rsid w:val="0065765B"/>
    <w:rsid w:val="0066428C"/>
    <w:rsid w:val="00672E4B"/>
    <w:rsid w:val="00673BF7"/>
    <w:rsid w:val="0068513A"/>
    <w:rsid w:val="0069157A"/>
    <w:rsid w:val="0069198D"/>
    <w:rsid w:val="006919E8"/>
    <w:rsid w:val="00694F1F"/>
    <w:rsid w:val="00695D2B"/>
    <w:rsid w:val="006963E2"/>
    <w:rsid w:val="006964F6"/>
    <w:rsid w:val="00696742"/>
    <w:rsid w:val="006A3DD9"/>
    <w:rsid w:val="006A606F"/>
    <w:rsid w:val="006B14F5"/>
    <w:rsid w:val="006B6DB7"/>
    <w:rsid w:val="006C20F3"/>
    <w:rsid w:val="006C210D"/>
    <w:rsid w:val="006D36E5"/>
    <w:rsid w:val="006D40A9"/>
    <w:rsid w:val="006D66B2"/>
    <w:rsid w:val="006E07FC"/>
    <w:rsid w:val="006E2F2A"/>
    <w:rsid w:val="006E47FB"/>
    <w:rsid w:val="006F7995"/>
    <w:rsid w:val="007012C5"/>
    <w:rsid w:val="00701C5C"/>
    <w:rsid w:val="00701CB4"/>
    <w:rsid w:val="00706EBE"/>
    <w:rsid w:val="007131FA"/>
    <w:rsid w:val="00714564"/>
    <w:rsid w:val="00723B02"/>
    <w:rsid w:val="0072719D"/>
    <w:rsid w:val="00731DE4"/>
    <w:rsid w:val="00734BE4"/>
    <w:rsid w:val="00744FAD"/>
    <w:rsid w:val="00747A9F"/>
    <w:rsid w:val="00747E08"/>
    <w:rsid w:val="00756D0E"/>
    <w:rsid w:val="007616D3"/>
    <w:rsid w:val="00762254"/>
    <w:rsid w:val="00773003"/>
    <w:rsid w:val="00775D4A"/>
    <w:rsid w:val="007860EF"/>
    <w:rsid w:val="007870DA"/>
    <w:rsid w:val="0078713B"/>
    <w:rsid w:val="007873DB"/>
    <w:rsid w:val="00790DAF"/>
    <w:rsid w:val="00794478"/>
    <w:rsid w:val="007A33D0"/>
    <w:rsid w:val="007A3AF5"/>
    <w:rsid w:val="007A4E64"/>
    <w:rsid w:val="007B2E19"/>
    <w:rsid w:val="007B44B2"/>
    <w:rsid w:val="007B55D2"/>
    <w:rsid w:val="007C1F64"/>
    <w:rsid w:val="007C2AE8"/>
    <w:rsid w:val="007C4B9A"/>
    <w:rsid w:val="007C4E34"/>
    <w:rsid w:val="007E38DD"/>
    <w:rsid w:val="007F2C78"/>
    <w:rsid w:val="007F4030"/>
    <w:rsid w:val="007F7FD0"/>
    <w:rsid w:val="00802032"/>
    <w:rsid w:val="00803102"/>
    <w:rsid w:val="008032E9"/>
    <w:rsid w:val="00803820"/>
    <w:rsid w:val="008078C3"/>
    <w:rsid w:val="008111A5"/>
    <w:rsid w:val="00812945"/>
    <w:rsid w:val="008144B7"/>
    <w:rsid w:val="0081555E"/>
    <w:rsid w:val="00820888"/>
    <w:rsid w:val="00822540"/>
    <w:rsid w:val="00822FE4"/>
    <w:rsid w:val="00824CE1"/>
    <w:rsid w:val="00824EBA"/>
    <w:rsid w:val="00825F3A"/>
    <w:rsid w:val="008336C8"/>
    <w:rsid w:val="00836BDE"/>
    <w:rsid w:val="0084088B"/>
    <w:rsid w:val="00840E5E"/>
    <w:rsid w:val="00841499"/>
    <w:rsid w:val="00843861"/>
    <w:rsid w:val="00846372"/>
    <w:rsid w:val="00850B89"/>
    <w:rsid w:val="00851387"/>
    <w:rsid w:val="00853DBB"/>
    <w:rsid w:val="008551B7"/>
    <w:rsid w:val="00863AF0"/>
    <w:rsid w:val="00865603"/>
    <w:rsid w:val="00870945"/>
    <w:rsid w:val="00871565"/>
    <w:rsid w:val="00876EE6"/>
    <w:rsid w:val="0087717B"/>
    <w:rsid w:val="00877BC0"/>
    <w:rsid w:val="008805CA"/>
    <w:rsid w:val="008835B3"/>
    <w:rsid w:val="0088569B"/>
    <w:rsid w:val="00886B47"/>
    <w:rsid w:val="00891B64"/>
    <w:rsid w:val="008944BE"/>
    <w:rsid w:val="00894AD9"/>
    <w:rsid w:val="008A2DD7"/>
    <w:rsid w:val="008A37F9"/>
    <w:rsid w:val="008A3DB8"/>
    <w:rsid w:val="008A53DE"/>
    <w:rsid w:val="008C17DF"/>
    <w:rsid w:val="008C69A9"/>
    <w:rsid w:val="008C7138"/>
    <w:rsid w:val="008D195C"/>
    <w:rsid w:val="008D5D7C"/>
    <w:rsid w:val="008E3D59"/>
    <w:rsid w:val="008E5C18"/>
    <w:rsid w:val="008E7842"/>
    <w:rsid w:val="008F0D60"/>
    <w:rsid w:val="008F23F9"/>
    <w:rsid w:val="008F3C4C"/>
    <w:rsid w:val="008F5268"/>
    <w:rsid w:val="008F7547"/>
    <w:rsid w:val="00904552"/>
    <w:rsid w:val="00905DC2"/>
    <w:rsid w:val="0091464D"/>
    <w:rsid w:val="0092363C"/>
    <w:rsid w:val="00923D74"/>
    <w:rsid w:val="00926473"/>
    <w:rsid w:val="00935F5B"/>
    <w:rsid w:val="009370CE"/>
    <w:rsid w:val="009419C4"/>
    <w:rsid w:val="0094682F"/>
    <w:rsid w:val="00946BAC"/>
    <w:rsid w:val="00953947"/>
    <w:rsid w:val="00953A30"/>
    <w:rsid w:val="009578D1"/>
    <w:rsid w:val="00960D2A"/>
    <w:rsid w:val="0096285D"/>
    <w:rsid w:val="00976F7F"/>
    <w:rsid w:val="00977390"/>
    <w:rsid w:val="00982054"/>
    <w:rsid w:val="0098348E"/>
    <w:rsid w:val="00984993"/>
    <w:rsid w:val="009866B7"/>
    <w:rsid w:val="00990CEE"/>
    <w:rsid w:val="0099159B"/>
    <w:rsid w:val="00993A78"/>
    <w:rsid w:val="009A2432"/>
    <w:rsid w:val="009A4C5C"/>
    <w:rsid w:val="009A63E9"/>
    <w:rsid w:val="009A7EBA"/>
    <w:rsid w:val="009B30C2"/>
    <w:rsid w:val="009B5175"/>
    <w:rsid w:val="009B6795"/>
    <w:rsid w:val="009C2F6A"/>
    <w:rsid w:val="009C5136"/>
    <w:rsid w:val="009D1124"/>
    <w:rsid w:val="009D466A"/>
    <w:rsid w:val="009D6180"/>
    <w:rsid w:val="009E457F"/>
    <w:rsid w:val="009E796A"/>
    <w:rsid w:val="009F0BE7"/>
    <w:rsid w:val="009F1372"/>
    <w:rsid w:val="009F6F92"/>
    <w:rsid w:val="00A10D66"/>
    <w:rsid w:val="00A13EF2"/>
    <w:rsid w:val="00A1544F"/>
    <w:rsid w:val="00A20637"/>
    <w:rsid w:val="00A225D5"/>
    <w:rsid w:val="00A263F2"/>
    <w:rsid w:val="00A26A11"/>
    <w:rsid w:val="00A26B98"/>
    <w:rsid w:val="00A2728C"/>
    <w:rsid w:val="00A31A80"/>
    <w:rsid w:val="00A330A0"/>
    <w:rsid w:val="00A35DD3"/>
    <w:rsid w:val="00A37524"/>
    <w:rsid w:val="00A468D6"/>
    <w:rsid w:val="00A47EAD"/>
    <w:rsid w:val="00A513C1"/>
    <w:rsid w:val="00A51F4E"/>
    <w:rsid w:val="00A555B7"/>
    <w:rsid w:val="00A57466"/>
    <w:rsid w:val="00A57D63"/>
    <w:rsid w:val="00A57DBE"/>
    <w:rsid w:val="00A60B3C"/>
    <w:rsid w:val="00A63C9E"/>
    <w:rsid w:val="00A64F49"/>
    <w:rsid w:val="00A65095"/>
    <w:rsid w:val="00A66208"/>
    <w:rsid w:val="00A66218"/>
    <w:rsid w:val="00A67F2B"/>
    <w:rsid w:val="00A71FD7"/>
    <w:rsid w:val="00A72BE6"/>
    <w:rsid w:val="00A74BFE"/>
    <w:rsid w:val="00A75044"/>
    <w:rsid w:val="00A774AA"/>
    <w:rsid w:val="00A8215F"/>
    <w:rsid w:val="00A83309"/>
    <w:rsid w:val="00A91858"/>
    <w:rsid w:val="00A93719"/>
    <w:rsid w:val="00A96054"/>
    <w:rsid w:val="00A97D70"/>
    <w:rsid w:val="00AA0033"/>
    <w:rsid w:val="00AB00FA"/>
    <w:rsid w:val="00AB0613"/>
    <w:rsid w:val="00AB0AF7"/>
    <w:rsid w:val="00AB7463"/>
    <w:rsid w:val="00AB7843"/>
    <w:rsid w:val="00AC0C17"/>
    <w:rsid w:val="00AC46BA"/>
    <w:rsid w:val="00AC72FD"/>
    <w:rsid w:val="00AD04E1"/>
    <w:rsid w:val="00AD59C1"/>
    <w:rsid w:val="00AE7AAE"/>
    <w:rsid w:val="00AE7F76"/>
    <w:rsid w:val="00AF3CBE"/>
    <w:rsid w:val="00AF5E5F"/>
    <w:rsid w:val="00B02794"/>
    <w:rsid w:val="00B05C5D"/>
    <w:rsid w:val="00B11C0F"/>
    <w:rsid w:val="00B12FF2"/>
    <w:rsid w:val="00B20CCC"/>
    <w:rsid w:val="00B228BA"/>
    <w:rsid w:val="00B27805"/>
    <w:rsid w:val="00B31771"/>
    <w:rsid w:val="00B335CF"/>
    <w:rsid w:val="00B33E6D"/>
    <w:rsid w:val="00B34214"/>
    <w:rsid w:val="00B36DCE"/>
    <w:rsid w:val="00B37D6E"/>
    <w:rsid w:val="00B407AC"/>
    <w:rsid w:val="00B43268"/>
    <w:rsid w:val="00B45B96"/>
    <w:rsid w:val="00B47886"/>
    <w:rsid w:val="00B47F17"/>
    <w:rsid w:val="00B54C91"/>
    <w:rsid w:val="00B557E0"/>
    <w:rsid w:val="00B55840"/>
    <w:rsid w:val="00B559B7"/>
    <w:rsid w:val="00B567F2"/>
    <w:rsid w:val="00B60F91"/>
    <w:rsid w:val="00B6370A"/>
    <w:rsid w:val="00B670ED"/>
    <w:rsid w:val="00B72983"/>
    <w:rsid w:val="00B762D6"/>
    <w:rsid w:val="00B776A1"/>
    <w:rsid w:val="00B83868"/>
    <w:rsid w:val="00B84694"/>
    <w:rsid w:val="00B905FF"/>
    <w:rsid w:val="00B90DF7"/>
    <w:rsid w:val="00B935C9"/>
    <w:rsid w:val="00B941F5"/>
    <w:rsid w:val="00B964DF"/>
    <w:rsid w:val="00BA07AF"/>
    <w:rsid w:val="00BA1F57"/>
    <w:rsid w:val="00BA41F2"/>
    <w:rsid w:val="00BB0F98"/>
    <w:rsid w:val="00BB2EC5"/>
    <w:rsid w:val="00BB4578"/>
    <w:rsid w:val="00BB52A0"/>
    <w:rsid w:val="00BC0177"/>
    <w:rsid w:val="00BC6276"/>
    <w:rsid w:val="00BC6982"/>
    <w:rsid w:val="00BC6E32"/>
    <w:rsid w:val="00BD54A2"/>
    <w:rsid w:val="00BE0793"/>
    <w:rsid w:val="00BE30AB"/>
    <w:rsid w:val="00BE31D1"/>
    <w:rsid w:val="00C003A3"/>
    <w:rsid w:val="00C03088"/>
    <w:rsid w:val="00C128B5"/>
    <w:rsid w:val="00C23E31"/>
    <w:rsid w:val="00C2718A"/>
    <w:rsid w:val="00C3081F"/>
    <w:rsid w:val="00C33EB3"/>
    <w:rsid w:val="00C344C7"/>
    <w:rsid w:val="00C42939"/>
    <w:rsid w:val="00C4461F"/>
    <w:rsid w:val="00C4507D"/>
    <w:rsid w:val="00C5273B"/>
    <w:rsid w:val="00C60050"/>
    <w:rsid w:val="00C60679"/>
    <w:rsid w:val="00C60FA4"/>
    <w:rsid w:val="00C61BCC"/>
    <w:rsid w:val="00C61FC8"/>
    <w:rsid w:val="00C63ADF"/>
    <w:rsid w:val="00C70E6E"/>
    <w:rsid w:val="00C724B6"/>
    <w:rsid w:val="00C74F76"/>
    <w:rsid w:val="00C803C5"/>
    <w:rsid w:val="00C93FA7"/>
    <w:rsid w:val="00C96C9B"/>
    <w:rsid w:val="00CA1C3D"/>
    <w:rsid w:val="00CA37DC"/>
    <w:rsid w:val="00CA4B13"/>
    <w:rsid w:val="00CB4EF8"/>
    <w:rsid w:val="00CC4484"/>
    <w:rsid w:val="00CC6952"/>
    <w:rsid w:val="00CC6B62"/>
    <w:rsid w:val="00CD02F3"/>
    <w:rsid w:val="00CD53C7"/>
    <w:rsid w:val="00CD7170"/>
    <w:rsid w:val="00CE0E59"/>
    <w:rsid w:val="00CE1501"/>
    <w:rsid w:val="00CE18AF"/>
    <w:rsid w:val="00CE27ED"/>
    <w:rsid w:val="00CE340D"/>
    <w:rsid w:val="00CF16F1"/>
    <w:rsid w:val="00CF2B40"/>
    <w:rsid w:val="00CF2EC7"/>
    <w:rsid w:val="00D01351"/>
    <w:rsid w:val="00D01C29"/>
    <w:rsid w:val="00D03BC3"/>
    <w:rsid w:val="00D04D69"/>
    <w:rsid w:val="00D05D26"/>
    <w:rsid w:val="00D07535"/>
    <w:rsid w:val="00D14093"/>
    <w:rsid w:val="00D16C7C"/>
    <w:rsid w:val="00D22A83"/>
    <w:rsid w:val="00D23C03"/>
    <w:rsid w:val="00D23E73"/>
    <w:rsid w:val="00D25776"/>
    <w:rsid w:val="00D27454"/>
    <w:rsid w:val="00D33CFD"/>
    <w:rsid w:val="00D3603A"/>
    <w:rsid w:val="00D36CA7"/>
    <w:rsid w:val="00D4142B"/>
    <w:rsid w:val="00D42C33"/>
    <w:rsid w:val="00D436D5"/>
    <w:rsid w:val="00D45320"/>
    <w:rsid w:val="00D4778F"/>
    <w:rsid w:val="00D51831"/>
    <w:rsid w:val="00D52241"/>
    <w:rsid w:val="00D54076"/>
    <w:rsid w:val="00D57549"/>
    <w:rsid w:val="00D67CA9"/>
    <w:rsid w:val="00D70144"/>
    <w:rsid w:val="00D7274F"/>
    <w:rsid w:val="00D731CE"/>
    <w:rsid w:val="00D74BED"/>
    <w:rsid w:val="00D770ED"/>
    <w:rsid w:val="00D8063D"/>
    <w:rsid w:val="00D832BA"/>
    <w:rsid w:val="00D84D8C"/>
    <w:rsid w:val="00D877EA"/>
    <w:rsid w:val="00D90D19"/>
    <w:rsid w:val="00D93BDF"/>
    <w:rsid w:val="00D95BAE"/>
    <w:rsid w:val="00DA20A6"/>
    <w:rsid w:val="00DA2E31"/>
    <w:rsid w:val="00DA44B6"/>
    <w:rsid w:val="00DA596F"/>
    <w:rsid w:val="00DA5AEA"/>
    <w:rsid w:val="00DB01EA"/>
    <w:rsid w:val="00DB0257"/>
    <w:rsid w:val="00DB1BB5"/>
    <w:rsid w:val="00DB225C"/>
    <w:rsid w:val="00DB5F7A"/>
    <w:rsid w:val="00DB6CEF"/>
    <w:rsid w:val="00DB74A7"/>
    <w:rsid w:val="00DC4F4D"/>
    <w:rsid w:val="00DD1112"/>
    <w:rsid w:val="00DD1259"/>
    <w:rsid w:val="00DE25E8"/>
    <w:rsid w:val="00DF007B"/>
    <w:rsid w:val="00DF139B"/>
    <w:rsid w:val="00E0248A"/>
    <w:rsid w:val="00E02865"/>
    <w:rsid w:val="00E028CF"/>
    <w:rsid w:val="00E02E08"/>
    <w:rsid w:val="00E0524A"/>
    <w:rsid w:val="00E054CA"/>
    <w:rsid w:val="00E06E47"/>
    <w:rsid w:val="00E0708E"/>
    <w:rsid w:val="00E144FB"/>
    <w:rsid w:val="00E207C1"/>
    <w:rsid w:val="00E22F12"/>
    <w:rsid w:val="00E32AFB"/>
    <w:rsid w:val="00E32E77"/>
    <w:rsid w:val="00E33C7C"/>
    <w:rsid w:val="00E364D0"/>
    <w:rsid w:val="00E36C9C"/>
    <w:rsid w:val="00E428A4"/>
    <w:rsid w:val="00E455D4"/>
    <w:rsid w:val="00E45C62"/>
    <w:rsid w:val="00E45CF0"/>
    <w:rsid w:val="00E50A50"/>
    <w:rsid w:val="00E50BC0"/>
    <w:rsid w:val="00E6004E"/>
    <w:rsid w:val="00E70880"/>
    <w:rsid w:val="00E73122"/>
    <w:rsid w:val="00E74657"/>
    <w:rsid w:val="00E80693"/>
    <w:rsid w:val="00E80F93"/>
    <w:rsid w:val="00E83F0A"/>
    <w:rsid w:val="00E876C9"/>
    <w:rsid w:val="00E9247F"/>
    <w:rsid w:val="00EA1066"/>
    <w:rsid w:val="00EA253B"/>
    <w:rsid w:val="00EA29E7"/>
    <w:rsid w:val="00EA5B5E"/>
    <w:rsid w:val="00EA5F3B"/>
    <w:rsid w:val="00EC028B"/>
    <w:rsid w:val="00EC2968"/>
    <w:rsid w:val="00EC6BDF"/>
    <w:rsid w:val="00ED09C9"/>
    <w:rsid w:val="00ED1406"/>
    <w:rsid w:val="00ED2B68"/>
    <w:rsid w:val="00ED7744"/>
    <w:rsid w:val="00EE08C7"/>
    <w:rsid w:val="00EE37A9"/>
    <w:rsid w:val="00EE394A"/>
    <w:rsid w:val="00EE62FB"/>
    <w:rsid w:val="00EF26C7"/>
    <w:rsid w:val="00EF3755"/>
    <w:rsid w:val="00EF3AED"/>
    <w:rsid w:val="00EF68C0"/>
    <w:rsid w:val="00F0560D"/>
    <w:rsid w:val="00F05AC8"/>
    <w:rsid w:val="00F0646E"/>
    <w:rsid w:val="00F0652D"/>
    <w:rsid w:val="00F079C8"/>
    <w:rsid w:val="00F10F9B"/>
    <w:rsid w:val="00F14220"/>
    <w:rsid w:val="00F151BB"/>
    <w:rsid w:val="00F152CE"/>
    <w:rsid w:val="00F16E5F"/>
    <w:rsid w:val="00F2121E"/>
    <w:rsid w:val="00F26E40"/>
    <w:rsid w:val="00F312DA"/>
    <w:rsid w:val="00F316D1"/>
    <w:rsid w:val="00F3520B"/>
    <w:rsid w:val="00F356DD"/>
    <w:rsid w:val="00F35C9F"/>
    <w:rsid w:val="00F36F79"/>
    <w:rsid w:val="00F41DB3"/>
    <w:rsid w:val="00F430C0"/>
    <w:rsid w:val="00F44688"/>
    <w:rsid w:val="00F4581B"/>
    <w:rsid w:val="00F45B2A"/>
    <w:rsid w:val="00F525A4"/>
    <w:rsid w:val="00F55CD0"/>
    <w:rsid w:val="00F60FFD"/>
    <w:rsid w:val="00F65D5E"/>
    <w:rsid w:val="00F6768D"/>
    <w:rsid w:val="00F726D3"/>
    <w:rsid w:val="00F74CF9"/>
    <w:rsid w:val="00F81D13"/>
    <w:rsid w:val="00F83FAA"/>
    <w:rsid w:val="00F85E2A"/>
    <w:rsid w:val="00F874B9"/>
    <w:rsid w:val="00F87E4E"/>
    <w:rsid w:val="00FA1018"/>
    <w:rsid w:val="00FA2460"/>
    <w:rsid w:val="00FA45EE"/>
    <w:rsid w:val="00FA4AEE"/>
    <w:rsid w:val="00FA7D0C"/>
    <w:rsid w:val="00FB16AF"/>
    <w:rsid w:val="00FB4A28"/>
    <w:rsid w:val="00FC006A"/>
    <w:rsid w:val="00FC2076"/>
    <w:rsid w:val="00FC3276"/>
    <w:rsid w:val="00FC58B2"/>
    <w:rsid w:val="00FC6ED2"/>
    <w:rsid w:val="00FD3545"/>
    <w:rsid w:val="00FD36CA"/>
    <w:rsid w:val="00FD5FE7"/>
    <w:rsid w:val="00FE2D07"/>
    <w:rsid w:val="00FE418A"/>
    <w:rsid w:val="00FF0C91"/>
    <w:rsid w:val="00FF1BF3"/>
    <w:rsid w:val="00FF2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D70"/>
    <w:pPr>
      <w:keepNext/>
      <w:keepLines/>
      <w:spacing w:before="240" w:after="0"/>
      <w:outlineLvl w:val="0"/>
    </w:pPr>
    <w:rPr>
      <w:rFonts w:ascii="Work Sans" w:eastAsiaTheme="majorEastAsia" w:hAnsi="Work Sans" w:cstheme="majorBidi"/>
      <w:b/>
      <w:color w:val="000000" w:themeColor="text1"/>
      <w:sz w:val="24"/>
      <w:szCs w:val="32"/>
    </w:rPr>
  </w:style>
  <w:style w:type="paragraph" w:styleId="Ttulo2">
    <w:name w:val="heading 2"/>
    <w:basedOn w:val="Normal"/>
    <w:next w:val="Normal"/>
    <w:link w:val="Ttulo2Car"/>
    <w:uiPriority w:val="9"/>
    <w:unhideWhenUsed/>
    <w:qFormat/>
    <w:rsid w:val="00A97D70"/>
    <w:pPr>
      <w:keepNext/>
      <w:keepLines/>
      <w:spacing w:before="40" w:after="0"/>
      <w:outlineLvl w:val="1"/>
    </w:pPr>
    <w:rPr>
      <w:rFonts w:ascii="Work Sans" w:eastAsiaTheme="majorEastAsia" w:hAnsi="Work Sans" w:cstheme="majorBidi"/>
      <w:b/>
      <w:color w:val="000000" w:themeColor="text1"/>
      <w:sz w:val="24"/>
      <w:szCs w:val="26"/>
    </w:rPr>
  </w:style>
  <w:style w:type="paragraph" w:styleId="Ttulo3">
    <w:name w:val="heading 3"/>
    <w:basedOn w:val="Normal"/>
    <w:next w:val="Normal"/>
    <w:link w:val="Ttulo3Car"/>
    <w:uiPriority w:val="9"/>
    <w:unhideWhenUsed/>
    <w:qFormat/>
    <w:rsid w:val="004C72FA"/>
    <w:pPr>
      <w:keepNext/>
      <w:keepLines/>
      <w:spacing w:before="40" w:after="0"/>
      <w:outlineLvl w:val="2"/>
    </w:pPr>
    <w:rPr>
      <w:rFonts w:ascii="Work Sans" w:eastAsiaTheme="majorEastAsia" w:hAnsi="Work Sans"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uiPriority w:val="34"/>
    <w:qFormat/>
    <w:rsid w:val="00624FB0"/>
    <w:pPr>
      <w:ind w:left="720"/>
      <w:contextualSpacing/>
    </w:pPr>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97D70"/>
    <w:rPr>
      <w:rFonts w:ascii="Work Sans" w:eastAsiaTheme="majorEastAsia" w:hAnsi="Work Sans" w:cstheme="majorBidi"/>
      <w:b/>
      <w:color w:val="000000" w:themeColor="text1"/>
      <w:sz w:val="24"/>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character" w:customStyle="1" w:styleId="PrrafodelistaCar">
    <w:name w:val="Párrafo de lista Car"/>
    <w:link w:val="Prrafodelista"/>
    <w:uiPriority w:val="34"/>
    <w:locked/>
    <w:rsid w:val="00411E35"/>
  </w:style>
  <w:style w:type="character" w:customStyle="1" w:styleId="Ttulo2Car">
    <w:name w:val="Título 2 Car"/>
    <w:basedOn w:val="Fuentedeprrafopredeter"/>
    <w:link w:val="Ttulo2"/>
    <w:uiPriority w:val="9"/>
    <w:rsid w:val="00A97D70"/>
    <w:rPr>
      <w:rFonts w:ascii="Work Sans" w:eastAsiaTheme="majorEastAsia" w:hAnsi="Work Sans" w:cstheme="majorBidi"/>
      <w:b/>
      <w:color w:val="000000" w:themeColor="text1"/>
      <w:sz w:val="24"/>
      <w:szCs w:val="26"/>
    </w:rPr>
  </w:style>
  <w:style w:type="character" w:customStyle="1" w:styleId="Ttulo3Car">
    <w:name w:val="Título 3 Car"/>
    <w:basedOn w:val="Fuentedeprrafopredeter"/>
    <w:link w:val="Ttulo3"/>
    <w:uiPriority w:val="9"/>
    <w:rsid w:val="004C72FA"/>
    <w:rPr>
      <w:rFonts w:ascii="Work Sans" w:eastAsiaTheme="majorEastAsia" w:hAnsi="Work Sans" w:cstheme="majorBidi"/>
      <w:b/>
      <w:color w:val="000000" w:themeColor="text1"/>
      <w:sz w:val="24"/>
      <w:szCs w:val="24"/>
    </w:rPr>
  </w:style>
  <w:style w:type="paragraph" w:styleId="TDC3">
    <w:name w:val="toc 3"/>
    <w:basedOn w:val="Normal"/>
    <w:next w:val="Normal"/>
    <w:autoRedefine/>
    <w:uiPriority w:val="39"/>
    <w:unhideWhenUsed/>
    <w:rsid w:val="00B60F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49423337">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2958-8629-4708-82F3-10456C9B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2934</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Jhon Deiby Arevalo Zabala</cp:lastModifiedBy>
  <cp:revision>31</cp:revision>
  <cp:lastPrinted>2019-01-24T21:12:00Z</cp:lastPrinted>
  <dcterms:created xsi:type="dcterms:W3CDTF">2019-01-31T14:12:00Z</dcterms:created>
  <dcterms:modified xsi:type="dcterms:W3CDTF">2019-01-31T14:43:00Z</dcterms:modified>
</cp:coreProperties>
</file>