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B15" w:rsidRPr="00DC59A8" w:rsidRDefault="00A4386E" w:rsidP="00426576">
      <w:pPr>
        <w:jc w:val="center"/>
        <w:rPr>
          <w:rFonts w:ascii="Futura Bk BT" w:hAnsi="Futura Bk BT" w:hint="eastAsia"/>
          <w:sz w:val="22"/>
          <w:szCs w:val="22"/>
        </w:rPr>
      </w:pPr>
      <w:r>
        <w:rPr>
          <w:rFonts w:ascii="Futura Bk BT" w:hAnsi="Futura Bk BT"/>
          <w:noProof/>
          <w:sz w:val="22"/>
          <w:szCs w:val="22"/>
          <w:lang w:val="es-MX" w:eastAsia="es-MX"/>
        </w:rPr>
        <w:drawing>
          <wp:anchor distT="0" distB="0" distL="114300" distR="114300" simplePos="0" relativeHeight="251658752" behindDoc="0" locked="0" layoutInCell="1" allowOverlap="1" wp14:anchorId="16F6E8E5" wp14:editId="19516698">
            <wp:simplePos x="0" y="0"/>
            <wp:positionH relativeFrom="column">
              <wp:posOffset>3967480</wp:posOffset>
            </wp:positionH>
            <wp:positionV relativeFrom="paragraph">
              <wp:posOffset>-358140</wp:posOffset>
            </wp:positionV>
            <wp:extent cx="1257300" cy="426085"/>
            <wp:effectExtent l="1905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1257300" cy="426085"/>
                    </a:xfrm>
                    <a:prstGeom prst="rect">
                      <a:avLst/>
                    </a:prstGeom>
                    <a:noFill/>
                    <a:ln w="9525">
                      <a:noFill/>
                      <a:miter lim="800000"/>
                      <a:headEnd/>
                      <a:tailEnd/>
                    </a:ln>
                  </pic:spPr>
                </pic:pic>
              </a:graphicData>
            </a:graphic>
          </wp:anchor>
        </w:drawing>
      </w:r>
      <w:r>
        <w:rPr>
          <w:rFonts w:ascii="Futura Bk BT" w:hAnsi="Futura Bk BT"/>
          <w:noProof/>
          <w:sz w:val="22"/>
          <w:szCs w:val="22"/>
          <w:lang w:val="es-MX" w:eastAsia="es-MX"/>
        </w:rPr>
        <w:drawing>
          <wp:anchor distT="0" distB="0" distL="114300" distR="114300" simplePos="0" relativeHeight="251657728" behindDoc="0" locked="0" layoutInCell="1" allowOverlap="1" wp14:anchorId="62D9A10B" wp14:editId="52041C4E">
            <wp:simplePos x="0" y="0"/>
            <wp:positionH relativeFrom="column">
              <wp:posOffset>1381125</wp:posOffset>
            </wp:positionH>
            <wp:positionV relativeFrom="paragraph">
              <wp:posOffset>-424815</wp:posOffset>
            </wp:positionV>
            <wp:extent cx="2051685" cy="561975"/>
            <wp:effectExtent l="19050" t="0" r="571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051685" cy="561975"/>
                    </a:xfrm>
                    <a:prstGeom prst="rect">
                      <a:avLst/>
                    </a:prstGeom>
                    <a:noFill/>
                    <a:ln w="9525">
                      <a:noFill/>
                      <a:miter lim="800000"/>
                      <a:headEnd/>
                      <a:tailEnd/>
                    </a:ln>
                  </pic:spPr>
                </pic:pic>
              </a:graphicData>
            </a:graphic>
          </wp:anchor>
        </w:drawing>
      </w:r>
      <w:r>
        <w:rPr>
          <w:rFonts w:ascii="Futura Bk BT" w:hAnsi="Futura Bk BT"/>
          <w:noProof/>
          <w:sz w:val="22"/>
          <w:szCs w:val="22"/>
          <w:lang w:val="es-MX" w:eastAsia="es-MX"/>
        </w:rPr>
        <w:drawing>
          <wp:anchor distT="0" distB="0" distL="114300" distR="114300" simplePos="0" relativeHeight="251656704" behindDoc="0" locked="0" layoutInCell="1" allowOverlap="1" wp14:anchorId="02BEB91A" wp14:editId="69CFC8F9">
            <wp:simplePos x="0" y="0"/>
            <wp:positionH relativeFrom="column">
              <wp:posOffset>-90170</wp:posOffset>
            </wp:positionH>
            <wp:positionV relativeFrom="paragraph">
              <wp:posOffset>-748665</wp:posOffset>
            </wp:positionV>
            <wp:extent cx="990600" cy="885825"/>
            <wp:effectExtent l="19050" t="0" r="0" b="0"/>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lum bright="20000" contrast="-20000"/>
                      <a:grayscl/>
                    </a:blip>
                    <a:srcRect/>
                    <a:stretch>
                      <a:fillRect/>
                    </a:stretch>
                  </pic:blipFill>
                  <pic:spPr bwMode="auto">
                    <a:xfrm>
                      <a:off x="0" y="0"/>
                      <a:ext cx="990600" cy="885825"/>
                    </a:xfrm>
                    <a:prstGeom prst="rect">
                      <a:avLst/>
                    </a:prstGeom>
                    <a:noFill/>
                    <a:ln w="9525">
                      <a:noFill/>
                      <a:miter lim="800000"/>
                      <a:headEnd/>
                      <a:tailEnd/>
                    </a:ln>
                  </pic:spPr>
                </pic:pic>
              </a:graphicData>
            </a:graphic>
          </wp:anchor>
        </w:drawing>
      </w:r>
    </w:p>
    <w:p w:rsidR="007C547A" w:rsidRDefault="007C547A" w:rsidP="007C547A">
      <w:pPr>
        <w:pStyle w:val="Standard"/>
        <w:jc w:val="both"/>
      </w:pPr>
    </w:p>
    <w:p w:rsidR="007C547A" w:rsidRDefault="007C547A" w:rsidP="007C547A">
      <w:pPr>
        <w:pStyle w:val="Standard"/>
        <w:jc w:val="both"/>
        <w:rPr>
          <w:rFonts w:ascii="Futura Bk BT" w:hAnsi="Futura Bk BT" w:cs="Futura Bk BT" w:hint="eastAsia"/>
          <w:sz w:val="22"/>
          <w:szCs w:val="22"/>
        </w:rPr>
      </w:pPr>
    </w:p>
    <w:p w:rsidR="007C547A" w:rsidRDefault="007C547A" w:rsidP="007C547A">
      <w:pPr>
        <w:pStyle w:val="Ttulo2"/>
        <w:tabs>
          <w:tab w:val="left" w:pos="4253"/>
        </w:tabs>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Pr>
          <w:rFonts w:ascii="Futura Bk BT" w:hAnsi="Futura Bk BT" w:cs="Futura Bk BT"/>
          <w:sz w:val="22"/>
          <w:szCs w:val="22"/>
        </w:rPr>
        <w:t>2015</w:t>
      </w:r>
    </w:p>
    <w:p w:rsidR="007C547A" w:rsidRDefault="007C547A" w:rsidP="007C547A">
      <w:pPr>
        <w:pStyle w:val="toa"/>
        <w:tabs>
          <w:tab w:val="clear" w:pos="9000"/>
          <w:tab w:val="clear" w:pos="9360"/>
        </w:tabs>
        <w:suppressAutoHyphens w:val="0"/>
        <w:jc w:val="center"/>
        <w:rPr>
          <w:rFonts w:ascii="Futura Bk BT" w:hAnsi="Futura Bk BT" w:cs="Futura Bk BT" w:hint="eastAsia"/>
          <w:sz w:val="22"/>
          <w:szCs w:val="22"/>
          <w:lang w:val="es-ES"/>
        </w:rPr>
      </w:pPr>
    </w:p>
    <w:p w:rsidR="007C547A" w:rsidRDefault="007C547A" w:rsidP="007C547A">
      <w:pPr>
        <w:pStyle w:val="toa"/>
        <w:tabs>
          <w:tab w:val="clear" w:pos="9000"/>
          <w:tab w:val="clear" w:pos="9360"/>
        </w:tabs>
        <w:suppressAutoHyphens w:val="0"/>
        <w:jc w:val="center"/>
        <w:rPr>
          <w:rFonts w:ascii="Futura Bk BT" w:hAnsi="Futura Bk BT" w:cs="Futura Bk BT" w:hint="eastAsia"/>
          <w:b/>
          <w:sz w:val="22"/>
          <w:szCs w:val="22"/>
          <w:lang w:val="es-ES"/>
        </w:rPr>
      </w:pPr>
    </w:p>
    <w:p w:rsidR="007C547A" w:rsidRDefault="007C547A" w:rsidP="007C547A">
      <w:pPr>
        <w:pStyle w:val="toa"/>
        <w:tabs>
          <w:tab w:val="clear" w:pos="9000"/>
          <w:tab w:val="clear" w:pos="9360"/>
        </w:tabs>
        <w:suppressAutoHyphens w:val="0"/>
        <w:jc w:val="center"/>
        <w:rPr>
          <w:rFonts w:ascii="Futura Bk BT" w:hAnsi="Futura Bk BT" w:cs="Futura Bk BT" w:hint="eastAsia"/>
          <w:b/>
          <w:sz w:val="22"/>
          <w:szCs w:val="22"/>
          <w:lang w:val="es-ES"/>
        </w:rPr>
      </w:pPr>
    </w:p>
    <w:p w:rsidR="007C547A" w:rsidRDefault="007C547A" w:rsidP="007C547A">
      <w:pPr>
        <w:pStyle w:val="toa"/>
        <w:tabs>
          <w:tab w:val="clear" w:pos="9000"/>
          <w:tab w:val="clear" w:pos="9360"/>
        </w:tabs>
        <w:suppressAutoHyphens w:val="0"/>
        <w:jc w:val="center"/>
        <w:rPr>
          <w:rFonts w:ascii="Futura Bk BT" w:hAnsi="Futura Bk BT" w:cs="Futura Bk BT" w:hint="eastAsia"/>
          <w:b/>
          <w:sz w:val="22"/>
          <w:szCs w:val="22"/>
          <w:lang w:val="es-ES"/>
        </w:rPr>
      </w:pPr>
      <w:r>
        <w:rPr>
          <w:rFonts w:ascii="Futura Bk BT" w:hAnsi="Futura Bk BT" w:cs="Futura Bk BT"/>
          <w:b/>
          <w:sz w:val="22"/>
          <w:szCs w:val="22"/>
          <w:lang w:val="es-ES"/>
        </w:rPr>
        <w:t>(                                             )</w:t>
      </w:r>
    </w:p>
    <w:p w:rsidR="007C547A" w:rsidRDefault="007C547A" w:rsidP="007C547A">
      <w:pPr>
        <w:pStyle w:val="Standard"/>
        <w:jc w:val="both"/>
        <w:rPr>
          <w:rFonts w:ascii="Futura Bk BT" w:hAnsi="Futura Bk BT" w:cs="Futura Bk BT" w:hint="eastAsia"/>
          <w:sz w:val="22"/>
          <w:szCs w:val="22"/>
        </w:rPr>
      </w:pPr>
    </w:p>
    <w:p w:rsidR="007C547A" w:rsidRDefault="007C547A" w:rsidP="007C547A">
      <w:pPr>
        <w:pStyle w:val="Standard"/>
        <w:autoSpaceDE w:val="0"/>
        <w:jc w:val="both"/>
        <w:rPr>
          <w:rFonts w:ascii="Futura Bk BT" w:hAnsi="Futura Bk BT" w:cs="Arial" w:hint="eastAsia"/>
          <w:sz w:val="22"/>
          <w:szCs w:val="22"/>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center"/>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"Por la cual se modifica el artículo 2, 3, 4 y 7 de la Resolución 1130 de 2015 por medio de la cual se emitió Concepto vinculante previo al establecimiento de una estación de peaje denominada El Cairo y sus puntos de control de acceso, y se establecen  tarifas especiales diferenciales para las estaciones denominadas Iracá, Ocoa, Casetabla y Yucao que forman parte del Proyecto vial de Iniciativa Privada Malla Vial del Meta “I.P. Malla Vial del Meta” y se dictan otras disposiciones”.</w:t>
      </w:r>
    </w:p>
    <w:p w:rsidR="007C547A" w:rsidRPr="00BF17FF" w:rsidRDefault="007C547A" w:rsidP="007C547A">
      <w:pPr>
        <w:pStyle w:val="Standard"/>
        <w:autoSpaceDE w:val="0"/>
        <w:jc w:val="center"/>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center"/>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LA MINISTRA DE TRANSPORTE</w:t>
      </w:r>
    </w:p>
    <w:p w:rsidR="007C547A" w:rsidRPr="00BF17FF" w:rsidRDefault="007C547A" w:rsidP="007C547A">
      <w:pPr>
        <w:pStyle w:val="Standard"/>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En ejercicio de las facultades legales y en especial las conferidas por el artículo 21 de la Ley número 105 de 1993 modificado parcialmente por el Artículo 1 de la Ley 787 de 2002 y los numerales 6.14 y 6.15 del artículo 6° del Decreto número 087 de 2011,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center"/>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CONSIDERANDO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 (modificado parcialmente por el artículo 1° de la Ley 787 de 2002) establece:</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Para estos efectos, la Nación establecerá peajes, tarifas y tasas sobre el uso de la infraestructura nacional de transporte y los recursos provenientes de su cobro se usarán exclusivamente para ese modo de transporte”.</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Decreto número 087 de 2011, por el cual se modifica la estructura del Ministerio de Transporte, y se determinan las funciones de sus dependencias, Estableció en los numerales 6.14 y 6.15 del artículo 6°:</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“6.14. Emitir, en su calidad de suprema autoridad del Sector Transporte y del Sistema Nacional de Transporte, concepto vinculante previo al establecimiento de los peajes que deban cobrarse por el uso de las vías a cargo de la Nación, los departamentos, distritos y municipios.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BF17FF"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6.</w:t>
      </w:r>
      <w:r w:rsidR="007C547A" w:rsidRPr="00BF17FF">
        <w:rPr>
          <w:rFonts w:ascii="Futura Bk BT" w:eastAsia="DejaVu Sans" w:hAnsi="Futura Bk BT" w:cs="Times New Roman"/>
          <w:sz w:val="22"/>
          <w:szCs w:val="22"/>
          <w:lang w:bidi="hi-IN"/>
        </w:rPr>
        <w:t>15. Establecer los peajes, tarifas, tasas y derechos a cobrar por el uso de la infraestructura de los modos de transporte, excepto el aéreo”.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los numerales 1 y 5 del artículo 4° del Decreto número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igualmente el numeral 15 del artículo 11 ibídem, dispone que la Agencia Nacional de Infraestructura (ANI), debe solicitar al Ministerio de Transporte, concepto vinculante previo para la instalación de las casetas de peaje y otros puntos de cobro de acuerdo con las normas vigentes y las políticas del Ministerio para los proyectos a cargo de la misma.</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 igualmente se contempla el derecho al recaudo de recursos de explotación económica del proyecto.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344A49" w:rsidRPr="00BF17FF" w:rsidRDefault="00344A49" w:rsidP="00344A49">
      <w:pPr>
        <w:autoSpaceDE w:val="0"/>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Que la Agencia Nacional de Infraestructura – ANI, a través del proceso No. VJ-VE-APP-IPV-001-2015 anunció la intención de adjudicar un Contrato de Asociación Público Privada de Iniciativa Privada al Originador GRUPO ODINSA S.A, bajo las condiciones acordadas entre este y la Entidad, cuyo objeto es: "Estudios, diseños, financiación, construcción, operación, mantenimiento, gestión social, predial y ambiental respecto de los siguientes ítems a saber: i). Corredor Granada – Villavicencio – Puerto López – Puerto Gaitán – Puente Arimena ii). Anillo Vial de Villavicencio y Accesos a la Ciudad”</w:t>
      </w:r>
    </w:p>
    <w:p w:rsidR="004361FE" w:rsidRPr="00BF17FF" w:rsidRDefault="004361FE"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proyecto de Iniciativa Privada para la Malla Vial del Meta “I.P. Malla Vial del Meta”,</w:t>
      </w:r>
      <w:r w:rsidR="00AB3E81" w:rsidRPr="00BF17FF">
        <w:rPr>
          <w:rFonts w:ascii="Futura Bk BT" w:eastAsia="DejaVu Sans" w:hAnsi="Futura Bk BT" w:cs="Times New Roman"/>
          <w:sz w:val="22"/>
          <w:szCs w:val="22"/>
          <w:lang w:bidi="hi-IN"/>
        </w:rPr>
        <w:t xml:space="preserve"> presentado por el Grupo Odinsa S.A  posteriormente Estructura Plural AUTOPISTAS DEL META, como Originador, ante la Agencia Nacional de Infraestructura (ANI) cuenta con 12 Unidades Funcionales</w:t>
      </w:r>
      <w:r w:rsidRPr="00BF17FF">
        <w:rPr>
          <w:rFonts w:ascii="Futura Bk BT" w:eastAsia="DejaVu Sans" w:hAnsi="Futura Bk BT" w:cs="Times New Roman"/>
          <w:sz w:val="22"/>
          <w:szCs w:val="22"/>
          <w:lang w:bidi="hi-IN"/>
        </w:rPr>
        <w:t>, comprendidas entre los tramos Granada-Villavicencio, Villavicencio - Puerto López - Puerto Gaitán - Puente Arimena, y el Anillo Vial de Villavicencio y sus accesos, y tiene como fin mejorar las condiciones de operatividad del tráfico pesado durante su tránsito por la ciudad de Villavicencio y a lo largo de las vías mencionadas.</w:t>
      </w:r>
    </w:p>
    <w:p w:rsidR="00AB3E81"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3D20E6" w:rsidRPr="00BF17FF" w:rsidRDefault="003D20E6" w:rsidP="003D20E6">
      <w:pPr>
        <w:tabs>
          <w:tab w:val="left" w:pos="0"/>
        </w:tabs>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xml:space="preserve">Que las tarifas son el resultado de un estudio de tráfico específico realizado para el proyecto, para determinar los ingresos dentro del modelo financiero de estructuración de la concesión sin recursos del Estado, constituyéndose en el parámetro principal para la obtención de la viabilidad financiera del mismo. </w:t>
      </w:r>
    </w:p>
    <w:p w:rsidR="007A060F" w:rsidRPr="00BF17FF" w:rsidRDefault="007A060F" w:rsidP="00735B39">
      <w:pPr>
        <w:pStyle w:val="Standard"/>
        <w:autoSpaceDE w:val="0"/>
        <w:jc w:val="both"/>
        <w:rPr>
          <w:rFonts w:ascii="Futura Bk BT" w:eastAsia="DejaVu Sans" w:hAnsi="Futura Bk BT" w:cs="Times New Roman"/>
          <w:sz w:val="22"/>
          <w:szCs w:val="22"/>
          <w:lang w:bidi="hi-IN"/>
        </w:rPr>
      </w:pPr>
    </w:p>
    <w:p w:rsidR="00A56974" w:rsidRDefault="00A56974" w:rsidP="00E1063D">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Que el Contrato de Concesión 446 de 1994 tenía tarifas diferenciales para veintisiete (27) </w:t>
      </w:r>
      <w:r w:rsidRPr="00BF17FF">
        <w:rPr>
          <w:rFonts w:ascii="Futura Bk BT" w:eastAsia="DejaVu Sans" w:hAnsi="Futura Bk BT" w:cs="Times New Roman"/>
          <w:sz w:val="22"/>
          <w:szCs w:val="22"/>
          <w:lang w:bidi="hi-IN"/>
        </w:rPr>
        <w:t>vehículos categoría I de servicio público taxi</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para el paso por el Peaje </w:t>
      </w:r>
      <w:r>
        <w:rPr>
          <w:rFonts w:ascii="Futura Bk BT" w:eastAsia="DejaVu Sans" w:hAnsi="Futura Bk BT" w:cs="Times New Roman"/>
          <w:sz w:val="22"/>
          <w:szCs w:val="22"/>
          <w:lang w:bidi="hi-IN"/>
        </w:rPr>
        <w:t xml:space="preserve">de </w:t>
      </w:r>
      <w:r w:rsidRPr="00BF17FF">
        <w:rPr>
          <w:rFonts w:ascii="Futura Bk BT" w:eastAsia="DejaVu Sans" w:hAnsi="Futura Bk BT" w:cs="Times New Roman"/>
          <w:sz w:val="22"/>
          <w:szCs w:val="22"/>
          <w:lang w:bidi="hi-IN"/>
        </w:rPr>
        <w:t>Iraca</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dieciocho (18) vehículos de servicio público “buseta” de la categoría II y diecinueve (19) vehículos categoría I de servicio público colectivo, pero estas tarifas no quedaron incluidas en la Resolución No 1130 de abril de 2015, y se hace necesario incluirlas</w:t>
      </w:r>
      <w:r w:rsidR="00252745">
        <w:rPr>
          <w:rFonts w:ascii="Futura Bk BT" w:eastAsia="DejaVu Sans" w:hAnsi="Futura Bk BT" w:cs="Times New Roman"/>
          <w:sz w:val="22"/>
          <w:szCs w:val="22"/>
          <w:lang w:bidi="hi-IN"/>
        </w:rPr>
        <w:t xml:space="preserve"> en la resolución 1130 de 2015</w:t>
      </w:r>
      <w:r w:rsidRPr="00BF17FF">
        <w:rPr>
          <w:rFonts w:ascii="Futura Bk BT" w:eastAsia="DejaVu Sans" w:hAnsi="Futura Bk BT" w:cs="Times New Roman"/>
          <w:sz w:val="22"/>
          <w:szCs w:val="22"/>
          <w:lang w:bidi="hi-IN"/>
        </w:rPr>
        <w:t xml:space="preserve"> para dar continuidad </w:t>
      </w:r>
      <w:r w:rsidR="00252745">
        <w:rPr>
          <w:rFonts w:ascii="Futura Bk BT" w:eastAsia="DejaVu Sans" w:hAnsi="Futura Bk BT" w:cs="Times New Roman"/>
          <w:sz w:val="22"/>
          <w:szCs w:val="22"/>
          <w:lang w:bidi="hi-IN"/>
        </w:rPr>
        <w:t>a este beneficio a la comunidad.</w:t>
      </w:r>
    </w:p>
    <w:p w:rsidR="00A56974" w:rsidRDefault="00A56974" w:rsidP="00E1063D">
      <w:pPr>
        <w:pStyle w:val="Standard"/>
        <w:autoSpaceDE w:val="0"/>
        <w:jc w:val="both"/>
        <w:rPr>
          <w:rFonts w:ascii="Futura Bk BT" w:eastAsia="DejaVu Sans" w:hAnsi="Futura Bk BT" w:cs="Times New Roman"/>
          <w:sz w:val="22"/>
          <w:szCs w:val="22"/>
          <w:lang w:bidi="hi-IN"/>
        </w:rPr>
      </w:pPr>
    </w:p>
    <w:p w:rsidR="00E1063D" w:rsidRDefault="00E1063D" w:rsidP="00E1063D">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las empresas Rápido Centauros y Asociación de Transportadores del Meta presentaron derechos de petición ante el Ministerio de Transporte y la ANI, solicitando que se les otorgue el beneficio de Tarifa diferencial y que se mantenga el beneficio otorgado desde el proyecto anterior en esos peajes a los vehículos de Transporte Público pertenecientes a esas empresas</w:t>
      </w:r>
      <w:r>
        <w:rPr>
          <w:rFonts w:ascii="Futura Bk BT" w:eastAsia="DejaVu Sans" w:hAnsi="Futura Bk BT" w:cs="Times New Roman"/>
          <w:sz w:val="22"/>
          <w:szCs w:val="22"/>
          <w:lang w:bidi="hi-IN"/>
        </w:rPr>
        <w:t>.</w:t>
      </w:r>
    </w:p>
    <w:p w:rsidR="00E1063D" w:rsidRDefault="00E1063D" w:rsidP="00A70FDC">
      <w:pPr>
        <w:pStyle w:val="Standard"/>
        <w:autoSpaceDE w:val="0"/>
        <w:jc w:val="both"/>
        <w:rPr>
          <w:rFonts w:ascii="Futura Bk BT" w:eastAsia="DejaVu Sans" w:hAnsi="Futura Bk BT" w:cs="Times New Roman"/>
          <w:sz w:val="22"/>
          <w:szCs w:val="22"/>
          <w:lang w:bidi="hi-IN"/>
        </w:rPr>
      </w:pPr>
    </w:p>
    <w:p w:rsidR="00252745" w:rsidRDefault="007A060F"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antes de la suscripción del Contrato</w:t>
      </w:r>
      <w:r w:rsidR="007923F2">
        <w:rPr>
          <w:rFonts w:ascii="Futura Bk BT" w:eastAsia="DejaVu Sans" w:hAnsi="Futura Bk BT" w:cs="Times New Roman"/>
          <w:sz w:val="22"/>
          <w:szCs w:val="22"/>
          <w:lang w:bidi="hi-IN"/>
        </w:rPr>
        <w:t xml:space="preserve"> de Concesión</w:t>
      </w:r>
      <w:r w:rsidRPr="00BF17FF">
        <w:rPr>
          <w:rFonts w:ascii="Futura Bk BT" w:eastAsia="DejaVu Sans" w:hAnsi="Futura Bk BT" w:cs="Times New Roman"/>
          <w:sz w:val="22"/>
          <w:szCs w:val="22"/>
          <w:lang w:bidi="hi-IN"/>
        </w:rPr>
        <w:t xml:space="preserve"> No.</w:t>
      </w:r>
      <w:r w:rsidR="007923F2">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004 de 2015, en </w:t>
      </w:r>
      <w:r w:rsidR="00252745">
        <w:rPr>
          <w:rFonts w:ascii="Futura Bk BT" w:eastAsia="DejaVu Sans" w:hAnsi="Futura Bk BT" w:cs="Times New Roman"/>
          <w:sz w:val="22"/>
          <w:szCs w:val="22"/>
          <w:lang w:bidi="hi-IN"/>
        </w:rPr>
        <w:t>su estructuración, el Originador del proyecto consideró las tarifas diferenciales especiales para las estaciones de peaje de Iracá y Ocoa.</w:t>
      </w:r>
    </w:p>
    <w:p w:rsidR="00252745" w:rsidRDefault="00252745" w:rsidP="00A70FDC">
      <w:pPr>
        <w:pStyle w:val="Standard"/>
        <w:autoSpaceDE w:val="0"/>
        <w:jc w:val="both"/>
        <w:rPr>
          <w:rFonts w:ascii="Futura Bk BT" w:eastAsia="DejaVu Sans" w:hAnsi="Futura Bk BT" w:cs="Times New Roman"/>
          <w:sz w:val="22"/>
          <w:szCs w:val="22"/>
          <w:lang w:bidi="hi-IN"/>
        </w:rPr>
      </w:pPr>
    </w:p>
    <w:p w:rsidR="00252745" w:rsidRDefault="00252745" w:rsidP="00252745">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Que la cantidad de beneficios de tarifa especial diferencial considerada es la siguiente: para el paso por el peaje de Iracá cincuenta y nueve </w:t>
      </w:r>
      <w:r w:rsidRPr="00BF17FF">
        <w:rPr>
          <w:rFonts w:ascii="Futura Bk BT" w:eastAsia="DejaVu Sans" w:hAnsi="Futura Bk BT" w:cs="Times New Roman"/>
          <w:sz w:val="22"/>
          <w:szCs w:val="22"/>
          <w:lang w:bidi="hi-IN"/>
        </w:rPr>
        <w:t>(</w:t>
      </w:r>
      <w:r>
        <w:rPr>
          <w:rFonts w:ascii="Futura Bk BT" w:eastAsia="DejaVu Sans" w:hAnsi="Futura Bk BT" w:cs="Times New Roman"/>
          <w:sz w:val="22"/>
          <w:szCs w:val="22"/>
          <w:lang w:bidi="hi-IN"/>
        </w:rPr>
        <w:t>59</w:t>
      </w:r>
      <w:r w:rsidRPr="00BF17FF">
        <w:rPr>
          <w:rFonts w:ascii="Futura Bk BT" w:eastAsia="DejaVu Sans" w:hAnsi="Futura Bk BT" w:cs="Times New Roman"/>
          <w:sz w:val="22"/>
          <w:szCs w:val="22"/>
          <w:lang w:bidi="hi-IN"/>
        </w:rPr>
        <w:t>) vehículos categoría I de servicio público taxi</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para el paso por </w:t>
      </w:r>
      <w:r>
        <w:rPr>
          <w:rFonts w:ascii="Futura Bk BT" w:eastAsia="DejaVu Sans" w:hAnsi="Futura Bk BT" w:cs="Times New Roman"/>
          <w:sz w:val="22"/>
          <w:szCs w:val="22"/>
          <w:lang w:bidi="hi-IN"/>
        </w:rPr>
        <w:t xml:space="preserve">los </w:t>
      </w:r>
      <w:r w:rsidRPr="00BF17FF">
        <w:rPr>
          <w:rFonts w:ascii="Futura Bk BT" w:eastAsia="DejaVu Sans" w:hAnsi="Futura Bk BT" w:cs="Times New Roman"/>
          <w:sz w:val="22"/>
          <w:szCs w:val="22"/>
          <w:lang w:bidi="hi-IN"/>
        </w:rPr>
        <w:t>Peaje</w:t>
      </w:r>
      <w:r>
        <w:rPr>
          <w:rFonts w:ascii="Futura Bk BT" w:eastAsia="DejaVu Sans" w:hAnsi="Futura Bk BT" w:cs="Times New Roman"/>
          <w:sz w:val="22"/>
          <w:szCs w:val="22"/>
          <w:lang w:bidi="hi-IN"/>
        </w:rPr>
        <w:t>s</w:t>
      </w:r>
      <w:r w:rsidRPr="00BF17FF">
        <w:rPr>
          <w:rFonts w:ascii="Futura Bk BT" w:eastAsia="DejaVu Sans" w:hAnsi="Futura Bk BT" w:cs="Times New Roman"/>
          <w:sz w:val="22"/>
          <w:szCs w:val="22"/>
          <w:lang w:bidi="hi-IN"/>
        </w:rPr>
        <w:t xml:space="preserve"> </w:t>
      </w:r>
      <w:r>
        <w:rPr>
          <w:rFonts w:ascii="Futura Bk BT" w:eastAsia="DejaVu Sans" w:hAnsi="Futura Bk BT" w:cs="Times New Roman"/>
          <w:sz w:val="22"/>
          <w:szCs w:val="22"/>
          <w:lang w:bidi="hi-IN"/>
        </w:rPr>
        <w:t xml:space="preserve">de </w:t>
      </w:r>
      <w:r w:rsidRPr="00BF17FF">
        <w:rPr>
          <w:rFonts w:ascii="Futura Bk BT" w:eastAsia="DejaVu Sans" w:hAnsi="Futura Bk BT" w:cs="Times New Roman"/>
          <w:sz w:val="22"/>
          <w:szCs w:val="22"/>
          <w:lang w:bidi="hi-IN"/>
        </w:rPr>
        <w:t>Iraca</w:t>
      </w:r>
      <w:r>
        <w:rPr>
          <w:rFonts w:ascii="Futura Bk BT" w:eastAsia="DejaVu Sans" w:hAnsi="Futura Bk BT" w:cs="Times New Roman"/>
          <w:sz w:val="22"/>
          <w:szCs w:val="22"/>
          <w:lang w:bidi="hi-IN"/>
        </w:rPr>
        <w:t xml:space="preserve"> y Ocoa</w:t>
      </w:r>
      <w:r w:rsidRPr="00BF17FF">
        <w:rPr>
          <w:rFonts w:ascii="Futura Bk BT" w:eastAsia="DejaVu Sans" w:hAnsi="Futura Bk BT" w:cs="Times New Roman"/>
          <w:sz w:val="22"/>
          <w:szCs w:val="22"/>
          <w:lang w:bidi="hi-IN"/>
        </w:rPr>
        <w:t xml:space="preserve"> dieciocho (18) vehículos de servicio público “buseta” de la categoría II y diecinueve (19) vehículos categoría I de servicio público colectivo, </w:t>
      </w:r>
      <w:r w:rsidR="006A7327">
        <w:rPr>
          <w:rFonts w:ascii="Futura Bk BT" w:eastAsia="DejaVu Sans" w:hAnsi="Futura Bk BT" w:cs="Times New Roman"/>
          <w:sz w:val="22"/>
          <w:szCs w:val="22"/>
          <w:lang w:bidi="hi-IN"/>
        </w:rPr>
        <w:t>y pa</w:t>
      </w:r>
      <w:r>
        <w:rPr>
          <w:rFonts w:ascii="Futura Bk BT" w:eastAsia="DejaVu Sans" w:hAnsi="Futura Bk BT" w:cs="Times New Roman"/>
          <w:sz w:val="22"/>
          <w:szCs w:val="22"/>
          <w:lang w:bidi="hi-IN"/>
        </w:rPr>
        <w:t>ra el paso por el peaje de Ocoa ocho (8) vehículos de transporte público colectivo</w:t>
      </w:r>
      <w:r w:rsidR="006A7327">
        <w:rPr>
          <w:rFonts w:ascii="Futura Bk BT" w:eastAsia="DejaVu Sans" w:hAnsi="Futura Bk BT" w:cs="Times New Roman"/>
          <w:sz w:val="22"/>
          <w:szCs w:val="22"/>
          <w:lang w:bidi="hi-IN"/>
        </w:rPr>
        <w:t xml:space="preserve"> de la</w:t>
      </w:r>
      <w:r>
        <w:rPr>
          <w:rFonts w:ascii="Futura Bk BT" w:eastAsia="DejaVu Sans" w:hAnsi="Futura Bk BT" w:cs="Times New Roman"/>
          <w:sz w:val="22"/>
          <w:szCs w:val="22"/>
          <w:lang w:bidi="hi-IN"/>
        </w:rPr>
        <w:t xml:space="preserve"> categor</w:t>
      </w:r>
      <w:r w:rsidR="006A7327">
        <w:rPr>
          <w:rFonts w:ascii="Futura Bk BT" w:eastAsia="DejaVu Sans" w:hAnsi="Futura Bk BT" w:cs="Times New Roman"/>
          <w:sz w:val="22"/>
          <w:szCs w:val="22"/>
          <w:lang w:bidi="hi-IN"/>
        </w:rPr>
        <w:t>ía I.</w:t>
      </w:r>
    </w:p>
    <w:p w:rsidR="006A7327" w:rsidRDefault="006A7327" w:rsidP="00252745">
      <w:pPr>
        <w:pStyle w:val="Standard"/>
        <w:autoSpaceDE w:val="0"/>
        <w:jc w:val="both"/>
        <w:rPr>
          <w:rFonts w:ascii="Futura Bk BT" w:eastAsia="DejaVu Sans" w:hAnsi="Futura Bk BT" w:cs="Times New Roman"/>
          <w:sz w:val="22"/>
          <w:szCs w:val="22"/>
          <w:lang w:bidi="hi-IN"/>
        </w:rPr>
      </w:pPr>
    </w:p>
    <w:p w:rsidR="006A7327" w:rsidRDefault="006A7327" w:rsidP="00252745">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Que los vehículos que tendrán beneficio de tarifa especial diferencial se presentan a continuación:</w:t>
      </w:r>
    </w:p>
    <w:p w:rsidR="006A7327" w:rsidRPr="00BF17FF" w:rsidRDefault="006A7327" w:rsidP="00252745">
      <w:pPr>
        <w:pStyle w:val="Standard"/>
        <w:autoSpaceDE w:val="0"/>
        <w:jc w:val="both"/>
        <w:rPr>
          <w:rFonts w:ascii="Futura Bk BT" w:eastAsia="DejaVu Sans" w:hAnsi="Futura Bk BT" w:cs="Times New Roman"/>
          <w:sz w:val="22"/>
          <w:szCs w:val="22"/>
          <w:lang w:bidi="hi-IN"/>
        </w:rPr>
      </w:pPr>
    </w:p>
    <w:p w:rsidR="006A7327" w:rsidRPr="00BF17FF" w:rsidRDefault="006A7327" w:rsidP="006A7327">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En el peaje de IracáT</w:t>
      </w:r>
      <w:r w:rsidRPr="00BF17FF">
        <w:rPr>
          <w:rFonts w:ascii="Futura Bk BT" w:eastAsia="DejaVu Sans" w:hAnsi="Futura Bk BT" w:cs="Times New Roman"/>
          <w:sz w:val="22"/>
          <w:szCs w:val="22"/>
          <w:lang w:bidi="hi-IN"/>
        </w:rPr>
        <w:t xml:space="preserve">arifa especial diferencial para </w:t>
      </w:r>
      <w:r>
        <w:rPr>
          <w:rFonts w:ascii="Futura Bk BT" w:eastAsia="DejaVu Sans" w:hAnsi="Futura Bk BT" w:cs="Times New Roman"/>
          <w:sz w:val="22"/>
          <w:szCs w:val="22"/>
          <w:lang w:bidi="hi-IN"/>
        </w:rPr>
        <w:t xml:space="preserve">cincuenta y nueve (59) </w:t>
      </w:r>
      <w:r w:rsidRPr="00BF17FF">
        <w:rPr>
          <w:rFonts w:ascii="Futura Bk BT" w:eastAsia="DejaVu Sans" w:hAnsi="Futura Bk BT" w:cs="Times New Roman"/>
          <w:sz w:val="22"/>
          <w:szCs w:val="22"/>
          <w:lang w:bidi="hi-IN"/>
        </w:rPr>
        <w:t xml:space="preserve">vehículos categoría I de servicio público colectivo.  </w:t>
      </w:r>
    </w:p>
    <w:p w:rsidR="006A7327" w:rsidRPr="00BF17FF" w:rsidRDefault="006A7327" w:rsidP="00A70FDC">
      <w:pPr>
        <w:pStyle w:val="Standard"/>
        <w:autoSpaceDE w:val="0"/>
        <w:jc w:val="both"/>
        <w:rPr>
          <w:rFonts w:ascii="Futura Bk BT" w:eastAsia="DejaVu Sans" w:hAnsi="Futura Bk BT" w:cs="Times New Roman"/>
          <w:sz w:val="22"/>
          <w:szCs w:val="22"/>
          <w:lang w:bidi="hi-IN"/>
        </w:rPr>
      </w:pPr>
    </w:p>
    <w:p w:rsidR="007E5DAB" w:rsidRPr="00BF17FF" w:rsidRDefault="007E5DAB" w:rsidP="00A70FDC">
      <w:pPr>
        <w:pStyle w:val="Standard"/>
        <w:autoSpaceDE w:val="0"/>
        <w:jc w:val="both"/>
        <w:rPr>
          <w:rFonts w:ascii="Futura Bk BT" w:eastAsia="DejaVu Sans" w:hAnsi="Futura Bk BT" w:cs="Times New Roman"/>
          <w:sz w:val="22"/>
          <w:szCs w:val="22"/>
          <w:lang w:bidi="hi-IN"/>
        </w:rPr>
      </w:pPr>
    </w:p>
    <w:p w:rsidR="00A70FDC" w:rsidRPr="00BF17FF" w:rsidRDefault="00A70FDC" w:rsidP="00A70FDC">
      <w:pPr>
        <w:pStyle w:val="Standard"/>
        <w:autoSpaceDE w:val="0"/>
        <w:jc w:val="both"/>
        <w:rPr>
          <w:rFonts w:ascii="Futura Bk BT" w:eastAsia="DejaVu Sans" w:hAnsi="Futura Bk BT" w:cs="Times New Roman"/>
          <w:sz w:val="22"/>
          <w:szCs w:val="22"/>
          <w:lang w:bidi="hi-IN"/>
        </w:rPr>
      </w:pPr>
    </w:p>
    <w:tbl>
      <w:tblPr>
        <w:tblW w:w="5180" w:type="dxa"/>
        <w:jc w:val="center"/>
        <w:tblCellMar>
          <w:left w:w="70" w:type="dxa"/>
          <w:right w:w="70" w:type="dxa"/>
        </w:tblCellMar>
        <w:tblLook w:val="04A0" w:firstRow="1" w:lastRow="0" w:firstColumn="1" w:lastColumn="0" w:noHBand="0" w:noVBand="1"/>
      </w:tblPr>
      <w:tblGrid>
        <w:gridCol w:w="1240"/>
        <w:gridCol w:w="1240"/>
        <w:gridCol w:w="1240"/>
        <w:gridCol w:w="1460"/>
      </w:tblGrid>
      <w:tr w:rsidR="00A70FDC" w:rsidRPr="00BF17FF" w:rsidTr="004F7270">
        <w:trPr>
          <w:trHeight w:val="300"/>
          <w:jc w:val="center"/>
        </w:trPr>
        <w:tc>
          <w:tcPr>
            <w:tcW w:w="1240" w:type="dxa"/>
            <w:vMerge w:val="restart"/>
            <w:tcBorders>
              <w:top w:val="single" w:sz="8" w:space="0" w:color="000000"/>
              <w:left w:val="single" w:sz="8" w:space="0" w:color="000000"/>
              <w:bottom w:val="nil"/>
              <w:right w:val="single" w:sz="8" w:space="0" w:color="000000"/>
            </w:tcBorders>
            <w:shd w:val="clear" w:color="000000" w:fill="FFFFFF"/>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240" w:type="dxa"/>
            <w:vMerge w:val="restart"/>
            <w:tcBorders>
              <w:top w:val="single" w:sz="8" w:space="0" w:color="000000"/>
              <w:left w:val="single" w:sz="8" w:space="0" w:color="000000"/>
              <w:bottom w:val="nil"/>
              <w:right w:val="single" w:sz="8" w:space="0" w:color="000000"/>
            </w:tcBorders>
            <w:shd w:val="clear" w:color="000000" w:fill="FFFFFF"/>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240" w:type="dxa"/>
            <w:vMerge w:val="restart"/>
            <w:tcBorders>
              <w:top w:val="single" w:sz="8" w:space="0" w:color="000000"/>
              <w:left w:val="single" w:sz="8" w:space="0" w:color="000000"/>
              <w:bottom w:val="nil"/>
              <w:right w:val="single" w:sz="8" w:space="0" w:color="000000"/>
            </w:tcBorders>
            <w:shd w:val="clear" w:color="000000" w:fill="FFFFFF"/>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46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Tarifa Especial Diferencial *</w:t>
            </w:r>
          </w:p>
        </w:tc>
      </w:tr>
      <w:tr w:rsidR="00A70FDC" w:rsidRPr="00BF17FF" w:rsidTr="004F7270">
        <w:trPr>
          <w:trHeight w:val="300"/>
          <w:jc w:val="center"/>
        </w:trPr>
        <w:tc>
          <w:tcPr>
            <w:tcW w:w="1240" w:type="dxa"/>
            <w:vMerge/>
            <w:tcBorders>
              <w:top w:val="single" w:sz="8" w:space="0" w:color="000000"/>
              <w:left w:val="single" w:sz="8" w:space="0" w:color="000000"/>
              <w:bottom w:val="nil"/>
              <w:right w:val="single" w:sz="8" w:space="0" w:color="000000"/>
            </w:tcBorders>
            <w:vAlign w:val="center"/>
            <w:hideMark/>
          </w:tcPr>
          <w:p w:rsidR="00A70FDC" w:rsidRPr="00BF17FF" w:rsidRDefault="00A70FDC" w:rsidP="004F7270">
            <w:pPr>
              <w:rPr>
                <w:rFonts w:ascii="Futura Bk BT" w:eastAsia="DejaVu Sans" w:hAnsi="Futura Bk BT"/>
                <w:kern w:val="3"/>
                <w:sz w:val="22"/>
                <w:szCs w:val="22"/>
                <w:lang w:val="es-ES" w:eastAsia="zh-CN" w:bidi="hi-IN"/>
              </w:rPr>
            </w:pPr>
          </w:p>
        </w:tc>
        <w:tc>
          <w:tcPr>
            <w:tcW w:w="1240" w:type="dxa"/>
            <w:vMerge/>
            <w:tcBorders>
              <w:top w:val="single" w:sz="8" w:space="0" w:color="000000"/>
              <w:left w:val="single" w:sz="8" w:space="0" w:color="000000"/>
              <w:bottom w:val="nil"/>
              <w:right w:val="single" w:sz="8" w:space="0" w:color="000000"/>
            </w:tcBorders>
            <w:vAlign w:val="center"/>
            <w:hideMark/>
          </w:tcPr>
          <w:p w:rsidR="00A70FDC" w:rsidRPr="00BF17FF" w:rsidRDefault="00A70FDC" w:rsidP="004F7270">
            <w:pPr>
              <w:rPr>
                <w:rFonts w:ascii="Futura Bk BT" w:eastAsia="DejaVu Sans" w:hAnsi="Futura Bk BT"/>
                <w:kern w:val="3"/>
                <w:sz w:val="22"/>
                <w:szCs w:val="22"/>
                <w:lang w:val="es-ES" w:eastAsia="zh-CN" w:bidi="hi-IN"/>
              </w:rPr>
            </w:pPr>
          </w:p>
        </w:tc>
        <w:tc>
          <w:tcPr>
            <w:tcW w:w="1240" w:type="dxa"/>
            <w:vMerge/>
            <w:tcBorders>
              <w:top w:val="single" w:sz="8" w:space="0" w:color="000000"/>
              <w:left w:val="single" w:sz="8" w:space="0" w:color="000000"/>
              <w:bottom w:val="nil"/>
              <w:right w:val="single" w:sz="8" w:space="0" w:color="000000"/>
            </w:tcBorders>
            <w:vAlign w:val="center"/>
            <w:hideMark/>
          </w:tcPr>
          <w:p w:rsidR="00A70FDC" w:rsidRPr="00BF17FF" w:rsidRDefault="00A70FDC" w:rsidP="004F7270">
            <w:pPr>
              <w:rPr>
                <w:rFonts w:ascii="Futura Bk BT" w:eastAsia="DejaVu Sans" w:hAnsi="Futura Bk BT"/>
                <w:kern w:val="3"/>
                <w:sz w:val="22"/>
                <w:szCs w:val="22"/>
                <w:lang w:val="es-ES" w:eastAsia="zh-CN" w:bidi="hi-IN"/>
              </w:rPr>
            </w:pPr>
          </w:p>
        </w:tc>
        <w:tc>
          <w:tcPr>
            <w:tcW w:w="1460" w:type="dxa"/>
            <w:vMerge/>
            <w:tcBorders>
              <w:top w:val="single" w:sz="8" w:space="0" w:color="000000"/>
              <w:left w:val="single" w:sz="8" w:space="0" w:color="000000"/>
              <w:bottom w:val="single" w:sz="8" w:space="0" w:color="000000"/>
              <w:right w:val="single" w:sz="8" w:space="0" w:color="000000"/>
            </w:tcBorders>
            <w:vAlign w:val="center"/>
            <w:hideMark/>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300"/>
          <w:jc w:val="center"/>
        </w:trPr>
        <w:tc>
          <w:tcPr>
            <w:tcW w:w="1240" w:type="dxa"/>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UTX-731</w:t>
            </w:r>
          </w:p>
        </w:tc>
        <w:tc>
          <w:tcPr>
            <w:tcW w:w="1240" w:type="dxa"/>
            <w:tcBorders>
              <w:top w:val="single" w:sz="8" w:space="0" w:color="auto"/>
              <w:left w:val="nil"/>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UPP-477</w:t>
            </w:r>
          </w:p>
        </w:tc>
        <w:tc>
          <w:tcPr>
            <w:tcW w:w="1240" w:type="dxa"/>
            <w:tcBorders>
              <w:top w:val="single" w:sz="8" w:space="0" w:color="auto"/>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TFV-934</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WLP-425</w:t>
            </w:r>
          </w:p>
        </w:tc>
        <w:tc>
          <w:tcPr>
            <w:tcW w:w="1240" w:type="dxa"/>
            <w:tcBorders>
              <w:top w:val="nil"/>
              <w:left w:val="nil"/>
              <w:bottom w:val="nil"/>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SLE-825</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UTY-700</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THK-540</w:t>
            </w:r>
          </w:p>
        </w:tc>
        <w:tc>
          <w:tcPr>
            <w:tcW w:w="1240" w:type="dxa"/>
            <w:tcBorders>
              <w:top w:val="single" w:sz="8" w:space="0" w:color="000000"/>
              <w:left w:val="nil"/>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TFK-231</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WDQ-800</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THK-877</w:t>
            </w:r>
          </w:p>
        </w:tc>
        <w:tc>
          <w:tcPr>
            <w:tcW w:w="1240" w:type="dxa"/>
            <w:tcBorders>
              <w:top w:val="nil"/>
              <w:left w:val="nil"/>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SXD-047</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UPQ-862</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UTY-684</w:t>
            </w:r>
          </w:p>
        </w:tc>
        <w:tc>
          <w:tcPr>
            <w:tcW w:w="1240" w:type="dxa"/>
            <w:tcBorders>
              <w:top w:val="nil"/>
              <w:left w:val="nil"/>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SJQ-637</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SYU-553</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SJQ-674</w:t>
            </w:r>
          </w:p>
        </w:tc>
        <w:tc>
          <w:tcPr>
            <w:tcW w:w="1240" w:type="dxa"/>
            <w:tcBorders>
              <w:top w:val="nil"/>
              <w:left w:val="nil"/>
              <w:bottom w:val="nil"/>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TFV-812</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SKK-589</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TFV-861</w:t>
            </w:r>
          </w:p>
        </w:tc>
        <w:tc>
          <w:tcPr>
            <w:tcW w:w="1240" w:type="dxa"/>
            <w:tcBorders>
              <w:top w:val="single" w:sz="8" w:space="0" w:color="auto"/>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SKO-371</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TFK-997</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SJQ-824</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TFW-131</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THK-360</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SJQ-827</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TFV-576</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TFV-833</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WDQ-238</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UTY-768</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SJQ-665</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WLM-634</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XFA-635</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UTY-809</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UTY-581</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SJQ-823</w:t>
            </w:r>
          </w:p>
        </w:tc>
        <w:tc>
          <w:tcPr>
            <w:tcW w:w="1240" w:type="dxa"/>
            <w:tcBorders>
              <w:top w:val="nil"/>
              <w:left w:val="nil"/>
              <w:bottom w:val="nil"/>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SVC-053</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UTX-865</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THK-364</w:t>
            </w:r>
          </w:p>
        </w:tc>
        <w:tc>
          <w:tcPr>
            <w:tcW w:w="1240" w:type="dxa"/>
            <w:tcBorders>
              <w:top w:val="single" w:sz="8" w:space="0" w:color="auto"/>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SYR-094</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TFV-494</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TFK-276</w:t>
            </w:r>
          </w:p>
        </w:tc>
        <w:tc>
          <w:tcPr>
            <w:tcW w:w="1240" w:type="dxa"/>
            <w:tcBorders>
              <w:top w:val="nil"/>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SXB-304</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TFV-876</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TFV-974</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TFK-343</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TFV-796</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THK-149</w:t>
            </w:r>
          </w:p>
        </w:tc>
        <w:tc>
          <w:tcPr>
            <w:tcW w:w="1240" w:type="dxa"/>
            <w:tcBorders>
              <w:top w:val="nil"/>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SVA-909</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THK-754</w:t>
            </w:r>
          </w:p>
        </w:tc>
        <w:tc>
          <w:tcPr>
            <w:tcW w:w="1240" w:type="dxa"/>
            <w:tcBorders>
              <w:top w:val="nil"/>
              <w:left w:val="nil"/>
              <w:bottom w:val="single" w:sz="8" w:space="0" w:color="000000"/>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SJQ-568</w:t>
            </w:r>
          </w:p>
        </w:tc>
        <w:tc>
          <w:tcPr>
            <w:tcW w:w="1240" w:type="dxa"/>
            <w:tcBorders>
              <w:top w:val="nil"/>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UTY-117</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nil"/>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SKK-888</w:t>
            </w:r>
          </w:p>
        </w:tc>
        <w:tc>
          <w:tcPr>
            <w:tcW w:w="1240" w:type="dxa"/>
            <w:tcBorders>
              <w:top w:val="nil"/>
              <w:left w:val="nil"/>
              <w:bottom w:val="nil"/>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THK-314</w:t>
            </w:r>
          </w:p>
        </w:tc>
        <w:tc>
          <w:tcPr>
            <w:tcW w:w="1240" w:type="dxa"/>
            <w:tcBorders>
              <w:top w:val="nil"/>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THK-753</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SJQ-657</w:t>
            </w:r>
          </w:p>
        </w:tc>
        <w:tc>
          <w:tcPr>
            <w:tcW w:w="1240" w:type="dxa"/>
            <w:tcBorders>
              <w:top w:val="single" w:sz="8" w:space="0" w:color="auto"/>
              <w:left w:val="nil"/>
              <w:bottom w:val="nil"/>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SJQ-659</w:t>
            </w:r>
          </w:p>
        </w:tc>
        <w:tc>
          <w:tcPr>
            <w:tcW w:w="1240" w:type="dxa"/>
            <w:tcBorders>
              <w:top w:val="nil"/>
              <w:left w:val="nil"/>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UTY-809</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r w:rsidR="00A70FDC" w:rsidRPr="00BF17FF" w:rsidTr="004F7270">
        <w:trPr>
          <w:trHeight w:val="300"/>
          <w:jc w:val="center"/>
        </w:trPr>
        <w:tc>
          <w:tcPr>
            <w:tcW w:w="1240" w:type="dxa"/>
            <w:tcBorders>
              <w:top w:val="nil"/>
              <w:left w:val="single" w:sz="8" w:space="0" w:color="auto"/>
              <w:bottom w:val="single" w:sz="8" w:space="0" w:color="auto"/>
              <w:right w:val="nil"/>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SJQ-644</w:t>
            </w:r>
          </w:p>
        </w:tc>
        <w:tc>
          <w:tcPr>
            <w:tcW w:w="12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WDQ-887</w:t>
            </w:r>
          </w:p>
        </w:tc>
        <w:tc>
          <w:tcPr>
            <w:tcW w:w="1240" w:type="dxa"/>
            <w:tcBorders>
              <w:top w:val="nil"/>
              <w:left w:val="nil"/>
              <w:bottom w:val="single" w:sz="8" w:space="0" w:color="auto"/>
              <w:right w:val="single" w:sz="8" w:space="0" w:color="auto"/>
            </w:tcBorders>
            <w:shd w:val="clear" w:color="auto" w:fill="auto"/>
            <w:noWrap/>
            <w:vAlign w:val="bottom"/>
            <w:hideMark/>
          </w:tcPr>
          <w:p w:rsidR="00A70FDC" w:rsidRPr="00BF17FF" w:rsidRDefault="00A70FDC" w:rsidP="004F7270">
            <w:pP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w:t>
            </w:r>
          </w:p>
        </w:tc>
        <w:tc>
          <w:tcPr>
            <w:tcW w:w="1460" w:type="dxa"/>
            <w:tcBorders>
              <w:top w:val="nil"/>
              <w:left w:val="nil"/>
              <w:bottom w:val="single" w:sz="8" w:space="0" w:color="000000"/>
              <w:right w:val="single" w:sz="8" w:space="0" w:color="000000"/>
            </w:tcBorders>
            <w:shd w:val="clear" w:color="000000" w:fill="FFFFFF"/>
            <w:noWrap/>
            <w:vAlign w:val="center"/>
            <w:hideMark/>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3.200</w:t>
            </w:r>
          </w:p>
        </w:tc>
      </w:tr>
    </w:tbl>
    <w:p w:rsidR="00A70FDC" w:rsidRPr="00BF17FF" w:rsidRDefault="00A70FDC" w:rsidP="00A70FDC">
      <w:pPr>
        <w:pStyle w:val="Standard"/>
        <w:autoSpaceDE w:val="0"/>
        <w:jc w:val="both"/>
        <w:rPr>
          <w:rFonts w:ascii="Futura Bk BT" w:eastAsia="DejaVu Sans" w:hAnsi="Futura Bk BT" w:cs="Times New Roman"/>
          <w:sz w:val="22"/>
          <w:szCs w:val="22"/>
          <w:lang w:bidi="hi-IN"/>
        </w:rPr>
      </w:pPr>
    </w:p>
    <w:p w:rsidR="00A70FDC" w:rsidRPr="00BF17FF" w:rsidRDefault="001C431A" w:rsidP="00A70FDC">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En los peajes Iraca y Ocoa</w:t>
      </w:r>
    </w:p>
    <w:p w:rsidR="00A70FDC" w:rsidRPr="00BF17FF" w:rsidRDefault="00A70FDC" w:rsidP="00A70FDC">
      <w:pPr>
        <w:pStyle w:val="Standard"/>
        <w:autoSpaceDE w:val="0"/>
        <w:jc w:val="both"/>
        <w:rPr>
          <w:rFonts w:ascii="Futura Bk BT" w:eastAsia="DejaVu Sans" w:hAnsi="Futura Bk BT" w:cs="Times New Roman"/>
          <w:sz w:val="22"/>
          <w:szCs w:val="22"/>
          <w:lang w:bidi="hi-IN"/>
        </w:rPr>
      </w:pPr>
    </w:p>
    <w:p w:rsidR="00A70FDC" w:rsidRPr="00BF17FF" w:rsidRDefault="00A70FDC"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Tarifa especial diferencial para diecinueve (19) vehículos categoría I de servicio público colectivo</w:t>
      </w:r>
      <w:r w:rsidR="006A7327">
        <w:rPr>
          <w:rFonts w:ascii="Futura Bk BT" w:eastAsia="DejaVu Sans" w:hAnsi="Futura Bk BT" w:cs="Times New Roman"/>
          <w:sz w:val="22"/>
          <w:szCs w:val="22"/>
          <w:lang w:bidi="hi-IN"/>
        </w:rPr>
        <w:t xml:space="preserve">  y para </w:t>
      </w:r>
      <w:r w:rsidR="006A7327" w:rsidRPr="00BF17FF">
        <w:rPr>
          <w:rFonts w:ascii="Futura Bk BT" w:eastAsia="DejaVu Sans" w:hAnsi="Futura Bk BT" w:cs="Times New Roman"/>
          <w:sz w:val="22"/>
          <w:szCs w:val="22"/>
          <w:lang w:bidi="hi-IN"/>
        </w:rPr>
        <w:t>dieciocho (18) vehículos de servicio público “buseta” de la categoría II</w:t>
      </w:r>
    </w:p>
    <w:p w:rsidR="00A70FDC" w:rsidRPr="00BF17FF" w:rsidRDefault="00A70FDC" w:rsidP="00A70FDC">
      <w:pPr>
        <w:pStyle w:val="Standard"/>
        <w:autoSpaceDE w:val="0"/>
        <w:jc w:val="both"/>
        <w:rPr>
          <w:rFonts w:ascii="Futura Bk BT" w:eastAsia="DejaVu Sans" w:hAnsi="Futura Bk BT" w:cs="Times New Roman"/>
          <w:sz w:val="22"/>
          <w:szCs w:val="22"/>
          <w:lang w:bidi="hi-IN"/>
        </w:rPr>
      </w:pPr>
    </w:p>
    <w:p w:rsidR="00A70FDC" w:rsidRPr="00BF17FF" w:rsidRDefault="00A70FDC"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Los vehículos identificados con este beneficio se presentan a continuación, así como la tarifa especial diferencial sin FOSEVI y a pesos de</w:t>
      </w:r>
      <w:r w:rsidR="008A2980">
        <w:rPr>
          <w:rFonts w:ascii="Futura Bk BT" w:eastAsia="DejaVu Sans" w:hAnsi="Futura Bk BT" w:cs="Times New Roman"/>
          <w:sz w:val="22"/>
          <w:szCs w:val="22"/>
          <w:lang w:bidi="hi-IN"/>
        </w:rPr>
        <w:t>l primero de</w:t>
      </w:r>
      <w:r w:rsidRPr="00BF17FF">
        <w:rPr>
          <w:rFonts w:ascii="Futura Bk BT" w:eastAsia="DejaVu Sans" w:hAnsi="Futura Bk BT" w:cs="Times New Roman"/>
          <w:sz w:val="22"/>
          <w:szCs w:val="22"/>
          <w:lang w:bidi="hi-IN"/>
        </w:rPr>
        <w:t xml:space="preserve"> enero de 2015 y podrán transitar por las estaciones de Ocoa e Iracá con este beneficio:</w:t>
      </w:r>
    </w:p>
    <w:p w:rsidR="00A70FDC" w:rsidRPr="00BF17FF" w:rsidRDefault="00A70FDC" w:rsidP="00A70FDC">
      <w:pPr>
        <w:pStyle w:val="Standard"/>
        <w:autoSpaceDE w:val="0"/>
        <w:jc w:val="both"/>
        <w:rPr>
          <w:rFonts w:ascii="Futura Bk BT" w:eastAsia="DejaVu Sans" w:hAnsi="Futura Bk BT" w:cs="Times New Roman"/>
          <w:sz w:val="22"/>
          <w:szCs w:val="22"/>
          <w:lang w:bidi="hi-IN"/>
        </w:rPr>
      </w:pPr>
    </w:p>
    <w:tbl>
      <w:tblPr>
        <w:tblW w:w="8193" w:type="dxa"/>
        <w:jc w:val="center"/>
        <w:tblCellMar>
          <w:left w:w="10" w:type="dxa"/>
          <w:right w:w="10" w:type="dxa"/>
        </w:tblCellMar>
        <w:tblLook w:val="0000" w:firstRow="0" w:lastRow="0" w:firstColumn="0" w:lastColumn="0" w:noHBand="0" w:noVBand="0"/>
      </w:tblPr>
      <w:tblGrid>
        <w:gridCol w:w="1418"/>
        <w:gridCol w:w="1418"/>
        <w:gridCol w:w="1417"/>
        <w:gridCol w:w="1276"/>
        <w:gridCol w:w="2648"/>
        <w:gridCol w:w="16"/>
      </w:tblGrid>
      <w:tr w:rsidR="00A70FDC" w:rsidRPr="00BF17FF" w:rsidTr="004F7270">
        <w:trPr>
          <w:trHeight w:val="276"/>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w:t>
            </w:r>
          </w:p>
        </w:tc>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Ítem</w:t>
            </w:r>
          </w:p>
        </w:tc>
        <w:tc>
          <w:tcPr>
            <w:tcW w:w="1417"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Placa</w:t>
            </w:r>
          </w:p>
        </w:tc>
        <w:tc>
          <w:tcPr>
            <w:tcW w:w="1276" w:type="dxa"/>
            <w:vMerge w:val="restart"/>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Capacidad pasajeros</w:t>
            </w:r>
          </w:p>
        </w:tc>
        <w:tc>
          <w:tcPr>
            <w:tcW w:w="2648"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Tarifa Especial Diferencial *</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417"/>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rPr>
                <w:rFonts w:ascii="Futura Bk BT" w:eastAsia="DejaVu Sans" w:hAnsi="Futura Bk BT"/>
                <w:kern w:val="3"/>
                <w:sz w:val="22"/>
                <w:szCs w:val="22"/>
                <w:lang w:val="es-ES" w:eastAsia="zh-CN" w:bidi="hi-IN"/>
              </w:rPr>
            </w:pPr>
          </w:p>
        </w:tc>
        <w:tc>
          <w:tcPr>
            <w:tcW w:w="1418"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c>
          <w:tcPr>
            <w:tcW w:w="1417"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c>
          <w:tcPr>
            <w:tcW w:w="1276" w:type="dxa"/>
            <w:vMerge/>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rPr>
                <w:rFonts w:ascii="Futura Bk BT" w:eastAsia="DejaVu Sans" w:hAnsi="Futura Bk BT"/>
                <w:kern w:val="3"/>
                <w:sz w:val="22"/>
                <w:szCs w:val="22"/>
                <w:lang w:val="es-ES" w:eastAsia="zh-CN" w:bidi="hi-IN"/>
              </w:rPr>
            </w:pPr>
          </w:p>
        </w:tc>
        <w:tc>
          <w:tcPr>
            <w:tcW w:w="2648"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TFV-870</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2</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TFV-687</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8</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TFK-286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8</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4</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SVB-203</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THK-426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6</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UTY-699</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7</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SJQ-632</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8</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cente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SJQ-620</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9</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UTT-550</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12</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10</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SJQ-625</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11</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UTY-569</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12</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UFU-828</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13</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SMB-166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SVB-102</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15</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UTY-038</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16</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UTT-316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10</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17</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SVB-255</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18</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TFV-943</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r w:rsidR="00A70FDC" w:rsidRPr="00BF17FF" w:rsidTr="004F7270">
        <w:trPr>
          <w:trHeight w:val="270"/>
          <w:jc w:val="center"/>
        </w:trPr>
        <w:tc>
          <w:tcPr>
            <w:tcW w:w="1418"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IEE</w:t>
            </w:r>
          </w:p>
        </w:tc>
        <w:tc>
          <w:tcPr>
            <w:tcW w:w="1418"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19</w:t>
            </w:r>
          </w:p>
        </w:tc>
        <w:tc>
          <w:tcPr>
            <w:tcW w:w="141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UTY-506</w:t>
            </w:r>
          </w:p>
        </w:tc>
        <w:tc>
          <w:tcPr>
            <w:tcW w:w="1276" w:type="dxa"/>
            <w:tcBorders>
              <w:bottom w:val="single" w:sz="8" w:space="0" w:color="000000"/>
              <w:right w:val="single" w:sz="8" w:space="0" w:color="000000"/>
            </w:tcBorders>
            <w:shd w:val="clear" w:color="auto" w:fill="FFFFFF"/>
            <w:tcMar>
              <w:top w:w="0" w:type="dxa"/>
              <w:left w:w="0" w:type="dxa"/>
              <w:bottom w:w="0" w:type="dxa"/>
              <w:right w:w="0" w:type="dxa"/>
            </w:tcMar>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w:t>
            </w:r>
          </w:p>
        </w:tc>
        <w:tc>
          <w:tcPr>
            <w:tcW w:w="264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A70FDC" w:rsidRPr="00BF17FF" w:rsidRDefault="00A70FDC" w:rsidP="004F7270">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5.900</w:t>
            </w:r>
          </w:p>
        </w:tc>
        <w:tc>
          <w:tcPr>
            <w:tcW w:w="16" w:type="dxa"/>
            <w:shd w:val="clear" w:color="auto" w:fill="auto"/>
            <w:tcMar>
              <w:top w:w="0" w:type="dxa"/>
              <w:left w:w="0" w:type="dxa"/>
              <w:bottom w:w="0" w:type="dxa"/>
              <w:right w:w="0" w:type="dxa"/>
            </w:tcMar>
            <w:vAlign w:val="center"/>
          </w:tcPr>
          <w:p w:rsidR="00A70FDC" w:rsidRPr="00BF17FF" w:rsidRDefault="00A70FDC" w:rsidP="004F7270">
            <w:pPr>
              <w:rPr>
                <w:rFonts w:ascii="Futura Bk BT" w:eastAsia="DejaVu Sans" w:hAnsi="Futura Bk BT"/>
                <w:kern w:val="3"/>
                <w:sz w:val="22"/>
                <w:szCs w:val="22"/>
                <w:lang w:val="es-ES" w:eastAsia="zh-CN" w:bidi="hi-IN"/>
              </w:rPr>
            </w:pPr>
          </w:p>
        </w:tc>
      </w:tr>
    </w:tbl>
    <w:p w:rsidR="00A70FDC" w:rsidRDefault="00A70FDC"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rsidR="006A7327" w:rsidRDefault="006A7327" w:rsidP="00A70FDC">
      <w:pPr>
        <w:pStyle w:val="Standard"/>
        <w:autoSpaceDE w:val="0"/>
        <w:jc w:val="both"/>
        <w:rPr>
          <w:rFonts w:ascii="Futura Bk BT" w:eastAsia="DejaVu Sans" w:hAnsi="Futura Bk BT" w:cs="Times New Roman"/>
          <w:sz w:val="22"/>
          <w:szCs w:val="22"/>
          <w:lang w:bidi="hi-IN"/>
        </w:rPr>
      </w:pPr>
    </w:p>
    <w:tbl>
      <w:tblPr>
        <w:tblW w:w="7599" w:type="dxa"/>
        <w:jc w:val="center"/>
        <w:tblCellMar>
          <w:left w:w="10" w:type="dxa"/>
          <w:right w:w="10" w:type="dxa"/>
        </w:tblCellMar>
        <w:tblLook w:val="0000" w:firstRow="0" w:lastRow="0" w:firstColumn="0" w:lastColumn="0" w:noHBand="0" w:noVBand="0"/>
      </w:tblPr>
      <w:tblGrid>
        <w:gridCol w:w="1022"/>
        <w:gridCol w:w="1022"/>
        <w:gridCol w:w="1697"/>
        <w:gridCol w:w="1250"/>
        <w:gridCol w:w="2588"/>
        <w:gridCol w:w="20"/>
      </w:tblGrid>
      <w:tr w:rsidR="006A7327" w:rsidTr="004361FE">
        <w:trPr>
          <w:trHeight w:val="276"/>
          <w:jc w:val="center"/>
        </w:trPr>
        <w:tc>
          <w:tcPr>
            <w:tcW w:w="10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 xml:space="preserve">Categoría </w:t>
            </w:r>
          </w:p>
        </w:tc>
        <w:tc>
          <w:tcPr>
            <w:tcW w:w="102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Ítem</w:t>
            </w:r>
          </w:p>
        </w:tc>
        <w:tc>
          <w:tcPr>
            <w:tcW w:w="1697"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Placa</w:t>
            </w:r>
          </w:p>
        </w:tc>
        <w:tc>
          <w:tcPr>
            <w:tcW w:w="1250" w:type="dxa"/>
            <w:vMerge w:val="restart"/>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6A7327" w:rsidRDefault="006A7327" w:rsidP="004361FE">
            <w:pPr>
              <w:spacing w:after="200" w:line="276" w:lineRule="auto"/>
              <w:jc w:val="center"/>
              <w:rPr>
                <w:rFonts w:ascii="Futura Bk BT" w:eastAsia="Calibri" w:hAnsi="Futura Bk BT"/>
                <w:b/>
                <w:bCs/>
                <w:sz w:val="20"/>
                <w:lang w:val="es-CO" w:eastAsia="es-CO"/>
              </w:rPr>
            </w:pPr>
            <w:r>
              <w:rPr>
                <w:rFonts w:ascii="Futura Bk BT" w:eastAsia="Calibri" w:hAnsi="Futura Bk BT"/>
                <w:b/>
                <w:bCs/>
                <w:sz w:val="20"/>
                <w:lang w:val="es-CO" w:eastAsia="es-CO"/>
              </w:rPr>
              <w:t>Capacidad pasajeros</w:t>
            </w:r>
          </w:p>
        </w:tc>
        <w:tc>
          <w:tcPr>
            <w:tcW w:w="2588" w:type="dxa"/>
            <w:vMerge w:val="restart"/>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6A7327" w:rsidRDefault="006A7327" w:rsidP="004361FE">
            <w:pPr>
              <w:spacing w:after="200" w:line="276" w:lineRule="auto"/>
              <w:jc w:val="center"/>
            </w:pPr>
            <w:r>
              <w:rPr>
                <w:rFonts w:ascii="Futura Bk BT" w:eastAsia="Calibri" w:hAnsi="Futura Bk BT"/>
                <w:b/>
                <w:bCs/>
                <w:sz w:val="20"/>
                <w:lang w:val="es-CO" w:eastAsia="es-CO"/>
              </w:rPr>
              <w:t>Tarifa Especial Diferencial  *</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b/>
                <w:bCs/>
                <w:sz w:val="20"/>
                <w:lang w:val="es-CO" w:eastAsia="es-CO"/>
              </w:rPr>
            </w:pPr>
          </w:p>
        </w:tc>
      </w:tr>
      <w:tr w:rsidR="006A7327" w:rsidTr="004361FE">
        <w:trPr>
          <w:trHeight w:val="306"/>
          <w:jc w:val="center"/>
        </w:trPr>
        <w:tc>
          <w:tcPr>
            <w:tcW w:w="102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rPr>
                <w:rFonts w:ascii="Futura Bk BT" w:eastAsia="Calibri" w:hAnsi="Futura Bk BT"/>
                <w:b/>
                <w:bCs/>
                <w:sz w:val="20"/>
                <w:lang w:val="es-CO" w:eastAsia="es-CO"/>
              </w:rPr>
            </w:pPr>
          </w:p>
        </w:tc>
        <w:tc>
          <w:tcPr>
            <w:tcW w:w="102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6A7327" w:rsidRDefault="006A7327" w:rsidP="004361FE">
            <w:pPr>
              <w:spacing w:after="200" w:line="276" w:lineRule="auto"/>
              <w:rPr>
                <w:rFonts w:ascii="Futura Bk BT" w:eastAsia="Calibri" w:hAnsi="Futura Bk BT"/>
                <w:b/>
                <w:bCs/>
                <w:sz w:val="20"/>
                <w:lang w:val="es-CO" w:eastAsia="es-CO"/>
              </w:rPr>
            </w:pPr>
          </w:p>
        </w:tc>
        <w:tc>
          <w:tcPr>
            <w:tcW w:w="1697"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6A7327" w:rsidRDefault="006A7327" w:rsidP="004361FE">
            <w:pPr>
              <w:spacing w:after="200" w:line="276" w:lineRule="auto"/>
              <w:rPr>
                <w:rFonts w:ascii="Futura Bk BT" w:eastAsia="Calibri" w:hAnsi="Futura Bk BT"/>
                <w:b/>
                <w:bCs/>
                <w:sz w:val="20"/>
                <w:lang w:val="es-CO" w:eastAsia="es-CO"/>
              </w:rPr>
            </w:pPr>
          </w:p>
        </w:tc>
        <w:tc>
          <w:tcPr>
            <w:tcW w:w="1250" w:type="dxa"/>
            <w:vMerge/>
            <w:tcBorders>
              <w:top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b/>
                <w:bCs/>
                <w:sz w:val="20"/>
                <w:lang w:val="es-CO" w:eastAsia="es-CO"/>
              </w:rPr>
            </w:pPr>
          </w:p>
        </w:tc>
        <w:tc>
          <w:tcPr>
            <w:tcW w:w="2588" w:type="dxa"/>
            <w:vMerge/>
            <w:tcBorders>
              <w:top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rsidR="006A7327" w:rsidRDefault="006A7327" w:rsidP="004361FE">
            <w:pPr>
              <w:spacing w:after="200" w:line="276" w:lineRule="auto"/>
              <w:rPr>
                <w:rFonts w:ascii="Futura Bk BT" w:eastAsia="Calibri" w:hAnsi="Futura Bk BT"/>
                <w:b/>
                <w:bCs/>
                <w:sz w:val="20"/>
                <w:lang w:val="es-CO" w:eastAsia="es-CO"/>
              </w:rPr>
            </w:pP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hAnsi="Futura Bk BT" w:hint="eastAsia"/>
                <w:sz w:val="20"/>
                <w:lang w:val="es-CO" w:eastAsia="es-CO"/>
              </w:rPr>
            </w:pPr>
          </w:p>
        </w:tc>
      </w:tr>
      <w:tr w:rsidR="006A7327" w:rsidTr="00365D20">
        <w:trPr>
          <w:trHeight w:val="266"/>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SON-641</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00"/>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2</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TFW-327</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3</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TFV-772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4</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TFV-847</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5</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UZN-072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6</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THK-399</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7</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SXC-952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8</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TFV-779</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9</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SOD-042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10</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SON-432</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11</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THK-704</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15</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12</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TFV-848</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13</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cente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UTX-494</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14</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UTX-728</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15</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UTX-550</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16</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UTZ-020</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17</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UTX-446</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r w:rsidR="006A7327" w:rsidTr="004361FE">
        <w:trPr>
          <w:trHeight w:val="345"/>
          <w:jc w:val="center"/>
        </w:trPr>
        <w:tc>
          <w:tcPr>
            <w:tcW w:w="1022" w:type="dxa"/>
            <w:tcBorders>
              <w:left w:val="single" w:sz="8" w:space="0" w:color="000000"/>
              <w:bottom w:val="single" w:sz="8" w:space="0" w:color="000000"/>
              <w:right w:val="single" w:sz="8" w:space="0" w:color="000000"/>
            </w:tcBorders>
            <w:shd w:val="clear" w:color="auto" w:fill="FFFFFF"/>
            <w:tcMar>
              <w:top w:w="0" w:type="dxa"/>
              <w:left w:w="10" w:type="dxa"/>
              <w:bottom w:w="0" w:type="dxa"/>
              <w:right w:w="10" w:type="dxa"/>
            </w:tcMar>
          </w:tcPr>
          <w:p w:rsidR="006A7327" w:rsidRDefault="006A7327" w:rsidP="004361FE">
            <w:pPr>
              <w:spacing w:after="200" w:line="276" w:lineRule="auto"/>
              <w:jc w:val="center"/>
            </w:pPr>
            <w:r>
              <w:rPr>
                <w:rFonts w:ascii="Futura Bk BT" w:eastAsia="Calibri" w:hAnsi="Futura Bk BT"/>
                <w:sz w:val="20"/>
                <w:lang w:val="es-CO" w:eastAsia="es-CO"/>
              </w:rPr>
              <w:t>IIE</w:t>
            </w:r>
          </w:p>
        </w:tc>
        <w:tc>
          <w:tcPr>
            <w:tcW w:w="1022" w:type="dxa"/>
            <w:tcBorders>
              <w:left w:val="single" w:sz="8" w:space="0" w:color="000000"/>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18</w:t>
            </w:r>
          </w:p>
        </w:tc>
        <w:tc>
          <w:tcPr>
            <w:tcW w:w="1697" w:type="dxa"/>
            <w:tcBorders>
              <w:bottom w:val="single" w:sz="8" w:space="0" w:color="000000"/>
              <w:right w:val="single" w:sz="8" w:space="0" w:color="000000"/>
            </w:tcBorders>
            <w:shd w:val="clear" w:color="auto" w:fill="FFFFFF"/>
            <w:noWrap/>
            <w:tcMar>
              <w:top w:w="0" w:type="dxa"/>
              <w:left w:w="70" w:type="dxa"/>
              <w:bottom w:w="0" w:type="dxa"/>
              <w:right w:w="70" w:type="dxa"/>
            </w:tcMar>
            <w:vAlign w:val="bottom"/>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SON-434</w:t>
            </w:r>
          </w:p>
        </w:tc>
        <w:tc>
          <w:tcPr>
            <w:tcW w:w="1250" w:type="dxa"/>
            <w:tcBorders>
              <w:bottom w:val="single" w:sz="8" w:space="0" w:color="000000"/>
              <w:right w:val="single" w:sz="8" w:space="0" w:color="000000"/>
            </w:tcBorders>
            <w:shd w:val="clear" w:color="auto" w:fill="FFFFFF"/>
            <w:tcMar>
              <w:top w:w="0" w:type="dxa"/>
              <w:left w:w="0" w:type="dxa"/>
              <w:bottom w:w="0" w:type="dxa"/>
              <w:right w:w="0" w:type="dxa"/>
            </w:tcMar>
          </w:tcPr>
          <w:p w:rsidR="006A7327" w:rsidRDefault="006A7327" w:rsidP="004361FE">
            <w:pPr>
              <w:spacing w:after="200" w:line="276" w:lineRule="auto"/>
              <w:jc w:val="center"/>
              <w:rPr>
                <w:rFonts w:ascii="Futura Bk BT" w:eastAsia="Calibri" w:hAnsi="Futura Bk BT"/>
                <w:sz w:val="20"/>
                <w:lang w:val="es-CO" w:eastAsia="es-CO"/>
              </w:rPr>
            </w:pPr>
            <w:r>
              <w:rPr>
                <w:rFonts w:ascii="Futura Bk BT" w:eastAsia="Calibri" w:hAnsi="Futura Bk BT"/>
                <w:sz w:val="20"/>
                <w:lang w:val="es-CO" w:eastAsia="es-CO"/>
              </w:rPr>
              <w:t>19</w:t>
            </w:r>
          </w:p>
        </w:tc>
        <w:tc>
          <w:tcPr>
            <w:tcW w:w="2588" w:type="dxa"/>
            <w:tcBorders>
              <w:bottom w:val="single" w:sz="8" w:space="0" w:color="000000"/>
              <w:right w:val="single" w:sz="8" w:space="0" w:color="000000"/>
            </w:tcBorders>
            <w:shd w:val="clear" w:color="auto" w:fill="FFFFFF"/>
            <w:noWrap/>
            <w:tcMar>
              <w:top w:w="0" w:type="dxa"/>
              <w:left w:w="70" w:type="dxa"/>
              <w:bottom w:w="0" w:type="dxa"/>
              <w:right w:w="70" w:type="dxa"/>
            </w:tcMar>
          </w:tcPr>
          <w:p w:rsidR="006A7327" w:rsidRDefault="006A7327" w:rsidP="004361FE">
            <w:pPr>
              <w:spacing w:after="200" w:line="276" w:lineRule="auto"/>
              <w:jc w:val="center"/>
            </w:pPr>
            <w:r>
              <w:rPr>
                <w:rFonts w:ascii="Futura Bk BT" w:eastAsia="Calibri" w:hAnsi="Futura Bk BT"/>
                <w:sz w:val="20"/>
                <w:lang w:val="es-CO" w:eastAsia="es-CO"/>
              </w:rPr>
              <w:t>10.200</w:t>
            </w:r>
          </w:p>
        </w:tc>
        <w:tc>
          <w:tcPr>
            <w:tcW w:w="20" w:type="dxa"/>
            <w:shd w:val="clear" w:color="auto" w:fill="auto"/>
            <w:tcMar>
              <w:top w:w="0" w:type="dxa"/>
              <w:left w:w="0" w:type="dxa"/>
              <w:bottom w:w="0" w:type="dxa"/>
              <w:right w:w="0" w:type="dxa"/>
            </w:tcMar>
            <w:vAlign w:val="center"/>
          </w:tcPr>
          <w:p w:rsidR="006A7327" w:rsidRDefault="006A7327" w:rsidP="004361FE">
            <w:pPr>
              <w:spacing w:after="200" w:line="276" w:lineRule="auto"/>
              <w:rPr>
                <w:rFonts w:ascii="Futura Bk BT" w:eastAsia="Calibri" w:hAnsi="Futura Bk BT"/>
                <w:sz w:val="20"/>
                <w:lang w:val="es-CO" w:eastAsia="es-CO"/>
              </w:rPr>
            </w:pPr>
          </w:p>
        </w:tc>
      </w:tr>
    </w:tbl>
    <w:p w:rsidR="006A7327" w:rsidRDefault="006A7327" w:rsidP="00A70FDC">
      <w:pPr>
        <w:pStyle w:val="Standard"/>
        <w:autoSpaceDE w:val="0"/>
        <w:jc w:val="both"/>
        <w:rPr>
          <w:rFonts w:ascii="Futura Bk BT" w:eastAsia="DejaVu Sans" w:hAnsi="Futura Bk BT" w:cs="Times New Roman"/>
          <w:sz w:val="22"/>
          <w:szCs w:val="22"/>
          <w:lang w:bidi="hi-IN"/>
        </w:rPr>
      </w:pPr>
    </w:p>
    <w:p w:rsidR="006A7327" w:rsidRDefault="006A7327" w:rsidP="00A70FDC">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rsidR="006A7327" w:rsidRDefault="006A7327" w:rsidP="00A70FDC">
      <w:pPr>
        <w:pStyle w:val="Standard"/>
        <w:autoSpaceDE w:val="0"/>
        <w:jc w:val="both"/>
        <w:rPr>
          <w:rFonts w:ascii="Futura Bk BT" w:eastAsia="DejaVu Sans" w:hAnsi="Futura Bk BT" w:cs="Times New Roman"/>
          <w:sz w:val="22"/>
          <w:szCs w:val="22"/>
          <w:lang w:bidi="hi-IN"/>
        </w:rPr>
      </w:pPr>
    </w:p>
    <w:p w:rsidR="00A70FDC" w:rsidRDefault="00A70FDC" w:rsidP="00A70FDC">
      <w:pPr>
        <w:pStyle w:val="Standard"/>
        <w:autoSpaceDE w:val="0"/>
        <w:jc w:val="both"/>
        <w:rPr>
          <w:rFonts w:ascii="Futura Bk BT" w:eastAsia="DejaVu Sans" w:hAnsi="Futura Bk BT" w:cs="Times New Roman"/>
          <w:sz w:val="22"/>
          <w:szCs w:val="22"/>
          <w:lang w:bidi="hi-IN"/>
        </w:rPr>
      </w:pPr>
    </w:p>
    <w:p w:rsidR="00A70FDC" w:rsidRPr="00BF17FF" w:rsidRDefault="00A70FDC" w:rsidP="00A70FDC">
      <w:pPr>
        <w:pStyle w:val="Standard"/>
        <w:autoSpaceDE w:val="0"/>
        <w:jc w:val="both"/>
        <w:rPr>
          <w:rFonts w:ascii="Futura Bk BT" w:eastAsia="DejaVu Sans" w:hAnsi="Futura Bk BT" w:cs="Times New Roman"/>
          <w:sz w:val="22"/>
          <w:szCs w:val="22"/>
          <w:lang w:bidi="hi-IN"/>
        </w:rPr>
      </w:pPr>
    </w:p>
    <w:p w:rsidR="00146F06" w:rsidRDefault="00146F06" w:rsidP="00A30A0D">
      <w:pPr>
        <w:pStyle w:val="Standard"/>
        <w:autoSpaceDE w:val="0"/>
        <w:jc w:val="both"/>
        <w:rPr>
          <w:rFonts w:ascii="Futura Bk BT" w:eastAsia="DejaVu Sans" w:hAnsi="Futura Bk BT" w:cs="Times New Roman"/>
          <w:sz w:val="22"/>
          <w:szCs w:val="22"/>
          <w:lang w:bidi="hi-IN"/>
        </w:rPr>
      </w:pPr>
    </w:p>
    <w:p w:rsidR="00BC07BC" w:rsidRDefault="006A7327" w:rsidP="00A30A0D">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En el peaje de Ocoa</w:t>
      </w:r>
    </w:p>
    <w:p w:rsidR="006A7327" w:rsidRPr="00BF17FF" w:rsidRDefault="006A7327" w:rsidP="006A7327">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T</w:t>
      </w:r>
      <w:r w:rsidRPr="00BF17FF">
        <w:rPr>
          <w:rFonts w:ascii="Futura Bk BT" w:eastAsia="DejaVu Sans" w:hAnsi="Futura Bk BT" w:cs="Times New Roman"/>
          <w:sz w:val="22"/>
          <w:szCs w:val="22"/>
          <w:lang w:bidi="hi-IN"/>
        </w:rPr>
        <w:t xml:space="preserve">arifa especial diferencial para </w:t>
      </w:r>
      <w:r w:rsidR="00212876">
        <w:rPr>
          <w:rFonts w:ascii="Futura Bk BT" w:eastAsia="DejaVu Sans" w:hAnsi="Futura Bk BT" w:cs="Times New Roman"/>
          <w:sz w:val="22"/>
          <w:szCs w:val="22"/>
          <w:lang w:bidi="hi-IN"/>
        </w:rPr>
        <w:t>ocho</w:t>
      </w:r>
      <w:r>
        <w:rPr>
          <w:rFonts w:ascii="Futura Bk BT" w:eastAsia="DejaVu Sans" w:hAnsi="Futura Bk BT" w:cs="Times New Roman"/>
          <w:sz w:val="22"/>
          <w:szCs w:val="22"/>
          <w:lang w:bidi="hi-IN"/>
        </w:rPr>
        <w:t xml:space="preserve"> (</w:t>
      </w:r>
      <w:r w:rsidR="00212876">
        <w:rPr>
          <w:rFonts w:ascii="Futura Bk BT" w:eastAsia="DejaVu Sans" w:hAnsi="Futura Bk BT" w:cs="Times New Roman"/>
          <w:sz w:val="22"/>
          <w:szCs w:val="22"/>
          <w:lang w:bidi="hi-IN"/>
        </w:rPr>
        <w:t>8</w:t>
      </w:r>
      <w:r>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vehículos categoría I de servicio público colectivo.  </w:t>
      </w:r>
    </w:p>
    <w:p w:rsidR="006A7327" w:rsidRDefault="006A7327" w:rsidP="00A30A0D">
      <w:pPr>
        <w:pStyle w:val="Standard"/>
        <w:autoSpaceDE w:val="0"/>
        <w:jc w:val="both"/>
        <w:rPr>
          <w:rFonts w:ascii="Futura Bk BT" w:eastAsia="DejaVu Sans" w:hAnsi="Futura Bk BT" w:cs="Times New Roman"/>
          <w:sz w:val="22"/>
          <w:szCs w:val="22"/>
          <w:lang w:bidi="hi-IN"/>
        </w:rPr>
      </w:pPr>
    </w:p>
    <w:tbl>
      <w:tblPr>
        <w:tblW w:w="4000" w:type="dxa"/>
        <w:jc w:val="center"/>
        <w:tblCellMar>
          <w:left w:w="70" w:type="dxa"/>
          <w:right w:w="70" w:type="dxa"/>
        </w:tblCellMar>
        <w:tblLook w:val="04A0" w:firstRow="1" w:lastRow="0" w:firstColumn="1" w:lastColumn="0" w:noHBand="0" w:noVBand="1"/>
      </w:tblPr>
      <w:tblGrid>
        <w:gridCol w:w="1240"/>
        <w:gridCol w:w="1240"/>
        <w:gridCol w:w="1520"/>
      </w:tblGrid>
      <w:tr w:rsidR="00212876" w:rsidRPr="008915E1" w:rsidTr="004361FE">
        <w:trPr>
          <w:trHeight w:val="288"/>
          <w:jc w:val="center"/>
        </w:trPr>
        <w:tc>
          <w:tcPr>
            <w:tcW w:w="124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b/>
                <w:bCs/>
                <w:color w:val="000000"/>
                <w:sz w:val="20"/>
                <w:lang w:val="es-CO" w:eastAsia="es-CO"/>
              </w:rPr>
            </w:pPr>
            <w:r w:rsidRPr="008915E1">
              <w:rPr>
                <w:rFonts w:ascii="Arial" w:hAnsi="Arial" w:cs="Arial"/>
                <w:b/>
                <w:bCs/>
                <w:color w:val="000000"/>
                <w:sz w:val="20"/>
                <w:lang w:val="es-CO" w:eastAsia="es-CO"/>
              </w:rPr>
              <w:t>Categoría</w:t>
            </w:r>
          </w:p>
        </w:tc>
        <w:tc>
          <w:tcPr>
            <w:tcW w:w="124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b/>
                <w:bCs/>
                <w:color w:val="000000"/>
                <w:sz w:val="20"/>
                <w:lang w:val="es-CO" w:eastAsia="es-CO"/>
              </w:rPr>
            </w:pPr>
            <w:r w:rsidRPr="008915E1">
              <w:rPr>
                <w:rFonts w:ascii="Arial" w:hAnsi="Arial" w:cs="Arial"/>
                <w:b/>
                <w:bCs/>
                <w:color w:val="000000"/>
                <w:sz w:val="20"/>
                <w:lang w:val="es-CO" w:eastAsia="es-CO"/>
              </w:rPr>
              <w:t>Placa</w:t>
            </w:r>
          </w:p>
        </w:tc>
        <w:tc>
          <w:tcPr>
            <w:tcW w:w="152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b/>
                <w:bCs/>
                <w:color w:val="000000"/>
                <w:sz w:val="20"/>
                <w:lang w:val="es-CO" w:eastAsia="es-CO"/>
              </w:rPr>
            </w:pPr>
            <w:r w:rsidRPr="008915E1">
              <w:rPr>
                <w:rFonts w:ascii="Arial" w:hAnsi="Arial" w:cs="Arial"/>
                <w:b/>
                <w:bCs/>
                <w:color w:val="000000"/>
                <w:sz w:val="20"/>
                <w:lang w:val="es-CO" w:eastAsia="es-CO"/>
              </w:rPr>
              <w:t>Tarifa Especial Diferencial *</w:t>
            </w:r>
          </w:p>
        </w:tc>
      </w:tr>
      <w:tr w:rsidR="00212876" w:rsidRPr="008915E1" w:rsidTr="004361FE">
        <w:trPr>
          <w:trHeight w:val="300"/>
          <w:jc w:val="center"/>
        </w:trPr>
        <w:tc>
          <w:tcPr>
            <w:tcW w:w="1240" w:type="dxa"/>
            <w:vMerge/>
            <w:tcBorders>
              <w:top w:val="single" w:sz="8" w:space="0" w:color="000000"/>
              <w:left w:val="single" w:sz="8" w:space="0" w:color="000000"/>
              <w:bottom w:val="single" w:sz="8" w:space="0" w:color="000000"/>
              <w:right w:val="single" w:sz="8" w:space="0" w:color="000000"/>
            </w:tcBorders>
            <w:vAlign w:val="center"/>
            <w:hideMark/>
          </w:tcPr>
          <w:p w:rsidR="00212876" w:rsidRPr="008915E1" w:rsidRDefault="00212876" w:rsidP="004361FE">
            <w:pPr>
              <w:rPr>
                <w:rFonts w:ascii="Arial" w:hAnsi="Arial" w:cs="Arial"/>
                <w:b/>
                <w:bCs/>
                <w:color w:val="000000"/>
                <w:sz w:val="20"/>
                <w:lang w:val="es-CO" w:eastAsia="es-CO"/>
              </w:rPr>
            </w:pPr>
          </w:p>
        </w:tc>
        <w:tc>
          <w:tcPr>
            <w:tcW w:w="1240" w:type="dxa"/>
            <w:vMerge/>
            <w:tcBorders>
              <w:top w:val="single" w:sz="8" w:space="0" w:color="000000"/>
              <w:left w:val="single" w:sz="8" w:space="0" w:color="000000"/>
              <w:bottom w:val="single" w:sz="8" w:space="0" w:color="000000"/>
              <w:right w:val="single" w:sz="8" w:space="0" w:color="000000"/>
            </w:tcBorders>
            <w:vAlign w:val="center"/>
            <w:hideMark/>
          </w:tcPr>
          <w:p w:rsidR="00212876" w:rsidRPr="008915E1" w:rsidRDefault="00212876" w:rsidP="004361FE">
            <w:pPr>
              <w:rPr>
                <w:rFonts w:ascii="Arial" w:hAnsi="Arial" w:cs="Arial"/>
                <w:b/>
                <w:bCs/>
                <w:color w:val="000000"/>
                <w:sz w:val="20"/>
                <w:lang w:val="es-CO" w:eastAsia="es-CO"/>
              </w:rPr>
            </w:pPr>
          </w:p>
        </w:tc>
        <w:tc>
          <w:tcPr>
            <w:tcW w:w="1520" w:type="dxa"/>
            <w:vMerge/>
            <w:tcBorders>
              <w:top w:val="single" w:sz="8" w:space="0" w:color="000000"/>
              <w:left w:val="single" w:sz="8" w:space="0" w:color="000000"/>
              <w:bottom w:val="single" w:sz="8" w:space="0" w:color="000000"/>
              <w:right w:val="single" w:sz="8" w:space="0" w:color="000000"/>
            </w:tcBorders>
            <w:vAlign w:val="center"/>
            <w:hideMark/>
          </w:tcPr>
          <w:p w:rsidR="00212876" w:rsidRPr="008915E1" w:rsidRDefault="00212876" w:rsidP="004361FE">
            <w:pPr>
              <w:rPr>
                <w:rFonts w:ascii="Arial" w:hAnsi="Arial" w:cs="Arial"/>
                <w:b/>
                <w:bCs/>
                <w:color w:val="000000"/>
                <w:sz w:val="20"/>
                <w:lang w:val="es-CO" w:eastAsia="es-CO"/>
              </w:rPr>
            </w:pP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TFW-329</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THL-289</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TFW-325</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TFW-323</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SKX-071</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UFU-832</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UFU-695</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r w:rsidR="00212876" w:rsidRPr="008915E1" w:rsidTr="004361FE">
        <w:trPr>
          <w:trHeight w:val="300"/>
          <w:jc w:val="center"/>
        </w:trPr>
        <w:tc>
          <w:tcPr>
            <w:tcW w:w="1240" w:type="dxa"/>
            <w:tcBorders>
              <w:top w:val="nil"/>
              <w:left w:val="single" w:sz="8" w:space="0" w:color="000000"/>
              <w:bottom w:val="single" w:sz="8" w:space="0" w:color="000000"/>
              <w:right w:val="single" w:sz="8" w:space="0" w:color="000000"/>
            </w:tcBorders>
            <w:shd w:val="clear" w:color="000000" w:fill="FFFFFF"/>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IE</w:t>
            </w:r>
          </w:p>
        </w:tc>
        <w:tc>
          <w:tcPr>
            <w:tcW w:w="1240" w:type="dxa"/>
            <w:tcBorders>
              <w:top w:val="nil"/>
              <w:left w:val="nil"/>
              <w:bottom w:val="single" w:sz="8" w:space="0" w:color="000000"/>
              <w:right w:val="single" w:sz="8" w:space="0" w:color="000000"/>
            </w:tcBorders>
            <w:shd w:val="clear" w:color="auto" w:fill="auto"/>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TFV976</w:t>
            </w:r>
          </w:p>
        </w:tc>
        <w:tc>
          <w:tcPr>
            <w:tcW w:w="1520" w:type="dxa"/>
            <w:tcBorders>
              <w:top w:val="nil"/>
              <w:left w:val="nil"/>
              <w:bottom w:val="single" w:sz="8" w:space="0" w:color="000000"/>
              <w:right w:val="single" w:sz="8" w:space="0" w:color="000000"/>
            </w:tcBorders>
            <w:shd w:val="clear" w:color="000000" w:fill="FFFFFF"/>
            <w:noWrap/>
            <w:vAlign w:val="center"/>
            <w:hideMark/>
          </w:tcPr>
          <w:p w:rsidR="00212876" w:rsidRPr="008915E1" w:rsidRDefault="00212876" w:rsidP="004361FE">
            <w:pPr>
              <w:jc w:val="center"/>
              <w:rPr>
                <w:rFonts w:ascii="Arial" w:hAnsi="Arial" w:cs="Arial"/>
                <w:color w:val="000000"/>
                <w:sz w:val="20"/>
                <w:lang w:val="es-CO" w:eastAsia="es-CO"/>
              </w:rPr>
            </w:pPr>
            <w:r w:rsidRPr="008915E1">
              <w:rPr>
                <w:rFonts w:ascii="Arial" w:hAnsi="Arial" w:cs="Arial"/>
                <w:color w:val="000000"/>
                <w:sz w:val="20"/>
                <w:lang w:val="es-CO" w:eastAsia="es-CO"/>
              </w:rPr>
              <w:t>3.200</w:t>
            </w:r>
          </w:p>
        </w:tc>
      </w:tr>
    </w:tbl>
    <w:p w:rsidR="00212876" w:rsidRDefault="00212876" w:rsidP="00212876">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rsidR="00BC07BC" w:rsidRPr="00BF17FF" w:rsidRDefault="00BC07BC" w:rsidP="00A30A0D">
      <w:pPr>
        <w:pStyle w:val="Standard"/>
        <w:autoSpaceDE w:val="0"/>
        <w:jc w:val="both"/>
        <w:rPr>
          <w:rFonts w:ascii="Futura Bk BT" w:eastAsia="DejaVu Sans" w:hAnsi="Futura Bk BT" w:cs="Times New Roman"/>
          <w:sz w:val="22"/>
          <w:szCs w:val="22"/>
          <w:lang w:bidi="hi-IN"/>
        </w:rPr>
      </w:pPr>
    </w:p>
    <w:p w:rsidR="00146F06" w:rsidRPr="00BF17FF" w:rsidRDefault="00146F06" w:rsidP="00146F06">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Concesionario mediante oficio radicado No.</w:t>
      </w:r>
      <w:r w:rsidR="00C151DF">
        <w:rPr>
          <w:rFonts w:ascii="Futura Bk BT" w:eastAsia="DejaVu Sans" w:hAnsi="Futura Bk BT" w:cs="Times New Roman"/>
          <w:sz w:val="22"/>
          <w:szCs w:val="22"/>
          <w:lang w:bidi="hi-IN"/>
        </w:rPr>
        <w:t xml:space="preserve"> 2015-409-088853-2 de fecha 29 de diciembre de 2015</w:t>
      </w:r>
      <w:r w:rsidRPr="00BF17FF">
        <w:rPr>
          <w:rFonts w:ascii="Futura Bk BT" w:eastAsia="DejaVu Sans" w:hAnsi="Futura Bk BT" w:cs="Times New Roman"/>
          <w:sz w:val="22"/>
          <w:szCs w:val="22"/>
          <w:lang w:bidi="hi-IN"/>
        </w:rPr>
        <w:t>manifestó su conformidad con la inclusión de esos beneficiarios</w:t>
      </w:r>
      <w:r w:rsidR="00A70FDC" w:rsidRPr="00BF17FF">
        <w:rPr>
          <w:rFonts w:ascii="Futura Bk BT" w:eastAsia="DejaVu Sans" w:hAnsi="Futura Bk BT" w:cs="Times New Roman"/>
          <w:sz w:val="22"/>
          <w:szCs w:val="22"/>
          <w:lang w:bidi="hi-IN"/>
        </w:rPr>
        <w:t xml:space="preserve">, indicando que el costo de esas tarifas diferenciales </w:t>
      </w:r>
      <w:r w:rsidR="008A2980">
        <w:rPr>
          <w:rFonts w:ascii="Futura Bk BT" w:eastAsia="DejaVu Sans" w:hAnsi="Futura Bk BT" w:cs="Times New Roman"/>
          <w:sz w:val="22"/>
          <w:szCs w:val="22"/>
          <w:lang w:bidi="hi-IN"/>
        </w:rPr>
        <w:t xml:space="preserve"> </w:t>
      </w:r>
      <w:r w:rsidR="00A70FDC" w:rsidRPr="00BF17FF">
        <w:rPr>
          <w:rFonts w:ascii="Futura Bk BT" w:eastAsia="DejaVu Sans" w:hAnsi="Futura Bk BT" w:cs="Times New Roman"/>
          <w:sz w:val="22"/>
          <w:szCs w:val="22"/>
          <w:lang w:bidi="hi-IN"/>
        </w:rPr>
        <w:t>fueron estimadas dentro de la estructuración financiera del proyecto.</w:t>
      </w:r>
    </w:p>
    <w:p w:rsidR="00A70FDC" w:rsidRPr="00BF17FF" w:rsidRDefault="00A70FDC" w:rsidP="00146F06">
      <w:pPr>
        <w:pStyle w:val="Standard"/>
        <w:autoSpaceDE w:val="0"/>
        <w:jc w:val="both"/>
        <w:rPr>
          <w:rFonts w:ascii="Futura Bk BT" w:eastAsia="DejaVu Sans" w:hAnsi="Futura Bk BT" w:cs="Times New Roman"/>
          <w:sz w:val="22"/>
          <w:szCs w:val="22"/>
          <w:lang w:bidi="hi-IN"/>
        </w:rPr>
      </w:pPr>
    </w:p>
    <w:p w:rsidR="00A70FDC" w:rsidRPr="00BF17FF" w:rsidRDefault="00A70FDC" w:rsidP="00A30A0D">
      <w:pPr>
        <w:pStyle w:val="Standard"/>
        <w:autoSpaceDE w:val="0"/>
        <w:jc w:val="both"/>
        <w:rPr>
          <w:rFonts w:ascii="Futura Bk BT" w:eastAsia="DejaVu Sans" w:hAnsi="Futura Bk BT" w:cs="Times New Roman"/>
          <w:sz w:val="22"/>
          <w:szCs w:val="22"/>
          <w:lang w:bidi="hi-IN"/>
        </w:rPr>
      </w:pPr>
    </w:p>
    <w:p w:rsidR="004361FE" w:rsidRDefault="00A70FDC" w:rsidP="00A70FDC">
      <w:pPr>
        <w:pStyle w:val="Sinespaciado"/>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xml:space="preserve">Que la Agencia Nacional de Infraestructura realizó un estudio Social, Técnico y Financiero, con el fin de establecer la pertinencia de </w:t>
      </w:r>
      <w:r w:rsidR="00C151DF">
        <w:rPr>
          <w:rFonts w:ascii="Futura Bk BT" w:eastAsia="DejaVu Sans" w:hAnsi="Futura Bk BT"/>
          <w:kern w:val="3"/>
          <w:sz w:val="22"/>
          <w:szCs w:val="22"/>
          <w:lang w:val="es-ES" w:eastAsia="zh-CN" w:bidi="hi-IN"/>
        </w:rPr>
        <w:t xml:space="preserve">realizar la modificación a la Estructura Tarifaria de los Peajes Yucao y Casetabla del Proyecto de Concesión Malla Vial del Meta I.P. y </w:t>
      </w:r>
      <w:r w:rsidRPr="00BF17FF">
        <w:rPr>
          <w:rFonts w:ascii="Futura Bk BT" w:eastAsia="DejaVu Sans" w:hAnsi="Futura Bk BT"/>
          <w:kern w:val="3"/>
          <w:sz w:val="22"/>
          <w:szCs w:val="22"/>
          <w:lang w:val="es-ES" w:eastAsia="zh-CN" w:bidi="hi-IN"/>
        </w:rPr>
        <w:t>otorgar la tarifa especial Diferencial Solicitada por la Comunidad</w:t>
      </w:r>
      <w:r w:rsidR="004361FE">
        <w:rPr>
          <w:rFonts w:ascii="Futura Bk BT" w:eastAsia="DejaVu Sans" w:hAnsi="Futura Bk BT"/>
          <w:kern w:val="3"/>
          <w:sz w:val="22"/>
          <w:szCs w:val="22"/>
          <w:lang w:val="es-ES" w:eastAsia="zh-CN" w:bidi="hi-IN"/>
        </w:rPr>
        <w:t>, el cual concluyó:</w:t>
      </w:r>
    </w:p>
    <w:p w:rsidR="00C151DF" w:rsidRDefault="00C151DF" w:rsidP="00A70FDC">
      <w:pPr>
        <w:pStyle w:val="Sinespaciado"/>
        <w:jc w:val="both"/>
        <w:rPr>
          <w:rFonts w:ascii="Futura Bk BT" w:eastAsia="DejaVu Sans" w:hAnsi="Futura Bk BT"/>
          <w:kern w:val="3"/>
          <w:sz w:val="22"/>
          <w:szCs w:val="22"/>
          <w:lang w:val="es-ES" w:eastAsia="zh-CN" w:bidi="hi-IN"/>
        </w:rPr>
      </w:pPr>
    </w:p>
    <w:p w:rsidR="00C151DF" w:rsidRDefault="00C151DF"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 xml:space="preserve">La modificación de la estructura tarifaria de los peajes Yucao y Casetabla es necesaria para que el Proyecto de Concesión </w:t>
      </w:r>
      <w:r w:rsidR="007B0C24">
        <w:rPr>
          <w:rFonts w:ascii="Futura Bk BT" w:eastAsia="DejaVu Sans" w:hAnsi="Futura Bk BT"/>
          <w:kern w:val="3"/>
          <w:sz w:val="22"/>
          <w:szCs w:val="22"/>
          <w:lang w:val="es-ES" w:eastAsia="zh-CN" w:bidi="hi-IN"/>
        </w:rPr>
        <w:t xml:space="preserve">Malla Vial del Meta I.P. </w:t>
      </w:r>
      <w:r>
        <w:rPr>
          <w:rFonts w:ascii="Futura Bk BT" w:eastAsia="DejaVu Sans" w:hAnsi="Futura Bk BT"/>
          <w:kern w:val="3"/>
          <w:sz w:val="22"/>
          <w:szCs w:val="22"/>
          <w:lang w:val="es-ES" w:eastAsia="zh-CN" w:bidi="hi-IN"/>
        </w:rPr>
        <w:t>se pueda ejecutar, la nueva estructura tarifaria fue propuesta por el Concesionario Vial de los Llanos S.A.S., y no presenta desequilibrio financiero a lo pactado inicialmente en el Contrato de Concesión 004 de 2015.</w:t>
      </w:r>
    </w:p>
    <w:p w:rsidR="00C151DF" w:rsidRDefault="00C151DF" w:rsidP="00A70FDC">
      <w:pPr>
        <w:pStyle w:val="Sinespaciado"/>
        <w:jc w:val="both"/>
        <w:rPr>
          <w:rFonts w:ascii="Futura Bk BT" w:eastAsia="DejaVu Sans" w:hAnsi="Futura Bk BT"/>
          <w:kern w:val="3"/>
          <w:sz w:val="22"/>
          <w:szCs w:val="22"/>
          <w:lang w:val="es-ES" w:eastAsia="zh-CN" w:bidi="hi-IN"/>
        </w:rPr>
      </w:pPr>
    </w:p>
    <w:p w:rsidR="00C151DF" w:rsidRDefault="00C151DF"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Con relaci</w:t>
      </w:r>
      <w:r w:rsidR="007B0C24">
        <w:rPr>
          <w:rFonts w:ascii="Futura Bk BT" w:eastAsia="DejaVu Sans" w:hAnsi="Futura Bk BT"/>
          <w:kern w:val="3"/>
          <w:sz w:val="22"/>
          <w:szCs w:val="22"/>
          <w:lang w:val="es-ES" w:eastAsia="zh-CN" w:bidi="hi-IN"/>
        </w:rPr>
        <w:t>ón a</w:t>
      </w:r>
      <w:r>
        <w:rPr>
          <w:rFonts w:ascii="Futura Bk BT" w:eastAsia="DejaVu Sans" w:hAnsi="Futura Bk BT"/>
          <w:kern w:val="3"/>
          <w:sz w:val="22"/>
          <w:szCs w:val="22"/>
          <w:lang w:val="es-ES" w:eastAsia="zh-CN" w:bidi="hi-IN"/>
        </w:rPr>
        <w:t xml:space="preserve">l otorgamiento de tarifas diferenciales para los peajes Iracá y Ocoa, los mismos no cuentan con estudio técnico, económico ni social debido a que es un beneficio con el que contaban los usuarios mencionados, y el objeto de la inclusión en la presente </w:t>
      </w:r>
      <w:r w:rsidR="007B0C24">
        <w:rPr>
          <w:rFonts w:ascii="Futura Bk BT" w:eastAsia="DejaVu Sans" w:hAnsi="Futura Bk BT"/>
          <w:kern w:val="3"/>
          <w:sz w:val="22"/>
          <w:szCs w:val="22"/>
          <w:lang w:val="es-ES" w:eastAsia="zh-CN" w:bidi="hi-IN"/>
        </w:rPr>
        <w:t xml:space="preserve">modificación de </w:t>
      </w:r>
      <w:r>
        <w:rPr>
          <w:rFonts w:ascii="Futura Bk BT" w:eastAsia="DejaVu Sans" w:hAnsi="Futura Bk BT"/>
          <w:kern w:val="3"/>
          <w:sz w:val="22"/>
          <w:szCs w:val="22"/>
          <w:lang w:val="es-ES" w:eastAsia="zh-CN" w:bidi="hi-IN"/>
        </w:rPr>
        <w:t>Resolución es dar continuidad al beneficio otorgado a la comunidad con anterioridad a la suscripción del Contrato de Concesión 004 de 2015.</w:t>
      </w:r>
    </w:p>
    <w:p w:rsidR="000D2CA6" w:rsidRDefault="000D2CA6" w:rsidP="00A70FDC">
      <w:pPr>
        <w:pStyle w:val="Sinespaciado"/>
        <w:jc w:val="both"/>
        <w:rPr>
          <w:rFonts w:ascii="Futura Bk BT" w:eastAsia="DejaVu Sans" w:hAnsi="Futura Bk BT"/>
          <w:kern w:val="3"/>
          <w:sz w:val="22"/>
          <w:szCs w:val="22"/>
          <w:lang w:val="es-ES" w:eastAsia="zh-CN" w:bidi="hi-IN"/>
        </w:rPr>
      </w:pPr>
    </w:p>
    <w:p w:rsidR="000D2CA6" w:rsidRDefault="000D2CA6"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Las modificaciones de los requisitos para la obtención del beneficio de categoría diferencial que se quieren plasmar en la presente modificación de la Resolución 1130 de 2015, obedecen a dejar claridad del manejo de diferentes situaciones que se han presentado en el ejercicio del proceso de otorgamiento de beneficios, y que no se encuentran descritas en la Resolución 1130 de 2015, por lo que es procedente y acertado realizar dicha inclusión.</w:t>
      </w:r>
    </w:p>
    <w:p w:rsidR="004361FE" w:rsidRDefault="004361FE" w:rsidP="00A70FDC">
      <w:pPr>
        <w:pStyle w:val="Sinespaciado"/>
        <w:jc w:val="both"/>
        <w:rPr>
          <w:rFonts w:ascii="Futura Bk BT" w:eastAsia="DejaVu Sans" w:hAnsi="Futura Bk BT"/>
          <w:kern w:val="3"/>
          <w:sz w:val="22"/>
          <w:szCs w:val="22"/>
          <w:lang w:val="es-ES" w:eastAsia="zh-CN" w:bidi="hi-IN"/>
        </w:rPr>
      </w:pPr>
    </w:p>
    <w:p w:rsidR="00A70FDC" w:rsidRPr="00BF17FF" w:rsidRDefault="004361FE" w:rsidP="00A70FDC">
      <w:pPr>
        <w:pStyle w:val="Sinespaciado"/>
        <w:jc w:val="both"/>
        <w:rPr>
          <w:rFonts w:ascii="Futura Bk BT" w:eastAsia="DejaVu Sans" w:hAnsi="Futura Bk BT"/>
          <w:kern w:val="3"/>
          <w:sz w:val="22"/>
          <w:szCs w:val="22"/>
          <w:lang w:val="es-ES" w:eastAsia="zh-CN" w:bidi="hi-IN"/>
        </w:rPr>
      </w:pPr>
      <w:r>
        <w:rPr>
          <w:rFonts w:ascii="Futura Bk BT" w:eastAsia="DejaVu Sans" w:hAnsi="Futura Bk BT"/>
          <w:kern w:val="3"/>
          <w:sz w:val="22"/>
          <w:szCs w:val="22"/>
          <w:lang w:val="es-ES" w:eastAsia="zh-CN" w:bidi="hi-IN"/>
        </w:rPr>
        <w:t>Que la Interventoría del Proyecto mediante oficio Radicado No.</w:t>
      </w:r>
      <w:r w:rsidR="008551C7">
        <w:rPr>
          <w:rFonts w:ascii="Futura Bk BT" w:eastAsia="DejaVu Sans" w:hAnsi="Futura Bk BT"/>
          <w:kern w:val="3"/>
          <w:sz w:val="22"/>
          <w:szCs w:val="22"/>
          <w:lang w:val="es-ES" w:eastAsia="zh-CN" w:bidi="hi-IN"/>
        </w:rPr>
        <w:t xml:space="preserve"> </w:t>
      </w:r>
      <w:r w:rsidR="008551C7" w:rsidRPr="00365D20">
        <w:rPr>
          <w:rFonts w:ascii="Futura Bk BT" w:eastAsia="DejaVu Sans" w:hAnsi="Futura Bk BT"/>
          <w:kern w:val="3"/>
          <w:sz w:val="22"/>
          <w:szCs w:val="22"/>
          <w:lang w:val="es-ES" w:eastAsia="zh-CN" w:bidi="hi-IN"/>
        </w:rPr>
        <w:t>2015</w:t>
      </w:r>
      <w:r w:rsidR="008551C7">
        <w:rPr>
          <w:rFonts w:ascii="Futura Bk BT" w:eastAsia="DejaVu Sans" w:hAnsi="Futura Bk BT"/>
          <w:kern w:val="3"/>
          <w:sz w:val="22"/>
          <w:szCs w:val="22"/>
          <w:lang w:val="es-ES" w:eastAsia="zh-CN" w:bidi="hi-IN"/>
        </w:rPr>
        <w:t>-</w:t>
      </w:r>
      <w:r w:rsidR="008551C7" w:rsidRPr="00365D20">
        <w:rPr>
          <w:rFonts w:ascii="Futura Bk BT" w:eastAsia="DejaVu Sans" w:hAnsi="Futura Bk BT"/>
          <w:kern w:val="3"/>
          <w:sz w:val="22"/>
          <w:szCs w:val="22"/>
          <w:lang w:val="es-ES" w:eastAsia="zh-CN" w:bidi="hi-IN"/>
        </w:rPr>
        <w:t>409</w:t>
      </w:r>
      <w:r w:rsidR="008551C7">
        <w:rPr>
          <w:rFonts w:ascii="Futura Bk BT" w:eastAsia="DejaVu Sans" w:hAnsi="Futura Bk BT"/>
          <w:kern w:val="3"/>
          <w:sz w:val="22"/>
          <w:szCs w:val="22"/>
          <w:lang w:val="es-ES" w:eastAsia="zh-CN" w:bidi="hi-IN"/>
        </w:rPr>
        <w:t>-</w:t>
      </w:r>
      <w:r w:rsidR="008551C7" w:rsidRPr="00365D20">
        <w:rPr>
          <w:rFonts w:ascii="Futura Bk BT" w:eastAsia="DejaVu Sans" w:hAnsi="Futura Bk BT"/>
          <w:kern w:val="3"/>
          <w:sz w:val="22"/>
          <w:szCs w:val="22"/>
          <w:lang w:val="es-ES" w:eastAsia="zh-CN" w:bidi="hi-IN"/>
        </w:rPr>
        <w:t>086984</w:t>
      </w:r>
      <w:r w:rsidR="008551C7">
        <w:rPr>
          <w:rFonts w:ascii="Futura Bk BT" w:eastAsia="DejaVu Sans" w:hAnsi="Futura Bk BT"/>
          <w:kern w:val="3"/>
          <w:sz w:val="22"/>
          <w:szCs w:val="22"/>
          <w:lang w:val="es-ES" w:eastAsia="zh-CN" w:bidi="hi-IN"/>
        </w:rPr>
        <w:t>-</w:t>
      </w:r>
      <w:r w:rsidR="008551C7" w:rsidRPr="00365D20">
        <w:rPr>
          <w:rFonts w:ascii="Futura Bk BT" w:eastAsia="DejaVu Sans" w:hAnsi="Futura Bk BT"/>
          <w:kern w:val="3"/>
          <w:sz w:val="22"/>
          <w:szCs w:val="22"/>
          <w:lang w:val="es-ES" w:eastAsia="zh-CN" w:bidi="hi-IN"/>
        </w:rPr>
        <w:t>2</w:t>
      </w:r>
      <w:r w:rsidR="008551C7">
        <w:t xml:space="preserve"> </w:t>
      </w:r>
      <w:r w:rsidR="008551C7">
        <w:rPr>
          <w:rFonts w:ascii="Futura Bk BT" w:eastAsia="DejaVu Sans" w:hAnsi="Futura Bk BT"/>
          <w:kern w:val="3"/>
          <w:sz w:val="22"/>
          <w:szCs w:val="22"/>
          <w:lang w:val="es-ES" w:eastAsia="zh-CN" w:bidi="hi-IN"/>
        </w:rPr>
        <w:t>de fecha 29 de diciembre de 2015,</w:t>
      </w:r>
      <w:r w:rsidR="00C50E07">
        <w:rPr>
          <w:rFonts w:ascii="Futura Bk BT" w:eastAsia="DejaVu Sans" w:hAnsi="Futura Bk BT"/>
          <w:kern w:val="3"/>
          <w:sz w:val="22"/>
          <w:szCs w:val="22"/>
          <w:lang w:val="es-ES" w:eastAsia="zh-CN" w:bidi="hi-IN"/>
        </w:rPr>
        <w:t xml:space="preserve"> </w:t>
      </w:r>
      <w:r w:rsidR="00C151DF">
        <w:rPr>
          <w:rFonts w:ascii="Futura Bk BT" w:eastAsia="DejaVu Sans" w:hAnsi="Futura Bk BT"/>
          <w:kern w:val="3"/>
          <w:sz w:val="22"/>
          <w:szCs w:val="22"/>
          <w:lang w:val="es-ES" w:eastAsia="zh-CN" w:bidi="hi-IN"/>
        </w:rPr>
        <w:t>emitió</w:t>
      </w:r>
      <w:r w:rsidR="00C50E07">
        <w:rPr>
          <w:rFonts w:ascii="Futura Bk BT" w:eastAsia="DejaVu Sans" w:hAnsi="Futura Bk BT"/>
          <w:kern w:val="3"/>
          <w:sz w:val="22"/>
          <w:szCs w:val="22"/>
          <w:lang w:val="es-ES" w:eastAsia="zh-CN" w:bidi="hi-IN"/>
        </w:rPr>
        <w:t xml:space="preserve"> </w:t>
      </w:r>
      <w:r>
        <w:rPr>
          <w:rFonts w:ascii="Futura Bk BT" w:eastAsia="DejaVu Sans" w:hAnsi="Futura Bk BT"/>
          <w:kern w:val="3"/>
          <w:sz w:val="22"/>
          <w:szCs w:val="22"/>
          <w:lang w:val="es-ES" w:eastAsia="zh-CN" w:bidi="hi-IN"/>
        </w:rPr>
        <w:t xml:space="preserve"> concepto de viabilidad </w:t>
      </w:r>
      <w:r w:rsidR="00435991">
        <w:rPr>
          <w:rFonts w:ascii="Futura Bk BT" w:eastAsia="DejaVu Sans" w:hAnsi="Futura Bk BT"/>
          <w:kern w:val="3"/>
          <w:sz w:val="22"/>
          <w:szCs w:val="22"/>
          <w:lang w:val="es-ES" w:eastAsia="zh-CN" w:bidi="hi-IN"/>
        </w:rPr>
        <w:t>p</w:t>
      </w:r>
      <w:r>
        <w:rPr>
          <w:rFonts w:ascii="Futura Bk BT" w:eastAsia="DejaVu Sans" w:hAnsi="Futura Bk BT"/>
          <w:kern w:val="3"/>
          <w:sz w:val="22"/>
          <w:szCs w:val="22"/>
          <w:lang w:val="es-ES" w:eastAsia="zh-CN" w:bidi="hi-IN"/>
        </w:rPr>
        <w:t>ara la modificación de la Resolución indicando:</w:t>
      </w:r>
    </w:p>
    <w:p w:rsidR="007A7626" w:rsidRPr="00BF17FF" w:rsidRDefault="007A7626" w:rsidP="00A30A0D">
      <w:pPr>
        <w:pStyle w:val="Standard"/>
        <w:autoSpaceDE w:val="0"/>
        <w:jc w:val="both"/>
        <w:rPr>
          <w:rFonts w:ascii="Futura Bk BT" w:eastAsia="DejaVu Sans" w:hAnsi="Futura Bk BT" w:cs="Times New Roman"/>
          <w:sz w:val="22"/>
          <w:szCs w:val="22"/>
          <w:lang w:bidi="hi-IN"/>
        </w:rPr>
      </w:pPr>
    </w:p>
    <w:p w:rsidR="00435991" w:rsidRPr="00365D20" w:rsidRDefault="00435991" w:rsidP="00435991">
      <w:pPr>
        <w:pStyle w:val="Prrafodelista"/>
        <w:ind w:left="360"/>
        <w:contextualSpacing/>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“…Toda vez que esta Interventoría brindó apoyo a la Agencia Nacional de Infraestructura – ANI, en el proceso  de verificar la viabilidad de una propuesta de modificación de estructura tarifaria propuesta unilateralmente por el concesionario,  para los peajes Yucao y Casetabla, se realizó la revisión de  valores de las tarifas, observando que no se configura un desequilibrio financiero y económico del contrato en la medida que los incrementos y actualizaciones han sido modelados con el propósito de mantener las condiciones que se tenían en el escenario financiero Inicial.</w:t>
      </w:r>
    </w:p>
    <w:p w:rsidR="00435991" w:rsidRPr="00365D20" w:rsidRDefault="00435991" w:rsidP="00435991">
      <w:pPr>
        <w:pStyle w:val="Prrafodelista"/>
        <w:ind w:left="360"/>
        <w:contextualSpacing/>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w:t>
      </w: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Comparando la estructura tarifaria establecida en la resolución 1130/15 con la propuesta presentada unilateralmente por el concesionario, se observa que,  toda vez que no hay modificación del plazo del contrato y del valor del VPIP, no se ven afectadas las condiciones financieras del contrato de concesión 004/15,</w:t>
      </w: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Se aclara además por parte de la vicepresidencia de estructuración que la opción de modificación de la estructura tarifaria fue propuesta directamente por el concesionario y no fue por causas imputables a decisiones unilaterales de la ANI u otra autoridad estatal. </w:t>
      </w:r>
    </w:p>
    <w:p w:rsidR="00435991" w:rsidRPr="00365D20" w:rsidRDefault="00435991" w:rsidP="00435991">
      <w:pPr>
        <w:pStyle w:val="Prrafodelista"/>
        <w:jc w:val="both"/>
        <w:rPr>
          <w:rFonts w:ascii="Futura Bk BT" w:eastAsia="DejaVu Sans" w:hAnsi="Futura Bk BT"/>
          <w:i/>
          <w:kern w:val="3"/>
          <w:sz w:val="22"/>
          <w:szCs w:val="22"/>
          <w:lang w:val="es-ES" w:eastAsia="zh-CN" w:bidi="hi-IN"/>
        </w:rPr>
      </w:pP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De lo anterior se considera lógico el entendimiento y la conclusión de que los efectos favorables o desfavorables producto de la modificación tarifaria propuesta por el Concesionario es un riesgo que debe asumir el Concesionario, otrora originador y se recomienda que este argumento quede incorporado como mínimo en la parte considerativa del documento del Otro si No 3 que se pretende suscribir.</w:t>
      </w: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Así las cosas, se emite concepto financiero favorable para elaborar la respectiva modificación tarifaria propuesta.</w:t>
      </w: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p>
    <w:p w:rsidR="00435991" w:rsidRPr="00365D20" w:rsidRDefault="00435991" w:rsidP="00435991">
      <w:pPr>
        <w:pStyle w:val="Prrafodelista"/>
        <w:ind w:left="0"/>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Tarifas diferenciales de las Estaciones Iracá y Ocoa</w:t>
      </w:r>
    </w:p>
    <w:p w:rsidR="00435991" w:rsidRPr="00365D20" w:rsidRDefault="00435991" w:rsidP="00435991">
      <w:pPr>
        <w:jc w:val="both"/>
        <w:rPr>
          <w:rFonts w:ascii="Futura Bk BT" w:eastAsia="DejaVu Sans" w:hAnsi="Futura Bk BT"/>
          <w:i/>
          <w:kern w:val="3"/>
          <w:sz w:val="22"/>
          <w:szCs w:val="22"/>
          <w:lang w:val="es-ES" w:eastAsia="zh-CN" w:bidi="hi-IN"/>
        </w:rPr>
      </w:pPr>
    </w:p>
    <w:p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Con respecto a las Tarifas diferenciales de las Estaciones Iracá y Ocoa, les informamos que revisando la documentación allegada en los derechos de petición remitidos al Ministerio de Transporte por las empresas Rápido Centauros y la Asociación de transportadores del Meta, el número de vehículos para los cuales se solicita el beneficio de tarifa diferencial, corresponde al mencionado por ellos (empresas transportadoras), no hay ningún estudio técnico, financiero y social que valide este tema, y se hace la claridad en el proyecto de Resolución que este era un beneficio del que disfrutaban estas empresas en la anterior Concesión y el cual no se incluyó en la resolución 1130 del 28 de Abril de 2015. </w:t>
      </w:r>
    </w:p>
    <w:p w:rsidR="00435991" w:rsidRPr="00365D20" w:rsidRDefault="00435991" w:rsidP="00435991">
      <w:pPr>
        <w:jc w:val="both"/>
        <w:rPr>
          <w:rFonts w:ascii="Futura Bk BT" w:eastAsia="DejaVu Sans" w:hAnsi="Futura Bk BT"/>
          <w:i/>
          <w:kern w:val="3"/>
          <w:sz w:val="22"/>
          <w:szCs w:val="22"/>
          <w:lang w:val="es-ES" w:eastAsia="zh-CN" w:bidi="hi-IN"/>
        </w:rPr>
      </w:pPr>
    </w:p>
    <w:p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 xml:space="preserve">Aclarado lo anterior, la Interventoría verificó que los cupos asignados serian un total de 59 cupos para la categoría I servicio público Taxi, 18 cupos para la categoría II servicio público busetas y 19 cupos para la categoría I servicio público colectivos en lo correspondiente a la estación de peaje de Iraca. </w:t>
      </w:r>
    </w:p>
    <w:p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Adicionalmente se deben incluir para la estación de Ocoa los 18 cupos para la categoría II servicio público busetas y 19 cupos para la categoría I Servicio Público colectivos aprobados en Iracá, porque estos vehículos se desplazan hacia Villavicencio y requieren el beneficio en ambas estaciones de peaje.</w:t>
      </w:r>
    </w:p>
    <w:p w:rsidR="00435991" w:rsidRPr="00365D20" w:rsidRDefault="00435991" w:rsidP="00435991">
      <w:pPr>
        <w:jc w:val="both"/>
        <w:rPr>
          <w:rFonts w:ascii="Futura Bk BT" w:eastAsia="DejaVu Sans" w:hAnsi="Futura Bk BT"/>
          <w:i/>
          <w:kern w:val="3"/>
          <w:sz w:val="22"/>
          <w:szCs w:val="22"/>
          <w:lang w:val="es-ES" w:eastAsia="zh-CN" w:bidi="hi-IN"/>
        </w:rPr>
      </w:pPr>
      <w:r w:rsidRPr="00365D20">
        <w:rPr>
          <w:rFonts w:ascii="Futura Bk BT" w:eastAsia="DejaVu Sans" w:hAnsi="Futura Bk BT"/>
          <w:i/>
          <w:kern w:val="3"/>
          <w:sz w:val="22"/>
          <w:szCs w:val="22"/>
          <w:lang w:val="es-ES" w:eastAsia="zh-CN" w:bidi="hi-IN"/>
        </w:rPr>
        <w:t>Por otro lado ahora no estamos de acuerdo con la inclusión de los 20 beneficiarios adicionales en la categoria I tipo taxi amarillo que se solicita incluir en el peaje Ocoa ya que de los 216 cupos disponibles para este tipo de vehículos solamente se han radicado 7 solicitudes y se han aprobado 4, razón por la cual no consideramos necesario dar más cupos si no se están utilizando. Solo se incluirían los ocho cupos para taxi  de 8 vehículos categoría I de servicio público colectivo que cubren la ruta Villavicencio – Acacias”.</w:t>
      </w:r>
    </w:p>
    <w:p w:rsidR="007A7626" w:rsidRPr="00365D20" w:rsidRDefault="007A7626" w:rsidP="00A30A0D">
      <w:pPr>
        <w:pStyle w:val="Standard"/>
        <w:autoSpaceDE w:val="0"/>
        <w:jc w:val="both"/>
        <w:rPr>
          <w:rFonts w:asciiTheme="minorHAnsi" w:eastAsia="DejaVu Sans" w:hAnsiTheme="minorHAnsi" w:cs="Times New Roman"/>
          <w:sz w:val="22"/>
          <w:szCs w:val="22"/>
          <w:lang w:bidi="hi-IN"/>
        </w:rPr>
      </w:pPr>
    </w:p>
    <w:p w:rsidR="007C547A" w:rsidRPr="00BF17FF" w:rsidRDefault="007A7626"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735B39" w:rsidRPr="00BF17FF">
        <w:rPr>
          <w:rFonts w:ascii="Futura Bk BT" w:eastAsia="DejaVu Sans" w:hAnsi="Futura Bk BT" w:cs="Times New Roman"/>
          <w:sz w:val="22"/>
          <w:szCs w:val="22"/>
          <w:lang w:bidi="hi-IN"/>
        </w:rPr>
        <w:t xml:space="preserve">de acuerdo con lo anterior, </w:t>
      </w:r>
      <w:r w:rsidR="00471D03" w:rsidRPr="00BF17FF">
        <w:rPr>
          <w:rFonts w:ascii="Futura Bk BT" w:eastAsia="DejaVu Sans" w:hAnsi="Futura Bk BT" w:cs="Times New Roman"/>
          <w:sz w:val="22"/>
          <w:szCs w:val="22"/>
          <w:lang w:bidi="hi-IN"/>
        </w:rPr>
        <w:t xml:space="preserve">es necesario incluir dentro de la modificación a la Resolución 1130 de abril de 2015 para la estructura tarifaria del peaje Iracá, una tarifa especial diferencial para </w:t>
      </w:r>
      <w:r w:rsidR="00D808D1" w:rsidRPr="00BF17FF">
        <w:rPr>
          <w:rFonts w:ascii="Futura Bk BT" w:eastAsia="DejaVu Sans" w:hAnsi="Futura Bk BT" w:cs="Times New Roman"/>
          <w:sz w:val="22"/>
          <w:szCs w:val="22"/>
          <w:lang w:bidi="hi-IN"/>
        </w:rPr>
        <w:t xml:space="preserve">cincuenta y nueve </w:t>
      </w:r>
      <w:r w:rsidR="00471D03" w:rsidRPr="00BF17FF">
        <w:rPr>
          <w:rFonts w:ascii="Futura Bk BT" w:eastAsia="DejaVu Sans" w:hAnsi="Futura Bk BT" w:cs="Times New Roman"/>
          <w:sz w:val="22"/>
          <w:szCs w:val="22"/>
          <w:lang w:bidi="hi-IN"/>
        </w:rPr>
        <w:t>(</w:t>
      </w:r>
      <w:r w:rsidR="00D808D1" w:rsidRPr="00BF17FF">
        <w:rPr>
          <w:rFonts w:ascii="Futura Bk BT" w:eastAsia="DejaVu Sans" w:hAnsi="Futura Bk BT" w:cs="Times New Roman"/>
          <w:sz w:val="22"/>
          <w:szCs w:val="22"/>
          <w:lang w:bidi="hi-IN"/>
        </w:rPr>
        <w:t>59</w:t>
      </w:r>
      <w:r w:rsidR="00471D03" w:rsidRPr="00BF17FF">
        <w:rPr>
          <w:rFonts w:ascii="Futura Bk BT" w:eastAsia="DejaVu Sans" w:hAnsi="Futura Bk BT" w:cs="Times New Roman"/>
          <w:sz w:val="22"/>
          <w:szCs w:val="22"/>
          <w:lang w:bidi="hi-IN"/>
        </w:rPr>
        <w:t>) vehículos categoría I de servicio público taxi</w:t>
      </w:r>
      <w:r w:rsidRPr="00BF17FF">
        <w:rPr>
          <w:rFonts w:ascii="Futura Bk BT" w:eastAsia="DejaVu Sans" w:hAnsi="Futura Bk BT" w:cs="Times New Roman"/>
          <w:sz w:val="22"/>
          <w:szCs w:val="22"/>
          <w:lang w:bidi="hi-IN"/>
        </w:rPr>
        <w:t xml:space="preserve">, así mismo </w:t>
      </w:r>
      <w:r w:rsidR="00471D03" w:rsidRPr="00BF17FF">
        <w:rPr>
          <w:rFonts w:ascii="Futura Bk BT" w:eastAsia="DejaVu Sans" w:hAnsi="Futura Bk BT" w:cs="Times New Roman"/>
          <w:sz w:val="22"/>
          <w:szCs w:val="22"/>
          <w:lang w:bidi="hi-IN"/>
        </w:rPr>
        <w:t>dentro de la estructura tarifaria del peaje Iracá</w:t>
      </w:r>
      <w:r w:rsidRPr="00BF17FF">
        <w:rPr>
          <w:rFonts w:ascii="Futura Bk BT" w:eastAsia="DejaVu Sans" w:hAnsi="Futura Bk BT" w:cs="Times New Roman"/>
          <w:sz w:val="22"/>
          <w:szCs w:val="22"/>
          <w:lang w:bidi="hi-IN"/>
        </w:rPr>
        <w:t xml:space="preserve"> y el Peaje Ocoa inclu</w:t>
      </w:r>
      <w:r w:rsidR="00735B39" w:rsidRPr="00BF17FF">
        <w:rPr>
          <w:rFonts w:ascii="Futura Bk BT" w:eastAsia="DejaVu Sans" w:hAnsi="Futura Bk BT" w:cs="Times New Roman"/>
          <w:sz w:val="22"/>
          <w:szCs w:val="22"/>
          <w:lang w:bidi="hi-IN"/>
        </w:rPr>
        <w:t>i</w:t>
      </w:r>
      <w:r w:rsidRPr="00BF17FF">
        <w:rPr>
          <w:rFonts w:ascii="Futura Bk BT" w:eastAsia="DejaVu Sans" w:hAnsi="Futura Bk BT" w:cs="Times New Roman"/>
          <w:sz w:val="22"/>
          <w:szCs w:val="22"/>
          <w:lang w:bidi="hi-IN"/>
        </w:rPr>
        <w:t>r</w:t>
      </w:r>
      <w:r w:rsidR="00471D03" w:rsidRPr="00BF17FF">
        <w:rPr>
          <w:rFonts w:ascii="Futura Bk BT" w:eastAsia="DejaVu Sans" w:hAnsi="Futura Bk BT" w:cs="Times New Roman"/>
          <w:sz w:val="22"/>
          <w:szCs w:val="22"/>
          <w:lang w:bidi="hi-IN"/>
        </w:rPr>
        <w:t xml:space="preserve"> una tarifa especial diferencial para </w:t>
      </w:r>
      <w:r w:rsidR="007C547A" w:rsidRPr="00BF17FF">
        <w:rPr>
          <w:rFonts w:ascii="Futura Bk BT" w:eastAsia="DejaVu Sans" w:hAnsi="Futura Bk BT" w:cs="Times New Roman"/>
          <w:sz w:val="22"/>
          <w:szCs w:val="22"/>
          <w:lang w:bidi="hi-IN"/>
        </w:rPr>
        <w:t>diecinueve (19) vehículos categoría I de servicio público colectivo y dieciocho (18) vehículos de servicio público “buseta” de la categoría II.</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CE448F" w:rsidRPr="00BF17FF" w:rsidRDefault="00CE448F" w:rsidP="00CE448F">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además de los 216 beneficios previstos en el peaje de Ocoa para la categoría I tipo taxi amarillo descritos en el Artículo Quinto de la Resolución 1130 de 2015 se deben asignar ocho (8) beneficios adicionales para servicio público colectivo categoría I.  También se deberán incluir los diecinueve (19) beneficios para la categoría I tipo colectivo y los dieciocho (18) beneficios para la categoría II tipo buseta previstos en el considerando anterior para la estación de peaje de Iracá.  Estos beneficios adicionales no implicarán que se superen los 5759 relacionados en el artículo 2° de la Resolución número 3126 del 17 de octubre de 2014.</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146F06" w:rsidRPr="00BF17FF">
        <w:rPr>
          <w:rFonts w:ascii="Futura Bk BT" w:eastAsia="DejaVu Sans" w:hAnsi="Futura Bk BT" w:cs="Times New Roman"/>
          <w:sz w:val="22"/>
          <w:szCs w:val="22"/>
          <w:lang w:bidi="hi-IN"/>
        </w:rPr>
        <w:t>conforme</w:t>
      </w:r>
      <w:r w:rsidRPr="00BF17FF">
        <w:rPr>
          <w:rFonts w:ascii="Futura Bk BT" w:eastAsia="DejaVu Sans" w:hAnsi="Futura Bk BT" w:cs="Times New Roman"/>
          <w:sz w:val="22"/>
          <w:szCs w:val="22"/>
          <w:lang w:bidi="hi-IN"/>
        </w:rPr>
        <w:t xml:space="preserve"> con la Resolución 1130 del 28 de abril de 2015, una vez suscrita el Acta de Inicio del Contrato de Concesión No. 004 del 5 de mayo de 2015, la Concesión Vial de los Llanos SAS actualizó la estructura tarifaria en las estaciones de peaje sobre las cuales tiene injerencia, así: Estación de peaje Iracá y Ocoa en el corredor Villavicencio – Granada, Estación de peaje la Libertad en el corredor Villavicencio – Puerto López y Estaciones de peaje de CaseTabla y Yucao en el corredor Puerto López – Puerto Gaitán.</w:t>
      </w:r>
    </w:p>
    <w:p w:rsidR="003B4DE7" w:rsidRPr="00BF17FF" w:rsidRDefault="003B4DE7" w:rsidP="007C547A">
      <w:pPr>
        <w:pStyle w:val="Standard"/>
        <w:autoSpaceDE w:val="0"/>
        <w:jc w:val="both"/>
        <w:rPr>
          <w:rFonts w:ascii="Futura Bk BT" w:eastAsia="DejaVu Sans" w:hAnsi="Futura Bk BT" w:cs="Times New Roman"/>
          <w:sz w:val="22"/>
          <w:szCs w:val="22"/>
          <w:lang w:bidi="hi-IN"/>
        </w:rPr>
      </w:pPr>
    </w:p>
    <w:p w:rsidR="006A36FD" w:rsidRPr="00435991" w:rsidRDefault="006A36FD" w:rsidP="007C547A">
      <w:pPr>
        <w:pStyle w:val="Standard"/>
        <w:autoSpaceDE w:val="0"/>
        <w:jc w:val="both"/>
        <w:rPr>
          <w:rFonts w:ascii="Futura Bk BT" w:eastAsia="DejaVu Sans" w:hAnsi="Futura Bk BT" w:cs="Times New Roman"/>
          <w:sz w:val="22"/>
          <w:szCs w:val="22"/>
          <w:lang w:bidi="hi-IN"/>
        </w:rPr>
      </w:pPr>
      <w:r w:rsidRPr="00435991">
        <w:rPr>
          <w:rFonts w:ascii="Futura Bk BT" w:eastAsia="DejaVu Sans" w:hAnsi="Futura Bk BT" w:cs="Times New Roman"/>
          <w:sz w:val="22"/>
          <w:szCs w:val="22"/>
          <w:lang w:bidi="hi-IN"/>
        </w:rPr>
        <w:t xml:space="preserve">Que resultado de la </w:t>
      </w:r>
      <w:r w:rsidR="00435991" w:rsidRPr="00435991">
        <w:rPr>
          <w:rFonts w:ascii="Futura Bk BT" w:eastAsia="DejaVu Sans" w:hAnsi="Futura Bk BT" w:cs="Times New Roman"/>
          <w:sz w:val="22"/>
          <w:szCs w:val="22"/>
          <w:lang w:bidi="hi-IN"/>
        </w:rPr>
        <w:t>aplicaci</w:t>
      </w:r>
      <w:r w:rsidR="00435991" w:rsidRPr="00435991">
        <w:rPr>
          <w:rFonts w:ascii="Futura Bk BT" w:eastAsia="DejaVu Sans" w:hAnsi="Futura Bk BT" w:cs="Times New Roman" w:hint="cs"/>
          <w:sz w:val="22"/>
          <w:szCs w:val="22"/>
          <w:lang w:bidi="hi-IN"/>
        </w:rPr>
        <w:t>ó</w:t>
      </w:r>
      <w:r w:rsidR="00435991" w:rsidRPr="00435991">
        <w:rPr>
          <w:rFonts w:ascii="Futura Bk BT" w:eastAsia="DejaVu Sans" w:hAnsi="Futura Bk BT" w:cs="Times New Roman"/>
          <w:sz w:val="22"/>
          <w:szCs w:val="22"/>
          <w:lang w:bidi="hi-IN"/>
        </w:rPr>
        <w:t>n</w:t>
      </w:r>
      <w:r w:rsidR="00212876" w:rsidRPr="00365D20">
        <w:rPr>
          <w:rFonts w:ascii="Futura Bk BT" w:eastAsia="DejaVu Sans" w:hAnsi="Futura Bk BT" w:cs="Times New Roman" w:hint="eastAsia"/>
          <w:sz w:val="22"/>
          <w:szCs w:val="22"/>
          <w:lang w:bidi="hi-IN"/>
        </w:rPr>
        <w:t>ó</w:t>
      </w:r>
      <w:r w:rsidRPr="00435991">
        <w:rPr>
          <w:rFonts w:ascii="Futura Bk BT" w:eastAsia="DejaVu Sans" w:hAnsi="Futura Bk BT" w:cs="Times New Roman"/>
          <w:sz w:val="22"/>
          <w:szCs w:val="22"/>
          <w:lang w:bidi="hi-IN"/>
        </w:rPr>
        <w:t>n de la Resoluci</w:t>
      </w:r>
      <w:r w:rsidRPr="00435991">
        <w:rPr>
          <w:rFonts w:ascii="Futura Bk BT" w:eastAsia="DejaVu Sans" w:hAnsi="Futura Bk BT" w:cs="Times New Roman" w:hint="cs"/>
          <w:sz w:val="22"/>
          <w:szCs w:val="22"/>
          <w:lang w:bidi="hi-IN"/>
        </w:rPr>
        <w:t>ó</w:t>
      </w:r>
      <w:r w:rsidRPr="00435991">
        <w:rPr>
          <w:rFonts w:ascii="Futura Bk BT" w:eastAsia="DejaVu Sans" w:hAnsi="Futura Bk BT" w:cs="Times New Roman"/>
          <w:sz w:val="22"/>
          <w:szCs w:val="22"/>
          <w:lang w:bidi="hi-IN"/>
        </w:rPr>
        <w:t>n 1130 del 28 de abril de 2015, se present</w:t>
      </w:r>
      <w:r w:rsidRPr="00435991">
        <w:rPr>
          <w:rFonts w:ascii="Futura Bk BT" w:eastAsia="DejaVu Sans" w:hAnsi="Futura Bk BT" w:cs="Times New Roman" w:hint="cs"/>
          <w:sz w:val="22"/>
          <w:szCs w:val="22"/>
          <w:lang w:bidi="hi-IN"/>
        </w:rPr>
        <w:t>ó</w:t>
      </w:r>
      <w:r w:rsidRPr="00435991">
        <w:rPr>
          <w:rFonts w:ascii="Futura Bk BT" w:eastAsia="DejaVu Sans" w:hAnsi="Futura Bk BT" w:cs="Times New Roman"/>
          <w:sz w:val="22"/>
          <w:szCs w:val="22"/>
          <w:lang w:bidi="hi-IN"/>
        </w:rPr>
        <w:t xml:space="preserve"> inconformidad de los habitantes de Puerto L</w:t>
      </w:r>
      <w:r w:rsidRPr="00435991">
        <w:rPr>
          <w:rFonts w:ascii="Futura Bk BT" w:eastAsia="DejaVu Sans" w:hAnsi="Futura Bk BT" w:cs="Times New Roman" w:hint="cs"/>
          <w:sz w:val="22"/>
          <w:szCs w:val="22"/>
          <w:lang w:bidi="hi-IN"/>
        </w:rPr>
        <w:t>ó</w:t>
      </w:r>
      <w:r w:rsidRPr="00435991">
        <w:rPr>
          <w:rFonts w:ascii="Futura Bk BT" w:eastAsia="DejaVu Sans" w:hAnsi="Futura Bk BT" w:cs="Times New Roman"/>
          <w:sz w:val="22"/>
          <w:szCs w:val="22"/>
          <w:lang w:bidi="hi-IN"/>
        </w:rPr>
        <w:t>pez y Puerto Gait</w:t>
      </w:r>
      <w:r w:rsidRPr="00435991">
        <w:rPr>
          <w:rFonts w:ascii="Futura Bk BT" w:eastAsia="DejaVu Sans" w:hAnsi="Futura Bk BT" w:cs="Times New Roman" w:hint="cs"/>
          <w:sz w:val="22"/>
          <w:szCs w:val="22"/>
          <w:lang w:bidi="hi-IN"/>
        </w:rPr>
        <w:t>á</w:t>
      </w:r>
      <w:r w:rsidRPr="00435991">
        <w:rPr>
          <w:rFonts w:ascii="Futura Bk BT" w:eastAsia="DejaVu Sans" w:hAnsi="Futura Bk BT" w:cs="Times New Roman"/>
          <w:sz w:val="22"/>
          <w:szCs w:val="22"/>
          <w:lang w:bidi="hi-IN"/>
        </w:rPr>
        <w:t>n, generando que se mantuvieran las tarifas anteriores para las estaciones de peaje de CaseTabla y Yucao</w:t>
      </w:r>
      <w:r w:rsidR="003B4DE7" w:rsidRPr="00435991">
        <w:rPr>
          <w:rFonts w:ascii="Futura Bk BT" w:eastAsia="DejaVu Sans" w:hAnsi="Futura Bk BT" w:cs="Times New Roman"/>
          <w:sz w:val="22"/>
          <w:szCs w:val="22"/>
          <w:lang w:bidi="hi-IN"/>
        </w:rPr>
        <w:t>.</w:t>
      </w:r>
    </w:p>
    <w:p w:rsidR="003B4DE7" w:rsidRPr="00BF17FF" w:rsidRDefault="003B4DE7" w:rsidP="007C547A">
      <w:pPr>
        <w:pStyle w:val="Standard"/>
        <w:autoSpaceDE w:val="0"/>
        <w:jc w:val="both"/>
        <w:rPr>
          <w:rFonts w:ascii="Futura Bk BT" w:eastAsia="DejaVu Sans" w:hAnsi="Futura Bk BT" w:cs="Times New Roman"/>
          <w:sz w:val="22"/>
          <w:szCs w:val="22"/>
          <w:lang w:bidi="hi-IN"/>
        </w:rPr>
      </w:pPr>
    </w:p>
    <w:p w:rsidR="003B4DE7" w:rsidRPr="00BF17FF" w:rsidRDefault="003B4DE7" w:rsidP="007C547A">
      <w:pPr>
        <w:pStyle w:val="Standard"/>
        <w:autoSpaceDE w:val="0"/>
        <w:jc w:val="both"/>
        <w:rPr>
          <w:rFonts w:ascii="Futura Bk BT" w:eastAsia="DejaVu Sans" w:hAnsi="Futura Bk BT" w:cs="Times New Roman"/>
          <w:sz w:val="22"/>
          <w:szCs w:val="22"/>
          <w:lang w:bidi="hi-IN"/>
        </w:rPr>
      </w:pPr>
      <w:r w:rsidRPr="00365D20">
        <w:rPr>
          <w:rFonts w:ascii="Futura Bk BT" w:eastAsia="DejaVu Sans" w:hAnsi="Futura Bk BT" w:cs="Times New Roman"/>
          <w:sz w:val="22"/>
          <w:szCs w:val="22"/>
          <w:lang w:bidi="hi-IN"/>
        </w:rPr>
        <w:t xml:space="preserve">Que </w:t>
      </w:r>
      <w:r w:rsidR="00212876" w:rsidRPr="00365D20">
        <w:rPr>
          <w:rFonts w:ascii="Futura Bk BT" w:eastAsia="DejaVu Sans" w:hAnsi="Futura Bk BT" w:cs="Times New Roman"/>
          <w:sz w:val="22"/>
          <w:szCs w:val="22"/>
          <w:lang w:bidi="hi-IN"/>
        </w:rPr>
        <w:t xml:space="preserve">la Concesión </w:t>
      </w:r>
      <w:r w:rsidRPr="00365D20">
        <w:rPr>
          <w:rFonts w:ascii="Futura Bk BT" w:eastAsia="DejaVu Sans" w:hAnsi="Futura Bk BT" w:cs="Times New Roman"/>
          <w:sz w:val="22"/>
          <w:szCs w:val="22"/>
          <w:lang w:bidi="hi-IN"/>
        </w:rPr>
        <w:t>Vial de los Llanos luego de una nueva modelaci</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n financiera donde se analizaron diferentes alternativas, cuidando que se mantuvieran las variables acordadas en el modelo financiero del proyecto</w:t>
      </w:r>
      <w:r w:rsidR="00D01D9C" w:rsidRPr="00365D20">
        <w:rPr>
          <w:rFonts w:ascii="Futura Bk BT" w:eastAsia="DejaVu Sans" w:hAnsi="Futura Bk BT" w:cs="Times New Roman"/>
          <w:sz w:val="22"/>
          <w:szCs w:val="22"/>
          <w:lang w:bidi="hi-IN"/>
        </w:rPr>
        <w:t xml:space="preserve"> y la ecuaci</w:t>
      </w:r>
      <w:r w:rsidR="00D01D9C" w:rsidRPr="00365D20">
        <w:rPr>
          <w:rFonts w:ascii="Futura Bk BT" w:eastAsia="DejaVu Sans" w:hAnsi="Futura Bk BT" w:cs="Times New Roman" w:hint="cs"/>
          <w:sz w:val="22"/>
          <w:szCs w:val="22"/>
          <w:lang w:bidi="hi-IN"/>
        </w:rPr>
        <w:t>ó</w:t>
      </w:r>
      <w:r w:rsidR="00D01D9C" w:rsidRPr="00365D20">
        <w:rPr>
          <w:rFonts w:ascii="Futura Bk BT" w:eastAsia="DejaVu Sans" w:hAnsi="Futura Bk BT" w:cs="Times New Roman"/>
          <w:sz w:val="22"/>
          <w:szCs w:val="22"/>
          <w:lang w:bidi="hi-IN"/>
        </w:rPr>
        <w:t>n financiera del contrato,</w:t>
      </w:r>
      <w:r w:rsidRPr="00365D20">
        <w:rPr>
          <w:rFonts w:ascii="Futura Bk BT" w:eastAsia="DejaVu Sans" w:hAnsi="Futura Bk BT" w:cs="Times New Roman"/>
          <w:sz w:val="22"/>
          <w:szCs w:val="22"/>
          <w:lang w:bidi="hi-IN"/>
        </w:rPr>
        <w:t xml:space="preserve"> present</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 xml:space="preserve"> las nuevas tarifas a cobrar en los Peajes Yucao y Casetabla de los Municipios de Puerto L</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pez y Puerto Gait</w:t>
      </w:r>
      <w:r w:rsidRPr="00365D20">
        <w:rPr>
          <w:rFonts w:ascii="Futura Bk BT" w:eastAsia="DejaVu Sans" w:hAnsi="Futura Bk BT" w:cs="Times New Roman" w:hint="cs"/>
          <w:sz w:val="22"/>
          <w:szCs w:val="22"/>
          <w:lang w:bidi="hi-IN"/>
        </w:rPr>
        <w:t>á</w:t>
      </w:r>
      <w:r w:rsidRPr="00365D20">
        <w:rPr>
          <w:rFonts w:ascii="Futura Bk BT" w:eastAsia="DejaVu Sans" w:hAnsi="Futura Bk BT" w:cs="Times New Roman"/>
          <w:sz w:val="22"/>
          <w:szCs w:val="22"/>
          <w:lang w:bidi="hi-IN"/>
        </w:rPr>
        <w:t>n, por lo que la implementaci</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n de unas nuevas tarifas en el Contrato de Concesi</w:t>
      </w:r>
      <w:r w:rsidRPr="00365D20">
        <w:rPr>
          <w:rFonts w:ascii="Futura Bk BT" w:eastAsia="DejaVu Sans" w:hAnsi="Futura Bk BT" w:cs="Times New Roman" w:hint="cs"/>
          <w:sz w:val="22"/>
          <w:szCs w:val="22"/>
          <w:lang w:bidi="hi-IN"/>
        </w:rPr>
        <w:t>ó</w:t>
      </w:r>
      <w:r w:rsidRPr="00365D20">
        <w:rPr>
          <w:rFonts w:ascii="Futura Bk BT" w:eastAsia="DejaVu Sans" w:hAnsi="Futura Bk BT" w:cs="Times New Roman"/>
          <w:sz w:val="22"/>
          <w:szCs w:val="22"/>
          <w:lang w:bidi="hi-IN"/>
        </w:rPr>
        <w:t>n, no representa desequilibrio financiero para el Contrato.</w:t>
      </w:r>
    </w:p>
    <w:p w:rsidR="006A36FD" w:rsidRPr="00BF17FF" w:rsidRDefault="006A36FD" w:rsidP="007C547A">
      <w:pPr>
        <w:pStyle w:val="Standard"/>
        <w:autoSpaceDE w:val="0"/>
        <w:jc w:val="both"/>
        <w:rPr>
          <w:rFonts w:ascii="Futura Bk BT" w:eastAsia="DejaVu Sans" w:hAnsi="Futura Bk BT" w:cs="Times New Roman"/>
          <w:sz w:val="22"/>
          <w:szCs w:val="22"/>
          <w:lang w:bidi="hi-IN"/>
        </w:rPr>
      </w:pPr>
    </w:p>
    <w:p w:rsidR="007C547A" w:rsidRPr="00BF17FF" w:rsidRDefault="006A36FD"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la Agencia Nacional de Infraestructura</w:t>
      </w:r>
      <w:r w:rsidR="008730E3">
        <w:rPr>
          <w:rFonts w:ascii="Futura Bk BT" w:eastAsia="DejaVu Sans" w:hAnsi="Futura Bk BT" w:cs="Times New Roman"/>
          <w:sz w:val="22"/>
          <w:szCs w:val="22"/>
          <w:lang w:bidi="hi-IN"/>
        </w:rPr>
        <w:t xml:space="preserve"> </w:t>
      </w:r>
      <w:r w:rsidR="00CB3D52">
        <w:rPr>
          <w:rFonts w:ascii="Futura Bk BT" w:eastAsia="DejaVu Sans" w:hAnsi="Futura Bk BT" w:cs="Times New Roman"/>
          <w:sz w:val="22"/>
          <w:szCs w:val="22"/>
          <w:lang w:bidi="hi-IN"/>
        </w:rPr>
        <w:t>acompaño a</w:t>
      </w:r>
      <w:r w:rsidR="00365D20">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la Conces</w:t>
      </w:r>
      <w:r w:rsidR="00435991">
        <w:rPr>
          <w:rFonts w:ascii="Futura Bk BT" w:hAnsi="Futura Bk BT" w:cs="Times New Roman" w:hint="eastAsia"/>
          <w:sz w:val="22"/>
          <w:szCs w:val="22"/>
          <w:lang w:bidi="hi-IN"/>
        </w:rPr>
        <w:t>i</w:t>
      </w:r>
      <w:r w:rsidR="00435991">
        <w:rPr>
          <w:rFonts w:ascii="Futura Bk BT" w:hAnsi="Futura Bk BT" w:cs="Times New Roman" w:hint="eastAsia"/>
          <w:sz w:val="22"/>
          <w:szCs w:val="22"/>
          <w:lang w:bidi="hi-IN"/>
        </w:rPr>
        <w:t>ó</w:t>
      </w:r>
      <w:r w:rsidRPr="00BF17FF">
        <w:rPr>
          <w:rFonts w:ascii="Futura Bk BT" w:eastAsia="DejaVu Sans" w:hAnsi="Futura Bk BT" w:cs="Times New Roman"/>
          <w:sz w:val="22"/>
          <w:szCs w:val="22"/>
          <w:lang w:bidi="hi-IN"/>
        </w:rPr>
        <w:t>n Vial de los Llanos S</w:t>
      </w:r>
      <w:r w:rsidR="00D01D9C"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A</w:t>
      </w:r>
      <w:r w:rsidR="00D01D9C"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S</w:t>
      </w:r>
      <w:r w:rsidR="00D01D9C"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w:t>
      </w:r>
      <w:r w:rsidR="00435991">
        <w:rPr>
          <w:rFonts w:ascii="Futura Bk BT" w:eastAsia="DejaVu Sans" w:hAnsi="Futura Bk BT" w:cs="Times New Roman"/>
          <w:sz w:val="22"/>
          <w:szCs w:val="22"/>
          <w:lang w:bidi="hi-IN"/>
        </w:rPr>
        <w:t>en</w:t>
      </w:r>
      <w:r w:rsidRPr="00BF17FF">
        <w:rPr>
          <w:rFonts w:ascii="Futura Bk BT" w:eastAsia="DejaVu Sans" w:hAnsi="Futura Bk BT" w:cs="Times New Roman"/>
          <w:sz w:val="22"/>
          <w:szCs w:val="22"/>
          <w:lang w:bidi="hi-IN"/>
        </w:rPr>
        <w:t xml:space="preserve"> </w:t>
      </w:r>
      <w:r w:rsidR="007C547A" w:rsidRPr="00BF17FF">
        <w:rPr>
          <w:rFonts w:ascii="Futura Bk BT" w:eastAsia="DejaVu Sans" w:hAnsi="Futura Bk BT" w:cs="Times New Roman"/>
          <w:sz w:val="22"/>
          <w:szCs w:val="22"/>
          <w:lang w:bidi="hi-IN"/>
        </w:rPr>
        <w:t xml:space="preserve">varias mesas de trabajo con las autoridades municipales, dirigentes regionales, delegados de las comunidades y empresas de transporte </w:t>
      </w:r>
      <w:r w:rsidR="007C547A" w:rsidRPr="00BF17FF">
        <w:rPr>
          <w:rFonts w:ascii="Futura Bk BT" w:eastAsia="DejaVu Sans" w:hAnsi="Futura Bk BT" w:cs="Times New Roman"/>
          <w:sz w:val="22"/>
          <w:szCs w:val="22"/>
          <w:lang w:bidi="hi-IN"/>
        </w:rPr>
        <w:commentReference w:id="0"/>
      </w:r>
      <w:r w:rsidR="007C547A" w:rsidRPr="00BF17FF">
        <w:rPr>
          <w:rFonts w:ascii="Futura Bk BT" w:eastAsia="DejaVu Sans" w:hAnsi="Futura Bk BT" w:cs="Times New Roman"/>
          <w:sz w:val="22"/>
          <w:szCs w:val="22"/>
          <w:lang w:bidi="hi-IN"/>
        </w:rPr>
        <w:t xml:space="preserve">de Puerto López y Puerto Gaitán con el fin de lograr un acuerdo que permitiera actualizar tanto la categorización de estas estaciones de peaje como el valor de la tarifa.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D01D9C"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3B4DE7" w:rsidRPr="00BF17FF">
        <w:rPr>
          <w:rFonts w:ascii="Futura Bk BT" w:eastAsia="DejaVu Sans" w:hAnsi="Futura Bk BT" w:cs="Times New Roman"/>
          <w:sz w:val="22"/>
          <w:szCs w:val="22"/>
          <w:lang w:bidi="hi-IN"/>
        </w:rPr>
        <w:t xml:space="preserve">como resultado de esas mesas de trabajo, </w:t>
      </w:r>
      <w:r w:rsidRPr="00BF17FF">
        <w:rPr>
          <w:rFonts w:ascii="Futura Bk BT" w:eastAsia="DejaVu Sans" w:hAnsi="Futura Bk BT" w:cs="Times New Roman"/>
          <w:sz w:val="22"/>
          <w:szCs w:val="22"/>
          <w:lang w:bidi="hi-IN"/>
        </w:rPr>
        <w:t>para las estaciones de peaje de Casetabla y Yucao a cargo del INVIAS</w:t>
      </w:r>
      <w:r w:rsidR="00F36491"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xml:space="preserve"> </w:t>
      </w:r>
      <w:r w:rsidR="00F36491" w:rsidRPr="00BF17FF">
        <w:rPr>
          <w:rFonts w:ascii="Futura Bk BT" w:eastAsia="DejaVu Sans" w:hAnsi="Futura Bk BT" w:cs="Times New Roman"/>
          <w:sz w:val="22"/>
          <w:szCs w:val="22"/>
          <w:lang w:bidi="hi-IN"/>
        </w:rPr>
        <w:t xml:space="preserve">se acordó con la comunidad </w:t>
      </w:r>
      <w:r w:rsidRPr="00BF17FF">
        <w:rPr>
          <w:rFonts w:ascii="Futura Bk BT" w:eastAsia="DejaVu Sans" w:hAnsi="Futura Bk BT" w:cs="Times New Roman"/>
          <w:sz w:val="22"/>
          <w:szCs w:val="22"/>
          <w:lang w:bidi="hi-IN"/>
        </w:rPr>
        <w:t>el cambio de la estructura de categorías pasando de cinco (5) a siete (7) categorías</w:t>
      </w:r>
      <w:r w:rsidR="00FB57A5" w:rsidRPr="00BF17FF">
        <w:rPr>
          <w:rFonts w:ascii="Futura Bk BT" w:eastAsia="DejaVu Sans" w:hAnsi="Futura Bk BT" w:cs="Times New Roman"/>
          <w:sz w:val="22"/>
          <w:szCs w:val="22"/>
          <w:lang w:bidi="hi-IN"/>
        </w:rPr>
        <w:t xml:space="preserve"> y las tarifas de cada una de las mismas</w:t>
      </w:r>
      <w:r w:rsidRPr="00BF17FF">
        <w:rPr>
          <w:rFonts w:ascii="Futura Bk BT" w:eastAsia="DejaVu Sans" w:hAnsi="Futura Bk BT" w:cs="Times New Roman"/>
          <w:sz w:val="22"/>
          <w:szCs w:val="22"/>
          <w:lang w:bidi="hi-IN"/>
        </w:rPr>
        <w:t>, sin embargo se incluyen, para estas dos estaciones de peaje</w:t>
      </w:r>
      <w:r w:rsidR="00655F54" w:rsidRPr="00BF17FF">
        <w:rPr>
          <w:rFonts w:ascii="Futura Bk BT" w:eastAsia="DejaVu Sans" w:hAnsi="Futura Bk BT" w:cs="Times New Roman"/>
          <w:sz w:val="22"/>
          <w:szCs w:val="22"/>
          <w:lang w:bidi="hi-IN"/>
        </w:rPr>
        <w:t xml:space="preserve"> CaseTabla y Yucao,</w:t>
      </w:r>
      <w:r w:rsidRPr="00BF17FF">
        <w:rPr>
          <w:rFonts w:ascii="Futura Bk BT" w:eastAsia="DejaVu Sans" w:hAnsi="Futura Bk BT" w:cs="Times New Roman"/>
          <w:sz w:val="22"/>
          <w:szCs w:val="22"/>
          <w:lang w:bidi="hi-IN"/>
        </w:rPr>
        <w:t xml:space="preserve"> tarifas diferenciales para todas </w:t>
      </w:r>
      <w:r w:rsidRPr="00BF17FF">
        <w:rPr>
          <w:rFonts w:ascii="Futura Bk BT" w:eastAsia="DejaVu Sans" w:hAnsi="Futura Bk BT" w:cs="Times New Roman"/>
          <w:sz w:val="22"/>
          <w:szCs w:val="22"/>
          <w:lang w:bidi="hi-IN"/>
        </w:rPr>
        <w:commentReference w:id="1"/>
      </w:r>
      <w:r w:rsidRPr="00BF17FF">
        <w:rPr>
          <w:rFonts w:ascii="Futura Bk BT" w:eastAsia="DejaVu Sans" w:hAnsi="Futura Bk BT" w:cs="Times New Roman"/>
          <w:sz w:val="22"/>
          <w:szCs w:val="22"/>
          <w:lang w:bidi="hi-IN"/>
        </w:rPr>
        <w:t xml:space="preserve">y cada una de las categorías, siendo los beneficiarios de estas los habitantes de Puerto López y Puerto Gaitán. </w:t>
      </w:r>
    </w:p>
    <w:p w:rsidR="00D01D9C" w:rsidRPr="00BF17FF" w:rsidRDefault="00D01D9C" w:rsidP="007C547A">
      <w:pPr>
        <w:pStyle w:val="Standard"/>
        <w:autoSpaceDE w:val="0"/>
        <w:jc w:val="both"/>
        <w:rPr>
          <w:rFonts w:ascii="Futura Bk BT" w:eastAsia="DejaVu Sans" w:hAnsi="Futura Bk BT" w:cs="Times New Roman"/>
          <w:sz w:val="22"/>
          <w:szCs w:val="22"/>
          <w:lang w:bidi="hi-IN"/>
        </w:rPr>
      </w:pPr>
    </w:p>
    <w:p w:rsidR="007C547A" w:rsidRPr="00BF17FF" w:rsidRDefault="00D01D9C"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día 11 de noviembre de 2015 se realizó socialización de la nueva propuesta de tarifas para los Peajes Yucao y Casetabla</w:t>
      </w:r>
      <w:r w:rsidR="008730E3">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en los Municipios de Puerto López y Puerto Gaitán, evento que contó con el acompañamiento de funcionarios de la ANI y el INVIAS</w:t>
      </w:r>
      <w:r w:rsidR="00A70FDC" w:rsidRPr="00BF17FF">
        <w:rPr>
          <w:rFonts w:ascii="Futura Bk BT" w:eastAsia="DejaVu Sans" w:hAnsi="Futura Bk BT" w:cs="Times New Roman"/>
          <w:sz w:val="22"/>
          <w:szCs w:val="22"/>
          <w:lang w:bidi="hi-IN"/>
        </w:rPr>
        <w:t>.</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Que </w:t>
      </w:r>
      <w:r w:rsidR="00F36491" w:rsidRPr="00BF17FF">
        <w:rPr>
          <w:rFonts w:ascii="Futura Bk BT" w:eastAsia="DejaVu Sans" w:hAnsi="Futura Bk BT" w:cs="Times New Roman"/>
          <w:sz w:val="22"/>
          <w:szCs w:val="22"/>
          <w:lang w:bidi="hi-IN"/>
        </w:rPr>
        <w:t>mediante comunicación</w:t>
      </w:r>
      <w:r w:rsidR="00326523" w:rsidRPr="00BF17FF">
        <w:rPr>
          <w:rFonts w:ascii="Futura Bk BT" w:eastAsia="DejaVu Sans" w:hAnsi="Futura Bk BT" w:cs="Times New Roman"/>
          <w:sz w:val="22"/>
          <w:szCs w:val="22"/>
          <w:lang w:bidi="hi-IN"/>
        </w:rPr>
        <w:t xml:space="preserve"> con</w:t>
      </w:r>
      <w:r w:rsidR="00F36491" w:rsidRPr="00BF17FF">
        <w:rPr>
          <w:rFonts w:ascii="Futura Bk BT" w:eastAsia="DejaVu Sans" w:hAnsi="Futura Bk BT" w:cs="Times New Roman"/>
          <w:sz w:val="22"/>
          <w:szCs w:val="22"/>
          <w:lang w:bidi="hi-IN"/>
        </w:rPr>
        <w:t xml:space="preserve"> </w:t>
      </w:r>
      <w:r w:rsidR="00FB57A5" w:rsidRPr="00BF17FF">
        <w:rPr>
          <w:rFonts w:ascii="Futura Bk BT" w:eastAsia="DejaVu Sans" w:hAnsi="Futura Bk BT" w:cs="Times New Roman"/>
          <w:sz w:val="22"/>
          <w:szCs w:val="22"/>
          <w:lang w:bidi="hi-IN"/>
        </w:rPr>
        <w:t>radicado</w:t>
      </w:r>
      <w:r w:rsidR="00F36491" w:rsidRPr="00BF17FF">
        <w:rPr>
          <w:rFonts w:ascii="Futura Bk BT" w:eastAsia="DejaVu Sans" w:hAnsi="Futura Bk BT" w:cs="Times New Roman"/>
          <w:sz w:val="22"/>
          <w:szCs w:val="22"/>
          <w:lang w:bidi="hi-IN"/>
        </w:rPr>
        <w:t xml:space="preserve"> ANI</w:t>
      </w:r>
      <w:r w:rsidR="00FB57A5" w:rsidRPr="00BF17FF">
        <w:rPr>
          <w:rFonts w:ascii="Futura Bk BT" w:eastAsia="DejaVu Sans" w:hAnsi="Futura Bk BT" w:cs="Times New Roman"/>
          <w:sz w:val="22"/>
          <w:szCs w:val="22"/>
          <w:lang w:bidi="hi-IN"/>
        </w:rPr>
        <w:t xml:space="preserve"> No. 2015-409-083677-2 de fecha 16 de diciembre de 2015</w:t>
      </w:r>
      <w:r w:rsidR="00F36491" w:rsidRPr="00BF17FF">
        <w:rPr>
          <w:rFonts w:ascii="Futura Bk BT" w:eastAsia="DejaVu Sans" w:hAnsi="Futura Bk BT" w:cs="Times New Roman"/>
          <w:sz w:val="22"/>
          <w:szCs w:val="22"/>
          <w:lang w:bidi="hi-IN"/>
        </w:rPr>
        <w:t>, la Concesión Vial de los Llanos hizo alusión a los acuerdos logrados respecto a</w:t>
      </w:r>
      <w:r w:rsidR="004526A9" w:rsidRPr="00BF17FF">
        <w:rPr>
          <w:rFonts w:ascii="Futura Bk BT" w:eastAsia="DejaVu Sans" w:hAnsi="Futura Bk BT" w:cs="Times New Roman"/>
          <w:sz w:val="22"/>
          <w:szCs w:val="22"/>
          <w:lang w:bidi="hi-IN"/>
        </w:rPr>
        <w:t xml:space="preserve"> la modificación de tarifas para el proyecto de Concesión Malla Vial del Meta I.P. y remitió el listado de las nuevas tarifas </w:t>
      </w:r>
      <w:r w:rsidR="00F36491" w:rsidRPr="00BF17FF">
        <w:rPr>
          <w:rFonts w:ascii="Futura Bk BT" w:eastAsia="DejaVu Sans" w:hAnsi="Futura Bk BT" w:cs="Times New Roman"/>
          <w:sz w:val="22"/>
          <w:szCs w:val="22"/>
          <w:lang w:bidi="hi-IN"/>
        </w:rPr>
        <w:t xml:space="preserve">concertadas para </w:t>
      </w:r>
      <w:r w:rsidRPr="00BF17FF">
        <w:rPr>
          <w:rFonts w:ascii="Futura Bk BT" w:eastAsia="DejaVu Sans" w:hAnsi="Futura Bk BT" w:cs="Times New Roman"/>
          <w:sz w:val="22"/>
          <w:szCs w:val="22"/>
          <w:lang w:bidi="hi-IN"/>
        </w:rPr>
        <w:t xml:space="preserve">las estaciones de peaje de CaseTabla y Yucao, además de incluir las nuevas categorías con tarifas </w:t>
      </w:r>
      <w:r w:rsidR="00326523" w:rsidRPr="00BF17FF">
        <w:rPr>
          <w:rFonts w:ascii="Futura Bk BT" w:eastAsia="DejaVu Sans" w:hAnsi="Futura Bk BT" w:cs="Times New Roman"/>
          <w:sz w:val="22"/>
          <w:szCs w:val="22"/>
          <w:lang w:bidi="hi-IN"/>
        </w:rPr>
        <w:t xml:space="preserve">especiales </w:t>
      </w:r>
      <w:r w:rsidRPr="00BF17FF">
        <w:rPr>
          <w:rFonts w:ascii="Futura Bk BT" w:eastAsia="DejaVu Sans" w:hAnsi="Futura Bk BT" w:cs="Times New Roman"/>
          <w:sz w:val="22"/>
          <w:szCs w:val="22"/>
          <w:lang w:bidi="hi-IN"/>
        </w:rPr>
        <w:t>diferenciales para la estación de peaje de Iracá. En las demás estaciones de peaje del proyecto no se modificará la estructura tarifaria descrita en la Resolución 1130 de 2015.</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Default="00470022" w:rsidP="007C547A">
      <w:pPr>
        <w:pStyle w:val="Standard"/>
        <w:autoSpaceDE w:val="0"/>
        <w:jc w:val="both"/>
        <w:rPr>
          <w:rFonts w:ascii="Futura Bk BT" w:eastAsia="Futura Bk BT" w:hAnsi="Futura Bk BT" w:cs="Futura Bk BT"/>
          <w:sz w:val="22"/>
          <w:szCs w:val="22"/>
        </w:rPr>
      </w:pPr>
      <w:r w:rsidRPr="00470022">
        <w:rPr>
          <w:rFonts w:ascii="Futura Bk BT" w:eastAsia="DejaVu Sans" w:hAnsi="Futura Bk BT" w:cs="Times New Roman"/>
          <w:sz w:val="22"/>
          <w:szCs w:val="22"/>
          <w:lang w:bidi="hi-IN"/>
        </w:rPr>
        <w:t xml:space="preserve">Que </w:t>
      </w:r>
      <w:r>
        <w:rPr>
          <w:rFonts w:ascii="Futura Bk BT" w:eastAsia="DejaVu Sans" w:hAnsi="Futura Bk BT" w:cs="Times New Roman"/>
          <w:sz w:val="22"/>
          <w:szCs w:val="22"/>
          <w:lang w:bidi="hi-IN"/>
        </w:rPr>
        <w:t xml:space="preserve">la adopción de las tarifas resultantes de las mesas de trabajo con las comunidades de Puerto López y Puerto Gaitán </w:t>
      </w:r>
      <w:r>
        <w:rPr>
          <w:rFonts w:ascii="Futura Bk BT" w:eastAsia="Futura Bk BT" w:hAnsi="Futura Bk BT" w:cs="Futura Bk BT"/>
          <w:sz w:val="22"/>
          <w:szCs w:val="22"/>
        </w:rPr>
        <w:t xml:space="preserve">mantienen </w:t>
      </w:r>
      <w:r w:rsidRPr="00365D20">
        <w:rPr>
          <w:rFonts w:ascii="Futura Bk BT" w:eastAsia="Futura Bk BT" w:hAnsi="Futura Bk BT" w:cs="Futura Bk BT"/>
          <w:sz w:val="22"/>
          <w:szCs w:val="22"/>
        </w:rPr>
        <w:t>las condiciones del modelo financiero y la ecuación financiera del contrato, por lo que la implementación de</w:t>
      </w:r>
      <w:r>
        <w:rPr>
          <w:rFonts w:ascii="Futura Bk BT" w:eastAsia="Futura Bk BT" w:hAnsi="Futura Bk BT" w:cs="Futura Bk BT"/>
          <w:sz w:val="22"/>
          <w:szCs w:val="22"/>
        </w:rPr>
        <w:t xml:space="preserve"> estas </w:t>
      </w:r>
      <w:r w:rsidRPr="00365D20">
        <w:rPr>
          <w:rFonts w:ascii="Futura Bk BT" w:eastAsia="Futura Bk BT" w:hAnsi="Futura Bk BT" w:cs="Futura Bk BT"/>
          <w:sz w:val="22"/>
          <w:szCs w:val="22"/>
        </w:rPr>
        <w:t>nuevas tarifas en el Contrato de Concesión, no representa desequilibrio financiero para el Contrato.</w:t>
      </w:r>
    </w:p>
    <w:p w:rsidR="00470022" w:rsidRDefault="00470022" w:rsidP="007C547A">
      <w:pPr>
        <w:pStyle w:val="Standard"/>
        <w:autoSpaceDE w:val="0"/>
        <w:jc w:val="both"/>
        <w:rPr>
          <w:rFonts w:ascii="Futura Bk BT" w:eastAsia="Futura Bk BT" w:hAnsi="Futura Bk BT" w:cs="Futura Bk BT"/>
          <w:sz w:val="22"/>
          <w:szCs w:val="22"/>
        </w:rPr>
      </w:pPr>
    </w:p>
    <w:p w:rsidR="00470022" w:rsidRPr="00BF17FF" w:rsidRDefault="00470022"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contenido de la presente Resolución, fue publicado en la página web de la Agencia Nacional de Infraestructura (ANI), desde el día xx de xxxxxx hasta el xx de xxxxxxx de 2015 en cumplimiento a lo determinado en el numeral 8 del artículo 8° de la Ley 1437 de 2011, con el objeto de recibir opiniones, sugerencias o propuestas alternativas.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los comentarios recibidos fueron evaluados, atendidos y los pertinentes fueron incorporados en el contenido del presente acto administrativo.</w:t>
      </w:r>
    </w:p>
    <w:p w:rsidR="00C450A8" w:rsidRPr="00BF17FF" w:rsidRDefault="00C450A8" w:rsidP="007C547A">
      <w:pPr>
        <w:pStyle w:val="Standard"/>
        <w:autoSpaceDE w:val="0"/>
        <w:jc w:val="both"/>
        <w:rPr>
          <w:rFonts w:ascii="Futura Bk BT" w:eastAsia="DejaVu Sans" w:hAnsi="Futura Bk BT" w:cs="Times New Roman"/>
          <w:sz w:val="22"/>
          <w:szCs w:val="22"/>
          <w:lang w:bidi="hi-IN"/>
        </w:rPr>
      </w:pPr>
    </w:p>
    <w:p w:rsidR="00C450A8" w:rsidRPr="00BF17FF" w:rsidRDefault="00C450A8"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Que el Ministerio de Transporte, considerando el impacto socioeconómico en la región, encuentra necesario adoptar medida</w:t>
      </w:r>
      <w:r w:rsidR="000F6F83" w:rsidRPr="00BF17FF">
        <w:rPr>
          <w:rFonts w:ascii="Futura Bk BT" w:eastAsia="DejaVu Sans" w:hAnsi="Futura Bk BT" w:cs="Times New Roman"/>
          <w:sz w:val="22"/>
          <w:szCs w:val="22"/>
          <w:lang w:bidi="hi-IN"/>
        </w:rPr>
        <w:t>s</w:t>
      </w:r>
      <w:r w:rsidRPr="00BF17FF">
        <w:rPr>
          <w:rFonts w:ascii="Futura Bk BT" w:eastAsia="DejaVu Sans" w:hAnsi="Futura Bk BT" w:cs="Times New Roman"/>
          <w:sz w:val="22"/>
          <w:szCs w:val="22"/>
          <w:lang w:bidi="hi-IN"/>
        </w:rPr>
        <w:t xml:space="preserve"> que debilite</w:t>
      </w:r>
      <w:r w:rsidR="000F6F83" w:rsidRPr="00BF17FF">
        <w:rPr>
          <w:rFonts w:ascii="Futura Bk BT" w:eastAsia="DejaVu Sans" w:hAnsi="Futura Bk BT" w:cs="Times New Roman"/>
          <w:sz w:val="22"/>
          <w:szCs w:val="22"/>
          <w:lang w:bidi="hi-IN"/>
        </w:rPr>
        <w:t>n</w:t>
      </w:r>
      <w:r w:rsidRPr="00BF17FF">
        <w:rPr>
          <w:rFonts w:ascii="Futura Bk BT" w:eastAsia="DejaVu Sans" w:hAnsi="Futura Bk BT" w:cs="Times New Roman"/>
          <w:sz w:val="22"/>
          <w:szCs w:val="22"/>
          <w:lang w:bidi="hi-IN"/>
        </w:rPr>
        <w:t xml:space="preserve"> los efectos sociales y económicos.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En mérito de lo expuesto,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center"/>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RESUELVE:</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ARTÍCULO </w:t>
      </w:r>
      <w:r w:rsidR="000755BA" w:rsidRPr="00BF17FF">
        <w:rPr>
          <w:rFonts w:ascii="Futura Bk BT" w:eastAsia="DejaVu Sans" w:hAnsi="Futura Bk BT" w:cs="Times New Roman"/>
          <w:sz w:val="22"/>
          <w:szCs w:val="22"/>
          <w:lang w:bidi="hi-IN"/>
        </w:rPr>
        <w:t>1</w:t>
      </w:r>
      <w:r w:rsidRPr="00BF17FF">
        <w:rPr>
          <w:rFonts w:ascii="Futura Bk BT" w:eastAsia="DejaVu Sans" w:hAnsi="Futura Bk BT" w:cs="Times New Roman"/>
          <w:sz w:val="22"/>
          <w:szCs w:val="22"/>
          <w:lang w:bidi="hi-IN"/>
        </w:rPr>
        <w:t>.-  Modificar parcialmente el Artículo Tercero de la Resolución No. 0001130 de 28 de abril de 2015 quedando así:</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Establecer las siguientes categorías vehiculares y tarifas que podrá cobrar el Concesionario a partir de la entrada en vigencia de la presente Resolución, a todos los usuarios en las estaciones de peaje de CaseTabla y Yucao. </w:t>
      </w:r>
      <w:r w:rsidR="00470022">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La estructura tarifaria se expresa en pesos del 1° de enero del año 2015 y para establecer la tarifa que será cobrada, ésta deberá ser indexada con el Indicie de Precios al Consumidor (IPC) registrado entre el primero de enero de 2015 y </w:t>
      </w:r>
      <w:r w:rsidR="006C30DB" w:rsidRPr="00BF17FF">
        <w:rPr>
          <w:rFonts w:ascii="Futura Bk BT" w:eastAsia="DejaVu Sans" w:hAnsi="Futura Bk BT" w:cs="Times New Roman"/>
          <w:sz w:val="22"/>
          <w:szCs w:val="22"/>
          <w:lang w:bidi="hi-IN"/>
        </w:rPr>
        <w:t xml:space="preserve">el </w:t>
      </w:r>
      <w:r w:rsidRPr="00BF17FF">
        <w:rPr>
          <w:rFonts w:ascii="Futura Bk BT" w:eastAsia="DejaVu Sans" w:hAnsi="Futura Bk BT" w:cs="Times New Roman"/>
          <w:sz w:val="22"/>
          <w:szCs w:val="22"/>
          <w:lang w:bidi="hi-IN"/>
        </w:rPr>
        <w:t xml:space="preserve">mes en que el concesionario comience el cobro de estas nuevas tarifas según las categorías vehiculares en cada una de las estaciones de peaje y de conformidad con las </w:t>
      </w:r>
      <w:r w:rsidR="006C30DB" w:rsidRPr="00BF17FF">
        <w:rPr>
          <w:rFonts w:ascii="Futura Bk BT" w:eastAsia="DejaVu Sans" w:hAnsi="Futura Bk BT" w:cs="Times New Roman"/>
          <w:sz w:val="22"/>
          <w:szCs w:val="22"/>
          <w:lang w:bidi="hi-IN"/>
        </w:rPr>
        <w:t>estipulaciones</w:t>
      </w:r>
      <w:r w:rsidRPr="00BF17FF">
        <w:rPr>
          <w:rFonts w:ascii="Futura Bk BT" w:eastAsia="DejaVu Sans" w:hAnsi="Futura Bk BT" w:cs="Times New Roman"/>
          <w:sz w:val="22"/>
          <w:szCs w:val="22"/>
          <w:lang w:bidi="hi-IN"/>
        </w:rPr>
        <w:t xml:space="preserve"> definidas en el Contrato de Concesión No. 004 de 2015</w:t>
      </w:r>
      <w:r w:rsidR="006C30DB" w:rsidRPr="00BF17FF">
        <w:rPr>
          <w:rFonts w:ascii="Futura Bk BT" w:eastAsia="DejaVu Sans" w:hAnsi="Futura Bk BT" w:cs="Times New Roman"/>
          <w:sz w:val="22"/>
          <w:szCs w:val="22"/>
          <w:lang w:bidi="hi-IN"/>
        </w:rPr>
        <w:t xml:space="preserve"> y en especial en el otrosí </w:t>
      </w:r>
      <w:r w:rsidR="00D72A12" w:rsidRPr="00BF17FF">
        <w:rPr>
          <w:rFonts w:ascii="Futura Bk BT" w:eastAsia="DejaVu Sans" w:hAnsi="Futura Bk BT" w:cs="Times New Roman"/>
          <w:sz w:val="22"/>
          <w:szCs w:val="22"/>
          <w:lang w:bidi="hi-IN"/>
        </w:rPr>
        <w:t xml:space="preserve">al contrato </w:t>
      </w:r>
      <w:r w:rsidR="006C30DB" w:rsidRPr="00BF17FF">
        <w:rPr>
          <w:rFonts w:ascii="Futura Bk BT" w:eastAsia="DejaVu Sans" w:hAnsi="Futura Bk BT" w:cs="Times New Roman"/>
          <w:sz w:val="22"/>
          <w:szCs w:val="22"/>
          <w:lang w:bidi="hi-IN"/>
        </w:rPr>
        <w:t>que se suscriba para adoptar la presente resolución,</w:t>
      </w:r>
      <w:r w:rsidRPr="00BF17FF">
        <w:rPr>
          <w:rFonts w:ascii="Futura Bk BT" w:eastAsia="DejaVu Sans" w:hAnsi="Futura Bk BT" w:cs="Times New Roman"/>
          <w:sz w:val="22"/>
          <w:szCs w:val="22"/>
          <w:lang w:bidi="hi-IN"/>
        </w:rPr>
        <w:t xml:space="preserve"> así:</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tbl>
      <w:tblPr>
        <w:tblW w:w="7648" w:type="dxa"/>
        <w:jc w:val="center"/>
        <w:tblCellMar>
          <w:left w:w="10" w:type="dxa"/>
          <w:right w:w="10" w:type="dxa"/>
        </w:tblCellMar>
        <w:tblLook w:val="0000" w:firstRow="0" w:lastRow="0" w:firstColumn="0" w:lastColumn="0" w:noHBand="0" w:noVBand="0"/>
      </w:tblPr>
      <w:tblGrid>
        <w:gridCol w:w="1355"/>
        <w:gridCol w:w="1643"/>
        <w:gridCol w:w="2575"/>
        <w:gridCol w:w="2075"/>
      </w:tblGrid>
      <w:tr w:rsidR="007C547A" w:rsidRPr="00BF17FF" w:rsidTr="00C66A31">
        <w:trPr>
          <w:trHeight w:val="202"/>
          <w:jc w:val="center"/>
        </w:trPr>
        <w:tc>
          <w:tcPr>
            <w:tcW w:w="138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2"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Estaciones de  Peaje</w:t>
            </w:r>
          </w:p>
        </w:tc>
        <w:tc>
          <w:tcPr>
            <w:tcW w:w="1527"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2"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CATEGORÍAS</w:t>
            </w:r>
          </w:p>
        </w:tc>
        <w:tc>
          <w:tcPr>
            <w:tcW w:w="3041"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2"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DESCRIPCIÓN</w:t>
            </w:r>
          </w:p>
        </w:tc>
        <w:tc>
          <w:tcPr>
            <w:tcW w:w="1691"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Tarifa *</w:t>
            </w:r>
          </w:p>
        </w:tc>
      </w:tr>
      <w:tr w:rsidR="007C547A" w:rsidRPr="00BF17FF" w:rsidTr="00C66A31">
        <w:trPr>
          <w:trHeight w:val="432"/>
          <w:jc w:val="center"/>
        </w:trPr>
        <w:tc>
          <w:tcPr>
            <w:tcW w:w="1389" w:type="dxa"/>
            <w:vMerge w:val="restart"/>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xml:space="preserve">Casetabla </w:t>
            </w:r>
          </w:p>
          <w:p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y Yucao</w:t>
            </w:r>
          </w:p>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 </w:t>
            </w: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Automóviles, camperos y camionetas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5.700</w:t>
            </w:r>
          </w:p>
        </w:tc>
      </w:tr>
      <w:tr w:rsidR="007C547A" w:rsidRPr="00BF17FF" w:rsidTr="00C66A31">
        <w:trPr>
          <w:trHeight w:val="201"/>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1"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1"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Automóviles, camperos y camionetas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1"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3.600</w:t>
            </w:r>
          </w:p>
        </w:tc>
      </w:tr>
      <w:tr w:rsidR="007C547A" w:rsidRPr="00BF17FF" w:rsidTr="00C66A31">
        <w:trPr>
          <w:trHeight w:val="201"/>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1"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1"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Buses, busetas, microbuses con eje trasero de doble llanta</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201"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5.700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Buses, busetas, microbuses con eje trasero de doble llanta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3.400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pequeños de dos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14.200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IIIE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pequeños de dos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9.100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IV</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grandes de dos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23.800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IVE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grandes de dos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15.300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tres y cuatro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35.600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tres y cuatro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17.700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cinco ejes</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46.900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cinco ejes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30.300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VII</w:t>
            </w:r>
          </w:p>
        </w:tc>
        <w:tc>
          <w:tcPr>
            <w:tcW w:w="3041" w:type="dxa"/>
            <w:tcBorders>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seis ejes o más</w:t>
            </w:r>
          </w:p>
        </w:tc>
        <w:tc>
          <w:tcPr>
            <w:tcW w:w="1691" w:type="dxa"/>
            <w:tcBorders>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53.800</w:t>
            </w:r>
          </w:p>
        </w:tc>
      </w:tr>
      <w:tr w:rsidR="007C547A" w:rsidRPr="00BF17FF" w:rsidTr="00C66A31">
        <w:trPr>
          <w:trHeight w:val="105"/>
          <w:jc w:val="center"/>
        </w:trPr>
        <w:tc>
          <w:tcPr>
            <w:tcW w:w="1389" w:type="dxa"/>
            <w:vMerge/>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p>
        </w:tc>
        <w:tc>
          <w:tcPr>
            <w:tcW w:w="1527"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Categoría VIIE</w:t>
            </w:r>
          </w:p>
        </w:tc>
        <w:tc>
          <w:tcPr>
            <w:tcW w:w="304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Camiones de seis ejes o más con Beneficio de Tarifa diferencial</w:t>
            </w:r>
          </w:p>
        </w:tc>
        <w:tc>
          <w:tcPr>
            <w:tcW w:w="1691"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BF17FF" w:rsidRDefault="007C547A" w:rsidP="00C66A31">
            <w:pPr>
              <w:spacing w:line="105" w:lineRule="atLeast"/>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34.800</w:t>
            </w:r>
            <w:r w:rsidRPr="00BF17FF">
              <w:rPr>
                <w:rFonts w:ascii="Futura Bk BT" w:eastAsia="DejaVu Sans" w:hAnsi="Futura Bk BT"/>
                <w:kern w:val="3"/>
                <w:sz w:val="22"/>
                <w:szCs w:val="22"/>
                <w:lang w:val="es-ES" w:eastAsia="zh-CN" w:bidi="hi-IN"/>
              </w:rPr>
              <w:commentReference w:id="2"/>
            </w:r>
          </w:p>
        </w:tc>
      </w:tr>
    </w:tbl>
    <w:p w:rsidR="007C547A"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rsidR="001C431A" w:rsidRDefault="001C431A" w:rsidP="007C547A">
      <w:pPr>
        <w:pStyle w:val="Standard"/>
        <w:autoSpaceDE w:val="0"/>
        <w:jc w:val="both"/>
        <w:rPr>
          <w:rFonts w:ascii="Futura Bk BT" w:eastAsia="DejaVu Sans" w:hAnsi="Futura Bk BT" w:cs="Times New Roman"/>
          <w:sz w:val="22"/>
          <w:szCs w:val="22"/>
          <w:lang w:bidi="hi-IN"/>
        </w:rPr>
      </w:pPr>
    </w:p>
    <w:p w:rsidR="001C431A" w:rsidRPr="00BF17FF" w:rsidRDefault="001C431A" w:rsidP="001C431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Parágrafo 1°. Las tarifas de peaje de que trata el presente Artículo se actualizarán cada año a partir del mes de enero del 2017</w:t>
      </w:r>
      <w:r w:rsidR="008730E3">
        <w:rPr>
          <w:rFonts w:ascii="Futura Bk BT" w:eastAsia="DejaVu Sans" w:hAnsi="Futura Bk BT" w:cs="Times New Roman"/>
          <w:sz w:val="22"/>
          <w:szCs w:val="22"/>
          <w:lang w:bidi="hi-IN"/>
        </w:rPr>
        <w:t xml:space="preserve">, </w:t>
      </w:r>
      <w:r w:rsidRPr="00BF17FF">
        <w:rPr>
          <w:rFonts w:ascii="Futura Bk BT" w:eastAsia="DejaVu Sans" w:hAnsi="Futura Bk BT" w:cs="Times New Roman"/>
          <w:sz w:val="22"/>
          <w:szCs w:val="22"/>
          <w:lang w:bidi="hi-IN"/>
        </w:rPr>
        <w:t xml:space="preserve">de acuerdo </w:t>
      </w:r>
      <w:r w:rsidR="008730E3">
        <w:rPr>
          <w:rFonts w:ascii="Futura Bk BT" w:eastAsia="DejaVu Sans" w:hAnsi="Futura Bk BT" w:cs="Times New Roman"/>
          <w:sz w:val="22"/>
          <w:szCs w:val="22"/>
          <w:lang w:bidi="hi-IN"/>
        </w:rPr>
        <w:t xml:space="preserve">con </w:t>
      </w:r>
      <w:r w:rsidRPr="00BF17FF">
        <w:rPr>
          <w:rFonts w:ascii="Futura Bk BT" w:eastAsia="DejaVu Sans" w:hAnsi="Futura Bk BT" w:cs="Times New Roman"/>
          <w:sz w:val="22"/>
          <w:szCs w:val="22"/>
          <w:lang w:bidi="hi-IN"/>
        </w:rPr>
        <w:t xml:space="preserve">lo establecido en Contrato de Concesión </w:t>
      </w:r>
      <w:r w:rsidR="008730E3">
        <w:rPr>
          <w:rFonts w:ascii="Futura Bk BT" w:eastAsia="DejaVu Sans" w:hAnsi="Futura Bk BT" w:cs="Times New Roman"/>
          <w:sz w:val="22"/>
          <w:szCs w:val="22"/>
          <w:lang w:bidi="hi-IN"/>
        </w:rPr>
        <w:t xml:space="preserve">No. </w:t>
      </w:r>
      <w:r w:rsidRPr="00BF17FF">
        <w:rPr>
          <w:rFonts w:ascii="Futura Bk BT" w:eastAsia="DejaVu Sans" w:hAnsi="Futura Bk BT" w:cs="Times New Roman"/>
          <w:sz w:val="22"/>
          <w:szCs w:val="22"/>
          <w:lang w:bidi="hi-IN"/>
        </w:rPr>
        <w:t xml:space="preserve">004 del 5 de mayo de 2015 y deberán ser ajustadas a la centena más cercana con el fin de facilitar el recaudo por parte del concesionario.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Default="00470022"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ART</w:t>
      </w:r>
      <w:r>
        <w:rPr>
          <w:rFonts w:ascii="Futura Bk BT" w:eastAsia="DejaVu Sans" w:hAnsi="Futura Bk BT" w:cs="Times New Roman" w:hint="cs"/>
          <w:sz w:val="22"/>
          <w:szCs w:val="22"/>
          <w:lang w:bidi="hi-IN"/>
        </w:rPr>
        <w:t>Í</w:t>
      </w:r>
      <w:r>
        <w:rPr>
          <w:rFonts w:ascii="Futura Bk BT" w:eastAsia="DejaVu Sans" w:hAnsi="Futura Bk BT" w:cs="Times New Roman"/>
          <w:sz w:val="22"/>
          <w:szCs w:val="22"/>
          <w:lang w:bidi="hi-IN"/>
        </w:rPr>
        <w:t>CULO</w:t>
      </w:r>
      <w:r w:rsidR="006B6E86">
        <w:rPr>
          <w:rFonts w:ascii="Futura Bk BT" w:eastAsia="DejaVu Sans" w:hAnsi="Futura Bk BT" w:cs="Times New Roman"/>
          <w:sz w:val="22"/>
          <w:szCs w:val="22"/>
          <w:lang w:bidi="hi-IN"/>
        </w:rPr>
        <w:t xml:space="preserve"> 2. </w:t>
      </w:r>
      <w:r w:rsidR="006C3655">
        <w:rPr>
          <w:rFonts w:ascii="Futura Bk BT" w:eastAsia="DejaVu Sans" w:hAnsi="Futura Bk BT" w:cs="Times New Roman"/>
          <w:sz w:val="22"/>
          <w:szCs w:val="22"/>
          <w:lang w:bidi="hi-IN"/>
        </w:rPr>
        <w:t>Modificar el Artículo 4 de la Resolución No.1130 en el sentido de adicionar las siguientes tarifas diferenciales especiales</w:t>
      </w:r>
      <w:r w:rsidR="007C547A" w:rsidRPr="00BF17FF">
        <w:rPr>
          <w:rFonts w:ascii="Futura Bk BT" w:eastAsia="DejaVu Sans" w:hAnsi="Futura Bk BT" w:cs="Times New Roman"/>
          <w:sz w:val="22"/>
          <w:szCs w:val="22"/>
          <w:lang w:bidi="hi-IN"/>
        </w:rPr>
        <w:t xml:space="preserve">, </w:t>
      </w:r>
      <w:r w:rsidR="006C3655">
        <w:rPr>
          <w:rFonts w:ascii="Futura Bk BT" w:eastAsia="DejaVu Sans" w:hAnsi="Futura Bk BT" w:cs="Times New Roman"/>
          <w:sz w:val="22"/>
          <w:szCs w:val="22"/>
          <w:lang w:bidi="hi-IN"/>
        </w:rPr>
        <w:t xml:space="preserve">para dar continuidad al beneficio otorgado desde </w:t>
      </w:r>
      <w:r w:rsidR="00F72752">
        <w:rPr>
          <w:rFonts w:ascii="Futura Bk BT" w:eastAsia="DejaVu Sans" w:hAnsi="Futura Bk BT" w:cs="Times New Roman"/>
          <w:sz w:val="22"/>
          <w:szCs w:val="22"/>
          <w:lang w:bidi="hi-IN"/>
        </w:rPr>
        <w:t>la concesión anterior, de la siguiente manera:</w:t>
      </w:r>
    </w:p>
    <w:p w:rsidR="00F72752" w:rsidRDefault="00F72752" w:rsidP="007C547A">
      <w:pPr>
        <w:pStyle w:val="Standard"/>
        <w:autoSpaceDE w:val="0"/>
        <w:jc w:val="both"/>
        <w:rPr>
          <w:rFonts w:ascii="Futura Bk BT" w:eastAsia="DejaVu Sans" w:hAnsi="Futura Bk BT" w:cs="Times New Roman"/>
          <w:sz w:val="22"/>
          <w:szCs w:val="22"/>
          <w:lang w:bidi="hi-IN"/>
        </w:rPr>
      </w:pPr>
    </w:p>
    <w:p w:rsidR="00F72752" w:rsidRPr="00BF17FF" w:rsidRDefault="00F72752"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Para el peaje IRACA:</w:t>
      </w:r>
    </w:p>
    <w:p w:rsidR="00C450A8" w:rsidRPr="00BF17FF" w:rsidRDefault="00C450A8"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C450A8" w:rsidRPr="00365D20" w:rsidTr="004F7270">
        <w:trPr>
          <w:trHeight w:val="649"/>
          <w:jc w:val="center"/>
        </w:trPr>
        <w:tc>
          <w:tcPr>
            <w:tcW w:w="240" w:type="dxa"/>
            <w:tcBorders>
              <w:top w:val="nil"/>
              <w:left w:val="nil"/>
              <w:bottom w:val="nil"/>
              <w:right w:val="nil"/>
            </w:tcBorders>
            <w:shd w:val="clear" w:color="auto" w:fill="auto"/>
            <w:noWrap/>
            <w:vAlign w:val="bottom"/>
            <w:hideMark/>
          </w:tcPr>
          <w:p w:rsidR="00C450A8" w:rsidRPr="00365D20" w:rsidRDefault="00C450A8"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C450A8" w:rsidRPr="00365D20" w:rsidTr="004F7270">
        <w:trPr>
          <w:trHeight w:val="315"/>
          <w:jc w:val="center"/>
        </w:trPr>
        <w:tc>
          <w:tcPr>
            <w:tcW w:w="240" w:type="dxa"/>
            <w:tcBorders>
              <w:top w:val="nil"/>
              <w:left w:val="nil"/>
              <w:bottom w:val="nil"/>
              <w:right w:val="nil"/>
            </w:tcBorders>
            <w:shd w:val="clear" w:color="auto" w:fill="auto"/>
            <w:noWrap/>
            <w:vAlign w:val="bottom"/>
          </w:tcPr>
          <w:p w:rsidR="00C450A8" w:rsidRPr="00365D20" w:rsidRDefault="00C450A8"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IE</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cincuenta y nueve (59) vehículos categoría I de servicio público taxi</w:t>
            </w:r>
            <w:r w:rsidR="00470022" w:rsidRPr="00365D20">
              <w:rPr>
                <w:rFonts w:ascii="Futura Bk BT" w:eastAsia="DejaVu Sans" w:hAnsi="Futura Bk BT"/>
                <w:kern w:val="3"/>
                <w:sz w:val="20"/>
                <w:lang w:val="es-ES" w:eastAsia="zh-CN" w:bidi="hi-IN"/>
              </w:rPr>
              <w:t xml:space="preserve"> </w:t>
            </w:r>
          </w:p>
        </w:tc>
        <w:tc>
          <w:tcPr>
            <w:tcW w:w="1054" w:type="dxa"/>
            <w:tcBorders>
              <w:top w:val="single" w:sz="4" w:space="0" w:color="auto"/>
              <w:left w:val="nil"/>
              <w:bottom w:val="single" w:sz="4" w:space="0" w:color="auto"/>
              <w:right w:val="double" w:sz="6"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3.200,00</w:t>
            </w:r>
          </w:p>
        </w:tc>
      </w:tr>
    </w:tbl>
    <w:p w:rsidR="007C547A" w:rsidRPr="00BF17FF" w:rsidRDefault="006C3655"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 </w:t>
      </w:r>
      <w:r w:rsidR="007C547A" w:rsidRPr="00BF17FF">
        <w:rPr>
          <w:rFonts w:ascii="Futura Bk BT" w:eastAsia="DejaVu Sans" w:hAnsi="Futura Bk BT" w:cs="Times New Roman"/>
          <w:sz w:val="22"/>
          <w:szCs w:val="22"/>
          <w:lang w:bidi="hi-IN"/>
        </w:rPr>
        <w:t>*No incluye Fosevi – Tarifas expresadas en pesos del 1° de enero de 2015</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F72752" w:rsidRDefault="00F72752" w:rsidP="007C547A">
      <w:pPr>
        <w:pStyle w:val="Standard"/>
        <w:autoSpaceDE w:val="0"/>
        <w:jc w:val="both"/>
        <w:rPr>
          <w:rFonts w:ascii="Futura Bk BT" w:eastAsia="DejaVu Sans" w:hAnsi="Futura Bk BT" w:cs="Times New Roman"/>
          <w:sz w:val="22"/>
          <w:szCs w:val="22"/>
          <w:lang w:bidi="hi-IN"/>
        </w:rPr>
      </w:pPr>
    </w:p>
    <w:p w:rsidR="00F72752" w:rsidRDefault="00F72752" w:rsidP="007C547A">
      <w:pPr>
        <w:pStyle w:val="Standard"/>
        <w:autoSpaceDE w:val="0"/>
        <w:jc w:val="both"/>
        <w:rPr>
          <w:rFonts w:ascii="Futura Bk BT" w:eastAsia="DejaVu Sans" w:hAnsi="Futura Bk BT" w:cs="Times New Roman"/>
          <w:sz w:val="22"/>
          <w:szCs w:val="22"/>
          <w:lang w:bidi="hi-IN"/>
        </w:rPr>
      </w:pPr>
    </w:p>
    <w:p w:rsidR="00F72752" w:rsidRDefault="00F72752"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 xml:space="preserve">Para los peajes Iraca y Ocoa </w:t>
      </w:r>
      <w:r w:rsidR="007C547A" w:rsidRPr="00BF17FF">
        <w:rPr>
          <w:rFonts w:ascii="Futura Bk BT" w:eastAsia="DejaVu Sans" w:hAnsi="Futura Bk BT" w:cs="Times New Roman"/>
          <w:sz w:val="22"/>
          <w:szCs w:val="22"/>
          <w:lang w:bidi="hi-IN"/>
        </w:rPr>
        <w:t xml:space="preserve"> </w:t>
      </w:r>
    </w:p>
    <w:p w:rsidR="00F72752" w:rsidRDefault="00F72752" w:rsidP="007C547A">
      <w:pPr>
        <w:pStyle w:val="Standard"/>
        <w:autoSpaceDE w:val="0"/>
        <w:jc w:val="both"/>
        <w:rPr>
          <w:rFonts w:ascii="Futura Bk BT" w:eastAsia="DejaVu Sans" w:hAnsi="Futura Bk BT" w:cs="Times New Roman"/>
          <w:sz w:val="22"/>
          <w:szCs w:val="22"/>
          <w:lang w:bidi="hi-IN"/>
        </w:rPr>
      </w:pPr>
    </w:p>
    <w:p w:rsidR="007E5DAB" w:rsidRPr="00BF17FF" w:rsidRDefault="00F72752" w:rsidP="007E5DAB">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Categoría IEE</w:t>
      </w:r>
      <w:r w:rsidR="007C547A" w:rsidRPr="00BF17FF">
        <w:rPr>
          <w:rFonts w:ascii="Futura Bk BT" w:eastAsia="DejaVu Sans" w:hAnsi="Futura Bk BT" w:cs="Times New Roman"/>
          <w:sz w:val="22"/>
          <w:szCs w:val="22"/>
          <w:lang w:bidi="hi-IN"/>
        </w:rPr>
        <w:t>.</w:t>
      </w:r>
      <w:r w:rsidR="007E5DAB">
        <w:rPr>
          <w:rFonts w:ascii="Futura Bk BT" w:eastAsia="DejaVu Sans" w:hAnsi="Futura Bk BT" w:cs="Times New Roman"/>
          <w:sz w:val="22"/>
          <w:szCs w:val="22"/>
          <w:lang w:bidi="hi-IN"/>
        </w:rPr>
        <w:t xml:space="preserve"> </w:t>
      </w:r>
      <w:r w:rsidR="007E5DAB" w:rsidRPr="00BF17FF">
        <w:rPr>
          <w:rFonts w:ascii="Futura Bk BT" w:eastAsia="DejaVu Sans" w:hAnsi="Futura Bk BT" w:cs="Times New Roman"/>
          <w:sz w:val="22"/>
          <w:szCs w:val="22"/>
          <w:lang w:bidi="hi-IN"/>
        </w:rPr>
        <w:t xml:space="preserve"> </w:t>
      </w:r>
      <w:r w:rsidR="007E5DAB">
        <w:rPr>
          <w:rFonts w:ascii="Futura Bk BT" w:eastAsia="DejaVu Sans" w:hAnsi="Futura Bk BT" w:cs="Times New Roman"/>
          <w:sz w:val="22"/>
          <w:szCs w:val="22"/>
          <w:lang w:bidi="hi-IN"/>
        </w:rPr>
        <w:t>P</w:t>
      </w:r>
      <w:r w:rsidR="007E5DAB" w:rsidRPr="00BF17FF">
        <w:rPr>
          <w:rFonts w:ascii="Futura Bk BT" w:eastAsia="DejaVu Sans" w:hAnsi="Futura Bk BT" w:cs="Times New Roman"/>
          <w:sz w:val="22"/>
          <w:szCs w:val="22"/>
          <w:lang w:bidi="hi-IN"/>
        </w:rPr>
        <w:t>odrán transitar por las estaciones de Ocoa e Iracá con este beneficio:</w:t>
      </w:r>
    </w:p>
    <w:p w:rsidR="007E5DAB" w:rsidRDefault="007E5DAB" w:rsidP="007E5DAB">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C450A8" w:rsidRPr="00BF17FF" w:rsidRDefault="00C450A8"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C450A8" w:rsidRPr="00365D20" w:rsidTr="004F7270">
        <w:trPr>
          <w:trHeight w:val="649"/>
          <w:jc w:val="center"/>
        </w:trPr>
        <w:tc>
          <w:tcPr>
            <w:tcW w:w="240" w:type="dxa"/>
            <w:tcBorders>
              <w:top w:val="nil"/>
              <w:left w:val="nil"/>
              <w:bottom w:val="nil"/>
              <w:right w:val="nil"/>
            </w:tcBorders>
            <w:shd w:val="clear" w:color="auto" w:fill="auto"/>
            <w:noWrap/>
            <w:vAlign w:val="bottom"/>
            <w:hideMark/>
          </w:tcPr>
          <w:p w:rsidR="00C450A8" w:rsidRPr="00365D20" w:rsidRDefault="00C450A8"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C450A8" w:rsidRPr="00365D20" w:rsidTr="004F7270">
        <w:trPr>
          <w:trHeight w:val="315"/>
          <w:jc w:val="center"/>
        </w:trPr>
        <w:tc>
          <w:tcPr>
            <w:tcW w:w="240" w:type="dxa"/>
            <w:tcBorders>
              <w:top w:val="nil"/>
              <w:left w:val="nil"/>
              <w:bottom w:val="nil"/>
              <w:right w:val="nil"/>
            </w:tcBorders>
            <w:shd w:val="clear" w:color="auto" w:fill="auto"/>
            <w:noWrap/>
            <w:vAlign w:val="bottom"/>
          </w:tcPr>
          <w:p w:rsidR="00C450A8" w:rsidRPr="00365D20" w:rsidRDefault="00C450A8"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IEE</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diecinueve (19) vehículos categoría I de servicio público colectivo</w:t>
            </w:r>
          </w:p>
        </w:tc>
        <w:tc>
          <w:tcPr>
            <w:tcW w:w="1054" w:type="dxa"/>
            <w:tcBorders>
              <w:top w:val="single" w:sz="4" w:space="0" w:color="auto"/>
              <w:left w:val="nil"/>
              <w:bottom w:val="single" w:sz="4" w:space="0" w:color="auto"/>
              <w:right w:val="double" w:sz="6"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5.900,00</w:t>
            </w:r>
          </w:p>
        </w:tc>
      </w:tr>
    </w:tbl>
    <w:p w:rsidR="00C450A8" w:rsidRPr="00BF17FF" w:rsidRDefault="00C450A8" w:rsidP="00C450A8">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rsidR="00C450A8" w:rsidRPr="00BF17FF" w:rsidRDefault="00C450A8"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F72752"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sz w:val="22"/>
          <w:szCs w:val="22"/>
          <w:lang w:bidi="hi-IN"/>
        </w:rPr>
        <w:t>CATEGORIA IIE</w:t>
      </w:r>
      <w:r>
        <w:rPr>
          <w:rFonts w:ascii="Futura Bk BT" w:eastAsia="DejaVu Sans" w:hAnsi="Futura Bk BT"/>
          <w:sz w:val="22"/>
          <w:szCs w:val="22"/>
          <w:lang w:bidi="hi-IN"/>
        </w:rPr>
        <w:t>.</w:t>
      </w:r>
    </w:p>
    <w:p w:rsidR="00C450A8" w:rsidRPr="00BF17FF" w:rsidRDefault="00C450A8"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C450A8" w:rsidRPr="00365D20" w:rsidTr="004F7270">
        <w:trPr>
          <w:trHeight w:val="649"/>
          <w:jc w:val="center"/>
        </w:trPr>
        <w:tc>
          <w:tcPr>
            <w:tcW w:w="240" w:type="dxa"/>
            <w:tcBorders>
              <w:top w:val="nil"/>
              <w:left w:val="nil"/>
              <w:bottom w:val="nil"/>
              <w:right w:val="nil"/>
            </w:tcBorders>
            <w:shd w:val="clear" w:color="auto" w:fill="auto"/>
            <w:noWrap/>
            <w:vAlign w:val="bottom"/>
            <w:hideMark/>
          </w:tcPr>
          <w:p w:rsidR="00C450A8" w:rsidRPr="00365D20" w:rsidRDefault="00C450A8"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C450A8" w:rsidRPr="00365D20" w:rsidTr="004F7270">
        <w:trPr>
          <w:trHeight w:val="315"/>
          <w:jc w:val="center"/>
        </w:trPr>
        <w:tc>
          <w:tcPr>
            <w:tcW w:w="240" w:type="dxa"/>
            <w:tcBorders>
              <w:top w:val="nil"/>
              <w:left w:val="nil"/>
              <w:bottom w:val="nil"/>
              <w:right w:val="nil"/>
            </w:tcBorders>
            <w:shd w:val="clear" w:color="auto" w:fill="auto"/>
            <w:noWrap/>
            <w:vAlign w:val="bottom"/>
          </w:tcPr>
          <w:p w:rsidR="00C450A8" w:rsidRPr="00365D20" w:rsidRDefault="00C450A8"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IIE</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C450A8" w:rsidRPr="00365D20" w:rsidRDefault="00C450A8"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 especial diferencial para dieciocho (18) vehículos de servicio público “buseta” de la categoría II</w:t>
            </w:r>
          </w:p>
        </w:tc>
        <w:tc>
          <w:tcPr>
            <w:tcW w:w="1054" w:type="dxa"/>
            <w:tcBorders>
              <w:top w:val="single" w:sz="4" w:space="0" w:color="auto"/>
              <w:left w:val="nil"/>
              <w:bottom w:val="single" w:sz="4" w:space="0" w:color="auto"/>
              <w:right w:val="double" w:sz="6" w:space="0" w:color="auto"/>
            </w:tcBorders>
            <w:shd w:val="clear" w:color="auto" w:fill="auto"/>
            <w:noWrap/>
            <w:vAlign w:val="bottom"/>
          </w:tcPr>
          <w:p w:rsidR="00C450A8" w:rsidRPr="00365D20" w:rsidRDefault="00C450A8" w:rsidP="00C450A8">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10.200</w:t>
            </w:r>
          </w:p>
        </w:tc>
      </w:tr>
    </w:tbl>
    <w:p w:rsidR="00C450A8" w:rsidRPr="00BF17FF" w:rsidRDefault="00C450A8" w:rsidP="007C547A">
      <w:pPr>
        <w:pStyle w:val="Standard"/>
        <w:autoSpaceDE w:val="0"/>
        <w:jc w:val="both"/>
        <w:rPr>
          <w:rFonts w:ascii="Futura Bk BT" w:eastAsia="DejaVu Sans" w:hAnsi="Futura Bk BT" w:cs="Times New Roman"/>
          <w:sz w:val="22"/>
          <w:szCs w:val="22"/>
          <w:lang w:bidi="hi-IN"/>
        </w:rPr>
      </w:pPr>
    </w:p>
    <w:p w:rsidR="007C547A"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incluye Fosevi – Tarifas expresadas en pesos del 1° de enero de 2015</w:t>
      </w:r>
    </w:p>
    <w:p w:rsidR="001C431A" w:rsidRDefault="001C431A" w:rsidP="007C547A">
      <w:pPr>
        <w:pStyle w:val="Standard"/>
        <w:autoSpaceDE w:val="0"/>
        <w:jc w:val="both"/>
        <w:rPr>
          <w:rFonts w:ascii="Futura Bk BT" w:eastAsia="DejaVu Sans" w:hAnsi="Futura Bk BT" w:cs="Times New Roman"/>
          <w:sz w:val="22"/>
          <w:szCs w:val="22"/>
          <w:lang w:bidi="hi-IN"/>
        </w:rPr>
      </w:pPr>
    </w:p>
    <w:p w:rsidR="001C431A" w:rsidRDefault="001C431A" w:rsidP="007C547A">
      <w:pPr>
        <w:pStyle w:val="Standard"/>
        <w:autoSpaceDE w:val="0"/>
        <w:jc w:val="both"/>
        <w:rPr>
          <w:rFonts w:ascii="Futura Bk BT" w:eastAsia="DejaVu Sans" w:hAnsi="Futura Bk BT" w:cs="Times New Roman"/>
          <w:sz w:val="22"/>
          <w:szCs w:val="22"/>
          <w:lang w:bidi="hi-IN"/>
        </w:rPr>
      </w:pPr>
    </w:p>
    <w:p w:rsidR="001C431A" w:rsidRDefault="001C431A"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Peaje Ocoa:</w:t>
      </w:r>
    </w:p>
    <w:p w:rsidR="001C431A" w:rsidRDefault="001C431A" w:rsidP="007C547A">
      <w:pPr>
        <w:pStyle w:val="Standard"/>
        <w:autoSpaceDE w:val="0"/>
        <w:jc w:val="both"/>
        <w:rPr>
          <w:rFonts w:ascii="Futura Bk BT" w:eastAsia="DejaVu Sans" w:hAnsi="Futura Bk BT" w:cs="Times New Roman"/>
          <w:sz w:val="22"/>
          <w:szCs w:val="22"/>
          <w:lang w:bidi="hi-IN"/>
        </w:rPr>
      </w:pPr>
    </w:p>
    <w:tbl>
      <w:tblPr>
        <w:tblW w:w="6938" w:type="dxa"/>
        <w:jc w:val="center"/>
        <w:tblLayout w:type="fixed"/>
        <w:tblCellMar>
          <w:left w:w="70" w:type="dxa"/>
          <w:right w:w="70" w:type="dxa"/>
        </w:tblCellMar>
        <w:tblLook w:val="04A0" w:firstRow="1" w:lastRow="0" w:firstColumn="1" w:lastColumn="0" w:noHBand="0" w:noVBand="1"/>
      </w:tblPr>
      <w:tblGrid>
        <w:gridCol w:w="240"/>
        <w:gridCol w:w="1675"/>
        <w:gridCol w:w="3969"/>
        <w:gridCol w:w="1054"/>
      </w:tblGrid>
      <w:tr w:rsidR="001C431A" w:rsidRPr="00365D20" w:rsidTr="004F7270">
        <w:trPr>
          <w:trHeight w:val="649"/>
          <w:jc w:val="center"/>
        </w:trPr>
        <w:tc>
          <w:tcPr>
            <w:tcW w:w="240" w:type="dxa"/>
            <w:tcBorders>
              <w:top w:val="nil"/>
              <w:left w:val="nil"/>
              <w:bottom w:val="nil"/>
              <w:right w:val="nil"/>
            </w:tcBorders>
            <w:shd w:val="clear" w:color="auto" w:fill="auto"/>
            <w:noWrap/>
            <w:vAlign w:val="bottom"/>
            <w:hideMark/>
          </w:tcPr>
          <w:p w:rsidR="001C431A" w:rsidRPr="00365D20" w:rsidRDefault="001C431A" w:rsidP="004F7270">
            <w:pPr>
              <w:rPr>
                <w:rFonts w:ascii="Futura Bk BT" w:eastAsia="DejaVu Sans" w:hAnsi="Futura Bk BT"/>
                <w:kern w:val="3"/>
                <w:sz w:val="20"/>
                <w:lang w:val="es-ES" w:eastAsia="zh-CN" w:bidi="hi-IN"/>
              </w:rPr>
            </w:pPr>
          </w:p>
        </w:tc>
        <w:tc>
          <w:tcPr>
            <w:tcW w:w="1675" w:type="dxa"/>
            <w:tcBorders>
              <w:top w:val="double" w:sz="6" w:space="0" w:color="auto"/>
              <w:left w:val="double" w:sz="6" w:space="0" w:color="auto"/>
              <w:bottom w:val="single" w:sz="8" w:space="0" w:color="auto"/>
              <w:right w:val="single" w:sz="4" w:space="0" w:color="auto"/>
            </w:tcBorders>
            <w:shd w:val="clear" w:color="auto" w:fill="auto"/>
            <w:vAlign w:val="center"/>
            <w:hideMark/>
          </w:tcPr>
          <w:p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w:t>
            </w:r>
          </w:p>
        </w:tc>
        <w:tc>
          <w:tcPr>
            <w:tcW w:w="3969" w:type="dxa"/>
            <w:tcBorders>
              <w:top w:val="double" w:sz="6" w:space="0" w:color="auto"/>
              <w:left w:val="nil"/>
              <w:bottom w:val="single" w:sz="8" w:space="0" w:color="auto"/>
              <w:right w:val="single" w:sz="4" w:space="0" w:color="auto"/>
            </w:tcBorders>
            <w:shd w:val="clear" w:color="auto" w:fill="auto"/>
            <w:vAlign w:val="center"/>
            <w:hideMark/>
          </w:tcPr>
          <w:p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DESCRIPCION</w:t>
            </w:r>
          </w:p>
        </w:tc>
        <w:tc>
          <w:tcPr>
            <w:tcW w:w="1054" w:type="dxa"/>
            <w:tcBorders>
              <w:top w:val="double" w:sz="6" w:space="0" w:color="auto"/>
              <w:left w:val="nil"/>
              <w:bottom w:val="single" w:sz="8" w:space="0" w:color="auto"/>
              <w:right w:val="double" w:sz="6" w:space="0" w:color="auto"/>
            </w:tcBorders>
            <w:shd w:val="clear" w:color="auto" w:fill="auto"/>
            <w:vAlign w:val="center"/>
            <w:hideMark/>
          </w:tcPr>
          <w:p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TARIFA*</w:t>
            </w:r>
          </w:p>
        </w:tc>
      </w:tr>
      <w:tr w:rsidR="001C431A" w:rsidRPr="00365D20" w:rsidTr="004F7270">
        <w:trPr>
          <w:trHeight w:val="315"/>
          <w:jc w:val="center"/>
        </w:trPr>
        <w:tc>
          <w:tcPr>
            <w:tcW w:w="240" w:type="dxa"/>
            <w:tcBorders>
              <w:top w:val="nil"/>
              <w:left w:val="nil"/>
              <w:bottom w:val="nil"/>
              <w:right w:val="nil"/>
            </w:tcBorders>
            <w:shd w:val="clear" w:color="auto" w:fill="auto"/>
            <w:noWrap/>
            <w:vAlign w:val="bottom"/>
          </w:tcPr>
          <w:p w:rsidR="001C431A" w:rsidRPr="00365D20" w:rsidRDefault="001C431A" w:rsidP="004F7270">
            <w:pPr>
              <w:rPr>
                <w:rFonts w:ascii="Futura Bk BT" w:eastAsia="DejaVu Sans" w:hAnsi="Futura Bk BT"/>
                <w:kern w:val="3"/>
                <w:sz w:val="20"/>
                <w:lang w:val="es-ES" w:eastAsia="zh-CN" w:bidi="hi-IN"/>
              </w:rPr>
            </w:pPr>
          </w:p>
        </w:tc>
        <w:tc>
          <w:tcPr>
            <w:tcW w:w="1675" w:type="dxa"/>
            <w:tcBorders>
              <w:top w:val="single" w:sz="4" w:space="0" w:color="auto"/>
              <w:left w:val="double" w:sz="6" w:space="0" w:color="auto"/>
              <w:bottom w:val="single" w:sz="4" w:space="0" w:color="auto"/>
              <w:right w:val="single" w:sz="4" w:space="0" w:color="auto"/>
            </w:tcBorders>
            <w:shd w:val="clear" w:color="auto" w:fill="auto"/>
            <w:noWrap/>
            <w:vAlign w:val="bottom"/>
          </w:tcPr>
          <w:p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CATEGORIA IE</w:t>
            </w:r>
          </w:p>
        </w:tc>
        <w:tc>
          <w:tcPr>
            <w:tcW w:w="3969" w:type="dxa"/>
            <w:tcBorders>
              <w:top w:val="single" w:sz="4" w:space="0" w:color="auto"/>
              <w:left w:val="nil"/>
              <w:bottom w:val="single" w:sz="4" w:space="0" w:color="auto"/>
              <w:right w:val="single" w:sz="4" w:space="0" w:color="auto"/>
            </w:tcBorders>
            <w:shd w:val="clear" w:color="auto" w:fill="auto"/>
            <w:noWrap/>
            <w:vAlign w:val="bottom"/>
          </w:tcPr>
          <w:p w:rsidR="001C431A" w:rsidRPr="00365D20" w:rsidRDefault="001C431A" w:rsidP="001C431A">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Ocho (8) vehículos categoría I de servicio público colectivo</w:t>
            </w:r>
          </w:p>
        </w:tc>
        <w:tc>
          <w:tcPr>
            <w:tcW w:w="1054" w:type="dxa"/>
            <w:tcBorders>
              <w:top w:val="single" w:sz="4" w:space="0" w:color="auto"/>
              <w:left w:val="nil"/>
              <w:bottom w:val="single" w:sz="4" w:space="0" w:color="auto"/>
              <w:right w:val="double" w:sz="6" w:space="0" w:color="auto"/>
            </w:tcBorders>
            <w:shd w:val="clear" w:color="auto" w:fill="auto"/>
            <w:noWrap/>
            <w:vAlign w:val="bottom"/>
          </w:tcPr>
          <w:p w:rsidR="001C431A" w:rsidRPr="00365D20" w:rsidRDefault="001C431A" w:rsidP="004F7270">
            <w:pPr>
              <w:tabs>
                <w:tab w:val="left" w:pos="709"/>
              </w:tabs>
              <w:autoSpaceDE w:val="0"/>
              <w:autoSpaceDN w:val="0"/>
              <w:adjustRightInd w:val="0"/>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3.200,00</w:t>
            </w:r>
          </w:p>
        </w:tc>
      </w:tr>
    </w:tbl>
    <w:p w:rsidR="001C431A" w:rsidRPr="00BF17FF" w:rsidRDefault="001C431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E5DAB" w:rsidP="007C547A">
      <w:pPr>
        <w:pStyle w:val="Standard"/>
        <w:autoSpaceDE w:val="0"/>
        <w:jc w:val="both"/>
        <w:rPr>
          <w:rFonts w:ascii="Futura Bk BT" w:eastAsia="DejaVu Sans" w:hAnsi="Futura Bk BT" w:cs="Times New Roman"/>
          <w:sz w:val="22"/>
          <w:szCs w:val="22"/>
          <w:lang w:bidi="hi-IN"/>
        </w:rPr>
      </w:pPr>
      <w:r>
        <w:rPr>
          <w:rFonts w:ascii="Futura Bk BT" w:eastAsia="DejaVu Sans" w:hAnsi="Futura Bk BT" w:cs="Times New Roman"/>
          <w:sz w:val="22"/>
          <w:szCs w:val="22"/>
          <w:lang w:bidi="hi-IN"/>
        </w:rPr>
        <w:t>Parágrafo1.</w:t>
      </w:r>
      <w:r w:rsidR="007C547A" w:rsidRPr="00BF17FF">
        <w:rPr>
          <w:rFonts w:ascii="Futura Bk BT" w:eastAsia="DejaVu Sans" w:hAnsi="Futura Bk BT" w:cs="Times New Roman"/>
          <w:sz w:val="22"/>
          <w:szCs w:val="22"/>
          <w:lang w:bidi="hi-IN"/>
        </w:rPr>
        <w:t>-</w:t>
      </w:r>
      <w:r w:rsidRPr="00BF17FF">
        <w:rPr>
          <w:rFonts w:ascii="Futura Bk BT" w:eastAsia="DejaVu Sans" w:hAnsi="Futura Bk BT" w:cs="Times New Roman"/>
          <w:sz w:val="22"/>
          <w:szCs w:val="22"/>
          <w:lang w:bidi="hi-IN"/>
        </w:rPr>
        <w:t>: Establecer</w:t>
      </w:r>
      <w:r w:rsidR="007C547A" w:rsidRPr="00BF17FF">
        <w:rPr>
          <w:rFonts w:ascii="Futura Bk BT" w:eastAsia="DejaVu Sans" w:hAnsi="Futura Bk BT" w:cs="Times New Roman"/>
          <w:sz w:val="22"/>
          <w:szCs w:val="22"/>
          <w:lang w:bidi="hi-IN"/>
        </w:rPr>
        <w:t xml:space="preserve"> el número </w:t>
      </w:r>
      <w:r w:rsidR="000B0A3F" w:rsidRPr="00BF17FF">
        <w:rPr>
          <w:rFonts w:ascii="Futura Bk BT" w:eastAsia="DejaVu Sans" w:hAnsi="Futura Bk BT" w:cs="Times New Roman"/>
          <w:sz w:val="22"/>
          <w:szCs w:val="22"/>
          <w:lang w:bidi="hi-IN"/>
        </w:rPr>
        <w:t xml:space="preserve">máximo </w:t>
      </w:r>
      <w:r w:rsidR="007C547A" w:rsidRPr="00BF17FF">
        <w:rPr>
          <w:rFonts w:ascii="Futura Bk BT" w:eastAsia="DejaVu Sans" w:hAnsi="Futura Bk BT" w:cs="Times New Roman"/>
          <w:sz w:val="22"/>
          <w:szCs w:val="22"/>
          <w:lang w:bidi="hi-IN"/>
        </w:rPr>
        <w:t>de beneficiarios, para cada una de las categorías de cobro en las estaciones de peajes de CaseTabla y Yucao descritos en la presente Resolución, así:</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tbl>
      <w:tblPr>
        <w:tblW w:w="7417" w:type="dxa"/>
        <w:jc w:val="center"/>
        <w:tblCellMar>
          <w:left w:w="10" w:type="dxa"/>
          <w:right w:w="10" w:type="dxa"/>
        </w:tblCellMar>
        <w:tblLook w:val="0000" w:firstRow="0" w:lastRow="0" w:firstColumn="0" w:lastColumn="0" w:noHBand="0" w:noVBand="0"/>
      </w:tblPr>
      <w:tblGrid>
        <w:gridCol w:w="1747"/>
        <w:gridCol w:w="5670"/>
      </w:tblGrid>
      <w:tr w:rsidR="007C547A" w:rsidRPr="00365D20" w:rsidTr="00C66A31">
        <w:trPr>
          <w:trHeight w:val="111"/>
          <w:jc w:val="center"/>
        </w:trPr>
        <w:tc>
          <w:tcPr>
            <w:tcW w:w="174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spacing w:line="106" w:lineRule="atLeast"/>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w:t>
            </w:r>
          </w:p>
        </w:tc>
        <w:tc>
          <w:tcPr>
            <w:tcW w:w="5670"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spacing w:line="106" w:lineRule="atLeast"/>
              <w:jc w:val="cente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Cantidad de Beneficios para el paso por las estaciones de peaje de Case Tabla y Yucao</w:t>
            </w:r>
          </w:p>
        </w:tc>
      </w:tr>
      <w:tr w:rsidR="007C547A" w:rsidRPr="00365D20" w:rsidTr="00C66A31">
        <w:trPr>
          <w:trHeight w:val="1553"/>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 xml:space="preserve">Residentes de Puerto López: 159 Automóviles y 12 vehículos de servicio público de transporte individual con planilla de viaje ocasional </w:t>
            </w:r>
          </w:p>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 xml:space="preserve">Residentes de Puerto Gaitán: 132 Automóviles y 7 vehículos de servicio público de transporte individual con planilla de viaje ocasional. </w:t>
            </w:r>
          </w:p>
        </w:tc>
      </w:tr>
      <w:tr w:rsidR="007C547A" w:rsidRPr="00365D20" w:rsidTr="00C66A31">
        <w:trPr>
          <w:trHeight w:val="541"/>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100 beneficios para buses de servicio público que realizan el recorrido entre Puerto López y Puerto Gaitán</w:t>
            </w:r>
          </w:p>
        </w:tc>
      </w:tr>
      <w:tr w:rsidR="007C547A" w:rsidRPr="00365D20" w:rsidTr="00C66A31">
        <w:trPr>
          <w:trHeight w:val="549"/>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IIIE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30 beneficios para vehículos de esta categoría que realizan el recorrido entre Puerto López y Puerto Gaitán</w:t>
            </w:r>
          </w:p>
        </w:tc>
      </w:tr>
      <w:tr w:rsidR="007C547A" w:rsidRPr="00365D20" w:rsidTr="00C66A31">
        <w:trPr>
          <w:trHeight w:val="557"/>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IVE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60 beneficios para vehículos de esta categoría que realizan el recorrido entre Puerto López y Puerto Gaitán</w:t>
            </w:r>
          </w:p>
        </w:tc>
      </w:tr>
      <w:tr w:rsidR="007C547A" w:rsidRPr="00365D20" w:rsidTr="00C66A31">
        <w:trPr>
          <w:trHeight w:val="537"/>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VE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60 beneficios para vehículos de esta categoría que realizan el recorrido entre Puerto López y Puerto Gaitán</w:t>
            </w:r>
          </w:p>
        </w:tc>
      </w:tr>
      <w:tr w:rsidR="007C547A" w:rsidRPr="00365D20" w:rsidTr="00C66A31">
        <w:trPr>
          <w:trHeight w:val="601"/>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VIE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70 beneficios para vehículos de esta categoría que realizan el recorrido entre Puerto López y Puerto Gaitán</w:t>
            </w:r>
          </w:p>
        </w:tc>
      </w:tr>
      <w:tr w:rsidR="007C547A" w:rsidRPr="00365D20" w:rsidTr="00C66A31">
        <w:trPr>
          <w:trHeight w:val="703"/>
          <w:jc w:val="center"/>
        </w:trPr>
        <w:tc>
          <w:tcPr>
            <w:tcW w:w="1747"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Categoría VIIE</w:t>
            </w:r>
          </w:p>
        </w:tc>
        <w:tc>
          <w:tcPr>
            <w:tcW w:w="5670" w:type="dxa"/>
            <w:tcBorders>
              <w:bottom w:val="single" w:sz="8" w:space="0" w:color="000000"/>
              <w:right w:val="single" w:sz="8" w:space="0" w:color="000000"/>
            </w:tcBorders>
            <w:shd w:val="clear" w:color="auto" w:fill="auto"/>
            <w:tcMar>
              <w:top w:w="0" w:type="dxa"/>
              <w:left w:w="108" w:type="dxa"/>
              <w:bottom w:w="0" w:type="dxa"/>
              <w:right w:w="108" w:type="dxa"/>
            </w:tcMar>
          </w:tcPr>
          <w:p w:rsidR="007C547A" w:rsidRPr="00365D20" w:rsidRDefault="007C547A" w:rsidP="00C66A31">
            <w:pPr>
              <w:jc w:val="both"/>
              <w:rPr>
                <w:rFonts w:ascii="Futura Bk BT" w:eastAsia="DejaVu Sans" w:hAnsi="Futura Bk BT"/>
                <w:kern w:val="3"/>
                <w:sz w:val="20"/>
                <w:lang w:val="es-ES" w:eastAsia="zh-CN" w:bidi="hi-IN"/>
              </w:rPr>
            </w:pPr>
            <w:r w:rsidRPr="00365D20">
              <w:rPr>
                <w:rFonts w:ascii="Futura Bk BT" w:eastAsia="DejaVu Sans" w:hAnsi="Futura Bk BT"/>
                <w:kern w:val="3"/>
                <w:sz w:val="20"/>
                <w:lang w:val="es-ES" w:eastAsia="zh-CN" w:bidi="hi-IN"/>
              </w:rPr>
              <w:t xml:space="preserve">2 beneficios para vehículos de esta categoría que realizan el recorrido entre Puerto López y Puerto Gaitán </w:t>
            </w:r>
          </w:p>
        </w:tc>
      </w:tr>
    </w:tbl>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ARTÍCULO </w:t>
      </w:r>
      <w:r w:rsidR="000755BA" w:rsidRPr="00BF17FF">
        <w:rPr>
          <w:rFonts w:ascii="Futura Bk BT" w:eastAsia="DejaVu Sans" w:hAnsi="Futura Bk BT" w:cs="Times New Roman"/>
          <w:sz w:val="22"/>
          <w:szCs w:val="22"/>
          <w:lang w:bidi="hi-IN"/>
        </w:rPr>
        <w:t>3</w:t>
      </w:r>
      <w:r w:rsidRPr="00BF17FF">
        <w:rPr>
          <w:rFonts w:ascii="Futura Bk BT" w:eastAsia="DejaVu Sans" w:hAnsi="Futura Bk BT" w:cs="Times New Roman"/>
          <w:sz w:val="22"/>
          <w:szCs w:val="22"/>
          <w:lang w:bidi="hi-IN"/>
        </w:rPr>
        <w:t>.- Modificar parcialmente el Artículo Séptimo de la Resolución 1130 de 2015  Requisitos para obtener el beneficio de tarifa diferencial, específicamente los literales e) y f) para el caso de los vehículos de servicio público y los literales a), b), d) y e) para el caso de los vehículos de servicio particular así:</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 REQUISITOS PARA OBTENER EL BENEFICIO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VEHÍCULOS SERVICIO PÚBLICO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Los propietarios de vehículos de servicio público y/o con contrato de leasing indicados en el Artículo 4° de la presente Resolución, que soliciten el derecho al beneficio de la tarifa especial en los peajes de Casetabla, Yucao, la Libertad, Ocoa e Iracá deberán entregar los siguientes documentos: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 Licencia de tránsito a nombre del titular del vehículo y fotocopia del SOAT del Vehículo vigente. En los eventos en los cuales el vehículo se adquirió por leasing se deberá acreditar la calidad de locatario mediante la correspondiente certificación de la entidad financiera.</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f) Certificado de vinculación de los vehículos a las cooperativas o empresas antes mencionadas,</w:t>
      </w:r>
      <w:r w:rsidRPr="00BF17FF">
        <w:rPr>
          <w:rFonts w:ascii="Futura Bk BT" w:eastAsia="DejaVu Sans" w:hAnsi="Futura Bk BT" w:cs="Times New Roman"/>
          <w:sz w:val="22"/>
          <w:szCs w:val="22"/>
          <w:lang w:bidi="hi-IN"/>
        </w:rPr>
        <w:commentReference w:id="3"/>
      </w:r>
      <w:r w:rsidRPr="00BF17FF">
        <w:rPr>
          <w:rFonts w:ascii="Futura Bk BT" w:eastAsia="DejaVu Sans" w:hAnsi="Futura Bk BT" w:cs="Times New Roman"/>
          <w:sz w:val="22"/>
          <w:szCs w:val="22"/>
          <w:lang w:bidi="hi-IN"/>
        </w:rPr>
        <w:t xml:space="preserve"> donde se especifique la estación de peaje sobre la cual está solicitando el beneficio de tarifa especial diferencial, el cual deberá se expedido por el representante legal de la empresa;</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VEHÍCULOS PARTICULARES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Los documentos que deberán presentarse para solicitar el beneficio de tarifa especial diferencial son:</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a) Certificado de tradición y libertad del inmueble del solicitante (titular del vehículo) o copia auténtica del contrato de arrendamiento a nombre del solicitante o su conyugue o familiar en primer grado de consanguinidad;</w:t>
      </w:r>
    </w:p>
    <w:p w:rsidR="007C547A" w:rsidRPr="00BF17FF" w:rsidRDefault="007C547A" w:rsidP="007C547A">
      <w:pPr>
        <w:pStyle w:val="Standard"/>
        <w:autoSpaceDE w:val="0"/>
        <w:ind w:left="360"/>
        <w:jc w:val="both"/>
        <w:rPr>
          <w:rFonts w:ascii="Futura Bk BT" w:eastAsia="DejaVu Sans" w:hAnsi="Futura Bk BT" w:cs="Times New Roman"/>
          <w:sz w:val="22"/>
          <w:szCs w:val="22"/>
          <w:lang w:bidi="hi-IN"/>
        </w:rPr>
      </w:pPr>
    </w:p>
    <w:p w:rsidR="007C547A" w:rsidRPr="00BF17FF" w:rsidRDefault="007C547A" w:rsidP="007C547A">
      <w:pPr>
        <w:autoSpaceDE w:val="0"/>
        <w:jc w:val="both"/>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b) Acreditar la titularidad de máximo un (1) vehículo de servicio particular por solicitante ya sea propietario del bien inmueble o arrendatario, en su defecto a nombre de su cónyuge o familiar en primer grado de consanguinidad;</w:t>
      </w:r>
    </w:p>
    <w:p w:rsidR="007C547A" w:rsidRPr="00BF17FF" w:rsidRDefault="007C547A" w:rsidP="007C547A">
      <w:pPr>
        <w:autoSpaceDE w:val="0"/>
        <w:jc w:val="both"/>
        <w:rPr>
          <w:rFonts w:ascii="Futura Bk BT" w:eastAsia="DejaVu Sans" w:hAnsi="Futura Bk BT"/>
          <w:kern w:val="3"/>
          <w:sz w:val="22"/>
          <w:szCs w:val="22"/>
          <w:lang w:val="es-ES" w:eastAsia="zh-CN"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d) Fotocopia de la Licencia de tránsito a nombre del titular del vehículo y del SOAT del Vehículo vigente. En los eventos en los cuales el vehículo se adquirió por leasing se deberá acreditar la calidad de locatario mediante la correspondiente certificación de la entidad financiera;</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 No tener sanciones vigentes por infracción a las normas de tránsito ni acuerdos de pago.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Parágrafo 2°. Si el titular del beneficio de tarifa especial diferencial llegase a cambiar el lugar de residencia reportado en la solicitud presentada inicialmente para adquirir el beneficio, deberá reportarlo a las oficinas de la Concesión, con el fin de actualizar la información y contacto del titular.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II. FRECUENCIA MÍNIMA</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Para acceder y mantener el beneficio de la tarifa especial diferencial el propietario del vehículo deberá transitar por la estación de peaje sobre la cual tiene el beneficio, con una frecuencia mínima de ocho (8) viajes (ida y vuelta) al mes</w:t>
      </w:r>
      <w:r w:rsidRPr="00BF17FF">
        <w:rPr>
          <w:rFonts w:ascii="Futura Bk BT" w:eastAsia="DejaVu Sans" w:hAnsi="Futura Bk BT" w:cs="Times New Roman"/>
          <w:sz w:val="22"/>
          <w:szCs w:val="22"/>
          <w:lang w:bidi="hi-IN"/>
        </w:rPr>
        <w:commentReference w:id="4"/>
      </w:r>
      <w:r w:rsidRPr="00BF17FF">
        <w:rPr>
          <w:rFonts w:ascii="Futura Bk BT" w:eastAsia="DejaVu Sans" w:hAnsi="Futura Bk BT" w:cs="Times New Roman"/>
          <w:sz w:val="22"/>
          <w:szCs w:val="22"/>
          <w:lang w:bidi="hi-IN"/>
        </w:rPr>
        <w:t>, equivalente a dieciséis (16) pasadas por el peaje al mes. En el evento de no cumplir con un mínimo de cuarenta (40) viajes (ida y vuelta) durante los últimos seis (6) meses, el beneficio otorgado será suspendido por la Agencia Nacional de Infraestructura, quien informará del hecho al beneficiario de la tarifa, en el término de quince (15) días siguientes al recibo de la comunicación, para que aporte los documentos que justifiquen el no cumplimiento de los pasos mensuales requeridos.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Vencido este término la Agencia Nacional de Infraestructura decidirá si se mantiene o no el beneficio de la tarifa especial diferencial. En todo caso, la decisión deberá ser informada al Concesionario y al beneficiario. El usuario que ha perdido el beneficio podrá enviar nuevamente su solicitud a la Agencia transcurridos seis (6) meses de retirado el beneficio. Así mismo, para reasignación de un beneficio, el solicitante podrá enviar su solicitud a la Agencia Nacional de Infraestructura, remitiendo los documentos descritos en el presente artículo según el caso para acceder y mantener la tarifa especial diferencial.</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En caso de no existir disponibilidad de beneficio, el solicitante ingresará a una lista de espera. Una vez cumplidos los requisitos anteriores, se procede con la autorización, emisión y entrega de la tarjeta por parte del concesionario.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III. PROCEDIMIENTO PARA ACCEDER AL BENEFICIO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1.</w:t>
      </w:r>
      <w:r w:rsidRPr="00BF17FF">
        <w:rPr>
          <w:rFonts w:ascii="Futura Bk BT" w:eastAsia="DejaVu Sans" w:hAnsi="Futura Bk BT" w:cs="Times New Roman"/>
          <w:sz w:val="22"/>
          <w:szCs w:val="22"/>
          <w:lang w:bidi="hi-IN"/>
        </w:rPr>
        <w:tab/>
        <w:t>El beneficiario directamente o a través de una tercera persona debidamente autorizada deberá radicar en las oficinas de la Concesión Vial de los Llanos, los documentos requeridos en la presente Resolución.</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2.</w:t>
      </w:r>
      <w:r w:rsidRPr="00BF17FF">
        <w:rPr>
          <w:rFonts w:ascii="Futura Bk BT" w:eastAsia="DejaVu Sans" w:hAnsi="Futura Bk BT" w:cs="Times New Roman"/>
          <w:sz w:val="22"/>
          <w:szCs w:val="22"/>
          <w:lang w:bidi="hi-IN"/>
        </w:rPr>
        <w:tab/>
        <w:t>En un plazo no superior a treinta (30) días hábiles, el concesionario y la interventoría, verificarán el estado de los cupos y el cumplimiento de los requisitos establecidos en el presente acto administrativo, informando a la Agencia Nacional de Infraestructura quien a su vez avalará el otorgamiento o no del beneficio.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3.</w:t>
      </w:r>
      <w:r w:rsidRPr="00BF17FF">
        <w:rPr>
          <w:rFonts w:ascii="Futura Bk BT" w:eastAsia="DejaVu Sans" w:hAnsi="Futura Bk BT" w:cs="Times New Roman"/>
          <w:sz w:val="22"/>
          <w:szCs w:val="22"/>
          <w:lang w:bidi="hi-IN"/>
        </w:rPr>
        <w:tab/>
        <w:t xml:space="preserve">Vencido este término el beneficiario deberá consultar en la página WEB de la Concesión Vial de los Llanos </w:t>
      </w:r>
      <w:hyperlink r:id="rId12" w:history="1">
        <w:r w:rsidRPr="00365D20">
          <w:rPr>
            <w:rFonts w:ascii="Futura Bk BT" w:eastAsia="DejaVu Sans" w:hAnsi="Futura Bk BT" w:cs="Times New Roman"/>
            <w:sz w:val="22"/>
            <w:szCs w:val="22"/>
            <w:lang w:bidi="hi-IN"/>
          </w:rPr>
          <w:t>www.cllanos.co</w:t>
        </w:r>
      </w:hyperlink>
      <w:r w:rsidRPr="00BF17FF">
        <w:rPr>
          <w:rFonts w:ascii="Futura Bk BT" w:eastAsia="DejaVu Sans" w:hAnsi="Futura Bk BT" w:cs="Times New Roman"/>
          <w:sz w:val="22"/>
          <w:szCs w:val="22"/>
          <w:lang w:bidi="hi-IN"/>
        </w:rPr>
        <w:t xml:space="preserve"> o </w:t>
      </w:r>
      <w:hyperlink r:id="rId13" w:history="1">
        <w:r w:rsidRPr="00365D20">
          <w:rPr>
            <w:rFonts w:ascii="Futura Bk BT" w:eastAsia="DejaVu Sans" w:hAnsi="Futura Bk BT" w:cs="Times New Roman"/>
            <w:sz w:val="22"/>
            <w:szCs w:val="22"/>
            <w:lang w:bidi="hi-IN"/>
          </w:rPr>
          <w:t>www.concesionvialdelosllanos.co</w:t>
        </w:r>
      </w:hyperlink>
      <w:r w:rsidRPr="00BF17FF">
        <w:rPr>
          <w:rFonts w:ascii="Futura Bk BT" w:eastAsia="DejaVu Sans" w:hAnsi="Futura Bk BT" w:cs="Times New Roman"/>
          <w:sz w:val="22"/>
          <w:szCs w:val="22"/>
          <w:lang w:bidi="hi-IN"/>
        </w:rPr>
        <w:t xml:space="preserve">  acerca de su trámite.</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4.</w:t>
      </w:r>
      <w:r w:rsidRPr="00BF17FF">
        <w:rPr>
          <w:rFonts w:ascii="Futura Bk BT" w:eastAsia="DejaVu Sans" w:hAnsi="Futura Bk BT" w:cs="Times New Roman"/>
          <w:sz w:val="22"/>
          <w:szCs w:val="22"/>
          <w:lang w:bidi="hi-IN"/>
        </w:rPr>
        <w:tab/>
        <w:t>En el evento que sea otorgado el beneficio, el titular del beneficio deberá presentarse al Concesionario en un plazo no superior a los treinta (30) días hábiles siguientes a la publicación en la página WEB, con el propósito de agendar cita para la instalación y pago de la TIE, previa validación de identidad tanto del titular del beneficiario como del vehículo.</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5. </w:t>
      </w:r>
      <w:r w:rsidRPr="00BF17FF">
        <w:rPr>
          <w:rFonts w:ascii="Futura Bk BT" w:eastAsia="DejaVu Sans" w:hAnsi="Futura Bk BT" w:cs="Times New Roman"/>
          <w:sz w:val="22"/>
          <w:szCs w:val="22"/>
          <w:lang w:bidi="hi-IN"/>
        </w:rPr>
        <w:tab/>
        <w:t>En el evento que sea otorgado el beneficio y se encuentre alguna irregularidad en el cumplimiento de los requisitos mínimos, el Concesionario informará a la Agencia Nacional de Infraestructura, quien informará del hecho al beneficiario de la tarifa dentro de los quince (15) días calendario, otorgando una sanción de doce (12) meses del beneficio otorgado. En caso de fraude, se informara a las autoridades competentes.</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Vencido este término la Agencia Nacional de Infraestructura decidirá si se mantiene o no el beneficio de la tarifa especial diferencial. En todo caso, la decisión deberá ser informada al Concesionario y al beneficiario. El usuario que ha perdido el beneficio podrá enviar nuevamente su solicitud a la Agencia transcurridos los doce (12) meses de retirado el beneficio. Así mismo, para reasignación de un beneficio, el solicitante podrá enviar su solicitud a la Agencia Nacional de Infraestructura, remitiendo los documentos descritos en el presente artículo según el caso para acceder y mantener la tarifa especial diferencial.</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ARTÍCULO </w:t>
      </w:r>
      <w:r w:rsidR="000755BA" w:rsidRPr="00BF17FF">
        <w:rPr>
          <w:rFonts w:ascii="Futura Bk BT" w:eastAsia="DejaVu Sans" w:hAnsi="Futura Bk BT" w:cs="Times New Roman"/>
          <w:sz w:val="22"/>
          <w:szCs w:val="22"/>
          <w:lang w:bidi="hi-IN"/>
        </w:rPr>
        <w:t>4</w:t>
      </w:r>
      <w:r w:rsidRPr="00BF17FF">
        <w:rPr>
          <w:rFonts w:ascii="Futura Bk BT" w:eastAsia="DejaVu Sans" w:hAnsi="Futura Bk BT" w:cs="Times New Roman"/>
          <w:sz w:val="22"/>
          <w:szCs w:val="22"/>
          <w:lang w:bidi="hi-IN"/>
        </w:rPr>
        <w:t>.- Modificar parcialmente los literales d y e del Parágrafo 1 del Artículo Octavo de la Resolución 0001130 de 28 de abril de 2015 quedando así:</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d) Fotocopia de la Licencia de Tránsito del nuevo vehículo que se encuentre a nombre del Titular beneficiario de la tarifa especial diferencial;</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e) Soporte de inscripción al Registro Único Nacional de Tránsito (RUNT);</w:t>
      </w:r>
      <w:r w:rsidRPr="00BF17FF">
        <w:rPr>
          <w:rFonts w:ascii="Futura Bk BT" w:eastAsia="DejaVu Sans" w:hAnsi="Futura Bk BT" w:cs="Times New Roman"/>
          <w:sz w:val="22"/>
          <w:szCs w:val="22"/>
          <w:lang w:bidi="hi-IN"/>
        </w:rPr>
        <w:commentReference w:id="5"/>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Además del cumplimiento de los requisitos señalados anteriormente, deberán:</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C66A31">
      <w:pPr>
        <w:pStyle w:val="Standard"/>
        <w:numPr>
          <w:ilvl w:val="0"/>
          <w:numId w:val="21"/>
        </w:numPr>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No haber incurrido en ninguna de las causales de pérdida del beneficio de la tarifa especial diferencial descritos en el Artículo Noveno de la resolución 1130 de 2015.</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C66A31">
      <w:pPr>
        <w:pStyle w:val="Standard"/>
        <w:numPr>
          <w:ilvl w:val="0"/>
          <w:numId w:val="21"/>
        </w:numPr>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A partir de la fecha de expedición de la presente Resolución se otorgará un (1) solo beneficio por unidad familiar. La presente situación tendrá vigencia solo para las nuevas solicitudes radicadas con posterioridad a la entrada vigencia de la presente Resolución.</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ARTÍCULO </w:t>
      </w:r>
      <w:r w:rsidR="000755BA" w:rsidRPr="00BF17FF">
        <w:rPr>
          <w:rFonts w:ascii="Futura Bk BT" w:eastAsia="DejaVu Sans" w:hAnsi="Futura Bk BT" w:cs="Times New Roman"/>
          <w:sz w:val="22"/>
          <w:szCs w:val="22"/>
          <w:lang w:bidi="hi-IN"/>
        </w:rPr>
        <w:t>5</w:t>
      </w:r>
      <w:r w:rsidRPr="00BF17FF">
        <w:rPr>
          <w:rFonts w:ascii="Futura Bk BT" w:eastAsia="DejaVu Sans" w:hAnsi="Futura Bk BT" w:cs="Times New Roman"/>
          <w:sz w:val="22"/>
          <w:szCs w:val="22"/>
          <w:lang w:bidi="hi-IN"/>
        </w:rPr>
        <w:t xml:space="preserve">: La tarifa especial diferencial que se otorgue, no constituye un derecho adquirido y es intransferible.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 </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 xml:space="preserve">ARTÍCULO </w:t>
      </w:r>
      <w:r w:rsidR="000755BA" w:rsidRPr="00BF17FF">
        <w:rPr>
          <w:rFonts w:ascii="Futura Bk BT" w:eastAsia="DejaVu Sans" w:hAnsi="Futura Bk BT" w:cs="Times New Roman"/>
          <w:sz w:val="22"/>
          <w:szCs w:val="22"/>
          <w:lang w:bidi="hi-IN"/>
        </w:rPr>
        <w:t>6</w:t>
      </w:r>
      <w:r w:rsidRPr="00BF17FF">
        <w:rPr>
          <w:rFonts w:ascii="Futura Bk BT" w:eastAsia="DejaVu Sans" w:hAnsi="Futura Bk BT" w:cs="Times New Roman"/>
          <w:sz w:val="22"/>
          <w:szCs w:val="22"/>
          <w:lang w:bidi="hi-IN"/>
        </w:rPr>
        <w:t>.- La presente Resolución rige a partir de la fecha de su publicación y se hará efectiva en el</w:t>
      </w:r>
      <w:r w:rsidR="00DF3480" w:rsidRPr="00BF17FF">
        <w:rPr>
          <w:rFonts w:ascii="Futura Bk BT" w:eastAsia="DejaVu Sans" w:hAnsi="Futura Bk BT" w:cs="Times New Roman"/>
          <w:sz w:val="22"/>
          <w:szCs w:val="22"/>
          <w:lang w:bidi="hi-IN"/>
        </w:rPr>
        <w:t xml:space="preserve"> momento que se suscriba </w:t>
      </w:r>
      <w:r w:rsidR="00892CC3" w:rsidRPr="00BF17FF">
        <w:rPr>
          <w:rFonts w:ascii="Futura Bk BT" w:eastAsia="DejaVu Sans" w:hAnsi="Futura Bk BT" w:cs="Times New Roman"/>
          <w:sz w:val="22"/>
          <w:szCs w:val="22"/>
          <w:lang w:bidi="hi-IN"/>
        </w:rPr>
        <w:t xml:space="preserve">el </w:t>
      </w:r>
      <w:r w:rsidR="00DF3480" w:rsidRPr="00BF17FF">
        <w:rPr>
          <w:rFonts w:ascii="Futura Bk BT" w:eastAsia="DejaVu Sans" w:hAnsi="Futura Bk BT" w:cs="Times New Roman"/>
          <w:sz w:val="22"/>
          <w:szCs w:val="22"/>
          <w:lang w:bidi="hi-IN"/>
        </w:rPr>
        <w:t>Otrosí modificatorio al C</w:t>
      </w:r>
      <w:r w:rsidRPr="00BF17FF">
        <w:rPr>
          <w:rFonts w:ascii="Futura Bk BT" w:eastAsia="DejaVu Sans" w:hAnsi="Futura Bk BT" w:cs="Times New Roman"/>
          <w:sz w:val="22"/>
          <w:szCs w:val="22"/>
          <w:lang w:bidi="hi-IN"/>
        </w:rPr>
        <w:t xml:space="preserve">ontrato de </w:t>
      </w:r>
      <w:r w:rsidR="00DF3480" w:rsidRPr="00BF17FF">
        <w:rPr>
          <w:rFonts w:ascii="Futura Bk BT" w:eastAsia="DejaVu Sans" w:hAnsi="Futura Bk BT" w:cs="Times New Roman"/>
          <w:sz w:val="22"/>
          <w:szCs w:val="22"/>
          <w:lang w:bidi="hi-IN"/>
        </w:rPr>
        <w:t>C</w:t>
      </w:r>
      <w:r w:rsidRPr="00BF17FF">
        <w:rPr>
          <w:rFonts w:ascii="Futura Bk BT" w:eastAsia="DejaVu Sans" w:hAnsi="Futura Bk BT" w:cs="Times New Roman"/>
          <w:sz w:val="22"/>
          <w:szCs w:val="22"/>
          <w:lang w:bidi="hi-IN"/>
        </w:rPr>
        <w:t xml:space="preserve">oncesión </w:t>
      </w:r>
      <w:r w:rsidR="00DF3480" w:rsidRPr="00BF17FF">
        <w:rPr>
          <w:rFonts w:ascii="Futura Bk BT" w:eastAsia="DejaVu Sans" w:hAnsi="Futura Bk BT" w:cs="Times New Roman"/>
          <w:sz w:val="22"/>
          <w:szCs w:val="22"/>
          <w:lang w:bidi="hi-IN"/>
        </w:rPr>
        <w:t>en el que se plasmen todas las modificaciones aquí dispuestas</w:t>
      </w:r>
      <w:r w:rsidRPr="00BF17FF">
        <w:rPr>
          <w:rFonts w:ascii="Futura Bk BT" w:eastAsia="DejaVu Sans" w:hAnsi="Futura Bk BT" w:cs="Times New Roman"/>
          <w:sz w:val="22"/>
          <w:szCs w:val="22"/>
          <w:lang w:bidi="hi-IN"/>
        </w:rPr>
        <w:t>, también deroga aquellas disposiciones que le sean contrarias y mantiene vigente las disposiciones que no fueron modificadas de la Resolución número 3126 de 2014 y la Resolución 1130 de 2015.</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PUBLÍQUESE Y CÚMPLASE,</w:t>
      </w: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p>
    <w:p w:rsidR="007C547A" w:rsidRPr="00BF17FF" w:rsidRDefault="007C547A" w:rsidP="007C547A">
      <w:pPr>
        <w:pStyle w:val="Standard"/>
        <w:autoSpaceDE w:val="0"/>
        <w:jc w:val="both"/>
        <w:rPr>
          <w:rFonts w:ascii="Futura Bk BT" w:eastAsia="DejaVu Sans" w:hAnsi="Futura Bk BT" w:cs="Times New Roman"/>
          <w:sz w:val="22"/>
          <w:szCs w:val="22"/>
          <w:lang w:bidi="hi-IN"/>
        </w:rPr>
      </w:pPr>
      <w:r w:rsidRPr="00BF17FF">
        <w:rPr>
          <w:rFonts w:ascii="Futura Bk BT" w:eastAsia="DejaVu Sans" w:hAnsi="Futura Bk BT" w:cs="Times New Roman"/>
          <w:sz w:val="22"/>
          <w:szCs w:val="22"/>
          <w:lang w:bidi="hi-IN"/>
        </w:rPr>
        <w:t>Dada en Bogotá, D. C  a</w:t>
      </w: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NATALIA ABELLO VIVES</w:t>
      </w:r>
    </w:p>
    <w:p w:rsidR="007C547A" w:rsidRPr="00BF17FF" w:rsidRDefault="007C547A" w:rsidP="007C547A">
      <w:pPr>
        <w:tabs>
          <w:tab w:val="left" w:pos="0"/>
        </w:tabs>
        <w:jc w:val="center"/>
        <w:rPr>
          <w:rFonts w:ascii="Futura Bk BT" w:eastAsia="DejaVu Sans" w:hAnsi="Futura Bk BT"/>
          <w:kern w:val="3"/>
          <w:sz w:val="22"/>
          <w:szCs w:val="22"/>
          <w:lang w:val="es-ES" w:eastAsia="zh-CN" w:bidi="hi-IN"/>
        </w:rPr>
      </w:pPr>
      <w:r w:rsidRPr="00BF17FF">
        <w:rPr>
          <w:rFonts w:ascii="Futura Bk BT" w:eastAsia="DejaVu Sans" w:hAnsi="Futura Bk BT"/>
          <w:kern w:val="3"/>
          <w:sz w:val="22"/>
          <w:szCs w:val="22"/>
          <w:lang w:val="es-ES" w:eastAsia="zh-CN" w:bidi="hi-IN"/>
        </w:rPr>
        <w:t>Ministra de Transporte</w:t>
      </w:r>
    </w:p>
    <w:p w:rsidR="007C547A" w:rsidRPr="00BF17FF" w:rsidRDefault="007C547A" w:rsidP="007C547A">
      <w:pPr>
        <w:tabs>
          <w:tab w:val="left" w:pos="0"/>
        </w:tabs>
        <w:rPr>
          <w:rFonts w:ascii="Futura Bk BT" w:eastAsia="DejaVu Sans" w:hAnsi="Futura Bk BT"/>
          <w:kern w:val="3"/>
          <w:sz w:val="22"/>
          <w:szCs w:val="22"/>
          <w:lang w:val="es-ES" w:eastAsia="zh-CN" w:bidi="hi-IN"/>
        </w:rPr>
      </w:pPr>
    </w:p>
    <w:p w:rsidR="007C547A" w:rsidRPr="00BF17FF" w:rsidRDefault="007C547A" w:rsidP="007C547A">
      <w:pPr>
        <w:shd w:val="clear" w:color="auto" w:fill="FFFFFF"/>
        <w:autoSpaceDE w:val="0"/>
        <w:jc w:val="both"/>
        <w:rPr>
          <w:rFonts w:ascii="Futura Bk BT" w:eastAsia="DejaVu Sans" w:hAnsi="Futura Bk BT"/>
          <w:kern w:val="3"/>
          <w:sz w:val="22"/>
          <w:szCs w:val="22"/>
          <w:lang w:val="es-ES" w:eastAsia="zh-CN" w:bidi="hi-IN"/>
        </w:rPr>
      </w:pPr>
    </w:p>
    <w:p w:rsidR="007C547A" w:rsidRPr="00BF17FF" w:rsidRDefault="007C547A" w:rsidP="007C547A">
      <w:pPr>
        <w:shd w:val="clear" w:color="auto" w:fill="FFFFFF"/>
        <w:autoSpaceDE w:val="0"/>
        <w:jc w:val="both"/>
        <w:rPr>
          <w:rFonts w:ascii="Futura Bk BT" w:eastAsia="DejaVu Sans" w:hAnsi="Futura Bk BT"/>
          <w:kern w:val="3"/>
          <w:sz w:val="22"/>
          <w:szCs w:val="22"/>
          <w:lang w:val="es-ES" w:eastAsia="zh-CN" w:bidi="hi-IN"/>
        </w:rPr>
      </w:pPr>
    </w:p>
    <w:p w:rsidR="007C547A" w:rsidRPr="00BF17FF" w:rsidRDefault="007C547A" w:rsidP="007C547A">
      <w:pPr>
        <w:shd w:val="clear" w:color="auto" w:fill="FFFFFF"/>
        <w:autoSpaceDE w:val="0"/>
        <w:jc w:val="both"/>
        <w:rPr>
          <w:rFonts w:ascii="Futura Bk BT" w:eastAsia="DejaVu Sans" w:hAnsi="Futura Bk BT"/>
          <w:kern w:val="3"/>
          <w:sz w:val="22"/>
          <w:szCs w:val="22"/>
          <w:lang w:val="es-ES" w:eastAsia="zh-CN" w:bidi="hi-IN"/>
        </w:rPr>
      </w:pPr>
    </w:p>
    <w:p w:rsidR="007C547A" w:rsidRPr="00BF17FF" w:rsidRDefault="007C547A" w:rsidP="007C547A">
      <w:pPr>
        <w:spacing w:after="120"/>
        <w:rPr>
          <w:rFonts w:ascii="Futura Bk BT" w:eastAsia="DejaVu Sans" w:hAnsi="Futura Bk BT"/>
          <w:kern w:val="3"/>
          <w:sz w:val="22"/>
          <w:szCs w:val="22"/>
          <w:lang w:val="es-ES" w:eastAsia="zh-CN" w:bidi="hi-IN"/>
        </w:rPr>
      </w:pPr>
    </w:p>
    <w:p w:rsidR="007C547A" w:rsidRPr="00365D20" w:rsidRDefault="007C547A" w:rsidP="007C547A">
      <w:pPr>
        <w:rPr>
          <w:rFonts w:ascii="Futura Bk BT" w:eastAsia="DejaVu Sans" w:hAnsi="Futura Bk BT"/>
          <w:kern w:val="3"/>
          <w:sz w:val="18"/>
          <w:szCs w:val="18"/>
          <w:lang w:val="es-ES" w:eastAsia="zh-CN" w:bidi="hi-IN"/>
          <w:rPrChange w:id="6"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7" w:author="Sonia Jaqueline Angarita Salazar" w:date="2015-12-30T10:46:00Z">
            <w:rPr>
              <w:rFonts w:ascii="Futura Bk BT" w:eastAsia="DejaVu Sans" w:hAnsi="Futura Bk BT"/>
              <w:kern w:val="3"/>
              <w:sz w:val="22"/>
              <w:szCs w:val="22"/>
              <w:lang w:val="es-ES" w:eastAsia="zh-CN" w:bidi="hi-IN"/>
            </w:rPr>
          </w:rPrChange>
        </w:rPr>
        <w:t>Andres Figueredo Serpa    – Vicepresidente de Gestión Contractual, ANI.</w:t>
      </w:r>
    </w:p>
    <w:p w:rsidR="007C547A" w:rsidRPr="00365D20" w:rsidRDefault="00F6160E" w:rsidP="007C547A">
      <w:pPr>
        <w:shd w:val="clear" w:color="auto" w:fill="FFFFFF"/>
        <w:autoSpaceDE w:val="0"/>
        <w:jc w:val="both"/>
        <w:rPr>
          <w:rFonts w:ascii="Futura Bk BT" w:eastAsia="DejaVu Sans" w:hAnsi="Futura Bk BT"/>
          <w:kern w:val="3"/>
          <w:sz w:val="18"/>
          <w:szCs w:val="18"/>
          <w:lang w:val="es-ES" w:eastAsia="zh-CN" w:bidi="hi-IN"/>
          <w:rPrChange w:id="8"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9" w:author="Sonia Jaqueline Angarita Salazar" w:date="2015-12-30T10:46:00Z">
            <w:rPr>
              <w:rFonts w:ascii="Futura Bk BT" w:eastAsia="DejaVu Sans" w:hAnsi="Futura Bk BT"/>
              <w:kern w:val="3"/>
              <w:sz w:val="22"/>
              <w:szCs w:val="22"/>
              <w:lang w:val="es-ES" w:eastAsia="zh-CN" w:bidi="hi-IN"/>
            </w:rPr>
          </w:rPrChange>
        </w:rPr>
        <w:t>Alfredo</w:t>
      </w:r>
      <w:r w:rsidR="00365D20">
        <w:rPr>
          <w:rFonts w:ascii="Futura Bk BT" w:eastAsia="DejaVu Sans" w:hAnsi="Futura Bk BT"/>
          <w:kern w:val="3"/>
          <w:sz w:val="18"/>
          <w:szCs w:val="18"/>
          <w:lang w:val="es-ES" w:eastAsia="zh-CN" w:bidi="hi-IN"/>
        </w:rPr>
        <w:t xml:space="preserve"> </w:t>
      </w:r>
      <w:r w:rsidR="007C547A" w:rsidRPr="00365D20">
        <w:rPr>
          <w:rFonts w:ascii="Futura Bk BT" w:eastAsia="DejaVu Sans" w:hAnsi="Futura Bk BT"/>
          <w:kern w:val="3"/>
          <w:sz w:val="18"/>
          <w:szCs w:val="18"/>
          <w:lang w:val="es-ES" w:eastAsia="zh-CN" w:bidi="hi-IN"/>
          <w:rPrChange w:id="10" w:author="Sonia Jaqueline Angarita Salazar" w:date="2015-12-30T10:46:00Z">
            <w:rPr>
              <w:rFonts w:ascii="Futura Bk BT" w:eastAsia="DejaVu Sans" w:hAnsi="Futura Bk BT"/>
              <w:kern w:val="3"/>
              <w:sz w:val="22"/>
              <w:szCs w:val="22"/>
              <w:lang w:val="es-ES" w:eastAsia="zh-CN" w:bidi="hi-IN"/>
            </w:rPr>
          </w:rPrChange>
        </w:rPr>
        <w:t>Bocanegra             – Vicepresidente Jurídico - ANI</w:t>
      </w:r>
    </w:p>
    <w:p w:rsidR="007C547A" w:rsidRPr="00365D20" w:rsidRDefault="007C547A" w:rsidP="007C547A">
      <w:pPr>
        <w:shd w:val="clear" w:color="auto" w:fill="FFFFFF"/>
        <w:autoSpaceDE w:val="0"/>
        <w:jc w:val="both"/>
        <w:rPr>
          <w:rFonts w:ascii="Futura Bk BT" w:eastAsia="DejaVu Sans" w:hAnsi="Futura Bk BT"/>
          <w:kern w:val="3"/>
          <w:sz w:val="18"/>
          <w:szCs w:val="18"/>
          <w:lang w:val="es-ES" w:eastAsia="zh-CN" w:bidi="hi-IN"/>
          <w:rPrChange w:id="11"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12" w:author="Sonia Jaqueline Angarita Salazar" w:date="2015-12-30T10:46:00Z">
            <w:rPr>
              <w:rFonts w:ascii="Futura Bk BT" w:eastAsia="DejaVu Sans" w:hAnsi="Futura Bk BT"/>
              <w:kern w:val="3"/>
              <w:sz w:val="22"/>
              <w:szCs w:val="22"/>
              <w:lang w:val="es-ES" w:eastAsia="zh-CN" w:bidi="hi-IN"/>
            </w:rPr>
          </w:rPrChange>
        </w:rPr>
        <w:t>Luis Eduardo Gutierrez    – Gerente Modo Carretero 2 ANI</w:t>
      </w:r>
    </w:p>
    <w:p w:rsidR="007C547A" w:rsidRPr="00365D20" w:rsidRDefault="007C547A" w:rsidP="007C547A">
      <w:pPr>
        <w:rPr>
          <w:rFonts w:ascii="Futura Bk BT" w:eastAsia="DejaVu Sans" w:hAnsi="Futura Bk BT"/>
          <w:kern w:val="3"/>
          <w:sz w:val="18"/>
          <w:szCs w:val="18"/>
          <w:lang w:val="es-ES" w:eastAsia="zh-CN" w:bidi="hi-IN"/>
          <w:rPrChange w:id="13"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14" w:author="Sonia Jaqueline Angarita Salazar" w:date="2015-12-30T10:46:00Z">
            <w:rPr>
              <w:rFonts w:ascii="Futura Bk BT" w:eastAsia="DejaVu Sans" w:hAnsi="Futura Bk BT"/>
              <w:kern w:val="3"/>
              <w:sz w:val="22"/>
              <w:szCs w:val="22"/>
              <w:lang w:val="es-ES" w:eastAsia="zh-CN" w:bidi="hi-IN"/>
            </w:rPr>
          </w:rPrChange>
        </w:rPr>
        <w:t xml:space="preserve">Priscila Sanchez  </w:t>
      </w:r>
      <w:r w:rsidRPr="00365D20">
        <w:rPr>
          <w:rFonts w:ascii="Futura Bk BT" w:eastAsia="DejaVu Sans" w:hAnsi="Futura Bk BT"/>
          <w:kern w:val="3"/>
          <w:sz w:val="18"/>
          <w:szCs w:val="18"/>
          <w:lang w:val="es-ES" w:eastAsia="zh-CN" w:bidi="hi-IN"/>
          <w:rPrChange w:id="15" w:author="Sonia Jaqueline Angarita Salazar" w:date="2015-12-30T10:46:00Z">
            <w:rPr>
              <w:rFonts w:ascii="Futura Bk BT" w:eastAsia="DejaVu Sans" w:hAnsi="Futura Bk BT"/>
              <w:kern w:val="3"/>
              <w:sz w:val="22"/>
              <w:szCs w:val="22"/>
              <w:lang w:val="es-ES" w:eastAsia="zh-CN" w:bidi="hi-IN"/>
            </w:rPr>
          </w:rPrChange>
        </w:rPr>
        <w:tab/>
        <w:t xml:space="preserve">   – Gerente Gestión Contractual 2 – Vicepresidencia Jurídica ANI</w:t>
      </w:r>
    </w:p>
    <w:p w:rsidR="007C547A" w:rsidRPr="00365D20" w:rsidRDefault="007C547A" w:rsidP="007C547A">
      <w:pPr>
        <w:rPr>
          <w:rFonts w:ascii="Futura Bk BT" w:eastAsia="DejaVu Sans" w:hAnsi="Futura Bk BT"/>
          <w:kern w:val="3"/>
          <w:sz w:val="18"/>
          <w:szCs w:val="18"/>
          <w:lang w:val="es-ES" w:eastAsia="zh-CN" w:bidi="hi-IN"/>
          <w:rPrChange w:id="16"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17" w:author="Sonia Jaqueline Angarita Salazar" w:date="2015-12-30T10:46:00Z">
            <w:rPr>
              <w:rFonts w:ascii="Futura Bk BT" w:eastAsia="DejaVu Sans" w:hAnsi="Futura Bk BT"/>
              <w:kern w:val="3"/>
              <w:sz w:val="22"/>
              <w:szCs w:val="22"/>
              <w:lang w:val="es-ES" w:eastAsia="zh-CN" w:bidi="hi-IN"/>
            </w:rPr>
          </w:rPrChange>
        </w:rPr>
        <w:t xml:space="preserve">Diana Corredor    </w:t>
      </w:r>
      <w:r w:rsidRPr="00365D20">
        <w:rPr>
          <w:rFonts w:ascii="Futura Bk BT" w:eastAsia="DejaVu Sans" w:hAnsi="Futura Bk BT"/>
          <w:kern w:val="3"/>
          <w:sz w:val="18"/>
          <w:szCs w:val="18"/>
          <w:lang w:val="es-ES" w:eastAsia="zh-CN" w:bidi="hi-IN"/>
          <w:rPrChange w:id="18" w:author="Sonia Jaqueline Angarita Salazar" w:date="2015-12-30T10:46:00Z">
            <w:rPr>
              <w:rFonts w:ascii="Futura Bk BT" w:eastAsia="DejaVu Sans" w:hAnsi="Futura Bk BT"/>
              <w:kern w:val="3"/>
              <w:sz w:val="22"/>
              <w:szCs w:val="22"/>
              <w:lang w:val="es-ES" w:eastAsia="zh-CN" w:bidi="hi-IN"/>
            </w:rPr>
          </w:rPrChange>
        </w:rPr>
        <w:tab/>
        <w:t xml:space="preserve">   – Gerente Financiero, Vicepresidencia de Gestión Contractual ANI</w:t>
      </w:r>
    </w:p>
    <w:p w:rsidR="00DF3480" w:rsidRPr="00365D20" w:rsidRDefault="007C547A" w:rsidP="007C547A">
      <w:pPr>
        <w:rPr>
          <w:rFonts w:ascii="Futura Bk BT" w:eastAsia="DejaVu Sans" w:hAnsi="Futura Bk BT"/>
          <w:kern w:val="3"/>
          <w:sz w:val="18"/>
          <w:szCs w:val="18"/>
          <w:lang w:val="es-ES" w:eastAsia="zh-CN" w:bidi="hi-IN"/>
          <w:rPrChange w:id="19"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20" w:author="Sonia Jaqueline Angarita Salazar" w:date="2015-12-30T10:46:00Z">
            <w:rPr>
              <w:rFonts w:ascii="Futura Bk BT" w:eastAsia="DejaVu Sans" w:hAnsi="Futura Bk BT"/>
              <w:kern w:val="3"/>
              <w:sz w:val="22"/>
              <w:szCs w:val="22"/>
              <w:lang w:val="es-ES" w:eastAsia="zh-CN" w:bidi="hi-IN"/>
            </w:rPr>
          </w:rPrChange>
        </w:rPr>
        <w:t xml:space="preserve">Frank López </w:t>
      </w:r>
      <w:r w:rsidR="00326523" w:rsidRPr="00365D20">
        <w:rPr>
          <w:rFonts w:ascii="Futura Bk BT" w:eastAsia="DejaVu Sans" w:hAnsi="Futura Bk BT"/>
          <w:kern w:val="3"/>
          <w:sz w:val="18"/>
          <w:szCs w:val="18"/>
          <w:lang w:val="es-ES" w:eastAsia="zh-CN" w:bidi="hi-IN"/>
          <w:rPrChange w:id="21" w:author="Sonia Jaqueline Angarita Salazar" w:date="2015-12-30T10:46:00Z">
            <w:rPr>
              <w:rFonts w:ascii="Futura Bk BT" w:eastAsia="DejaVu Sans" w:hAnsi="Futura Bk BT"/>
              <w:kern w:val="3"/>
              <w:sz w:val="22"/>
              <w:szCs w:val="22"/>
              <w:lang w:val="es-ES" w:eastAsia="zh-CN" w:bidi="hi-IN"/>
            </w:rPr>
          </w:rPrChange>
        </w:rPr>
        <w:t>Jimenez</w:t>
      </w:r>
      <w:r w:rsidRPr="00365D20">
        <w:rPr>
          <w:rFonts w:ascii="Futura Bk BT" w:eastAsia="DejaVu Sans" w:hAnsi="Futura Bk BT"/>
          <w:kern w:val="3"/>
          <w:sz w:val="18"/>
          <w:szCs w:val="18"/>
          <w:lang w:val="es-ES" w:eastAsia="zh-CN" w:bidi="hi-IN"/>
          <w:rPrChange w:id="22" w:author="Sonia Jaqueline Angarita Salazar" w:date="2015-12-30T10:46:00Z">
            <w:rPr>
              <w:rFonts w:ascii="Futura Bk BT" w:eastAsia="DejaVu Sans" w:hAnsi="Futura Bk BT"/>
              <w:kern w:val="3"/>
              <w:sz w:val="22"/>
              <w:szCs w:val="22"/>
              <w:lang w:val="es-ES" w:eastAsia="zh-CN" w:bidi="hi-IN"/>
            </w:rPr>
          </w:rPrChange>
        </w:rPr>
        <w:t xml:space="preserve">        –  Apoyo a la supervisión del Proyecto SMRP</w:t>
      </w:r>
    </w:p>
    <w:p w:rsidR="00DF3480" w:rsidRPr="00365D20" w:rsidRDefault="00DF3480" w:rsidP="007C547A">
      <w:pPr>
        <w:rPr>
          <w:rFonts w:ascii="Futura Bk BT" w:eastAsia="DejaVu Sans" w:hAnsi="Futura Bk BT"/>
          <w:kern w:val="3"/>
          <w:sz w:val="18"/>
          <w:szCs w:val="18"/>
          <w:lang w:val="es-ES" w:eastAsia="zh-CN" w:bidi="hi-IN"/>
          <w:rPrChange w:id="23"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24" w:author="Sonia Jaqueline Angarita Salazar" w:date="2015-12-30T10:46:00Z">
            <w:rPr>
              <w:rFonts w:ascii="Futura Bk BT" w:eastAsia="DejaVu Sans" w:hAnsi="Futura Bk BT"/>
              <w:kern w:val="3"/>
              <w:sz w:val="22"/>
              <w:szCs w:val="22"/>
              <w:lang w:val="es-ES" w:eastAsia="zh-CN" w:bidi="hi-IN"/>
            </w:rPr>
          </w:rPrChange>
        </w:rPr>
        <w:t xml:space="preserve">Martha Castellanos </w:t>
      </w:r>
      <w:r w:rsidRPr="00365D20">
        <w:rPr>
          <w:rFonts w:ascii="Futura Bk BT" w:eastAsia="DejaVu Sans" w:hAnsi="Futura Bk BT"/>
          <w:kern w:val="3"/>
          <w:sz w:val="18"/>
          <w:szCs w:val="18"/>
          <w:lang w:val="es-ES" w:eastAsia="zh-CN" w:bidi="hi-IN"/>
          <w:rPrChange w:id="25" w:author="Sonia Jaqueline Angarita Salazar" w:date="2015-12-30T10:46:00Z">
            <w:rPr>
              <w:rFonts w:ascii="Futura Bk BT" w:eastAsia="DejaVu Sans" w:hAnsi="Futura Bk BT"/>
              <w:kern w:val="3"/>
              <w:sz w:val="22"/>
              <w:szCs w:val="22"/>
              <w:lang w:val="es-ES" w:eastAsia="zh-CN" w:bidi="hi-IN"/>
            </w:rPr>
          </w:rPrChange>
        </w:rPr>
        <w:tab/>
        <w:t xml:space="preserve">   -   Apoyo a la Supervisión Proyecto MVM IP.</w:t>
      </w:r>
    </w:p>
    <w:p w:rsidR="007C547A" w:rsidRPr="00365D20" w:rsidRDefault="007C547A" w:rsidP="007C547A">
      <w:pPr>
        <w:rPr>
          <w:rFonts w:ascii="Futura Bk BT" w:eastAsia="DejaVu Sans" w:hAnsi="Futura Bk BT"/>
          <w:kern w:val="3"/>
          <w:sz w:val="18"/>
          <w:szCs w:val="18"/>
          <w:lang w:val="es-ES" w:eastAsia="zh-CN" w:bidi="hi-IN"/>
          <w:rPrChange w:id="26"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27" w:author="Sonia Jaqueline Angarita Salazar" w:date="2015-12-30T10:46:00Z">
            <w:rPr>
              <w:rFonts w:ascii="Futura Bk BT" w:eastAsia="DejaVu Sans" w:hAnsi="Futura Bk BT"/>
              <w:kern w:val="3"/>
              <w:sz w:val="22"/>
              <w:szCs w:val="22"/>
              <w:lang w:val="es-ES" w:eastAsia="zh-CN" w:bidi="hi-IN"/>
            </w:rPr>
          </w:rPrChange>
        </w:rPr>
        <w:t>Sonia Angarita Salazar    – Experto G3 grado 7 – Gerencia Jurídica, ANI</w:t>
      </w:r>
    </w:p>
    <w:p w:rsidR="007C547A" w:rsidRPr="00365D20" w:rsidRDefault="007C547A" w:rsidP="007C547A">
      <w:pPr>
        <w:rPr>
          <w:rFonts w:ascii="Futura Bk BT" w:eastAsia="DejaVu Sans" w:hAnsi="Futura Bk BT"/>
          <w:kern w:val="3"/>
          <w:sz w:val="18"/>
          <w:szCs w:val="18"/>
          <w:lang w:val="es-ES" w:eastAsia="zh-CN" w:bidi="hi-IN"/>
          <w:rPrChange w:id="28"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29" w:author="Sonia Jaqueline Angarita Salazar" w:date="2015-12-30T10:46:00Z">
            <w:rPr>
              <w:rFonts w:ascii="Futura Bk BT" w:eastAsia="DejaVu Sans" w:hAnsi="Futura Bk BT"/>
              <w:kern w:val="3"/>
              <w:sz w:val="22"/>
              <w:szCs w:val="22"/>
              <w:lang w:val="es-ES" w:eastAsia="zh-CN" w:bidi="hi-IN"/>
            </w:rPr>
          </w:rPrChange>
        </w:rPr>
        <w:t xml:space="preserve">Omar Jimenez </w:t>
      </w:r>
      <w:r w:rsidRPr="00365D20">
        <w:rPr>
          <w:rFonts w:ascii="Futura Bk BT" w:eastAsia="DejaVu Sans" w:hAnsi="Futura Bk BT"/>
          <w:kern w:val="3"/>
          <w:sz w:val="18"/>
          <w:szCs w:val="18"/>
          <w:lang w:val="es-ES" w:eastAsia="zh-CN" w:bidi="hi-IN"/>
          <w:rPrChange w:id="30" w:author="Sonia Jaqueline Angarita Salazar" w:date="2015-12-30T10:46:00Z">
            <w:rPr>
              <w:rFonts w:ascii="Futura Bk BT" w:eastAsia="DejaVu Sans" w:hAnsi="Futura Bk BT"/>
              <w:kern w:val="3"/>
              <w:sz w:val="22"/>
              <w:szCs w:val="22"/>
              <w:lang w:val="es-ES" w:eastAsia="zh-CN" w:bidi="hi-IN"/>
            </w:rPr>
          </w:rPrChange>
        </w:rPr>
        <w:tab/>
        <w:t xml:space="preserve">   – Especialista financiero – Gerencia Financiera, ANI</w:t>
      </w:r>
    </w:p>
    <w:p w:rsidR="007C547A" w:rsidRPr="00365D20" w:rsidRDefault="007C547A" w:rsidP="007C547A">
      <w:pPr>
        <w:rPr>
          <w:rFonts w:ascii="Futura Bk BT" w:eastAsia="DejaVu Sans" w:hAnsi="Futura Bk BT"/>
          <w:kern w:val="3"/>
          <w:sz w:val="18"/>
          <w:szCs w:val="18"/>
          <w:lang w:val="es-ES" w:eastAsia="zh-CN" w:bidi="hi-IN"/>
          <w:rPrChange w:id="31" w:author="Sonia Jaqueline Angarita Salazar" w:date="2015-12-30T10:46:00Z">
            <w:rPr>
              <w:rFonts w:ascii="Futura Bk BT" w:eastAsia="DejaVu Sans" w:hAnsi="Futura Bk BT"/>
              <w:kern w:val="3"/>
              <w:sz w:val="22"/>
              <w:szCs w:val="22"/>
              <w:lang w:val="es-ES" w:eastAsia="zh-CN" w:bidi="hi-IN"/>
            </w:rPr>
          </w:rPrChange>
        </w:rPr>
      </w:pPr>
    </w:p>
    <w:p w:rsidR="007C547A" w:rsidRPr="00365D20" w:rsidRDefault="007C547A" w:rsidP="007C547A">
      <w:pPr>
        <w:shd w:val="clear" w:color="auto" w:fill="FFFFFF"/>
        <w:autoSpaceDE w:val="0"/>
        <w:jc w:val="both"/>
        <w:rPr>
          <w:rFonts w:ascii="Futura Bk BT" w:eastAsia="DejaVu Sans" w:hAnsi="Futura Bk BT"/>
          <w:kern w:val="3"/>
          <w:sz w:val="18"/>
          <w:szCs w:val="18"/>
          <w:lang w:val="es-ES" w:eastAsia="zh-CN" w:bidi="hi-IN"/>
          <w:rPrChange w:id="32"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33" w:author="Sonia Jaqueline Angarita Salazar" w:date="2015-12-30T10:46:00Z">
            <w:rPr>
              <w:rFonts w:ascii="Futura Bk BT" w:eastAsia="DejaVu Sans" w:hAnsi="Futura Bk BT"/>
              <w:kern w:val="3"/>
              <w:sz w:val="22"/>
              <w:szCs w:val="22"/>
              <w:lang w:val="es-ES" w:eastAsia="zh-CN" w:bidi="hi-IN"/>
            </w:rPr>
          </w:rPrChange>
        </w:rPr>
        <w:t>Daniel Hinestrosa Grisales  – Jefe Oficina Asesora Jurídica, Ministerio de Transporte</w:t>
      </w:r>
    </w:p>
    <w:p w:rsidR="007C547A" w:rsidRPr="00365D20" w:rsidRDefault="007C547A" w:rsidP="007C547A">
      <w:pPr>
        <w:rPr>
          <w:rFonts w:ascii="Futura Bk BT" w:eastAsia="DejaVu Sans" w:hAnsi="Futura Bk BT"/>
          <w:kern w:val="3"/>
          <w:sz w:val="18"/>
          <w:szCs w:val="18"/>
          <w:lang w:val="es-ES" w:eastAsia="zh-CN" w:bidi="hi-IN"/>
          <w:rPrChange w:id="34"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35" w:author="Sonia Jaqueline Angarita Salazar" w:date="2015-12-30T10:46:00Z">
            <w:rPr>
              <w:rFonts w:ascii="Futura Bk BT" w:eastAsia="DejaVu Sans" w:hAnsi="Futura Bk BT"/>
              <w:kern w:val="3"/>
              <w:sz w:val="22"/>
              <w:szCs w:val="22"/>
              <w:lang w:val="es-ES" w:eastAsia="zh-CN" w:bidi="hi-IN"/>
            </w:rPr>
          </w:rPrChange>
        </w:rPr>
        <w:t xml:space="preserve">Lucas </w:t>
      </w:r>
      <w:r w:rsidR="00326523" w:rsidRPr="00365D20">
        <w:rPr>
          <w:rFonts w:ascii="Futura Bk BT" w:eastAsia="DejaVu Sans" w:hAnsi="Futura Bk BT"/>
          <w:kern w:val="3"/>
          <w:sz w:val="18"/>
          <w:szCs w:val="18"/>
          <w:lang w:val="es-ES" w:eastAsia="zh-CN" w:bidi="hi-IN"/>
          <w:rPrChange w:id="36" w:author="Sonia Jaqueline Angarita Salazar" w:date="2015-12-30T10:46:00Z">
            <w:rPr>
              <w:rFonts w:ascii="Futura Bk BT" w:eastAsia="DejaVu Sans" w:hAnsi="Futura Bk BT"/>
              <w:kern w:val="3"/>
              <w:sz w:val="22"/>
              <w:szCs w:val="22"/>
              <w:lang w:val="es-ES" w:eastAsia="zh-CN" w:bidi="hi-IN"/>
            </w:rPr>
          </w:rPrChange>
        </w:rPr>
        <w:t>Rodríguez</w:t>
      </w:r>
      <w:r w:rsidRPr="00365D20">
        <w:rPr>
          <w:rFonts w:ascii="Futura Bk BT" w:eastAsia="DejaVu Sans" w:hAnsi="Futura Bk BT"/>
          <w:kern w:val="3"/>
          <w:sz w:val="18"/>
          <w:szCs w:val="18"/>
          <w:lang w:val="es-ES" w:eastAsia="zh-CN" w:bidi="hi-IN"/>
          <w:rPrChange w:id="37" w:author="Sonia Jaqueline Angarita Salazar" w:date="2015-12-30T10:46:00Z">
            <w:rPr>
              <w:rFonts w:ascii="Futura Bk BT" w:eastAsia="DejaVu Sans" w:hAnsi="Futura Bk BT"/>
              <w:kern w:val="3"/>
              <w:sz w:val="22"/>
              <w:szCs w:val="22"/>
              <w:lang w:val="es-ES" w:eastAsia="zh-CN" w:bidi="hi-IN"/>
            </w:rPr>
          </w:rPrChange>
        </w:rPr>
        <w:t xml:space="preserve"> Gómez      – Jefe Oficina de Regulación Económica, Ministerio de Transporte</w:t>
      </w:r>
    </w:p>
    <w:p w:rsidR="007C547A" w:rsidRPr="00365D20" w:rsidRDefault="007C547A" w:rsidP="007C547A">
      <w:pPr>
        <w:rPr>
          <w:rFonts w:ascii="Futura Bk BT" w:eastAsia="DejaVu Sans" w:hAnsi="Futura Bk BT"/>
          <w:kern w:val="3"/>
          <w:sz w:val="18"/>
          <w:szCs w:val="18"/>
          <w:lang w:val="es-ES" w:eastAsia="zh-CN" w:bidi="hi-IN"/>
          <w:rPrChange w:id="38" w:author="Sonia Jaqueline Angarita Salazar" w:date="2015-12-30T10:46:00Z">
            <w:rPr>
              <w:rFonts w:ascii="Futura Bk BT" w:eastAsia="DejaVu Sans" w:hAnsi="Futura Bk BT"/>
              <w:kern w:val="3"/>
              <w:sz w:val="22"/>
              <w:szCs w:val="22"/>
              <w:lang w:val="es-ES" w:eastAsia="zh-CN" w:bidi="hi-IN"/>
            </w:rPr>
          </w:rPrChange>
        </w:rPr>
      </w:pPr>
      <w:r w:rsidRPr="00365D20">
        <w:rPr>
          <w:rFonts w:ascii="Futura Bk BT" w:eastAsia="DejaVu Sans" w:hAnsi="Futura Bk BT"/>
          <w:kern w:val="3"/>
          <w:sz w:val="18"/>
          <w:szCs w:val="18"/>
          <w:lang w:val="es-ES" w:eastAsia="zh-CN" w:bidi="hi-IN"/>
          <w:rPrChange w:id="39" w:author="Sonia Jaqueline Angarita Salazar" w:date="2015-12-30T10:46:00Z">
            <w:rPr>
              <w:rFonts w:ascii="Futura Bk BT" w:eastAsia="DejaVu Sans" w:hAnsi="Futura Bk BT"/>
              <w:kern w:val="3"/>
              <w:sz w:val="22"/>
              <w:szCs w:val="22"/>
              <w:lang w:val="es-ES" w:eastAsia="zh-CN" w:bidi="hi-IN"/>
            </w:rPr>
          </w:rPrChange>
        </w:rPr>
        <w:t>Mario Franco Morales         – Coordinador Grupo Económico Financiero - Oficina de Regulación Económica Mintransporte.</w:t>
      </w:r>
    </w:p>
    <w:p w:rsidR="007C547A" w:rsidRPr="00BF17FF" w:rsidRDefault="007C547A" w:rsidP="007C547A">
      <w:pPr>
        <w:shd w:val="clear" w:color="auto" w:fill="FFFFFF"/>
        <w:autoSpaceDE w:val="0"/>
        <w:jc w:val="both"/>
        <w:rPr>
          <w:rFonts w:ascii="Futura Bk BT" w:eastAsia="DejaVu Sans" w:hAnsi="Futura Bk BT"/>
          <w:kern w:val="3"/>
          <w:sz w:val="22"/>
          <w:szCs w:val="22"/>
          <w:lang w:val="es-ES" w:eastAsia="zh-CN" w:bidi="hi-IN"/>
        </w:rPr>
      </w:pPr>
    </w:p>
    <w:p w:rsidR="007C547A" w:rsidRPr="00BF17FF" w:rsidRDefault="007C547A" w:rsidP="007C547A">
      <w:pPr>
        <w:pStyle w:val="Textocomentario"/>
        <w:spacing w:line="204" w:lineRule="auto"/>
        <w:jc w:val="both"/>
        <w:rPr>
          <w:rFonts w:ascii="Futura Bk BT" w:eastAsia="DejaVu Sans" w:hAnsi="Futura Bk BT"/>
          <w:kern w:val="3"/>
          <w:sz w:val="22"/>
          <w:szCs w:val="22"/>
          <w:lang w:eastAsia="zh-CN" w:bidi="hi-IN"/>
        </w:rPr>
      </w:pPr>
    </w:p>
    <w:p w:rsidR="007C547A" w:rsidRPr="00BF17FF" w:rsidRDefault="007C547A" w:rsidP="007C547A">
      <w:pPr>
        <w:pStyle w:val="Textocomentario"/>
        <w:spacing w:line="204" w:lineRule="auto"/>
        <w:jc w:val="both"/>
        <w:rPr>
          <w:rFonts w:ascii="Futura Bk BT" w:eastAsia="DejaVu Sans" w:hAnsi="Futura Bk BT"/>
          <w:kern w:val="3"/>
          <w:sz w:val="22"/>
          <w:szCs w:val="22"/>
          <w:lang w:eastAsia="zh-CN" w:bidi="hi-IN"/>
        </w:rPr>
      </w:pPr>
    </w:p>
    <w:p w:rsidR="0049066D" w:rsidRPr="00BF17FF" w:rsidRDefault="0049066D" w:rsidP="00C90F59">
      <w:pPr>
        <w:pStyle w:val="Textoindependiente"/>
        <w:contextualSpacing/>
        <w:jc w:val="left"/>
        <w:rPr>
          <w:rFonts w:ascii="Futura Bk BT" w:eastAsia="DejaVu Sans" w:hAnsi="Futura Bk BT"/>
          <w:spacing w:val="0"/>
          <w:kern w:val="3"/>
          <w:sz w:val="22"/>
          <w:szCs w:val="22"/>
          <w:lang w:val="es-ES" w:eastAsia="zh-CN" w:bidi="hi-IN"/>
        </w:rPr>
      </w:pPr>
    </w:p>
    <w:p w:rsidR="00C90F59" w:rsidRPr="00BF17FF" w:rsidRDefault="00C90F59" w:rsidP="00D91211">
      <w:pPr>
        <w:ind w:left="120" w:right="186"/>
        <w:jc w:val="center"/>
        <w:rPr>
          <w:rFonts w:ascii="Futura Bk BT" w:eastAsia="DejaVu Sans" w:hAnsi="Futura Bk BT"/>
          <w:kern w:val="3"/>
          <w:sz w:val="22"/>
          <w:szCs w:val="22"/>
          <w:lang w:val="es-ES" w:eastAsia="zh-CN" w:bidi="hi-IN"/>
        </w:rPr>
      </w:pPr>
    </w:p>
    <w:sectPr w:rsidR="00C90F59" w:rsidRPr="00BF17FF" w:rsidSect="00AA2C0A">
      <w:headerReference w:type="default" r:id="rId14"/>
      <w:headerReference w:type="first" r:id="rId15"/>
      <w:endnotePr>
        <w:numFmt w:val="decimal"/>
      </w:endnotePr>
      <w:type w:val="continuous"/>
      <w:pgSz w:w="12240" w:h="18720" w:code="261"/>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ario Franco Morales" w:date="2015-12-07T09:50:00Z" w:initials="Mario Fra">
    <w:p w:rsidR="00767685" w:rsidRDefault="00767685" w:rsidP="007C547A">
      <w:pPr>
        <w:pStyle w:val="Textocomentario"/>
      </w:pPr>
      <w:r>
        <w:rPr>
          <w:rStyle w:val="Refdecomentario"/>
        </w:rPr>
        <w:annotationRef/>
      </w:r>
      <w:r>
        <w:t>verificar si fueron invitados y participaron de las mesas de trabajo?</w:t>
      </w:r>
    </w:p>
    <w:p w:rsidR="00767685" w:rsidRDefault="00767685" w:rsidP="007C547A">
      <w:pPr>
        <w:pStyle w:val="Textocomentario"/>
      </w:pPr>
      <w:r>
        <w:rPr>
          <w:shd w:val="clear" w:color="auto" w:fill="FFFF00"/>
        </w:rPr>
        <w:t>Si señor, asistieron a las mesas de trabajo.</w:t>
      </w:r>
      <w:r>
        <w:t xml:space="preserve">  </w:t>
      </w:r>
    </w:p>
  </w:comment>
  <w:comment w:id="1" w:author="Mario Franco Morales" w:date="2015-12-07T09:52:00Z" w:initials="Mario Fra">
    <w:p w:rsidR="00767685" w:rsidRDefault="00767685" w:rsidP="007C547A">
      <w:pPr>
        <w:pStyle w:val="Textocomentario"/>
      </w:pPr>
      <w:r>
        <w:rPr>
          <w:rStyle w:val="Refdecomentario"/>
        </w:rPr>
        <w:annotationRef/>
      </w:r>
      <w:r>
        <w:t>las estaciones de peaje indicar los nombres?</w:t>
      </w:r>
    </w:p>
    <w:p w:rsidR="00767685" w:rsidRDefault="00767685" w:rsidP="007C547A">
      <w:pPr>
        <w:pStyle w:val="Textocomentario"/>
      </w:pPr>
      <w:r>
        <w:rPr>
          <w:shd w:val="clear" w:color="auto" w:fill="FFFF00"/>
        </w:rPr>
        <w:t>Se aclara en el párrafo que se trata de las estaciones de CaseTabla y Yucao</w:t>
      </w:r>
    </w:p>
  </w:comment>
  <w:comment w:id="2" w:author="Mario Franco Morales" w:date="2015-12-07T13:43:00Z" w:initials="Mario Fra">
    <w:p w:rsidR="00767685" w:rsidRDefault="00767685" w:rsidP="007C547A">
      <w:pPr>
        <w:pStyle w:val="Textocomentario"/>
      </w:pPr>
      <w:r>
        <w:rPr>
          <w:rStyle w:val="Refdecomentario"/>
        </w:rPr>
        <w:annotationRef/>
      </w:r>
      <w:r>
        <w:t xml:space="preserve">Las tarifas especiales del peaje LA LIBERTAD incluidas en la Resolución 0001130 de 2015 se mantienen?   </w:t>
      </w:r>
    </w:p>
    <w:p w:rsidR="00767685" w:rsidRDefault="00767685" w:rsidP="007C547A">
      <w:pPr>
        <w:pStyle w:val="Textocomentario"/>
      </w:pPr>
      <w:r>
        <w:rPr>
          <w:shd w:val="clear" w:color="auto" w:fill="FFFF00"/>
        </w:rPr>
        <w:t>Si se mantienen</w:t>
      </w:r>
    </w:p>
  </w:comment>
  <w:comment w:id="3" w:author="Mario Franco Morales" w:date="2015-12-07T14:27:00Z" w:initials="Mario Fra">
    <w:p w:rsidR="00767685" w:rsidRDefault="00767685" w:rsidP="007C547A">
      <w:pPr>
        <w:pStyle w:val="Textocomentario"/>
      </w:pPr>
      <w:r>
        <w:rPr>
          <w:rStyle w:val="Refdecomentario"/>
        </w:rPr>
        <w:annotationRef/>
      </w:r>
      <w:r>
        <w:t>indicar cuales empresas?</w:t>
      </w:r>
    </w:p>
    <w:p w:rsidR="00767685" w:rsidRDefault="00767685" w:rsidP="007C547A">
      <w:pPr>
        <w:pStyle w:val="Textocomentario"/>
      </w:pPr>
      <w:r>
        <w:rPr>
          <w:shd w:val="clear" w:color="auto" w:fill="FFFF00"/>
        </w:rPr>
        <w:t>Hace referencia a las a que la empresa debe estar habilitada.  Es una condición que viene de los literales a y b</w:t>
      </w:r>
      <w:r>
        <w:t xml:space="preserve">  </w:t>
      </w:r>
    </w:p>
  </w:comment>
  <w:comment w:id="4" w:author="Mario Franco Morales" w:date="2015-12-07T14:45:00Z" w:initials="Mario Fra">
    <w:p w:rsidR="00767685" w:rsidRDefault="00767685" w:rsidP="007C547A">
      <w:pPr>
        <w:pStyle w:val="Textocomentario"/>
      </w:pPr>
      <w:r>
        <w:rPr>
          <w:rStyle w:val="Refdecomentario"/>
        </w:rPr>
        <w:annotationRef/>
      </w:r>
      <w:r>
        <w:t xml:space="preserve">Me parece muy alto este requisito porque muchos de ellos no podrá cumplirlos, este tema se socializo con los beneficiarios de tarifa especial ¿???? OJO porque este punto puede ser de mucha discusión y no aceptación. </w:t>
      </w:r>
    </w:p>
  </w:comment>
  <w:comment w:id="5" w:author="Mario Franco Morales" w:date="2015-12-07T14:57:00Z" w:initials="Mario Fra">
    <w:p w:rsidR="00767685" w:rsidRDefault="00767685" w:rsidP="007C547A">
      <w:pPr>
        <w:pStyle w:val="Textocomentario"/>
      </w:pPr>
      <w:r>
        <w:rPr>
          <w:rStyle w:val="Refdecomentario"/>
        </w:rPr>
        <w:annotationRef/>
      </w:r>
      <w:r>
        <w:t>No todos los vehículos están inscritos en el sistema RUNT, como lo adquirirán, tiene un costo ¿???</w:t>
      </w:r>
    </w:p>
    <w:p w:rsidR="00767685" w:rsidRDefault="00767685" w:rsidP="007C547A">
      <w:pPr>
        <w:pStyle w:val="Textocomentario"/>
        <w:rPr>
          <w:shd w:val="clear" w:color="auto" w:fill="FFFF00"/>
        </w:rPr>
      </w:pPr>
      <w:r>
        <w:rPr>
          <w:shd w:val="clear" w:color="auto" w:fill="FFFF00"/>
        </w:rPr>
        <w:t>Si un vehículo no se encuentra registrado en el RUNT deberá proceder a registrarse y tomar el pantallazo o por lo menos el número del registro para que en la concesión se pueda validar.</w:t>
      </w:r>
    </w:p>
    <w:p w:rsidR="00767685" w:rsidRDefault="00767685" w:rsidP="007C547A">
      <w:pPr>
        <w:pStyle w:val="Textocomentario"/>
        <w:rPr>
          <w:shd w:val="clear" w:color="auto" w:fill="FFFF00"/>
        </w:rPr>
      </w:pPr>
      <w:r>
        <w:rPr>
          <w:shd w:val="clear" w:color="auto" w:fill="FFFF00"/>
        </w:rPr>
        <w:t>Esta condición está alineada con las políticas del Ministerio en propósito de consolidar aún más la plataforma.</w:t>
      </w:r>
    </w:p>
    <w:p w:rsidR="00767685" w:rsidRDefault="00767685" w:rsidP="007C547A">
      <w:pPr>
        <w:pStyle w:val="Textocomentario"/>
      </w:pPr>
      <w:r>
        <w:rPr>
          <w:shd w:val="clear" w:color="auto" w:fill="FFFF00"/>
        </w:rPr>
        <w:t>El inscribirse no tiene ningún costo</w:t>
      </w:r>
    </w:p>
    <w:p w:rsidR="00767685" w:rsidRDefault="00767685" w:rsidP="007C547A">
      <w:pPr>
        <w:pStyle w:val="Textocomentario"/>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560" w:rsidRDefault="009A6560">
      <w:pPr>
        <w:spacing w:line="20" w:lineRule="exact"/>
        <w:rPr>
          <w:sz w:val="20"/>
        </w:rPr>
      </w:pPr>
    </w:p>
  </w:endnote>
  <w:endnote w:type="continuationSeparator" w:id="0">
    <w:p w:rsidR="009A6560" w:rsidRDefault="009A6560">
      <w:pPr>
        <w:rPr>
          <w:sz w:val="20"/>
        </w:rPr>
      </w:pPr>
      <w:r>
        <w:rPr>
          <w:sz w:val="20"/>
        </w:rPr>
        <w:t xml:space="preserve"> </w:t>
      </w:r>
    </w:p>
  </w:endnote>
  <w:endnote w:type="continuationNotice" w:id="1">
    <w:p w:rsidR="009A6560" w:rsidRDefault="009A6560">
      <w:pPr>
        <w:rPr>
          <w:sz w:val="20"/>
        </w:rPr>
      </w:pPr>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E3783F5A-AC6F-4635-9E0C-BC8BA13245DA}"/>
  </w:font>
  <w:font w:name="Times New Roman">
    <w:panose1 w:val="02020603050405020304"/>
    <w:charset w:val="00"/>
    <w:family w:val="roman"/>
    <w:pitch w:val="variable"/>
    <w:sig w:usb0="E0002AFF" w:usb1="C0007843" w:usb2="00000009" w:usb3="00000000" w:csb0="000001FF" w:csb1="00000000"/>
    <w:embedRegular r:id="rId2" w:fontKey="{F09C6EE9-E306-4C65-84B1-14EE98F8B1AC}"/>
    <w:embedBold r:id="rId3" w:fontKey="{8D580A9D-727A-4EBF-994D-F87406AF57CD}"/>
  </w:font>
  <w:font w:name="Courier New">
    <w:panose1 w:val="02070309020205020404"/>
    <w:charset w:val="00"/>
    <w:family w:val="modern"/>
    <w:pitch w:val="fixed"/>
    <w:sig w:usb0="E0002AFF" w:usb1="C0007843" w:usb2="00000009" w:usb3="00000000" w:csb0="000001FF" w:csb1="00000000"/>
    <w:embedRegular r:id="rId4" w:fontKey="{C5E2A7CD-609C-4650-B1FF-E713B8B7A347}"/>
    <w:embedItalic r:id="rId5" w:fontKey="{833B67FB-80D3-4C22-9747-C3A4D3DCBABC}"/>
  </w:font>
  <w:font w:name="Wingdings">
    <w:panose1 w:val="05000000000000000000"/>
    <w:charset w:val="02"/>
    <w:family w:val="auto"/>
    <w:pitch w:val="variable"/>
    <w:sig w:usb0="00000000" w:usb1="10000000" w:usb2="00000000" w:usb3="00000000" w:csb0="80000000" w:csb1="00000000"/>
    <w:embedRegular r:id="rId6" w:fontKey="{7CE6BBBC-D8A7-4413-95E1-7A55ECC01C7B}"/>
  </w:font>
  <w:font w:name="Futura Bk BT">
    <w:altName w:val="Vrinda"/>
    <w:panose1 w:val="020B0502020204020303"/>
    <w:charset w:val="00"/>
    <w:family w:val="swiss"/>
    <w:pitch w:val="variable"/>
    <w:embedRegular r:id="rId7" w:fontKey="{16615F10-3068-4E8A-8F36-7D4C279B298A}"/>
    <w:embedBold r:id="rId8" w:fontKey="{98AF0652-081F-4188-8D71-4F29F6315806}"/>
    <w:embedItalic r:id="rId9" w:fontKey="{60AAA869-8943-4443-9BFE-E20CCED8F89C}"/>
  </w:font>
  <w:font w:name="Arial">
    <w:panose1 w:val="020B0604020202020204"/>
    <w:charset w:val="00"/>
    <w:family w:val="swiss"/>
    <w:pitch w:val="variable"/>
    <w:sig w:usb0="E0002AFF" w:usb1="C0007843" w:usb2="00000009" w:usb3="00000000" w:csb0="000001FF" w:csb1="00000000"/>
    <w:embedRegular r:id="rId10" w:fontKey="{282D289C-FBA6-40A9-A5AC-0E738EC689B3}"/>
    <w:embedBold r:id="rId11" w:fontKey="{0302827E-7BB1-4C2D-9AB5-278E2A1EC8C6}"/>
  </w:font>
  <w:font w:name="SimSun">
    <w:altName w:val="宋体"/>
    <w:panose1 w:val="02010600030101010101"/>
    <w:charset w:val="86"/>
    <w:family w:val="auto"/>
    <w:pitch w:val="variable"/>
    <w:sig w:usb0="00000003" w:usb1="288F0000" w:usb2="00000016" w:usb3="00000000" w:csb0="00040001" w:csb1="00000000"/>
    <w:embedRegular r:id="rId12" w:subsetted="1" w:fontKey="{1B913DBD-EAB2-4F99-A857-D19F4E1CD7E3}"/>
  </w:font>
  <w:font w:name="Bookman Old Style">
    <w:panose1 w:val="02050604050505020204"/>
    <w:charset w:val="00"/>
    <w:family w:val="roman"/>
    <w:pitch w:val="variable"/>
    <w:sig w:usb0="00000287" w:usb1="00000000" w:usb2="00000000" w:usb3="00000000" w:csb0="0000009F" w:csb1="00000000"/>
    <w:embedRegular r:id="rId13" w:fontKey="{D7803BF8-341F-4B0D-BD12-676AA64B36B8}"/>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4" w:fontKey="{02D53378-FE60-48C5-BFAE-7E9B22764D96}"/>
  </w:font>
  <w:font w:name="Verdana">
    <w:panose1 w:val="020B0604030504040204"/>
    <w:charset w:val="00"/>
    <w:family w:val="swiss"/>
    <w:pitch w:val="variable"/>
    <w:sig w:usb0="A10006FF" w:usb1="4000205B" w:usb2="00000010" w:usb3="00000000" w:csb0="0000019F" w:csb1="00000000"/>
    <w:embedRegular r:id="rId15" w:fontKey="{F803B931-12E7-47CE-A0D0-7733A3CD4806}"/>
  </w:font>
  <w:font w:name="Lohit Devanagari">
    <w:altName w:val="Times New Roman"/>
    <w:charset w:val="00"/>
    <w:family w:val="auto"/>
    <w:pitch w:val="variable"/>
    <w:embedRegular r:id="rId16" w:fontKey="{9CAEC577-2EBD-41BD-BEC8-A08D09DCBC49}"/>
    <w:embedItalic r:id="rId17" w:fontKey="{1F0C7B62-535B-499D-A815-735A658EC4B2}"/>
  </w:font>
  <w:font w:name="Mangal">
    <w:panose1 w:val="02040503050203030202"/>
    <w:charset w:val="00"/>
    <w:family w:val="roman"/>
    <w:pitch w:val="variable"/>
    <w:sig w:usb0="00008003" w:usb1="00000000" w:usb2="00000000" w:usb3="00000000" w:csb0="00000001" w:csb1="00000000"/>
    <w:embedRegular r:id="rId18" w:fontKey="{4341A435-23BD-4907-8EF0-C5C6B8FA29BF}"/>
    <w:embedBold r:id="rId19" w:fontKey="{8A8F2173-B489-4328-B9B8-9140091AF42F}"/>
  </w:font>
  <w:font w:name="Liberation Serif">
    <w:altName w:val="Times New Roman"/>
    <w:charset w:val="00"/>
    <w:family w:val="roman"/>
    <w:pitch w:val="variable"/>
    <w:embedBold r:id="rId20" w:fontKey="{4E3553D7-E30C-45EF-A60D-B2D10D87C257}"/>
  </w:font>
  <w:font w:name="DejaVu Sans">
    <w:charset w:val="00"/>
    <w:family w:val="swiss"/>
    <w:pitch w:val="variable"/>
    <w:embedRegular r:id="rId21" w:fontKey="{56BE860C-E33A-4B72-A399-FBB289FCC71D}"/>
    <w:embedBold r:id="rId22" w:fontKey="{9D763C93-4310-4F78-B6A9-2FBDEE84F65E}"/>
    <w:embedItalic r:id="rId23" w:fontKey="{F9D8B81C-398C-47AB-B373-E0CE72C0537E}"/>
  </w:font>
  <w:font w:name="Calibri">
    <w:panose1 w:val="020F0502020204030204"/>
    <w:charset w:val="00"/>
    <w:family w:val="swiss"/>
    <w:pitch w:val="variable"/>
    <w:sig w:usb0="E00002FF" w:usb1="4000ACFF" w:usb2="00000001" w:usb3="00000000" w:csb0="0000019F" w:csb1="00000000"/>
    <w:embedRegular r:id="rId24" w:fontKey="{6CF8AA1F-54C6-4B19-ABCE-175566393531}"/>
    <w:embedBold r:id="rId25" w:fontKey="{B1226753-8C21-451F-97B4-AEFFD96AEF6D}"/>
  </w:font>
  <w:font w:name="Garamond">
    <w:panose1 w:val="02020404030301010803"/>
    <w:charset w:val="00"/>
    <w:family w:val="roman"/>
    <w:pitch w:val="variable"/>
    <w:sig w:usb0="00000287" w:usb1="00000000" w:usb2="00000000" w:usb3="00000000" w:csb0="0000009F" w:csb1="00000000"/>
    <w:embedBold r:id="rId26" w:fontKey="{B736F11E-AE27-42D9-ACB5-7F7DE9D32659}"/>
    <w:embedItalic r:id="rId27" w:fontKey="{00355388-0938-4FFE-BD54-82191524E83B}"/>
  </w:font>
  <w:font w:name="Cambria">
    <w:panose1 w:val="02040503050406030204"/>
    <w:charset w:val="00"/>
    <w:family w:val="roman"/>
    <w:pitch w:val="variable"/>
    <w:sig w:usb0="E00002FF" w:usb1="400004FF" w:usb2="00000000" w:usb3="00000000" w:csb0="0000019F" w:csb1="00000000"/>
    <w:embedRegular r:id="rId28" w:fontKey="{8C9E8CEF-EE0C-4FD9-B16B-045DC4A891A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560" w:rsidRDefault="009A6560">
      <w:pPr>
        <w:rPr>
          <w:sz w:val="20"/>
        </w:rPr>
      </w:pPr>
      <w:r>
        <w:rPr>
          <w:sz w:val="20"/>
        </w:rPr>
        <w:separator/>
      </w:r>
    </w:p>
  </w:footnote>
  <w:footnote w:type="continuationSeparator" w:id="0">
    <w:p w:rsidR="009A6560" w:rsidRDefault="009A65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685" w:rsidRPr="00F531A0" w:rsidRDefault="00767685">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5762B7">
      <w:rPr>
        <w:rStyle w:val="Nmerodepgina"/>
        <w:rFonts w:ascii="Garamond" w:hAnsi="Garamond"/>
        <w:b/>
        <w:noProof/>
        <w:sz w:val="22"/>
        <w:szCs w:val="22"/>
      </w:rPr>
      <w:t>11</w:t>
    </w:r>
    <w:r w:rsidRPr="00F531A0">
      <w:rPr>
        <w:rStyle w:val="Nmerodepgina"/>
        <w:rFonts w:ascii="Garamond" w:hAnsi="Garamond"/>
        <w:b/>
        <w:sz w:val="22"/>
        <w:szCs w:val="22"/>
      </w:rPr>
      <w:fldChar w:fldCharType="end"/>
    </w:r>
  </w:p>
  <w:p w:rsidR="00767685" w:rsidRPr="00F531A0" w:rsidRDefault="00767685">
    <w:pPr>
      <w:ind w:right="360"/>
      <w:jc w:val="both"/>
      <w:rPr>
        <w:rFonts w:ascii="Garamond" w:hAnsi="Garamond"/>
        <w:i/>
        <w:spacing w:val="-3"/>
        <w:sz w:val="22"/>
        <w:szCs w:val="22"/>
      </w:rPr>
    </w:pPr>
  </w:p>
  <w:p w:rsidR="00767685" w:rsidRPr="00F531A0" w:rsidRDefault="00767685" w:rsidP="006F3983">
    <w:pPr>
      <w:rPr>
        <w:rFonts w:ascii="Garamond" w:hAnsi="Garamond"/>
        <w:i/>
        <w:sz w:val="22"/>
        <w:szCs w:val="22"/>
      </w:rPr>
    </w:pPr>
  </w:p>
  <w:p w:rsidR="00767685" w:rsidRPr="00CF361E" w:rsidRDefault="00767685" w:rsidP="00BF17FF">
    <w:pPr>
      <w:contextualSpacing/>
      <w:jc w:val="center"/>
      <w:rPr>
        <w:rFonts w:ascii="Futura Bk BT" w:hAnsi="Futura Bk BT" w:hint="eastAsia"/>
        <w:bCs/>
        <w:i/>
        <w:sz w:val="22"/>
        <w:szCs w:val="22"/>
      </w:rPr>
    </w:pPr>
    <w:r w:rsidRPr="00DD1FBA">
      <w:rPr>
        <w:rFonts w:ascii="Futura Bk BT" w:hAnsi="Futura Bk BT"/>
        <w:sz w:val="18"/>
      </w:rPr>
      <w:t>“</w:t>
    </w:r>
    <w:r w:rsidRPr="00DD1FBA">
      <w:rPr>
        <w:rFonts w:ascii="Futura Bk BT" w:hAnsi="Futura Bk BT" w:cs="Arial"/>
        <w:sz w:val="18"/>
        <w:szCs w:val="22"/>
      </w:rPr>
      <w:t>Por la cual se modifica</w:t>
    </w:r>
    <w:r>
      <w:rPr>
        <w:rFonts w:ascii="Futura Bk BT" w:hAnsi="Futura Bk BT" w:cs="Arial"/>
        <w:sz w:val="18"/>
        <w:szCs w:val="22"/>
      </w:rPr>
      <w:t>n</w:t>
    </w:r>
    <w:r w:rsidRPr="00DD1FBA">
      <w:rPr>
        <w:rFonts w:ascii="Futura Bk BT" w:hAnsi="Futura Bk BT" w:cs="Arial"/>
        <w:sz w:val="18"/>
        <w:szCs w:val="22"/>
      </w:rPr>
      <w:t xml:space="preserve"> </w:t>
    </w:r>
    <w:r>
      <w:rPr>
        <w:rFonts w:ascii="Futura Bk BT" w:hAnsi="Futura Bk BT" w:cs="Arial"/>
        <w:sz w:val="18"/>
        <w:szCs w:val="22"/>
      </w:rPr>
      <w:t xml:space="preserve">los </w:t>
    </w:r>
    <w:r w:rsidRPr="00DD1FBA">
      <w:rPr>
        <w:rFonts w:ascii="Futura Bk BT" w:hAnsi="Futura Bk BT" w:cs="Arial"/>
        <w:sz w:val="18"/>
        <w:szCs w:val="22"/>
      </w:rPr>
      <w:t xml:space="preserve"> artículo</w:t>
    </w:r>
    <w:r>
      <w:rPr>
        <w:rFonts w:ascii="Futura Bk BT" w:hAnsi="Futura Bk BT" w:cs="Arial"/>
        <w:sz w:val="18"/>
        <w:szCs w:val="22"/>
      </w:rPr>
      <w:t>s</w:t>
    </w:r>
    <w:r w:rsidRPr="00DD1FBA">
      <w:rPr>
        <w:rFonts w:ascii="Futura Bk BT" w:hAnsi="Futura Bk BT" w:cs="Arial"/>
        <w:sz w:val="18"/>
        <w:szCs w:val="22"/>
      </w:rPr>
      <w:t>,</w:t>
    </w:r>
    <w:r>
      <w:rPr>
        <w:rFonts w:ascii="Futura Bk BT" w:hAnsi="Futura Bk BT" w:cs="Arial"/>
        <w:sz w:val="18"/>
        <w:szCs w:val="22"/>
      </w:rPr>
      <w:t xml:space="preserve"> 3, 4,7 y 8 </w:t>
    </w:r>
    <w:r w:rsidRPr="00DD1FBA">
      <w:rPr>
        <w:rFonts w:ascii="Futura Bk BT" w:hAnsi="Futura Bk BT" w:cs="Arial"/>
        <w:sz w:val="18"/>
        <w:szCs w:val="22"/>
      </w:rPr>
      <w:t xml:space="preserve"> de la Resolución 1130 de 2015 por medio de la cual se emitió Concepto vinculante previo al establecimiento de una estación de peaje denominada El Cairo y sus puntos de control de acceso, y se establecen  tarifas especiales diferenciales para las estaciones denominadas Iracá, Ocoa, Casetabla y Yucao que forman parte del Proyecto vial de Iniciativa Privada Malla Vial del Meta “I.P. Malla Vial del Meta” y se dictan otras disposiciones”</w:t>
    </w:r>
  </w:p>
  <w:p w:rsidR="00767685" w:rsidRPr="00FB5E81" w:rsidRDefault="00767685" w:rsidP="00FB5E81">
    <w:pPr>
      <w:tabs>
        <w:tab w:val="left" w:pos="4320"/>
      </w:tabs>
      <w:ind w:right="215"/>
      <w:jc w:val="center"/>
      <w:rPr>
        <w:rFonts w:ascii="Futura Bk BT" w:hAnsi="Futura Bk BT" w:cs="Arial" w:hint="eastAsia"/>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7685" w:rsidRDefault="00767685">
    <w:pPr>
      <w:pStyle w:val="Encabezado"/>
      <w:rPr>
        <w:lang w:val="es-MX"/>
      </w:rPr>
    </w:pPr>
  </w:p>
  <w:p w:rsidR="00767685" w:rsidRDefault="00767685">
    <w:pPr>
      <w:pStyle w:val="Encabezado"/>
      <w:rPr>
        <w:lang w:val="es-MX"/>
      </w:rPr>
    </w:pPr>
  </w:p>
  <w:p w:rsidR="00767685" w:rsidRDefault="00767685">
    <w:pPr>
      <w:pStyle w:val="Encabezado"/>
      <w:rPr>
        <w:lang w:val="es-MX"/>
      </w:rPr>
    </w:pPr>
  </w:p>
  <w:p w:rsidR="00767685" w:rsidRPr="00A92D63" w:rsidRDefault="00767685" w:rsidP="00A92D63">
    <w:pPr>
      <w:pStyle w:val="Encabezado"/>
      <w:tabs>
        <w:tab w:val="left" w:pos="43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004F6"/>
    <w:multiLevelType w:val="multilevel"/>
    <w:tmpl w:val="0B7ACBE2"/>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 w15:restartNumberingAfterBreak="0">
    <w:nsid w:val="047360A1"/>
    <w:multiLevelType w:val="multilevel"/>
    <w:tmpl w:val="9B08EE6E"/>
    <w:lvl w:ilvl="0">
      <w:numFmt w:val="bullet"/>
      <w:lvlText w:val=""/>
      <w:lvlJc w:val="left"/>
      <w:pPr>
        <w:ind w:left="360" w:hanging="360"/>
      </w:pPr>
      <w:rPr>
        <w:rFonts w:ascii="Symbol" w:hAnsi="Symbol"/>
      </w:rPr>
    </w:lvl>
    <w:lvl w:ilvl="1">
      <w:numFmt w:val="bullet"/>
      <w:lvlText w:val="•"/>
      <w:lvlJc w:val="left"/>
      <w:pPr>
        <w:ind w:left="1080" w:hanging="360"/>
      </w:pPr>
      <w:rPr>
        <w:rFonts w:ascii="Futura Bk BT" w:eastAsia="Times New Roman" w:hAnsi="Futura Bk BT" w:cs="Arial"/>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7613E1A"/>
    <w:multiLevelType w:val="multilevel"/>
    <w:tmpl w:val="4BF676AE"/>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96B7F5A"/>
    <w:multiLevelType w:val="multilevel"/>
    <w:tmpl w:val="F892B550"/>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E743A44"/>
    <w:multiLevelType w:val="multilevel"/>
    <w:tmpl w:val="2A78BF4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110A6857"/>
    <w:multiLevelType w:val="multilevel"/>
    <w:tmpl w:val="D5E2C638"/>
    <w:lvl w:ilvl="0">
      <w:start w:val="1"/>
      <w:numFmt w:val="decimal"/>
      <w:pStyle w:val="TITULOUNO"/>
      <w:lvlText w:val="%1"/>
      <w:lvlJc w:val="left"/>
      <w:pPr>
        <w:tabs>
          <w:tab w:val="num" w:pos="420"/>
        </w:tabs>
        <w:ind w:left="420" w:hanging="420"/>
      </w:pPr>
      <w:rPr>
        <w:rFonts w:hint="default"/>
      </w:rPr>
    </w:lvl>
    <w:lvl w:ilvl="1">
      <w:start w:val="4"/>
      <w:numFmt w:val="decimal"/>
      <w:pStyle w:val="TITULODOS"/>
      <w:lvlText w:val="%1.%2"/>
      <w:lvlJc w:val="left"/>
      <w:pPr>
        <w:tabs>
          <w:tab w:val="num" w:pos="4560"/>
        </w:tabs>
        <w:ind w:left="4560" w:hanging="420"/>
      </w:pPr>
      <w:rPr>
        <w:rFonts w:hint="default"/>
      </w:rPr>
    </w:lvl>
    <w:lvl w:ilvl="2">
      <w:start w:val="1"/>
      <w:numFmt w:val="decimal"/>
      <w:pStyle w:val="titulotres"/>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B02556"/>
    <w:multiLevelType w:val="multilevel"/>
    <w:tmpl w:val="2C5AF38C"/>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1323664B"/>
    <w:multiLevelType w:val="multilevel"/>
    <w:tmpl w:val="3EA6E23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20EE7416"/>
    <w:multiLevelType w:val="multilevel"/>
    <w:tmpl w:val="8FD09C7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7995C68"/>
    <w:multiLevelType w:val="multilevel"/>
    <w:tmpl w:val="7FE8714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28E21E74"/>
    <w:multiLevelType w:val="multilevel"/>
    <w:tmpl w:val="1E32C61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2BE949F9"/>
    <w:multiLevelType w:val="multilevel"/>
    <w:tmpl w:val="0DDE7B2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C7C3ADD"/>
    <w:multiLevelType w:val="multilevel"/>
    <w:tmpl w:val="BE2077F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2D5E288A"/>
    <w:multiLevelType w:val="multilevel"/>
    <w:tmpl w:val="03BC825C"/>
    <w:styleLink w:val="WW8Num6"/>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7FC7E70"/>
    <w:multiLevelType w:val="multilevel"/>
    <w:tmpl w:val="B452362A"/>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3A6574D2"/>
    <w:multiLevelType w:val="hybridMultilevel"/>
    <w:tmpl w:val="630C3B6E"/>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B805B11"/>
    <w:multiLevelType w:val="multilevel"/>
    <w:tmpl w:val="CCEAED0E"/>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3FCE755E"/>
    <w:multiLevelType w:val="multilevel"/>
    <w:tmpl w:val="AC4EA9FA"/>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46555B8E"/>
    <w:multiLevelType w:val="multilevel"/>
    <w:tmpl w:val="5274AF1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54A17E29"/>
    <w:multiLevelType w:val="multilevel"/>
    <w:tmpl w:val="84BCA9E6"/>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58BF71BA"/>
    <w:multiLevelType w:val="multilevel"/>
    <w:tmpl w:val="85B059E6"/>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677840D6"/>
    <w:multiLevelType w:val="multilevel"/>
    <w:tmpl w:val="0A9A18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5"/>
  </w:num>
  <w:num w:numId="2">
    <w:abstractNumId w:val="3"/>
  </w:num>
  <w:num w:numId="3">
    <w:abstractNumId w:val="10"/>
  </w:num>
  <w:num w:numId="4">
    <w:abstractNumId w:val="20"/>
  </w:num>
  <w:num w:numId="5">
    <w:abstractNumId w:val="7"/>
  </w:num>
  <w:num w:numId="6">
    <w:abstractNumId w:val="4"/>
  </w:num>
  <w:num w:numId="7">
    <w:abstractNumId w:val="13"/>
  </w:num>
  <w:num w:numId="8">
    <w:abstractNumId w:val="19"/>
  </w:num>
  <w:num w:numId="9">
    <w:abstractNumId w:val="9"/>
  </w:num>
  <w:num w:numId="10">
    <w:abstractNumId w:val="0"/>
  </w:num>
  <w:num w:numId="11">
    <w:abstractNumId w:val="6"/>
  </w:num>
  <w:num w:numId="12">
    <w:abstractNumId w:val="21"/>
  </w:num>
  <w:num w:numId="13">
    <w:abstractNumId w:val="18"/>
  </w:num>
  <w:num w:numId="14">
    <w:abstractNumId w:val="11"/>
  </w:num>
  <w:num w:numId="15">
    <w:abstractNumId w:val="12"/>
  </w:num>
  <w:num w:numId="16">
    <w:abstractNumId w:val="14"/>
  </w:num>
  <w:num w:numId="17">
    <w:abstractNumId w:val="8"/>
  </w:num>
  <w:num w:numId="18">
    <w:abstractNumId w:val="2"/>
  </w:num>
  <w:num w:numId="19">
    <w:abstractNumId w:val="17"/>
  </w:num>
  <w:num w:numId="20">
    <w:abstractNumId w:val="16"/>
  </w:num>
  <w:num w:numId="21">
    <w:abstractNumId w:val="1"/>
  </w:num>
  <w:num w:numId="22">
    <w:abstractNumId w:val="15"/>
  </w:num>
  <w:numIdMacAtCleanup w:val="2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nia Jaqueline Angarita Salazar">
    <w15:presenceInfo w15:providerId="AD" w15:userId="S-1-5-21-577418138-963071207-392440556-62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attachedTemplate r:id="rId1"/>
  <w:defaultTabStop w:val="720"/>
  <w:hyphenationZone w:val="978"/>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03C"/>
    <w:rsid w:val="0000446B"/>
    <w:rsid w:val="00004A83"/>
    <w:rsid w:val="00006D4D"/>
    <w:rsid w:val="00006F8C"/>
    <w:rsid w:val="000105E7"/>
    <w:rsid w:val="00010FC3"/>
    <w:rsid w:val="000116C1"/>
    <w:rsid w:val="00011EBF"/>
    <w:rsid w:val="000130B2"/>
    <w:rsid w:val="00013640"/>
    <w:rsid w:val="000141BB"/>
    <w:rsid w:val="00020188"/>
    <w:rsid w:val="00020B6A"/>
    <w:rsid w:val="00022B60"/>
    <w:rsid w:val="00025012"/>
    <w:rsid w:val="0002517B"/>
    <w:rsid w:val="00025649"/>
    <w:rsid w:val="00026435"/>
    <w:rsid w:val="000271BB"/>
    <w:rsid w:val="00027662"/>
    <w:rsid w:val="000306F4"/>
    <w:rsid w:val="00032BA8"/>
    <w:rsid w:val="000337FF"/>
    <w:rsid w:val="00035D68"/>
    <w:rsid w:val="00040AFF"/>
    <w:rsid w:val="00041877"/>
    <w:rsid w:val="00041E66"/>
    <w:rsid w:val="00041F6A"/>
    <w:rsid w:val="00042FBA"/>
    <w:rsid w:val="000443F3"/>
    <w:rsid w:val="00044E17"/>
    <w:rsid w:val="000458C3"/>
    <w:rsid w:val="00045C29"/>
    <w:rsid w:val="00045C7B"/>
    <w:rsid w:val="000461A4"/>
    <w:rsid w:val="000462EF"/>
    <w:rsid w:val="000469A8"/>
    <w:rsid w:val="0004737D"/>
    <w:rsid w:val="00052D06"/>
    <w:rsid w:val="0005308E"/>
    <w:rsid w:val="00054DE1"/>
    <w:rsid w:val="00057DAF"/>
    <w:rsid w:val="00060B4A"/>
    <w:rsid w:val="00063610"/>
    <w:rsid w:val="000656A6"/>
    <w:rsid w:val="00070133"/>
    <w:rsid w:val="000713D0"/>
    <w:rsid w:val="00072596"/>
    <w:rsid w:val="00074722"/>
    <w:rsid w:val="00074C76"/>
    <w:rsid w:val="000755BA"/>
    <w:rsid w:val="00076442"/>
    <w:rsid w:val="00076BF3"/>
    <w:rsid w:val="000816BF"/>
    <w:rsid w:val="00081A4D"/>
    <w:rsid w:val="00081BAE"/>
    <w:rsid w:val="00082BCD"/>
    <w:rsid w:val="000830C2"/>
    <w:rsid w:val="000842AD"/>
    <w:rsid w:val="00087770"/>
    <w:rsid w:val="00091F91"/>
    <w:rsid w:val="000940B7"/>
    <w:rsid w:val="000942D1"/>
    <w:rsid w:val="00094764"/>
    <w:rsid w:val="000A08ED"/>
    <w:rsid w:val="000A1D71"/>
    <w:rsid w:val="000A1EBA"/>
    <w:rsid w:val="000A21EB"/>
    <w:rsid w:val="000A2911"/>
    <w:rsid w:val="000A3815"/>
    <w:rsid w:val="000A48AD"/>
    <w:rsid w:val="000A4B70"/>
    <w:rsid w:val="000A7A83"/>
    <w:rsid w:val="000A7E48"/>
    <w:rsid w:val="000A7F30"/>
    <w:rsid w:val="000B0A3F"/>
    <w:rsid w:val="000B12F3"/>
    <w:rsid w:val="000B1613"/>
    <w:rsid w:val="000B22FF"/>
    <w:rsid w:val="000B2650"/>
    <w:rsid w:val="000B3907"/>
    <w:rsid w:val="000B7FDF"/>
    <w:rsid w:val="000C006B"/>
    <w:rsid w:val="000C0138"/>
    <w:rsid w:val="000C1377"/>
    <w:rsid w:val="000C1497"/>
    <w:rsid w:val="000C1A95"/>
    <w:rsid w:val="000C38D2"/>
    <w:rsid w:val="000C41C4"/>
    <w:rsid w:val="000C5C5D"/>
    <w:rsid w:val="000C6D0E"/>
    <w:rsid w:val="000C7162"/>
    <w:rsid w:val="000C7E46"/>
    <w:rsid w:val="000C7F52"/>
    <w:rsid w:val="000D0628"/>
    <w:rsid w:val="000D1067"/>
    <w:rsid w:val="000D2CA6"/>
    <w:rsid w:val="000D62F5"/>
    <w:rsid w:val="000D687D"/>
    <w:rsid w:val="000D75D8"/>
    <w:rsid w:val="000E0900"/>
    <w:rsid w:val="000E333A"/>
    <w:rsid w:val="000E44C9"/>
    <w:rsid w:val="000E482F"/>
    <w:rsid w:val="000E4E6A"/>
    <w:rsid w:val="000F3CA0"/>
    <w:rsid w:val="000F405A"/>
    <w:rsid w:val="000F477C"/>
    <w:rsid w:val="000F4A29"/>
    <w:rsid w:val="000F64AD"/>
    <w:rsid w:val="000F6F83"/>
    <w:rsid w:val="00101657"/>
    <w:rsid w:val="0010186C"/>
    <w:rsid w:val="001047C1"/>
    <w:rsid w:val="00106DEF"/>
    <w:rsid w:val="00111504"/>
    <w:rsid w:val="00112466"/>
    <w:rsid w:val="00112B41"/>
    <w:rsid w:val="001176A2"/>
    <w:rsid w:val="00123207"/>
    <w:rsid w:val="00123B11"/>
    <w:rsid w:val="001243C7"/>
    <w:rsid w:val="00124BA2"/>
    <w:rsid w:val="001256A2"/>
    <w:rsid w:val="00125B9C"/>
    <w:rsid w:val="00126024"/>
    <w:rsid w:val="001263A4"/>
    <w:rsid w:val="001268CE"/>
    <w:rsid w:val="001277A4"/>
    <w:rsid w:val="001300A7"/>
    <w:rsid w:val="00131A8F"/>
    <w:rsid w:val="0013269D"/>
    <w:rsid w:val="001327B3"/>
    <w:rsid w:val="00142754"/>
    <w:rsid w:val="00142BCE"/>
    <w:rsid w:val="0014370B"/>
    <w:rsid w:val="00144330"/>
    <w:rsid w:val="00144AFA"/>
    <w:rsid w:val="00146F06"/>
    <w:rsid w:val="0014711D"/>
    <w:rsid w:val="00155FFC"/>
    <w:rsid w:val="0016396A"/>
    <w:rsid w:val="00163E8A"/>
    <w:rsid w:val="001642B4"/>
    <w:rsid w:val="00166751"/>
    <w:rsid w:val="0016770C"/>
    <w:rsid w:val="00170AF4"/>
    <w:rsid w:val="00173B2C"/>
    <w:rsid w:val="0017653B"/>
    <w:rsid w:val="00176BF0"/>
    <w:rsid w:val="00176E95"/>
    <w:rsid w:val="00177F9D"/>
    <w:rsid w:val="001811DC"/>
    <w:rsid w:val="001826BD"/>
    <w:rsid w:val="00183DCC"/>
    <w:rsid w:val="00184DB6"/>
    <w:rsid w:val="00185DA7"/>
    <w:rsid w:val="00191A98"/>
    <w:rsid w:val="00192E07"/>
    <w:rsid w:val="0019378F"/>
    <w:rsid w:val="00196CB1"/>
    <w:rsid w:val="001A0547"/>
    <w:rsid w:val="001A1CAC"/>
    <w:rsid w:val="001A2A76"/>
    <w:rsid w:val="001A3AE6"/>
    <w:rsid w:val="001A3F6C"/>
    <w:rsid w:val="001A59DA"/>
    <w:rsid w:val="001B01CB"/>
    <w:rsid w:val="001B1220"/>
    <w:rsid w:val="001B1353"/>
    <w:rsid w:val="001B294B"/>
    <w:rsid w:val="001B4945"/>
    <w:rsid w:val="001B7A00"/>
    <w:rsid w:val="001C0217"/>
    <w:rsid w:val="001C0322"/>
    <w:rsid w:val="001C33B5"/>
    <w:rsid w:val="001C372F"/>
    <w:rsid w:val="001C431A"/>
    <w:rsid w:val="001C5C38"/>
    <w:rsid w:val="001C5C99"/>
    <w:rsid w:val="001C5F84"/>
    <w:rsid w:val="001C7894"/>
    <w:rsid w:val="001D1256"/>
    <w:rsid w:val="001D149E"/>
    <w:rsid w:val="001D2D8D"/>
    <w:rsid w:val="001D3600"/>
    <w:rsid w:val="001D4AAF"/>
    <w:rsid w:val="001D5482"/>
    <w:rsid w:val="001D6932"/>
    <w:rsid w:val="001D7F56"/>
    <w:rsid w:val="001E034B"/>
    <w:rsid w:val="001E1887"/>
    <w:rsid w:val="001E1E29"/>
    <w:rsid w:val="001E2245"/>
    <w:rsid w:val="001E5692"/>
    <w:rsid w:val="001E56AF"/>
    <w:rsid w:val="001E7B7B"/>
    <w:rsid w:val="001F1D24"/>
    <w:rsid w:val="001F259A"/>
    <w:rsid w:val="001F55C1"/>
    <w:rsid w:val="001F5A43"/>
    <w:rsid w:val="001F6D7A"/>
    <w:rsid w:val="001F7717"/>
    <w:rsid w:val="001F7B9A"/>
    <w:rsid w:val="00202945"/>
    <w:rsid w:val="00203A6D"/>
    <w:rsid w:val="00203AF0"/>
    <w:rsid w:val="00206667"/>
    <w:rsid w:val="0020716D"/>
    <w:rsid w:val="002078FD"/>
    <w:rsid w:val="0021156F"/>
    <w:rsid w:val="0021284F"/>
    <w:rsid w:val="00212876"/>
    <w:rsid w:val="00216E00"/>
    <w:rsid w:val="00217C4B"/>
    <w:rsid w:val="002203E4"/>
    <w:rsid w:val="00220AAA"/>
    <w:rsid w:val="00220ED9"/>
    <w:rsid w:val="00223451"/>
    <w:rsid w:val="00225344"/>
    <w:rsid w:val="00225D93"/>
    <w:rsid w:val="00225E37"/>
    <w:rsid w:val="002272A2"/>
    <w:rsid w:val="00231960"/>
    <w:rsid w:val="00231DC4"/>
    <w:rsid w:val="002324CB"/>
    <w:rsid w:val="00233FBE"/>
    <w:rsid w:val="002344C3"/>
    <w:rsid w:val="002358DC"/>
    <w:rsid w:val="002462E8"/>
    <w:rsid w:val="00252745"/>
    <w:rsid w:val="00252DF7"/>
    <w:rsid w:val="00255F41"/>
    <w:rsid w:val="0025675A"/>
    <w:rsid w:val="00256C03"/>
    <w:rsid w:val="0026002B"/>
    <w:rsid w:val="00261A8C"/>
    <w:rsid w:val="00261FFE"/>
    <w:rsid w:val="002620F2"/>
    <w:rsid w:val="0026225A"/>
    <w:rsid w:val="002631D7"/>
    <w:rsid w:val="00264D0D"/>
    <w:rsid w:val="00264E4A"/>
    <w:rsid w:val="0026525E"/>
    <w:rsid w:val="00265A76"/>
    <w:rsid w:val="002660F9"/>
    <w:rsid w:val="0026691A"/>
    <w:rsid w:val="00271333"/>
    <w:rsid w:val="00272495"/>
    <w:rsid w:val="002737BB"/>
    <w:rsid w:val="00273A01"/>
    <w:rsid w:val="00276BC7"/>
    <w:rsid w:val="002778F3"/>
    <w:rsid w:val="0028070F"/>
    <w:rsid w:val="0028193D"/>
    <w:rsid w:val="00282BB4"/>
    <w:rsid w:val="00283BC2"/>
    <w:rsid w:val="002865C5"/>
    <w:rsid w:val="0029151F"/>
    <w:rsid w:val="002915DB"/>
    <w:rsid w:val="00291AC3"/>
    <w:rsid w:val="00294030"/>
    <w:rsid w:val="00294361"/>
    <w:rsid w:val="002A0EE5"/>
    <w:rsid w:val="002A0F78"/>
    <w:rsid w:val="002A3884"/>
    <w:rsid w:val="002A394D"/>
    <w:rsid w:val="002A4168"/>
    <w:rsid w:val="002A77B3"/>
    <w:rsid w:val="002B2CC0"/>
    <w:rsid w:val="002B3733"/>
    <w:rsid w:val="002B47A0"/>
    <w:rsid w:val="002B6AFE"/>
    <w:rsid w:val="002B76AD"/>
    <w:rsid w:val="002C0149"/>
    <w:rsid w:val="002C26DC"/>
    <w:rsid w:val="002C44BE"/>
    <w:rsid w:val="002C535C"/>
    <w:rsid w:val="002C5C68"/>
    <w:rsid w:val="002C6630"/>
    <w:rsid w:val="002D101A"/>
    <w:rsid w:val="002D1F7B"/>
    <w:rsid w:val="002D29FC"/>
    <w:rsid w:val="002D2A4E"/>
    <w:rsid w:val="002D362F"/>
    <w:rsid w:val="002D386E"/>
    <w:rsid w:val="002D3DAD"/>
    <w:rsid w:val="002D4125"/>
    <w:rsid w:val="002D508D"/>
    <w:rsid w:val="002D514B"/>
    <w:rsid w:val="002D61ED"/>
    <w:rsid w:val="002E26DC"/>
    <w:rsid w:val="002E3044"/>
    <w:rsid w:val="002E5817"/>
    <w:rsid w:val="002F11C5"/>
    <w:rsid w:val="002F3350"/>
    <w:rsid w:val="002F5427"/>
    <w:rsid w:val="002F5877"/>
    <w:rsid w:val="002F62B4"/>
    <w:rsid w:val="002F644F"/>
    <w:rsid w:val="002F7BE4"/>
    <w:rsid w:val="002F7D98"/>
    <w:rsid w:val="00300A0B"/>
    <w:rsid w:val="00304422"/>
    <w:rsid w:val="003050FB"/>
    <w:rsid w:val="0030691F"/>
    <w:rsid w:val="003100F1"/>
    <w:rsid w:val="003104A4"/>
    <w:rsid w:val="0031233B"/>
    <w:rsid w:val="003132FC"/>
    <w:rsid w:val="00315BE2"/>
    <w:rsid w:val="00315EAC"/>
    <w:rsid w:val="0031753B"/>
    <w:rsid w:val="00317A13"/>
    <w:rsid w:val="00317BF5"/>
    <w:rsid w:val="0032112C"/>
    <w:rsid w:val="003223EB"/>
    <w:rsid w:val="0032280F"/>
    <w:rsid w:val="00323746"/>
    <w:rsid w:val="00323E27"/>
    <w:rsid w:val="00325607"/>
    <w:rsid w:val="00325F94"/>
    <w:rsid w:val="00326523"/>
    <w:rsid w:val="00326971"/>
    <w:rsid w:val="0033082D"/>
    <w:rsid w:val="00332EB1"/>
    <w:rsid w:val="00337509"/>
    <w:rsid w:val="0033766B"/>
    <w:rsid w:val="00343E34"/>
    <w:rsid w:val="00344A49"/>
    <w:rsid w:val="00345053"/>
    <w:rsid w:val="00347A76"/>
    <w:rsid w:val="00350AC8"/>
    <w:rsid w:val="00350C51"/>
    <w:rsid w:val="00353B7E"/>
    <w:rsid w:val="00354D3F"/>
    <w:rsid w:val="003557E3"/>
    <w:rsid w:val="00357D28"/>
    <w:rsid w:val="00357DCB"/>
    <w:rsid w:val="00361436"/>
    <w:rsid w:val="003621F2"/>
    <w:rsid w:val="00362B7B"/>
    <w:rsid w:val="00362E9B"/>
    <w:rsid w:val="00363CDA"/>
    <w:rsid w:val="0036477B"/>
    <w:rsid w:val="00365D20"/>
    <w:rsid w:val="00371969"/>
    <w:rsid w:val="00371F82"/>
    <w:rsid w:val="00372F91"/>
    <w:rsid w:val="00374AD7"/>
    <w:rsid w:val="00375201"/>
    <w:rsid w:val="00377265"/>
    <w:rsid w:val="00381639"/>
    <w:rsid w:val="00381B08"/>
    <w:rsid w:val="00382A68"/>
    <w:rsid w:val="0039037A"/>
    <w:rsid w:val="00390813"/>
    <w:rsid w:val="00391B26"/>
    <w:rsid w:val="003924C3"/>
    <w:rsid w:val="00393661"/>
    <w:rsid w:val="00394D03"/>
    <w:rsid w:val="003A0039"/>
    <w:rsid w:val="003A1F18"/>
    <w:rsid w:val="003A2181"/>
    <w:rsid w:val="003A2FBD"/>
    <w:rsid w:val="003A4AD5"/>
    <w:rsid w:val="003A6141"/>
    <w:rsid w:val="003A72EB"/>
    <w:rsid w:val="003A7EE5"/>
    <w:rsid w:val="003B00F7"/>
    <w:rsid w:val="003B017D"/>
    <w:rsid w:val="003B058D"/>
    <w:rsid w:val="003B22C8"/>
    <w:rsid w:val="003B2E7A"/>
    <w:rsid w:val="003B3AF0"/>
    <w:rsid w:val="003B45A0"/>
    <w:rsid w:val="003B4DE7"/>
    <w:rsid w:val="003B5F82"/>
    <w:rsid w:val="003B7BFB"/>
    <w:rsid w:val="003B7F96"/>
    <w:rsid w:val="003C1351"/>
    <w:rsid w:val="003C1B82"/>
    <w:rsid w:val="003C2944"/>
    <w:rsid w:val="003C2D1B"/>
    <w:rsid w:val="003C353E"/>
    <w:rsid w:val="003D0015"/>
    <w:rsid w:val="003D19E2"/>
    <w:rsid w:val="003D20E6"/>
    <w:rsid w:val="003D3784"/>
    <w:rsid w:val="003D39C7"/>
    <w:rsid w:val="003D6B74"/>
    <w:rsid w:val="003D6B87"/>
    <w:rsid w:val="003E1D4D"/>
    <w:rsid w:val="003E1EC4"/>
    <w:rsid w:val="003E286C"/>
    <w:rsid w:val="003E33BB"/>
    <w:rsid w:val="003E4748"/>
    <w:rsid w:val="003E4E43"/>
    <w:rsid w:val="003E5719"/>
    <w:rsid w:val="003E58FB"/>
    <w:rsid w:val="003E72C1"/>
    <w:rsid w:val="003E788B"/>
    <w:rsid w:val="003F13BB"/>
    <w:rsid w:val="003F4580"/>
    <w:rsid w:val="003F4662"/>
    <w:rsid w:val="003F602C"/>
    <w:rsid w:val="003F739E"/>
    <w:rsid w:val="003F7E5E"/>
    <w:rsid w:val="004013DA"/>
    <w:rsid w:val="00403766"/>
    <w:rsid w:val="004038EC"/>
    <w:rsid w:val="00405769"/>
    <w:rsid w:val="00407268"/>
    <w:rsid w:val="004133F0"/>
    <w:rsid w:val="00414112"/>
    <w:rsid w:val="00420122"/>
    <w:rsid w:val="0042013B"/>
    <w:rsid w:val="004228AA"/>
    <w:rsid w:val="00422F86"/>
    <w:rsid w:val="00423F8B"/>
    <w:rsid w:val="00426352"/>
    <w:rsid w:val="00426576"/>
    <w:rsid w:val="00426B59"/>
    <w:rsid w:val="00427029"/>
    <w:rsid w:val="00427C40"/>
    <w:rsid w:val="00430212"/>
    <w:rsid w:val="00432370"/>
    <w:rsid w:val="00434683"/>
    <w:rsid w:val="00435991"/>
    <w:rsid w:val="004359AC"/>
    <w:rsid w:val="00435E9B"/>
    <w:rsid w:val="004361FE"/>
    <w:rsid w:val="00436A7A"/>
    <w:rsid w:val="00437AC1"/>
    <w:rsid w:val="0044215D"/>
    <w:rsid w:val="00442E51"/>
    <w:rsid w:val="00443969"/>
    <w:rsid w:val="00444096"/>
    <w:rsid w:val="00445197"/>
    <w:rsid w:val="00447403"/>
    <w:rsid w:val="004474F4"/>
    <w:rsid w:val="00450F1C"/>
    <w:rsid w:val="004526A9"/>
    <w:rsid w:val="004555ED"/>
    <w:rsid w:val="004559CC"/>
    <w:rsid w:val="004576D7"/>
    <w:rsid w:val="00457D48"/>
    <w:rsid w:val="00462023"/>
    <w:rsid w:val="00462A9C"/>
    <w:rsid w:val="00467119"/>
    <w:rsid w:val="0046763B"/>
    <w:rsid w:val="00470022"/>
    <w:rsid w:val="004703B6"/>
    <w:rsid w:val="00471654"/>
    <w:rsid w:val="00471D03"/>
    <w:rsid w:val="00471FFB"/>
    <w:rsid w:val="0047204E"/>
    <w:rsid w:val="00472278"/>
    <w:rsid w:val="00472530"/>
    <w:rsid w:val="0047416D"/>
    <w:rsid w:val="00476C9B"/>
    <w:rsid w:val="004776FF"/>
    <w:rsid w:val="0047780E"/>
    <w:rsid w:val="00477BF5"/>
    <w:rsid w:val="0048151D"/>
    <w:rsid w:val="004828A7"/>
    <w:rsid w:val="0048356E"/>
    <w:rsid w:val="00484102"/>
    <w:rsid w:val="0048417D"/>
    <w:rsid w:val="00484E65"/>
    <w:rsid w:val="00486308"/>
    <w:rsid w:val="00487188"/>
    <w:rsid w:val="0048749E"/>
    <w:rsid w:val="0049066D"/>
    <w:rsid w:val="00492AA9"/>
    <w:rsid w:val="00492D26"/>
    <w:rsid w:val="00493668"/>
    <w:rsid w:val="00494713"/>
    <w:rsid w:val="0049513F"/>
    <w:rsid w:val="004954CB"/>
    <w:rsid w:val="0049708B"/>
    <w:rsid w:val="00497D33"/>
    <w:rsid w:val="004A02AC"/>
    <w:rsid w:val="004A02BE"/>
    <w:rsid w:val="004A0FA2"/>
    <w:rsid w:val="004A7F08"/>
    <w:rsid w:val="004B19C4"/>
    <w:rsid w:val="004B2374"/>
    <w:rsid w:val="004B4335"/>
    <w:rsid w:val="004B5632"/>
    <w:rsid w:val="004B7189"/>
    <w:rsid w:val="004B72E1"/>
    <w:rsid w:val="004C0A84"/>
    <w:rsid w:val="004C2A9C"/>
    <w:rsid w:val="004C2D7B"/>
    <w:rsid w:val="004C64C4"/>
    <w:rsid w:val="004C7834"/>
    <w:rsid w:val="004C7B7D"/>
    <w:rsid w:val="004D0052"/>
    <w:rsid w:val="004D0E2A"/>
    <w:rsid w:val="004D15F0"/>
    <w:rsid w:val="004D2573"/>
    <w:rsid w:val="004D4183"/>
    <w:rsid w:val="004D4B67"/>
    <w:rsid w:val="004D57C8"/>
    <w:rsid w:val="004D7B78"/>
    <w:rsid w:val="004E19C7"/>
    <w:rsid w:val="004E21C1"/>
    <w:rsid w:val="004E46A6"/>
    <w:rsid w:val="004E74A5"/>
    <w:rsid w:val="004F0BDA"/>
    <w:rsid w:val="004F2450"/>
    <w:rsid w:val="004F4010"/>
    <w:rsid w:val="004F4460"/>
    <w:rsid w:val="004F65D8"/>
    <w:rsid w:val="004F69BE"/>
    <w:rsid w:val="004F7270"/>
    <w:rsid w:val="005013CC"/>
    <w:rsid w:val="00503328"/>
    <w:rsid w:val="005045D9"/>
    <w:rsid w:val="005046A4"/>
    <w:rsid w:val="00506BD6"/>
    <w:rsid w:val="005074B4"/>
    <w:rsid w:val="00510143"/>
    <w:rsid w:val="00510A01"/>
    <w:rsid w:val="00511117"/>
    <w:rsid w:val="00511567"/>
    <w:rsid w:val="00511AD7"/>
    <w:rsid w:val="00513007"/>
    <w:rsid w:val="00514225"/>
    <w:rsid w:val="005144F6"/>
    <w:rsid w:val="0051585F"/>
    <w:rsid w:val="00517E04"/>
    <w:rsid w:val="0052126D"/>
    <w:rsid w:val="00521559"/>
    <w:rsid w:val="00522D2F"/>
    <w:rsid w:val="00523C38"/>
    <w:rsid w:val="0052427B"/>
    <w:rsid w:val="00524ECC"/>
    <w:rsid w:val="005260EB"/>
    <w:rsid w:val="00526CF9"/>
    <w:rsid w:val="0052783C"/>
    <w:rsid w:val="00530C4C"/>
    <w:rsid w:val="00532BFE"/>
    <w:rsid w:val="00534766"/>
    <w:rsid w:val="00535B94"/>
    <w:rsid w:val="00537A11"/>
    <w:rsid w:val="0054076D"/>
    <w:rsid w:val="00542335"/>
    <w:rsid w:val="00542BA8"/>
    <w:rsid w:val="00543BBA"/>
    <w:rsid w:val="005459F4"/>
    <w:rsid w:val="00547D3D"/>
    <w:rsid w:val="00551024"/>
    <w:rsid w:val="00553F16"/>
    <w:rsid w:val="00555253"/>
    <w:rsid w:val="00555867"/>
    <w:rsid w:val="00556046"/>
    <w:rsid w:val="0056066E"/>
    <w:rsid w:val="00560CD7"/>
    <w:rsid w:val="005617EB"/>
    <w:rsid w:val="00562719"/>
    <w:rsid w:val="00562961"/>
    <w:rsid w:val="005635F6"/>
    <w:rsid w:val="00564257"/>
    <w:rsid w:val="005642DB"/>
    <w:rsid w:val="00566456"/>
    <w:rsid w:val="005665D0"/>
    <w:rsid w:val="005703CB"/>
    <w:rsid w:val="005722A4"/>
    <w:rsid w:val="005729A9"/>
    <w:rsid w:val="00573651"/>
    <w:rsid w:val="0057371D"/>
    <w:rsid w:val="0057452A"/>
    <w:rsid w:val="005762B7"/>
    <w:rsid w:val="00580879"/>
    <w:rsid w:val="005818F0"/>
    <w:rsid w:val="005821A8"/>
    <w:rsid w:val="0058280F"/>
    <w:rsid w:val="00585227"/>
    <w:rsid w:val="00586273"/>
    <w:rsid w:val="005915E8"/>
    <w:rsid w:val="00594437"/>
    <w:rsid w:val="005958D3"/>
    <w:rsid w:val="005973C8"/>
    <w:rsid w:val="005A03C0"/>
    <w:rsid w:val="005A24F1"/>
    <w:rsid w:val="005A2EEB"/>
    <w:rsid w:val="005A3AF8"/>
    <w:rsid w:val="005A425F"/>
    <w:rsid w:val="005A4807"/>
    <w:rsid w:val="005A64E4"/>
    <w:rsid w:val="005A69EC"/>
    <w:rsid w:val="005B11F8"/>
    <w:rsid w:val="005B1EC7"/>
    <w:rsid w:val="005B2EF2"/>
    <w:rsid w:val="005B38EA"/>
    <w:rsid w:val="005B6A74"/>
    <w:rsid w:val="005B77C2"/>
    <w:rsid w:val="005C0B4C"/>
    <w:rsid w:val="005C1C8A"/>
    <w:rsid w:val="005C74EC"/>
    <w:rsid w:val="005D0AFB"/>
    <w:rsid w:val="005D19DD"/>
    <w:rsid w:val="005D513D"/>
    <w:rsid w:val="005D7D78"/>
    <w:rsid w:val="005E25F8"/>
    <w:rsid w:val="005E3193"/>
    <w:rsid w:val="005E4152"/>
    <w:rsid w:val="005E41E9"/>
    <w:rsid w:val="005E4B0B"/>
    <w:rsid w:val="005E516B"/>
    <w:rsid w:val="005E62D8"/>
    <w:rsid w:val="005F0AB7"/>
    <w:rsid w:val="005F1272"/>
    <w:rsid w:val="005F153E"/>
    <w:rsid w:val="005F2D75"/>
    <w:rsid w:val="005F4097"/>
    <w:rsid w:val="005F7915"/>
    <w:rsid w:val="00600734"/>
    <w:rsid w:val="00602236"/>
    <w:rsid w:val="00602A5E"/>
    <w:rsid w:val="00606F8E"/>
    <w:rsid w:val="00607883"/>
    <w:rsid w:val="00611CDC"/>
    <w:rsid w:val="0061324B"/>
    <w:rsid w:val="00614151"/>
    <w:rsid w:val="0061544D"/>
    <w:rsid w:val="006171AE"/>
    <w:rsid w:val="00620944"/>
    <w:rsid w:val="00622ADB"/>
    <w:rsid w:val="006254FF"/>
    <w:rsid w:val="00626028"/>
    <w:rsid w:val="0063221C"/>
    <w:rsid w:val="00633C0E"/>
    <w:rsid w:val="006341A4"/>
    <w:rsid w:val="00634792"/>
    <w:rsid w:val="006361F2"/>
    <w:rsid w:val="00636BBF"/>
    <w:rsid w:val="00642236"/>
    <w:rsid w:val="006446A0"/>
    <w:rsid w:val="00646EC5"/>
    <w:rsid w:val="00651541"/>
    <w:rsid w:val="00652A4C"/>
    <w:rsid w:val="00652F54"/>
    <w:rsid w:val="006551E5"/>
    <w:rsid w:val="00655929"/>
    <w:rsid w:val="00655F54"/>
    <w:rsid w:val="00656F3C"/>
    <w:rsid w:val="006573A2"/>
    <w:rsid w:val="006579FA"/>
    <w:rsid w:val="0066392F"/>
    <w:rsid w:val="0066446A"/>
    <w:rsid w:val="006652E9"/>
    <w:rsid w:val="00670F8E"/>
    <w:rsid w:val="00672539"/>
    <w:rsid w:val="00674637"/>
    <w:rsid w:val="00674ACF"/>
    <w:rsid w:val="00676E6C"/>
    <w:rsid w:val="00677057"/>
    <w:rsid w:val="006807E0"/>
    <w:rsid w:val="006822F1"/>
    <w:rsid w:val="00683F42"/>
    <w:rsid w:val="00686181"/>
    <w:rsid w:val="00686182"/>
    <w:rsid w:val="006906C8"/>
    <w:rsid w:val="00693896"/>
    <w:rsid w:val="00693F36"/>
    <w:rsid w:val="006965FE"/>
    <w:rsid w:val="006967DF"/>
    <w:rsid w:val="00697211"/>
    <w:rsid w:val="006A2F9F"/>
    <w:rsid w:val="006A36FD"/>
    <w:rsid w:val="006A7327"/>
    <w:rsid w:val="006B3C05"/>
    <w:rsid w:val="006B3E89"/>
    <w:rsid w:val="006B5958"/>
    <w:rsid w:val="006B64F7"/>
    <w:rsid w:val="006B6E86"/>
    <w:rsid w:val="006C075C"/>
    <w:rsid w:val="006C10DA"/>
    <w:rsid w:val="006C2A55"/>
    <w:rsid w:val="006C30DB"/>
    <w:rsid w:val="006C3176"/>
    <w:rsid w:val="006C3655"/>
    <w:rsid w:val="006C3E49"/>
    <w:rsid w:val="006C479D"/>
    <w:rsid w:val="006C5420"/>
    <w:rsid w:val="006C6383"/>
    <w:rsid w:val="006C7EBB"/>
    <w:rsid w:val="006D11DA"/>
    <w:rsid w:val="006D4523"/>
    <w:rsid w:val="006D4612"/>
    <w:rsid w:val="006D524C"/>
    <w:rsid w:val="006D5A80"/>
    <w:rsid w:val="006D613A"/>
    <w:rsid w:val="006D62B4"/>
    <w:rsid w:val="006E0DCB"/>
    <w:rsid w:val="006E16C3"/>
    <w:rsid w:val="006E17BB"/>
    <w:rsid w:val="006E384C"/>
    <w:rsid w:val="006E4762"/>
    <w:rsid w:val="006F1382"/>
    <w:rsid w:val="006F3983"/>
    <w:rsid w:val="006F3BCE"/>
    <w:rsid w:val="006F4E91"/>
    <w:rsid w:val="006F52EE"/>
    <w:rsid w:val="006F6EAE"/>
    <w:rsid w:val="006F760B"/>
    <w:rsid w:val="00700FA0"/>
    <w:rsid w:val="007013C9"/>
    <w:rsid w:val="00701D4E"/>
    <w:rsid w:val="00704499"/>
    <w:rsid w:val="00704A66"/>
    <w:rsid w:val="007050C7"/>
    <w:rsid w:val="00705811"/>
    <w:rsid w:val="00707663"/>
    <w:rsid w:val="007106EA"/>
    <w:rsid w:val="00711D7F"/>
    <w:rsid w:val="00712002"/>
    <w:rsid w:val="00713CEB"/>
    <w:rsid w:val="00714CB5"/>
    <w:rsid w:val="007157DF"/>
    <w:rsid w:val="00723B41"/>
    <w:rsid w:val="007243D5"/>
    <w:rsid w:val="0072550E"/>
    <w:rsid w:val="00726CFB"/>
    <w:rsid w:val="00727C6B"/>
    <w:rsid w:val="00730F74"/>
    <w:rsid w:val="007339D0"/>
    <w:rsid w:val="00734DFD"/>
    <w:rsid w:val="00735B39"/>
    <w:rsid w:val="0074074F"/>
    <w:rsid w:val="00740FD3"/>
    <w:rsid w:val="007445D7"/>
    <w:rsid w:val="0074535E"/>
    <w:rsid w:val="007471DC"/>
    <w:rsid w:val="007500BE"/>
    <w:rsid w:val="00751B89"/>
    <w:rsid w:val="0075202B"/>
    <w:rsid w:val="007528A9"/>
    <w:rsid w:val="007546F4"/>
    <w:rsid w:val="00755E5C"/>
    <w:rsid w:val="00757663"/>
    <w:rsid w:val="00762DCB"/>
    <w:rsid w:val="00765513"/>
    <w:rsid w:val="00765C23"/>
    <w:rsid w:val="007667E7"/>
    <w:rsid w:val="00767685"/>
    <w:rsid w:val="007679A4"/>
    <w:rsid w:val="00767AEB"/>
    <w:rsid w:val="0077218D"/>
    <w:rsid w:val="00773FB0"/>
    <w:rsid w:val="00776E06"/>
    <w:rsid w:val="007775D8"/>
    <w:rsid w:val="00783422"/>
    <w:rsid w:val="00784A62"/>
    <w:rsid w:val="00785EC8"/>
    <w:rsid w:val="007869E4"/>
    <w:rsid w:val="00790F48"/>
    <w:rsid w:val="007923F2"/>
    <w:rsid w:val="00797732"/>
    <w:rsid w:val="007A060F"/>
    <w:rsid w:val="007A130F"/>
    <w:rsid w:val="007A2050"/>
    <w:rsid w:val="007A45C9"/>
    <w:rsid w:val="007A4D58"/>
    <w:rsid w:val="007A7626"/>
    <w:rsid w:val="007A7F37"/>
    <w:rsid w:val="007B0BBA"/>
    <w:rsid w:val="007B0C24"/>
    <w:rsid w:val="007B1A54"/>
    <w:rsid w:val="007B22E0"/>
    <w:rsid w:val="007B7B1B"/>
    <w:rsid w:val="007C1E92"/>
    <w:rsid w:val="007C453A"/>
    <w:rsid w:val="007C52FE"/>
    <w:rsid w:val="007C5411"/>
    <w:rsid w:val="007C547A"/>
    <w:rsid w:val="007C54E5"/>
    <w:rsid w:val="007C6B96"/>
    <w:rsid w:val="007D0825"/>
    <w:rsid w:val="007D15AE"/>
    <w:rsid w:val="007D404E"/>
    <w:rsid w:val="007D4181"/>
    <w:rsid w:val="007D54C6"/>
    <w:rsid w:val="007D6B52"/>
    <w:rsid w:val="007D72DF"/>
    <w:rsid w:val="007E064E"/>
    <w:rsid w:val="007E1320"/>
    <w:rsid w:val="007E2566"/>
    <w:rsid w:val="007E37BF"/>
    <w:rsid w:val="007E3EE1"/>
    <w:rsid w:val="007E5DAB"/>
    <w:rsid w:val="007E6872"/>
    <w:rsid w:val="007F3F4B"/>
    <w:rsid w:val="007F4D49"/>
    <w:rsid w:val="007F6018"/>
    <w:rsid w:val="008002FE"/>
    <w:rsid w:val="0080087B"/>
    <w:rsid w:val="0080127B"/>
    <w:rsid w:val="00801F74"/>
    <w:rsid w:val="008020D6"/>
    <w:rsid w:val="00802E1F"/>
    <w:rsid w:val="008031A5"/>
    <w:rsid w:val="00803A33"/>
    <w:rsid w:val="0080466E"/>
    <w:rsid w:val="00804BE3"/>
    <w:rsid w:val="008102F7"/>
    <w:rsid w:val="00811402"/>
    <w:rsid w:val="00811DD1"/>
    <w:rsid w:val="00812136"/>
    <w:rsid w:val="00812281"/>
    <w:rsid w:val="008137C8"/>
    <w:rsid w:val="00814374"/>
    <w:rsid w:val="0081469D"/>
    <w:rsid w:val="008155ED"/>
    <w:rsid w:val="00816CA9"/>
    <w:rsid w:val="00817EF0"/>
    <w:rsid w:val="008219BC"/>
    <w:rsid w:val="00823519"/>
    <w:rsid w:val="008242AD"/>
    <w:rsid w:val="00824384"/>
    <w:rsid w:val="008245F6"/>
    <w:rsid w:val="00827104"/>
    <w:rsid w:val="008276D5"/>
    <w:rsid w:val="0083150C"/>
    <w:rsid w:val="008333D3"/>
    <w:rsid w:val="008366F0"/>
    <w:rsid w:val="0084119D"/>
    <w:rsid w:val="008414D7"/>
    <w:rsid w:val="008415C8"/>
    <w:rsid w:val="0084203C"/>
    <w:rsid w:val="00842917"/>
    <w:rsid w:val="008430DC"/>
    <w:rsid w:val="00845649"/>
    <w:rsid w:val="00845ADC"/>
    <w:rsid w:val="00845B56"/>
    <w:rsid w:val="00845F5D"/>
    <w:rsid w:val="00846271"/>
    <w:rsid w:val="00847B9E"/>
    <w:rsid w:val="00850881"/>
    <w:rsid w:val="00853FEC"/>
    <w:rsid w:val="0085481D"/>
    <w:rsid w:val="008551C7"/>
    <w:rsid w:val="00860E1F"/>
    <w:rsid w:val="00862488"/>
    <w:rsid w:val="008624C2"/>
    <w:rsid w:val="0086557E"/>
    <w:rsid w:val="008667DD"/>
    <w:rsid w:val="00866A90"/>
    <w:rsid w:val="00866BFB"/>
    <w:rsid w:val="00866D1B"/>
    <w:rsid w:val="00870DC9"/>
    <w:rsid w:val="00871A57"/>
    <w:rsid w:val="00871D9A"/>
    <w:rsid w:val="008730E3"/>
    <w:rsid w:val="00874B1B"/>
    <w:rsid w:val="00877ECA"/>
    <w:rsid w:val="008800C6"/>
    <w:rsid w:val="00884944"/>
    <w:rsid w:val="00885E4B"/>
    <w:rsid w:val="00887950"/>
    <w:rsid w:val="00892CC3"/>
    <w:rsid w:val="00893725"/>
    <w:rsid w:val="008968E9"/>
    <w:rsid w:val="00896D39"/>
    <w:rsid w:val="00896E02"/>
    <w:rsid w:val="00896EC4"/>
    <w:rsid w:val="008974B7"/>
    <w:rsid w:val="008A2980"/>
    <w:rsid w:val="008A29CD"/>
    <w:rsid w:val="008A4F03"/>
    <w:rsid w:val="008A6CBC"/>
    <w:rsid w:val="008B4778"/>
    <w:rsid w:val="008B514F"/>
    <w:rsid w:val="008B5DEE"/>
    <w:rsid w:val="008B63E9"/>
    <w:rsid w:val="008B64E4"/>
    <w:rsid w:val="008B7714"/>
    <w:rsid w:val="008B7E84"/>
    <w:rsid w:val="008C07F9"/>
    <w:rsid w:val="008C0F15"/>
    <w:rsid w:val="008C197A"/>
    <w:rsid w:val="008C1A0E"/>
    <w:rsid w:val="008C1B7E"/>
    <w:rsid w:val="008C1D7E"/>
    <w:rsid w:val="008C555B"/>
    <w:rsid w:val="008C5617"/>
    <w:rsid w:val="008C5BC3"/>
    <w:rsid w:val="008C5D7B"/>
    <w:rsid w:val="008D175E"/>
    <w:rsid w:val="008D1ABC"/>
    <w:rsid w:val="008D200D"/>
    <w:rsid w:val="008D420B"/>
    <w:rsid w:val="008D59B5"/>
    <w:rsid w:val="008E1014"/>
    <w:rsid w:val="008E2E79"/>
    <w:rsid w:val="008E33EA"/>
    <w:rsid w:val="008E44C7"/>
    <w:rsid w:val="008E51C1"/>
    <w:rsid w:val="008E5734"/>
    <w:rsid w:val="008E6145"/>
    <w:rsid w:val="008E75B1"/>
    <w:rsid w:val="008F0747"/>
    <w:rsid w:val="008F13B9"/>
    <w:rsid w:val="008F1A6C"/>
    <w:rsid w:val="008F2B0D"/>
    <w:rsid w:val="008F2F35"/>
    <w:rsid w:val="008F316D"/>
    <w:rsid w:val="008F320D"/>
    <w:rsid w:val="008F44CA"/>
    <w:rsid w:val="009006A5"/>
    <w:rsid w:val="00900A8C"/>
    <w:rsid w:val="00905572"/>
    <w:rsid w:val="00910709"/>
    <w:rsid w:val="00912DC7"/>
    <w:rsid w:val="00912E4F"/>
    <w:rsid w:val="009138A6"/>
    <w:rsid w:val="00913B45"/>
    <w:rsid w:val="00915AAE"/>
    <w:rsid w:val="009174A3"/>
    <w:rsid w:val="009219F5"/>
    <w:rsid w:val="00922506"/>
    <w:rsid w:val="00922FE8"/>
    <w:rsid w:val="00931411"/>
    <w:rsid w:val="009320A4"/>
    <w:rsid w:val="00932FCB"/>
    <w:rsid w:val="00933439"/>
    <w:rsid w:val="0093431E"/>
    <w:rsid w:val="00940AFE"/>
    <w:rsid w:val="00941E2D"/>
    <w:rsid w:val="0094457F"/>
    <w:rsid w:val="00946B13"/>
    <w:rsid w:val="00946FA9"/>
    <w:rsid w:val="0095169B"/>
    <w:rsid w:val="00954408"/>
    <w:rsid w:val="00957A2E"/>
    <w:rsid w:val="00961238"/>
    <w:rsid w:val="0096209D"/>
    <w:rsid w:val="00962717"/>
    <w:rsid w:val="009669A3"/>
    <w:rsid w:val="009727D7"/>
    <w:rsid w:val="00974198"/>
    <w:rsid w:val="009752DF"/>
    <w:rsid w:val="00976DB6"/>
    <w:rsid w:val="00977952"/>
    <w:rsid w:val="00981266"/>
    <w:rsid w:val="00982195"/>
    <w:rsid w:val="00982906"/>
    <w:rsid w:val="009854A0"/>
    <w:rsid w:val="00985708"/>
    <w:rsid w:val="00990AAF"/>
    <w:rsid w:val="00991E02"/>
    <w:rsid w:val="00992D8E"/>
    <w:rsid w:val="00995958"/>
    <w:rsid w:val="00995E62"/>
    <w:rsid w:val="00996874"/>
    <w:rsid w:val="00996884"/>
    <w:rsid w:val="00996DFA"/>
    <w:rsid w:val="009A6537"/>
    <w:rsid w:val="009A6560"/>
    <w:rsid w:val="009B0219"/>
    <w:rsid w:val="009B1D9C"/>
    <w:rsid w:val="009B270C"/>
    <w:rsid w:val="009B2FDD"/>
    <w:rsid w:val="009B3DB1"/>
    <w:rsid w:val="009B580D"/>
    <w:rsid w:val="009B6163"/>
    <w:rsid w:val="009B6ED9"/>
    <w:rsid w:val="009B7769"/>
    <w:rsid w:val="009C097E"/>
    <w:rsid w:val="009C35CD"/>
    <w:rsid w:val="009C46D8"/>
    <w:rsid w:val="009C59BC"/>
    <w:rsid w:val="009C6EE0"/>
    <w:rsid w:val="009C7A2F"/>
    <w:rsid w:val="009D4360"/>
    <w:rsid w:val="009D53AF"/>
    <w:rsid w:val="009D61F1"/>
    <w:rsid w:val="009D764F"/>
    <w:rsid w:val="009E0597"/>
    <w:rsid w:val="009E06DD"/>
    <w:rsid w:val="009E0B8F"/>
    <w:rsid w:val="009E3270"/>
    <w:rsid w:val="009E553E"/>
    <w:rsid w:val="009E5E76"/>
    <w:rsid w:val="009F670B"/>
    <w:rsid w:val="009F6A25"/>
    <w:rsid w:val="009F7902"/>
    <w:rsid w:val="00A014BC"/>
    <w:rsid w:val="00A02F28"/>
    <w:rsid w:val="00A03644"/>
    <w:rsid w:val="00A0374E"/>
    <w:rsid w:val="00A07264"/>
    <w:rsid w:val="00A072F5"/>
    <w:rsid w:val="00A075BF"/>
    <w:rsid w:val="00A119C2"/>
    <w:rsid w:val="00A12113"/>
    <w:rsid w:val="00A16365"/>
    <w:rsid w:val="00A17274"/>
    <w:rsid w:val="00A17BE1"/>
    <w:rsid w:val="00A20F2C"/>
    <w:rsid w:val="00A2189F"/>
    <w:rsid w:val="00A2237D"/>
    <w:rsid w:val="00A231B8"/>
    <w:rsid w:val="00A23F61"/>
    <w:rsid w:val="00A240B1"/>
    <w:rsid w:val="00A24617"/>
    <w:rsid w:val="00A25C72"/>
    <w:rsid w:val="00A301E2"/>
    <w:rsid w:val="00A30A0D"/>
    <w:rsid w:val="00A30D96"/>
    <w:rsid w:val="00A33AE2"/>
    <w:rsid w:val="00A33E21"/>
    <w:rsid w:val="00A35125"/>
    <w:rsid w:val="00A36765"/>
    <w:rsid w:val="00A36927"/>
    <w:rsid w:val="00A37379"/>
    <w:rsid w:val="00A40E51"/>
    <w:rsid w:val="00A42F0F"/>
    <w:rsid w:val="00A4386E"/>
    <w:rsid w:val="00A43D50"/>
    <w:rsid w:val="00A44FAA"/>
    <w:rsid w:val="00A462CD"/>
    <w:rsid w:val="00A465A9"/>
    <w:rsid w:val="00A46DDA"/>
    <w:rsid w:val="00A47CB1"/>
    <w:rsid w:val="00A50367"/>
    <w:rsid w:val="00A51A4B"/>
    <w:rsid w:val="00A52033"/>
    <w:rsid w:val="00A524FE"/>
    <w:rsid w:val="00A54613"/>
    <w:rsid w:val="00A54672"/>
    <w:rsid w:val="00A54F66"/>
    <w:rsid w:val="00A56974"/>
    <w:rsid w:val="00A607B1"/>
    <w:rsid w:val="00A62A0E"/>
    <w:rsid w:val="00A63BC1"/>
    <w:rsid w:val="00A63C95"/>
    <w:rsid w:val="00A63F48"/>
    <w:rsid w:val="00A65312"/>
    <w:rsid w:val="00A65CC5"/>
    <w:rsid w:val="00A704E7"/>
    <w:rsid w:val="00A70FDC"/>
    <w:rsid w:val="00A7107B"/>
    <w:rsid w:val="00A725B7"/>
    <w:rsid w:val="00A72AA6"/>
    <w:rsid w:val="00A72D9B"/>
    <w:rsid w:val="00A72DD9"/>
    <w:rsid w:val="00A72EF1"/>
    <w:rsid w:val="00A73BF6"/>
    <w:rsid w:val="00A74855"/>
    <w:rsid w:val="00A75AEE"/>
    <w:rsid w:val="00A761B4"/>
    <w:rsid w:val="00A7778C"/>
    <w:rsid w:val="00A80656"/>
    <w:rsid w:val="00A8067F"/>
    <w:rsid w:val="00A81AF2"/>
    <w:rsid w:val="00A82CA7"/>
    <w:rsid w:val="00A8327B"/>
    <w:rsid w:val="00A84A43"/>
    <w:rsid w:val="00A86903"/>
    <w:rsid w:val="00A90C89"/>
    <w:rsid w:val="00A92D63"/>
    <w:rsid w:val="00A942C6"/>
    <w:rsid w:val="00A94B32"/>
    <w:rsid w:val="00A95A0B"/>
    <w:rsid w:val="00A96872"/>
    <w:rsid w:val="00A96D3D"/>
    <w:rsid w:val="00AA1556"/>
    <w:rsid w:val="00AA16FD"/>
    <w:rsid w:val="00AA23E9"/>
    <w:rsid w:val="00AA2C0A"/>
    <w:rsid w:val="00AA5C53"/>
    <w:rsid w:val="00AB08D3"/>
    <w:rsid w:val="00AB3CDD"/>
    <w:rsid w:val="00AB3E81"/>
    <w:rsid w:val="00AB41E4"/>
    <w:rsid w:val="00AB4552"/>
    <w:rsid w:val="00AB4DBC"/>
    <w:rsid w:val="00AB5803"/>
    <w:rsid w:val="00AB61DC"/>
    <w:rsid w:val="00AB6823"/>
    <w:rsid w:val="00AB7069"/>
    <w:rsid w:val="00AB7730"/>
    <w:rsid w:val="00AB791E"/>
    <w:rsid w:val="00AB7CBC"/>
    <w:rsid w:val="00AC18F3"/>
    <w:rsid w:val="00AC370F"/>
    <w:rsid w:val="00AC5D5B"/>
    <w:rsid w:val="00AC658E"/>
    <w:rsid w:val="00AC683F"/>
    <w:rsid w:val="00AD0834"/>
    <w:rsid w:val="00AD1B1B"/>
    <w:rsid w:val="00AD212D"/>
    <w:rsid w:val="00AD36CA"/>
    <w:rsid w:val="00AD7833"/>
    <w:rsid w:val="00AE0098"/>
    <w:rsid w:val="00AE0576"/>
    <w:rsid w:val="00AE0FB3"/>
    <w:rsid w:val="00AE16E7"/>
    <w:rsid w:val="00AE47F2"/>
    <w:rsid w:val="00AE52EA"/>
    <w:rsid w:val="00AF0CA1"/>
    <w:rsid w:val="00AF1A95"/>
    <w:rsid w:val="00AF1D4D"/>
    <w:rsid w:val="00AF1FB7"/>
    <w:rsid w:val="00AF242C"/>
    <w:rsid w:val="00AF35DE"/>
    <w:rsid w:val="00AF3EBD"/>
    <w:rsid w:val="00AF46AE"/>
    <w:rsid w:val="00AF594F"/>
    <w:rsid w:val="00AF6A10"/>
    <w:rsid w:val="00AF7EAC"/>
    <w:rsid w:val="00B0090A"/>
    <w:rsid w:val="00B02536"/>
    <w:rsid w:val="00B05439"/>
    <w:rsid w:val="00B05D0E"/>
    <w:rsid w:val="00B065B6"/>
    <w:rsid w:val="00B10608"/>
    <w:rsid w:val="00B10FB4"/>
    <w:rsid w:val="00B115E8"/>
    <w:rsid w:val="00B142A4"/>
    <w:rsid w:val="00B14CE1"/>
    <w:rsid w:val="00B15B77"/>
    <w:rsid w:val="00B15EFA"/>
    <w:rsid w:val="00B169AE"/>
    <w:rsid w:val="00B201F9"/>
    <w:rsid w:val="00B21547"/>
    <w:rsid w:val="00B220BD"/>
    <w:rsid w:val="00B2418C"/>
    <w:rsid w:val="00B2523F"/>
    <w:rsid w:val="00B30476"/>
    <w:rsid w:val="00B312D9"/>
    <w:rsid w:val="00B3157B"/>
    <w:rsid w:val="00B31E2C"/>
    <w:rsid w:val="00B32407"/>
    <w:rsid w:val="00B325A6"/>
    <w:rsid w:val="00B3359E"/>
    <w:rsid w:val="00B364A8"/>
    <w:rsid w:val="00B37E03"/>
    <w:rsid w:val="00B40D34"/>
    <w:rsid w:val="00B42A80"/>
    <w:rsid w:val="00B42DC0"/>
    <w:rsid w:val="00B43AB4"/>
    <w:rsid w:val="00B469C6"/>
    <w:rsid w:val="00B46C5B"/>
    <w:rsid w:val="00B50B15"/>
    <w:rsid w:val="00B512EA"/>
    <w:rsid w:val="00B519AB"/>
    <w:rsid w:val="00B53247"/>
    <w:rsid w:val="00B55882"/>
    <w:rsid w:val="00B55895"/>
    <w:rsid w:val="00B565E9"/>
    <w:rsid w:val="00B5666A"/>
    <w:rsid w:val="00B56AF3"/>
    <w:rsid w:val="00B57B9F"/>
    <w:rsid w:val="00B57E8E"/>
    <w:rsid w:val="00B60663"/>
    <w:rsid w:val="00B6084F"/>
    <w:rsid w:val="00B60883"/>
    <w:rsid w:val="00B61237"/>
    <w:rsid w:val="00B647C4"/>
    <w:rsid w:val="00B65415"/>
    <w:rsid w:val="00B66639"/>
    <w:rsid w:val="00B710F7"/>
    <w:rsid w:val="00B71443"/>
    <w:rsid w:val="00B74EE1"/>
    <w:rsid w:val="00B75241"/>
    <w:rsid w:val="00B753EC"/>
    <w:rsid w:val="00B775FA"/>
    <w:rsid w:val="00B80022"/>
    <w:rsid w:val="00B80C98"/>
    <w:rsid w:val="00B81A1B"/>
    <w:rsid w:val="00B84A29"/>
    <w:rsid w:val="00B86294"/>
    <w:rsid w:val="00B8714B"/>
    <w:rsid w:val="00B873F9"/>
    <w:rsid w:val="00B87F3C"/>
    <w:rsid w:val="00B91AE6"/>
    <w:rsid w:val="00B93054"/>
    <w:rsid w:val="00B94242"/>
    <w:rsid w:val="00B9753E"/>
    <w:rsid w:val="00BA0765"/>
    <w:rsid w:val="00BA1455"/>
    <w:rsid w:val="00BA400B"/>
    <w:rsid w:val="00BA4408"/>
    <w:rsid w:val="00BA7DA2"/>
    <w:rsid w:val="00BB148B"/>
    <w:rsid w:val="00BB4694"/>
    <w:rsid w:val="00BB5C9E"/>
    <w:rsid w:val="00BB6780"/>
    <w:rsid w:val="00BB7AE5"/>
    <w:rsid w:val="00BC07BC"/>
    <w:rsid w:val="00BC1594"/>
    <w:rsid w:val="00BC19F2"/>
    <w:rsid w:val="00BC1A00"/>
    <w:rsid w:val="00BC3139"/>
    <w:rsid w:val="00BC324A"/>
    <w:rsid w:val="00BC5B9A"/>
    <w:rsid w:val="00BC696D"/>
    <w:rsid w:val="00BD056E"/>
    <w:rsid w:val="00BD1503"/>
    <w:rsid w:val="00BD1A0C"/>
    <w:rsid w:val="00BD2850"/>
    <w:rsid w:val="00BD3D7C"/>
    <w:rsid w:val="00BD41F8"/>
    <w:rsid w:val="00BE0BC7"/>
    <w:rsid w:val="00BE3108"/>
    <w:rsid w:val="00BE521A"/>
    <w:rsid w:val="00BE7650"/>
    <w:rsid w:val="00BE7CD0"/>
    <w:rsid w:val="00BF17FF"/>
    <w:rsid w:val="00BF212C"/>
    <w:rsid w:val="00BF29D6"/>
    <w:rsid w:val="00BF2A0A"/>
    <w:rsid w:val="00C0067D"/>
    <w:rsid w:val="00C01669"/>
    <w:rsid w:val="00C02890"/>
    <w:rsid w:val="00C028CC"/>
    <w:rsid w:val="00C04182"/>
    <w:rsid w:val="00C051B6"/>
    <w:rsid w:val="00C0534B"/>
    <w:rsid w:val="00C05EFE"/>
    <w:rsid w:val="00C10121"/>
    <w:rsid w:val="00C13084"/>
    <w:rsid w:val="00C131B3"/>
    <w:rsid w:val="00C13235"/>
    <w:rsid w:val="00C14AAA"/>
    <w:rsid w:val="00C151DF"/>
    <w:rsid w:val="00C16B8E"/>
    <w:rsid w:val="00C16C57"/>
    <w:rsid w:val="00C17142"/>
    <w:rsid w:val="00C21B83"/>
    <w:rsid w:val="00C26BF8"/>
    <w:rsid w:val="00C27339"/>
    <w:rsid w:val="00C277CC"/>
    <w:rsid w:val="00C312CA"/>
    <w:rsid w:val="00C33C75"/>
    <w:rsid w:val="00C349C3"/>
    <w:rsid w:val="00C35605"/>
    <w:rsid w:val="00C36FC2"/>
    <w:rsid w:val="00C40432"/>
    <w:rsid w:val="00C407EF"/>
    <w:rsid w:val="00C40831"/>
    <w:rsid w:val="00C41F4E"/>
    <w:rsid w:val="00C4235F"/>
    <w:rsid w:val="00C423B3"/>
    <w:rsid w:val="00C42A6B"/>
    <w:rsid w:val="00C42AD2"/>
    <w:rsid w:val="00C43026"/>
    <w:rsid w:val="00C450A8"/>
    <w:rsid w:val="00C46DC6"/>
    <w:rsid w:val="00C50E07"/>
    <w:rsid w:val="00C5134B"/>
    <w:rsid w:val="00C51607"/>
    <w:rsid w:val="00C52471"/>
    <w:rsid w:val="00C5279C"/>
    <w:rsid w:val="00C54B8F"/>
    <w:rsid w:val="00C55746"/>
    <w:rsid w:val="00C55C64"/>
    <w:rsid w:val="00C567A4"/>
    <w:rsid w:val="00C56B3F"/>
    <w:rsid w:val="00C625A0"/>
    <w:rsid w:val="00C62C86"/>
    <w:rsid w:val="00C63208"/>
    <w:rsid w:val="00C64E70"/>
    <w:rsid w:val="00C65EA5"/>
    <w:rsid w:val="00C66A31"/>
    <w:rsid w:val="00C703CF"/>
    <w:rsid w:val="00C70A7E"/>
    <w:rsid w:val="00C7106B"/>
    <w:rsid w:val="00C73517"/>
    <w:rsid w:val="00C74AEE"/>
    <w:rsid w:val="00C75CBE"/>
    <w:rsid w:val="00C77A89"/>
    <w:rsid w:val="00C77C91"/>
    <w:rsid w:val="00C800F2"/>
    <w:rsid w:val="00C8073F"/>
    <w:rsid w:val="00C82E8D"/>
    <w:rsid w:val="00C83CE9"/>
    <w:rsid w:val="00C83D41"/>
    <w:rsid w:val="00C85757"/>
    <w:rsid w:val="00C862D1"/>
    <w:rsid w:val="00C869FB"/>
    <w:rsid w:val="00C90E0F"/>
    <w:rsid w:val="00C90F59"/>
    <w:rsid w:val="00C92D7A"/>
    <w:rsid w:val="00C935E0"/>
    <w:rsid w:val="00C9360A"/>
    <w:rsid w:val="00C944BB"/>
    <w:rsid w:val="00C95F7B"/>
    <w:rsid w:val="00CA2F31"/>
    <w:rsid w:val="00CA3011"/>
    <w:rsid w:val="00CA384B"/>
    <w:rsid w:val="00CA4ECF"/>
    <w:rsid w:val="00CA5197"/>
    <w:rsid w:val="00CA649B"/>
    <w:rsid w:val="00CA6679"/>
    <w:rsid w:val="00CA7868"/>
    <w:rsid w:val="00CB0265"/>
    <w:rsid w:val="00CB07E6"/>
    <w:rsid w:val="00CB22D0"/>
    <w:rsid w:val="00CB3D52"/>
    <w:rsid w:val="00CB6D6B"/>
    <w:rsid w:val="00CB7604"/>
    <w:rsid w:val="00CB76A9"/>
    <w:rsid w:val="00CB7D6D"/>
    <w:rsid w:val="00CC0981"/>
    <w:rsid w:val="00CC160D"/>
    <w:rsid w:val="00CC3DE0"/>
    <w:rsid w:val="00CC4328"/>
    <w:rsid w:val="00CC48F1"/>
    <w:rsid w:val="00CD1CC4"/>
    <w:rsid w:val="00CD41EC"/>
    <w:rsid w:val="00CD50D3"/>
    <w:rsid w:val="00CD7F7C"/>
    <w:rsid w:val="00CE0180"/>
    <w:rsid w:val="00CE0353"/>
    <w:rsid w:val="00CE268D"/>
    <w:rsid w:val="00CE3F3B"/>
    <w:rsid w:val="00CE448F"/>
    <w:rsid w:val="00CE5B87"/>
    <w:rsid w:val="00CF00D5"/>
    <w:rsid w:val="00CF235E"/>
    <w:rsid w:val="00CF361E"/>
    <w:rsid w:val="00CF375E"/>
    <w:rsid w:val="00CF4F85"/>
    <w:rsid w:val="00CF53C6"/>
    <w:rsid w:val="00CF6242"/>
    <w:rsid w:val="00CF64C7"/>
    <w:rsid w:val="00D00DFB"/>
    <w:rsid w:val="00D01D9C"/>
    <w:rsid w:val="00D02362"/>
    <w:rsid w:val="00D027AB"/>
    <w:rsid w:val="00D061D8"/>
    <w:rsid w:val="00D07A64"/>
    <w:rsid w:val="00D1198D"/>
    <w:rsid w:val="00D11C83"/>
    <w:rsid w:val="00D122F3"/>
    <w:rsid w:val="00D1329C"/>
    <w:rsid w:val="00D133FC"/>
    <w:rsid w:val="00D13F52"/>
    <w:rsid w:val="00D14CE1"/>
    <w:rsid w:val="00D1774F"/>
    <w:rsid w:val="00D20C2D"/>
    <w:rsid w:val="00D21568"/>
    <w:rsid w:val="00D24270"/>
    <w:rsid w:val="00D27DE0"/>
    <w:rsid w:val="00D300C0"/>
    <w:rsid w:val="00D31E76"/>
    <w:rsid w:val="00D336D3"/>
    <w:rsid w:val="00D33D9E"/>
    <w:rsid w:val="00D357BA"/>
    <w:rsid w:val="00D36B99"/>
    <w:rsid w:val="00D37F2B"/>
    <w:rsid w:val="00D4061D"/>
    <w:rsid w:val="00D4070F"/>
    <w:rsid w:val="00D4077C"/>
    <w:rsid w:val="00D412D1"/>
    <w:rsid w:val="00D42CCD"/>
    <w:rsid w:val="00D50F62"/>
    <w:rsid w:val="00D51390"/>
    <w:rsid w:val="00D5279D"/>
    <w:rsid w:val="00D540EC"/>
    <w:rsid w:val="00D602E9"/>
    <w:rsid w:val="00D6075E"/>
    <w:rsid w:val="00D63043"/>
    <w:rsid w:val="00D66532"/>
    <w:rsid w:val="00D67991"/>
    <w:rsid w:val="00D729A1"/>
    <w:rsid w:val="00D72A12"/>
    <w:rsid w:val="00D73162"/>
    <w:rsid w:val="00D74387"/>
    <w:rsid w:val="00D759F5"/>
    <w:rsid w:val="00D775B6"/>
    <w:rsid w:val="00D808D1"/>
    <w:rsid w:val="00D81E89"/>
    <w:rsid w:val="00D84349"/>
    <w:rsid w:val="00D84E41"/>
    <w:rsid w:val="00D84E76"/>
    <w:rsid w:val="00D90D91"/>
    <w:rsid w:val="00D91211"/>
    <w:rsid w:val="00D91306"/>
    <w:rsid w:val="00D923C8"/>
    <w:rsid w:val="00D949D5"/>
    <w:rsid w:val="00D94D8C"/>
    <w:rsid w:val="00D954CD"/>
    <w:rsid w:val="00DA1033"/>
    <w:rsid w:val="00DA3C69"/>
    <w:rsid w:val="00DA50ED"/>
    <w:rsid w:val="00DA5EEF"/>
    <w:rsid w:val="00DA6399"/>
    <w:rsid w:val="00DA64E5"/>
    <w:rsid w:val="00DB092B"/>
    <w:rsid w:val="00DB1531"/>
    <w:rsid w:val="00DB174D"/>
    <w:rsid w:val="00DB4263"/>
    <w:rsid w:val="00DB5A4B"/>
    <w:rsid w:val="00DC07DD"/>
    <w:rsid w:val="00DC3CBA"/>
    <w:rsid w:val="00DC4B3A"/>
    <w:rsid w:val="00DC5018"/>
    <w:rsid w:val="00DC51C7"/>
    <w:rsid w:val="00DC59A8"/>
    <w:rsid w:val="00DC77CC"/>
    <w:rsid w:val="00DD02AB"/>
    <w:rsid w:val="00DD1FCA"/>
    <w:rsid w:val="00DD36A7"/>
    <w:rsid w:val="00DD4E84"/>
    <w:rsid w:val="00DD705C"/>
    <w:rsid w:val="00DD7803"/>
    <w:rsid w:val="00DD7A50"/>
    <w:rsid w:val="00DE113F"/>
    <w:rsid w:val="00DE70A9"/>
    <w:rsid w:val="00DE75A4"/>
    <w:rsid w:val="00DF3480"/>
    <w:rsid w:val="00DF6C0F"/>
    <w:rsid w:val="00DF7FE6"/>
    <w:rsid w:val="00E0243D"/>
    <w:rsid w:val="00E03CCD"/>
    <w:rsid w:val="00E05602"/>
    <w:rsid w:val="00E06FFF"/>
    <w:rsid w:val="00E1063D"/>
    <w:rsid w:val="00E110EC"/>
    <w:rsid w:val="00E119BA"/>
    <w:rsid w:val="00E11D79"/>
    <w:rsid w:val="00E11E2C"/>
    <w:rsid w:val="00E1200C"/>
    <w:rsid w:val="00E149E8"/>
    <w:rsid w:val="00E150B4"/>
    <w:rsid w:val="00E17CE1"/>
    <w:rsid w:val="00E2063A"/>
    <w:rsid w:val="00E2088E"/>
    <w:rsid w:val="00E23D63"/>
    <w:rsid w:val="00E2468D"/>
    <w:rsid w:val="00E26FB4"/>
    <w:rsid w:val="00E274AC"/>
    <w:rsid w:val="00E307D0"/>
    <w:rsid w:val="00E31337"/>
    <w:rsid w:val="00E31BB9"/>
    <w:rsid w:val="00E3243D"/>
    <w:rsid w:val="00E325DF"/>
    <w:rsid w:val="00E32A9F"/>
    <w:rsid w:val="00E344C8"/>
    <w:rsid w:val="00E34850"/>
    <w:rsid w:val="00E35C24"/>
    <w:rsid w:val="00E35D69"/>
    <w:rsid w:val="00E36732"/>
    <w:rsid w:val="00E37FAA"/>
    <w:rsid w:val="00E40A64"/>
    <w:rsid w:val="00E40CF1"/>
    <w:rsid w:val="00E41253"/>
    <w:rsid w:val="00E41326"/>
    <w:rsid w:val="00E41A33"/>
    <w:rsid w:val="00E42AD8"/>
    <w:rsid w:val="00E43823"/>
    <w:rsid w:val="00E43BC8"/>
    <w:rsid w:val="00E444AB"/>
    <w:rsid w:val="00E50694"/>
    <w:rsid w:val="00E50B09"/>
    <w:rsid w:val="00E50F2A"/>
    <w:rsid w:val="00E55A33"/>
    <w:rsid w:val="00E6089B"/>
    <w:rsid w:val="00E61109"/>
    <w:rsid w:val="00E62F7E"/>
    <w:rsid w:val="00E65EAE"/>
    <w:rsid w:val="00E662AF"/>
    <w:rsid w:val="00E6661B"/>
    <w:rsid w:val="00E669EE"/>
    <w:rsid w:val="00E66D0B"/>
    <w:rsid w:val="00E729A9"/>
    <w:rsid w:val="00E73C91"/>
    <w:rsid w:val="00E74916"/>
    <w:rsid w:val="00E768E9"/>
    <w:rsid w:val="00E80B89"/>
    <w:rsid w:val="00E80F54"/>
    <w:rsid w:val="00E811BE"/>
    <w:rsid w:val="00E81B41"/>
    <w:rsid w:val="00E820FA"/>
    <w:rsid w:val="00E828C5"/>
    <w:rsid w:val="00E84599"/>
    <w:rsid w:val="00E85AB3"/>
    <w:rsid w:val="00E874E1"/>
    <w:rsid w:val="00E87C3F"/>
    <w:rsid w:val="00E87C86"/>
    <w:rsid w:val="00E9067F"/>
    <w:rsid w:val="00E922EB"/>
    <w:rsid w:val="00E9458A"/>
    <w:rsid w:val="00E9577E"/>
    <w:rsid w:val="00E97A80"/>
    <w:rsid w:val="00EA1C9E"/>
    <w:rsid w:val="00EA34C0"/>
    <w:rsid w:val="00EA47BB"/>
    <w:rsid w:val="00EA6D6C"/>
    <w:rsid w:val="00EB1FC7"/>
    <w:rsid w:val="00EB2897"/>
    <w:rsid w:val="00EB3B3C"/>
    <w:rsid w:val="00EB4985"/>
    <w:rsid w:val="00EB5D58"/>
    <w:rsid w:val="00EB6F8D"/>
    <w:rsid w:val="00EC138F"/>
    <w:rsid w:val="00EC1946"/>
    <w:rsid w:val="00EC58F7"/>
    <w:rsid w:val="00EC6229"/>
    <w:rsid w:val="00ED7BEA"/>
    <w:rsid w:val="00EE0200"/>
    <w:rsid w:val="00EE0E44"/>
    <w:rsid w:val="00EE3061"/>
    <w:rsid w:val="00EE7235"/>
    <w:rsid w:val="00EE74F2"/>
    <w:rsid w:val="00EF2567"/>
    <w:rsid w:val="00EF3677"/>
    <w:rsid w:val="00EF3766"/>
    <w:rsid w:val="00F011EC"/>
    <w:rsid w:val="00F0199E"/>
    <w:rsid w:val="00F035F8"/>
    <w:rsid w:val="00F07C91"/>
    <w:rsid w:val="00F10063"/>
    <w:rsid w:val="00F11EC5"/>
    <w:rsid w:val="00F13EDA"/>
    <w:rsid w:val="00F17542"/>
    <w:rsid w:val="00F203AC"/>
    <w:rsid w:val="00F21A23"/>
    <w:rsid w:val="00F24921"/>
    <w:rsid w:val="00F25254"/>
    <w:rsid w:val="00F2543D"/>
    <w:rsid w:val="00F25D55"/>
    <w:rsid w:val="00F266E0"/>
    <w:rsid w:val="00F30C0C"/>
    <w:rsid w:val="00F318A6"/>
    <w:rsid w:val="00F32620"/>
    <w:rsid w:val="00F3306F"/>
    <w:rsid w:val="00F335B2"/>
    <w:rsid w:val="00F3484A"/>
    <w:rsid w:val="00F36491"/>
    <w:rsid w:val="00F36798"/>
    <w:rsid w:val="00F377D6"/>
    <w:rsid w:val="00F41FC8"/>
    <w:rsid w:val="00F44021"/>
    <w:rsid w:val="00F448DF"/>
    <w:rsid w:val="00F47B51"/>
    <w:rsid w:val="00F50442"/>
    <w:rsid w:val="00F51AF9"/>
    <w:rsid w:val="00F5219F"/>
    <w:rsid w:val="00F529EA"/>
    <w:rsid w:val="00F531A0"/>
    <w:rsid w:val="00F564D5"/>
    <w:rsid w:val="00F5716E"/>
    <w:rsid w:val="00F611FA"/>
    <w:rsid w:val="00F6160E"/>
    <w:rsid w:val="00F61947"/>
    <w:rsid w:val="00F61CB4"/>
    <w:rsid w:val="00F64A64"/>
    <w:rsid w:val="00F676F3"/>
    <w:rsid w:val="00F67946"/>
    <w:rsid w:val="00F70AC1"/>
    <w:rsid w:val="00F70E8A"/>
    <w:rsid w:val="00F72244"/>
    <w:rsid w:val="00F72716"/>
    <w:rsid w:val="00F72752"/>
    <w:rsid w:val="00F734EA"/>
    <w:rsid w:val="00F73982"/>
    <w:rsid w:val="00F7501E"/>
    <w:rsid w:val="00F76A0F"/>
    <w:rsid w:val="00F77523"/>
    <w:rsid w:val="00F84D23"/>
    <w:rsid w:val="00F8646D"/>
    <w:rsid w:val="00F8762E"/>
    <w:rsid w:val="00F9121E"/>
    <w:rsid w:val="00F913B9"/>
    <w:rsid w:val="00F962D3"/>
    <w:rsid w:val="00F9723F"/>
    <w:rsid w:val="00F979C9"/>
    <w:rsid w:val="00FA0795"/>
    <w:rsid w:val="00FA56B0"/>
    <w:rsid w:val="00FA5840"/>
    <w:rsid w:val="00FA597A"/>
    <w:rsid w:val="00FA5D16"/>
    <w:rsid w:val="00FB096C"/>
    <w:rsid w:val="00FB1000"/>
    <w:rsid w:val="00FB201E"/>
    <w:rsid w:val="00FB492E"/>
    <w:rsid w:val="00FB53A0"/>
    <w:rsid w:val="00FB57A5"/>
    <w:rsid w:val="00FB5E81"/>
    <w:rsid w:val="00FB692A"/>
    <w:rsid w:val="00FC1413"/>
    <w:rsid w:val="00FC1DF8"/>
    <w:rsid w:val="00FC7B10"/>
    <w:rsid w:val="00FD2741"/>
    <w:rsid w:val="00FD2E53"/>
    <w:rsid w:val="00FD2EA1"/>
    <w:rsid w:val="00FD3C9F"/>
    <w:rsid w:val="00FD4287"/>
    <w:rsid w:val="00FD5050"/>
    <w:rsid w:val="00FD7E55"/>
    <w:rsid w:val="00FE0AA3"/>
    <w:rsid w:val="00FE2068"/>
    <w:rsid w:val="00FE25D7"/>
    <w:rsid w:val="00FE2A92"/>
    <w:rsid w:val="00FE3688"/>
    <w:rsid w:val="00FE3DF3"/>
    <w:rsid w:val="00FE4E6D"/>
    <w:rsid w:val="00FE5257"/>
    <w:rsid w:val="00FE5412"/>
    <w:rsid w:val="00FE5A4B"/>
    <w:rsid w:val="00FE5B7D"/>
    <w:rsid w:val="00FE65D9"/>
    <w:rsid w:val="00FE6A4E"/>
    <w:rsid w:val="00FE7EBE"/>
    <w:rsid w:val="00FF0635"/>
    <w:rsid w:val="00FF08DC"/>
    <w:rsid w:val="00FF32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DDC8E"/>
  <w15:docId w15:val="{1616D507-A198-45ED-89E7-037B29C9B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lang w:val="es-ES_tradnl" w:eastAsia="es-ES"/>
    </w:rPr>
  </w:style>
  <w:style w:type="paragraph" w:styleId="Ttulo1">
    <w:name w:val="heading 1"/>
    <w:aliases w:val="MT1,H1"/>
    <w:basedOn w:val="Normal"/>
    <w:next w:val="Normal"/>
    <w:qFormat/>
    <w:pPr>
      <w:keepNext/>
      <w:tabs>
        <w:tab w:val="left" w:pos="-720"/>
        <w:tab w:val="left" w:pos="4395"/>
      </w:tabs>
      <w:suppressAutoHyphens/>
      <w:jc w:val="center"/>
      <w:outlineLvl w:val="0"/>
    </w:pPr>
    <w:rPr>
      <w:rFonts w:ascii="Arial" w:hAnsi="Arial"/>
      <w:b/>
      <w:spacing w:val="-3"/>
      <w:sz w:val="28"/>
    </w:rPr>
  </w:style>
  <w:style w:type="paragraph" w:styleId="Ttulo2">
    <w:name w:val="heading 2"/>
    <w:basedOn w:val="Normal"/>
    <w:next w:val="Normal"/>
    <w:qFormat/>
    <w:pPr>
      <w:keepNext/>
      <w:widowControl w:val="0"/>
      <w:jc w:val="center"/>
      <w:outlineLvl w:val="1"/>
    </w:pPr>
    <w:rPr>
      <w:rFonts w:ascii="Arial" w:hAnsi="Arial"/>
      <w:b/>
    </w:rPr>
  </w:style>
  <w:style w:type="paragraph" w:styleId="Ttulo3">
    <w:name w:val="heading 3"/>
    <w:basedOn w:val="Normal"/>
    <w:next w:val="Normal"/>
    <w:qFormat/>
    <w:pPr>
      <w:keepNext/>
      <w:tabs>
        <w:tab w:val="left" w:pos="-720"/>
        <w:tab w:val="right" w:pos="8080"/>
      </w:tabs>
      <w:suppressAutoHyphens/>
      <w:jc w:val="both"/>
      <w:outlineLvl w:val="2"/>
    </w:pPr>
    <w:rPr>
      <w:rFonts w:ascii="Arial" w:hAnsi="Arial"/>
      <w:spacing w:val="-3"/>
      <w:sz w:val="28"/>
    </w:rPr>
  </w:style>
  <w:style w:type="paragraph" w:styleId="Ttulo4">
    <w:name w:val="heading 4"/>
    <w:basedOn w:val="Normal"/>
    <w:next w:val="Normal"/>
    <w:qFormat/>
    <w:pPr>
      <w:keepNext/>
      <w:tabs>
        <w:tab w:val="left" w:pos="-720"/>
      </w:tabs>
      <w:suppressAutoHyphens/>
      <w:ind w:right="851"/>
      <w:jc w:val="both"/>
      <w:outlineLvl w:val="3"/>
    </w:pPr>
    <w:rPr>
      <w:rFonts w:ascii="Arial" w:hAnsi="Arial"/>
      <w:b/>
      <w:bCs/>
      <w:spacing w:val="-3"/>
      <w:sz w:val="28"/>
    </w:rPr>
  </w:style>
  <w:style w:type="paragraph" w:styleId="Ttulo5">
    <w:name w:val="heading 5"/>
    <w:basedOn w:val="Normal"/>
    <w:next w:val="Normal"/>
    <w:qFormat/>
    <w:pPr>
      <w:keepNext/>
      <w:outlineLvl w:val="4"/>
    </w:pPr>
    <w:rPr>
      <w:rFonts w:ascii="Arial" w:hAnsi="Arial" w:cs="Arial"/>
      <w:b/>
      <w:bCs/>
      <w:sz w:val="28"/>
    </w:rPr>
  </w:style>
  <w:style w:type="paragraph" w:styleId="Ttulo6">
    <w:name w:val="heading 6"/>
    <w:basedOn w:val="Normal"/>
    <w:next w:val="Normal"/>
    <w:link w:val="Ttulo6Car"/>
    <w:qFormat/>
    <w:pPr>
      <w:keepNext/>
      <w:tabs>
        <w:tab w:val="left" w:pos="-720"/>
      </w:tabs>
      <w:suppressAutoHyphens/>
      <w:jc w:val="both"/>
      <w:outlineLvl w:val="5"/>
    </w:pPr>
    <w:rPr>
      <w:rFonts w:ascii="Arial" w:hAnsi="Arial"/>
      <w:spacing w:val="-3"/>
      <w:sz w:val="28"/>
    </w:rPr>
  </w:style>
  <w:style w:type="paragraph" w:styleId="Ttulo7">
    <w:name w:val="heading 7"/>
    <w:basedOn w:val="Normal"/>
    <w:next w:val="Normal"/>
    <w:qFormat/>
    <w:pPr>
      <w:keepNext/>
      <w:outlineLvl w:val="6"/>
    </w:pPr>
    <w:rPr>
      <w:rFonts w:ascii="Arial" w:hAnsi="Arial"/>
    </w:rPr>
  </w:style>
  <w:style w:type="paragraph" w:styleId="Ttulo8">
    <w:name w:val="heading 8"/>
    <w:basedOn w:val="Normal"/>
    <w:next w:val="Normal"/>
    <w:qFormat/>
    <w:pPr>
      <w:keepNext/>
      <w:tabs>
        <w:tab w:val="left" w:pos="-720"/>
      </w:tabs>
      <w:suppressAutoHyphens/>
      <w:jc w:val="center"/>
      <w:outlineLvl w:val="7"/>
    </w:pPr>
    <w:rPr>
      <w:sz w:val="28"/>
    </w:rPr>
  </w:style>
  <w:style w:type="paragraph" w:styleId="Ttulo9">
    <w:name w:val="heading 9"/>
    <w:basedOn w:val="Normal"/>
    <w:next w:val="Normal"/>
    <w:qFormat/>
    <w:pPr>
      <w:keepNext/>
      <w:tabs>
        <w:tab w:val="left" w:pos="-720"/>
        <w:tab w:val="left" w:pos="4395"/>
      </w:tabs>
      <w:suppressAutoHyphen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encabezadopredeter">
    <w:name w:val="Fuente de encabezado predeter."/>
  </w:style>
  <w:style w:type="paragraph" w:styleId="TD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DC2">
    <w:name w:val="toc 2"/>
    <w:basedOn w:val="Normal"/>
    <w:next w:val="Normal"/>
    <w:semiHidden/>
    <w:pPr>
      <w:tabs>
        <w:tab w:val="left" w:leader="dot" w:pos="9000"/>
        <w:tab w:val="right" w:pos="9360"/>
      </w:tabs>
      <w:suppressAutoHyphens/>
      <w:ind w:left="1440" w:right="720" w:hanging="720"/>
    </w:pPr>
    <w:rPr>
      <w:lang w:val="en-US"/>
    </w:rPr>
  </w:style>
  <w:style w:type="paragraph" w:styleId="TDC3">
    <w:name w:val="toc 3"/>
    <w:basedOn w:val="Normal"/>
    <w:next w:val="Normal"/>
    <w:semiHidden/>
    <w:pPr>
      <w:tabs>
        <w:tab w:val="left" w:leader="dot" w:pos="9000"/>
        <w:tab w:val="right" w:pos="9360"/>
      </w:tabs>
      <w:suppressAutoHyphens/>
      <w:ind w:left="2160" w:right="720" w:hanging="720"/>
    </w:pPr>
    <w:rPr>
      <w:lang w:val="en-US"/>
    </w:rPr>
  </w:style>
  <w:style w:type="paragraph" w:styleId="TDC4">
    <w:name w:val="toc 4"/>
    <w:basedOn w:val="Normal"/>
    <w:next w:val="Normal"/>
    <w:semiHidden/>
    <w:pPr>
      <w:tabs>
        <w:tab w:val="left" w:leader="dot" w:pos="9000"/>
        <w:tab w:val="right" w:pos="9360"/>
      </w:tabs>
      <w:suppressAutoHyphens/>
      <w:ind w:left="2880" w:right="720" w:hanging="720"/>
    </w:pPr>
    <w:rPr>
      <w:lang w:val="en-US"/>
    </w:rPr>
  </w:style>
  <w:style w:type="paragraph" w:styleId="TDC5">
    <w:name w:val="toc 5"/>
    <w:basedOn w:val="Normal"/>
    <w:next w:val="Normal"/>
    <w:semiHidden/>
    <w:pPr>
      <w:tabs>
        <w:tab w:val="left" w:leader="dot" w:pos="9000"/>
        <w:tab w:val="right" w:pos="9360"/>
      </w:tabs>
      <w:suppressAutoHyphens/>
      <w:ind w:left="3600" w:right="720" w:hanging="720"/>
    </w:pPr>
    <w:rPr>
      <w:lang w:val="en-US"/>
    </w:rPr>
  </w:style>
  <w:style w:type="paragraph" w:styleId="TDC6">
    <w:name w:val="toc 6"/>
    <w:basedOn w:val="Normal"/>
    <w:next w:val="Normal"/>
    <w:semiHidden/>
    <w:pPr>
      <w:tabs>
        <w:tab w:val="left" w:pos="9000"/>
        <w:tab w:val="right" w:pos="9360"/>
      </w:tabs>
      <w:suppressAutoHyphens/>
      <w:ind w:left="720" w:hanging="720"/>
    </w:pPr>
    <w:rPr>
      <w:lang w:val="en-US"/>
    </w:rPr>
  </w:style>
  <w:style w:type="paragraph" w:styleId="TDC7">
    <w:name w:val="toc 7"/>
    <w:basedOn w:val="Normal"/>
    <w:next w:val="Normal"/>
    <w:semiHidden/>
    <w:pPr>
      <w:suppressAutoHyphens/>
      <w:ind w:left="720" w:hanging="720"/>
    </w:pPr>
    <w:rPr>
      <w:lang w:val="en-US"/>
    </w:rPr>
  </w:style>
  <w:style w:type="paragraph" w:styleId="TDC8">
    <w:name w:val="toc 8"/>
    <w:basedOn w:val="Normal"/>
    <w:next w:val="Normal"/>
    <w:semiHidden/>
    <w:pPr>
      <w:tabs>
        <w:tab w:val="left" w:pos="9000"/>
        <w:tab w:val="right" w:pos="9360"/>
      </w:tabs>
      <w:suppressAutoHyphens/>
      <w:ind w:left="720" w:hanging="720"/>
    </w:pPr>
    <w:rPr>
      <w:lang w:val="en-US"/>
    </w:rPr>
  </w:style>
  <w:style w:type="paragraph" w:styleId="TDC9">
    <w:name w:val="toc 9"/>
    <w:basedOn w:val="Normal"/>
    <w:next w:val="Normal"/>
    <w:semiHidden/>
    <w:pPr>
      <w:tabs>
        <w:tab w:val="left" w:leader="dot" w:pos="9000"/>
        <w:tab w:val="right" w:pos="9360"/>
      </w:tabs>
      <w:suppressAutoHyphens/>
      <w:ind w:left="720" w:hanging="720"/>
    </w:pPr>
    <w:rPr>
      <w:lang w:val="en-US"/>
    </w:rPr>
  </w:style>
  <w:style w:type="paragraph" w:customStyle="1" w:styleId="ndice1">
    <w:name w:val="índice 1"/>
    <w:basedOn w:val="Normal"/>
    <w:pPr>
      <w:tabs>
        <w:tab w:val="left" w:leader="dot" w:pos="9000"/>
        <w:tab w:val="right" w:pos="9360"/>
      </w:tabs>
      <w:suppressAutoHyphens/>
      <w:ind w:left="1440" w:right="720" w:hanging="1440"/>
    </w:pPr>
    <w:rPr>
      <w:lang w:val="en-US"/>
    </w:rPr>
  </w:style>
  <w:style w:type="paragraph" w:customStyle="1" w:styleId="ndice2">
    <w:name w:val="índice 2"/>
    <w:basedOn w:val="Normal"/>
    <w:pPr>
      <w:tabs>
        <w:tab w:val="left" w:leader="dot" w:pos="9000"/>
        <w:tab w:val="right" w:pos="9360"/>
      </w:tabs>
      <w:suppressAutoHyphens/>
      <w:ind w:left="1440" w:right="720" w:hanging="720"/>
    </w:pPr>
    <w:rPr>
      <w:lang w:val="en-US"/>
    </w:rPr>
  </w:style>
  <w:style w:type="paragraph" w:customStyle="1" w:styleId="toa">
    <w:name w:val="toa"/>
    <w:basedOn w:val="Normal"/>
    <w:pPr>
      <w:tabs>
        <w:tab w:val="left" w:pos="9000"/>
        <w:tab w:val="right" w:pos="9360"/>
      </w:tabs>
      <w:suppressAutoHyphens/>
    </w:pPr>
    <w:rPr>
      <w:lang w:val="en-US"/>
    </w:rPr>
  </w:style>
  <w:style w:type="paragraph" w:customStyle="1" w:styleId="epgrafe">
    <w:name w:val="epígrafe"/>
    <w:basedOn w:val="Normal"/>
  </w:style>
  <w:style w:type="character" w:customStyle="1" w:styleId="EquationCaption">
    <w:name w:val="_Equation Caption"/>
  </w:style>
  <w:style w:type="paragraph" w:styleId="ndice10">
    <w:name w:val="index 1"/>
    <w:basedOn w:val="Normal"/>
    <w:next w:val="Normal"/>
    <w:pPr>
      <w:tabs>
        <w:tab w:val="right" w:pos="4627"/>
      </w:tabs>
      <w:ind w:left="240" w:hanging="240"/>
    </w:pPr>
    <w:rPr>
      <w:rFonts w:ascii="Times New Roman" w:hAnsi="Times New Roman"/>
      <w:sz w:val="18"/>
    </w:rPr>
  </w:style>
  <w:style w:type="paragraph" w:styleId="ndice20">
    <w:name w:val="index 2"/>
    <w:basedOn w:val="Normal"/>
    <w:next w:val="Normal"/>
    <w:pPr>
      <w:tabs>
        <w:tab w:val="right" w:pos="4627"/>
      </w:tabs>
      <w:ind w:left="480" w:hanging="240"/>
    </w:pPr>
    <w:rPr>
      <w:rFonts w:ascii="Times New Roman" w:hAnsi="Times New Roman"/>
      <w:sz w:val="18"/>
    </w:rPr>
  </w:style>
  <w:style w:type="paragraph" w:styleId="ndice3">
    <w:name w:val="index 3"/>
    <w:basedOn w:val="Normal"/>
    <w:next w:val="Normal"/>
    <w:pPr>
      <w:tabs>
        <w:tab w:val="right" w:pos="4627"/>
      </w:tabs>
      <w:ind w:left="720" w:hanging="240"/>
    </w:pPr>
    <w:rPr>
      <w:rFonts w:ascii="Times New Roman" w:hAnsi="Times New Roman"/>
      <w:sz w:val="18"/>
    </w:rPr>
  </w:style>
  <w:style w:type="paragraph" w:styleId="ndice4">
    <w:name w:val="index 4"/>
    <w:basedOn w:val="Normal"/>
    <w:next w:val="Normal"/>
    <w:pPr>
      <w:tabs>
        <w:tab w:val="right" w:pos="4627"/>
      </w:tabs>
      <w:ind w:left="960" w:hanging="240"/>
    </w:pPr>
    <w:rPr>
      <w:rFonts w:ascii="Times New Roman" w:hAnsi="Times New Roman"/>
      <w:sz w:val="18"/>
    </w:rPr>
  </w:style>
  <w:style w:type="paragraph" w:styleId="ndice5">
    <w:name w:val="index 5"/>
    <w:basedOn w:val="Normal"/>
    <w:next w:val="Normal"/>
    <w:pPr>
      <w:tabs>
        <w:tab w:val="right" w:pos="4627"/>
      </w:tabs>
      <w:ind w:left="1200" w:hanging="240"/>
    </w:pPr>
    <w:rPr>
      <w:rFonts w:ascii="Times New Roman" w:hAnsi="Times New Roman"/>
      <w:sz w:val="18"/>
    </w:rPr>
  </w:style>
  <w:style w:type="paragraph" w:styleId="ndice6">
    <w:name w:val="index 6"/>
    <w:basedOn w:val="Normal"/>
    <w:next w:val="Normal"/>
    <w:pPr>
      <w:tabs>
        <w:tab w:val="right" w:pos="4627"/>
      </w:tabs>
      <w:ind w:left="1440" w:hanging="240"/>
    </w:pPr>
    <w:rPr>
      <w:rFonts w:ascii="Times New Roman" w:hAnsi="Times New Roman"/>
      <w:sz w:val="18"/>
    </w:rPr>
  </w:style>
  <w:style w:type="paragraph" w:styleId="ndice7">
    <w:name w:val="index 7"/>
    <w:basedOn w:val="Normal"/>
    <w:next w:val="Normal"/>
    <w:pPr>
      <w:tabs>
        <w:tab w:val="right" w:pos="4627"/>
      </w:tabs>
      <w:ind w:left="1680" w:hanging="240"/>
    </w:pPr>
    <w:rPr>
      <w:rFonts w:ascii="Times New Roman" w:hAnsi="Times New Roman"/>
      <w:sz w:val="18"/>
    </w:rPr>
  </w:style>
  <w:style w:type="paragraph" w:styleId="ndice8">
    <w:name w:val="index 8"/>
    <w:basedOn w:val="Normal"/>
    <w:next w:val="Normal"/>
    <w:pPr>
      <w:tabs>
        <w:tab w:val="right" w:pos="4627"/>
      </w:tabs>
      <w:ind w:left="1920" w:hanging="240"/>
    </w:pPr>
    <w:rPr>
      <w:rFonts w:ascii="Times New Roman" w:hAnsi="Times New Roman"/>
      <w:sz w:val="18"/>
    </w:rPr>
  </w:style>
  <w:style w:type="paragraph" w:styleId="ndice9">
    <w:name w:val="index 9"/>
    <w:basedOn w:val="Normal"/>
    <w:next w:val="Normal"/>
    <w:pPr>
      <w:tabs>
        <w:tab w:val="right" w:pos="4627"/>
      </w:tabs>
      <w:ind w:left="2160" w:hanging="240"/>
    </w:pPr>
    <w:rPr>
      <w:rFonts w:ascii="Times New Roman" w:hAnsi="Times New Roman"/>
      <w:sz w:val="18"/>
    </w:rPr>
  </w:style>
  <w:style w:type="paragraph" w:styleId="Ttulodendice">
    <w:name w:val="index heading"/>
    <w:basedOn w:val="Normal"/>
    <w:next w:val="ndice10"/>
    <w:pPr>
      <w:spacing w:before="240" w:after="120"/>
      <w:jc w:val="center"/>
    </w:pPr>
    <w:rPr>
      <w:rFonts w:ascii="Times New Roman" w:hAnsi="Times New Roman"/>
      <w:b/>
      <w:sz w:val="26"/>
    </w:r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Textoindependiente">
    <w:name w:val="Body Text"/>
    <w:basedOn w:val="Normal"/>
    <w:semiHidden/>
    <w:pPr>
      <w:tabs>
        <w:tab w:val="left" w:pos="-720"/>
      </w:tabs>
      <w:suppressAutoHyphens/>
      <w:jc w:val="both"/>
    </w:pPr>
    <w:rPr>
      <w:rFonts w:ascii="Arial" w:hAnsi="Arial"/>
      <w:spacing w:val="-3"/>
      <w:sz w:val="28"/>
    </w:rPr>
  </w:style>
  <w:style w:type="paragraph" w:styleId="Sangradetextonormal">
    <w:name w:val="Body Text Indent"/>
    <w:basedOn w:val="Normal"/>
    <w:semiHidden/>
    <w:pPr>
      <w:tabs>
        <w:tab w:val="left" w:pos="-720"/>
        <w:tab w:val="left" w:pos="5103"/>
      </w:tabs>
      <w:suppressAutoHyphens/>
      <w:ind w:left="5103" w:hanging="5103"/>
      <w:jc w:val="both"/>
    </w:pPr>
    <w:rPr>
      <w:rFonts w:ascii="Arial" w:hAnsi="Arial"/>
      <w:spacing w:val="-3"/>
      <w:sz w:val="28"/>
    </w:rPr>
  </w:style>
  <w:style w:type="paragraph" w:styleId="Puesto">
    <w:name w:val="Title"/>
    <w:basedOn w:val="Normal"/>
    <w:qFormat/>
    <w:pPr>
      <w:spacing w:before="240" w:after="60"/>
      <w:jc w:val="center"/>
    </w:pPr>
    <w:rPr>
      <w:rFonts w:ascii="Arial" w:hAnsi="Arial"/>
      <w:b/>
      <w:kern w:val="28"/>
      <w:sz w:val="32"/>
    </w:rPr>
  </w:style>
  <w:style w:type="paragraph" w:styleId="Textoindependiente2">
    <w:name w:val="Body Text 2"/>
    <w:basedOn w:val="Normal"/>
    <w:pPr>
      <w:tabs>
        <w:tab w:val="left" w:pos="-720"/>
      </w:tabs>
      <w:suppressAutoHyphens/>
      <w:ind w:right="851"/>
      <w:jc w:val="both"/>
    </w:pPr>
    <w:rPr>
      <w:rFonts w:ascii="Arial" w:hAnsi="Arial"/>
      <w:spacing w:val="-3"/>
      <w:sz w:val="28"/>
    </w:rPr>
  </w:style>
  <w:style w:type="paragraph" w:styleId="Textoindependiente3">
    <w:name w:val="Body Text 3"/>
    <w:basedOn w:val="Normal"/>
    <w:rPr>
      <w:rFonts w:ascii="Arial" w:hAnsi="Arial" w:cs="Arial"/>
      <w:sz w:val="28"/>
    </w:rPr>
  </w:style>
  <w:style w:type="paragraph" w:styleId="Textodebloque">
    <w:name w:val="Block Text"/>
    <w:basedOn w:val="Normal"/>
    <w:pPr>
      <w:ind w:left="851" w:right="851"/>
      <w:jc w:val="both"/>
    </w:pPr>
    <w:rPr>
      <w:rFonts w:ascii="Bookman Old Style" w:hAnsi="Bookman Old Style"/>
      <w:sz w:val="22"/>
    </w:rPr>
  </w:style>
  <w:style w:type="paragraph" w:customStyle="1" w:styleId="Documento1">
    <w:name w:val="Documento 1"/>
    <w:pPr>
      <w:keepNext/>
      <w:keepLines/>
      <w:tabs>
        <w:tab w:val="left" w:pos="-720"/>
      </w:tabs>
      <w:suppressAutoHyphens/>
    </w:pPr>
    <w:rPr>
      <w:rFonts w:ascii="Courier" w:hAnsi="Courier"/>
      <w:sz w:val="24"/>
      <w:lang w:val="en-US" w:eastAsia="es-ES"/>
    </w:rPr>
  </w:style>
  <w:style w:type="paragraph" w:styleId="Textocomentario">
    <w:name w:val="annotation text"/>
    <w:basedOn w:val="Normal"/>
    <w:link w:val="TextocomentarioCar"/>
    <w:rPr>
      <w:rFonts w:ascii="Arial" w:hAnsi="Arial"/>
      <w:sz w:val="20"/>
      <w:lang w:val="es-ES"/>
    </w:rPr>
  </w:style>
  <w:style w:type="character" w:styleId="Hipervnculo">
    <w:name w:val="Hyperlink"/>
    <w:rsid w:val="00DC3CBA"/>
    <w:rPr>
      <w:color w:val="0000FF"/>
      <w:u w:val="single"/>
    </w:rPr>
  </w:style>
  <w:style w:type="paragraph" w:customStyle="1" w:styleId="TITULOUNO">
    <w:name w:val="TITULO UNO"/>
    <w:basedOn w:val="Ttulo1"/>
    <w:rsid w:val="001268CE"/>
    <w:pPr>
      <w:numPr>
        <w:numId w:val="1"/>
      </w:numPr>
      <w:tabs>
        <w:tab w:val="clear" w:pos="-720"/>
        <w:tab w:val="clear" w:pos="4395"/>
      </w:tabs>
      <w:suppressAutoHyphens w:val="0"/>
      <w:jc w:val="both"/>
    </w:pPr>
    <w:rPr>
      <w:rFonts w:cs="Arial"/>
      <w:bCs/>
      <w:spacing w:val="0"/>
      <w:sz w:val="24"/>
      <w:szCs w:val="24"/>
      <w:lang w:val="es-ES"/>
    </w:rPr>
  </w:style>
  <w:style w:type="paragraph" w:customStyle="1" w:styleId="TITULODOS">
    <w:name w:val="TITULO DOS"/>
    <w:basedOn w:val="Ttulo1"/>
    <w:rsid w:val="001268CE"/>
    <w:pPr>
      <w:numPr>
        <w:ilvl w:val="1"/>
        <w:numId w:val="1"/>
      </w:numPr>
      <w:tabs>
        <w:tab w:val="clear" w:pos="-720"/>
        <w:tab w:val="clear" w:pos="4395"/>
        <w:tab w:val="left" w:pos="567"/>
      </w:tabs>
      <w:suppressAutoHyphens w:val="0"/>
      <w:jc w:val="both"/>
    </w:pPr>
    <w:rPr>
      <w:rFonts w:cs="Arial"/>
      <w:bCs/>
      <w:spacing w:val="0"/>
      <w:sz w:val="24"/>
      <w:szCs w:val="24"/>
      <w:lang w:val="es-ES"/>
    </w:rPr>
  </w:style>
  <w:style w:type="paragraph" w:customStyle="1" w:styleId="titulotres">
    <w:name w:val="titulo tres"/>
    <w:basedOn w:val="Ttulo1"/>
    <w:rsid w:val="001268CE"/>
    <w:pPr>
      <w:numPr>
        <w:ilvl w:val="2"/>
        <w:numId w:val="1"/>
      </w:numPr>
      <w:tabs>
        <w:tab w:val="clear" w:pos="-720"/>
        <w:tab w:val="clear" w:pos="4395"/>
      </w:tabs>
      <w:suppressAutoHyphens w:val="0"/>
      <w:jc w:val="both"/>
    </w:pPr>
    <w:rPr>
      <w:rFonts w:cs="Arial"/>
      <w:bCs/>
      <w:spacing w:val="0"/>
      <w:sz w:val="24"/>
      <w:szCs w:val="22"/>
      <w:lang w:val="es-ES"/>
    </w:rPr>
  </w:style>
  <w:style w:type="paragraph" w:customStyle="1" w:styleId="BodyText23">
    <w:name w:val="Body Text 23"/>
    <w:basedOn w:val="Normal"/>
    <w:rsid w:val="00845649"/>
    <w:pPr>
      <w:widowControl w:val="0"/>
      <w:jc w:val="both"/>
    </w:pPr>
    <w:rPr>
      <w:rFonts w:ascii="Arial" w:hAnsi="Arial"/>
      <w:b/>
      <w:kern w:val="16"/>
    </w:rPr>
  </w:style>
  <w:style w:type="paragraph" w:styleId="Lista">
    <w:name w:val="List"/>
    <w:basedOn w:val="Normal"/>
    <w:rsid w:val="00845649"/>
    <w:pPr>
      <w:ind w:left="283" w:hanging="283"/>
    </w:pPr>
    <w:rPr>
      <w:rFonts w:ascii="Times New Roman" w:hAnsi="Times New Roman"/>
      <w:lang w:val="es-CO"/>
    </w:rPr>
  </w:style>
  <w:style w:type="paragraph" w:customStyle="1" w:styleId="Car">
    <w:name w:val="Car"/>
    <w:basedOn w:val="Normal"/>
    <w:rsid w:val="0039037A"/>
    <w:pPr>
      <w:spacing w:after="160" w:line="240" w:lineRule="exact"/>
    </w:pPr>
    <w:rPr>
      <w:rFonts w:ascii="Tahoma" w:hAnsi="Tahoma"/>
      <w:sz w:val="20"/>
      <w:lang w:val="en-US" w:eastAsia="en-US"/>
    </w:rPr>
  </w:style>
  <w:style w:type="paragraph" w:styleId="NormalWeb">
    <w:name w:val="Normal (Web)"/>
    <w:basedOn w:val="Normal"/>
    <w:unhideWhenUsed/>
    <w:rsid w:val="008D420B"/>
    <w:pPr>
      <w:spacing w:before="100" w:beforeAutospacing="1" w:after="100" w:afterAutospacing="1"/>
    </w:pPr>
    <w:rPr>
      <w:rFonts w:ascii="Times New Roman" w:hAnsi="Times New Roman"/>
      <w:szCs w:val="24"/>
      <w:lang w:val="es-CO" w:eastAsia="es-CO"/>
    </w:rPr>
  </w:style>
  <w:style w:type="paragraph" w:styleId="Sinespaciado">
    <w:name w:val="No Spacing"/>
    <w:uiPriority w:val="1"/>
    <w:qFormat/>
    <w:rsid w:val="000B7FDF"/>
    <w:rPr>
      <w:rFonts w:ascii="Courier New" w:hAnsi="Courier New"/>
      <w:sz w:val="24"/>
      <w:lang w:val="es-ES_tradnl" w:eastAsia="es-ES"/>
    </w:rPr>
  </w:style>
  <w:style w:type="character" w:styleId="Textoennegrita">
    <w:name w:val="Strong"/>
    <w:uiPriority w:val="22"/>
    <w:qFormat/>
    <w:rsid w:val="00D412D1"/>
    <w:rPr>
      <w:b/>
      <w:bCs/>
    </w:rPr>
  </w:style>
  <w:style w:type="paragraph" w:customStyle="1" w:styleId="Default">
    <w:name w:val="Default"/>
    <w:rsid w:val="00BD41F8"/>
    <w:pPr>
      <w:autoSpaceDE w:val="0"/>
      <w:autoSpaceDN w:val="0"/>
      <w:adjustRightInd w:val="0"/>
    </w:pPr>
    <w:rPr>
      <w:rFonts w:ascii="Verdana" w:hAnsi="Verdana" w:cs="Verdana"/>
      <w:color w:val="000000"/>
      <w:sz w:val="24"/>
      <w:szCs w:val="24"/>
      <w:lang w:val="es-ES" w:eastAsia="es-ES"/>
    </w:rPr>
  </w:style>
  <w:style w:type="paragraph" w:styleId="Prrafodelista">
    <w:name w:val="List Paragraph"/>
    <w:aliases w:val="HOJA,Colorful List Accent 1,Colorful List - Accent 11,Guión,BOLA,Estilo 3,Titulo 8,ViÃ±eta 2,Pбrrafo de lista"/>
    <w:basedOn w:val="Normal"/>
    <w:link w:val="PrrafodelistaCar"/>
    <w:uiPriority w:val="34"/>
    <w:qFormat/>
    <w:rsid w:val="008D175E"/>
    <w:pPr>
      <w:ind w:left="708"/>
    </w:pPr>
  </w:style>
  <w:style w:type="paragraph" w:customStyle="1" w:styleId="Style1">
    <w:name w:val="Style 1"/>
    <w:rsid w:val="00704A66"/>
    <w:pPr>
      <w:widowControl w:val="0"/>
      <w:autoSpaceDE w:val="0"/>
      <w:autoSpaceDN w:val="0"/>
      <w:adjustRightInd w:val="0"/>
    </w:pPr>
    <w:rPr>
      <w:lang w:val="en-US" w:eastAsia="es-ES"/>
    </w:rPr>
  </w:style>
  <w:style w:type="paragraph" w:customStyle="1" w:styleId="Style2">
    <w:name w:val="Style 2"/>
    <w:rsid w:val="00704A66"/>
    <w:pPr>
      <w:widowControl w:val="0"/>
      <w:autoSpaceDE w:val="0"/>
      <w:autoSpaceDN w:val="0"/>
      <w:spacing w:before="144" w:line="316" w:lineRule="auto"/>
    </w:pPr>
    <w:rPr>
      <w:rFonts w:ascii="Bookman Old Style" w:hAnsi="Bookman Old Style" w:cs="Bookman Old Style"/>
      <w:sz w:val="22"/>
      <w:szCs w:val="22"/>
      <w:lang w:val="en-US" w:eastAsia="es-ES"/>
    </w:rPr>
  </w:style>
  <w:style w:type="paragraph" w:customStyle="1" w:styleId="Style3">
    <w:name w:val="Style 3"/>
    <w:rsid w:val="00704A66"/>
    <w:pPr>
      <w:widowControl w:val="0"/>
      <w:autoSpaceDE w:val="0"/>
      <w:autoSpaceDN w:val="0"/>
      <w:ind w:left="360"/>
    </w:pPr>
    <w:rPr>
      <w:sz w:val="26"/>
      <w:szCs w:val="26"/>
      <w:lang w:val="en-US" w:eastAsia="es-ES"/>
    </w:rPr>
  </w:style>
  <w:style w:type="character" w:customStyle="1" w:styleId="CharacterStyle1">
    <w:name w:val="Character Style 1"/>
    <w:rsid w:val="00704A66"/>
    <w:rPr>
      <w:rFonts w:ascii="Bookman Old Style" w:hAnsi="Bookman Old Style"/>
      <w:sz w:val="22"/>
    </w:rPr>
  </w:style>
  <w:style w:type="character" w:customStyle="1" w:styleId="CharacterStyle2">
    <w:name w:val="Character Style 2"/>
    <w:rsid w:val="00704A66"/>
    <w:rPr>
      <w:sz w:val="26"/>
    </w:rPr>
  </w:style>
  <w:style w:type="paragraph" w:customStyle="1" w:styleId="Style7">
    <w:name w:val="Style 7"/>
    <w:rsid w:val="001F5A43"/>
    <w:pPr>
      <w:widowControl w:val="0"/>
      <w:autoSpaceDE w:val="0"/>
      <w:autoSpaceDN w:val="0"/>
      <w:adjustRightInd w:val="0"/>
    </w:pPr>
    <w:rPr>
      <w:lang w:val="en-US" w:eastAsia="es-ES"/>
    </w:rPr>
  </w:style>
  <w:style w:type="paragraph" w:customStyle="1" w:styleId="Style8">
    <w:name w:val="Style 8"/>
    <w:rsid w:val="001F5A43"/>
    <w:pPr>
      <w:widowControl w:val="0"/>
      <w:autoSpaceDE w:val="0"/>
      <w:autoSpaceDN w:val="0"/>
      <w:ind w:left="936" w:hanging="504"/>
    </w:pPr>
    <w:rPr>
      <w:rFonts w:ascii="Arial" w:hAnsi="Arial" w:cs="Arial"/>
      <w:sz w:val="24"/>
      <w:szCs w:val="24"/>
      <w:lang w:val="en-US" w:eastAsia="es-ES"/>
    </w:rPr>
  </w:style>
  <w:style w:type="paragraph" w:customStyle="1" w:styleId="Style6">
    <w:name w:val="Style 6"/>
    <w:rsid w:val="00982906"/>
    <w:pPr>
      <w:widowControl w:val="0"/>
      <w:autoSpaceDE w:val="0"/>
      <w:autoSpaceDN w:val="0"/>
      <w:spacing w:line="204" w:lineRule="auto"/>
      <w:ind w:left="288"/>
    </w:pPr>
    <w:rPr>
      <w:rFonts w:ascii="Arial" w:hAnsi="Arial" w:cs="Arial"/>
      <w:sz w:val="24"/>
      <w:szCs w:val="24"/>
      <w:lang w:val="en-US" w:eastAsia="es-ES"/>
    </w:rPr>
  </w:style>
  <w:style w:type="character" w:customStyle="1" w:styleId="Ttulo6Car">
    <w:name w:val="Título 6 Car"/>
    <w:link w:val="Ttulo6"/>
    <w:rsid w:val="003A72EB"/>
    <w:rPr>
      <w:rFonts w:ascii="Arial" w:hAnsi="Arial"/>
      <w:spacing w:val="-3"/>
      <w:sz w:val="28"/>
      <w:lang w:val="es-ES_tradnl" w:eastAsia="es-ES"/>
    </w:rPr>
  </w:style>
  <w:style w:type="paragraph" w:styleId="Textodeglobo">
    <w:name w:val="Balloon Text"/>
    <w:basedOn w:val="Normal"/>
    <w:link w:val="TextodegloboCar"/>
    <w:unhideWhenUsed/>
    <w:rsid w:val="00FB5E81"/>
    <w:rPr>
      <w:rFonts w:ascii="Tahoma" w:hAnsi="Tahoma" w:cs="Tahoma"/>
      <w:sz w:val="16"/>
      <w:szCs w:val="16"/>
    </w:rPr>
  </w:style>
  <w:style w:type="character" w:customStyle="1" w:styleId="TextodegloboCar">
    <w:name w:val="Texto de globo Car"/>
    <w:link w:val="Textodeglobo"/>
    <w:rsid w:val="00FB5E81"/>
    <w:rPr>
      <w:rFonts w:ascii="Tahoma" w:hAnsi="Tahoma" w:cs="Tahoma"/>
      <w:sz w:val="16"/>
      <w:szCs w:val="16"/>
      <w:lang w:val="es-ES_tradnl" w:eastAsia="es-ES"/>
    </w:rPr>
  </w:style>
  <w:style w:type="character" w:customStyle="1" w:styleId="PrrafodelistaCar">
    <w:name w:val="Párrafo de lista Car"/>
    <w:aliases w:val="HOJA Car,Colorful List Accent 1 Car,Colorful List - Accent 11 Car,Guión Car,BOLA Car,Estilo 3 Car,Titulo 8 Car,ViÃ±eta 2 Car,Pбrrafo de lista Car"/>
    <w:link w:val="Prrafodelista"/>
    <w:uiPriority w:val="34"/>
    <w:rsid w:val="005013CC"/>
    <w:rPr>
      <w:rFonts w:ascii="Courier New" w:hAnsi="Courier New"/>
      <w:sz w:val="24"/>
      <w:lang w:val="es-ES_tradnl" w:eastAsia="es-ES"/>
    </w:rPr>
  </w:style>
  <w:style w:type="paragraph" w:customStyle="1" w:styleId="Estilo">
    <w:name w:val="Estilo"/>
    <w:rsid w:val="005013CC"/>
    <w:pPr>
      <w:widowControl w:val="0"/>
      <w:autoSpaceDE w:val="0"/>
      <w:autoSpaceDN w:val="0"/>
      <w:adjustRightInd w:val="0"/>
    </w:pPr>
    <w:rPr>
      <w:rFonts w:ascii="Arial" w:hAnsi="Arial" w:cs="Arial"/>
      <w:sz w:val="24"/>
      <w:szCs w:val="24"/>
      <w:lang w:val="es-ES" w:eastAsia="es-ES"/>
    </w:rPr>
  </w:style>
  <w:style w:type="character" w:customStyle="1" w:styleId="apple-converted-space">
    <w:name w:val="apple-converted-space"/>
    <w:rsid w:val="005013CC"/>
  </w:style>
  <w:style w:type="character" w:customStyle="1" w:styleId="spelle">
    <w:name w:val="spelle"/>
    <w:rsid w:val="000C5C5D"/>
  </w:style>
  <w:style w:type="paragraph" w:customStyle="1" w:styleId="Standard">
    <w:name w:val="Standard"/>
    <w:rsid w:val="007C547A"/>
    <w:pPr>
      <w:suppressAutoHyphens/>
      <w:autoSpaceDN w:val="0"/>
      <w:textAlignment w:val="baseline"/>
    </w:pPr>
    <w:rPr>
      <w:rFonts w:ascii="Courier New" w:hAnsi="Courier New" w:cs="Courier New"/>
      <w:kern w:val="3"/>
      <w:sz w:val="24"/>
      <w:lang w:val="es-ES" w:eastAsia="zh-CN"/>
    </w:rPr>
  </w:style>
  <w:style w:type="paragraph" w:customStyle="1" w:styleId="Heading">
    <w:name w:val="Heading"/>
    <w:basedOn w:val="Standard"/>
    <w:next w:val="Textbody"/>
    <w:rsid w:val="007C547A"/>
    <w:pPr>
      <w:spacing w:before="240" w:after="60"/>
      <w:jc w:val="center"/>
    </w:pPr>
    <w:rPr>
      <w:rFonts w:ascii="Arial" w:hAnsi="Arial" w:cs="Arial"/>
      <w:b/>
      <w:sz w:val="32"/>
    </w:rPr>
  </w:style>
  <w:style w:type="paragraph" w:customStyle="1" w:styleId="Textbody">
    <w:name w:val="Text body"/>
    <w:basedOn w:val="Standard"/>
    <w:rsid w:val="007C547A"/>
    <w:pPr>
      <w:tabs>
        <w:tab w:val="left" w:pos="-720"/>
      </w:tabs>
      <w:jc w:val="both"/>
    </w:pPr>
    <w:rPr>
      <w:rFonts w:ascii="Arial" w:hAnsi="Arial" w:cs="Arial"/>
      <w:spacing w:val="-3"/>
      <w:sz w:val="28"/>
    </w:rPr>
  </w:style>
  <w:style w:type="paragraph" w:styleId="Descripcin">
    <w:name w:val="caption"/>
    <w:basedOn w:val="Standard"/>
    <w:rsid w:val="007C547A"/>
    <w:pPr>
      <w:suppressLineNumbers/>
      <w:spacing w:before="120" w:after="120"/>
    </w:pPr>
    <w:rPr>
      <w:rFonts w:cs="Lohit Devanagari"/>
      <w:i/>
      <w:iCs/>
      <w:szCs w:val="24"/>
    </w:rPr>
  </w:style>
  <w:style w:type="paragraph" w:customStyle="1" w:styleId="Index">
    <w:name w:val="Index"/>
    <w:basedOn w:val="Standard"/>
    <w:rsid w:val="007C547A"/>
    <w:pPr>
      <w:suppressLineNumbers/>
    </w:pPr>
    <w:rPr>
      <w:rFonts w:cs="Lohit Devanagari"/>
    </w:rPr>
  </w:style>
  <w:style w:type="paragraph" w:customStyle="1" w:styleId="Contents1">
    <w:name w:val="Contents 1"/>
    <w:basedOn w:val="Standard"/>
    <w:next w:val="Standard"/>
    <w:rsid w:val="007C547A"/>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rsid w:val="007C547A"/>
    <w:pPr>
      <w:tabs>
        <w:tab w:val="left" w:leader="dot" w:pos="10440"/>
        <w:tab w:val="right" w:pos="10800"/>
      </w:tabs>
      <w:ind w:left="1440" w:right="720" w:hanging="720"/>
    </w:pPr>
    <w:rPr>
      <w:lang w:val="en-US"/>
    </w:rPr>
  </w:style>
  <w:style w:type="paragraph" w:customStyle="1" w:styleId="Contents3">
    <w:name w:val="Contents 3"/>
    <w:basedOn w:val="Standard"/>
    <w:next w:val="Standard"/>
    <w:rsid w:val="007C547A"/>
    <w:pPr>
      <w:tabs>
        <w:tab w:val="left" w:leader="dot" w:pos="11160"/>
        <w:tab w:val="right" w:pos="11520"/>
      </w:tabs>
      <w:ind w:left="2160" w:right="720" w:hanging="720"/>
    </w:pPr>
    <w:rPr>
      <w:lang w:val="en-US"/>
    </w:rPr>
  </w:style>
  <w:style w:type="paragraph" w:customStyle="1" w:styleId="Contents4">
    <w:name w:val="Contents 4"/>
    <w:basedOn w:val="Standard"/>
    <w:next w:val="Standard"/>
    <w:rsid w:val="007C547A"/>
    <w:pPr>
      <w:tabs>
        <w:tab w:val="left" w:leader="dot" w:pos="11880"/>
        <w:tab w:val="right" w:pos="12240"/>
      </w:tabs>
      <w:ind w:left="2880" w:right="720" w:hanging="720"/>
    </w:pPr>
    <w:rPr>
      <w:lang w:val="en-US"/>
    </w:rPr>
  </w:style>
  <w:style w:type="paragraph" w:customStyle="1" w:styleId="Contents5">
    <w:name w:val="Contents 5"/>
    <w:basedOn w:val="Standard"/>
    <w:next w:val="Standard"/>
    <w:rsid w:val="007C547A"/>
    <w:pPr>
      <w:tabs>
        <w:tab w:val="left" w:leader="dot" w:pos="12600"/>
        <w:tab w:val="right" w:pos="12960"/>
      </w:tabs>
      <w:ind w:left="3600" w:right="720" w:hanging="720"/>
    </w:pPr>
    <w:rPr>
      <w:lang w:val="en-US"/>
    </w:rPr>
  </w:style>
  <w:style w:type="paragraph" w:customStyle="1" w:styleId="Contents6">
    <w:name w:val="Contents 6"/>
    <w:basedOn w:val="Standard"/>
    <w:next w:val="Standard"/>
    <w:rsid w:val="007C547A"/>
    <w:pPr>
      <w:tabs>
        <w:tab w:val="left" w:pos="9720"/>
        <w:tab w:val="right" w:pos="10080"/>
      </w:tabs>
      <w:ind w:left="720" w:hanging="720"/>
    </w:pPr>
    <w:rPr>
      <w:lang w:val="en-US"/>
    </w:rPr>
  </w:style>
  <w:style w:type="paragraph" w:customStyle="1" w:styleId="Contents7">
    <w:name w:val="Contents 7"/>
    <w:basedOn w:val="Standard"/>
    <w:next w:val="Standard"/>
    <w:rsid w:val="007C547A"/>
    <w:pPr>
      <w:ind w:left="720" w:hanging="720"/>
    </w:pPr>
    <w:rPr>
      <w:lang w:val="en-US"/>
    </w:rPr>
  </w:style>
  <w:style w:type="paragraph" w:customStyle="1" w:styleId="Contents8">
    <w:name w:val="Contents 8"/>
    <w:basedOn w:val="Standard"/>
    <w:next w:val="Standard"/>
    <w:rsid w:val="007C547A"/>
    <w:pPr>
      <w:tabs>
        <w:tab w:val="left" w:pos="9720"/>
        <w:tab w:val="right" w:pos="10080"/>
      </w:tabs>
      <w:ind w:left="720" w:hanging="720"/>
    </w:pPr>
    <w:rPr>
      <w:lang w:val="en-US"/>
    </w:rPr>
  </w:style>
  <w:style w:type="paragraph" w:customStyle="1" w:styleId="Contents9">
    <w:name w:val="Contents 9"/>
    <w:basedOn w:val="Standard"/>
    <w:next w:val="Standard"/>
    <w:rsid w:val="007C547A"/>
    <w:pPr>
      <w:tabs>
        <w:tab w:val="left" w:leader="dot" w:pos="9720"/>
        <w:tab w:val="right" w:pos="10080"/>
      </w:tabs>
      <w:ind w:left="720" w:hanging="720"/>
    </w:pPr>
    <w:rPr>
      <w:lang w:val="en-US"/>
    </w:rPr>
  </w:style>
  <w:style w:type="paragraph" w:customStyle="1" w:styleId="Textbodyindent">
    <w:name w:val="Text body indent"/>
    <w:basedOn w:val="Standard"/>
    <w:rsid w:val="007C547A"/>
    <w:pPr>
      <w:tabs>
        <w:tab w:val="left" w:pos="4383"/>
        <w:tab w:val="left" w:pos="10206"/>
      </w:tabs>
      <w:ind w:left="5103" w:hanging="5103"/>
      <w:jc w:val="both"/>
    </w:pPr>
    <w:rPr>
      <w:rFonts w:ascii="Arial" w:hAnsi="Arial" w:cs="Arial"/>
      <w:spacing w:val="-3"/>
      <w:sz w:val="28"/>
    </w:rPr>
  </w:style>
  <w:style w:type="paragraph" w:customStyle="1" w:styleId="Car0">
    <w:name w:val="Car"/>
    <w:basedOn w:val="Standard"/>
    <w:rsid w:val="007C547A"/>
    <w:pPr>
      <w:spacing w:after="160" w:line="240" w:lineRule="exact"/>
    </w:pPr>
    <w:rPr>
      <w:rFonts w:ascii="Tahoma" w:hAnsi="Tahoma" w:cs="Tahoma"/>
      <w:sz w:val="20"/>
      <w:lang w:val="en-US"/>
    </w:rPr>
  </w:style>
  <w:style w:type="paragraph" w:customStyle="1" w:styleId="WW-Default">
    <w:name w:val="WW-Default"/>
    <w:rsid w:val="007C547A"/>
    <w:pPr>
      <w:suppressAutoHyphens/>
      <w:autoSpaceDE w:val="0"/>
      <w:autoSpaceDN w:val="0"/>
      <w:textAlignment w:val="baseline"/>
    </w:pPr>
    <w:rPr>
      <w:rFonts w:ascii="Verdana" w:hAnsi="Verdana" w:cs="Verdana"/>
      <w:color w:val="000000"/>
      <w:kern w:val="3"/>
      <w:sz w:val="24"/>
      <w:szCs w:val="24"/>
      <w:lang w:val="es-ES" w:eastAsia="zh-CN"/>
    </w:rPr>
  </w:style>
  <w:style w:type="character" w:customStyle="1" w:styleId="WW8Num1z0">
    <w:name w:val="WW8Num1z0"/>
    <w:rsid w:val="007C547A"/>
    <w:rPr>
      <w:rFonts w:ascii="Arial" w:hAnsi="Arial" w:cs="Arial"/>
      <w:spacing w:val="6"/>
      <w:sz w:val="22"/>
      <w:szCs w:val="22"/>
    </w:rPr>
  </w:style>
  <w:style w:type="character" w:customStyle="1" w:styleId="WW8Num2z0">
    <w:name w:val="WW8Num2z0"/>
    <w:rsid w:val="007C547A"/>
    <w:rPr>
      <w:rFonts w:ascii="Arial" w:hAnsi="Arial" w:cs="Arial"/>
      <w:sz w:val="24"/>
      <w:szCs w:val="24"/>
    </w:rPr>
  </w:style>
  <w:style w:type="character" w:customStyle="1" w:styleId="WW8Num5z0">
    <w:name w:val="WW8Num5z0"/>
    <w:rsid w:val="007C547A"/>
    <w:rPr>
      <w:b w:val="0"/>
    </w:rPr>
  </w:style>
  <w:style w:type="character" w:customStyle="1" w:styleId="WW8Num8z0">
    <w:name w:val="WW8Num8z0"/>
    <w:rsid w:val="007C547A"/>
    <w:rPr>
      <w:rFonts w:ascii="Arial" w:hAnsi="Arial" w:cs="Arial"/>
      <w:b w:val="0"/>
      <w:i w:val="0"/>
      <w:sz w:val="22"/>
    </w:rPr>
  </w:style>
  <w:style w:type="character" w:customStyle="1" w:styleId="WW8Num9z0">
    <w:name w:val="WW8Num9z0"/>
    <w:rsid w:val="007C547A"/>
    <w:rPr>
      <w:rFonts w:ascii="Symbol" w:hAnsi="Symbol" w:cs="Symbol"/>
    </w:rPr>
  </w:style>
  <w:style w:type="character" w:customStyle="1" w:styleId="WW8Num9z1">
    <w:name w:val="WW8Num9z1"/>
    <w:rsid w:val="007C547A"/>
    <w:rPr>
      <w:rFonts w:ascii="Courier New" w:hAnsi="Courier New" w:cs="Courier New"/>
    </w:rPr>
  </w:style>
  <w:style w:type="character" w:customStyle="1" w:styleId="WW8Num9z2">
    <w:name w:val="WW8Num9z2"/>
    <w:rsid w:val="007C547A"/>
    <w:rPr>
      <w:rFonts w:ascii="Wingdings" w:hAnsi="Wingdings" w:cs="Wingdings"/>
    </w:rPr>
  </w:style>
  <w:style w:type="character" w:customStyle="1" w:styleId="WW8Num14z0">
    <w:name w:val="WW8Num14z0"/>
    <w:rsid w:val="007C547A"/>
    <w:rPr>
      <w:b w:val="0"/>
    </w:rPr>
  </w:style>
  <w:style w:type="character" w:customStyle="1" w:styleId="Internetlink">
    <w:name w:val="Internet link"/>
    <w:rsid w:val="007C547A"/>
    <w:rPr>
      <w:color w:val="0000FF"/>
      <w:u w:val="single"/>
    </w:rPr>
  </w:style>
  <w:style w:type="character" w:customStyle="1" w:styleId="StrongEmphasis">
    <w:name w:val="Strong Emphasis"/>
    <w:rsid w:val="007C547A"/>
    <w:rPr>
      <w:b/>
      <w:bCs/>
    </w:rPr>
  </w:style>
  <w:style w:type="character" w:customStyle="1" w:styleId="EncabezadoCar">
    <w:name w:val="Encabezado Car"/>
    <w:rsid w:val="007C547A"/>
    <w:rPr>
      <w:rFonts w:cs="Mangal"/>
      <w:szCs w:val="21"/>
    </w:rPr>
  </w:style>
  <w:style w:type="character" w:customStyle="1" w:styleId="PiedepginaCar">
    <w:name w:val="Pie de página Car"/>
    <w:rsid w:val="007C547A"/>
    <w:rPr>
      <w:rFonts w:cs="Mangal"/>
      <w:szCs w:val="21"/>
    </w:rPr>
  </w:style>
  <w:style w:type="character" w:styleId="Refdecomentario">
    <w:name w:val="annotation reference"/>
    <w:rsid w:val="007C547A"/>
    <w:rPr>
      <w:sz w:val="16"/>
      <w:szCs w:val="16"/>
    </w:rPr>
  </w:style>
  <w:style w:type="paragraph" w:styleId="Asuntodelcomentario">
    <w:name w:val="annotation subject"/>
    <w:basedOn w:val="Textocomentario"/>
    <w:next w:val="Textocomentario"/>
    <w:link w:val="AsuntodelcomentarioCar"/>
    <w:rsid w:val="007C547A"/>
    <w:pPr>
      <w:widowControl w:val="0"/>
      <w:suppressAutoHyphens/>
      <w:autoSpaceDN w:val="0"/>
      <w:textAlignment w:val="baseline"/>
    </w:pPr>
    <w:rPr>
      <w:rFonts w:ascii="Liberation Serif" w:eastAsia="DejaVu Sans" w:hAnsi="Liberation Serif" w:cs="Mangal"/>
      <w:b/>
      <w:bCs/>
      <w:kern w:val="3"/>
      <w:szCs w:val="18"/>
      <w:lang w:eastAsia="zh-CN" w:bidi="hi-IN"/>
    </w:rPr>
  </w:style>
  <w:style w:type="character" w:customStyle="1" w:styleId="TextocomentarioCar">
    <w:name w:val="Texto comentario Car"/>
    <w:link w:val="Textocomentario"/>
    <w:rsid w:val="007C547A"/>
    <w:rPr>
      <w:rFonts w:ascii="Arial" w:hAnsi="Arial"/>
      <w:lang w:val="es-ES" w:eastAsia="es-ES"/>
    </w:rPr>
  </w:style>
  <w:style w:type="character" w:customStyle="1" w:styleId="AsuntodelcomentarioCar">
    <w:name w:val="Asunto del comentario Car"/>
    <w:link w:val="Asuntodelcomentario"/>
    <w:rsid w:val="007C547A"/>
    <w:rPr>
      <w:rFonts w:ascii="Liberation Serif" w:eastAsia="DejaVu Sans" w:hAnsi="Liberation Serif" w:cs="Mangal"/>
      <w:b/>
      <w:bCs/>
      <w:kern w:val="3"/>
      <w:szCs w:val="18"/>
      <w:lang w:val="es-ES" w:eastAsia="zh-CN" w:bidi="hi-IN"/>
    </w:rPr>
  </w:style>
  <w:style w:type="character" w:customStyle="1" w:styleId="StandardCar">
    <w:name w:val="Standard Car"/>
    <w:rsid w:val="007C547A"/>
    <w:rPr>
      <w:rFonts w:ascii="Courier New" w:eastAsia="Times New Roman" w:hAnsi="Courier New" w:cs="Courier New"/>
      <w:szCs w:val="20"/>
      <w:lang w:bidi="ar-SA"/>
    </w:rPr>
  </w:style>
  <w:style w:type="numbering" w:customStyle="1" w:styleId="WW8Num1">
    <w:name w:val="WW8Num1"/>
    <w:basedOn w:val="Sinlista"/>
    <w:rsid w:val="007C547A"/>
    <w:pPr>
      <w:numPr>
        <w:numId w:val="2"/>
      </w:numPr>
    </w:pPr>
  </w:style>
  <w:style w:type="numbering" w:customStyle="1" w:styleId="WW8Num2">
    <w:name w:val="WW8Num2"/>
    <w:basedOn w:val="Sinlista"/>
    <w:rsid w:val="007C547A"/>
    <w:pPr>
      <w:numPr>
        <w:numId w:val="3"/>
      </w:numPr>
    </w:pPr>
  </w:style>
  <w:style w:type="numbering" w:customStyle="1" w:styleId="WW8Num3">
    <w:name w:val="WW8Num3"/>
    <w:basedOn w:val="Sinlista"/>
    <w:rsid w:val="007C547A"/>
    <w:pPr>
      <w:numPr>
        <w:numId w:val="4"/>
      </w:numPr>
    </w:pPr>
  </w:style>
  <w:style w:type="numbering" w:customStyle="1" w:styleId="WW8Num4">
    <w:name w:val="WW8Num4"/>
    <w:basedOn w:val="Sinlista"/>
    <w:rsid w:val="007C547A"/>
    <w:pPr>
      <w:numPr>
        <w:numId w:val="5"/>
      </w:numPr>
    </w:pPr>
  </w:style>
  <w:style w:type="numbering" w:customStyle="1" w:styleId="WW8Num5">
    <w:name w:val="WW8Num5"/>
    <w:basedOn w:val="Sinlista"/>
    <w:rsid w:val="007C547A"/>
    <w:pPr>
      <w:numPr>
        <w:numId w:val="6"/>
      </w:numPr>
    </w:pPr>
  </w:style>
  <w:style w:type="numbering" w:customStyle="1" w:styleId="WW8Num6">
    <w:name w:val="WW8Num6"/>
    <w:basedOn w:val="Sinlista"/>
    <w:rsid w:val="007C547A"/>
    <w:pPr>
      <w:numPr>
        <w:numId w:val="7"/>
      </w:numPr>
    </w:pPr>
  </w:style>
  <w:style w:type="numbering" w:customStyle="1" w:styleId="WW8Num7">
    <w:name w:val="WW8Num7"/>
    <w:basedOn w:val="Sinlista"/>
    <w:rsid w:val="007C547A"/>
    <w:pPr>
      <w:numPr>
        <w:numId w:val="8"/>
      </w:numPr>
    </w:pPr>
  </w:style>
  <w:style w:type="numbering" w:customStyle="1" w:styleId="WW8Num8">
    <w:name w:val="WW8Num8"/>
    <w:basedOn w:val="Sinlista"/>
    <w:rsid w:val="007C547A"/>
    <w:pPr>
      <w:numPr>
        <w:numId w:val="9"/>
      </w:numPr>
    </w:pPr>
  </w:style>
  <w:style w:type="numbering" w:customStyle="1" w:styleId="WW8Num9">
    <w:name w:val="WW8Num9"/>
    <w:basedOn w:val="Sinlista"/>
    <w:rsid w:val="007C547A"/>
    <w:pPr>
      <w:numPr>
        <w:numId w:val="10"/>
      </w:numPr>
    </w:pPr>
  </w:style>
  <w:style w:type="numbering" w:customStyle="1" w:styleId="WW8Num10">
    <w:name w:val="WW8Num10"/>
    <w:basedOn w:val="Sinlista"/>
    <w:rsid w:val="007C547A"/>
    <w:pPr>
      <w:numPr>
        <w:numId w:val="11"/>
      </w:numPr>
    </w:pPr>
  </w:style>
  <w:style w:type="numbering" w:customStyle="1" w:styleId="WW8Num11">
    <w:name w:val="WW8Num11"/>
    <w:basedOn w:val="Sinlista"/>
    <w:rsid w:val="007C547A"/>
    <w:pPr>
      <w:numPr>
        <w:numId w:val="12"/>
      </w:numPr>
    </w:pPr>
  </w:style>
  <w:style w:type="numbering" w:customStyle="1" w:styleId="WW8Num12">
    <w:name w:val="WW8Num12"/>
    <w:basedOn w:val="Sinlista"/>
    <w:rsid w:val="007C547A"/>
    <w:pPr>
      <w:numPr>
        <w:numId w:val="13"/>
      </w:numPr>
    </w:pPr>
  </w:style>
  <w:style w:type="numbering" w:customStyle="1" w:styleId="WW8Num13">
    <w:name w:val="WW8Num13"/>
    <w:basedOn w:val="Sinlista"/>
    <w:rsid w:val="007C547A"/>
    <w:pPr>
      <w:numPr>
        <w:numId w:val="14"/>
      </w:numPr>
    </w:pPr>
  </w:style>
  <w:style w:type="numbering" w:customStyle="1" w:styleId="WW8Num14">
    <w:name w:val="WW8Num14"/>
    <w:basedOn w:val="Sinlista"/>
    <w:rsid w:val="007C547A"/>
    <w:pPr>
      <w:numPr>
        <w:numId w:val="15"/>
      </w:numPr>
    </w:pPr>
  </w:style>
  <w:style w:type="numbering" w:customStyle="1" w:styleId="WW8Num15">
    <w:name w:val="WW8Num15"/>
    <w:basedOn w:val="Sinlista"/>
    <w:rsid w:val="007C547A"/>
    <w:pPr>
      <w:numPr>
        <w:numId w:val="16"/>
      </w:numPr>
    </w:pPr>
  </w:style>
  <w:style w:type="numbering" w:customStyle="1" w:styleId="WW8Num16">
    <w:name w:val="WW8Num16"/>
    <w:basedOn w:val="Sinlista"/>
    <w:rsid w:val="007C547A"/>
    <w:pPr>
      <w:numPr>
        <w:numId w:val="17"/>
      </w:numPr>
    </w:pPr>
  </w:style>
  <w:style w:type="numbering" w:customStyle="1" w:styleId="WW8Num17">
    <w:name w:val="WW8Num17"/>
    <w:basedOn w:val="Sinlista"/>
    <w:rsid w:val="007C547A"/>
    <w:pPr>
      <w:numPr>
        <w:numId w:val="18"/>
      </w:numPr>
    </w:pPr>
  </w:style>
  <w:style w:type="numbering" w:customStyle="1" w:styleId="WW8Num18">
    <w:name w:val="WW8Num18"/>
    <w:basedOn w:val="Sinlista"/>
    <w:rsid w:val="007C547A"/>
    <w:pPr>
      <w:numPr>
        <w:numId w:val="19"/>
      </w:numPr>
    </w:pPr>
  </w:style>
  <w:style w:type="numbering" w:customStyle="1" w:styleId="WW8Num19">
    <w:name w:val="WW8Num19"/>
    <w:basedOn w:val="Sinlista"/>
    <w:rsid w:val="007C547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0911">
      <w:bodyDiv w:val="1"/>
      <w:marLeft w:val="0"/>
      <w:marRight w:val="0"/>
      <w:marTop w:val="0"/>
      <w:marBottom w:val="0"/>
      <w:divBdr>
        <w:top w:val="none" w:sz="0" w:space="0" w:color="auto"/>
        <w:left w:val="none" w:sz="0" w:space="0" w:color="auto"/>
        <w:bottom w:val="none" w:sz="0" w:space="0" w:color="auto"/>
        <w:right w:val="none" w:sz="0" w:space="0" w:color="auto"/>
      </w:divBdr>
    </w:div>
    <w:div w:id="154687108">
      <w:bodyDiv w:val="1"/>
      <w:marLeft w:val="0"/>
      <w:marRight w:val="0"/>
      <w:marTop w:val="0"/>
      <w:marBottom w:val="0"/>
      <w:divBdr>
        <w:top w:val="none" w:sz="0" w:space="0" w:color="auto"/>
        <w:left w:val="none" w:sz="0" w:space="0" w:color="auto"/>
        <w:bottom w:val="none" w:sz="0" w:space="0" w:color="auto"/>
        <w:right w:val="none" w:sz="0" w:space="0" w:color="auto"/>
      </w:divBdr>
      <w:divsChild>
        <w:div w:id="582028669">
          <w:marLeft w:val="0"/>
          <w:marRight w:val="0"/>
          <w:marTop w:val="0"/>
          <w:marBottom w:val="0"/>
          <w:divBdr>
            <w:top w:val="none" w:sz="0" w:space="0" w:color="auto"/>
            <w:left w:val="none" w:sz="0" w:space="0" w:color="auto"/>
            <w:bottom w:val="none" w:sz="0" w:space="0" w:color="auto"/>
            <w:right w:val="none" w:sz="0" w:space="0" w:color="auto"/>
          </w:divBdr>
          <w:divsChild>
            <w:div w:id="76003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8028">
      <w:bodyDiv w:val="1"/>
      <w:marLeft w:val="0"/>
      <w:marRight w:val="0"/>
      <w:marTop w:val="0"/>
      <w:marBottom w:val="0"/>
      <w:divBdr>
        <w:top w:val="none" w:sz="0" w:space="0" w:color="auto"/>
        <w:left w:val="none" w:sz="0" w:space="0" w:color="auto"/>
        <w:bottom w:val="none" w:sz="0" w:space="0" w:color="auto"/>
        <w:right w:val="none" w:sz="0" w:space="0" w:color="auto"/>
      </w:divBdr>
      <w:divsChild>
        <w:div w:id="1772969320">
          <w:marLeft w:val="0"/>
          <w:marRight w:val="0"/>
          <w:marTop w:val="0"/>
          <w:marBottom w:val="0"/>
          <w:divBdr>
            <w:top w:val="none" w:sz="0" w:space="0" w:color="auto"/>
            <w:left w:val="none" w:sz="0" w:space="0" w:color="auto"/>
            <w:bottom w:val="none" w:sz="0" w:space="0" w:color="auto"/>
            <w:right w:val="none" w:sz="0" w:space="0" w:color="auto"/>
          </w:divBdr>
          <w:divsChild>
            <w:div w:id="12586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232">
      <w:bodyDiv w:val="1"/>
      <w:marLeft w:val="0"/>
      <w:marRight w:val="0"/>
      <w:marTop w:val="0"/>
      <w:marBottom w:val="0"/>
      <w:divBdr>
        <w:top w:val="none" w:sz="0" w:space="0" w:color="auto"/>
        <w:left w:val="none" w:sz="0" w:space="0" w:color="auto"/>
        <w:bottom w:val="none" w:sz="0" w:space="0" w:color="auto"/>
        <w:right w:val="none" w:sz="0" w:space="0" w:color="auto"/>
      </w:divBdr>
      <w:divsChild>
        <w:div w:id="2071802864">
          <w:marLeft w:val="0"/>
          <w:marRight w:val="0"/>
          <w:marTop w:val="0"/>
          <w:marBottom w:val="0"/>
          <w:divBdr>
            <w:top w:val="none" w:sz="0" w:space="0" w:color="auto"/>
            <w:left w:val="none" w:sz="0" w:space="0" w:color="auto"/>
            <w:bottom w:val="none" w:sz="0" w:space="0" w:color="auto"/>
            <w:right w:val="none" w:sz="0" w:space="0" w:color="auto"/>
          </w:divBdr>
          <w:divsChild>
            <w:div w:id="10230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20835">
      <w:bodyDiv w:val="1"/>
      <w:marLeft w:val="0"/>
      <w:marRight w:val="0"/>
      <w:marTop w:val="0"/>
      <w:marBottom w:val="0"/>
      <w:divBdr>
        <w:top w:val="none" w:sz="0" w:space="0" w:color="auto"/>
        <w:left w:val="none" w:sz="0" w:space="0" w:color="auto"/>
        <w:bottom w:val="none" w:sz="0" w:space="0" w:color="auto"/>
        <w:right w:val="none" w:sz="0" w:space="0" w:color="auto"/>
      </w:divBdr>
    </w:div>
    <w:div w:id="424889689">
      <w:bodyDiv w:val="1"/>
      <w:marLeft w:val="0"/>
      <w:marRight w:val="0"/>
      <w:marTop w:val="0"/>
      <w:marBottom w:val="0"/>
      <w:divBdr>
        <w:top w:val="none" w:sz="0" w:space="0" w:color="auto"/>
        <w:left w:val="none" w:sz="0" w:space="0" w:color="auto"/>
        <w:bottom w:val="none" w:sz="0" w:space="0" w:color="auto"/>
        <w:right w:val="none" w:sz="0" w:space="0" w:color="auto"/>
      </w:divBdr>
    </w:div>
    <w:div w:id="456949199">
      <w:bodyDiv w:val="1"/>
      <w:marLeft w:val="0"/>
      <w:marRight w:val="0"/>
      <w:marTop w:val="0"/>
      <w:marBottom w:val="0"/>
      <w:divBdr>
        <w:top w:val="none" w:sz="0" w:space="0" w:color="auto"/>
        <w:left w:val="none" w:sz="0" w:space="0" w:color="auto"/>
        <w:bottom w:val="none" w:sz="0" w:space="0" w:color="auto"/>
        <w:right w:val="none" w:sz="0" w:space="0" w:color="auto"/>
      </w:divBdr>
      <w:divsChild>
        <w:div w:id="1382484062">
          <w:marLeft w:val="0"/>
          <w:marRight w:val="0"/>
          <w:marTop w:val="0"/>
          <w:marBottom w:val="0"/>
          <w:divBdr>
            <w:top w:val="none" w:sz="0" w:space="0" w:color="auto"/>
            <w:left w:val="none" w:sz="0" w:space="0" w:color="auto"/>
            <w:bottom w:val="none" w:sz="0" w:space="0" w:color="auto"/>
            <w:right w:val="none" w:sz="0" w:space="0" w:color="auto"/>
          </w:divBdr>
          <w:divsChild>
            <w:div w:id="22815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23361">
      <w:bodyDiv w:val="1"/>
      <w:marLeft w:val="0"/>
      <w:marRight w:val="0"/>
      <w:marTop w:val="0"/>
      <w:marBottom w:val="0"/>
      <w:divBdr>
        <w:top w:val="none" w:sz="0" w:space="0" w:color="auto"/>
        <w:left w:val="none" w:sz="0" w:space="0" w:color="auto"/>
        <w:bottom w:val="none" w:sz="0" w:space="0" w:color="auto"/>
        <w:right w:val="none" w:sz="0" w:space="0" w:color="auto"/>
      </w:divBdr>
      <w:divsChild>
        <w:div w:id="566303490">
          <w:marLeft w:val="0"/>
          <w:marRight w:val="0"/>
          <w:marTop w:val="105"/>
          <w:marBottom w:val="0"/>
          <w:divBdr>
            <w:top w:val="none" w:sz="0" w:space="0" w:color="auto"/>
            <w:left w:val="none" w:sz="0" w:space="0" w:color="auto"/>
            <w:bottom w:val="none" w:sz="0" w:space="0" w:color="auto"/>
            <w:right w:val="none" w:sz="0" w:space="0" w:color="auto"/>
          </w:divBdr>
          <w:divsChild>
            <w:div w:id="573244947">
              <w:marLeft w:val="0"/>
              <w:marRight w:val="0"/>
              <w:marTop w:val="0"/>
              <w:marBottom w:val="0"/>
              <w:divBdr>
                <w:top w:val="single" w:sz="18" w:space="0" w:color="2D6282"/>
                <w:left w:val="single" w:sz="18" w:space="0" w:color="2D6282"/>
                <w:bottom w:val="single" w:sz="18" w:space="0" w:color="2D6282"/>
                <w:right w:val="single" w:sz="18" w:space="0" w:color="2D6282"/>
              </w:divBdr>
              <w:divsChild>
                <w:div w:id="114833863">
                  <w:marLeft w:val="0"/>
                  <w:marRight w:val="0"/>
                  <w:marTop w:val="0"/>
                  <w:marBottom w:val="0"/>
                  <w:divBdr>
                    <w:top w:val="none" w:sz="0" w:space="0" w:color="auto"/>
                    <w:left w:val="single" w:sz="6" w:space="0" w:color="CAD8E0"/>
                    <w:bottom w:val="none" w:sz="0" w:space="0" w:color="auto"/>
                    <w:right w:val="single" w:sz="6" w:space="0" w:color="CAD8E0"/>
                  </w:divBdr>
                  <w:divsChild>
                    <w:div w:id="1437283882">
                      <w:marLeft w:val="0"/>
                      <w:marRight w:val="0"/>
                      <w:marTop w:val="0"/>
                      <w:marBottom w:val="0"/>
                      <w:divBdr>
                        <w:top w:val="none" w:sz="0" w:space="0" w:color="auto"/>
                        <w:left w:val="none" w:sz="0" w:space="0" w:color="auto"/>
                        <w:bottom w:val="none" w:sz="0" w:space="0" w:color="auto"/>
                        <w:right w:val="none" w:sz="0" w:space="0" w:color="auto"/>
                      </w:divBdr>
                      <w:divsChild>
                        <w:div w:id="956639407">
                          <w:marLeft w:val="3030"/>
                          <w:marRight w:val="0"/>
                          <w:marTop w:val="0"/>
                          <w:marBottom w:val="0"/>
                          <w:divBdr>
                            <w:top w:val="none" w:sz="0" w:space="0" w:color="auto"/>
                            <w:left w:val="none" w:sz="0" w:space="0" w:color="auto"/>
                            <w:bottom w:val="none" w:sz="0" w:space="0" w:color="auto"/>
                            <w:right w:val="none" w:sz="0" w:space="0" w:color="auto"/>
                          </w:divBdr>
                          <w:divsChild>
                            <w:div w:id="626356033">
                              <w:marLeft w:val="0"/>
                              <w:marRight w:val="0"/>
                              <w:marTop w:val="0"/>
                              <w:marBottom w:val="0"/>
                              <w:divBdr>
                                <w:top w:val="none" w:sz="0" w:space="0" w:color="auto"/>
                                <w:left w:val="none" w:sz="0" w:space="0" w:color="auto"/>
                                <w:bottom w:val="none" w:sz="0" w:space="0" w:color="auto"/>
                                <w:right w:val="none" w:sz="0" w:space="0" w:color="auto"/>
                              </w:divBdr>
                              <w:divsChild>
                                <w:div w:id="640232368">
                                  <w:marLeft w:val="0"/>
                                  <w:marRight w:val="0"/>
                                  <w:marTop w:val="150"/>
                                  <w:marBottom w:val="0"/>
                                  <w:divBdr>
                                    <w:top w:val="none" w:sz="0" w:space="0" w:color="auto"/>
                                    <w:left w:val="none" w:sz="0" w:space="0" w:color="auto"/>
                                    <w:bottom w:val="none" w:sz="0" w:space="0" w:color="auto"/>
                                    <w:right w:val="none" w:sz="0" w:space="0" w:color="auto"/>
                                  </w:divBdr>
                                  <w:divsChild>
                                    <w:div w:id="2001345365">
                                      <w:marLeft w:val="0"/>
                                      <w:marRight w:val="0"/>
                                      <w:marTop w:val="0"/>
                                      <w:marBottom w:val="0"/>
                                      <w:divBdr>
                                        <w:top w:val="none" w:sz="0" w:space="0" w:color="auto"/>
                                        <w:left w:val="none" w:sz="0" w:space="0" w:color="auto"/>
                                        <w:bottom w:val="none" w:sz="0" w:space="0" w:color="auto"/>
                                        <w:right w:val="none" w:sz="0" w:space="0" w:color="auto"/>
                                      </w:divBdr>
                                      <w:divsChild>
                                        <w:div w:id="481655873">
                                          <w:marLeft w:val="0"/>
                                          <w:marRight w:val="0"/>
                                          <w:marTop w:val="0"/>
                                          <w:marBottom w:val="0"/>
                                          <w:divBdr>
                                            <w:top w:val="none" w:sz="0" w:space="0" w:color="auto"/>
                                            <w:left w:val="none" w:sz="0" w:space="0" w:color="auto"/>
                                            <w:bottom w:val="none" w:sz="0" w:space="0" w:color="auto"/>
                                            <w:right w:val="none" w:sz="0" w:space="0" w:color="auto"/>
                                          </w:divBdr>
                                          <w:divsChild>
                                            <w:div w:id="167394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4241001">
      <w:bodyDiv w:val="1"/>
      <w:marLeft w:val="0"/>
      <w:marRight w:val="0"/>
      <w:marTop w:val="0"/>
      <w:marBottom w:val="0"/>
      <w:divBdr>
        <w:top w:val="none" w:sz="0" w:space="0" w:color="auto"/>
        <w:left w:val="none" w:sz="0" w:space="0" w:color="auto"/>
        <w:bottom w:val="none" w:sz="0" w:space="0" w:color="auto"/>
        <w:right w:val="none" w:sz="0" w:space="0" w:color="auto"/>
      </w:divBdr>
      <w:divsChild>
        <w:div w:id="572079866">
          <w:marLeft w:val="0"/>
          <w:marRight w:val="0"/>
          <w:marTop w:val="0"/>
          <w:marBottom w:val="0"/>
          <w:divBdr>
            <w:top w:val="none" w:sz="0" w:space="0" w:color="auto"/>
            <w:left w:val="none" w:sz="0" w:space="0" w:color="auto"/>
            <w:bottom w:val="none" w:sz="0" w:space="0" w:color="auto"/>
            <w:right w:val="none" w:sz="0" w:space="0" w:color="auto"/>
          </w:divBdr>
          <w:divsChild>
            <w:div w:id="154259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59535">
      <w:bodyDiv w:val="1"/>
      <w:marLeft w:val="0"/>
      <w:marRight w:val="0"/>
      <w:marTop w:val="0"/>
      <w:marBottom w:val="0"/>
      <w:divBdr>
        <w:top w:val="none" w:sz="0" w:space="0" w:color="auto"/>
        <w:left w:val="none" w:sz="0" w:space="0" w:color="auto"/>
        <w:bottom w:val="none" w:sz="0" w:space="0" w:color="auto"/>
        <w:right w:val="none" w:sz="0" w:space="0" w:color="auto"/>
      </w:divBdr>
    </w:div>
    <w:div w:id="868764765">
      <w:bodyDiv w:val="1"/>
      <w:marLeft w:val="0"/>
      <w:marRight w:val="0"/>
      <w:marTop w:val="0"/>
      <w:marBottom w:val="0"/>
      <w:divBdr>
        <w:top w:val="none" w:sz="0" w:space="0" w:color="auto"/>
        <w:left w:val="none" w:sz="0" w:space="0" w:color="auto"/>
        <w:bottom w:val="none" w:sz="0" w:space="0" w:color="auto"/>
        <w:right w:val="none" w:sz="0" w:space="0" w:color="auto"/>
      </w:divBdr>
    </w:div>
    <w:div w:id="929696596">
      <w:bodyDiv w:val="1"/>
      <w:marLeft w:val="0"/>
      <w:marRight w:val="0"/>
      <w:marTop w:val="0"/>
      <w:marBottom w:val="0"/>
      <w:divBdr>
        <w:top w:val="none" w:sz="0" w:space="0" w:color="auto"/>
        <w:left w:val="none" w:sz="0" w:space="0" w:color="auto"/>
        <w:bottom w:val="none" w:sz="0" w:space="0" w:color="auto"/>
        <w:right w:val="none" w:sz="0" w:space="0" w:color="auto"/>
      </w:divBdr>
    </w:div>
    <w:div w:id="933199582">
      <w:bodyDiv w:val="1"/>
      <w:marLeft w:val="0"/>
      <w:marRight w:val="0"/>
      <w:marTop w:val="0"/>
      <w:marBottom w:val="0"/>
      <w:divBdr>
        <w:top w:val="none" w:sz="0" w:space="0" w:color="auto"/>
        <w:left w:val="none" w:sz="0" w:space="0" w:color="auto"/>
        <w:bottom w:val="none" w:sz="0" w:space="0" w:color="auto"/>
        <w:right w:val="none" w:sz="0" w:space="0" w:color="auto"/>
      </w:divBdr>
      <w:divsChild>
        <w:div w:id="1945768939">
          <w:marLeft w:val="0"/>
          <w:marRight w:val="0"/>
          <w:marTop w:val="0"/>
          <w:marBottom w:val="0"/>
          <w:divBdr>
            <w:top w:val="none" w:sz="0" w:space="0" w:color="auto"/>
            <w:left w:val="none" w:sz="0" w:space="0" w:color="auto"/>
            <w:bottom w:val="none" w:sz="0" w:space="0" w:color="auto"/>
            <w:right w:val="none" w:sz="0" w:space="0" w:color="auto"/>
          </w:divBdr>
          <w:divsChild>
            <w:div w:id="32317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530845">
      <w:bodyDiv w:val="1"/>
      <w:marLeft w:val="0"/>
      <w:marRight w:val="0"/>
      <w:marTop w:val="0"/>
      <w:marBottom w:val="0"/>
      <w:divBdr>
        <w:top w:val="none" w:sz="0" w:space="0" w:color="auto"/>
        <w:left w:val="none" w:sz="0" w:space="0" w:color="auto"/>
        <w:bottom w:val="none" w:sz="0" w:space="0" w:color="auto"/>
        <w:right w:val="none" w:sz="0" w:space="0" w:color="auto"/>
      </w:divBdr>
    </w:div>
    <w:div w:id="975259910">
      <w:bodyDiv w:val="1"/>
      <w:marLeft w:val="0"/>
      <w:marRight w:val="0"/>
      <w:marTop w:val="0"/>
      <w:marBottom w:val="0"/>
      <w:divBdr>
        <w:top w:val="none" w:sz="0" w:space="0" w:color="auto"/>
        <w:left w:val="none" w:sz="0" w:space="0" w:color="auto"/>
        <w:bottom w:val="none" w:sz="0" w:space="0" w:color="auto"/>
        <w:right w:val="none" w:sz="0" w:space="0" w:color="auto"/>
      </w:divBdr>
      <w:divsChild>
        <w:div w:id="1110320916">
          <w:marLeft w:val="0"/>
          <w:marRight w:val="0"/>
          <w:marTop w:val="0"/>
          <w:marBottom w:val="0"/>
          <w:divBdr>
            <w:top w:val="none" w:sz="0" w:space="0" w:color="auto"/>
            <w:left w:val="none" w:sz="0" w:space="0" w:color="auto"/>
            <w:bottom w:val="none" w:sz="0" w:space="0" w:color="auto"/>
            <w:right w:val="none" w:sz="0" w:space="0" w:color="auto"/>
          </w:divBdr>
          <w:divsChild>
            <w:div w:id="11744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5751">
      <w:bodyDiv w:val="1"/>
      <w:marLeft w:val="0"/>
      <w:marRight w:val="0"/>
      <w:marTop w:val="0"/>
      <w:marBottom w:val="0"/>
      <w:divBdr>
        <w:top w:val="none" w:sz="0" w:space="0" w:color="auto"/>
        <w:left w:val="none" w:sz="0" w:space="0" w:color="auto"/>
        <w:bottom w:val="none" w:sz="0" w:space="0" w:color="auto"/>
        <w:right w:val="none" w:sz="0" w:space="0" w:color="auto"/>
      </w:divBdr>
    </w:div>
    <w:div w:id="1090272392">
      <w:bodyDiv w:val="1"/>
      <w:marLeft w:val="0"/>
      <w:marRight w:val="0"/>
      <w:marTop w:val="0"/>
      <w:marBottom w:val="0"/>
      <w:divBdr>
        <w:top w:val="none" w:sz="0" w:space="0" w:color="auto"/>
        <w:left w:val="none" w:sz="0" w:space="0" w:color="auto"/>
        <w:bottom w:val="none" w:sz="0" w:space="0" w:color="auto"/>
        <w:right w:val="none" w:sz="0" w:space="0" w:color="auto"/>
      </w:divBdr>
      <w:divsChild>
        <w:div w:id="433133231">
          <w:marLeft w:val="0"/>
          <w:marRight w:val="0"/>
          <w:marTop w:val="0"/>
          <w:marBottom w:val="0"/>
          <w:divBdr>
            <w:top w:val="none" w:sz="0" w:space="0" w:color="auto"/>
            <w:left w:val="none" w:sz="0" w:space="0" w:color="auto"/>
            <w:bottom w:val="none" w:sz="0" w:space="0" w:color="auto"/>
            <w:right w:val="none" w:sz="0" w:space="0" w:color="auto"/>
          </w:divBdr>
          <w:divsChild>
            <w:div w:id="14208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380530">
      <w:bodyDiv w:val="1"/>
      <w:marLeft w:val="0"/>
      <w:marRight w:val="0"/>
      <w:marTop w:val="0"/>
      <w:marBottom w:val="0"/>
      <w:divBdr>
        <w:top w:val="none" w:sz="0" w:space="0" w:color="auto"/>
        <w:left w:val="none" w:sz="0" w:space="0" w:color="auto"/>
        <w:bottom w:val="none" w:sz="0" w:space="0" w:color="auto"/>
        <w:right w:val="none" w:sz="0" w:space="0" w:color="auto"/>
      </w:divBdr>
    </w:div>
    <w:div w:id="1243174470">
      <w:bodyDiv w:val="1"/>
      <w:marLeft w:val="0"/>
      <w:marRight w:val="0"/>
      <w:marTop w:val="0"/>
      <w:marBottom w:val="0"/>
      <w:divBdr>
        <w:top w:val="none" w:sz="0" w:space="0" w:color="auto"/>
        <w:left w:val="none" w:sz="0" w:space="0" w:color="auto"/>
        <w:bottom w:val="none" w:sz="0" w:space="0" w:color="auto"/>
        <w:right w:val="none" w:sz="0" w:space="0" w:color="auto"/>
      </w:divBdr>
    </w:div>
    <w:div w:id="1256207230">
      <w:bodyDiv w:val="1"/>
      <w:marLeft w:val="0"/>
      <w:marRight w:val="0"/>
      <w:marTop w:val="0"/>
      <w:marBottom w:val="0"/>
      <w:divBdr>
        <w:top w:val="none" w:sz="0" w:space="0" w:color="auto"/>
        <w:left w:val="none" w:sz="0" w:space="0" w:color="auto"/>
        <w:bottom w:val="none" w:sz="0" w:space="0" w:color="auto"/>
        <w:right w:val="none" w:sz="0" w:space="0" w:color="auto"/>
      </w:divBdr>
    </w:div>
    <w:div w:id="1345477197">
      <w:bodyDiv w:val="1"/>
      <w:marLeft w:val="0"/>
      <w:marRight w:val="0"/>
      <w:marTop w:val="0"/>
      <w:marBottom w:val="0"/>
      <w:divBdr>
        <w:top w:val="none" w:sz="0" w:space="0" w:color="auto"/>
        <w:left w:val="none" w:sz="0" w:space="0" w:color="auto"/>
        <w:bottom w:val="none" w:sz="0" w:space="0" w:color="auto"/>
        <w:right w:val="none" w:sz="0" w:space="0" w:color="auto"/>
      </w:divBdr>
    </w:div>
    <w:div w:id="1497455955">
      <w:bodyDiv w:val="1"/>
      <w:marLeft w:val="0"/>
      <w:marRight w:val="0"/>
      <w:marTop w:val="0"/>
      <w:marBottom w:val="0"/>
      <w:divBdr>
        <w:top w:val="none" w:sz="0" w:space="0" w:color="auto"/>
        <w:left w:val="none" w:sz="0" w:space="0" w:color="auto"/>
        <w:bottom w:val="none" w:sz="0" w:space="0" w:color="auto"/>
        <w:right w:val="none" w:sz="0" w:space="0" w:color="auto"/>
      </w:divBdr>
    </w:div>
    <w:div w:id="1616133135">
      <w:bodyDiv w:val="1"/>
      <w:marLeft w:val="0"/>
      <w:marRight w:val="0"/>
      <w:marTop w:val="0"/>
      <w:marBottom w:val="0"/>
      <w:divBdr>
        <w:top w:val="none" w:sz="0" w:space="0" w:color="auto"/>
        <w:left w:val="none" w:sz="0" w:space="0" w:color="auto"/>
        <w:bottom w:val="none" w:sz="0" w:space="0" w:color="auto"/>
        <w:right w:val="none" w:sz="0" w:space="0" w:color="auto"/>
      </w:divBdr>
      <w:divsChild>
        <w:div w:id="471798344">
          <w:marLeft w:val="0"/>
          <w:marRight w:val="0"/>
          <w:marTop w:val="0"/>
          <w:marBottom w:val="0"/>
          <w:divBdr>
            <w:top w:val="none" w:sz="0" w:space="0" w:color="auto"/>
            <w:left w:val="none" w:sz="0" w:space="0" w:color="auto"/>
            <w:bottom w:val="none" w:sz="0" w:space="0" w:color="auto"/>
            <w:right w:val="none" w:sz="0" w:space="0" w:color="auto"/>
          </w:divBdr>
          <w:divsChild>
            <w:div w:id="18967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3247">
      <w:bodyDiv w:val="1"/>
      <w:marLeft w:val="0"/>
      <w:marRight w:val="0"/>
      <w:marTop w:val="0"/>
      <w:marBottom w:val="0"/>
      <w:divBdr>
        <w:top w:val="none" w:sz="0" w:space="0" w:color="auto"/>
        <w:left w:val="none" w:sz="0" w:space="0" w:color="auto"/>
        <w:bottom w:val="none" w:sz="0" w:space="0" w:color="auto"/>
        <w:right w:val="none" w:sz="0" w:space="0" w:color="auto"/>
      </w:divBdr>
    </w:div>
    <w:div w:id="1838034550">
      <w:bodyDiv w:val="1"/>
      <w:marLeft w:val="0"/>
      <w:marRight w:val="0"/>
      <w:marTop w:val="0"/>
      <w:marBottom w:val="0"/>
      <w:divBdr>
        <w:top w:val="none" w:sz="0" w:space="0" w:color="auto"/>
        <w:left w:val="none" w:sz="0" w:space="0" w:color="auto"/>
        <w:bottom w:val="none" w:sz="0" w:space="0" w:color="auto"/>
        <w:right w:val="none" w:sz="0" w:space="0" w:color="auto"/>
      </w:divBdr>
    </w:div>
    <w:div w:id="1872958438">
      <w:bodyDiv w:val="1"/>
      <w:marLeft w:val="0"/>
      <w:marRight w:val="0"/>
      <w:marTop w:val="0"/>
      <w:marBottom w:val="0"/>
      <w:divBdr>
        <w:top w:val="none" w:sz="0" w:space="0" w:color="auto"/>
        <w:left w:val="none" w:sz="0" w:space="0" w:color="auto"/>
        <w:bottom w:val="none" w:sz="0" w:space="0" w:color="auto"/>
        <w:right w:val="none" w:sz="0" w:space="0" w:color="auto"/>
      </w:divBdr>
    </w:div>
    <w:div w:id="2003005616">
      <w:bodyDiv w:val="1"/>
      <w:marLeft w:val="0"/>
      <w:marRight w:val="0"/>
      <w:marTop w:val="0"/>
      <w:marBottom w:val="0"/>
      <w:divBdr>
        <w:top w:val="none" w:sz="0" w:space="0" w:color="auto"/>
        <w:left w:val="none" w:sz="0" w:space="0" w:color="auto"/>
        <w:bottom w:val="none" w:sz="0" w:space="0" w:color="auto"/>
        <w:right w:val="none" w:sz="0" w:space="0" w:color="auto"/>
      </w:divBdr>
    </w:div>
    <w:div w:id="204612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oncesionvialdelosllanos.c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lanos.co"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9.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E58336-3986-485A-A6E5-689132D12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~wd09.tmp</Template>
  <TotalTime>11</TotalTime>
  <Pages>1</Pages>
  <Words>5397</Words>
  <Characters>29684</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35011</CharactersWithSpaces>
  <SharedDoc>false</SharedDoc>
  <HLinks>
    <vt:vector size="12" baseType="variant">
      <vt:variant>
        <vt:i4>6815806</vt:i4>
      </vt:variant>
      <vt:variant>
        <vt:i4>3</vt:i4>
      </vt:variant>
      <vt:variant>
        <vt:i4>0</vt:i4>
      </vt:variant>
      <vt:variant>
        <vt:i4>5</vt:i4>
      </vt:variant>
      <vt:variant>
        <vt:lpwstr>http://www.concesionvialdelosllanos.co/</vt:lpwstr>
      </vt:variant>
      <vt:variant>
        <vt:lpwstr/>
      </vt:variant>
      <vt:variant>
        <vt:i4>7667827</vt:i4>
      </vt:variant>
      <vt:variant>
        <vt:i4>0</vt:i4>
      </vt:variant>
      <vt:variant>
        <vt:i4>0</vt:i4>
      </vt:variant>
      <vt:variant>
        <vt:i4>5</vt:i4>
      </vt:variant>
      <vt:variant>
        <vt:lpwstr>http://www.cllanos.co/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Sonia Jaqueline Angarita Salazar</cp:lastModifiedBy>
  <cp:revision>2</cp:revision>
  <cp:lastPrinted>2014-10-07T15:16:00Z</cp:lastPrinted>
  <dcterms:created xsi:type="dcterms:W3CDTF">2015-12-30T15:51:00Z</dcterms:created>
  <dcterms:modified xsi:type="dcterms:W3CDTF">2015-12-30T15:51:00Z</dcterms:modified>
</cp:coreProperties>
</file>