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726F" w:rsidRPr="0046726F" w:rsidRDefault="0046726F" w:rsidP="0046726F">
      <w:pPr>
        <w:spacing w:after="0" w:line="240" w:lineRule="auto"/>
        <w:jc w:val="center"/>
        <w:rPr>
          <w:rFonts w:ascii="Times New Roman" w:eastAsia="Times New Roman" w:hAnsi="Times New Roman" w:cs="Times New Roman"/>
          <w:lang w:val="es-ES_tradnl" w:eastAsia="es-ES"/>
        </w:rPr>
      </w:pPr>
      <w:r w:rsidRPr="0046726F">
        <w:rPr>
          <w:rFonts w:ascii="Times New Roman" w:eastAsia="Times New Roman" w:hAnsi="Times New Roman" w:cs="Times New Roman"/>
          <w:noProof/>
          <w:lang w:val="es-CO" w:eastAsia="es-CO"/>
        </w:rPr>
        <w:drawing>
          <wp:anchor distT="0" distB="0" distL="114300" distR="114300" simplePos="0" relativeHeight="251661312" behindDoc="0" locked="0" layoutInCell="1" allowOverlap="1" wp14:anchorId="5D8BAB1D" wp14:editId="5230544C">
            <wp:simplePos x="0" y="0"/>
            <wp:positionH relativeFrom="column">
              <wp:posOffset>3967480</wp:posOffset>
            </wp:positionH>
            <wp:positionV relativeFrom="paragraph">
              <wp:posOffset>-358140</wp:posOffset>
            </wp:positionV>
            <wp:extent cx="1257300" cy="42608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7300" cy="426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726F">
        <w:rPr>
          <w:rFonts w:ascii="Times New Roman" w:eastAsia="Times New Roman" w:hAnsi="Times New Roman" w:cs="Times New Roman"/>
          <w:noProof/>
          <w:lang w:val="es-CO" w:eastAsia="es-CO"/>
        </w:rPr>
        <w:drawing>
          <wp:anchor distT="0" distB="0" distL="114300" distR="114300" simplePos="0" relativeHeight="251660288" behindDoc="0" locked="0" layoutInCell="1" allowOverlap="1" wp14:anchorId="231EBC81" wp14:editId="6D3272FB">
            <wp:simplePos x="0" y="0"/>
            <wp:positionH relativeFrom="column">
              <wp:posOffset>1381125</wp:posOffset>
            </wp:positionH>
            <wp:positionV relativeFrom="paragraph">
              <wp:posOffset>-424815</wp:posOffset>
            </wp:positionV>
            <wp:extent cx="2051685" cy="561975"/>
            <wp:effectExtent l="0" t="0" r="571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168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726F">
        <w:rPr>
          <w:rFonts w:ascii="Times New Roman" w:eastAsia="Times New Roman" w:hAnsi="Times New Roman" w:cs="Times New Roman"/>
          <w:noProof/>
          <w:lang w:val="es-CO" w:eastAsia="es-CO"/>
        </w:rPr>
        <w:drawing>
          <wp:anchor distT="0" distB="0" distL="114300" distR="114300" simplePos="0" relativeHeight="251659264" behindDoc="0" locked="0" layoutInCell="1" allowOverlap="1" wp14:anchorId="43720A62" wp14:editId="09052D8B">
            <wp:simplePos x="0" y="0"/>
            <wp:positionH relativeFrom="column">
              <wp:posOffset>-90170</wp:posOffset>
            </wp:positionH>
            <wp:positionV relativeFrom="paragraph">
              <wp:posOffset>-748665</wp:posOffset>
            </wp:positionV>
            <wp:extent cx="990600" cy="885825"/>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cstate="print">
                      <a:lum bright="20000" contrast="-20000"/>
                      <a:grayscl/>
                      <a:extLst>
                        <a:ext uri="{28A0092B-C50C-407E-A947-70E740481C1C}">
                          <a14:useLocalDpi xmlns:a14="http://schemas.microsoft.com/office/drawing/2010/main" val="0"/>
                        </a:ext>
                      </a:extLst>
                    </a:blip>
                    <a:srcRect/>
                    <a:stretch>
                      <a:fillRect/>
                    </a:stretch>
                  </pic:blipFill>
                  <pic:spPr bwMode="auto">
                    <a:xfrm>
                      <a:off x="0" y="0"/>
                      <a:ext cx="990600"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726F" w:rsidRPr="0046726F" w:rsidRDefault="0046726F" w:rsidP="0046726F">
      <w:pPr>
        <w:spacing w:after="0" w:line="240" w:lineRule="auto"/>
        <w:jc w:val="center"/>
        <w:rPr>
          <w:rFonts w:ascii="Times New Roman" w:eastAsia="Times New Roman" w:hAnsi="Times New Roman" w:cs="Times New Roman"/>
          <w:lang w:val="es-ES_tradnl" w:eastAsia="es-ES"/>
        </w:rPr>
      </w:pPr>
    </w:p>
    <w:p w:rsidR="0046726F" w:rsidRPr="0046726F" w:rsidRDefault="0046726F" w:rsidP="0046726F">
      <w:pPr>
        <w:spacing w:after="0" w:line="240" w:lineRule="auto"/>
        <w:jc w:val="center"/>
        <w:rPr>
          <w:rFonts w:ascii="Times New Roman" w:eastAsia="Times New Roman" w:hAnsi="Times New Roman" w:cs="Times New Roman"/>
          <w:lang w:val="es-ES_tradnl" w:eastAsia="es-ES"/>
        </w:rPr>
      </w:pPr>
    </w:p>
    <w:p w:rsidR="0046726F" w:rsidRPr="0046726F" w:rsidRDefault="0046726F" w:rsidP="0046726F">
      <w:pPr>
        <w:spacing w:after="0" w:line="240" w:lineRule="auto"/>
        <w:rPr>
          <w:rFonts w:ascii="Times New Roman" w:eastAsia="Times New Roman" w:hAnsi="Times New Roman" w:cs="Times New Roman"/>
          <w:lang w:val="es-ES_tradnl" w:eastAsia="es-ES"/>
        </w:rPr>
      </w:pPr>
    </w:p>
    <w:p w:rsidR="0046726F" w:rsidRPr="0046726F" w:rsidRDefault="0046726F" w:rsidP="0046726F">
      <w:pPr>
        <w:keepNext/>
        <w:widowControl w:val="0"/>
        <w:tabs>
          <w:tab w:val="left" w:pos="4253"/>
        </w:tabs>
        <w:spacing w:after="0" w:line="240" w:lineRule="auto"/>
        <w:jc w:val="center"/>
        <w:outlineLvl w:val="1"/>
        <w:rPr>
          <w:rFonts w:ascii="Times New Roman" w:eastAsia="Times New Roman" w:hAnsi="Times New Roman" w:cs="Times New Roman"/>
          <w:b/>
          <w:lang w:val="es-ES_tradnl" w:eastAsia="es-ES"/>
        </w:rPr>
      </w:pPr>
      <w:r w:rsidRPr="0046726F">
        <w:rPr>
          <w:rFonts w:ascii="Times New Roman" w:eastAsia="Times New Roman" w:hAnsi="Times New Roman" w:cs="Times New Roman"/>
          <w:b/>
          <w:lang w:val="es-ES_tradnl" w:eastAsia="es-ES"/>
        </w:rPr>
        <w:t>RESOLUCIÓN  NÚMERO                                          DE 2014</w:t>
      </w:r>
      <w:bookmarkStart w:id="0" w:name="_GoBack"/>
      <w:bookmarkEnd w:id="0"/>
    </w:p>
    <w:p w:rsidR="0046726F" w:rsidRPr="0046726F" w:rsidRDefault="0046726F" w:rsidP="0046726F">
      <w:pPr>
        <w:spacing w:after="0" w:line="240" w:lineRule="auto"/>
        <w:jc w:val="center"/>
        <w:rPr>
          <w:rFonts w:ascii="Times New Roman" w:eastAsia="Times New Roman" w:hAnsi="Times New Roman" w:cs="Times New Roman"/>
          <w:lang w:val="es-ES_tradnl" w:eastAsia="es-ES"/>
        </w:rPr>
      </w:pPr>
    </w:p>
    <w:p w:rsidR="0046726F" w:rsidRPr="0046726F" w:rsidRDefault="0046726F" w:rsidP="0046726F">
      <w:pPr>
        <w:spacing w:after="0" w:line="240" w:lineRule="auto"/>
        <w:jc w:val="center"/>
        <w:rPr>
          <w:rFonts w:ascii="Times New Roman" w:eastAsia="Times New Roman" w:hAnsi="Times New Roman" w:cs="Times New Roman"/>
          <w:b/>
          <w:lang w:val="es-ES_tradnl" w:eastAsia="es-ES"/>
        </w:rPr>
      </w:pPr>
    </w:p>
    <w:p w:rsidR="0046726F" w:rsidRPr="0046726F" w:rsidRDefault="0046726F" w:rsidP="0046726F">
      <w:pPr>
        <w:spacing w:after="0" w:line="240" w:lineRule="auto"/>
        <w:jc w:val="center"/>
        <w:rPr>
          <w:rFonts w:ascii="Times New Roman" w:eastAsia="Times New Roman" w:hAnsi="Times New Roman" w:cs="Times New Roman"/>
          <w:lang w:val="es-ES_tradnl" w:eastAsia="es-ES"/>
        </w:rPr>
      </w:pPr>
      <w:r w:rsidRPr="0046726F">
        <w:rPr>
          <w:rFonts w:ascii="Times New Roman" w:eastAsia="Times New Roman" w:hAnsi="Times New Roman" w:cs="Times New Roman"/>
          <w:b/>
          <w:lang w:val="es-ES_tradnl" w:eastAsia="es-ES"/>
        </w:rPr>
        <w:t xml:space="preserve">(                                             </w:t>
      </w:r>
      <w:r w:rsidRPr="0046726F">
        <w:rPr>
          <w:rFonts w:ascii="Times New Roman" w:eastAsia="Times New Roman" w:hAnsi="Times New Roman" w:cs="Times New Roman"/>
          <w:lang w:val="es-ES_tradnl" w:eastAsia="es-ES"/>
        </w:rPr>
        <w:t>)</w:t>
      </w:r>
    </w:p>
    <w:p w:rsidR="0046726F" w:rsidRPr="0046726F" w:rsidRDefault="0046726F" w:rsidP="0046726F">
      <w:pPr>
        <w:autoSpaceDE w:val="0"/>
        <w:autoSpaceDN w:val="0"/>
        <w:adjustRightInd w:val="0"/>
        <w:spacing w:after="0" w:line="240" w:lineRule="auto"/>
        <w:jc w:val="center"/>
        <w:rPr>
          <w:rFonts w:ascii="Times New Roman" w:eastAsia="Times New Roman" w:hAnsi="Times New Roman" w:cs="Times New Roman"/>
          <w:color w:val="000000"/>
          <w:lang w:val="es-ES" w:eastAsia="es-ES"/>
        </w:rPr>
      </w:pPr>
    </w:p>
    <w:p w:rsidR="0046726F" w:rsidRPr="0046726F" w:rsidRDefault="0046726F" w:rsidP="0046726F">
      <w:pPr>
        <w:autoSpaceDE w:val="0"/>
        <w:autoSpaceDN w:val="0"/>
        <w:adjustRightInd w:val="0"/>
        <w:spacing w:after="0" w:line="240" w:lineRule="auto"/>
        <w:jc w:val="center"/>
        <w:rPr>
          <w:rFonts w:ascii="Times New Roman" w:eastAsia="Times New Roman" w:hAnsi="Times New Roman" w:cs="Times New Roman"/>
          <w:color w:val="000000"/>
          <w:lang w:val="es-ES" w:eastAsia="es-ES"/>
        </w:rPr>
      </w:pPr>
    </w:p>
    <w:p w:rsidR="0046726F" w:rsidRPr="0046726F" w:rsidRDefault="0046726F" w:rsidP="0046726F">
      <w:pPr>
        <w:autoSpaceDE w:val="0"/>
        <w:autoSpaceDN w:val="0"/>
        <w:adjustRightInd w:val="0"/>
        <w:spacing w:after="0" w:line="240" w:lineRule="auto"/>
        <w:jc w:val="center"/>
        <w:rPr>
          <w:rFonts w:ascii="Times New Roman" w:eastAsia="Times New Roman" w:hAnsi="Times New Roman" w:cs="Times New Roman"/>
          <w:color w:val="000000"/>
          <w:lang w:val="es-ES" w:eastAsia="es-ES"/>
        </w:rPr>
      </w:pPr>
      <w:r w:rsidRPr="0046726F">
        <w:rPr>
          <w:rFonts w:ascii="Times New Roman" w:eastAsia="Times New Roman" w:hAnsi="Times New Roman" w:cs="Times New Roman"/>
          <w:color w:val="000000"/>
          <w:lang w:val="es-ES" w:eastAsia="es-ES"/>
        </w:rPr>
        <w:t>“Por la cual se emite Concepto vinculante previo al establecimiento de dos estaciones de peaje denominadas</w:t>
      </w:r>
      <w:r>
        <w:rPr>
          <w:rFonts w:ascii="Times New Roman" w:eastAsia="Times New Roman" w:hAnsi="Times New Roman" w:cs="Times New Roman"/>
          <w:color w:val="000000"/>
          <w:lang w:val="es-ES" w:eastAsia="es-ES"/>
        </w:rPr>
        <w:t xml:space="preserve"> Santa Isabel y Vegachi</w:t>
      </w:r>
      <w:r w:rsidRPr="0046726F">
        <w:rPr>
          <w:rFonts w:ascii="Times New Roman" w:eastAsia="Times New Roman" w:hAnsi="Times New Roman" w:cs="Times New Roman"/>
          <w:color w:val="000000"/>
          <w:lang w:val="es-ES" w:eastAsia="es-ES"/>
        </w:rPr>
        <w:t xml:space="preserve">, </w:t>
      </w:r>
      <w:r>
        <w:rPr>
          <w:rFonts w:ascii="Times New Roman" w:eastAsia="Times New Roman" w:hAnsi="Times New Roman" w:cs="Times New Roman"/>
          <w:color w:val="000000"/>
          <w:lang w:val="es-ES" w:eastAsia="es-ES"/>
        </w:rPr>
        <w:t>y</w:t>
      </w:r>
      <w:r w:rsidRPr="0046726F">
        <w:rPr>
          <w:rFonts w:ascii="Times New Roman" w:eastAsia="Times New Roman" w:hAnsi="Times New Roman" w:cs="Times New Roman"/>
          <w:color w:val="000000"/>
          <w:lang w:val="es-ES" w:eastAsia="es-ES"/>
        </w:rPr>
        <w:t xml:space="preserve"> se establecen las tarifas a cobrar en las estaciones denominadas</w:t>
      </w:r>
      <w:r>
        <w:rPr>
          <w:rFonts w:ascii="Times New Roman" w:eastAsia="Times New Roman" w:hAnsi="Times New Roman" w:cs="Times New Roman"/>
          <w:color w:val="000000"/>
          <w:lang w:val="es-ES" w:eastAsia="es-ES"/>
        </w:rPr>
        <w:t xml:space="preserve"> Santa Isabel, Vegachi y Puerto Berrio</w:t>
      </w:r>
      <w:r w:rsidRPr="0046726F">
        <w:rPr>
          <w:rFonts w:ascii="Times New Roman" w:eastAsia="Times New Roman" w:hAnsi="Times New Roman" w:cs="Times New Roman"/>
          <w:color w:val="000000"/>
          <w:lang w:val="es-ES" w:eastAsia="es-ES"/>
        </w:rPr>
        <w:t xml:space="preserve"> que pertenecen al Proyecto vial “</w:t>
      </w:r>
      <w:r>
        <w:rPr>
          <w:rFonts w:ascii="Times New Roman" w:eastAsia="Times New Roman" w:hAnsi="Times New Roman" w:cs="Times New Roman"/>
          <w:color w:val="000000"/>
          <w:lang w:val="es-ES" w:eastAsia="es-ES"/>
        </w:rPr>
        <w:t>Concesión Autopista al Rio Magdalena 2</w:t>
      </w:r>
      <w:r w:rsidRPr="0046726F">
        <w:rPr>
          <w:rFonts w:ascii="Times New Roman" w:eastAsia="Times New Roman" w:hAnsi="Times New Roman" w:cs="Times New Roman"/>
          <w:color w:val="000000"/>
          <w:lang w:val="es-ES" w:eastAsia="es-ES"/>
        </w:rPr>
        <w:t xml:space="preserve">” del Proyecto “Autopistas de la Prosperidad” </w:t>
      </w:r>
    </w:p>
    <w:p w:rsidR="0046726F" w:rsidRPr="0046726F" w:rsidRDefault="0046726F" w:rsidP="0046726F">
      <w:pPr>
        <w:autoSpaceDE w:val="0"/>
        <w:autoSpaceDN w:val="0"/>
        <w:adjustRightInd w:val="0"/>
        <w:spacing w:after="0" w:line="240" w:lineRule="auto"/>
        <w:jc w:val="center"/>
        <w:rPr>
          <w:rFonts w:ascii="Times New Roman" w:eastAsia="Times New Roman" w:hAnsi="Times New Roman" w:cs="Times New Roman"/>
          <w:color w:val="000000"/>
          <w:lang w:val="es-ES" w:eastAsia="es-ES"/>
        </w:rPr>
      </w:pPr>
    </w:p>
    <w:p w:rsidR="0046726F" w:rsidRPr="0046726F" w:rsidRDefault="0046726F" w:rsidP="0046726F">
      <w:pPr>
        <w:spacing w:after="0" w:line="240" w:lineRule="auto"/>
        <w:jc w:val="center"/>
        <w:rPr>
          <w:rFonts w:ascii="Times New Roman" w:eastAsia="Times New Roman" w:hAnsi="Times New Roman" w:cs="Times New Roman"/>
          <w:b/>
          <w:i/>
          <w:lang w:eastAsia="es-ES"/>
        </w:rPr>
      </w:pPr>
    </w:p>
    <w:p w:rsidR="0046726F" w:rsidRPr="0046726F" w:rsidRDefault="0046726F" w:rsidP="0046726F">
      <w:pPr>
        <w:spacing w:after="0" w:line="240" w:lineRule="auto"/>
        <w:jc w:val="center"/>
        <w:rPr>
          <w:rFonts w:ascii="Times New Roman" w:eastAsia="Times New Roman" w:hAnsi="Times New Roman" w:cs="Times New Roman"/>
          <w:b/>
          <w:lang w:val="es-ES_tradnl" w:eastAsia="es-ES"/>
        </w:rPr>
      </w:pPr>
      <w:r w:rsidRPr="0046726F">
        <w:rPr>
          <w:rFonts w:ascii="Times New Roman" w:eastAsia="Times New Roman" w:hAnsi="Times New Roman" w:cs="Times New Roman"/>
          <w:b/>
          <w:lang w:val="es-ES_tradnl" w:eastAsia="es-ES"/>
        </w:rPr>
        <w:t>LA MINISTRA DE TRANSPORTE</w:t>
      </w:r>
    </w:p>
    <w:p w:rsidR="0046726F" w:rsidRPr="0046726F" w:rsidRDefault="0046726F" w:rsidP="0046726F">
      <w:pPr>
        <w:spacing w:after="0" w:line="240" w:lineRule="auto"/>
        <w:jc w:val="center"/>
        <w:rPr>
          <w:rFonts w:ascii="Times New Roman" w:eastAsia="Times New Roman" w:hAnsi="Times New Roman" w:cs="Times New Roman"/>
          <w:lang w:val="es-ES_tradnl" w:eastAsia="es-ES"/>
        </w:rPr>
      </w:pPr>
    </w:p>
    <w:p w:rsidR="0046726F" w:rsidRPr="0046726F" w:rsidRDefault="0046726F" w:rsidP="0046726F">
      <w:pPr>
        <w:spacing w:after="0" w:line="240" w:lineRule="auto"/>
        <w:jc w:val="center"/>
        <w:rPr>
          <w:rFonts w:ascii="Times New Roman" w:eastAsia="Times New Roman" w:hAnsi="Times New Roman" w:cs="Times New Roman"/>
          <w:b/>
          <w:lang w:val="es-ES_tradnl" w:eastAsia="es-ES"/>
        </w:rPr>
      </w:pPr>
      <w:r w:rsidRPr="0046726F">
        <w:rPr>
          <w:rFonts w:ascii="Times New Roman" w:eastAsia="Times New Roman" w:hAnsi="Times New Roman" w:cs="Times New Roman"/>
          <w:lang w:val="es-ES_tradnl" w:eastAsia="es-ES"/>
        </w:rPr>
        <w:t>En ejercicio de las facultades legales y en especial las conferidas en el Artículo 6 Numerales 6.14 y 6.15 del Decreto 087 de 2011.</w:t>
      </w:r>
      <w:r w:rsidRPr="0046726F">
        <w:rPr>
          <w:rFonts w:ascii="Times New Roman" w:eastAsia="Times New Roman" w:hAnsi="Times New Roman" w:cs="Times New Roman"/>
          <w:b/>
          <w:lang w:val="es-ES_tradnl" w:eastAsia="es-ES"/>
        </w:rPr>
        <w:t xml:space="preserve"> </w:t>
      </w:r>
    </w:p>
    <w:p w:rsidR="0046726F" w:rsidRPr="0046726F" w:rsidRDefault="0046726F" w:rsidP="0046726F">
      <w:pPr>
        <w:spacing w:after="0" w:line="240" w:lineRule="auto"/>
        <w:jc w:val="center"/>
        <w:rPr>
          <w:rFonts w:ascii="Times New Roman" w:eastAsia="Times New Roman" w:hAnsi="Times New Roman" w:cs="Times New Roman"/>
          <w:b/>
          <w:lang w:val="es-ES_tradnl" w:eastAsia="es-ES"/>
        </w:rPr>
      </w:pPr>
    </w:p>
    <w:p w:rsidR="0046726F" w:rsidRPr="0046726F" w:rsidRDefault="0046726F" w:rsidP="0046726F">
      <w:pPr>
        <w:spacing w:after="0" w:line="240" w:lineRule="auto"/>
        <w:jc w:val="center"/>
        <w:rPr>
          <w:rFonts w:ascii="Times New Roman" w:eastAsia="Times New Roman" w:hAnsi="Times New Roman" w:cs="Times New Roman"/>
          <w:b/>
          <w:lang w:val="es-ES_tradnl" w:eastAsia="es-ES"/>
        </w:rPr>
      </w:pPr>
      <w:r w:rsidRPr="0046726F">
        <w:rPr>
          <w:rFonts w:ascii="Times New Roman" w:eastAsia="Times New Roman" w:hAnsi="Times New Roman" w:cs="Times New Roman"/>
          <w:b/>
          <w:lang w:val="es-ES_tradnl" w:eastAsia="es-ES"/>
        </w:rPr>
        <w:t>CONSIDERANDO</w:t>
      </w: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spacing w:after="0" w:line="240" w:lineRule="auto"/>
        <w:jc w:val="both"/>
        <w:rPr>
          <w:rFonts w:ascii="Times New Roman" w:eastAsia="Times New Roman" w:hAnsi="Times New Roman" w:cs="Times New Roman"/>
          <w:i/>
          <w:lang w:val="es-ES_tradnl"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r w:rsidRPr="0046726F">
        <w:rPr>
          <w:rFonts w:ascii="Times New Roman" w:eastAsia="Times New Roman" w:hAnsi="Times New Roman" w:cs="Times New Roman"/>
          <w:lang w:val="es-ES_tradnl" w:eastAsia="es-ES"/>
        </w:rPr>
        <w:t>Que el Decreto 087 de 2011 “Por el cual se modifica la estructura del Ministerio de Transporte, y se determinan las funciones de sus dependencias” Estableció en los numerales 6.14 y 6.15 del artículo 6:</w:t>
      </w: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spacing w:after="0" w:line="240" w:lineRule="auto"/>
        <w:ind w:left="851" w:right="616"/>
        <w:jc w:val="both"/>
        <w:rPr>
          <w:rFonts w:ascii="Times New Roman" w:eastAsia="Times New Roman" w:hAnsi="Times New Roman" w:cs="Times New Roman"/>
          <w:i/>
          <w:lang w:val="es-ES_tradnl" w:eastAsia="es-ES"/>
        </w:rPr>
      </w:pPr>
      <w:r w:rsidRPr="0046726F">
        <w:rPr>
          <w:rFonts w:ascii="Times New Roman" w:eastAsia="Times New Roman" w:hAnsi="Times New Roman" w:cs="Times New Roman"/>
          <w:i/>
          <w:lang w:val="es-ES_tradnl" w:eastAsia="es-ES"/>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46726F" w:rsidRPr="0046726F" w:rsidRDefault="0046726F" w:rsidP="0046726F">
      <w:pPr>
        <w:spacing w:after="0" w:line="240" w:lineRule="auto"/>
        <w:ind w:left="851" w:right="616"/>
        <w:jc w:val="both"/>
        <w:rPr>
          <w:rFonts w:ascii="Times New Roman" w:eastAsia="Times New Roman" w:hAnsi="Times New Roman" w:cs="Times New Roman"/>
          <w:i/>
          <w:lang w:val="es-ES_tradnl" w:eastAsia="es-ES"/>
        </w:rPr>
      </w:pPr>
      <w:r w:rsidRPr="0046726F">
        <w:rPr>
          <w:rFonts w:ascii="Times New Roman" w:eastAsia="Times New Roman" w:hAnsi="Times New Roman" w:cs="Times New Roman"/>
          <w:i/>
          <w:lang w:val="es-ES_tradnl" w:eastAsia="es-ES"/>
        </w:rPr>
        <w:t xml:space="preserve"> </w:t>
      </w:r>
    </w:p>
    <w:p w:rsidR="0046726F" w:rsidRPr="0046726F" w:rsidRDefault="0046726F" w:rsidP="0046726F">
      <w:pPr>
        <w:spacing w:after="0" w:line="240" w:lineRule="auto"/>
        <w:ind w:left="851" w:right="616"/>
        <w:jc w:val="both"/>
        <w:rPr>
          <w:rFonts w:ascii="Times New Roman" w:eastAsia="Times New Roman" w:hAnsi="Times New Roman" w:cs="Times New Roman"/>
          <w:i/>
          <w:lang w:val="es-ES_tradnl" w:eastAsia="es-ES"/>
        </w:rPr>
      </w:pPr>
      <w:r w:rsidRPr="0046726F">
        <w:rPr>
          <w:rFonts w:ascii="Times New Roman" w:eastAsia="Times New Roman" w:hAnsi="Times New Roman" w:cs="Times New Roman"/>
          <w:i/>
          <w:lang w:val="es-ES_tradnl" w:eastAsia="es-ES"/>
        </w:rPr>
        <w:t>6.15. Establecer los peajes, tarifas, tasas y derechos a cobrar por el uso de la infraestructura de los modos de transporte, excepto el aéreo.”</w:t>
      </w: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r w:rsidRPr="0046726F">
        <w:rPr>
          <w:rFonts w:ascii="Times New Roman" w:eastAsia="Times New Roman" w:hAnsi="Times New Roman" w:cs="Times New Roman"/>
          <w:lang w:val="es-ES_tradnl" w:eastAsia="es-ES"/>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r w:rsidRPr="0046726F">
        <w:rPr>
          <w:rFonts w:ascii="Times New Roman" w:eastAsia="Times New Roman" w:hAnsi="Times New Roman" w:cs="Times New Roman"/>
          <w:lang w:val="es-ES_tradnl" w:eastAsia="es-ES"/>
        </w:rPr>
        <w:t>Que igualmente el numeral 15 del artículo 11 ibídem,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rsidR="0046726F" w:rsidRPr="0046726F" w:rsidRDefault="0046726F" w:rsidP="0046726F">
      <w:pPr>
        <w:spacing w:after="0" w:line="240" w:lineRule="auto"/>
        <w:jc w:val="both"/>
        <w:rPr>
          <w:rFonts w:ascii="Times New Roman" w:eastAsia="Times New Roman" w:hAnsi="Times New Roman" w:cs="Times New Roman"/>
          <w:i/>
          <w:lang w:val="es-ES_tradnl" w:eastAsia="es-ES"/>
        </w:rPr>
      </w:pPr>
    </w:p>
    <w:p w:rsidR="0046726F" w:rsidRPr="0046726F" w:rsidRDefault="0046726F" w:rsidP="0046726F">
      <w:pPr>
        <w:tabs>
          <w:tab w:val="left" w:pos="0"/>
        </w:tabs>
        <w:spacing w:after="0" w:line="240" w:lineRule="auto"/>
        <w:jc w:val="both"/>
        <w:rPr>
          <w:rFonts w:ascii="Times New Roman" w:eastAsia="Calibri" w:hAnsi="Times New Roman" w:cs="Times New Roman"/>
          <w:color w:val="000000"/>
        </w:rPr>
      </w:pPr>
      <w:r w:rsidRPr="0046726F">
        <w:rPr>
          <w:rFonts w:ascii="Times New Roman" w:eastAsia="Times New Roman" w:hAnsi="Times New Roman" w:cs="Times New Roman"/>
          <w:lang w:val="es-ES_tradnl" w:eastAsia="es-ES"/>
        </w:rP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w:t>
      </w:r>
      <w:r w:rsidRPr="0046726F">
        <w:rPr>
          <w:rFonts w:ascii="Times New Roman" w:eastAsia="Calibri" w:hAnsi="Times New Roman" w:cs="Times New Roman"/>
          <w:color w:val="000000"/>
        </w:rPr>
        <w:t xml:space="preserve">; igualmente se contempla el derecho al recaudo de recursos de explotación económica del proyecto. </w:t>
      </w:r>
    </w:p>
    <w:p w:rsidR="0046726F" w:rsidRPr="0046726F" w:rsidDel="00FA5770"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spacing w:after="0" w:line="240" w:lineRule="auto"/>
        <w:jc w:val="both"/>
        <w:rPr>
          <w:rFonts w:ascii="Times New Roman" w:eastAsia="Times New Roman" w:hAnsi="Times New Roman" w:cs="Times New Roman"/>
          <w:lang w:val="es-ES_tradnl" w:eastAsia="es-ES"/>
        </w:rPr>
      </w:pPr>
      <w:r w:rsidRPr="0046726F">
        <w:rPr>
          <w:rFonts w:ascii="Times New Roman" w:eastAsia="Times New Roman" w:hAnsi="Times New Roman" w:cs="Times New Roman"/>
          <w:lang w:val="es-ES_tradnl" w:eastAsia="es-ES"/>
        </w:rPr>
        <w:t xml:space="preserve">Que el Proyecto Autopistas para la Prosperidad fue declarado como estratégico por los CONPES 3760 y 3770 de 2013, caracterizándose principalmente por su integralidad y por la correlación de cada uno de los proyectos que lo conforman para dar cumplimiento a la consolidación de corredores </w:t>
      </w:r>
      <w:r w:rsidRPr="0046726F">
        <w:rPr>
          <w:rFonts w:ascii="Times New Roman" w:eastAsia="Times New Roman" w:hAnsi="Times New Roman" w:cs="Times New Roman"/>
          <w:lang w:val="es-ES_tradnl" w:eastAsia="es-ES"/>
        </w:rPr>
        <w:lastRenderedPageBreak/>
        <w:t xml:space="preserve">viales para impulsar la competitividad del país de conformidad con el Plan Nacional de Desarrollo “Prosperidad para Todos”. </w:t>
      </w: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autoSpaceDE w:val="0"/>
        <w:autoSpaceDN w:val="0"/>
        <w:adjustRightInd w:val="0"/>
        <w:spacing w:after="0" w:line="240" w:lineRule="auto"/>
        <w:jc w:val="both"/>
        <w:rPr>
          <w:rFonts w:ascii="Times New Roman" w:eastAsia="Calibri" w:hAnsi="Times New Roman" w:cs="Times New Roman"/>
          <w:color w:val="000000"/>
        </w:rPr>
      </w:pPr>
      <w:r w:rsidRPr="0046726F">
        <w:rPr>
          <w:rFonts w:ascii="Times New Roman" w:eastAsia="Calibri" w:hAnsi="Times New Roman" w:cs="Times New Roman"/>
          <w:color w:val="000000"/>
        </w:rPr>
        <w:t xml:space="preserve">Que como consecuencia de lo anterior el MINISTERIO DE TRANSPORTE, la AGENCIA NACIONAL DE INFRAESTRUCTURA-ANI, el INSTITUTO NACIONAL DE VIAS-INVIAS, el DEPARTAMENTO DE ANTIOQUIA y el MUNICIPIO DE MEDELLÍN, suscribieron un convenio interadministrativo el 25 de </w:t>
      </w:r>
      <w:r w:rsidR="00013EB3" w:rsidRPr="0046726F">
        <w:rPr>
          <w:rFonts w:ascii="Times New Roman" w:eastAsia="Calibri" w:hAnsi="Times New Roman" w:cs="Times New Roman"/>
          <w:color w:val="000000"/>
        </w:rPr>
        <w:t>octubre</w:t>
      </w:r>
      <w:r w:rsidRPr="0046726F">
        <w:rPr>
          <w:rFonts w:ascii="Times New Roman" w:eastAsia="Calibri" w:hAnsi="Times New Roman" w:cs="Times New Roman"/>
          <w:color w:val="000000"/>
        </w:rPr>
        <w:t xml:space="preserve"> de 2013, el cual tiene como objeto “Aunar esfuerzos (…), para la cofinanciación del proyecto corporativo vial “AUTOPISTAS PARA LA PROSPERIDAD” </w:t>
      </w:r>
    </w:p>
    <w:p w:rsidR="0046726F" w:rsidRPr="0046726F" w:rsidRDefault="0046726F" w:rsidP="0046726F">
      <w:pPr>
        <w:autoSpaceDE w:val="0"/>
        <w:autoSpaceDN w:val="0"/>
        <w:adjustRightInd w:val="0"/>
        <w:spacing w:after="0" w:line="240" w:lineRule="auto"/>
        <w:jc w:val="both"/>
        <w:rPr>
          <w:rFonts w:ascii="Times New Roman" w:eastAsia="Calibri" w:hAnsi="Times New Roman" w:cs="Times New Roman"/>
          <w:color w:val="000000"/>
        </w:rPr>
      </w:pPr>
    </w:p>
    <w:p w:rsidR="0046726F" w:rsidRPr="0046726F" w:rsidRDefault="0046726F" w:rsidP="00091067">
      <w:pPr>
        <w:autoSpaceDE w:val="0"/>
        <w:autoSpaceDN w:val="0"/>
        <w:adjustRightInd w:val="0"/>
        <w:spacing w:after="0" w:line="240" w:lineRule="auto"/>
        <w:jc w:val="both"/>
        <w:rPr>
          <w:rFonts w:ascii="Times New Roman" w:eastAsia="Calibri" w:hAnsi="Times New Roman" w:cs="Times New Roman"/>
          <w:color w:val="000000"/>
        </w:rPr>
      </w:pPr>
      <w:r w:rsidRPr="0046726F">
        <w:rPr>
          <w:rFonts w:ascii="Times New Roman" w:eastAsia="Calibri" w:hAnsi="Times New Roman" w:cs="Times New Roman"/>
          <w:color w:val="000000"/>
        </w:rPr>
        <w:t xml:space="preserve">Que como parte de la estructuración del proyecto AUTOPISTAS PARA LA PROSPERIDAD que adelanta la Agencia Nacional de Infraestructura, se encuentra </w:t>
      </w:r>
      <w:r w:rsidR="002A3796" w:rsidRPr="00091067">
        <w:rPr>
          <w:rFonts w:ascii="Times New Roman" w:eastAsia="Calibri" w:hAnsi="Times New Roman" w:cs="Times New Roman"/>
          <w:color w:val="000000"/>
        </w:rPr>
        <w:t xml:space="preserve">el proyecto vial “Concesión Autopista al Rio Magdalena </w:t>
      </w:r>
      <w:r w:rsidR="003129BE" w:rsidRPr="00091067">
        <w:rPr>
          <w:rFonts w:ascii="Times New Roman" w:eastAsia="Calibri" w:hAnsi="Times New Roman" w:cs="Times New Roman"/>
          <w:color w:val="000000"/>
        </w:rPr>
        <w:t>2”</w:t>
      </w:r>
      <w:r w:rsidR="00091067" w:rsidRPr="00091067">
        <w:rPr>
          <w:rFonts w:ascii="Times New Roman" w:eastAsia="Calibri" w:hAnsi="Times New Roman" w:cs="Times New Roman"/>
          <w:color w:val="000000"/>
        </w:rPr>
        <w:t>, este proyecto tiene la particularidad de conectar de manera expedita las zonas agrícolas de los departamentos de Córdoba y Sucre de una manera mucho más eficiente con Medellín, el nororiente de Antioquia y a su vez con la concesión de la Ruta del Sol que lleva a departamentos como Santander, Cundinamarca, Tolima, y Caldas, entre otros, a través de la cuenca del Magdalena Medio.</w:t>
      </w:r>
      <w:r w:rsidR="00091067" w:rsidRPr="00091067">
        <w:rPr>
          <w:rFonts w:ascii="Times New Roman" w:hAnsi="Times New Roman" w:cs="Times New Roman"/>
        </w:rPr>
        <w:t xml:space="preserve"> Este proyecto inicia desde Remedios hasta llegar al Alto de Dolores, el trayecto entre Alto de Dolores y Puerto Berrio, y la variante de Puerto Berrio que conecta con la Ruta del Sol. Estas vías cuentan con una longitud aproximada de 150 km.</w:t>
      </w:r>
    </w:p>
    <w:p w:rsidR="0046726F" w:rsidRPr="0046726F" w:rsidRDefault="0046726F" w:rsidP="0046726F">
      <w:pPr>
        <w:autoSpaceDE w:val="0"/>
        <w:autoSpaceDN w:val="0"/>
        <w:adjustRightInd w:val="0"/>
        <w:spacing w:after="0" w:line="240" w:lineRule="auto"/>
        <w:jc w:val="both"/>
        <w:rPr>
          <w:rFonts w:ascii="Times New Roman" w:eastAsia="Calibri" w:hAnsi="Times New Roman" w:cs="Times New Roman"/>
          <w:color w:val="000000"/>
        </w:rPr>
      </w:pPr>
    </w:p>
    <w:p w:rsidR="0046726F" w:rsidRPr="0046726F" w:rsidRDefault="0046726F" w:rsidP="0046726F">
      <w:pPr>
        <w:autoSpaceDE w:val="0"/>
        <w:autoSpaceDN w:val="0"/>
        <w:adjustRightInd w:val="0"/>
        <w:spacing w:after="0" w:line="240" w:lineRule="auto"/>
        <w:jc w:val="both"/>
        <w:rPr>
          <w:rFonts w:ascii="Times New Roman" w:eastAsia="Calibri" w:hAnsi="Times New Roman" w:cs="Times New Roman"/>
          <w:color w:val="000000"/>
        </w:rPr>
      </w:pPr>
    </w:p>
    <w:p w:rsidR="003A1D7D" w:rsidRDefault="0046726F" w:rsidP="0046726F">
      <w:pPr>
        <w:tabs>
          <w:tab w:val="left" w:pos="0"/>
        </w:tabs>
        <w:spacing w:after="0" w:line="240" w:lineRule="auto"/>
        <w:jc w:val="both"/>
        <w:rPr>
          <w:rFonts w:ascii="Times New Roman" w:eastAsia="Times New Roman" w:hAnsi="Times New Roman" w:cs="Times New Roman"/>
          <w:lang w:val="es-ES_tradnl" w:eastAsia="es-ES"/>
        </w:rPr>
      </w:pPr>
      <w:r w:rsidRPr="0046726F">
        <w:rPr>
          <w:rFonts w:ascii="Times New Roman" w:eastAsia="Times New Roman" w:hAnsi="Times New Roman" w:cs="Times New Roman"/>
          <w:lang w:val="es-ES_tradnl" w:eastAsia="es-ES"/>
        </w:rPr>
        <w:t>Que de conformidad con el estudio de estructuración realizado por la Agencia Nacional de Infraestructura ANI, hay viabilidad técnica y socioeconómica para la instalación de dos estaciones de peaje en los siguientes sectores:</w:t>
      </w:r>
      <w:r w:rsidR="003A1D7D">
        <w:rPr>
          <w:rFonts w:ascii="Times New Roman" w:eastAsia="Times New Roman" w:hAnsi="Times New Roman" w:cs="Times New Roman"/>
          <w:lang w:val="es-ES_tradnl" w:eastAsia="es-ES"/>
        </w:rPr>
        <w:t xml:space="preserve"> la estación de Santa Isabel</w:t>
      </w:r>
      <w:r w:rsidRPr="0046726F">
        <w:rPr>
          <w:rFonts w:ascii="Times New Roman" w:eastAsia="Times New Roman" w:hAnsi="Times New Roman" w:cs="Times New Roman"/>
          <w:lang w:val="es-ES_tradnl" w:eastAsia="es-ES"/>
        </w:rPr>
        <w:t xml:space="preserve"> </w:t>
      </w:r>
      <w:r w:rsidR="003A1D7D">
        <w:rPr>
          <w:rFonts w:ascii="Times New Roman" w:eastAsia="Times New Roman" w:hAnsi="Times New Roman" w:cs="Times New Roman"/>
          <w:lang w:val="es-ES_tradnl" w:eastAsia="es-ES"/>
        </w:rPr>
        <w:t>en la vía nueva que conducirá del Alto de Dolores a Remedios, exactamente en el PK 58+280 y en la misma vía la estación Vegachi, exactamente en el PK 15+300.</w:t>
      </w: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CO" w:eastAsia="es-ES"/>
        </w:rPr>
      </w:pPr>
    </w:p>
    <w:p w:rsidR="00527A79" w:rsidRDefault="0046726F" w:rsidP="0046726F">
      <w:pPr>
        <w:tabs>
          <w:tab w:val="left" w:pos="0"/>
        </w:tabs>
        <w:spacing w:after="0" w:line="240" w:lineRule="auto"/>
        <w:jc w:val="both"/>
        <w:rPr>
          <w:rFonts w:ascii="Times New Roman" w:eastAsia="Times New Roman" w:hAnsi="Times New Roman" w:cs="Times New Roman"/>
          <w:lang w:val="es-CO" w:eastAsia="es-ES"/>
        </w:rPr>
      </w:pPr>
      <w:r w:rsidRPr="0046726F">
        <w:rPr>
          <w:rFonts w:ascii="Times New Roman" w:eastAsia="Times New Roman" w:hAnsi="Times New Roman" w:cs="Times New Roman"/>
          <w:lang w:val="es-CO" w:eastAsia="es-ES"/>
        </w:rPr>
        <w:t>Que la Agencia Nacional de Infraestructura ha identificado que este proyecto cuenta con la</w:t>
      </w:r>
      <w:r w:rsidR="00527A79">
        <w:rPr>
          <w:rFonts w:ascii="Times New Roman" w:eastAsia="Times New Roman" w:hAnsi="Times New Roman" w:cs="Times New Roman"/>
          <w:lang w:val="es-CO" w:eastAsia="es-ES"/>
        </w:rPr>
        <w:t xml:space="preserve"> estación de p</w:t>
      </w:r>
      <w:r w:rsidR="00556ED6">
        <w:rPr>
          <w:rFonts w:ascii="Times New Roman" w:eastAsia="Times New Roman" w:hAnsi="Times New Roman" w:cs="Times New Roman"/>
          <w:lang w:val="es-CO" w:eastAsia="es-ES"/>
        </w:rPr>
        <w:t>eaje Puerto Berrio, que actualmente está en operación sobre la vía en la cual se encuentra la Unidad Funcional 3 Alto de Dolores- Puerto Berrio Km 85+0100, una vez se haga la entrega de la infraestructura por parte del INVIAS, el derecho al recaudo sobre la estación de peaje se llevará a cabo de acuerdo a las condiciones establecidas en la Parte General y Especial del Contrato que se suscriba.</w:t>
      </w:r>
    </w:p>
    <w:p w:rsidR="0046726F" w:rsidRPr="0046726F" w:rsidRDefault="0046726F" w:rsidP="0046726F">
      <w:pPr>
        <w:jc w:val="both"/>
        <w:rPr>
          <w:rFonts w:ascii="Times New Roman" w:hAnsi="Times New Roman" w:cs="Times New Roman"/>
          <w:highlight w:val="yellow"/>
          <w:lang w:val="es-CO"/>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 w:eastAsia="es-ES"/>
        </w:rPr>
      </w:pPr>
      <w:r w:rsidRPr="0046726F">
        <w:rPr>
          <w:rFonts w:ascii="Times New Roman" w:eastAsia="Times New Roman" w:hAnsi="Times New Roman" w:cs="Times New Roman"/>
          <w:lang w:val="es-ES" w:eastAsia="es-ES"/>
        </w:rPr>
        <w:t>Que dentro de la estructuración financiera del proyecto se contempla como una de las fuentes de retribución para el concesionario, el recaudo de peajes una vez se cumplan los requisitos que en el capítulo III de la minuta del contrato de concesión anexo a los pliegos de licitación se establecen, razón por la cual para la presentación de las ofertas económicas dentro del proceso de selección, se requiere que los precalificados y los oferentes, tengan certeza sobre la viabilidad técnica de la instalación de la</w:t>
      </w:r>
      <w:r w:rsidR="0093543E">
        <w:rPr>
          <w:rFonts w:ascii="Times New Roman" w:eastAsia="Times New Roman" w:hAnsi="Times New Roman" w:cs="Times New Roman"/>
          <w:lang w:val="es-ES" w:eastAsia="es-ES"/>
        </w:rPr>
        <w:t>s</w:t>
      </w:r>
      <w:r w:rsidRPr="0046726F">
        <w:rPr>
          <w:rFonts w:ascii="Times New Roman" w:eastAsia="Times New Roman" w:hAnsi="Times New Roman" w:cs="Times New Roman"/>
          <w:lang w:val="es-ES" w:eastAsia="es-ES"/>
        </w:rPr>
        <w:t xml:space="preserve"> caseta</w:t>
      </w:r>
      <w:r w:rsidR="0093543E">
        <w:rPr>
          <w:rFonts w:ascii="Times New Roman" w:eastAsia="Times New Roman" w:hAnsi="Times New Roman" w:cs="Times New Roman"/>
          <w:lang w:val="es-ES" w:eastAsia="es-ES"/>
        </w:rPr>
        <w:t>s</w:t>
      </w:r>
      <w:r w:rsidRPr="0046726F">
        <w:rPr>
          <w:rFonts w:ascii="Times New Roman" w:eastAsia="Times New Roman" w:hAnsi="Times New Roman" w:cs="Times New Roman"/>
          <w:lang w:val="es-ES" w:eastAsia="es-ES"/>
        </w:rPr>
        <w:t>, así como de las tarifas que podrán ser cobradas en la mismas.</w:t>
      </w: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r w:rsidRPr="0046726F">
        <w:rPr>
          <w:rFonts w:ascii="Times New Roman" w:eastAsia="Times New Roman" w:hAnsi="Times New Roman" w:cs="Times New Roman"/>
          <w:lang w:val="es-ES_tradnl" w:eastAsia="es-ES"/>
        </w:rPr>
        <w:t xml:space="preserve">Que las tarifas son el resultado de un estudio de tráfico específico realizado para cada proyecto, donde son utilizadas para determinar los ingresos dentro del modelo financiero de estructuración de la concesión, constituyéndose en uno de los parámetros necesarios para la obtención de la viabilidad financiera del proyecto. </w:t>
      </w: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5F6A18" w:rsidRDefault="0046726F" w:rsidP="0046726F">
      <w:pPr>
        <w:tabs>
          <w:tab w:val="left" w:pos="0"/>
        </w:tabs>
        <w:spacing w:after="0" w:line="240" w:lineRule="auto"/>
        <w:jc w:val="both"/>
        <w:rPr>
          <w:rFonts w:ascii="Times New Roman" w:eastAsia="Times New Roman" w:hAnsi="Times New Roman" w:cs="Times New Roman"/>
          <w:lang w:val="es-ES_tradnl" w:eastAsia="es-ES"/>
        </w:rPr>
      </w:pPr>
      <w:r w:rsidRPr="0046726F">
        <w:rPr>
          <w:rFonts w:ascii="Times New Roman" w:eastAsia="Times New Roman" w:hAnsi="Times New Roman" w:cs="Times New Roman"/>
          <w:lang w:eastAsia="es-ES"/>
        </w:rPr>
        <w:t xml:space="preserve">Que como consecuencia de lo anterior, la oficina de Regulación Económica el día XXXXXX de Mayo de 2014, emitió concepto vinculante previo favorable, para el establecimiento de las </w:t>
      </w:r>
      <w:r w:rsidRPr="0046726F">
        <w:rPr>
          <w:rFonts w:ascii="Times New Roman" w:eastAsia="Times New Roman" w:hAnsi="Times New Roman" w:cs="Times New Roman"/>
          <w:lang w:eastAsia="es-ES"/>
        </w:rPr>
        <w:lastRenderedPageBreak/>
        <w:t>siguientes estaciones de peaje</w:t>
      </w:r>
      <w:r w:rsidRPr="0046726F">
        <w:rPr>
          <w:rFonts w:ascii="Times New Roman" w:eastAsia="Times New Roman" w:hAnsi="Times New Roman" w:cs="Times New Roman"/>
          <w:lang w:val="es-ES_tradnl" w:eastAsia="es-ES"/>
        </w:rPr>
        <w:t>:</w:t>
      </w:r>
      <w:r w:rsidR="005F6A18">
        <w:rPr>
          <w:rFonts w:ascii="Times New Roman" w:eastAsia="Times New Roman" w:hAnsi="Times New Roman" w:cs="Times New Roman"/>
          <w:lang w:val="es-ES_tradnl" w:eastAsia="es-ES"/>
        </w:rPr>
        <w:t xml:space="preserve"> Santa Isabel </w:t>
      </w:r>
      <w:r w:rsidR="001D6B2B">
        <w:rPr>
          <w:rFonts w:ascii="Times New Roman" w:eastAsia="Times New Roman" w:hAnsi="Times New Roman" w:cs="Times New Roman"/>
          <w:lang w:val="es-ES_tradnl" w:eastAsia="es-ES"/>
        </w:rPr>
        <w:t xml:space="preserve">en la vía nueva que conectará el Alto de Dolores hasta Remedios, exactamente en el PK 58+280 y en la misma vía la estación Vegachi en el PK 15+300. </w:t>
      </w:r>
    </w:p>
    <w:p w:rsidR="0046726F" w:rsidRPr="0046726F" w:rsidRDefault="0046726F" w:rsidP="0046726F">
      <w:pPr>
        <w:tabs>
          <w:tab w:val="left" w:pos="0"/>
        </w:tabs>
        <w:spacing w:after="0" w:line="240" w:lineRule="auto"/>
        <w:jc w:val="both"/>
        <w:rPr>
          <w:rFonts w:ascii="Times New Roman" w:eastAsia="Times New Roman" w:hAnsi="Times New Roman" w:cs="Times New Roman"/>
          <w:lang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eastAsia="es-ES"/>
        </w:rPr>
      </w:pPr>
      <w:r w:rsidRPr="0046726F">
        <w:rPr>
          <w:rFonts w:ascii="Times New Roman" w:eastAsia="Times New Roman" w:hAnsi="Times New Roman" w:cs="Times New Roman"/>
          <w:lang w:eastAsia="es-ES"/>
        </w:rPr>
        <w:t xml:space="preserve">Que el contenido de la presente Resolución, fue publicado en la página web de la Agencia Nacional de Infraestructura ANI, el día  XXXXXX de Mayo del 2014 en cumplimiento a lo determinado en el numeral 8 del artículo 8 de la Ley 1437 de 2011, con el objeto de recibir opiniones, sugerencias o propuestas alternativas.  </w:t>
      </w:r>
    </w:p>
    <w:p w:rsidR="0046726F" w:rsidRPr="0046726F" w:rsidRDefault="0046726F" w:rsidP="0046726F">
      <w:pPr>
        <w:tabs>
          <w:tab w:val="left" w:pos="0"/>
        </w:tabs>
        <w:spacing w:after="0" w:line="240" w:lineRule="auto"/>
        <w:jc w:val="both"/>
        <w:rPr>
          <w:rFonts w:ascii="Times New Roman" w:eastAsia="Times New Roman" w:hAnsi="Times New Roman" w:cs="Times New Roman"/>
          <w:lang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eastAsia="es-ES"/>
        </w:rPr>
      </w:pPr>
      <w:r w:rsidRPr="0046726F">
        <w:rPr>
          <w:rFonts w:ascii="Times New Roman" w:eastAsia="Times New Roman" w:hAnsi="Times New Roman" w:cs="Times New Roman"/>
          <w:lang w:eastAsia="es-ES"/>
        </w:rPr>
        <w:t>Que los comentarios recibidos fueron evaluados, atendidos y los pertinentes fueron incorporados en el contenido del presente acto administrativo.</w:t>
      </w:r>
    </w:p>
    <w:p w:rsidR="0046726F" w:rsidRPr="0046726F" w:rsidRDefault="0046726F" w:rsidP="0046726F">
      <w:pPr>
        <w:tabs>
          <w:tab w:val="left" w:pos="0"/>
        </w:tabs>
        <w:spacing w:after="0" w:line="240" w:lineRule="auto"/>
        <w:jc w:val="both"/>
        <w:rPr>
          <w:rFonts w:ascii="Times New Roman" w:eastAsia="Times New Roman" w:hAnsi="Times New Roman" w:cs="Times New Roman"/>
          <w:lang w:eastAsia="es-ES"/>
        </w:rPr>
      </w:pPr>
    </w:p>
    <w:p w:rsidR="0046726F" w:rsidRPr="0046726F" w:rsidRDefault="0046726F" w:rsidP="0046726F">
      <w:pPr>
        <w:spacing w:after="0" w:line="240" w:lineRule="auto"/>
        <w:jc w:val="both"/>
        <w:rPr>
          <w:rFonts w:ascii="Times New Roman" w:eastAsia="Times New Roman" w:hAnsi="Times New Roman" w:cs="Times New Roman"/>
          <w:lang w:val="es-ES_tradnl" w:eastAsia="es-ES"/>
        </w:rPr>
      </w:pPr>
      <w:r w:rsidRPr="0046726F">
        <w:rPr>
          <w:rFonts w:ascii="Times New Roman" w:eastAsia="Times New Roman" w:hAnsi="Times New Roman" w:cs="Times New Roman"/>
          <w:lang w:val="es-CO" w:eastAsia="es-ES"/>
        </w:rPr>
        <w:t xml:space="preserve">En mérito de lo expuesto, </w:t>
      </w:r>
    </w:p>
    <w:p w:rsidR="0046726F" w:rsidRPr="0046726F" w:rsidRDefault="0046726F" w:rsidP="0046726F">
      <w:pPr>
        <w:spacing w:after="0" w:line="240" w:lineRule="auto"/>
        <w:jc w:val="center"/>
        <w:rPr>
          <w:rFonts w:ascii="Times New Roman" w:eastAsia="Times New Roman" w:hAnsi="Times New Roman" w:cs="Times New Roman"/>
          <w:b/>
          <w:lang w:val="es-ES_tradnl" w:eastAsia="es-ES"/>
        </w:rPr>
      </w:pPr>
    </w:p>
    <w:p w:rsidR="0046726F" w:rsidRPr="0046726F" w:rsidRDefault="0046726F" w:rsidP="0046726F">
      <w:pPr>
        <w:spacing w:after="0" w:line="240" w:lineRule="auto"/>
        <w:jc w:val="center"/>
        <w:rPr>
          <w:rFonts w:ascii="Times New Roman" w:eastAsia="Times New Roman" w:hAnsi="Times New Roman" w:cs="Times New Roman"/>
          <w:b/>
          <w:lang w:val="es-ES_tradnl" w:eastAsia="es-ES"/>
        </w:rPr>
      </w:pPr>
      <w:r w:rsidRPr="0046726F">
        <w:rPr>
          <w:rFonts w:ascii="Times New Roman" w:eastAsia="Times New Roman" w:hAnsi="Times New Roman" w:cs="Times New Roman"/>
          <w:b/>
          <w:lang w:val="es-ES_tradnl" w:eastAsia="es-ES"/>
        </w:rPr>
        <w:t>RESUELVE:</w:t>
      </w:r>
    </w:p>
    <w:p w:rsidR="0046726F" w:rsidRPr="0046726F" w:rsidRDefault="0046726F" w:rsidP="0046726F">
      <w:pPr>
        <w:spacing w:after="0" w:line="240" w:lineRule="auto"/>
        <w:jc w:val="center"/>
        <w:rPr>
          <w:rFonts w:ascii="Times New Roman" w:eastAsia="Times New Roman" w:hAnsi="Times New Roman" w:cs="Times New Roman"/>
          <w:b/>
          <w:lang w:val="es-ES_tradnl" w:eastAsia="es-ES"/>
        </w:rPr>
      </w:pPr>
    </w:p>
    <w:p w:rsidR="0046726F" w:rsidRPr="0046726F" w:rsidRDefault="0046726F" w:rsidP="00217E1F">
      <w:pPr>
        <w:tabs>
          <w:tab w:val="left" w:pos="0"/>
        </w:tabs>
        <w:spacing w:after="0" w:line="240" w:lineRule="auto"/>
        <w:jc w:val="both"/>
        <w:rPr>
          <w:rFonts w:ascii="Times New Roman" w:eastAsia="Times New Roman" w:hAnsi="Times New Roman" w:cs="Times New Roman"/>
          <w:lang w:val="es-ES_tradnl" w:eastAsia="es-ES"/>
        </w:rPr>
      </w:pPr>
      <w:r w:rsidRPr="0046726F">
        <w:rPr>
          <w:rFonts w:ascii="Times New Roman" w:eastAsia="Times New Roman" w:hAnsi="Times New Roman" w:cs="Times New Roman"/>
          <w:b/>
          <w:lang w:val="es-ES_tradnl" w:eastAsia="es-ES"/>
        </w:rPr>
        <w:t xml:space="preserve">ARTÍCULO PRIMERO: </w:t>
      </w:r>
      <w:r w:rsidRPr="0046726F">
        <w:rPr>
          <w:rFonts w:ascii="Times New Roman" w:eastAsia="Times New Roman" w:hAnsi="Times New Roman" w:cs="Times New Roman"/>
          <w:lang w:val="es-ES_tradnl" w:eastAsia="es-ES"/>
        </w:rPr>
        <w:t xml:space="preserve">Emitir concepto vinculante previo favorable, para el establecimiento dos estaciones de peaje con cobro bidireccional, en el proyecto vial </w:t>
      </w:r>
      <w:r w:rsidR="001D6B2B">
        <w:rPr>
          <w:rFonts w:ascii="Times New Roman" w:eastAsia="Times New Roman" w:hAnsi="Times New Roman" w:cs="Times New Roman"/>
          <w:lang w:val="es-ES_tradnl" w:eastAsia="es-ES"/>
        </w:rPr>
        <w:t xml:space="preserve">Concesión Autopista al Rio Magdalena 2 del Proyecto </w:t>
      </w:r>
      <w:r w:rsidRPr="0046726F">
        <w:rPr>
          <w:rFonts w:ascii="Times New Roman" w:eastAsia="Times New Roman" w:hAnsi="Times New Roman" w:cs="Times New Roman"/>
          <w:i/>
          <w:lang w:val="es-ES_tradnl" w:eastAsia="es-ES"/>
        </w:rPr>
        <w:t>“AUTOPISTAS PARA LA PROSPERIDAD”,</w:t>
      </w:r>
      <w:r w:rsidRPr="0046726F">
        <w:rPr>
          <w:rFonts w:ascii="Times New Roman" w:eastAsia="Times New Roman" w:hAnsi="Times New Roman" w:cs="Times New Roman"/>
          <w:lang w:val="es-ES_tradnl" w:eastAsia="es-ES"/>
        </w:rPr>
        <w:t xml:space="preserve"> que se denominan: </w:t>
      </w:r>
      <w:r w:rsidR="001D6B2B">
        <w:rPr>
          <w:rFonts w:ascii="Times New Roman" w:eastAsia="Times New Roman" w:hAnsi="Times New Roman" w:cs="Times New Roman"/>
          <w:lang w:val="es-ES_tradnl" w:eastAsia="es-ES"/>
        </w:rPr>
        <w:t xml:space="preserve">Santa Isabel </w:t>
      </w:r>
      <w:r w:rsidR="00217E1F">
        <w:rPr>
          <w:rFonts w:ascii="Times New Roman" w:eastAsia="Times New Roman" w:hAnsi="Times New Roman" w:cs="Times New Roman"/>
          <w:lang w:val="es-ES_tradnl" w:eastAsia="es-ES"/>
        </w:rPr>
        <w:t>en la vía nueva que conectará el Alto de Dolores hasta Remedios exactamente en el PK 58+280 y sobre la misma vía la estación Vegachi en el PK15+300.</w:t>
      </w:r>
      <w:r w:rsidRPr="0046726F">
        <w:rPr>
          <w:rFonts w:ascii="Times New Roman" w:eastAsia="Times New Roman" w:hAnsi="Times New Roman" w:cs="Times New Roman"/>
          <w:lang w:val="es-CO" w:eastAsia="es-ES"/>
        </w:rPr>
        <w:t xml:space="preserve"> </w:t>
      </w: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spacing w:after="0" w:line="240" w:lineRule="auto"/>
        <w:jc w:val="both"/>
        <w:rPr>
          <w:rFonts w:ascii="Times New Roman" w:eastAsia="Times New Roman" w:hAnsi="Times New Roman" w:cs="Times New Roman"/>
          <w:lang w:val="es-ES_tradnl" w:eastAsia="es-ES"/>
        </w:rPr>
      </w:pPr>
    </w:p>
    <w:p w:rsidR="0046726F" w:rsidRPr="0046726F" w:rsidRDefault="0046726F" w:rsidP="007265F9">
      <w:pPr>
        <w:jc w:val="both"/>
        <w:rPr>
          <w:rFonts w:ascii="Times New Roman" w:eastAsia="Times New Roman" w:hAnsi="Times New Roman" w:cs="Times New Roman"/>
          <w:lang w:eastAsia="es-ES"/>
        </w:rPr>
      </w:pPr>
      <w:r w:rsidRPr="0046726F">
        <w:rPr>
          <w:rFonts w:ascii="Times New Roman" w:eastAsia="Times New Roman" w:hAnsi="Times New Roman" w:cs="Times New Roman"/>
          <w:b/>
          <w:lang w:val="es-ES_tradnl" w:eastAsia="es-ES"/>
        </w:rPr>
        <w:t>ARTÍCULO SEGUNDO</w:t>
      </w:r>
      <w:r w:rsidR="007265F9" w:rsidRPr="0046726F">
        <w:rPr>
          <w:rFonts w:ascii="Times New Roman" w:eastAsia="Times New Roman" w:hAnsi="Times New Roman" w:cs="Times New Roman"/>
          <w:b/>
          <w:lang w:val="es-ES_tradnl" w:eastAsia="es-ES"/>
        </w:rPr>
        <w:t>:</w:t>
      </w:r>
      <w:r w:rsidR="007265F9" w:rsidRPr="0046726F">
        <w:rPr>
          <w:rFonts w:ascii="Times New Roman" w:eastAsia="Times New Roman" w:hAnsi="Times New Roman" w:cs="Times New Roman"/>
          <w:lang w:val="es-ES_tradnl" w:eastAsia="es-ES"/>
        </w:rPr>
        <w:t xml:space="preserve"> </w:t>
      </w:r>
      <w:r w:rsidR="007265F9" w:rsidRPr="007265F9">
        <w:rPr>
          <w:rFonts w:ascii="Times New Roman" w:eastAsia="Times New Roman" w:hAnsi="Times New Roman" w:cs="Times New Roman"/>
          <w:lang w:val="es-ES_tradnl" w:eastAsia="es-ES"/>
        </w:rPr>
        <w:t>Establecer</w:t>
      </w:r>
      <w:r w:rsidRPr="0046726F">
        <w:rPr>
          <w:rFonts w:ascii="Times New Roman" w:eastAsia="Times New Roman" w:hAnsi="Times New Roman" w:cs="Times New Roman"/>
          <w:lang w:val="es-ES_tradnl" w:eastAsia="es-ES"/>
        </w:rPr>
        <w:t xml:space="preserve"> el cobro de tarifas de peaje del tránsito vehicular bidireccional en las estaciones Peaje: </w:t>
      </w:r>
      <w:r w:rsidR="00217E1F">
        <w:rPr>
          <w:rFonts w:ascii="Times New Roman" w:eastAsia="Times New Roman" w:hAnsi="Times New Roman" w:cs="Times New Roman"/>
          <w:lang w:val="es-ES_tradnl" w:eastAsia="es-ES"/>
        </w:rPr>
        <w:t xml:space="preserve">Santa Isabel en el PK 58+280, Vegachi en el PK 15+300 y </w:t>
      </w:r>
      <w:r w:rsidR="007265F9">
        <w:rPr>
          <w:rFonts w:ascii="Times New Roman" w:eastAsia="Times New Roman" w:hAnsi="Times New Roman" w:cs="Times New Roman"/>
          <w:lang w:val="es-ES_tradnl" w:eastAsia="es-ES"/>
        </w:rPr>
        <w:t>Puerto Berrio en el KM 85+0100.</w:t>
      </w:r>
      <w:r w:rsidR="007265F9" w:rsidRPr="0046726F">
        <w:rPr>
          <w:rFonts w:ascii="Times New Roman" w:eastAsia="Times New Roman" w:hAnsi="Times New Roman" w:cs="Times New Roman"/>
          <w:lang w:eastAsia="es-ES"/>
        </w:rPr>
        <w:t xml:space="preserve"> </w:t>
      </w:r>
    </w:p>
    <w:p w:rsidR="0046726F" w:rsidRPr="0046726F" w:rsidRDefault="0046726F" w:rsidP="0046726F">
      <w:pPr>
        <w:spacing w:after="0" w:line="240" w:lineRule="auto"/>
        <w:jc w:val="both"/>
        <w:rPr>
          <w:rFonts w:ascii="Times New Roman" w:eastAsia="Times New Roman" w:hAnsi="Times New Roman" w:cs="Times New Roman"/>
          <w:lang w:val="es-ES_tradnl" w:eastAsia="es-ES"/>
        </w:rPr>
      </w:pPr>
      <w:r w:rsidRPr="0046726F">
        <w:rPr>
          <w:rFonts w:ascii="Times New Roman" w:eastAsia="Times New Roman" w:hAnsi="Times New Roman" w:cs="Times New Roman"/>
          <w:b/>
          <w:lang w:val="es-ES_tradnl" w:eastAsia="es-ES"/>
        </w:rPr>
        <w:t>PARÁGRAFO</w:t>
      </w:r>
      <w:r w:rsidRPr="0046726F">
        <w:rPr>
          <w:rFonts w:ascii="Times New Roman" w:eastAsia="Times New Roman" w:hAnsi="Times New Roman" w:cs="Times New Roman"/>
          <w:lang w:val="es-ES_tradnl" w:eastAsia="es-ES"/>
        </w:rPr>
        <w:t xml:space="preserve">: De conformidad con las disposiciones establecidas en los documentos del Contrato del proceso </w:t>
      </w:r>
      <w:r w:rsidR="00511DA2">
        <w:rPr>
          <w:rFonts w:ascii="Times New Roman" w:eastAsia="Times New Roman" w:hAnsi="Times New Roman" w:cs="Times New Roman"/>
          <w:lang w:val="es-ES_tradnl" w:eastAsia="es-ES"/>
        </w:rPr>
        <w:t>VJ-VE-IP-LP-006</w:t>
      </w:r>
      <w:r w:rsidRPr="0046726F">
        <w:rPr>
          <w:rFonts w:ascii="Times New Roman" w:eastAsia="Times New Roman" w:hAnsi="Times New Roman" w:cs="Times New Roman"/>
          <w:lang w:val="es-ES_tradnl" w:eastAsia="es-ES"/>
        </w:rPr>
        <w:t>-2013, el derecho a percibir la retribución por recaudo de peajes, sólo procederá una vez se cumplan los presupuestaos establecidos en el mismo documento.</w:t>
      </w:r>
    </w:p>
    <w:p w:rsidR="0046726F" w:rsidRPr="0046726F" w:rsidRDefault="0046726F" w:rsidP="0046726F">
      <w:pPr>
        <w:spacing w:after="0" w:line="240" w:lineRule="auto"/>
        <w:jc w:val="both"/>
        <w:rPr>
          <w:rFonts w:ascii="Times New Roman" w:eastAsia="Times New Roman" w:hAnsi="Times New Roman" w:cs="Times New Roman"/>
          <w:b/>
          <w:lang w:val="es-ES_tradnl" w:eastAsia="es-ES"/>
        </w:rPr>
      </w:pPr>
    </w:p>
    <w:p w:rsidR="0046726F" w:rsidRPr="0046726F" w:rsidRDefault="0046726F" w:rsidP="0046726F">
      <w:pPr>
        <w:spacing w:after="0" w:line="240" w:lineRule="auto"/>
        <w:jc w:val="both"/>
        <w:rPr>
          <w:rFonts w:ascii="Times New Roman" w:eastAsia="Times New Roman" w:hAnsi="Times New Roman" w:cs="Times New Roman"/>
          <w:b/>
          <w:lang w:val="es-ES_tradnl" w:eastAsia="es-ES"/>
        </w:rPr>
      </w:pPr>
    </w:p>
    <w:p w:rsidR="0046726F" w:rsidRDefault="0046726F" w:rsidP="0046726F">
      <w:pPr>
        <w:spacing w:after="0" w:line="240" w:lineRule="auto"/>
        <w:jc w:val="both"/>
        <w:rPr>
          <w:rFonts w:ascii="Times New Roman" w:eastAsia="Times New Roman" w:hAnsi="Times New Roman" w:cs="Times New Roman"/>
          <w:lang w:val="es-ES_tradnl" w:eastAsia="es-ES"/>
        </w:rPr>
      </w:pPr>
      <w:r w:rsidRPr="0046726F">
        <w:rPr>
          <w:rFonts w:ascii="Times New Roman" w:eastAsia="Times New Roman" w:hAnsi="Times New Roman" w:cs="Times New Roman"/>
          <w:b/>
          <w:lang w:val="es-ES_tradnl" w:eastAsia="es-ES"/>
        </w:rPr>
        <w:t>ARTÍCULO TERCERO:</w:t>
      </w:r>
      <w:r w:rsidRPr="0046726F">
        <w:rPr>
          <w:rFonts w:ascii="Times New Roman" w:eastAsia="Times New Roman" w:hAnsi="Times New Roman" w:cs="Times New Roman"/>
          <w:lang w:val="es-ES_tradnl" w:eastAsia="es-ES"/>
        </w:rPr>
        <w:t xml:space="preserve"> Establecer las siguientes categorías vehiculares y tarifas que podrán cobrar los concesionarios a todos los usuarios en las estaciones de peaje </w:t>
      </w:r>
      <w:r w:rsidR="00511DA2">
        <w:rPr>
          <w:rFonts w:ascii="Times New Roman" w:eastAsia="Times New Roman" w:hAnsi="Times New Roman" w:cs="Times New Roman"/>
          <w:lang w:val="es-ES_tradnl" w:eastAsia="es-ES"/>
        </w:rPr>
        <w:t>Santa Isabel, Vegachi y Puerto Berrio.</w:t>
      </w:r>
    </w:p>
    <w:p w:rsidR="00511DA2" w:rsidRDefault="00511DA2" w:rsidP="0046726F">
      <w:pPr>
        <w:spacing w:after="0" w:line="240" w:lineRule="auto"/>
        <w:jc w:val="both"/>
        <w:rPr>
          <w:rFonts w:ascii="Times New Roman" w:eastAsia="Times New Roman" w:hAnsi="Times New Roman" w:cs="Times New Roman"/>
          <w:lang w:val="es-ES_tradnl" w:eastAsia="es-ES"/>
        </w:rPr>
      </w:pPr>
    </w:p>
    <w:p w:rsidR="00511DA2" w:rsidRPr="0046726F" w:rsidRDefault="00511DA2" w:rsidP="0046726F">
      <w:pPr>
        <w:spacing w:after="0" w:line="240" w:lineRule="auto"/>
        <w:jc w:val="both"/>
        <w:rPr>
          <w:rFonts w:ascii="Times New Roman" w:eastAsia="Times New Roman" w:hAnsi="Times New Roman" w:cs="Times New Roman"/>
          <w:lang w:val="es-ES_tradnl" w:eastAsia="es-ES"/>
        </w:rPr>
      </w:pPr>
    </w:p>
    <w:tbl>
      <w:tblPr>
        <w:tblW w:w="8828" w:type="dxa"/>
        <w:jc w:val="center"/>
        <w:tblCellMar>
          <w:left w:w="70" w:type="dxa"/>
          <w:right w:w="70" w:type="dxa"/>
        </w:tblCellMar>
        <w:tblLook w:val="04A0" w:firstRow="1" w:lastRow="0" w:firstColumn="1" w:lastColumn="0" w:noHBand="0" w:noVBand="1"/>
      </w:tblPr>
      <w:tblGrid>
        <w:gridCol w:w="1297"/>
        <w:gridCol w:w="1620"/>
        <w:gridCol w:w="4551"/>
        <w:gridCol w:w="1360"/>
      </w:tblGrid>
      <w:tr w:rsidR="0046726F" w:rsidRPr="0046726F" w:rsidTr="00862F68">
        <w:trPr>
          <w:trHeight w:val="600"/>
          <w:tblHeader/>
          <w:jc w:val="center"/>
        </w:trPr>
        <w:tc>
          <w:tcPr>
            <w:tcW w:w="1308" w:type="dxa"/>
            <w:tcBorders>
              <w:top w:val="single" w:sz="4" w:space="0" w:color="auto"/>
              <w:left w:val="single" w:sz="4" w:space="0" w:color="auto"/>
              <w:bottom w:val="single" w:sz="4" w:space="0" w:color="auto"/>
              <w:right w:val="single" w:sz="4" w:space="0" w:color="auto"/>
            </w:tcBorders>
          </w:tcPr>
          <w:p w:rsidR="0046726F" w:rsidRPr="0046726F" w:rsidRDefault="0046726F" w:rsidP="0046726F">
            <w:pPr>
              <w:spacing w:after="0" w:line="240" w:lineRule="auto"/>
              <w:jc w:val="center"/>
              <w:rPr>
                <w:rFonts w:ascii="Times New Roman" w:eastAsia="Times New Roman" w:hAnsi="Times New Roman" w:cs="Times New Roman"/>
                <w:b/>
                <w:bCs/>
                <w:color w:val="000000"/>
                <w:lang w:val="es-ES_tradnl" w:eastAsia="es-ES"/>
              </w:rPr>
            </w:pPr>
            <w:r w:rsidRPr="0046726F">
              <w:rPr>
                <w:rFonts w:ascii="Times New Roman" w:eastAsia="Times New Roman" w:hAnsi="Times New Roman" w:cs="Times New Roman"/>
                <w:b/>
                <w:bCs/>
                <w:color w:val="000000"/>
                <w:lang w:val="es-ES_tradnl" w:eastAsia="es-ES"/>
              </w:rPr>
              <w:t xml:space="preserve">Nombre Peaje </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b/>
                <w:bCs/>
                <w:color w:val="000000"/>
                <w:lang w:val="es-ES_tradnl" w:eastAsia="es-ES"/>
              </w:rPr>
            </w:pPr>
            <w:r w:rsidRPr="0046726F">
              <w:rPr>
                <w:rFonts w:ascii="Times New Roman" w:eastAsia="Times New Roman" w:hAnsi="Times New Roman" w:cs="Times New Roman"/>
                <w:b/>
                <w:bCs/>
                <w:color w:val="000000"/>
                <w:lang w:val="es-ES_tradnl" w:eastAsia="es-ES"/>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b/>
                <w:bCs/>
                <w:color w:val="000000"/>
                <w:lang w:val="es-ES_tradnl" w:eastAsia="es-ES"/>
              </w:rPr>
            </w:pPr>
            <w:r w:rsidRPr="0046726F">
              <w:rPr>
                <w:rFonts w:ascii="Times New Roman" w:eastAsia="Times New Roman" w:hAnsi="Times New Roman" w:cs="Times New Roman"/>
                <w:b/>
                <w:bCs/>
                <w:color w:val="000000"/>
                <w:lang w:val="es-ES_tradnl" w:eastAsia="es-ES"/>
              </w:rPr>
              <w:t>DESCRIPCIÓN</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46726F" w:rsidRPr="0046726F" w:rsidRDefault="0046726F" w:rsidP="0046726F">
            <w:pPr>
              <w:spacing w:after="0" w:line="240" w:lineRule="auto"/>
              <w:jc w:val="center"/>
              <w:rPr>
                <w:rFonts w:ascii="Times New Roman" w:eastAsia="Times New Roman" w:hAnsi="Times New Roman" w:cs="Times New Roman"/>
                <w:b/>
                <w:bCs/>
                <w:color w:val="000000"/>
                <w:lang w:val="es-ES_tradnl" w:eastAsia="es-ES"/>
              </w:rPr>
            </w:pPr>
            <w:r w:rsidRPr="0046726F">
              <w:rPr>
                <w:rFonts w:ascii="Times New Roman" w:eastAsia="Times New Roman" w:hAnsi="Times New Roman" w:cs="Times New Roman"/>
                <w:b/>
                <w:bCs/>
                <w:color w:val="000000"/>
                <w:lang w:val="es-ES_tradnl" w:eastAsia="es-ES"/>
              </w:rPr>
              <w:t>TARIFA (pesos 2012)</w:t>
            </w:r>
          </w:p>
        </w:tc>
      </w:tr>
      <w:tr w:rsidR="0046726F" w:rsidRPr="0046726F" w:rsidTr="00862F68">
        <w:trPr>
          <w:trHeight w:val="300"/>
          <w:jc w:val="center"/>
        </w:trPr>
        <w:tc>
          <w:tcPr>
            <w:tcW w:w="1308" w:type="dxa"/>
            <w:vMerge w:val="restart"/>
            <w:tcBorders>
              <w:top w:val="nil"/>
              <w:left w:val="single" w:sz="4" w:space="0" w:color="auto"/>
              <w:right w:val="single" w:sz="4" w:space="0" w:color="auto"/>
            </w:tcBorders>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p w:rsidR="0046726F" w:rsidRPr="0046726F" w:rsidRDefault="00511DA2" w:rsidP="0046726F">
            <w:pPr>
              <w:spacing w:after="0" w:line="240" w:lineRule="auto"/>
              <w:rPr>
                <w:rFonts w:ascii="Times New Roman" w:eastAsia="Times New Roman" w:hAnsi="Times New Roman" w:cs="Times New Roman"/>
                <w:b/>
                <w:color w:val="000000"/>
                <w:lang w:val="es-ES_tradnl" w:eastAsia="es-ES"/>
              </w:rPr>
            </w:pPr>
            <w:r>
              <w:rPr>
                <w:rFonts w:ascii="Times New Roman" w:eastAsia="Times New Roman" w:hAnsi="Times New Roman" w:cs="Times New Roman"/>
                <w:b/>
                <w:color w:val="000000"/>
                <w:lang w:val="es-ES_tradnl" w:eastAsia="es-ES"/>
              </w:rPr>
              <w:t>Santa Isabel</w:t>
            </w: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I</w:t>
            </w:r>
          </w:p>
        </w:tc>
        <w:tc>
          <w:tcPr>
            <w:tcW w:w="4551" w:type="dxa"/>
            <w:tcBorders>
              <w:top w:val="nil"/>
              <w:left w:val="nil"/>
              <w:bottom w:val="single" w:sz="4" w:space="0" w:color="auto"/>
              <w:right w:val="single" w:sz="4" w:space="0" w:color="auto"/>
            </w:tcBorders>
            <w:shd w:val="clear" w:color="auto" w:fill="auto"/>
            <w:noWrap/>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Automóviles, camperos y camionetas</w:t>
            </w:r>
          </w:p>
        </w:tc>
        <w:tc>
          <w:tcPr>
            <w:tcW w:w="1360" w:type="dxa"/>
            <w:tcBorders>
              <w:top w:val="nil"/>
              <w:left w:val="nil"/>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$ 8.700</w:t>
            </w:r>
          </w:p>
        </w:tc>
      </w:tr>
      <w:tr w:rsidR="0046726F" w:rsidRPr="0046726F" w:rsidTr="00862F68">
        <w:trPr>
          <w:trHeight w:val="600"/>
          <w:jc w:val="center"/>
        </w:trPr>
        <w:tc>
          <w:tcPr>
            <w:tcW w:w="1308" w:type="dxa"/>
            <w:vMerge/>
            <w:tcBorders>
              <w:left w:val="single" w:sz="4" w:space="0" w:color="auto"/>
              <w:right w:val="single" w:sz="4" w:space="0" w:color="auto"/>
            </w:tcBorders>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II</w:t>
            </w:r>
          </w:p>
        </w:tc>
        <w:tc>
          <w:tcPr>
            <w:tcW w:w="4551" w:type="dxa"/>
            <w:tcBorders>
              <w:top w:val="nil"/>
              <w:left w:val="nil"/>
              <w:bottom w:val="single" w:sz="4" w:space="0" w:color="auto"/>
              <w:right w:val="single" w:sz="4" w:space="0" w:color="auto"/>
            </w:tcBorders>
            <w:shd w:val="clear" w:color="auto" w:fill="auto"/>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Buses, busetas, microbuses con eje trasero de doble llanta</w:t>
            </w:r>
          </w:p>
        </w:tc>
        <w:tc>
          <w:tcPr>
            <w:tcW w:w="1360" w:type="dxa"/>
            <w:tcBorders>
              <w:top w:val="nil"/>
              <w:left w:val="nil"/>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$ 10.900</w:t>
            </w:r>
          </w:p>
        </w:tc>
      </w:tr>
      <w:tr w:rsidR="0046726F" w:rsidRPr="0046726F" w:rsidTr="00862F68">
        <w:trPr>
          <w:trHeight w:val="300"/>
          <w:jc w:val="center"/>
        </w:trPr>
        <w:tc>
          <w:tcPr>
            <w:tcW w:w="1308" w:type="dxa"/>
            <w:vMerge/>
            <w:tcBorders>
              <w:left w:val="single" w:sz="4" w:space="0" w:color="auto"/>
              <w:right w:val="single" w:sz="4" w:space="0" w:color="auto"/>
            </w:tcBorders>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III</w:t>
            </w:r>
          </w:p>
        </w:tc>
        <w:tc>
          <w:tcPr>
            <w:tcW w:w="4551" w:type="dxa"/>
            <w:tcBorders>
              <w:top w:val="nil"/>
              <w:left w:val="nil"/>
              <w:bottom w:val="single" w:sz="4" w:space="0" w:color="auto"/>
              <w:right w:val="single" w:sz="4" w:space="0" w:color="auto"/>
            </w:tcBorders>
            <w:shd w:val="clear" w:color="auto" w:fill="auto"/>
            <w:noWrap/>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Camiones pequeños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$10.900</w:t>
            </w:r>
          </w:p>
        </w:tc>
      </w:tr>
      <w:tr w:rsidR="0046726F" w:rsidRPr="0046726F" w:rsidTr="00862F68">
        <w:trPr>
          <w:trHeight w:val="300"/>
          <w:jc w:val="center"/>
        </w:trPr>
        <w:tc>
          <w:tcPr>
            <w:tcW w:w="1308" w:type="dxa"/>
            <w:vMerge/>
            <w:tcBorders>
              <w:left w:val="single" w:sz="4" w:space="0" w:color="auto"/>
              <w:right w:val="single" w:sz="4" w:space="0" w:color="auto"/>
            </w:tcBorders>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IV</w:t>
            </w:r>
          </w:p>
        </w:tc>
        <w:tc>
          <w:tcPr>
            <w:tcW w:w="4551" w:type="dxa"/>
            <w:tcBorders>
              <w:top w:val="nil"/>
              <w:left w:val="nil"/>
              <w:bottom w:val="single" w:sz="4" w:space="0" w:color="auto"/>
              <w:right w:val="single" w:sz="4" w:space="0" w:color="auto"/>
            </w:tcBorders>
            <w:shd w:val="clear" w:color="auto" w:fill="auto"/>
            <w:noWrap/>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Camiones grandes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$10.900</w:t>
            </w:r>
          </w:p>
        </w:tc>
      </w:tr>
      <w:tr w:rsidR="0046726F" w:rsidRPr="0046726F" w:rsidTr="00862F68">
        <w:trPr>
          <w:trHeight w:val="300"/>
          <w:jc w:val="center"/>
        </w:trPr>
        <w:tc>
          <w:tcPr>
            <w:tcW w:w="1308" w:type="dxa"/>
            <w:vMerge/>
            <w:tcBorders>
              <w:left w:val="single" w:sz="4" w:space="0" w:color="auto"/>
              <w:right w:val="single" w:sz="4" w:space="0" w:color="auto"/>
            </w:tcBorders>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V</w:t>
            </w:r>
          </w:p>
        </w:tc>
        <w:tc>
          <w:tcPr>
            <w:tcW w:w="4551" w:type="dxa"/>
            <w:tcBorders>
              <w:top w:val="nil"/>
              <w:left w:val="nil"/>
              <w:bottom w:val="single" w:sz="4" w:space="0" w:color="auto"/>
              <w:right w:val="single" w:sz="4" w:space="0" w:color="auto"/>
            </w:tcBorders>
            <w:shd w:val="clear" w:color="auto" w:fill="auto"/>
            <w:noWrap/>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Camiones de tres y cuatro ejes</w:t>
            </w:r>
          </w:p>
        </w:tc>
        <w:tc>
          <w:tcPr>
            <w:tcW w:w="1360" w:type="dxa"/>
            <w:tcBorders>
              <w:top w:val="nil"/>
              <w:left w:val="nil"/>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$26.200</w:t>
            </w:r>
          </w:p>
        </w:tc>
      </w:tr>
      <w:tr w:rsidR="0046726F" w:rsidRPr="0046726F" w:rsidTr="00862F68">
        <w:trPr>
          <w:trHeight w:val="300"/>
          <w:jc w:val="center"/>
        </w:trPr>
        <w:tc>
          <w:tcPr>
            <w:tcW w:w="1308" w:type="dxa"/>
            <w:vMerge/>
            <w:tcBorders>
              <w:left w:val="single" w:sz="4" w:space="0" w:color="auto"/>
              <w:right w:val="single" w:sz="4" w:space="0" w:color="auto"/>
            </w:tcBorders>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VI</w:t>
            </w:r>
          </w:p>
        </w:tc>
        <w:tc>
          <w:tcPr>
            <w:tcW w:w="4551" w:type="dxa"/>
            <w:tcBorders>
              <w:top w:val="nil"/>
              <w:left w:val="nil"/>
              <w:bottom w:val="single" w:sz="4" w:space="0" w:color="auto"/>
              <w:right w:val="single" w:sz="4" w:space="0" w:color="auto"/>
            </w:tcBorders>
            <w:shd w:val="clear" w:color="auto" w:fill="auto"/>
            <w:noWrap/>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Camiones de cinco ejes</w:t>
            </w:r>
          </w:p>
        </w:tc>
        <w:tc>
          <w:tcPr>
            <w:tcW w:w="1360" w:type="dxa"/>
            <w:tcBorders>
              <w:top w:val="nil"/>
              <w:left w:val="nil"/>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$32.900</w:t>
            </w:r>
          </w:p>
        </w:tc>
      </w:tr>
      <w:tr w:rsidR="0046726F" w:rsidRPr="0046726F" w:rsidTr="00862F68">
        <w:trPr>
          <w:trHeight w:val="300"/>
          <w:jc w:val="center"/>
        </w:trPr>
        <w:tc>
          <w:tcPr>
            <w:tcW w:w="1308" w:type="dxa"/>
            <w:vMerge/>
            <w:tcBorders>
              <w:left w:val="single" w:sz="4" w:space="0" w:color="auto"/>
              <w:bottom w:val="single" w:sz="4" w:space="0" w:color="auto"/>
              <w:right w:val="single" w:sz="4" w:space="0" w:color="auto"/>
            </w:tcBorders>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VII</w:t>
            </w:r>
          </w:p>
        </w:tc>
        <w:tc>
          <w:tcPr>
            <w:tcW w:w="4551" w:type="dxa"/>
            <w:tcBorders>
              <w:top w:val="nil"/>
              <w:left w:val="nil"/>
              <w:bottom w:val="single" w:sz="4" w:space="0" w:color="auto"/>
              <w:right w:val="single" w:sz="4" w:space="0" w:color="auto"/>
            </w:tcBorders>
            <w:shd w:val="clear" w:color="auto" w:fill="auto"/>
            <w:noWrap/>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Camiones de seis ejes o más</w:t>
            </w:r>
          </w:p>
        </w:tc>
        <w:tc>
          <w:tcPr>
            <w:tcW w:w="1360" w:type="dxa"/>
            <w:tcBorders>
              <w:top w:val="nil"/>
              <w:left w:val="nil"/>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$38.000</w:t>
            </w:r>
          </w:p>
        </w:tc>
      </w:tr>
    </w:tbl>
    <w:p w:rsidR="0046726F" w:rsidRPr="0046726F" w:rsidRDefault="0046726F" w:rsidP="0046726F">
      <w:pPr>
        <w:jc w:val="both"/>
        <w:rPr>
          <w:rFonts w:ascii="Times New Roman" w:hAnsi="Times New Roman" w:cs="Times New Roman"/>
          <w:lang w:val="es-CO"/>
        </w:rPr>
      </w:pPr>
    </w:p>
    <w:p w:rsidR="0046726F" w:rsidRPr="0046726F" w:rsidRDefault="0046726F" w:rsidP="0046726F">
      <w:pPr>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spacing w:after="0" w:line="240" w:lineRule="auto"/>
        <w:jc w:val="both"/>
        <w:rPr>
          <w:rFonts w:ascii="Times New Roman" w:eastAsia="Times New Roman" w:hAnsi="Times New Roman" w:cs="Times New Roman"/>
          <w:lang w:val="es-ES_tradnl" w:eastAsia="es-ES"/>
        </w:rPr>
      </w:pPr>
    </w:p>
    <w:p w:rsidR="0046726F" w:rsidRDefault="0046726F" w:rsidP="0046726F">
      <w:pPr>
        <w:spacing w:after="0" w:line="240" w:lineRule="auto"/>
        <w:jc w:val="both"/>
        <w:rPr>
          <w:rFonts w:ascii="Times New Roman" w:eastAsia="Times New Roman" w:hAnsi="Times New Roman" w:cs="Times New Roman"/>
          <w:lang w:val="es-ES_tradnl" w:eastAsia="es-ES"/>
        </w:rPr>
      </w:pPr>
    </w:p>
    <w:tbl>
      <w:tblPr>
        <w:tblW w:w="8828" w:type="dxa"/>
        <w:jc w:val="center"/>
        <w:tblCellMar>
          <w:left w:w="70" w:type="dxa"/>
          <w:right w:w="70" w:type="dxa"/>
        </w:tblCellMar>
        <w:tblLook w:val="04A0" w:firstRow="1" w:lastRow="0" w:firstColumn="1" w:lastColumn="0" w:noHBand="0" w:noVBand="1"/>
      </w:tblPr>
      <w:tblGrid>
        <w:gridCol w:w="1297"/>
        <w:gridCol w:w="1620"/>
        <w:gridCol w:w="4551"/>
        <w:gridCol w:w="1360"/>
      </w:tblGrid>
      <w:tr w:rsidR="00511DA2" w:rsidRPr="0046726F" w:rsidTr="00862F68">
        <w:trPr>
          <w:trHeight w:val="600"/>
          <w:tblHeader/>
          <w:jc w:val="center"/>
        </w:trPr>
        <w:tc>
          <w:tcPr>
            <w:tcW w:w="1308" w:type="dxa"/>
            <w:tcBorders>
              <w:top w:val="single" w:sz="4" w:space="0" w:color="auto"/>
              <w:left w:val="single" w:sz="4" w:space="0" w:color="auto"/>
              <w:bottom w:val="single" w:sz="4" w:space="0" w:color="auto"/>
              <w:right w:val="single" w:sz="4" w:space="0" w:color="auto"/>
            </w:tcBorders>
          </w:tcPr>
          <w:p w:rsidR="00511DA2" w:rsidRPr="0046726F" w:rsidRDefault="00511DA2" w:rsidP="00862F68">
            <w:pPr>
              <w:spacing w:after="0" w:line="240" w:lineRule="auto"/>
              <w:jc w:val="center"/>
              <w:rPr>
                <w:rFonts w:ascii="Times New Roman" w:eastAsia="Times New Roman" w:hAnsi="Times New Roman" w:cs="Times New Roman"/>
                <w:b/>
                <w:bCs/>
                <w:color w:val="000000"/>
                <w:lang w:val="es-ES_tradnl" w:eastAsia="es-ES"/>
              </w:rPr>
            </w:pPr>
            <w:r w:rsidRPr="0046726F">
              <w:rPr>
                <w:rFonts w:ascii="Times New Roman" w:eastAsia="Times New Roman" w:hAnsi="Times New Roman" w:cs="Times New Roman"/>
                <w:b/>
                <w:bCs/>
                <w:color w:val="000000"/>
                <w:lang w:val="es-ES_tradnl" w:eastAsia="es-ES"/>
              </w:rPr>
              <w:t xml:space="preserve">Nombre Peaje </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1DA2" w:rsidRPr="0046726F" w:rsidRDefault="00511DA2" w:rsidP="00862F68">
            <w:pPr>
              <w:spacing w:after="0" w:line="240" w:lineRule="auto"/>
              <w:jc w:val="center"/>
              <w:rPr>
                <w:rFonts w:ascii="Times New Roman" w:eastAsia="Times New Roman" w:hAnsi="Times New Roman" w:cs="Times New Roman"/>
                <w:b/>
                <w:bCs/>
                <w:color w:val="000000"/>
                <w:lang w:val="es-ES_tradnl" w:eastAsia="es-ES"/>
              </w:rPr>
            </w:pPr>
            <w:r w:rsidRPr="0046726F">
              <w:rPr>
                <w:rFonts w:ascii="Times New Roman" w:eastAsia="Times New Roman" w:hAnsi="Times New Roman" w:cs="Times New Roman"/>
                <w:b/>
                <w:bCs/>
                <w:color w:val="000000"/>
                <w:lang w:val="es-ES_tradnl" w:eastAsia="es-ES"/>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511DA2" w:rsidRPr="0046726F" w:rsidRDefault="00511DA2" w:rsidP="00862F68">
            <w:pPr>
              <w:spacing w:after="0" w:line="240" w:lineRule="auto"/>
              <w:jc w:val="center"/>
              <w:rPr>
                <w:rFonts w:ascii="Times New Roman" w:eastAsia="Times New Roman" w:hAnsi="Times New Roman" w:cs="Times New Roman"/>
                <w:b/>
                <w:bCs/>
                <w:color w:val="000000"/>
                <w:lang w:val="es-ES_tradnl" w:eastAsia="es-ES"/>
              </w:rPr>
            </w:pPr>
            <w:r w:rsidRPr="0046726F">
              <w:rPr>
                <w:rFonts w:ascii="Times New Roman" w:eastAsia="Times New Roman" w:hAnsi="Times New Roman" w:cs="Times New Roman"/>
                <w:b/>
                <w:bCs/>
                <w:color w:val="000000"/>
                <w:lang w:val="es-ES_tradnl" w:eastAsia="es-ES"/>
              </w:rPr>
              <w:t>DESCRIPCIÓN</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511DA2" w:rsidRPr="0046726F" w:rsidRDefault="00511DA2" w:rsidP="00862F68">
            <w:pPr>
              <w:spacing w:after="0" w:line="240" w:lineRule="auto"/>
              <w:jc w:val="center"/>
              <w:rPr>
                <w:rFonts w:ascii="Times New Roman" w:eastAsia="Times New Roman" w:hAnsi="Times New Roman" w:cs="Times New Roman"/>
                <w:b/>
                <w:bCs/>
                <w:color w:val="000000"/>
                <w:lang w:val="es-ES_tradnl" w:eastAsia="es-ES"/>
              </w:rPr>
            </w:pPr>
            <w:r w:rsidRPr="0046726F">
              <w:rPr>
                <w:rFonts w:ascii="Times New Roman" w:eastAsia="Times New Roman" w:hAnsi="Times New Roman" w:cs="Times New Roman"/>
                <w:b/>
                <w:bCs/>
                <w:color w:val="000000"/>
                <w:lang w:val="es-ES_tradnl" w:eastAsia="es-ES"/>
              </w:rPr>
              <w:t>TARIFA (pesos 2012)</w:t>
            </w:r>
          </w:p>
        </w:tc>
      </w:tr>
      <w:tr w:rsidR="00511DA2" w:rsidRPr="0046726F" w:rsidTr="00862F68">
        <w:trPr>
          <w:trHeight w:val="300"/>
          <w:jc w:val="center"/>
        </w:trPr>
        <w:tc>
          <w:tcPr>
            <w:tcW w:w="1308" w:type="dxa"/>
            <w:vMerge w:val="restart"/>
            <w:tcBorders>
              <w:top w:val="nil"/>
              <w:left w:val="single" w:sz="4" w:space="0" w:color="auto"/>
              <w:right w:val="single" w:sz="4" w:space="0" w:color="auto"/>
            </w:tcBorders>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p>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p>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p>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p>
          <w:p w:rsidR="00511DA2" w:rsidRPr="0046726F" w:rsidRDefault="00511DA2" w:rsidP="00862F68">
            <w:pPr>
              <w:spacing w:after="0" w:line="240" w:lineRule="auto"/>
              <w:rPr>
                <w:rFonts w:ascii="Times New Roman" w:eastAsia="Times New Roman" w:hAnsi="Times New Roman" w:cs="Times New Roman"/>
                <w:b/>
                <w:color w:val="000000"/>
                <w:lang w:val="es-ES_tradnl" w:eastAsia="es-ES"/>
              </w:rPr>
            </w:pPr>
            <w:r>
              <w:rPr>
                <w:rFonts w:ascii="Times New Roman" w:eastAsia="Times New Roman" w:hAnsi="Times New Roman" w:cs="Times New Roman"/>
                <w:b/>
                <w:color w:val="000000"/>
                <w:lang w:val="es-ES_tradnl" w:eastAsia="es-ES"/>
              </w:rPr>
              <w:t xml:space="preserve">Vegachi </w:t>
            </w: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I</w:t>
            </w:r>
          </w:p>
        </w:tc>
        <w:tc>
          <w:tcPr>
            <w:tcW w:w="4551" w:type="dxa"/>
            <w:tcBorders>
              <w:top w:val="nil"/>
              <w:left w:val="nil"/>
              <w:bottom w:val="single" w:sz="4" w:space="0" w:color="auto"/>
              <w:right w:val="single" w:sz="4" w:space="0" w:color="auto"/>
            </w:tcBorders>
            <w:shd w:val="clear" w:color="auto" w:fill="auto"/>
            <w:noWrap/>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Automóviles, camperos y camionetas</w:t>
            </w:r>
          </w:p>
        </w:tc>
        <w:tc>
          <w:tcPr>
            <w:tcW w:w="1360" w:type="dxa"/>
            <w:tcBorders>
              <w:top w:val="nil"/>
              <w:left w:val="nil"/>
              <w:bottom w:val="single" w:sz="4" w:space="0" w:color="auto"/>
              <w:right w:val="single" w:sz="4" w:space="0" w:color="auto"/>
            </w:tcBorders>
            <w:shd w:val="clear" w:color="auto" w:fill="auto"/>
            <w:noWrap/>
            <w:vAlign w:val="center"/>
            <w:hideMark/>
          </w:tcPr>
          <w:p w:rsidR="00511DA2" w:rsidRPr="0046726F" w:rsidRDefault="00511DA2" w:rsidP="00862F68">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$ 8.700</w:t>
            </w:r>
          </w:p>
        </w:tc>
      </w:tr>
      <w:tr w:rsidR="00511DA2" w:rsidRPr="0046726F" w:rsidTr="00862F68">
        <w:trPr>
          <w:trHeight w:val="600"/>
          <w:jc w:val="center"/>
        </w:trPr>
        <w:tc>
          <w:tcPr>
            <w:tcW w:w="1308" w:type="dxa"/>
            <w:vMerge/>
            <w:tcBorders>
              <w:left w:val="single" w:sz="4" w:space="0" w:color="auto"/>
              <w:right w:val="single" w:sz="4" w:space="0" w:color="auto"/>
            </w:tcBorders>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II</w:t>
            </w:r>
          </w:p>
        </w:tc>
        <w:tc>
          <w:tcPr>
            <w:tcW w:w="4551" w:type="dxa"/>
            <w:tcBorders>
              <w:top w:val="nil"/>
              <w:left w:val="nil"/>
              <w:bottom w:val="single" w:sz="4" w:space="0" w:color="auto"/>
              <w:right w:val="single" w:sz="4" w:space="0" w:color="auto"/>
            </w:tcBorders>
            <w:shd w:val="clear" w:color="auto" w:fill="auto"/>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Buses, busetas, microbuses con eje trasero de doble llanta</w:t>
            </w:r>
          </w:p>
        </w:tc>
        <w:tc>
          <w:tcPr>
            <w:tcW w:w="1360" w:type="dxa"/>
            <w:tcBorders>
              <w:top w:val="nil"/>
              <w:left w:val="nil"/>
              <w:bottom w:val="single" w:sz="4" w:space="0" w:color="auto"/>
              <w:right w:val="single" w:sz="4" w:space="0" w:color="auto"/>
            </w:tcBorders>
            <w:shd w:val="clear" w:color="auto" w:fill="auto"/>
            <w:noWrap/>
            <w:vAlign w:val="center"/>
            <w:hideMark/>
          </w:tcPr>
          <w:p w:rsidR="00511DA2" w:rsidRPr="0046726F" w:rsidRDefault="00511DA2" w:rsidP="00862F68">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$ 10.900</w:t>
            </w:r>
          </w:p>
        </w:tc>
      </w:tr>
      <w:tr w:rsidR="00511DA2" w:rsidRPr="0046726F" w:rsidTr="00862F68">
        <w:trPr>
          <w:trHeight w:val="300"/>
          <w:jc w:val="center"/>
        </w:trPr>
        <w:tc>
          <w:tcPr>
            <w:tcW w:w="1308" w:type="dxa"/>
            <w:vMerge/>
            <w:tcBorders>
              <w:left w:val="single" w:sz="4" w:space="0" w:color="auto"/>
              <w:right w:val="single" w:sz="4" w:space="0" w:color="auto"/>
            </w:tcBorders>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III</w:t>
            </w:r>
          </w:p>
        </w:tc>
        <w:tc>
          <w:tcPr>
            <w:tcW w:w="4551" w:type="dxa"/>
            <w:tcBorders>
              <w:top w:val="nil"/>
              <w:left w:val="nil"/>
              <w:bottom w:val="single" w:sz="4" w:space="0" w:color="auto"/>
              <w:right w:val="single" w:sz="4" w:space="0" w:color="auto"/>
            </w:tcBorders>
            <w:shd w:val="clear" w:color="auto" w:fill="auto"/>
            <w:noWrap/>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Camiones pequeños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511DA2" w:rsidRPr="0046726F" w:rsidRDefault="00511DA2" w:rsidP="00862F68">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$10.900</w:t>
            </w:r>
          </w:p>
        </w:tc>
      </w:tr>
      <w:tr w:rsidR="00511DA2" w:rsidRPr="0046726F" w:rsidTr="00862F68">
        <w:trPr>
          <w:trHeight w:val="300"/>
          <w:jc w:val="center"/>
        </w:trPr>
        <w:tc>
          <w:tcPr>
            <w:tcW w:w="1308" w:type="dxa"/>
            <w:vMerge/>
            <w:tcBorders>
              <w:left w:val="single" w:sz="4" w:space="0" w:color="auto"/>
              <w:right w:val="single" w:sz="4" w:space="0" w:color="auto"/>
            </w:tcBorders>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IV</w:t>
            </w:r>
          </w:p>
        </w:tc>
        <w:tc>
          <w:tcPr>
            <w:tcW w:w="4551" w:type="dxa"/>
            <w:tcBorders>
              <w:top w:val="nil"/>
              <w:left w:val="nil"/>
              <w:bottom w:val="single" w:sz="4" w:space="0" w:color="auto"/>
              <w:right w:val="single" w:sz="4" w:space="0" w:color="auto"/>
            </w:tcBorders>
            <w:shd w:val="clear" w:color="auto" w:fill="auto"/>
            <w:noWrap/>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Camiones grandes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511DA2" w:rsidRPr="0046726F" w:rsidRDefault="00511DA2" w:rsidP="00862F68">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$10.900</w:t>
            </w:r>
          </w:p>
        </w:tc>
      </w:tr>
      <w:tr w:rsidR="00511DA2" w:rsidRPr="0046726F" w:rsidTr="00862F68">
        <w:trPr>
          <w:trHeight w:val="300"/>
          <w:jc w:val="center"/>
        </w:trPr>
        <w:tc>
          <w:tcPr>
            <w:tcW w:w="1308" w:type="dxa"/>
            <w:vMerge/>
            <w:tcBorders>
              <w:left w:val="single" w:sz="4" w:space="0" w:color="auto"/>
              <w:right w:val="single" w:sz="4" w:space="0" w:color="auto"/>
            </w:tcBorders>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V</w:t>
            </w:r>
          </w:p>
        </w:tc>
        <w:tc>
          <w:tcPr>
            <w:tcW w:w="4551" w:type="dxa"/>
            <w:tcBorders>
              <w:top w:val="nil"/>
              <w:left w:val="nil"/>
              <w:bottom w:val="single" w:sz="4" w:space="0" w:color="auto"/>
              <w:right w:val="single" w:sz="4" w:space="0" w:color="auto"/>
            </w:tcBorders>
            <w:shd w:val="clear" w:color="auto" w:fill="auto"/>
            <w:noWrap/>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Camiones de tres y cuatro ejes</w:t>
            </w:r>
          </w:p>
        </w:tc>
        <w:tc>
          <w:tcPr>
            <w:tcW w:w="1360" w:type="dxa"/>
            <w:tcBorders>
              <w:top w:val="nil"/>
              <w:left w:val="nil"/>
              <w:bottom w:val="single" w:sz="4" w:space="0" w:color="auto"/>
              <w:right w:val="single" w:sz="4" w:space="0" w:color="auto"/>
            </w:tcBorders>
            <w:shd w:val="clear" w:color="auto" w:fill="auto"/>
            <w:noWrap/>
            <w:vAlign w:val="center"/>
            <w:hideMark/>
          </w:tcPr>
          <w:p w:rsidR="00511DA2" w:rsidRPr="0046726F" w:rsidRDefault="00511DA2" w:rsidP="00862F68">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$26.200</w:t>
            </w:r>
          </w:p>
        </w:tc>
      </w:tr>
      <w:tr w:rsidR="00511DA2" w:rsidRPr="0046726F" w:rsidTr="00862F68">
        <w:trPr>
          <w:trHeight w:val="300"/>
          <w:jc w:val="center"/>
        </w:trPr>
        <w:tc>
          <w:tcPr>
            <w:tcW w:w="1308" w:type="dxa"/>
            <w:vMerge/>
            <w:tcBorders>
              <w:left w:val="single" w:sz="4" w:space="0" w:color="auto"/>
              <w:right w:val="single" w:sz="4" w:space="0" w:color="auto"/>
            </w:tcBorders>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VI</w:t>
            </w:r>
          </w:p>
        </w:tc>
        <w:tc>
          <w:tcPr>
            <w:tcW w:w="4551" w:type="dxa"/>
            <w:tcBorders>
              <w:top w:val="nil"/>
              <w:left w:val="nil"/>
              <w:bottom w:val="single" w:sz="4" w:space="0" w:color="auto"/>
              <w:right w:val="single" w:sz="4" w:space="0" w:color="auto"/>
            </w:tcBorders>
            <w:shd w:val="clear" w:color="auto" w:fill="auto"/>
            <w:noWrap/>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Camiones de cinco ejes</w:t>
            </w:r>
          </w:p>
        </w:tc>
        <w:tc>
          <w:tcPr>
            <w:tcW w:w="1360" w:type="dxa"/>
            <w:tcBorders>
              <w:top w:val="nil"/>
              <w:left w:val="nil"/>
              <w:bottom w:val="single" w:sz="4" w:space="0" w:color="auto"/>
              <w:right w:val="single" w:sz="4" w:space="0" w:color="auto"/>
            </w:tcBorders>
            <w:shd w:val="clear" w:color="auto" w:fill="auto"/>
            <w:noWrap/>
            <w:vAlign w:val="center"/>
            <w:hideMark/>
          </w:tcPr>
          <w:p w:rsidR="00511DA2" w:rsidRPr="0046726F" w:rsidRDefault="00511DA2" w:rsidP="00862F68">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$32.900</w:t>
            </w:r>
          </w:p>
        </w:tc>
      </w:tr>
      <w:tr w:rsidR="00511DA2" w:rsidRPr="0046726F" w:rsidTr="00862F68">
        <w:trPr>
          <w:trHeight w:val="300"/>
          <w:jc w:val="center"/>
        </w:trPr>
        <w:tc>
          <w:tcPr>
            <w:tcW w:w="1308" w:type="dxa"/>
            <w:vMerge/>
            <w:tcBorders>
              <w:left w:val="single" w:sz="4" w:space="0" w:color="auto"/>
              <w:bottom w:val="single" w:sz="4" w:space="0" w:color="auto"/>
              <w:right w:val="single" w:sz="4" w:space="0" w:color="auto"/>
            </w:tcBorders>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VII</w:t>
            </w:r>
          </w:p>
        </w:tc>
        <w:tc>
          <w:tcPr>
            <w:tcW w:w="4551" w:type="dxa"/>
            <w:tcBorders>
              <w:top w:val="nil"/>
              <w:left w:val="nil"/>
              <w:bottom w:val="single" w:sz="4" w:space="0" w:color="auto"/>
              <w:right w:val="single" w:sz="4" w:space="0" w:color="auto"/>
            </w:tcBorders>
            <w:shd w:val="clear" w:color="auto" w:fill="auto"/>
            <w:noWrap/>
          </w:tcPr>
          <w:p w:rsidR="00511DA2" w:rsidRPr="0046726F" w:rsidRDefault="00511DA2" w:rsidP="00862F68">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Camiones de seis ejes o más</w:t>
            </w:r>
          </w:p>
        </w:tc>
        <w:tc>
          <w:tcPr>
            <w:tcW w:w="1360" w:type="dxa"/>
            <w:tcBorders>
              <w:top w:val="nil"/>
              <w:left w:val="nil"/>
              <w:bottom w:val="single" w:sz="4" w:space="0" w:color="auto"/>
              <w:right w:val="single" w:sz="4" w:space="0" w:color="auto"/>
            </w:tcBorders>
            <w:shd w:val="clear" w:color="auto" w:fill="auto"/>
            <w:noWrap/>
            <w:vAlign w:val="center"/>
            <w:hideMark/>
          </w:tcPr>
          <w:p w:rsidR="00511DA2" w:rsidRPr="0046726F" w:rsidRDefault="00511DA2" w:rsidP="00862F68">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$38.000</w:t>
            </w:r>
          </w:p>
        </w:tc>
      </w:tr>
    </w:tbl>
    <w:p w:rsidR="00511DA2" w:rsidRDefault="00511DA2" w:rsidP="0046726F">
      <w:pPr>
        <w:spacing w:after="0" w:line="240" w:lineRule="auto"/>
        <w:jc w:val="both"/>
        <w:rPr>
          <w:rFonts w:ascii="Times New Roman" w:eastAsia="Times New Roman" w:hAnsi="Times New Roman" w:cs="Times New Roman"/>
          <w:lang w:val="es-ES_tradnl" w:eastAsia="es-ES"/>
        </w:rPr>
      </w:pPr>
    </w:p>
    <w:p w:rsidR="00511DA2" w:rsidRDefault="00511DA2" w:rsidP="0046726F">
      <w:pPr>
        <w:spacing w:after="0" w:line="240" w:lineRule="auto"/>
        <w:jc w:val="both"/>
        <w:rPr>
          <w:rFonts w:ascii="Times New Roman" w:eastAsia="Times New Roman" w:hAnsi="Times New Roman" w:cs="Times New Roman"/>
          <w:lang w:val="es-ES_tradnl" w:eastAsia="es-ES"/>
        </w:rPr>
      </w:pPr>
    </w:p>
    <w:p w:rsidR="00511DA2" w:rsidRDefault="00511DA2" w:rsidP="0046726F">
      <w:pPr>
        <w:spacing w:after="0" w:line="240" w:lineRule="auto"/>
        <w:jc w:val="both"/>
        <w:rPr>
          <w:rFonts w:ascii="Times New Roman" w:eastAsia="Times New Roman" w:hAnsi="Times New Roman" w:cs="Times New Roman"/>
          <w:lang w:val="es-ES_tradnl" w:eastAsia="es-ES"/>
        </w:rPr>
      </w:pPr>
    </w:p>
    <w:p w:rsidR="00511DA2" w:rsidRPr="0046726F" w:rsidRDefault="00511DA2" w:rsidP="0046726F">
      <w:pPr>
        <w:spacing w:after="0" w:line="240" w:lineRule="auto"/>
        <w:jc w:val="both"/>
        <w:rPr>
          <w:rFonts w:ascii="Times New Roman" w:eastAsia="Times New Roman" w:hAnsi="Times New Roman" w:cs="Times New Roman"/>
          <w:lang w:val="es-ES_tradnl" w:eastAsia="es-ES"/>
        </w:rPr>
      </w:pPr>
    </w:p>
    <w:tbl>
      <w:tblPr>
        <w:tblW w:w="8828" w:type="dxa"/>
        <w:jc w:val="center"/>
        <w:tblCellMar>
          <w:left w:w="70" w:type="dxa"/>
          <w:right w:w="70" w:type="dxa"/>
        </w:tblCellMar>
        <w:tblLook w:val="04A0" w:firstRow="1" w:lastRow="0" w:firstColumn="1" w:lastColumn="0" w:noHBand="0" w:noVBand="1"/>
      </w:tblPr>
      <w:tblGrid>
        <w:gridCol w:w="1297"/>
        <w:gridCol w:w="1620"/>
        <w:gridCol w:w="4551"/>
        <w:gridCol w:w="1360"/>
      </w:tblGrid>
      <w:tr w:rsidR="0046726F" w:rsidRPr="0046726F" w:rsidTr="00862F68">
        <w:trPr>
          <w:trHeight w:val="600"/>
          <w:tblHeader/>
          <w:jc w:val="center"/>
        </w:trPr>
        <w:tc>
          <w:tcPr>
            <w:tcW w:w="1308" w:type="dxa"/>
            <w:tcBorders>
              <w:top w:val="single" w:sz="4" w:space="0" w:color="auto"/>
              <w:left w:val="single" w:sz="4" w:space="0" w:color="auto"/>
              <w:bottom w:val="single" w:sz="4" w:space="0" w:color="auto"/>
              <w:right w:val="single" w:sz="4" w:space="0" w:color="auto"/>
            </w:tcBorders>
          </w:tcPr>
          <w:p w:rsidR="0046726F" w:rsidRPr="0046726F" w:rsidRDefault="0046726F" w:rsidP="0046726F">
            <w:pPr>
              <w:spacing w:after="0" w:line="240" w:lineRule="auto"/>
              <w:jc w:val="center"/>
              <w:rPr>
                <w:rFonts w:ascii="Times New Roman" w:eastAsia="Times New Roman" w:hAnsi="Times New Roman" w:cs="Times New Roman"/>
                <w:b/>
                <w:bCs/>
                <w:color w:val="000000"/>
                <w:lang w:val="es-ES_tradnl" w:eastAsia="es-ES"/>
              </w:rPr>
            </w:pPr>
            <w:r w:rsidRPr="0046726F">
              <w:rPr>
                <w:rFonts w:ascii="Times New Roman" w:eastAsia="Times New Roman" w:hAnsi="Times New Roman" w:cs="Times New Roman"/>
                <w:b/>
                <w:bCs/>
                <w:color w:val="000000"/>
                <w:lang w:val="es-ES_tradnl" w:eastAsia="es-ES"/>
              </w:rPr>
              <w:t xml:space="preserve">Nombre Peaje </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b/>
                <w:bCs/>
                <w:color w:val="000000"/>
                <w:lang w:val="es-ES_tradnl" w:eastAsia="es-ES"/>
              </w:rPr>
            </w:pPr>
            <w:r w:rsidRPr="0046726F">
              <w:rPr>
                <w:rFonts w:ascii="Times New Roman" w:eastAsia="Times New Roman" w:hAnsi="Times New Roman" w:cs="Times New Roman"/>
                <w:b/>
                <w:bCs/>
                <w:color w:val="000000"/>
                <w:lang w:val="es-ES_tradnl" w:eastAsia="es-ES"/>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b/>
                <w:bCs/>
                <w:color w:val="000000"/>
                <w:lang w:val="es-ES_tradnl" w:eastAsia="es-ES"/>
              </w:rPr>
            </w:pPr>
            <w:r w:rsidRPr="0046726F">
              <w:rPr>
                <w:rFonts w:ascii="Times New Roman" w:eastAsia="Times New Roman" w:hAnsi="Times New Roman" w:cs="Times New Roman"/>
                <w:b/>
                <w:bCs/>
                <w:color w:val="000000"/>
                <w:lang w:val="es-ES_tradnl" w:eastAsia="es-ES"/>
              </w:rPr>
              <w:t>DESCRIPCIÓN ( No Incluyen Fondo de Seguridad Vial)</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46726F" w:rsidRPr="0046726F" w:rsidRDefault="0046726F" w:rsidP="0046726F">
            <w:pPr>
              <w:spacing w:after="0" w:line="240" w:lineRule="auto"/>
              <w:jc w:val="center"/>
              <w:rPr>
                <w:rFonts w:ascii="Times New Roman" w:eastAsia="Times New Roman" w:hAnsi="Times New Roman" w:cs="Times New Roman"/>
                <w:b/>
                <w:bCs/>
                <w:color w:val="000000"/>
                <w:lang w:val="es-ES_tradnl" w:eastAsia="es-ES"/>
              </w:rPr>
            </w:pPr>
            <w:r w:rsidRPr="0046726F">
              <w:rPr>
                <w:rFonts w:ascii="Times New Roman" w:eastAsia="Times New Roman" w:hAnsi="Times New Roman" w:cs="Times New Roman"/>
                <w:b/>
                <w:bCs/>
                <w:color w:val="000000"/>
                <w:lang w:val="es-ES_tradnl" w:eastAsia="es-ES"/>
              </w:rPr>
              <w:t>TARIFA (pesos 2012)</w:t>
            </w:r>
          </w:p>
        </w:tc>
      </w:tr>
      <w:tr w:rsidR="0046726F" w:rsidRPr="0046726F" w:rsidTr="00862F68">
        <w:trPr>
          <w:trHeight w:val="300"/>
          <w:jc w:val="center"/>
        </w:trPr>
        <w:tc>
          <w:tcPr>
            <w:tcW w:w="1308" w:type="dxa"/>
            <w:vMerge w:val="restart"/>
            <w:tcBorders>
              <w:top w:val="nil"/>
              <w:left w:val="single" w:sz="4" w:space="0" w:color="auto"/>
              <w:right w:val="single" w:sz="4" w:space="0" w:color="auto"/>
            </w:tcBorders>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p w:rsidR="0046726F" w:rsidRPr="0046726F" w:rsidRDefault="00511DA2" w:rsidP="00511DA2">
            <w:pPr>
              <w:spacing w:after="0" w:line="240" w:lineRule="auto"/>
              <w:jc w:val="center"/>
              <w:rPr>
                <w:rFonts w:ascii="Times New Roman" w:eastAsia="Times New Roman" w:hAnsi="Times New Roman" w:cs="Times New Roman"/>
                <w:b/>
                <w:color w:val="000000"/>
                <w:lang w:val="es-ES_tradnl" w:eastAsia="es-ES"/>
              </w:rPr>
            </w:pPr>
            <w:r>
              <w:rPr>
                <w:rFonts w:ascii="Times New Roman" w:eastAsia="Times New Roman" w:hAnsi="Times New Roman" w:cs="Times New Roman"/>
                <w:b/>
                <w:color w:val="000000"/>
                <w:lang w:val="es-ES_tradnl" w:eastAsia="es-ES"/>
              </w:rPr>
              <w:t>Puerto Berrio</w:t>
            </w: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I</w:t>
            </w:r>
          </w:p>
        </w:tc>
        <w:tc>
          <w:tcPr>
            <w:tcW w:w="4551" w:type="dxa"/>
            <w:tcBorders>
              <w:top w:val="nil"/>
              <w:left w:val="nil"/>
              <w:bottom w:val="single" w:sz="4" w:space="0" w:color="auto"/>
              <w:right w:val="single" w:sz="4" w:space="0" w:color="auto"/>
            </w:tcBorders>
            <w:shd w:val="clear" w:color="auto" w:fill="auto"/>
            <w:noWrap/>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Automóviles, camperos y camionetas</w:t>
            </w:r>
          </w:p>
        </w:tc>
        <w:tc>
          <w:tcPr>
            <w:tcW w:w="1360" w:type="dxa"/>
            <w:tcBorders>
              <w:top w:val="nil"/>
              <w:left w:val="nil"/>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$8.700</w:t>
            </w:r>
          </w:p>
        </w:tc>
      </w:tr>
      <w:tr w:rsidR="0046726F" w:rsidRPr="0046726F" w:rsidTr="00862F68">
        <w:trPr>
          <w:trHeight w:val="600"/>
          <w:jc w:val="center"/>
        </w:trPr>
        <w:tc>
          <w:tcPr>
            <w:tcW w:w="1308" w:type="dxa"/>
            <w:vMerge/>
            <w:tcBorders>
              <w:left w:val="single" w:sz="4" w:space="0" w:color="auto"/>
              <w:right w:val="single" w:sz="4" w:space="0" w:color="auto"/>
            </w:tcBorders>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II</w:t>
            </w:r>
          </w:p>
        </w:tc>
        <w:tc>
          <w:tcPr>
            <w:tcW w:w="4551" w:type="dxa"/>
            <w:tcBorders>
              <w:top w:val="nil"/>
              <w:left w:val="nil"/>
              <w:bottom w:val="single" w:sz="4" w:space="0" w:color="auto"/>
              <w:right w:val="single" w:sz="4" w:space="0" w:color="auto"/>
            </w:tcBorders>
            <w:shd w:val="clear" w:color="auto" w:fill="auto"/>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Buses, busetas, microbuses con eje trasero de doble llanta</w:t>
            </w:r>
          </w:p>
        </w:tc>
        <w:tc>
          <w:tcPr>
            <w:tcW w:w="1360" w:type="dxa"/>
            <w:tcBorders>
              <w:top w:val="nil"/>
              <w:left w:val="nil"/>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$10.900</w:t>
            </w:r>
          </w:p>
        </w:tc>
      </w:tr>
      <w:tr w:rsidR="0046726F" w:rsidRPr="0046726F" w:rsidTr="00862F68">
        <w:trPr>
          <w:trHeight w:val="300"/>
          <w:jc w:val="center"/>
        </w:trPr>
        <w:tc>
          <w:tcPr>
            <w:tcW w:w="1308" w:type="dxa"/>
            <w:vMerge/>
            <w:tcBorders>
              <w:left w:val="single" w:sz="4" w:space="0" w:color="auto"/>
              <w:right w:val="single" w:sz="4" w:space="0" w:color="auto"/>
            </w:tcBorders>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III</w:t>
            </w:r>
          </w:p>
        </w:tc>
        <w:tc>
          <w:tcPr>
            <w:tcW w:w="4551" w:type="dxa"/>
            <w:tcBorders>
              <w:top w:val="nil"/>
              <w:left w:val="nil"/>
              <w:bottom w:val="single" w:sz="4" w:space="0" w:color="auto"/>
              <w:right w:val="single" w:sz="4" w:space="0" w:color="auto"/>
            </w:tcBorders>
            <w:shd w:val="clear" w:color="auto" w:fill="auto"/>
            <w:noWrap/>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Camiones pequeños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$10.900</w:t>
            </w:r>
          </w:p>
        </w:tc>
      </w:tr>
      <w:tr w:rsidR="0046726F" w:rsidRPr="0046726F" w:rsidTr="00862F68">
        <w:trPr>
          <w:trHeight w:val="300"/>
          <w:jc w:val="center"/>
        </w:trPr>
        <w:tc>
          <w:tcPr>
            <w:tcW w:w="1308" w:type="dxa"/>
            <w:vMerge/>
            <w:tcBorders>
              <w:left w:val="single" w:sz="4" w:space="0" w:color="auto"/>
              <w:right w:val="single" w:sz="4" w:space="0" w:color="auto"/>
            </w:tcBorders>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IV</w:t>
            </w:r>
          </w:p>
        </w:tc>
        <w:tc>
          <w:tcPr>
            <w:tcW w:w="4551" w:type="dxa"/>
            <w:tcBorders>
              <w:top w:val="nil"/>
              <w:left w:val="nil"/>
              <w:bottom w:val="single" w:sz="4" w:space="0" w:color="auto"/>
              <w:right w:val="single" w:sz="4" w:space="0" w:color="auto"/>
            </w:tcBorders>
            <w:shd w:val="clear" w:color="auto" w:fill="auto"/>
            <w:noWrap/>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Camiones grandes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$10.900</w:t>
            </w:r>
          </w:p>
        </w:tc>
      </w:tr>
      <w:tr w:rsidR="0046726F" w:rsidRPr="0046726F" w:rsidTr="00862F68">
        <w:trPr>
          <w:trHeight w:val="300"/>
          <w:jc w:val="center"/>
        </w:trPr>
        <w:tc>
          <w:tcPr>
            <w:tcW w:w="1308" w:type="dxa"/>
            <w:vMerge/>
            <w:tcBorders>
              <w:left w:val="single" w:sz="4" w:space="0" w:color="auto"/>
              <w:right w:val="single" w:sz="4" w:space="0" w:color="auto"/>
            </w:tcBorders>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V</w:t>
            </w:r>
          </w:p>
        </w:tc>
        <w:tc>
          <w:tcPr>
            <w:tcW w:w="4551" w:type="dxa"/>
            <w:tcBorders>
              <w:top w:val="nil"/>
              <w:left w:val="nil"/>
              <w:bottom w:val="single" w:sz="4" w:space="0" w:color="auto"/>
              <w:right w:val="single" w:sz="4" w:space="0" w:color="auto"/>
            </w:tcBorders>
            <w:shd w:val="clear" w:color="auto" w:fill="auto"/>
            <w:noWrap/>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Camiones de tres y cuatro ejes</w:t>
            </w:r>
          </w:p>
        </w:tc>
        <w:tc>
          <w:tcPr>
            <w:tcW w:w="1360" w:type="dxa"/>
            <w:tcBorders>
              <w:top w:val="nil"/>
              <w:left w:val="nil"/>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$26.200</w:t>
            </w:r>
          </w:p>
        </w:tc>
      </w:tr>
      <w:tr w:rsidR="0046726F" w:rsidRPr="0046726F" w:rsidTr="00862F68">
        <w:trPr>
          <w:trHeight w:val="300"/>
          <w:jc w:val="center"/>
        </w:trPr>
        <w:tc>
          <w:tcPr>
            <w:tcW w:w="1308" w:type="dxa"/>
            <w:vMerge/>
            <w:tcBorders>
              <w:left w:val="single" w:sz="4" w:space="0" w:color="auto"/>
              <w:right w:val="single" w:sz="4" w:space="0" w:color="auto"/>
            </w:tcBorders>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VI</w:t>
            </w:r>
          </w:p>
        </w:tc>
        <w:tc>
          <w:tcPr>
            <w:tcW w:w="4551" w:type="dxa"/>
            <w:tcBorders>
              <w:top w:val="nil"/>
              <w:left w:val="nil"/>
              <w:bottom w:val="single" w:sz="4" w:space="0" w:color="auto"/>
              <w:right w:val="single" w:sz="4" w:space="0" w:color="auto"/>
            </w:tcBorders>
            <w:shd w:val="clear" w:color="auto" w:fill="auto"/>
            <w:noWrap/>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Camiones de cinco ejes</w:t>
            </w:r>
          </w:p>
        </w:tc>
        <w:tc>
          <w:tcPr>
            <w:tcW w:w="1360" w:type="dxa"/>
            <w:tcBorders>
              <w:top w:val="nil"/>
              <w:left w:val="nil"/>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$32.900</w:t>
            </w:r>
          </w:p>
        </w:tc>
      </w:tr>
      <w:tr w:rsidR="0046726F" w:rsidRPr="0046726F" w:rsidTr="00862F68">
        <w:trPr>
          <w:trHeight w:val="300"/>
          <w:jc w:val="center"/>
        </w:trPr>
        <w:tc>
          <w:tcPr>
            <w:tcW w:w="1308" w:type="dxa"/>
            <w:vMerge/>
            <w:tcBorders>
              <w:left w:val="single" w:sz="4" w:space="0" w:color="auto"/>
              <w:bottom w:val="single" w:sz="4" w:space="0" w:color="auto"/>
              <w:right w:val="single" w:sz="4" w:space="0" w:color="auto"/>
            </w:tcBorders>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Categoría VII</w:t>
            </w:r>
          </w:p>
        </w:tc>
        <w:tc>
          <w:tcPr>
            <w:tcW w:w="4551" w:type="dxa"/>
            <w:tcBorders>
              <w:top w:val="nil"/>
              <w:left w:val="nil"/>
              <w:bottom w:val="single" w:sz="4" w:space="0" w:color="auto"/>
              <w:right w:val="single" w:sz="4" w:space="0" w:color="auto"/>
            </w:tcBorders>
            <w:shd w:val="clear" w:color="auto" w:fill="auto"/>
            <w:noWrap/>
          </w:tcPr>
          <w:p w:rsidR="0046726F" w:rsidRPr="0046726F" w:rsidRDefault="0046726F" w:rsidP="0046726F">
            <w:pPr>
              <w:spacing w:after="0" w:line="240" w:lineRule="auto"/>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Camiones de seis ejes o más</w:t>
            </w:r>
          </w:p>
        </w:tc>
        <w:tc>
          <w:tcPr>
            <w:tcW w:w="1360" w:type="dxa"/>
            <w:tcBorders>
              <w:top w:val="nil"/>
              <w:left w:val="nil"/>
              <w:bottom w:val="single" w:sz="4" w:space="0" w:color="auto"/>
              <w:right w:val="single" w:sz="4" w:space="0" w:color="auto"/>
            </w:tcBorders>
            <w:shd w:val="clear" w:color="auto" w:fill="auto"/>
            <w:noWrap/>
            <w:vAlign w:val="center"/>
            <w:hideMark/>
          </w:tcPr>
          <w:p w:rsidR="0046726F" w:rsidRPr="0046726F" w:rsidRDefault="0046726F" w:rsidP="0046726F">
            <w:pPr>
              <w:spacing w:after="0" w:line="240" w:lineRule="auto"/>
              <w:jc w:val="center"/>
              <w:rPr>
                <w:rFonts w:ascii="Times New Roman" w:eastAsia="Times New Roman" w:hAnsi="Times New Roman" w:cs="Times New Roman"/>
                <w:color w:val="000000"/>
                <w:lang w:val="es-ES_tradnl" w:eastAsia="es-ES"/>
              </w:rPr>
            </w:pPr>
            <w:r w:rsidRPr="0046726F">
              <w:rPr>
                <w:rFonts w:ascii="Times New Roman" w:eastAsia="Times New Roman" w:hAnsi="Times New Roman" w:cs="Times New Roman"/>
                <w:color w:val="000000"/>
                <w:lang w:val="es-ES_tradnl" w:eastAsia="es-ES"/>
              </w:rPr>
              <w:t>$38.000</w:t>
            </w:r>
          </w:p>
        </w:tc>
      </w:tr>
    </w:tbl>
    <w:p w:rsidR="0046726F" w:rsidRPr="0046726F" w:rsidRDefault="0046726F" w:rsidP="0046726F">
      <w:pPr>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CO" w:eastAsia="es-ES"/>
        </w:rPr>
      </w:pPr>
      <w:r w:rsidRPr="0046726F">
        <w:rPr>
          <w:rFonts w:ascii="Times New Roman" w:eastAsia="Times New Roman" w:hAnsi="Times New Roman" w:cs="Times New Roman"/>
          <w:b/>
          <w:lang w:val="es-ES_tradnl" w:eastAsia="es-ES"/>
        </w:rPr>
        <w:t>Parágrafo 1:</w:t>
      </w:r>
      <w:r w:rsidRPr="0046726F">
        <w:rPr>
          <w:rFonts w:ascii="Times New Roman" w:eastAsia="Times New Roman" w:hAnsi="Times New Roman" w:cs="Times New Roman"/>
          <w:lang w:val="es-ES_tradnl" w:eastAsia="es-ES"/>
        </w:rPr>
        <w:t xml:space="preserve"> La</w:t>
      </w:r>
      <w:r w:rsidR="00511DA2">
        <w:rPr>
          <w:rFonts w:ascii="Times New Roman" w:eastAsia="Times New Roman" w:hAnsi="Times New Roman" w:cs="Times New Roman"/>
          <w:lang w:val="es-ES_tradnl" w:eastAsia="es-ES"/>
        </w:rPr>
        <w:t xml:space="preserve"> Estación</w:t>
      </w:r>
      <w:r w:rsidRPr="0046726F">
        <w:rPr>
          <w:rFonts w:ascii="Times New Roman" w:eastAsia="Times New Roman" w:hAnsi="Times New Roman" w:cs="Times New Roman"/>
          <w:lang w:val="es-ES_tradnl" w:eastAsia="es-ES"/>
        </w:rPr>
        <w:t xml:space="preserve"> de Peaje </w:t>
      </w:r>
      <w:r w:rsidR="00511DA2" w:rsidRPr="0046726F">
        <w:rPr>
          <w:rFonts w:ascii="Times New Roman" w:eastAsia="Times New Roman" w:hAnsi="Times New Roman" w:cs="Times New Roman"/>
          <w:lang w:val="es-ES_tradnl" w:eastAsia="es-ES"/>
        </w:rPr>
        <w:t xml:space="preserve">denominada </w:t>
      </w:r>
      <w:r w:rsidR="00511DA2">
        <w:rPr>
          <w:rFonts w:ascii="Times New Roman" w:eastAsia="Times New Roman" w:hAnsi="Times New Roman" w:cs="Times New Roman"/>
          <w:lang w:val="es-ES_tradnl" w:eastAsia="es-ES"/>
        </w:rPr>
        <w:t xml:space="preserve">Puerto Berrio </w:t>
      </w:r>
      <w:r w:rsidRPr="0046726F">
        <w:rPr>
          <w:rFonts w:ascii="Times New Roman" w:eastAsia="Times New Roman" w:hAnsi="Times New Roman" w:cs="Times New Roman"/>
          <w:lang w:val="es-ES_tradnl" w:eastAsia="es-ES"/>
        </w:rPr>
        <w:t xml:space="preserve">se encuentra actualmente operando dentro del Contrato 250 </w:t>
      </w:r>
      <w:r w:rsidR="00511DA2" w:rsidRPr="0046726F">
        <w:rPr>
          <w:rFonts w:ascii="Times New Roman" w:eastAsia="Times New Roman" w:hAnsi="Times New Roman" w:cs="Times New Roman"/>
          <w:lang w:val="es-ES_tradnl" w:eastAsia="es-ES"/>
        </w:rPr>
        <w:t>de 2011, celebrado</w:t>
      </w:r>
      <w:r w:rsidRPr="0046726F">
        <w:rPr>
          <w:rFonts w:ascii="Times New Roman" w:eastAsia="Times New Roman" w:hAnsi="Times New Roman" w:cs="Times New Roman"/>
          <w:lang w:val="es-ES_tradnl" w:eastAsia="es-ES"/>
        </w:rPr>
        <w:t xml:space="preserve"> entre el INVIAS y ODINSA,   una vez se </w:t>
      </w:r>
      <w:r w:rsidR="00511DA2" w:rsidRPr="0046726F">
        <w:rPr>
          <w:rFonts w:ascii="Times New Roman" w:eastAsia="Times New Roman" w:hAnsi="Times New Roman" w:cs="Times New Roman"/>
          <w:lang w:val="es-ES_tradnl" w:eastAsia="es-ES"/>
        </w:rPr>
        <w:t>efectúe la</w:t>
      </w:r>
      <w:r w:rsidRPr="0046726F">
        <w:rPr>
          <w:rFonts w:ascii="Times New Roman" w:eastAsia="Times New Roman" w:hAnsi="Times New Roman" w:cs="Times New Roman"/>
          <w:lang w:val="es-ES_tradnl" w:eastAsia="es-ES"/>
        </w:rPr>
        <w:t xml:space="preserve"> entrega de la infraestructura por parte del INVIAS a la ANI, el derecho al recaudo se llevará acabo de conformidad con las condiciones establecidas en la parte general y especial del contrato que se suscriba.</w:t>
      </w:r>
    </w:p>
    <w:p w:rsidR="0046726F" w:rsidRPr="0046726F" w:rsidRDefault="0046726F" w:rsidP="0046726F">
      <w:pPr>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b/>
          <w:sz w:val="24"/>
          <w:szCs w:val="24"/>
          <w:lang w:val="es-ES_tradnl" w:eastAsia="es-ES"/>
        </w:rPr>
      </w:pPr>
      <w:r w:rsidRPr="0046726F">
        <w:rPr>
          <w:rFonts w:ascii="Times New Roman" w:eastAsia="Times New Roman" w:hAnsi="Times New Roman" w:cs="Times New Roman"/>
          <w:b/>
          <w:lang w:val="es-ES_tradnl" w:eastAsia="es-ES"/>
        </w:rPr>
        <w:t>Parágrafo 2:</w:t>
      </w:r>
      <w:r w:rsidRPr="0046726F">
        <w:rPr>
          <w:rFonts w:ascii="Times New Roman" w:eastAsia="Times New Roman" w:hAnsi="Times New Roman" w:cs="Times New Roman"/>
          <w:sz w:val="24"/>
          <w:szCs w:val="24"/>
          <w:lang w:val="es-ES_tradnl" w:eastAsia="es-ES"/>
        </w:rPr>
        <w:t xml:space="preserve"> A la tarifas de peajes  de que trata la presente resolución, se les adicionará el valor del Fondo de Seguridad Vial del periodo de actualización, acorde con la Resolución Vigente que el Ministerio de Trasporte expida para tal efecto.</w:t>
      </w: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r w:rsidRPr="0046726F">
        <w:rPr>
          <w:rFonts w:ascii="Times New Roman" w:eastAsia="Times New Roman" w:hAnsi="Times New Roman" w:cs="Times New Roman"/>
          <w:lang w:val="es-ES_tradnl" w:eastAsia="es-ES"/>
        </w:rPr>
        <w:t xml:space="preserve"> </w:t>
      </w:r>
    </w:p>
    <w:p w:rsidR="0046726F" w:rsidRPr="0046726F" w:rsidRDefault="0046726F" w:rsidP="0046726F">
      <w:pPr>
        <w:tabs>
          <w:tab w:val="left" w:pos="0"/>
        </w:tabs>
        <w:spacing w:after="0" w:line="240" w:lineRule="auto"/>
        <w:jc w:val="both"/>
        <w:rPr>
          <w:rFonts w:ascii="Times New Roman" w:eastAsia="Times New Roman" w:hAnsi="Times New Roman" w:cs="Times New Roman"/>
          <w:b/>
          <w:lang w:val="es-ES_tradnl" w:eastAsia="es-ES"/>
        </w:rPr>
      </w:pPr>
    </w:p>
    <w:p w:rsidR="0046726F" w:rsidRPr="0046726F" w:rsidRDefault="0046726F" w:rsidP="0046726F">
      <w:pPr>
        <w:spacing w:after="0" w:line="240" w:lineRule="auto"/>
        <w:jc w:val="both"/>
        <w:rPr>
          <w:rFonts w:ascii="Times New Roman" w:eastAsia="Times New Roman" w:hAnsi="Times New Roman" w:cs="Times New Roman"/>
          <w:snapToGrid w:val="0"/>
          <w:color w:val="000000"/>
          <w:lang w:val="es-ES_tradnl" w:eastAsia="es-CO"/>
        </w:rPr>
      </w:pPr>
      <w:r w:rsidRPr="0046726F">
        <w:rPr>
          <w:rFonts w:ascii="Times New Roman" w:eastAsia="Times New Roman" w:hAnsi="Times New Roman" w:cs="Times New Roman"/>
          <w:b/>
          <w:lang w:val="es-ES_tradnl" w:eastAsia="es-ES"/>
        </w:rPr>
        <w:t xml:space="preserve">ARTÍCULO CUARTO: </w:t>
      </w:r>
      <w:r w:rsidRPr="0046726F">
        <w:rPr>
          <w:rFonts w:ascii="Times New Roman" w:eastAsia="Times New Roman" w:hAnsi="Times New Roman" w:cs="Times New Roman"/>
          <w:snapToGrid w:val="0"/>
          <w:color w:val="000000"/>
          <w:lang w:val="es-ES_tradnl" w:eastAsia="es-CO"/>
        </w:rPr>
        <w:t>Las tarifas se actualizarán cada año, de acuerdo a lo establecido en la minuta del contrato de concesión y deberán ser ajustadas a la centena más cercana, con el fin de facilitar el recaudo por parte del Concesionario.</w:t>
      </w:r>
    </w:p>
    <w:p w:rsidR="0046726F" w:rsidRPr="0046726F" w:rsidRDefault="0046726F" w:rsidP="0046726F">
      <w:pPr>
        <w:autoSpaceDE w:val="0"/>
        <w:autoSpaceDN w:val="0"/>
        <w:adjustRightInd w:val="0"/>
        <w:spacing w:after="0" w:line="240" w:lineRule="auto"/>
        <w:jc w:val="both"/>
        <w:rPr>
          <w:rFonts w:ascii="Times New Roman" w:eastAsia="Times New Roman" w:hAnsi="Times New Roman" w:cs="Times New Roman"/>
          <w:b/>
          <w:lang w:val="es-ES_tradnl"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r w:rsidRPr="0046726F">
        <w:rPr>
          <w:rFonts w:ascii="Times New Roman" w:eastAsia="Times New Roman" w:hAnsi="Times New Roman" w:cs="Times New Roman"/>
          <w:b/>
          <w:lang w:val="es-ES_tradnl" w:eastAsia="es-ES"/>
        </w:rPr>
        <w:lastRenderedPageBreak/>
        <w:t>ARTÍCULO QUINTO</w:t>
      </w:r>
      <w:r w:rsidRPr="0046726F">
        <w:rPr>
          <w:rFonts w:ascii="Times New Roman" w:eastAsia="Times New Roman" w:hAnsi="Times New Roman" w:cs="Times New Roman"/>
          <w:lang w:val="es-ES_tradnl" w:eastAsia="es-ES"/>
        </w:rPr>
        <w:t xml:space="preserve">: Seis meses antes de la instalación de las casetas de peaje, la Agencia Nacional de Infraestructura deberá socializarlas con las comunidades del sector. </w:t>
      </w: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r w:rsidRPr="0046726F">
        <w:rPr>
          <w:rFonts w:ascii="Times New Roman" w:eastAsia="Times New Roman" w:hAnsi="Times New Roman" w:cs="Times New Roman"/>
          <w:b/>
          <w:lang w:val="es-ES_tradnl" w:eastAsia="es-ES"/>
        </w:rPr>
        <w:t xml:space="preserve">ARTÍCULO SEXTO: </w:t>
      </w:r>
      <w:r w:rsidRPr="0046726F">
        <w:rPr>
          <w:rFonts w:ascii="Times New Roman" w:eastAsia="Times New Roman" w:hAnsi="Times New Roman" w:cs="Times New Roman"/>
          <w:lang w:val="es-ES_tradnl" w:eastAsia="es-ES"/>
        </w:rPr>
        <w:t xml:space="preserve">La presente Resolución rige a partir de la fecha de su publicación. </w:t>
      </w:r>
    </w:p>
    <w:p w:rsidR="0046726F" w:rsidRPr="0046726F" w:rsidRDefault="0046726F" w:rsidP="0046726F">
      <w:pPr>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tabs>
          <w:tab w:val="left" w:pos="0"/>
        </w:tabs>
        <w:spacing w:after="0" w:line="240" w:lineRule="auto"/>
        <w:rPr>
          <w:rFonts w:ascii="Times New Roman" w:eastAsia="Times New Roman" w:hAnsi="Times New Roman" w:cs="Times New Roman"/>
          <w:lang w:val="es-ES_tradnl" w:eastAsia="es-ES"/>
        </w:rPr>
      </w:pPr>
      <w:r w:rsidRPr="0046726F">
        <w:rPr>
          <w:rFonts w:ascii="Times New Roman" w:eastAsia="Times New Roman" w:hAnsi="Times New Roman" w:cs="Times New Roman"/>
          <w:lang w:val="es-ES_tradnl" w:eastAsia="es-ES"/>
        </w:rPr>
        <w:t xml:space="preserve">Dada en Bogotá D.C., a los </w:t>
      </w: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tabs>
          <w:tab w:val="left" w:pos="0"/>
        </w:tabs>
        <w:spacing w:after="0" w:line="240" w:lineRule="auto"/>
        <w:jc w:val="both"/>
        <w:rPr>
          <w:rFonts w:ascii="Times New Roman" w:eastAsia="Times New Roman" w:hAnsi="Times New Roman" w:cs="Times New Roman"/>
          <w:lang w:val="es-ES_tradnl" w:eastAsia="es-ES"/>
        </w:rPr>
      </w:pPr>
    </w:p>
    <w:p w:rsidR="0046726F" w:rsidRPr="0046726F" w:rsidRDefault="0046726F" w:rsidP="0046726F">
      <w:pPr>
        <w:tabs>
          <w:tab w:val="left" w:pos="0"/>
        </w:tabs>
        <w:spacing w:after="0" w:line="240" w:lineRule="auto"/>
        <w:jc w:val="center"/>
        <w:rPr>
          <w:rFonts w:ascii="Times New Roman" w:eastAsia="Times New Roman" w:hAnsi="Times New Roman" w:cs="Times New Roman"/>
          <w:b/>
          <w:lang w:val="es-ES_tradnl" w:eastAsia="es-ES"/>
        </w:rPr>
      </w:pPr>
      <w:r w:rsidRPr="0046726F">
        <w:rPr>
          <w:rFonts w:ascii="Times New Roman" w:eastAsia="Times New Roman" w:hAnsi="Times New Roman" w:cs="Times New Roman"/>
          <w:b/>
          <w:lang w:val="es-ES_tradnl" w:eastAsia="es-ES"/>
        </w:rPr>
        <w:t>CECILIA ÁLVAREZ - CORREA GLEN</w:t>
      </w:r>
    </w:p>
    <w:p w:rsidR="0046726F" w:rsidRPr="0046726F" w:rsidRDefault="0046726F" w:rsidP="0046726F">
      <w:pPr>
        <w:tabs>
          <w:tab w:val="left" w:pos="0"/>
        </w:tabs>
        <w:spacing w:after="0" w:line="240" w:lineRule="auto"/>
        <w:jc w:val="center"/>
        <w:rPr>
          <w:rFonts w:ascii="Times New Roman" w:eastAsia="Times New Roman" w:hAnsi="Times New Roman" w:cs="Times New Roman"/>
          <w:lang w:val="es-ES_tradnl" w:eastAsia="es-ES"/>
        </w:rPr>
      </w:pPr>
      <w:r w:rsidRPr="0046726F">
        <w:rPr>
          <w:rFonts w:ascii="Times New Roman" w:eastAsia="Times New Roman" w:hAnsi="Times New Roman" w:cs="Times New Roman"/>
          <w:b/>
          <w:lang w:val="es-ES_tradnl" w:eastAsia="es-ES"/>
        </w:rPr>
        <w:t>Ministra de Transporte</w:t>
      </w:r>
    </w:p>
    <w:p w:rsidR="0046726F" w:rsidRPr="0046726F" w:rsidRDefault="0046726F" w:rsidP="0046726F">
      <w:pPr>
        <w:spacing w:after="0" w:line="240" w:lineRule="auto"/>
        <w:rPr>
          <w:rFonts w:ascii="Times New Roman" w:eastAsia="Times New Roman" w:hAnsi="Times New Roman" w:cs="Times New Roman"/>
          <w:lang w:val="es-ES_tradnl" w:eastAsia="es-ES"/>
        </w:rPr>
      </w:pPr>
    </w:p>
    <w:p w:rsidR="0046726F" w:rsidRPr="0046726F" w:rsidRDefault="0046726F" w:rsidP="0046726F">
      <w:pPr>
        <w:tabs>
          <w:tab w:val="left" w:pos="-720"/>
        </w:tabs>
        <w:suppressAutoHyphens/>
        <w:spacing w:after="0" w:line="240" w:lineRule="auto"/>
        <w:contextualSpacing/>
        <w:jc w:val="both"/>
        <w:rPr>
          <w:rFonts w:ascii="Times New Roman" w:eastAsia="Times New Roman" w:hAnsi="Times New Roman" w:cs="Times New Roman"/>
          <w:spacing w:val="-3"/>
          <w:lang w:val="es-ES_tradnl" w:eastAsia="es-ES"/>
        </w:rPr>
      </w:pPr>
    </w:p>
    <w:p w:rsidR="0046726F" w:rsidRPr="0046726F" w:rsidRDefault="0046726F" w:rsidP="0046726F">
      <w:pPr>
        <w:tabs>
          <w:tab w:val="left" w:pos="-720"/>
        </w:tabs>
        <w:suppressAutoHyphens/>
        <w:spacing w:after="0" w:line="240" w:lineRule="auto"/>
        <w:contextualSpacing/>
        <w:jc w:val="both"/>
        <w:rPr>
          <w:rFonts w:ascii="Times New Roman" w:eastAsia="Times New Roman" w:hAnsi="Times New Roman" w:cs="Times New Roman"/>
          <w:spacing w:val="-3"/>
          <w:lang w:val="es-ES_tradnl" w:eastAsia="es-ES"/>
        </w:rPr>
      </w:pPr>
    </w:p>
    <w:p w:rsidR="0046726F" w:rsidRPr="0046726F" w:rsidRDefault="0046726F" w:rsidP="0046726F">
      <w:pPr>
        <w:tabs>
          <w:tab w:val="left" w:pos="-720"/>
        </w:tabs>
        <w:suppressAutoHyphens/>
        <w:spacing w:after="0" w:line="240" w:lineRule="auto"/>
        <w:contextualSpacing/>
        <w:jc w:val="both"/>
        <w:rPr>
          <w:rFonts w:ascii="Times New Roman" w:eastAsia="Times New Roman" w:hAnsi="Times New Roman" w:cs="Times New Roman"/>
          <w:spacing w:val="-3"/>
          <w:sz w:val="16"/>
          <w:szCs w:val="16"/>
          <w:lang w:val="es-ES_tradnl" w:eastAsia="es-ES"/>
        </w:rPr>
      </w:pPr>
      <w:r w:rsidRPr="0046726F">
        <w:rPr>
          <w:rFonts w:ascii="Times New Roman" w:eastAsia="Times New Roman" w:hAnsi="Times New Roman" w:cs="Times New Roman"/>
          <w:spacing w:val="-3"/>
          <w:sz w:val="16"/>
          <w:szCs w:val="16"/>
          <w:lang w:val="es-ES_tradnl" w:eastAsia="es-ES"/>
        </w:rPr>
        <w:t>Proyectó</w:t>
      </w:r>
      <w:proofErr w:type="gramStart"/>
      <w:r w:rsidRPr="0046726F">
        <w:rPr>
          <w:rFonts w:ascii="Times New Roman" w:eastAsia="Times New Roman" w:hAnsi="Times New Roman" w:cs="Times New Roman"/>
          <w:spacing w:val="-3"/>
          <w:sz w:val="16"/>
          <w:szCs w:val="16"/>
          <w:lang w:val="es-ES_tradnl" w:eastAsia="es-ES"/>
        </w:rPr>
        <w:t>:  Alex</w:t>
      </w:r>
      <w:proofErr w:type="gramEnd"/>
      <w:r w:rsidRPr="0046726F">
        <w:rPr>
          <w:rFonts w:ascii="Times New Roman" w:eastAsia="Times New Roman" w:hAnsi="Times New Roman" w:cs="Times New Roman"/>
          <w:spacing w:val="-3"/>
          <w:sz w:val="16"/>
          <w:szCs w:val="16"/>
          <w:lang w:val="es-ES_tradnl" w:eastAsia="es-ES"/>
        </w:rPr>
        <w:t xml:space="preserve"> Samuel Wihiler Bautista Experto G3-07 Vicepresidencia de Estructuración</w:t>
      </w:r>
    </w:p>
    <w:p w:rsidR="0046726F" w:rsidRPr="0046726F" w:rsidRDefault="0046726F" w:rsidP="0046726F">
      <w:pPr>
        <w:tabs>
          <w:tab w:val="left" w:pos="-720"/>
        </w:tabs>
        <w:suppressAutoHyphens/>
        <w:spacing w:after="0" w:line="240" w:lineRule="auto"/>
        <w:contextualSpacing/>
        <w:jc w:val="both"/>
        <w:rPr>
          <w:rFonts w:ascii="Times New Roman" w:eastAsia="Times New Roman" w:hAnsi="Times New Roman" w:cs="Times New Roman"/>
          <w:spacing w:val="-3"/>
          <w:sz w:val="16"/>
          <w:szCs w:val="16"/>
          <w:lang w:val="es-ES_tradnl" w:eastAsia="es-ES"/>
        </w:rPr>
      </w:pPr>
      <w:r w:rsidRPr="0046726F">
        <w:rPr>
          <w:rFonts w:ascii="Times New Roman" w:eastAsia="Times New Roman" w:hAnsi="Times New Roman" w:cs="Times New Roman"/>
          <w:spacing w:val="-3"/>
          <w:sz w:val="16"/>
          <w:szCs w:val="16"/>
          <w:lang w:val="es-ES_tradnl" w:eastAsia="es-ES"/>
        </w:rPr>
        <w:t xml:space="preserve">                 Juan José Aguilar Higuera- Experto G3-05 Vicepresidencia Jurídica-GJE</w:t>
      </w:r>
    </w:p>
    <w:p w:rsidR="0046726F" w:rsidRPr="0046726F" w:rsidRDefault="0046726F" w:rsidP="0046726F">
      <w:pPr>
        <w:tabs>
          <w:tab w:val="left" w:pos="-720"/>
        </w:tabs>
        <w:suppressAutoHyphens/>
        <w:spacing w:after="0" w:line="240" w:lineRule="auto"/>
        <w:contextualSpacing/>
        <w:jc w:val="both"/>
        <w:rPr>
          <w:rFonts w:ascii="Times New Roman" w:eastAsia="Times New Roman" w:hAnsi="Times New Roman" w:cs="Times New Roman"/>
          <w:spacing w:val="-3"/>
          <w:sz w:val="16"/>
          <w:szCs w:val="16"/>
          <w:lang w:val="es-ES_tradnl" w:eastAsia="es-ES"/>
        </w:rPr>
      </w:pPr>
      <w:r w:rsidRPr="0046726F">
        <w:rPr>
          <w:rFonts w:ascii="Times New Roman" w:eastAsia="Times New Roman" w:hAnsi="Times New Roman" w:cs="Times New Roman"/>
          <w:spacing w:val="-3"/>
          <w:sz w:val="16"/>
          <w:szCs w:val="16"/>
          <w:lang w:val="es-ES_tradnl" w:eastAsia="es-ES"/>
        </w:rPr>
        <w:t xml:space="preserve">Revisó:     Juan Carlos Rengifo Ramirez- Gerente de Proyectos Carreteros –Vicepresidencia de Estructuración </w:t>
      </w:r>
    </w:p>
    <w:p w:rsidR="0046726F" w:rsidRPr="0046726F" w:rsidRDefault="0046726F" w:rsidP="0046726F">
      <w:pPr>
        <w:tabs>
          <w:tab w:val="left" w:pos="-720"/>
        </w:tabs>
        <w:suppressAutoHyphens/>
        <w:spacing w:after="0" w:line="240" w:lineRule="auto"/>
        <w:contextualSpacing/>
        <w:jc w:val="both"/>
        <w:rPr>
          <w:rFonts w:ascii="Times New Roman" w:eastAsia="Times New Roman" w:hAnsi="Times New Roman" w:cs="Times New Roman"/>
          <w:spacing w:val="-3"/>
          <w:sz w:val="16"/>
          <w:szCs w:val="16"/>
          <w:lang w:val="es-ES_tradnl" w:eastAsia="es-ES"/>
        </w:rPr>
      </w:pPr>
      <w:r w:rsidRPr="0046726F">
        <w:rPr>
          <w:rFonts w:ascii="Times New Roman" w:eastAsia="Times New Roman" w:hAnsi="Times New Roman" w:cs="Times New Roman"/>
          <w:spacing w:val="-3"/>
          <w:sz w:val="16"/>
          <w:szCs w:val="16"/>
          <w:lang w:val="es-ES_tradnl" w:eastAsia="es-ES"/>
        </w:rPr>
        <w:t xml:space="preserve">                 Diana Patricia Bernal Pinzón- Gerente Jurídica Asesoría en Estructuración- Vicepresidencia Jurídica </w:t>
      </w:r>
    </w:p>
    <w:p w:rsidR="0046726F" w:rsidRPr="0046726F" w:rsidRDefault="0046726F" w:rsidP="0046726F">
      <w:pPr>
        <w:tabs>
          <w:tab w:val="left" w:pos="-720"/>
        </w:tabs>
        <w:suppressAutoHyphens/>
        <w:spacing w:after="0" w:line="240" w:lineRule="auto"/>
        <w:contextualSpacing/>
        <w:jc w:val="both"/>
        <w:rPr>
          <w:rFonts w:ascii="Times New Roman" w:eastAsia="Times New Roman" w:hAnsi="Times New Roman" w:cs="Times New Roman"/>
          <w:spacing w:val="-3"/>
          <w:sz w:val="16"/>
          <w:szCs w:val="16"/>
          <w:lang w:val="es-ES_tradnl" w:eastAsia="es-ES"/>
        </w:rPr>
      </w:pPr>
      <w:r w:rsidRPr="0046726F">
        <w:rPr>
          <w:rFonts w:ascii="Times New Roman" w:eastAsia="Times New Roman" w:hAnsi="Times New Roman" w:cs="Times New Roman"/>
          <w:spacing w:val="-3"/>
          <w:sz w:val="16"/>
          <w:szCs w:val="16"/>
          <w:lang w:val="es-ES_tradnl" w:eastAsia="es-ES"/>
        </w:rPr>
        <w:t xml:space="preserve">Aprobó     Beatriz Eugenia Morales Velez Vicepresidenta de Estructuración  </w:t>
      </w:r>
    </w:p>
    <w:p w:rsidR="0046726F" w:rsidRPr="0046726F" w:rsidRDefault="0046726F" w:rsidP="0046726F">
      <w:pPr>
        <w:tabs>
          <w:tab w:val="left" w:pos="-720"/>
        </w:tabs>
        <w:suppressAutoHyphens/>
        <w:spacing w:after="0" w:line="240" w:lineRule="auto"/>
        <w:contextualSpacing/>
        <w:jc w:val="both"/>
        <w:rPr>
          <w:rFonts w:ascii="Times New Roman" w:eastAsia="Times New Roman" w:hAnsi="Times New Roman" w:cs="Times New Roman"/>
          <w:spacing w:val="-3"/>
          <w:sz w:val="16"/>
          <w:szCs w:val="16"/>
          <w:lang w:val="es-ES_tradnl" w:eastAsia="es-ES"/>
        </w:rPr>
      </w:pPr>
      <w:r w:rsidRPr="0046726F">
        <w:rPr>
          <w:rFonts w:ascii="Times New Roman" w:eastAsia="Times New Roman" w:hAnsi="Times New Roman" w:cs="Times New Roman"/>
          <w:spacing w:val="-3"/>
          <w:sz w:val="16"/>
          <w:szCs w:val="16"/>
          <w:lang w:val="es-ES_tradnl" w:eastAsia="es-ES"/>
        </w:rPr>
        <w:t xml:space="preserve">                 Hector Jaime Pinilla Ortiz –Vicepresidente Jurídico </w:t>
      </w:r>
    </w:p>
    <w:p w:rsidR="0046726F" w:rsidRPr="0046726F" w:rsidRDefault="0046726F" w:rsidP="0046726F">
      <w:pPr>
        <w:tabs>
          <w:tab w:val="left" w:pos="-720"/>
        </w:tabs>
        <w:suppressAutoHyphens/>
        <w:spacing w:after="0" w:line="240" w:lineRule="auto"/>
        <w:contextualSpacing/>
        <w:jc w:val="both"/>
        <w:rPr>
          <w:rFonts w:ascii="Times New Roman" w:eastAsia="Times New Roman" w:hAnsi="Times New Roman" w:cs="Times New Roman"/>
          <w:spacing w:val="-3"/>
          <w:lang w:val="es-ES_tradnl" w:eastAsia="es-ES"/>
        </w:rPr>
      </w:pPr>
    </w:p>
    <w:p w:rsidR="0046726F" w:rsidRPr="0046726F" w:rsidRDefault="0046726F" w:rsidP="0046726F">
      <w:pPr>
        <w:spacing w:after="0" w:line="240" w:lineRule="auto"/>
        <w:rPr>
          <w:rFonts w:ascii="Times New Roman" w:eastAsia="Times New Roman" w:hAnsi="Times New Roman" w:cs="Times New Roman"/>
          <w:lang w:val="es-ES_tradnl" w:eastAsia="es-ES"/>
        </w:rPr>
      </w:pPr>
    </w:p>
    <w:p w:rsidR="0046726F" w:rsidRPr="0046726F" w:rsidRDefault="0046726F" w:rsidP="0046726F">
      <w:pPr>
        <w:spacing w:after="0" w:line="240" w:lineRule="auto"/>
        <w:rPr>
          <w:rFonts w:ascii="Courier New" w:eastAsia="Times New Roman" w:hAnsi="Courier New" w:cs="Times New Roman"/>
          <w:lang w:val="es-ES_tradnl" w:eastAsia="es-ES"/>
        </w:rPr>
      </w:pPr>
    </w:p>
    <w:p w:rsidR="00045600" w:rsidRDefault="00045600"/>
    <w:sectPr w:rsidR="00045600" w:rsidSect="005C62AF">
      <w:headerReference w:type="default" r:id="rId10"/>
      <w:headerReference w:type="first" r:id="rId11"/>
      <w:endnotePr>
        <w:numFmt w:val="decimal"/>
      </w:endnotePr>
      <w:pgSz w:w="12240" w:h="18720" w:code="14"/>
      <w:pgMar w:top="1417" w:right="1701" w:bottom="1417" w:left="1701" w:header="1021" w:footer="567" w:gutter="0"/>
      <w:pgBorders>
        <w:top w:val="single" w:sz="4" w:space="15" w:color="auto"/>
        <w:left w:val="single" w:sz="4" w:space="15" w:color="auto"/>
        <w:bottom w:val="single" w:sz="4" w:space="15" w:color="auto"/>
        <w:right w:val="single" w:sz="4" w:space="15" w:color="auto"/>
      </w:pgBorders>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10AC" w:rsidRDefault="006610AC" w:rsidP="002A3796">
      <w:pPr>
        <w:spacing w:after="0" w:line="240" w:lineRule="auto"/>
      </w:pPr>
      <w:r>
        <w:separator/>
      </w:r>
    </w:p>
  </w:endnote>
  <w:endnote w:type="continuationSeparator" w:id="0">
    <w:p w:rsidR="006610AC" w:rsidRDefault="006610AC" w:rsidP="002A3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Futura Bk BT">
    <w:altName w:val="Segoe UI"/>
    <w:panose1 w:val="020B0502020204020303"/>
    <w:charset w:val="00"/>
    <w:family w:val="swiss"/>
    <w:pitch w:val="variable"/>
    <w:sig w:usb0="00000001" w:usb1="00000000" w:usb2="00000000" w:usb3="00000000" w:csb0="0000001B"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10AC" w:rsidRDefault="006610AC" w:rsidP="002A3796">
      <w:pPr>
        <w:spacing w:after="0" w:line="240" w:lineRule="auto"/>
      </w:pPr>
      <w:r>
        <w:separator/>
      </w:r>
    </w:p>
  </w:footnote>
  <w:footnote w:type="continuationSeparator" w:id="0">
    <w:p w:rsidR="006610AC" w:rsidRDefault="006610AC" w:rsidP="002A37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A90" w:rsidRPr="00F531A0" w:rsidRDefault="000F71E4">
    <w:pPr>
      <w:tabs>
        <w:tab w:val="left" w:pos="-720"/>
      </w:tabs>
      <w:suppressAutoHyphens/>
      <w:jc w:val="both"/>
      <w:rPr>
        <w:rFonts w:ascii="Garamond" w:hAnsi="Garamond"/>
        <w:b/>
        <w:spacing w:val="-3"/>
      </w:rPr>
    </w:pPr>
    <w:r w:rsidRPr="00F531A0">
      <w:rPr>
        <w:rFonts w:ascii="Garamond" w:hAnsi="Garamond"/>
        <w:b/>
        <w:spacing w:val="-3"/>
      </w:rPr>
      <w:t xml:space="preserve">RESOLUCIÓN NÚMERO _            </w:t>
    </w:r>
    <w:r>
      <w:rPr>
        <w:rFonts w:ascii="Garamond" w:hAnsi="Garamond"/>
        <w:b/>
        <w:spacing w:val="-3"/>
      </w:rPr>
      <w:t xml:space="preserve">      </w:t>
    </w:r>
    <w:r w:rsidRPr="00F531A0">
      <w:rPr>
        <w:rFonts w:ascii="Garamond" w:hAnsi="Garamond"/>
        <w:b/>
        <w:spacing w:val="-3"/>
      </w:rPr>
      <w:t xml:space="preserve">      DEL</w:t>
    </w:r>
    <w:r>
      <w:rPr>
        <w:rFonts w:ascii="Garamond" w:hAnsi="Garamond"/>
        <w:b/>
        <w:spacing w:val="-3"/>
      </w:rPr>
      <w:t xml:space="preserve">                   </w:t>
    </w:r>
    <w:r w:rsidRPr="00F531A0">
      <w:rPr>
        <w:rFonts w:ascii="Garamond" w:hAnsi="Garamond"/>
        <w:b/>
        <w:spacing w:val="-3"/>
      </w:rPr>
      <w:t xml:space="preserve">           DE</w:t>
    </w:r>
    <w:r>
      <w:rPr>
        <w:rFonts w:ascii="Garamond" w:hAnsi="Garamond"/>
        <w:b/>
        <w:spacing w:val="-3"/>
      </w:rPr>
      <w:t xml:space="preserve">    </w:t>
    </w:r>
    <w:r w:rsidRPr="00F531A0">
      <w:rPr>
        <w:rFonts w:ascii="Garamond" w:hAnsi="Garamond"/>
        <w:b/>
        <w:spacing w:val="-3"/>
      </w:rPr>
      <w:t xml:space="preserve">             HOJA No. </w:t>
    </w:r>
    <w:r w:rsidRPr="00F531A0">
      <w:rPr>
        <w:rStyle w:val="Nmerodepgina"/>
        <w:rFonts w:ascii="Garamond" w:hAnsi="Garamond"/>
        <w:b/>
      </w:rPr>
      <w:fldChar w:fldCharType="begin"/>
    </w:r>
    <w:r w:rsidRPr="00F531A0">
      <w:rPr>
        <w:rStyle w:val="Nmerodepgina"/>
        <w:rFonts w:ascii="Garamond" w:hAnsi="Garamond"/>
        <w:b/>
      </w:rPr>
      <w:instrText xml:space="preserve"> PAGE </w:instrText>
    </w:r>
    <w:r w:rsidRPr="00F531A0">
      <w:rPr>
        <w:rStyle w:val="Nmerodepgina"/>
        <w:rFonts w:ascii="Garamond" w:hAnsi="Garamond"/>
        <w:b/>
      </w:rPr>
      <w:fldChar w:fldCharType="separate"/>
    </w:r>
    <w:r w:rsidR="008335CB">
      <w:rPr>
        <w:rStyle w:val="Nmerodepgina"/>
        <w:rFonts w:ascii="Garamond" w:hAnsi="Garamond"/>
        <w:b/>
        <w:noProof/>
      </w:rPr>
      <w:t>5</w:t>
    </w:r>
    <w:r w:rsidRPr="00F531A0">
      <w:rPr>
        <w:rStyle w:val="Nmerodepgina"/>
        <w:rFonts w:ascii="Garamond" w:hAnsi="Garamond"/>
        <w:b/>
      </w:rPr>
      <w:fldChar w:fldCharType="end"/>
    </w:r>
  </w:p>
  <w:p w:rsidR="00866A90" w:rsidRPr="00F531A0" w:rsidRDefault="006610AC">
    <w:pPr>
      <w:ind w:right="360"/>
      <w:jc w:val="both"/>
      <w:rPr>
        <w:rFonts w:ascii="Garamond" w:hAnsi="Garamond"/>
        <w:i/>
        <w:spacing w:val="-3"/>
      </w:rPr>
    </w:pPr>
  </w:p>
  <w:p w:rsidR="00866A90" w:rsidRPr="00F531A0" w:rsidRDefault="006610AC" w:rsidP="006F3983">
    <w:pPr>
      <w:rPr>
        <w:rFonts w:ascii="Garamond" w:hAnsi="Garamond"/>
        <w:i/>
      </w:rPr>
    </w:pPr>
  </w:p>
  <w:p w:rsidR="002A3796" w:rsidRPr="0046726F" w:rsidRDefault="002A3796" w:rsidP="002A3796">
    <w:pPr>
      <w:autoSpaceDE w:val="0"/>
      <w:autoSpaceDN w:val="0"/>
      <w:adjustRightInd w:val="0"/>
      <w:spacing w:after="0" w:line="240" w:lineRule="auto"/>
      <w:jc w:val="center"/>
      <w:rPr>
        <w:rFonts w:ascii="Times New Roman" w:eastAsia="Times New Roman" w:hAnsi="Times New Roman" w:cs="Times New Roman"/>
        <w:color w:val="000000"/>
        <w:lang w:val="es-ES" w:eastAsia="es-ES"/>
      </w:rPr>
    </w:pPr>
    <w:r w:rsidRPr="0046726F">
      <w:rPr>
        <w:rFonts w:ascii="Times New Roman" w:eastAsia="Times New Roman" w:hAnsi="Times New Roman" w:cs="Times New Roman"/>
        <w:color w:val="000000"/>
        <w:lang w:val="es-ES" w:eastAsia="es-ES"/>
      </w:rPr>
      <w:t>“Por la cual se emite Concepto vinculante previo al establecimiento de dos estaciones de peaje denominadas</w:t>
    </w:r>
    <w:r>
      <w:rPr>
        <w:rFonts w:ascii="Times New Roman" w:eastAsia="Times New Roman" w:hAnsi="Times New Roman" w:cs="Times New Roman"/>
        <w:color w:val="000000"/>
        <w:lang w:val="es-ES" w:eastAsia="es-ES"/>
      </w:rPr>
      <w:t xml:space="preserve"> Santa Isabel y Vegachi</w:t>
    </w:r>
    <w:r w:rsidRPr="0046726F">
      <w:rPr>
        <w:rFonts w:ascii="Times New Roman" w:eastAsia="Times New Roman" w:hAnsi="Times New Roman" w:cs="Times New Roman"/>
        <w:color w:val="000000"/>
        <w:lang w:val="es-ES" w:eastAsia="es-ES"/>
      </w:rPr>
      <w:t xml:space="preserve">, </w:t>
    </w:r>
    <w:r>
      <w:rPr>
        <w:rFonts w:ascii="Times New Roman" w:eastAsia="Times New Roman" w:hAnsi="Times New Roman" w:cs="Times New Roman"/>
        <w:color w:val="000000"/>
        <w:lang w:val="es-ES" w:eastAsia="es-ES"/>
      </w:rPr>
      <w:t>y</w:t>
    </w:r>
    <w:r w:rsidRPr="0046726F">
      <w:rPr>
        <w:rFonts w:ascii="Times New Roman" w:eastAsia="Times New Roman" w:hAnsi="Times New Roman" w:cs="Times New Roman"/>
        <w:color w:val="000000"/>
        <w:lang w:val="es-ES" w:eastAsia="es-ES"/>
      </w:rPr>
      <w:t xml:space="preserve"> se establecen las tarifas a cobrar en las estaciones denominadas</w:t>
    </w:r>
    <w:r>
      <w:rPr>
        <w:rFonts w:ascii="Times New Roman" w:eastAsia="Times New Roman" w:hAnsi="Times New Roman" w:cs="Times New Roman"/>
        <w:color w:val="000000"/>
        <w:lang w:val="es-ES" w:eastAsia="es-ES"/>
      </w:rPr>
      <w:t xml:space="preserve"> Santa Isabel, Vegachi y Puerto Berrio</w:t>
    </w:r>
    <w:r w:rsidRPr="0046726F">
      <w:rPr>
        <w:rFonts w:ascii="Times New Roman" w:eastAsia="Times New Roman" w:hAnsi="Times New Roman" w:cs="Times New Roman"/>
        <w:color w:val="000000"/>
        <w:lang w:val="es-ES" w:eastAsia="es-ES"/>
      </w:rPr>
      <w:t xml:space="preserve"> que pertenecen al Proyecto vial “</w:t>
    </w:r>
    <w:r>
      <w:rPr>
        <w:rFonts w:ascii="Times New Roman" w:eastAsia="Times New Roman" w:hAnsi="Times New Roman" w:cs="Times New Roman"/>
        <w:color w:val="000000"/>
        <w:lang w:val="es-ES" w:eastAsia="es-ES"/>
      </w:rPr>
      <w:t>Concesión Autopista al Rio Magdalena 2</w:t>
    </w:r>
    <w:r w:rsidRPr="0046726F">
      <w:rPr>
        <w:rFonts w:ascii="Times New Roman" w:eastAsia="Times New Roman" w:hAnsi="Times New Roman" w:cs="Times New Roman"/>
        <w:color w:val="000000"/>
        <w:lang w:val="es-ES" w:eastAsia="es-ES"/>
      </w:rPr>
      <w:t xml:space="preserve">” del Proyecto “Autopistas de la Prosperidad” </w:t>
    </w:r>
  </w:p>
  <w:p w:rsidR="009F72AE" w:rsidRDefault="006610AC" w:rsidP="009F72AE">
    <w:pPr>
      <w:pStyle w:val="Default"/>
      <w:jc w:val="center"/>
      <w:rPr>
        <w:rFonts w:ascii="Times New Roman" w:hAnsi="Times New Roman" w:cs="Times New Roman"/>
        <w:sz w:val="22"/>
        <w:szCs w:val="22"/>
      </w:rPr>
    </w:pPr>
  </w:p>
  <w:p w:rsidR="00FB5E81" w:rsidRPr="00CB3BC0" w:rsidRDefault="006610AC" w:rsidP="00FB5E81">
    <w:pPr>
      <w:pBdr>
        <w:bottom w:val="single" w:sz="12" w:space="1" w:color="auto"/>
      </w:pBdr>
      <w:tabs>
        <w:tab w:val="left" w:pos="4320"/>
      </w:tabs>
      <w:ind w:right="215"/>
      <w:jc w:val="center"/>
      <w:rPr>
        <w:rFonts w:ascii="Futura Bk BT" w:hAnsi="Futura Bk BT"/>
        <w:bCs/>
        <w:i/>
        <w:lang w:val="es-ES"/>
      </w:rPr>
    </w:pPr>
  </w:p>
  <w:p w:rsidR="00FB5E81" w:rsidRPr="00FB5E81" w:rsidRDefault="006610AC" w:rsidP="00FB5E81">
    <w:pPr>
      <w:tabs>
        <w:tab w:val="left" w:pos="4320"/>
      </w:tabs>
      <w:ind w:right="215"/>
      <w:jc w:val="center"/>
      <w:rPr>
        <w:rFonts w:ascii="Futura Bk BT" w:hAnsi="Futura Bk BT" w:cs="Arial"/>
        <w:i/>
        <w:sz w:val="20"/>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A90" w:rsidRDefault="006610AC">
    <w:pPr>
      <w:pStyle w:val="Encabezado"/>
    </w:pPr>
  </w:p>
  <w:p w:rsidR="00866A90" w:rsidRDefault="006610AC">
    <w:pPr>
      <w:pStyle w:val="Encabezado"/>
    </w:pPr>
  </w:p>
  <w:p w:rsidR="00866A90" w:rsidRDefault="006610AC">
    <w:pPr>
      <w:pStyle w:val="Encabezado"/>
    </w:pPr>
  </w:p>
  <w:p w:rsidR="00866A90" w:rsidRPr="00A92D63" w:rsidRDefault="006610AC" w:rsidP="00A92D63">
    <w:pPr>
      <w:pStyle w:val="Encabezado"/>
      <w:tabs>
        <w:tab w:val="left" w:pos="434"/>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26F"/>
    <w:rsid w:val="00013EB3"/>
    <w:rsid w:val="0002224E"/>
    <w:rsid w:val="00045600"/>
    <w:rsid w:val="00091067"/>
    <w:rsid w:val="000F71E4"/>
    <w:rsid w:val="001D6B2B"/>
    <w:rsid w:val="00217E1F"/>
    <w:rsid w:val="002A3796"/>
    <w:rsid w:val="003129BE"/>
    <w:rsid w:val="003A1D7D"/>
    <w:rsid w:val="0046726F"/>
    <w:rsid w:val="00511DA2"/>
    <w:rsid w:val="00527A79"/>
    <w:rsid w:val="00556ED6"/>
    <w:rsid w:val="005F6A18"/>
    <w:rsid w:val="006610AC"/>
    <w:rsid w:val="007265F9"/>
    <w:rsid w:val="0078558D"/>
    <w:rsid w:val="008335CB"/>
    <w:rsid w:val="0093543E"/>
  </w:rsids>
  <m:mathPr>
    <m:mathFont m:val="Cambria Math"/>
    <m:brkBin m:val="before"/>
    <m:brkBinSub m:val="--"/>
    <m:smallFrac m:val="0"/>
    <m:dispDef/>
    <m:lMargin m:val="0"/>
    <m:rMargin m:val="0"/>
    <m:defJc m:val="centerGroup"/>
    <m:wrapIndent m:val="1440"/>
    <m:intLim m:val="subSup"/>
    <m:naryLim m:val="undOvr"/>
  </m:mathPr>
  <w:themeFontLang w:val="es-MX"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6726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726F"/>
  </w:style>
  <w:style w:type="character" w:styleId="Nmerodepgina">
    <w:name w:val="page number"/>
    <w:basedOn w:val="Fuentedeprrafopredeter"/>
    <w:semiHidden/>
    <w:rsid w:val="0046726F"/>
  </w:style>
  <w:style w:type="paragraph" w:customStyle="1" w:styleId="Default">
    <w:name w:val="Default"/>
    <w:rsid w:val="0046726F"/>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paragraph" w:styleId="Piedepgina">
    <w:name w:val="footer"/>
    <w:basedOn w:val="Normal"/>
    <w:link w:val="PiedepginaCar"/>
    <w:uiPriority w:val="99"/>
    <w:unhideWhenUsed/>
    <w:rsid w:val="002A379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A37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6726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726F"/>
  </w:style>
  <w:style w:type="character" w:styleId="Nmerodepgina">
    <w:name w:val="page number"/>
    <w:basedOn w:val="Fuentedeprrafopredeter"/>
    <w:semiHidden/>
    <w:rsid w:val="0046726F"/>
  </w:style>
  <w:style w:type="paragraph" w:customStyle="1" w:styleId="Default">
    <w:name w:val="Default"/>
    <w:rsid w:val="0046726F"/>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paragraph" w:styleId="Piedepgina">
    <w:name w:val="footer"/>
    <w:basedOn w:val="Normal"/>
    <w:link w:val="PiedepginaCar"/>
    <w:uiPriority w:val="99"/>
    <w:unhideWhenUsed/>
    <w:rsid w:val="002A379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A3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1776</Words>
  <Characters>9770</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Jose Aguilar Higuera</dc:creator>
  <cp:lastModifiedBy>Javier Alonso Zuñiga Gómez</cp:lastModifiedBy>
  <cp:revision>2</cp:revision>
  <dcterms:created xsi:type="dcterms:W3CDTF">2014-05-08T21:57:00Z</dcterms:created>
  <dcterms:modified xsi:type="dcterms:W3CDTF">2014-05-08T21:57:00Z</dcterms:modified>
</cp:coreProperties>
</file>