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2DB49" w14:textId="77777777" w:rsidR="004F0787" w:rsidRDefault="004F0787">
      <w:pPr>
        <w:jc w:val="center"/>
        <w:rPr>
          <w:rFonts w:ascii="Work Sans" w:hAnsi="Work Sans" w:cs="Times New Roman"/>
          <w:b/>
          <w:sz w:val="20"/>
          <w:szCs w:val="20"/>
          <w:lang w:eastAsia="es-ES"/>
        </w:rPr>
      </w:pPr>
    </w:p>
    <w:p w14:paraId="69434B92" w14:textId="77777777" w:rsidR="004F0787" w:rsidRDefault="00E42D0A">
      <w:pPr>
        <w:jc w:val="center"/>
        <w:rPr>
          <w:rFonts w:ascii="Work Sans" w:hAnsi="Work Sans" w:cs="Times New Roman"/>
          <w:b/>
          <w:sz w:val="20"/>
          <w:szCs w:val="20"/>
          <w:lang w:eastAsia="es-ES"/>
        </w:rPr>
      </w:pPr>
      <w:r>
        <w:rPr>
          <w:rFonts w:ascii="Work Sans" w:hAnsi="Work Sans" w:cs="Times New Roman"/>
          <w:b/>
          <w:sz w:val="20"/>
          <w:szCs w:val="20"/>
          <w:lang w:eastAsia="es-ES"/>
        </w:rPr>
        <w:t>LA MINISTRA DE TRANSPORTE</w:t>
      </w:r>
    </w:p>
    <w:p w14:paraId="55B707E4" w14:textId="77777777" w:rsidR="004F0787" w:rsidRDefault="004F0787">
      <w:pPr>
        <w:jc w:val="center"/>
        <w:rPr>
          <w:rFonts w:ascii="Work Sans" w:hAnsi="Work Sans" w:cs="Times New Roman"/>
          <w:b/>
          <w:sz w:val="20"/>
          <w:szCs w:val="20"/>
          <w:lang w:eastAsia="es-ES"/>
        </w:rPr>
      </w:pPr>
    </w:p>
    <w:p w14:paraId="69B68639" w14:textId="77777777" w:rsidR="004F0787" w:rsidRDefault="004F0787">
      <w:pPr>
        <w:jc w:val="center"/>
        <w:rPr>
          <w:rFonts w:ascii="Work Sans" w:hAnsi="Work Sans" w:cs="Times New Roman"/>
          <w:b/>
          <w:sz w:val="20"/>
          <w:szCs w:val="20"/>
          <w:lang w:eastAsia="es-ES"/>
        </w:rPr>
      </w:pPr>
    </w:p>
    <w:p w14:paraId="1A483517" w14:textId="77777777" w:rsidR="004F0787" w:rsidRDefault="00E42D0A">
      <w:pPr>
        <w:widowControl/>
        <w:suppressAutoHyphens w:val="0"/>
        <w:jc w:val="center"/>
        <w:textAlignment w:val="auto"/>
      </w:pPr>
      <w:r>
        <w:rPr>
          <w:rFonts w:ascii="Work Sans" w:eastAsia="DengXian Light" w:hAnsi="Work Sans" w:cs="Arial"/>
          <w:sz w:val="20"/>
          <w:szCs w:val="20"/>
          <w:lang w:bidi="ar-SA"/>
        </w:rPr>
        <w:t>La Ministra de Transporte, en ejercicio de las facultades legales y, en especial, las conferidas por el artículo 21 de la </w:t>
      </w:r>
      <w:hyperlink r:id="rId7" w:history="1">
        <w:r>
          <w:rPr>
            <w:rFonts w:ascii="Work Sans" w:eastAsia="DengXian Light" w:hAnsi="Work Sans" w:cs="Arial"/>
            <w:sz w:val="20"/>
            <w:szCs w:val="20"/>
            <w:lang w:bidi="ar-SA"/>
          </w:rPr>
          <w:t>Ley 105 de 1993</w:t>
        </w:r>
      </w:hyperlink>
      <w:r>
        <w:rPr>
          <w:rFonts w:ascii="Work Sans" w:eastAsia="DengXian Light" w:hAnsi="Work Sans" w:cs="Arial"/>
          <w:sz w:val="20"/>
          <w:szCs w:val="20"/>
          <w:lang w:bidi="ar-SA"/>
        </w:rPr>
        <w:t>, modificado parcialmente por el artículo 1° de la </w:t>
      </w:r>
      <w:hyperlink r:id="rId8" w:history="1">
        <w:r>
          <w:rPr>
            <w:rFonts w:ascii="Work Sans" w:eastAsia="DengXian Light" w:hAnsi="Work Sans" w:cs="Arial"/>
            <w:sz w:val="20"/>
            <w:szCs w:val="20"/>
            <w:lang w:bidi="ar-SA"/>
          </w:rPr>
          <w:t>Ley 787 de 2002</w:t>
        </w:r>
      </w:hyperlink>
      <w:r>
        <w:rPr>
          <w:rFonts w:ascii="Work Sans" w:eastAsia="DengXian Light" w:hAnsi="Work Sans" w:cs="Arial"/>
          <w:sz w:val="20"/>
          <w:szCs w:val="20"/>
          <w:lang w:bidi="ar-SA"/>
        </w:rPr>
        <w:t> y el artícul</w:t>
      </w:r>
      <w:r>
        <w:rPr>
          <w:rFonts w:ascii="Work Sans" w:eastAsia="DengXian Light" w:hAnsi="Work Sans" w:cs="Arial"/>
          <w:sz w:val="20"/>
          <w:szCs w:val="20"/>
          <w:lang w:bidi="ar-SA"/>
        </w:rPr>
        <w:t>o 6° numeral 6.15 del </w:t>
      </w:r>
      <w:hyperlink r:id="rId9" w:history="1">
        <w:r>
          <w:rPr>
            <w:rFonts w:ascii="Work Sans" w:eastAsia="DengXian Light" w:hAnsi="Work Sans" w:cs="Arial"/>
            <w:sz w:val="20"/>
            <w:szCs w:val="20"/>
            <w:lang w:bidi="ar-SA"/>
          </w:rPr>
          <w:t>Decreto 087 del 17 de enero de 2011</w:t>
        </w:r>
      </w:hyperlink>
      <w:r>
        <w:rPr>
          <w:rFonts w:ascii="Work Sans" w:eastAsia="DengXian Light" w:hAnsi="Work Sans" w:cs="Arial"/>
          <w:sz w:val="20"/>
          <w:szCs w:val="20"/>
          <w:lang w:bidi="ar-SA"/>
        </w:rPr>
        <w:t>, y</w:t>
      </w:r>
    </w:p>
    <w:p w14:paraId="5F297AE9" w14:textId="77777777" w:rsidR="004F0787" w:rsidRDefault="00E42D0A">
      <w:pPr>
        <w:widowControl/>
        <w:suppressAutoHyphens w:val="0"/>
        <w:jc w:val="both"/>
        <w:textAlignment w:val="auto"/>
        <w:rPr>
          <w:rFonts w:ascii="Verdana" w:hAnsi="Verdana" w:cs="Times New Roman"/>
          <w:color w:val="221E1F"/>
          <w:kern w:val="0"/>
          <w:sz w:val="22"/>
          <w:szCs w:val="22"/>
          <w:lang w:val="es" w:eastAsia="en-US" w:bidi="ar-SA"/>
        </w:rPr>
      </w:pPr>
      <w:r>
        <w:rPr>
          <w:rFonts w:ascii="Verdana" w:hAnsi="Verdana" w:cs="Times New Roman"/>
          <w:color w:val="221E1F"/>
          <w:kern w:val="0"/>
          <w:sz w:val="22"/>
          <w:szCs w:val="22"/>
          <w:lang w:val="es" w:eastAsia="en-US" w:bidi="ar-SA"/>
        </w:rPr>
        <w:t> </w:t>
      </w:r>
    </w:p>
    <w:p w14:paraId="555D2864" w14:textId="77777777" w:rsidR="004F0787" w:rsidRDefault="00E42D0A">
      <w:pPr>
        <w:jc w:val="center"/>
      </w:pPr>
      <w:r>
        <w:rPr>
          <w:rFonts w:ascii="Work Sans" w:hAnsi="Work Sans" w:cs="Times New Roman"/>
          <w:b/>
          <w:sz w:val="20"/>
          <w:szCs w:val="20"/>
          <w:lang w:eastAsia="es-ES"/>
        </w:rPr>
        <w:t>CONSIDERANDO</w:t>
      </w:r>
    </w:p>
    <w:p w14:paraId="71E365CF" w14:textId="77777777" w:rsidR="004F0787" w:rsidRDefault="004F0787">
      <w:pPr>
        <w:pStyle w:val="Standard"/>
        <w:autoSpaceDE w:val="0"/>
        <w:jc w:val="center"/>
        <w:rPr>
          <w:rFonts w:ascii="Work Sans" w:eastAsia="DengXian Light" w:hAnsi="Work Sans" w:cs="Arial"/>
          <w:sz w:val="20"/>
        </w:rPr>
      </w:pPr>
    </w:p>
    <w:p w14:paraId="3BC59C1A" w14:textId="77777777" w:rsidR="004F0787" w:rsidRDefault="00E42D0A">
      <w:pPr>
        <w:widowControl/>
        <w:suppressAutoHyphens w:val="0"/>
        <w:jc w:val="center"/>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27026C7C" w14:textId="77777777" w:rsidR="004F0787" w:rsidRDefault="00E42D0A">
      <w:pPr>
        <w:widowControl/>
        <w:suppressAutoHyphens w:val="0"/>
        <w:jc w:val="both"/>
        <w:textAlignment w:val="auto"/>
      </w:pPr>
      <w:r>
        <w:rPr>
          <w:rFonts w:ascii="Work Sans" w:eastAsia="DengXian Light" w:hAnsi="Work Sans" w:cs="Arial"/>
          <w:sz w:val="20"/>
          <w:szCs w:val="20"/>
          <w:lang w:bidi="ar-SA"/>
        </w:rPr>
        <w:t>Que mediante el </w:t>
      </w:r>
      <w:hyperlink r:id="rId10"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el Gobierno nacional declaró el Estado de Emergencia Económica, Social y Ecológica en los municipios de La Jagua del Pilar, Urumita, Villanueva, El Mol</w:t>
      </w:r>
      <w:r>
        <w:rPr>
          <w:rFonts w:ascii="Work Sans" w:eastAsia="DengXian Light" w:hAnsi="Work Sans" w:cs="Arial"/>
          <w:sz w:val="20"/>
          <w:szCs w:val="20"/>
          <w:lang w:bidi="ar-SA"/>
        </w:rPr>
        <w:t>ino, San Juan del Cesar, Fonseca, Barrancas, Albania, Maicao, Uribia y Hato Nuevo en el departamento de La Guajira; Manaure-Balcón del Cesar, La Paz, Agustín Codazzi, Becerril, La Jagua de Ibirico, Chiriguaná y Curumaní en el departamento del Cesar; Toledo</w:t>
      </w:r>
      <w:r>
        <w:rPr>
          <w:rFonts w:ascii="Work Sans" w:eastAsia="DengXian Light" w:hAnsi="Work Sans" w:cs="Arial"/>
          <w:sz w:val="20"/>
          <w:szCs w:val="20"/>
          <w:lang w:bidi="ar-SA"/>
        </w:rPr>
        <w:t>, Herrón, Ragonvalia, Villa del Rosario, Puerto Santander, Área Metropolitana de Cúcuta, Tibú, Teorama, Convención, El Carmen, El Zulia, Salazar de las Palmas y Sardinata, en el departamento de Norte de Santander; Cubará, en el departamento de Boyacá; Crav</w:t>
      </w:r>
      <w:r>
        <w:rPr>
          <w:rFonts w:ascii="Work Sans" w:eastAsia="DengXian Light" w:hAnsi="Work Sans" w:cs="Arial"/>
          <w:sz w:val="20"/>
          <w:szCs w:val="20"/>
          <w:lang w:bidi="ar-SA"/>
        </w:rPr>
        <w:t>o Norte, Arauca, Arauquita y Saravena en el departamento de Arauca; La Primavera, Puerto Carreña y Cumaribo en el departamento de Vichada, e Inírida del departamento de Guainía;</w:t>
      </w:r>
    </w:p>
    <w:p w14:paraId="23089F20"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1CCD4C71" w14:textId="77777777" w:rsidR="004F0787" w:rsidRDefault="00E42D0A">
      <w:pPr>
        <w:widowControl/>
        <w:suppressAutoHyphens w:val="0"/>
        <w:jc w:val="both"/>
        <w:textAlignment w:val="auto"/>
      </w:pPr>
      <w:r>
        <w:rPr>
          <w:rFonts w:ascii="Work Sans" w:eastAsia="DengXian Light" w:hAnsi="Work Sans" w:cs="Arial"/>
          <w:sz w:val="20"/>
          <w:szCs w:val="20"/>
          <w:lang w:bidi="ar-SA"/>
        </w:rPr>
        <w:t>Que el citado </w:t>
      </w:r>
      <w:hyperlink r:id="rId11"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xml:space="preserve">, dentro de las consideraciones que tuvo en cuenta para tomar las referidas medidas señaló que gran parte del intercambio comercial que se realiza con la República Bolivariana de Venezuela se materializa a través </w:t>
      </w:r>
      <w:r>
        <w:rPr>
          <w:rFonts w:ascii="Work Sans" w:eastAsia="DengXian Light" w:hAnsi="Work Sans" w:cs="Arial"/>
          <w:sz w:val="20"/>
          <w:szCs w:val="20"/>
          <w:lang w:bidi="ar-SA"/>
        </w:rPr>
        <w:t>de actividades de transporte y centros de acopio vinculados al proceso de explotación de minerales, al punto que cuatro municipios del departamento de Norte de Santander (Sardinata, Cúcuta, Zulia y Salazar), producen algo más del 80% del carbón mineral que</w:t>
      </w:r>
      <w:r>
        <w:rPr>
          <w:rFonts w:ascii="Work Sans" w:eastAsia="DengXian Light" w:hAnsi="Work Sans" w:cs="Arial"/>
          <w:sz w:val="20"/>
          <w:szCs w:val="20"/>
          <w:lang w:bidi="ar-SA"/>
        </w:rPr>
        <w:t xml:space="preserve"> se despacha por vía terrestre hacia puertos del vecino país;</w:t>
      </w:r>
    </w:p>
    <w:p w14:paraId="0AFA5F46"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4225BA33" w14:textId="77777777" w:rsidR="004F0787" w:rsidRDefault="00E42D0A">
      <w:pPr>
        <w:widowControl/>
        <w:suppressAutoHyphens w:val="0"/>
        <w:jc w:val="both"/>
        <w:textAlignment w:val="auto"/>
      </w:pPr>
      <w:r>
        <w:rPr>
          <w:rFonts w:ascii="Work Sans" w:eastAsia="DengXian Light" w:hAnsi="Work Sans" w:cs="Arial"/>
          <w:sz w:val="20"/>
          <w:szCs w:val="20"/>
          <w:lang w:bidi="ar-SA"/>
        </w:rPr>
        <w:t>Que también se referenció en el señalado </w:t>
      </w:r>
      <w:hyperlink r:id="rId12"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que el modo terrestre presenta mayores costos de operación para la movilización de mineral, dada la distancia que se debe transitar en el territorio nac</w:t>
      </w:r>
      <w:r>
        <w:rPr>
          <w:rFonts w:ascii="Work Sans" w:eastAsia="DengXian Light" w:hAnsi="Work Sans" w:cs="Arial"/>
          <w:sz w:val="20"/>
          <w:szCs w:val="20"/>
          <w:lang w:bidi="ar-SA"/>
        </w:rPr>
        <w:t>ional, si se compara con los 400 kilómetros que antes del cierre de la frontera recorrían los transportadores del carbón hasta los puertos en Venezuela, sin embargo, es la alternativa inmediata para transportar el carbón, mientras se adecúan nuevas alterna</w:t>
      </w:r>
      <w:r>
        <w:rPr>
          <w:rFonts w:ascii="Work Sans" w:eastAsia="DengXian Light" w:hAnsi="Work Sans" w:cs="Arial"/>
          <w:sz w:val="20"/>
          <w:szCs w:val="20"/>
          <w:lang w:bidi="ar-SA"/>
        </w:rPr>
        <w:t>tivas bimodales;</w:t>
      </w:r>
    </w:p>
    <w:p w14:paraId="3C651217"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0C73D4D9" w14:textId="77777777" w:rsidR="004F0787" w:rsidRDefault="00E42D0A">
      <w:pPr>
        <w:widowControl/>
        <w:suppressAutoHyphens w:val="0"/>
        <w:jc w:val="both"/>
        <w:textAlignment w:val="auto"/>
      </w:pPr>
      <w:r>
        <w:rPr>
          <w:rFonts w:ascii="Work Sans" w:eastAsia="DengXian Light" w:hAnsi="Work Sans" w:cs="Arial"/>
          <w:sz w:val="20"/>
          <w:szCs w:val="20"/>
          <w:lang w:bidi="ar-SA"/>
        </w:rPr>
        <w:t>Que como consecuencia de las condiciones especiales señaladas y para mitigar los costos de operación, el Ministerio de Transporte desde el año 2015 ha establecido una exención del cincuenta por ciento (50%) de la tarifa de paso actual, p</w:t>
      </w:r>
      <w:r>
        <w:rPr>
          <w:rFonts w:ascii="Work Sans" w:eastAsia="DengXian Light" w:hAnsi="Work Sans" w:cs="Arial"/>
          <w:sz w:val="20"/>
          <w:szCs w:val="20"/>
          <w:lang w:bidi="ar-SA"/>
        </w:rPr>
        <w:t>or el derecho de tránsito por cada tonelada métrica de carga de carbón proveniente del departamento de Norte de Santander transportadas por el corredor férreo en el tramo Chiriguaná-</w:t>
      </w:r>
      <w:r>
        <w:rPr>
          <w:rFonts w:ascii="Work Sans" w:eastAsia="DengXian Light" w:hAnsi="Work Sans" w:cs="Arial"/>
          <w:sz w:val="20"/>
          <w:szCs w:val="20"/>
          <w:lang w:bidi="ar-SA"/>
        </w:rPr>
        <w:lastRenderedPageBreak/>
        <w:t>Santa Marta, que debe realizar el Concesionario de la Red Férrea del Atlán</w:t>
      </w:r>
      <w:r>
        <w:rPr>
          <w:rFonts w:ascii="Work Sans" w:eastAsia="DengXian Light" w:hAnsi="Work Sans" w:cs="Arial"/>
          <w:sz w:val="20"/>
          <w:szCs w:val="20"/>
          <w:lang w:bidi="ar-SA"/>
        </w:rPr>
        <w:t>tico Fenoco S. A., mediante Resoluciones 3378 de 2015 y 885 de 2019, modificada por la </w:t>
      </w:r>
      <w:hyperlink r:id="rId13" w:history="1">
        <w:r>
          <w:rPr>
            <w:rFonts w:ascii="Work Sans" w:eastAsia="DengXian Light" w:hAnsi="Work Sans" w:cs="Arial"/>
            <w:sz w:val="20"/>
            <w:szCs w:val="20"/>
            <w:lang w:bidi="ar-SA"/>
          </w:rPr>
          <w:t>Resolución 508 de 2020</w:t>
        </w:r>
      </w:hyperlink>
      <w:r>
        <w:rPr>
          <w:rFonts w:ascii="Work Sans" w:eastAsia="DengXian Light" w:hAnsi="Work Sans" w:cs="Arial"/>
          <w:sz w:val="20"/>
          <w:szCs w:val="20"/>
          <w:lang w:bidi="ar-SA"/>
        </w:rPr>
        <w:t>;</w:t>
      </w:r>
    </w:p>
    <w:p w14:paraId="52B9502A"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2A45321A" w14:textId="77777777" w:rsidR="004F0787" w:rsidRDefault="00E42D0A">
      <w:pPr>
        <w:widowControl/>
        <w:suppressAutoHyphens w:val="0"/>
        <w:jc w:val="both"/>
        <w:textAlignment w:val="auto"/>
      </w:pPr>
      <w:r>
        <w:rPr>
          <w:rFonts w:ascii="Work Sans" w:eastAsia="DengXian Light" w:hAnsi="Work Sans" w:cs="Arial"/>
          <w:sz w:val="20"/>
          <w:szCs w:val="20"/>
          <w:lang w:bidi="ar-SA"/>
        </w:rPr>
        <w:t>Que mediante la </w:t>
      </w:r>
      <w:hyperlink r:id="rId14" w:history="1">
        <w:r>
          <w:rPr>
            <w:rFonts w:ascii="Work Sans" w:eastAsia="DengXian Light" w:hAnsi="Work Sans" w:cs="Arial"/>
            <w:sz w:val="20"/>
            <w:szCs w:val="20"/>
            <w:lang w:bidi="ar-SA"/>
          </w:rPr>
          <w:t>Resolución 0885 de 11 de marzo de 2019</w:t>
        </w:r>
      </w:hyperlink>
      <w:r>
        <w:rPr>
          <w:rFonts w:ascii="Work Sans" w:eastAsia="DengXian Light" w:hAnsi="Work Sans" w:cs="Arial"/>
          <w:sz w:val="20"/>
          <w:szCs w:val="20"/>
          <w:lang w:bidi="ar-SA"/>
        </w:rPr>
        <w:t>, el Ministerio de Transporte estableció la exención del cincuenta por ciento (50%) de la tarifa de paso actual, por el derecho de tránsi</w:t>
      </w:r>
      <w:r>
        <w:rPr>
          <w:rFonts w:ascii="Work Sans" w:eastAsia="DengXian Light" w:hAnsi="Work Sans" w:cs="Arial"/>
          <w:sz w:val="20"/>
          <w:szCs w:val="20"/>
          <w:lang w:bidi="ar-SA"/>
        </w:rPr>
        <w:t>to por cada tonelada métrica de carga de carbón proveniente del departamento de Norte de Santander transportadas por el corredor férreo en el tramo Chiriguaná-Santa Marta, que debe realizar el Concesionario de la Red Férrea del Atlántico Fenoco S. A.;</w:t>
      </w:r>
    </w:p>
    <w:p w14:paraId="3B9FD6ED"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7E0526DF" w14:textId="77777777" w:rsidR="004F0787" w:rsidRDefault="00E42D0A">
      <w:pPr>
        <w:widowControl/>
        <w:suppressAutoHyphens w:val="0"/>
        <w:jc w:val="both"/>
        <w:textAlignment w:val="auto"/>
      </w:pPr>
      <w:r>
        <w:rPr>
          <w:rFonts w:ascii="Work Sans" w:eastAsia="DengXian Light" w:hAnsi="Work Sans" w:cs="Arial"/>
          <w:sz w:val="20"/>
          <w:szCs w:val="20"/>
          <w:lang w:bidi="ar-SA"/>
        </w:rPr>
        <w:t>Qu</w:t>
      </w:r>
      <w:r>
        <w:rPr>
          <w:rFonts w:ascii="Work Sans" w:eastAsia="DengXian Light" w:hAnsi="Work Sans" w:cs="Arial"/>
          <w:sz w:val="20"/>
          <w:szCs w:val="20"/>
          <w:lang w:bidi="ar-SA"/>
        </w:rPr>
        <w:t>e el artículo 1° de la citada </w:t>
      </w:r>
      <w:hyperlink r:id="rId15" w:history="1">
        <w:r>
          <w:rPr>
            <w:rFonts w:ascii="Work Sans" w:eastAsia="DengXian Light" w:hAnsi="Work Sans" w:cs="Arial"/>
            <w:sz w:val="20"/>
            <w:szCs w:val="20"/>
            <w:lang w:bidi="ar-SA"/>
          </w:rPr>
          <w:t>Resolución 0885 de 2019</w:t>
        </w:r>
      </w:hyperlink>
      <w:r>
        <w:rPr>
          <w:rFonts w:ascii="Work Sans" w:eastAsia="DengXian Light" w:hAnsi="Work Sans" w:cs="Arial"/>
          <w:sz w:val="20"/>
          <w:szCs w:val="20"/>
          <w:lang w:bidi="ar-SA"/>
        </w:rPr>
        <w:t xml:space="preserve">, estableció la exención del 50% de la tarifa por un término de un (1) año, contado a partir de la </w:t>
      </w:r>
      <w:r>
        <w:rPr>
          <w:rFonts w:ascii="Work Sans" w:eastAsia="DengXian Light" w:hAnsi="Work Sans" w:cs="Arial"/>
          <w:sz w:val="20"/>
          <w:szCs w:val="20"/>
          <w:lang w:bidi="ar-SA"/>
        </w:rPr>
        <w:t>publicación del presente acto administrativo, esto es, a partir del 13 de marzo 2019, y podrá prorrogarse siempre y cuando se mantengan las condiciones que le dieron origen;</w:t>
      </w:r>
    </w:p>
    <w:p w14:paraId="26B144FB"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79B01058" w14:textId="77777777" w:rsidR="004F0787" w:rsidRDefault="00E42D0A">
      <w:pPr>
        <w:widowControl/>
        <w:suppressAutoHyphens w:val="0"/>
        <w:jc w:val="both"/>
        <w:textAlignment w:val="auto"/>
      </w:pPr>
      <w:r>
        <w:rPr>
          <w:rFonts w:ascii="Work Sans" w:eastAsia="DengXian Light" w:hAnsi="Work Sans" w:cs="Arial"/>
          <w:sz w:val="20"/>
          <w:szCs w:val="20"/>
          <w:lang w:bidi="ar-SA"/>
        </w:rPr>
        <w:t>Que el término antes señalado fue prorrogado mediante la </w:t>
      </w:r>
      <w:hyperlink r:id="rId16" w:history="1">
        <w:r>
          <w:rPr>
            <w:rFonts w:ascii="Work Sans" w:eastAsia="DengXian Light" w:hAnsi="Work Sans" w:cs="Arial"/>
            <w:sz w:val="20"/>
            <w:szCs w:val="20"/>
            <w:lang w:bidi="ar-SA"/>
          </w:rPr>
          <w:t>Resolución número 0508 de 2020</w:t>
        </w:r>
      </w:hyperlink>
      <w:r>
        <w:rPr>
          <w:rFonts w:ascii="Work Sans" w:eastAsia="DengXian Light" w:hAnsi="Work Sans" w:cs="Arial"/>
          <w:sz w:val="20"/>
          <w:szCs w:val="20"/>
          <w:lang w:bidi="ar-SA"/>
        </w:rPr>
        <w:t>, del Ministerio de Transporte, por un (1) año, esto es, hasta el 13 de marzo de 2021;</w:t>
      </w:r>
    </w:p>
    <w:p w14:paraId="727004E4" w14:textId="77777777" w:rsidR="004F0787" w:rsidRDefault="004F0787">
      <w:pPr>
        <w:widowControl/>
        <w:suppressAutoHyphens w:val="0"/>
        <w:jc w:val="both"/>
        <w:textAlignment w:val="auto"/>
        <w:rPr>
          <w:rFonts w:ascii="Work Sans" w:eastAsia="DengXian Light" w:hAnsi="Work Sans" w:cs="Arial"/>
          <w:sz w:val="20"/>
          <w:szCs w:val="20"/>
          <w:lang w:bidi="ar-SA"/>
        </w:rPr>
      </w:pPr>
    </w:p>
    <w:p w14:paraId="4E7881A8" w14:textId="77777777" w:rsidR="004F0787" w:rsidRDefault="00E42D0A">
      <w:pPr>
        <w:widowControl/>
        <w:suppressAutoHyphens w:val="0"/>
        <w:jc w:val="both"/>
        <w:textAlignment w:val="auto"/>
      </w:pPr>
      <w:r>
        <w:rPr>
          <w:rFonts w:ascii="Work Sans" w:eastAsia="DengXian Light" w:hAnsi="Work Sans" w:cs="Arial"/>
          <w:sz w:val="20"/>
          <w:szCs w:val="20"/>
          <w:lang w:bidi="ar-SA"/>
        </w:rPr>
        <w:t>Que mediante el artículo 1° de la Resolución 202130400100</w:t>
      </w:r>
      <w:r>
        <w:rPr>
          <w:rFonts w:ascii="Work Sans" w:eastAsia="DengXian Light" w:hAnsi="Work Sans" w:cs="Arial"/>
          <w:sz w:val="20"/>
          <w:szCs w:val="20"/>
          <w:lang w:bidi="ar-SA"/>
        </w:rPr>
        <w:t>75 de 2021 fue prorrogado el término establecido en el artículo 1° de la </w:t>
      </w:r>
      <w:hyperlink r:id="rId17" w:history="1">
        <w:r>
          <w:rPr>
            <w:rFonts w:ascii="Work Sans" w:eastAsia="DengXian Light" w:hAnsi="Work Sans" w:cs="Arial"/>
            <w:sz w:val="20"/>
            <w:szCs w:val="20"/>
            <w:lang w:bidi="ar-SA"/>
          </w:rPr>
          <w:t>Resolución 0885 de 2019</w:t>
        </w:r>
      </w:hyperlink>
      <w:r>
        <w:rPr>
          <w:rFonts w:ascii="Work Sans" w:eastAsia="DengXian Light" w:hAnsi="Work Sans" w:cs="Arial"/>
          <w:sz w:val="20"/>
          <w:szCs w:val="20"/>
          <w:lang w:bidi="ar-SA"/>
        </w:rPr>
        <w:t>, prorrogado por el artículo 1° de la </w:t>
      </w:r>
      <w:hyperlink r:id="rId18" w:history="1">
        <w:r>
          <w:rPr>
            <w:rFonts w:ascii="Work Sans" w:eastAsia="DengXian Light" w:hAnsi="Work Sans" w:cs="Arial"/>
            <w:sz w:val="20"/>
            <w:szCs w:val="20"/>
            <w:lang w:bidi="ar-SA"/>
          </w:rPr>
          <w:t>Resolución 0508 del 11 de marzo de 2020</w:t>
        </w:r>
      </w:hyperlink>
      <w:r>
        <w:rPr>
          <w:rFonts w:ascii="Work Sans" w:eastAsia="DengXian Light" w:hAnsi="Work Sans" w:cs="Arial"/>
          <w:sz w:val="20"/>
          <w:szCs w:val="20"/>
          <w:lang w:bidi="ar-SA"/>
        </w:rPr>
        <w:t>, por un año (1) año más, esto es, hasta el 13 de marzo de 2022.</w:t>
      </w:r>
    </w:p>
    <w:p w14:paraId="0012FA5A" w14:textId="77777777" w:rsidR="004F0787" w:rsidRDefault="004F0787">
      <w:pPr>
        <w:widowControl/>
        <w:suppressAutoHyphens w:val="0"/>
        <w:jc w:val="both"/>
        <w:textAlignment w:val="auto"/>
        <w:rPr>
          <w:rFonts w:ascii="Work Sans" w:eastAsia="DengXian Light" w:hAnsi="Work Sans" w:cs="Arial"/>
          <w:sz w:val="20"/>
          <w:szCs w:val="20"/>
          <w:lang w:bidi="ar-SA"/>
        </w:rPr>
      </w:pPr>
    </w:p>
    <w:p w14:paraId="731B0CE2" w14:textId="77777777" w:rsidR="004F0787" w:rsidRDefault="00E42D0A">
      <w:pPr>
        <w:widowControl/>
        <w:suppressAutoHyphens w:val="0"/>
        <w:jc w:val="both"/>
        <w:textAlignment w:val="auto"/>
      </w:pPr>
      <w:r>
        <w:rPr>
          <w:rFonts w:ascii="Work Sans" w:eastAsia="DengXian Light" w:hAnsi="Work Sans" w:cs="Arial"/>
          <w:sz w:val="20"/>
          <w:szCs w:val="20"/>
          <w:lang w:bidi="ar-SA"/>
        </w:rPr>
        <w:t>Que la Asociación de Carboneros de Norte de Santander, mediante o</w:t>
      </w:r>
      <w:r>
        <w:rPr>
          <w:rFonts w:ascii="Work Sans" w:eastAsia="DengXian Light" w:hAnsi="Work Sans" w:cs="Arial"/>
          <w:sz w:val="20"/>
          <w:szCs w:val="20"/>
          <w:lang w:bidi="ar-SA"/>
        </w:rPr>
        <w:t>ficio radicado en el Ministerio de Transporte con el número MT- 20223030246492 de fecha 04 de febrero de 2022 solicita prorrogar la vigencia la exención del cincuenta por ciento (50%) de la tarifa de paso actual, transportadas por el Concesionario de la Re</w:t>
      </w:r>
      <w:r>
        <w:rPr>
          <w:rFonts w:ascii="Work Sans" w:eastAsia="DengXian Light" w:hAnsi="Work Sans" w:cs="Arial"/>
          <w:sz w:val="20"/>
          <w:szCs w:val="20"/>
          <w:lang w:bidi="ar-SA"/>
        </w:rPr>
        <w:t>d Férrea del Atlántico Fenoco S. A., teniendo en cuenta que subsisten las situaciones de hecho que dio sustento a la expedición de la citada </w:t>
      </w:r>
      <w:hyperlink r:id="rId19" w:history="1">
        <w:r>
          <w:rPr>
            <w:rFonts w:ascii="Work Sans" w:eastAsia="DengXian Light" w:hAnsi="Work Sans" w:cs="Arial"/>
            <w:sz w:val="20"/>
            <w:szCs w:val="20"/>
            <w:lang w:bidi="ar-SA"/>
          </w:rPr>
          <w:t xml:space="preserve">Resolución </w:t>
        </w:r>
        <w:r>
          <w:rPr>
            <w:rFonts w:ascii="Work Sans" w:eastAsia="DengXian Light" w:hAnsi="Work Sans" w:cs="Arial"/>
            <w:sz w:val="20"/>
            <w:szCs w:val="20"/>
            <w:lang w:bidi="ar-SA"/>
          </w:rPr>
          <w:t>0885 de 2019</w:t>
        </w:r>
      </w:hyperlink>
      <w:r>
        <w:rPr>
          <w:rFonts w:ascii="Work Sans" w:eastAsia="DengXian Light" w:hAnsi="Work Sans" w:cs="Arial"/>
          <w:sz w:val="20"/>
          <w:szCs w:val="20"/>
          <w:lang w:bidi="ar-SA"/>
        </w:rPr>
        <w:t>, en los siguientes términos:</w:t>
      </w:r>
    </w:p>
    <w:p w14:paraId="6FCA3129"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3ACCF180" w14:textId="77777777" w:rsidR="004F0787" w:rsidRDefault="00E42D0A">
      <w:pPr>
        <w:widowControl/>
        <w:suppressAutoHyphens w:val="0"/>
        <w:spacing w:after="160"/>
        <w:ind w:left="567" w:right="680"/>
        <w:jc w:val="both"/>
        <w:textAlignment w:val="auto"/>
      </w:pPr>
      <w:r>
        <w:rPr>
          <w:rFonts w:ascii="Work Sans" w:eastAsia="DengXian Light" w:hAnsi="Work Sans" w:cs="Arial"/>
          <w:i/>
          <w:sz w:val="20"/>
          <w:szCs w:val="20"/>
          <w:lang w:bidi="ar-SA"/>
        </w:rPr>
        <w:t>“(…) Agradecemos el apoyo que desde el Ministerio de Transporte y en general desde el Gobierno Nacional, hemos recibido con el Gremio del Carbón en Norte de Santander, especialmente desde el cierre fronterizo con</w:t>
      </w:r>
      <w:r>
        <w:rPr>
          <w:rFonts w:ascii="Work Sans" w:eastAsia="DengXian Light" w:hAnsi="Work Sans" w:cs="Arial"/>
          <w:i/>
          <w:sz w:val="20"/>
          <w:szCs w:val="20"/>
          <w:lang w:bidi="ar-SA"/>
        </w:rPr>
        <w:t xml:space="preserve"> la República Bolivariana de Venezuela, a fin de viabilizar la operación de exportación de Carbón Térmico de Norte de Santander por los puertos Colombianos como Capulco (fluvial), Santa Marta, Barranquilla y Dibulla (Marítimo), promoviendo cada vez más el </w:t>
      </w:r>
      <w:r>
        <w:rPr>
          <w:rFonts w:ascii="Work Sans" w:eastAsia="DengXian Light" w:hAnsi="Work Sans" w:cs="Arial"/>
          <w:i/>
          <w:sz w:val="20"/>
          <w:szCs w:val="20"/>
          <w:lang w:bidi="ar-SA"/>
        </w:rPr>
        <w:t xml:space="preserve">fortalecimiento de la operación minera exportadora por territorio colombiano debido a la compleja situación que aún continua viviendo nuestro vecino país y de la cual hemos sido directamente afectados. Acudimos a su gestión de la manera más respetuosa, ya </w:t>
      </w:r>
      <w:r>
        <w:rPr>
          <w:rFonts w:ascii="Work Sans" w:eastAsia="DengXian Light" w:hAnsi="Work Sans" w:cs="Arial"/>
          <w:i/>
          <w:sz w:val="20"/>
          <w:szCs w:val="20"/>
          <w:lang w:bidi="ar-SA"/>
        </w:rPr>
        <w:t>que el próximo 13 de marzo de 2022, finaliza la vigencia del con</w:t>
      </w:r>
      <w:r>
        <w:rPr>
          <w:rFonts w:ascii="Work Sans" w:eastAsia="DengXian Light" w:hAnsi="Work Sans" w:cs="Arial"/>
          <w:i/>
          <w:sz w:val="20"/>
          <w:szCs w:val="20"/>
          <w:lang w:bidi="ar-SA"/>
        </w:rPr>
        <w:lastRenderedPageBreak/>
        <w:t>junto de resoluciones expedidas por el Ministerio de Transporte referenciadas en el asunto desde el año 2015 por el cierre fronterizo (Ver anexo), con el fin de que éstas sean nuevamente prorr</w:t>
      </w:r>
      <w:r>
        <w:rPr>
          <w:rFonts w:ascii="Work Sans" w:eastAsia="DengXian Light" w:hAnsi="Work Sans" w:cs="Arial"/>
          <w:i/>
          <w:sz w:val="20"/>
          <w:szCs w:val="20"/>
          <w:lang w:bidi="ar-SA"/>
        </w:rPr>
        <w:t>ogadas por su Despacho en atención a que las afectaciones al intercambio comercial del carbón derivada del cierre fronterizo entre la República de Colombia y la República Bolivariana de Venezuela aún se mantienen. Por lo tanto, agradecemos altamente que es</w:t>
      </w:r>
      <w:r>
        <w:rPr>
          <w:rFonts w:ascii="Work Sans" w:eastAsia="DengXian Light" w:hAnsi="Work Sans" w:cs="Arial"/>
          <w:i/>
          <w:sz w:val="20"/>
          <w:szCs w:val="20"/>
          <w:lang w:bidi="ar-SA"/>
        </w:rPr>
        <w:t>te Ministerio pueda realizar las gestiones oportunas y necesarias para:</w:t>
      </w:r>
    </w:p>
    <w:p w14:paraId="63597BDD" w14:textId="77777777" w:rsidR="004F0787" w:rsidRDefault="00E42D0A">
      <w:pPr>
        <w:widowControl/>
        <w:suppressAutoHyphens w:val="0"/>
        <w:spacing w:after="160"/>
        <w:ind w:left="567" w:right="680"/>
        <w:jc w:val="both"/>
        <w:textAlignment w:val="auto"/>
      </w:pPr>
      <w:r>
        <w:rPr>
          <w:rFonts w:ascii="Work Sans" w:eastAsia="DengXian Light" w:hAnsi="Work Sans" w:cs="Arial"/>
          <w:i/>
          <w:sz w:val="20"/>
          <w:szCs w:val="20"/>
          <w:lang w:bidi="ar-SA"/>
        </w:rPr>
        <w:t xml:space="preserve">1. Mantener vigente por otro término igual el beneficio en la reducción del 50% del valor de los peajes (Res. 20213040009825 – 20213040010065 / 2021) en las rutas desde Cúcuta </w:t>
      </w:r>
      <w:r>
        <w:rPr>
          <w:rFonts w:ascii="Work Sans" w:eastAsia="DengXian Light" w:hAnsi="Work Sans" w:cs="Arial"/>
          <w:i/>
          <w:sz w:val="20"/>
          <w:szCs w:val="20"/>
          <w:lang w:bidi="ar-SA"/>
        </w:rPr>
        <w:t>hacia los puertos del Atlántico. Respecto a este asunto, aprovechamos para solicitar respetuosamente que este beneficio se mantenga no sólo para el carbón térmico, sino que también se incluya el carbón metalúrgico y el coque proveniente de Norte de Santand</w:t>
      </w:r>
      <w:r>
        <w:rPr>
          <w:rFonts w:ascii="Work Sans" w:eastAsia="DengXian Light" w:hAnsi="Work Sans" w:cs="Arial"/>
          <w:i/>
          <w:sz w:val="20"/>
          <w:szCs w:val="20"/>
          <w:lang w:bidi="ar-SA"/>
        </w:rPr>
        <w:t>er con destino exportación, ya que estos productos sufren las mismas condiciones del carbón térmico, en materia de movilidad y logística por lo largos recorridos que deben realizar para poder llegar a puerto, lo que impacta negativamente en la competitivid</w:t>
      </w:r>
      <w:r>
        <w:rPr>
          <w:rFonts w:ascii="Work Sans" w:eastAsia="DengXian Light" w:hAnsi="Work Sans" w:cs="Arial"/>
          <w:i/>
          <w:sz w:val="20"/>
          <w:szCs w:val="20"/>
          <w:lang w:bidi="ar-SA"/>
        </w:rPr>
        <w:t>ad de estos productos en mercados internacionales.</w:t>
      </w:r>
    </w:p>
    <w:p w14:paraId="7AF1A83F" w14:textId="77777777" w:rsidR="004F0787" w:rsidRDefault="00E42D0A">
      <w:pPr>
        <w:widowControl/>
        <w:suppressAutoHyphens w:val="0"/>
        <w:spacing w:after="160"/>
        <w:ind w:left="567" w:right="680"/>
        <w:jc w:val="both"/>
        <w:textAlignment w:val="auto"/>
      </w:pPr>
      <w:r>
        <w:rPr>
          <w:rFonts w:ascii="Work Sans" w:eastAsia="DengXian Light" w:hAnsi="Work Sans" w:cs="Arial"/>
          <w:i/>
          <w:sz w:val="20"/>
          <w:szCs w:val="20"/>
          <w:lang w:bidi="ar-SA"/>
        </w:rPr>
        <w:t>2. Mantener vigente la Resolución de exención del 50% (Res. 20213040010075 /2021) de la tarifa derecho de tránsito por el corredor férreo en el tramo Chiriguana – Santa Marta, y de la cual agradecemos se h</w:t>
      </w:r>
      <w:r>
        <w:rPr>
          <w:rFonts w:ascii="Work Sans" w:eastAsia="DengXian Light" w:hAnsi="Work Sans" w:cs="Arial"/>
          <w:i/>
          <w:sz w:val="20"/>
          <w:szCs w:val="20"/>
          <w:lang w:bidi="ar-SA"/>
        </w:rPr>
        <w:t xml:space="preserve">aga extensiva desde Gamarra Chiriguana-Santa Marta, para lograr así viabilizar la propuesta de operación logística multimodal (férrea) dirigida en un primer momento para Carbón de Norte de Santander con retorno de carga compensada en la ruta Gamarra-Santa </w:t>
      </w:r>
      <w:r>
        <w:rPr>
          <w:rFonts w:ascii="Work Sans" w:eastAsia="DengXian Light" w:hAnsi="Work Sans" w:cs="Arial"/>
          <w:i/>
          <w:sz w:val="20"/>
          <w:szCs w:val="20"/>
          <w:lang w:bidi="ar-SA"/>
        </w:rPr>
        <w:t>Marta, estrategia liderada por la ANI (Grupo Férreo) y que aún no se ha podido viabilizar con tarifas económicas que permita al carbón de esta región subirse a esta estrategia multimodal. (…)”</w:t>
      </w:r>
    </w:p>
    <w:p w14:paraId="23D0665C" w14:textId="77777777" w:rsidR="004F0787" w:rsidRDefault="00E42D0A">
      <w:pPr>
        <w:pStyle w:val="Standard"/>
        <w:suppressAutoHyphens w:val="0"/>
        <w:autoSpaceDE w:val="0"/>
        <w:jc w:val="both"/>
        <w:textAlignment w:val="auto"/>
      </w:pPr>
      <w:r>
        <w:rPr>
          <w:rFonts w:ascii="Work Sans" w:eastAsia="DengXian Light" w:hAnsi="Work Sans" w:cs="Arial"/>
          <w:sz w:val="20"/>
        </w:rPr>
        <w:t>Que mediante oficio con radicado No. MT- 20223030357292 de fech</w:t>
      </w:r>
      <w:r>
        <w:rPr>
          <w:rFonts w:ascii="Work Sans" w:eastAsia="DengXian Light" w:hAnsi="Work Sans" w:cs="Arial"/>
          <w:sz w:val="20"/>
        </w:rPr>
        <w:t>a 18 de febrero de 2022, la Gobernación del Norte de Santander solicitó lo siguiente:</w:t>
      </w:r>
    </w:p>
    <w:p w14:paraId="0CF39970" w14:textId="77777777" w:rsidR="004F0787" w:rsidRDefault="004F0787">
      <w:pPr>
        <w:pStyle w:val="Standard"/>
        <w:suppressAutoHyphens w:val="0"/>
        <w:autoSpaceDE w:val="0"/>
        <w:jc w:val="both"/>
        <w:textAlignment w:val="auto"/>
        <w:rPr>
          <w:rFonts w:ascii="Work Sans" w:eastAsia="DengXian Light" w:hAnsi="Work Sans" w:cs="Arial"/>
          <w:sz w:val="20"/>
        </w:rPr>
      </w:pPr>
    </w:p>
    <w:p w14:paraId="78521222" w14:textId="77777777" w:rsidR="004F0787" w:rsidRDefault="00E42D0A">
      <w:pPr>
        <w:pStyle w:val="Standard"/>
        <w:suppressAutoHyphens w:val="0"/>
        <w:autoSpaceDE w:val="0"/>
        <w:ind w:left="567" w:right="680"/>
        <w:jc w:val="both"/>
        <w:textAlignment w:val="auto"/>
      </w:pPr>
      <w:r>
        <w:rPr>
          <w:rFonts w:ascii="Work Sans" w:eastAsia="DengXian Light" w:hAnsi="Work Sans" w:cs="Arial"/>
          <w:i/>
          <w:iCs/>
          <w:sz w:val="20"/>
        </w:rPr>
        <w:t xml:space="preserve">“Igualmente, solicitamos se considere la prórroga de la Resolución 20213040010075 del 10 de </w:t>
      </w:r>
      <w:proofErr w:type="gramStart"/>
      <w:r>
        <w:rPr>
          <w:rFonts w:ascii="Work Sans" w:eastAsia="DengXian Light" w:hAnsi="Work Sans" w:cs="Arial"/>
          <w:i/>
          <w:iCs/>
          <w:sz w:val="20"/>
        </w:rPr>
        <w:t>Marzo</w:t>
      </w:r>
      <w:proofErr w:type="gramEnd"/>
      <w:r>
        <w:rPr>
          <w:rFonts w:ascii="Work Sans" w:eastAsia="DengXian Light" w:hAnsi="Work Sans" w:cs="Arial"/>
          <w:i/>
          <w:iCs/>
          <w:sz w:val="20"/>
        </w:rPr>
        <w:t xml:space="preserve"> de 2021 que se refiere a la exención del 50% de la tarifa de derecho de</w:t>
      </w:r>
      <w:r>
        <w:rPr>
          <w:rFonts w:ascii="Work Sans" w:eastAsia="DengXian Light" w:hAnsi="Work Sans" w:cs="Arial"/>
          <w:i/>
          <w:iCs/>
          <w:sz w:val="20"/>
        </w:rPr>
        <w:t xml:space="preserve"> tránsito por el corredor férreo Chiriguaná – Santa Marta (...)”</w:t>
      </w:r>
    </w:p>
    <w:p w14:paraId="7F8EA83F" w14:textId="77777777" w:rsidR="004F0787" w:rsidRDefault="004F0787">
      <w:pPr>
        <w:widowControl/>
        <w:suppressAutoHyphens w:val="0"/>
        <w:jc w:val="both"/>
        <w:textAlignment w:val="auto"/>
        <w:rPr>
          <w:rFonts w:ascii="Work Sans" w:eastAsia="DengXian Light" w:hAnsi="Work Sans" w:cs="Arial"/>
          <w:sz w:val="20"/>
          <w:szCs w:val="20"/>
          <w:lang w:bidi="ar-SA"/>
        </w:rPr>
      </w:pPr>
    </w:p>
    <w:p w14:paraId="1ED96982" w14:textId="77777777" w:rsidR="004F0787" w:rsidRDefault="00E42D0A">
      <w:pPr>
        <w:widowControl/>
        <w:suppressAutoHyphens w:val="0"/>
        <w:jc w:val="both"/>
        <w:textAlignment w:val="auto"/>
      </w:pPr>
      <w:r>
        <w:rPr>
          <w:rFonts w:ascii="Work Sans" w:eastAsia="DengXian Light" w:hAnsi="Work Sans" w:cs="Arial"/>
          <w:sz w:val="20"/>
          <w:szCs w:val="20"/>
          <w:lang w:bidi="ar-SA"/>
        </w:rPr>
        <w:t>Que mediante oficio con número de Radicado ANI 20225000039771 del 17 de febrero de 2022, radicado en el Ministerio de Transporte con el MT No. 20223030357052 del 18 de febrero de 2022, la Ag</w:t>
      </w:r>
      <w:r>
        <w:rPr>
          <w:rFonts w:ascii="Work Sans" w:eastAsia="DengXian Light" w:hAnsi="Work Sans" w:cs="Arial"/>
          <w:sz w:val="20"/>
          <w:szCs w:val="20"/>
          <w:lang w:bidi="ar-SA"/>
        </w:rPr>
        <w:t>encia Nacional de Infraestructura manifiesta que:</w:t>
      </w:r>
    </w:p>
    <w:p w14:paraId="15B15401" w14:textId="77777777" w:rsidR="004F0787" w:rsidRDefault="00E42D0A">
      <w:pPr>
        <w:widowControl/>
        <w:suppressAutoHyphens w:val="0"/>
        <w:jc w:val="both"/>
        <w:textAlignment w:val="auto"/>
        <w:rPr>
          <w:rFonts w:ascii="Work Sans" w:eastAsia="DengXian Light" w:hAnsi="Work Sans" w:cs="Arial"/>
          <w:sz w:val="20"/>
          <w:szCs w:val="20"/>
          <w:lang w:bidi="ar-SA"/>
        </w:rPr>
      </w:pPr>
      <w:r>
        <w:rPr>
          <w:rFonts w:ascii="Work Sans" w:eastAsia="DengXian Light" w:hAnsi="Work Sans" w:cs="Arial"/>
          <w:sz w:val="20"/>
          <w:szCs w:val="20"/>
          <w:lang w:bidi="ar-SA"/>
        </w:rPr>
        <w:t> </w:t>
      </w:r>
    </w:p>
    <w:p w14:paraId="4EF0718B"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val="es" w:bidi="ar-SA"/>
        </w:rPr>
        <w:lastRenderedPageBreak/>
        <w:t> </w:t>
      </w:r>
      <w:r>
        <w:rPr>
          <w:rFonts w:ascii="Work Sans" w:eastAsia="DengXian Light" w:hAnsi="Work Sans" w:cs="Arial"/>
          <w:i/>
          <w:sz w:val="20"/>
          <w:szCs w:val="20"/>
          <w:lang w:bidi="ar-SA"/>
        </w:rPr>
        <w:t xml:space="preserve">“(…) 1. En relación con la solicitud de: “(…) 1. Mantener vigente por otro término igual el beneficio en la reducción del 50% del valor de los peajes (Res. 20213040009825 – 20213040010065 / 2021) en </w:t>
      </w:r>
      <w:r>
        <w:rPr>
          <w:rFonts w:ascii="Work Sans" w:eastAsia="DengXian Light" w:hAnsi="Work Sans" w:cs="Arial"/>
          <w:i/>
          <w:sz w:val="20"/>
          <w:szCs w:val="20"/>
          <w:lang w:bidi="ar-SA"/>
        </w:rPr>
        <w:t>las rutas desde Cúcuta hacia los puertos del Atlántico” (resaltado y subrayado fuera de texto).</w:t>
      </w:r>
    </w:p>
    <w:p w14:paraId="7940D0C3" w14:textId="77777777" w:rsidR="004F0787" w:rsidRDefault="004F0787">
      <w:pPr>
        <w:widowControl/>
        <w:suppressAutoHyphens w:val="0"/>
        <w:jc w:val="both"/>
        <w:textAlignment w:val="auto"/>
        <w:rPr>
          <w:rFonts w:ascii="Work Sans" w:eastAsia="DengXian Light" w:hAnsi="Work Sans" w:cs="Arial"/>
          <w:i/>
          <w:sz w:val="20"/>
          <w:szCs w:val="20"/>
          <w:lang w:bidi="ar-SA"/>
        </w:rPr>
      </w:pPr>
    </w:p>
    <w:p w14:paraId="4695BEED"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 xml:space="preserve">Con respecto al beneficio de tarifa diferencial especial para los vehículos de transporte de carga de carbón térmico o carbón mineral térmico, creado mediante </w:t>
      </w:r>
      <w:r>
        <w:rPr>
          <w:rFonts w:ascii="Work Sans" w:eastAsia="DengXian Light" w:hAnsi="Work Sans" w:cs="Arial"/>
          <w:i/>
          <w:sz w:val="20"/>
          <w:szCs w:val="20"/>
          <w:lang w:bidi="ar-SA"/>
        </w:rPr>
        <w:t xml:space="preserve">la Resolución No. 3377 del 17 de septiembre de 2015 “por la cual se fijaron las tarifas diferenciales para los peajes: Platanal, Gamarra y Pailitas; y la Loma, El Copey y Tucurinca, equivalente al 50% del valor de la tarifa para vehículos de transporte de </w:t>
      </w:r>
      <w:r>
        <w:rPr>
          <w:rFonts w:ascii="Work Sans" w:eastAsia="DengXian Light" w:hAnsi="Work Sans" w:cs="Arial"/>
          <w:i/>
          <w:sz w:val="20"/>
          <w:szCs w:val="20"/>
          <w:lang w:bidi="ar-SA"/>
        </w:rPr>
        <w:t xml:space="preserve">carga que trasladen carbón térmico o carbón mineral térmico desde el departamento de Norte de Santander”, prorrogada mediante resolución No. 20213040010075 de 10 de marzo de 2021 con vigencia hasta el 13 de marzo del 2022, la Agencia no encuentra objeción </w:t>
      </w:r>
      <w:r>
        <w:rPr>
          <w:rFonts w:ascii="Work Sans" w:eastAsia="DengXian Light" w:hAnsi="Work Sans" w:cs="Arial"/>
          <w:i/>
          <w:sz w:val="20"/>
          <w:szCs w:val="20"/>
          <w:lang w:bidi="ar-SA"/>
        </w:rPr>
        <w:t>para que el Ministerio en ejercicio de sus competencias decida mantener el beneficio mencionado (resaltado y subrayado fuera de texto).</w:t>
      </w:r>
    </w:p>
    <w:p w14:paraId="79CA6E20"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65EFAE45"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 xml:space="preserve"> 2. En relación con la solicitud de ampliar el beneficio al carbón metalúrgico y el coque: “Respecto a este asunto, apr</w:t>
      </w:r>
      <w:r>
        <w:rPr>
          <w:rFonts w:ascii="Work Sans" w:eastAsia="DengXian Light" w:hAnsi="Work Sans" w:cs="Arial"/>
          <w:i/>
          <w:sz w:val="20"/>
          <w:szCs w:val="20"/>
          <w:lang w:bidi="ar-SA"/>
        </w:rPr>
        <w:t>ovechamos para solicitar respetuosamente que este beneficio se mantenga no sólo para el carbón térmico, sino que también se incluya el carbón metalúrgico y el coque proveniente de Norte de Santander con destino exportación, ya que estos productos sufren la</w:t>
      </w:r>
      <w:r>
        <w:rPr>
          <w:rFonts w:ascii="Work Sans" w:eastAsia="DengXian Light" w:hAnsi="Work Sans" w:cs="Arial"/>
          <w:i/>
          <w:sz w:val="20"/>
          <w:szCs w:val="20"/>
          <w:lang w:bidi="ar-SA"/>
        </w:rPr>
        <w:t>s mismas condiciones del carbón térmico, en materia de movilidad y logística por lo largos recorridos que deben realizar para poder llegar a puerto, lo que impacta negativamente en la competitividad de estos productos en mercados internacionales. (…).</w:t>
      </w:r>
    </w:p>
    <w:p w14:paraId="36FD7598" w14:textId="77777777" w:rsidR="004F0787" w:rsidRDefault="004F0787">
      <w:pPr>
        <w:widowControl/>
        <w:suppressAutoHyphens w:val="0"/>
        <w:jc w:val="both"/>
        <w:textAlignment w:val="auto"/>
        <w:rPr>
          <w:rFonts w:ascii="Work Sans" w:eastAsia="DengXian Light" w:hAnsi="Work Sans" w:cs="Arial"/>
          <w:b/>
          <w:i/>
          <w:sz w:val="20"/>
          <w:szCs w:val="20"/>
          <w:u w:val="single"/>
          <w:lang w:bidi="ar-SA"/>
        </w:rPr>
      </w:pPr>
    </w:p>
    <w:p w14:paraId="34950A9B"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 xml:space="preserve">La </w:t>
      </w:r>
      <w:r>
        <w:rPr>
          <w:rFonts w:ascii="Work Sans" w:eastAsia="DengXian Light" w:hAnsi="Work Sans" w:cs="Arial"/>
          <w:i/>
          <w:sz w:val="20"/>
          <w:szCs w:val="20"/>
          <w:lang w:bidi="ar-SA"/>
        </w:rPr>
        <w:t>ANI se permite informar que, de ampliar los beneficiarios de estas tarifas diferenciales en los peajes, desde el punto de vista financiero se podría afectar el equilibrio económico del Contrato de Concesión No. 007 de 2010, ya que alterar el VPIT (Valor Pr</w:t>
      </w:r>
      <w:r>
        <w:rPr>
          <w:rFonts w:ascii="Work Sans" w:eastAsia="DengXian Light" w:hAnsi="Work Sans" w:cs="Arial"/>
          <w:i/>
          <w:sz w:val="20"/>
          <w:szCs w:val="20"/>
          <w:lang w:bidi="ar-SA"/>
        </w:rPr>
        <w:t>esente de los Ingresos Totales) y genera una posible activación del riesgo tarifario; por esta razón, la Entidad encuentra objeción para que el Ministerio en ejercicio de sus competencias, amplíe a los vehículos de transporte de carbón metalúrgico, coque y</w:t>
      </w:r>
      <w:r>
        <w:rPr>
          <w:rFonts w:ascii="Work Sans" w:eastAsia="DengXian Light" w:hAnsi="Work Sans" w:cs="Arial"/>
          <w:i/>
          <w:sz w:val="20"/>
          <w:szCs w:val="20"/>
          <w:lang w:bidi="ar-SA"/>
        </w:rPr>
        <w:t xml:space="preserve"> semicoques el beneficio de la tarifa diferencial.</w:t>
      </w:r>
    </w:p>
    <w:p w14:paraId="54C4B399" w14:textId="77777777" w:rsidR="004F0787" w:rsidRDefault="004F0787">
      <w:pPr>
        <w:widowControl/>
        <w:suppressAutoHyphens w:val="0"/>
        <w:jc w:val="both"/>
        <w:textAlignment w:val="auto"/>
        <w:rPr>
          <w:rFonts w:ascii="Work Sans" w:eastAsia="DengXian Light" w:hAnsi="Work Sans" w:cs="Arial"/>
          <w:i/>
          <w:sz w:val="20"/>
          <w:szCs w:val="20"/>
          <w:lang w:bidi="ar-SA"/>
        </w:rPr>
      </w:pPr>
    </w:p>
    <w:p w14:paraId="192AE5E0"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3. En lo relacionado con: “(…) 2. Mantener vigente la Resolución de exención del 50% (Res. 20213040010075 /2021) de la tarifa derecho de tránsito por el corredor férreo en el tramo Chiriguana – Santa Mart</w:t>
      </w:r>
      <w:r>
        <w:rPr>
          <w:rFonts w:ascii="Work Sans" w:eastAsia="DengXian Light" w:hAnsi="Work Sans" w:cs="Arial"/>
          <w:i/>
          <w:sz w:val="20"/>
          <w:szCs w:val="20"/>
          <w:lang w:bidi="ar-SA"/>
        </w:rPr>
        <w:t xml:space="preserve">a, y de la cual agradecemos se haga extensiva desde Gamarra-Chiriguana-Santa Marta, para lograr así viabilizar la propuesta de operación logística multimodal (férrea) dirigida en un primer momento para Carbón de Norte de Santander </w:t>
      </w:r>
      <w:r>
        <w:rPr>
          <w:rFonts w:ascii="Work Sans" w:eastAsia="DengXian Light" w:hAnsi="Work Sans" w:cs="Arial"/>
          <w:i/>
          <w:sz w:val="20"/>
          <w:szCs w:val="20"/>
          <w:lang w:bidi="ar-SA"/>
        </w:rPr>
        <w:lastRenderedPageBreak/>
        <w:t>con retorno de carga comp</w:t>
      </w:r>
      <w:r>
        <w:rPr>
          <w:rFonts w:ascii="Work Sans" w:eastAsia="DengXian Light" w:hAnsi="Work Sans" w:cs="Arial"/>
          <w:i/>
          <w:sz w:val="20"/>
          <w:szCs w:val="20"/>
          <w:lang w:bidi="ar-SA"/>
        </w:rPr>
        <w:t>ensada en la ruta Gamarra-Santa Marta, estrategia liderada por la ANI (Grupo Férreo) y que aún no se ha podido viabilizar con tarifas económicas que permita al carbón de esta región subirse a esta estrategia multimodal.(…) ” (Resaltado y subrayado fuera de</w:t>
      </w:r>
      <w:r>
        <w:rPr>
          <w:rFonts w:ascii="Work Sans" w:eastAsia="DengXian Light" w:hAnsi="Work Sans" w:cs="Arial"/>
          <w:i/>
          <w:sz w:val="20"/>
          <w:szCs w:val="20"/>
          <w:lang w:bidi="ar-SA"/>
        </w:rPr>
        <w:t xml:space="preserve"> texto), me permito expresarle:</w:t>
      </w:r>
    </w:p>
    <w:p w14:paraId="1DC18E6E"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2581D373"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 xml:space="preserve">Respecto a la solicitud sobre el corredor férreo a cargo de la Agencia, nos permitimos manifestarle que no existe objeción para que el Ministerio de Transporte, en el ejercicio de sus competencias, emita el acto </w:t>
      </w:r>
      <w:r>
        <w:rPr>
          <w:rFonts w:ascii="Work Sans" w:eastAsia="DengXian Light" w:hAnsi="Work Sans" w:cs="Arial"/>
          <w:i/>
          <w:sz w:val="20"/>
          <w:szCs w:val="20"/>
          <w:lang w:bidi="ar-SA"/>
        </w:rPr>
        <w:t>administrativo que amplíe la Resolución 20213040010075 de 2021 en lo relacionado con la exención del 50% por concepto de uso de vía para el tramo Chiriguaná – Santa Marta para otros tipos de carbón. (Resaltado y subrayado fuera de texto)”.</w:t>
      </w:r>
    </w:p>
    <w:p w14:paraId="0099B32E" w14:textId="77777777" w:rsidR="004F0787" w:rsidRDefault="004F0787">
      <w:pPr>
        <w:widowControl/>
        <w:suppressAutoHyphens w:val="0"/>
        <w:jc w:val="both"/>
        <w:textAlignment w:val="auto"/>
        <w:rPr>
          <w:rFonts w:ascii="Work Sans" w:eastAsia="DengXian Light" w:hAnsi="Work Sans" w:cs="Arial"/>
          <w:i/>
          <w:sz w:val="20"/>
          <w:szCs w:val="20"/>
          <w:lang w:bidi="ar-SA"/>
        </w:rPr>
      </w:pPr>
    </w:p>
    <w:p w14:paraId="237B9B5E" w14:textId="77777777" w:rsidR="004F0787" w:rsidRDefault="00E42D0A">
      <w:pPr>
        <w:widowControl/>
        <w:suppressAutoHyphens w:val="0"/>
        <w:jc w:val="both"/>
        <w:textAlignment w:val="auto"/>
      </w:pPr>
      <w:r>
        <w:rPr>
          <w:rFonts w:ascii="Work Sans" w:eastAsia="DengXian Light" w:hAnsi="Work Sans" w:cs="Arial"/>
          <w:sz w:val="20"/>
          <w:szCs w:val="20"/>
          <w:lang w:bidi="ar-SA"/>
        </w:rPr>
        <w:t>Que mediante me</w:t>
      </w:r>
      <w:r>
        <w:rPr>
          <w:rFonts w:ascii="Work Sans" w:eastAsia="DengXian Light" w:hAnsi="Work Sans" w:cs="Arial"/>
          <w:sz w:val="20"/>
          <w:szCs w:val="20"/>
          <w:lang w:bidi="ar-SA"/>
        </w:rPr>
        <w:t>morando 20221410019363 del 22 de febrero de 2022, la Oficina de Regulación Económica del Ministerio de Transporte en cumplimiento de lo establecido en el numeral 9.8 del artículo 9° del </w:t>
      </w:r>
      <w:hyperlink r:id="rId20" w:history="1">
        <w:r>
          <w:rPr>
            <w:rFonts w:ascii="Work Sans" w:eastAsia="DengXian Light" w:hAnsi="Work Sans" w:cs="Arial"/>
            <w:sz w:val="20"/>
            <w:szCs w:val="20"/>
            <w:lang w:bidi="ar-SA"/>
          </w:rPr>
          <w:t>Decreto 087 de 2011</w:t>
        </w:r>
      </w:hyperlink>
      <w:r>
        <w:rPr>
          <w:rFonts w:ascii="Work Sans" w:eastAsia="DengXian Light" w:hAnsi="Work Sans" w:cs="Arial"/>
          <w:sz w:val="20"/>
          <w:szCs w:val="20"/>
          <w:lang w:bidi="ar-SA"/>
        </w:rPr>
        <w:t>, analizó y dio viabilidad para prorrogar por un (1) año más el término establecido en el artículo 1° de la </w:t>
      </w:r>
      <w:hyperlink r:id="rId21" w:history="1">
        <w:r>
          <w:rPr>
            <w:rFonts w:ascii="Work Sans" w:eastAsia="DengXian Light" w:hAnsi="Work Sans" w:cs="Arial"/>
            <w:sz w:val="20"/>
            <w:szCs w:val="20"/>
            <w:lang w:bidi="ar-SA"/>
          </w:rPr>
          <w:t>Resolución</w:t>
        </w:r>
        <w:r>
          <w:rPr>
            <w:rFonts w:ascii="Work Sans" w:eastAsia="DengXian Light" w:hAnsi="Work Sans" w:cs="Arial"/>
            <w:sz w:val="20"/>
            <w:szCs w:val="20"/>
            <w:lang w:bidi="ar-SA"/>
          </w:rPr>
          <w:t xml:space="preserve"> 0885 de 2019</w:t>
        </w:r>
      </w:hyperlink>
      <w:r>
        <w:rPr>
          <w:rFonts w:ascii="Work Sans" w:eastAsia="DengXian Light" w:hAnsi="Work Sans" w:cs="Arial"/>
          <w:sz w:val="20"/>
          <w:szCs w:val="20"/>
          <w:lang w:bidi="ar-SA"/>
        </w:rPr>
        <w:t> prorrogado por el artículo 1° de la </w:t>
      </w:r>
      <w:hyperlink r:id="rId22" w:history="1">
        <w:r>
          <w:rPr>
            <w:rFonts w:ascii="Work Sans" w:eastAsia="DengXian Light" w:hAnsi="Work Sans" w:cs="Arial"/>
            <w:sz w:val="20"/>
            <w:szCs w:val="20"/>
            <w:lang w:bidi="ar-SA"/>
          </w:rPr>
          <w:t>Resolución 0508 de 2020</w:t>
        </w:r>
      </w:hyperlink>
      <w:r>
        <w:rPr>
          <w:rFonts w:ascii="Work Sans" w:eastAsia="DengXian Light" w:hAnsi="Work Sans" w:cs="Arial"/>
          <w:sz w:val="20"/>
          <w:szCs w:val="20"/>
          <w:lang w:bidi="ar-SA"/>
        </w:rPr>
        <w:t>,  y prorrogado por el artículo 1º de la Resolución 20213040010075 de 2021  del</w:t>
      </w:r>
      <w:r>
        <w:rPr>
          <w:rFonts w:ascii="Work Sans" w:eastAsia="DengXian Light" w:hAnsi="Work Sans" w:cs="Arial"/>
          <w:sz w:val="20"/>
          <w:szCs w:val="20"/>
          <w:lang w:bidi="ar-SA"/>
        </w:rPr>
        <w:t xml:space="preserve"> Ministerio de Transporte, en los siguientes términos:</w:t>
      </w:r>
    </w:p>
    <w:p w14:paraId="58042CB4" w14:textId="77777777" w:rsidR="004F0787" w:rsidRDefault="004F0787">
      <w:pPr>
        <w:widowControl/>
        <w:suppressAutoHyphens w:val="0"/>
        <w:jc w:val="both"/>
        <w:textAlignment w:val="auto"/>
        <w:rPr>
          <w:rFonts w:ascii="Work Sans" w:eastAsia="DengXian Light" w:hAnsi="Work Sans" w:cs="Arial"/>
          <w:i/>
          <w:sz w:val="20"/>
          <w:szCs w:val="20"/>
          <w:lang w:bidi="ar-SA"/>
        </w:rPr>
      </w:pPr>
    </w:p>
    <w:p w14:paraId="3333ECA4"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 xml:space="preserve">La Oficina de Regulación Económica se permite dar concepto favorable para la prórroga de un año del plazo señalado en las Resoluciones 884, 885 y 886 de 2019, prorrogado por las Resoluciones No. 507, </w:t>
      </w:r>
      <w:r>
        <w:rPr>
          <w:rFonts w:ascii="Work Sans" w:eastAsia="DengXian Light" w:hAnsi="Work Sans" w:cs="Arial"/>
          <w:i/>
          <w:sz w:val="20"/>
          <w:szCs w:val="20"/>
          <w:lang w:bidi="ar-SA"/>
        </w:rPr>
        <w:t>508 y 510 del 11 de marzo de 2020 y a su vez prorrogadas por las Resoluciones No. 20213040009825 de marzo 9 de 2021, No. 20213040010065 de marzo 10 de 2021 y No. 20213040010075 de marzo 10 de 2021 respectivamente, mediante el cual se estableció una exenció</w:t>
      </w:r>
      <w:r>
        <w:rPr>
          <w:rFonts w:ascii="Work Sans" w:eastAsia="DengXian Light" w:hAnsi="Work Sans" w:cs="Arial"/>
          <w:i/>
          <w:sz w:val="20"/>
          <w:szCs w:val="20"/>
          <w:lang w:bidi="ar-SA"/>
        </w:rPr>
        <w:t>n del cincuenta por ciento del (50%) del valor de la tarifa en los peajes Platanal, Pailitas, La Loma, El Copey y Tucurinca, para vehículos de transporte de carga que transporten carbón térmico o carbón mineral térmico desde el departamento de Norte de San</w:t>
      </w:r>
      <w:r>
        <w:rPr>
          <w:rFonts w:ascii="Work Sans" w:eastAsia="DengXian Light" w:hAnsi="Work Sans" w:cs="Arial"/>
          <w:i/>
          <w:sz w:val="20"/>
          <w:szCs w:val="20"/>
          <w:lang w:bidi="ar-SA"/>
        </w:rPr>
        <w:t>tander hacia los municipios de Chiriguaná, La Loma, Santa Marta, Dibulla (Guajira), Barranquilla o Cartagena y su viaje de regreso de estos municipios hacia su lugar de origen. Así como una exención del cincuenta por ciento (50%) de la tarifa de paso actua</w:t>
      </w:r>
      <w:r>
        <w:rPr>
          <w:rFonts w:ascii="Work Sans" w:eastAsia="DengXian Light" w:hAnsi="Work Sans" w:cs="Arial"/>
          <w:i/>
          <w:sz w:val="20"/>
          <w:szCs w:val="20"/>
          <w:lang w:bidi="ar-SA"/>
        </w:rPr>
        <w:t>l, por el derecho de tránsito por cada tonelada métrica de carga de carbón proveniente del departamento de Norte de Santander transportadas por el corredor férreo en el tramo Chiriguaná - Santa Marta, que debe realizar el Concesionario de la Red Férrea del</w:t>
      </w:r>
      <w:r>
        <w:rPr>
          <w:rFonts w:ascii="Work Sans" w:eastAsia="DengXian Light" w:hAnsi="Work Sans" w:cs="Arial"/>
          <w:i/>
          <w:sz w:val="20"/>
          <w:szCs w:val="20"/>
          <w:lang w:bidi="ar-SA"/>
        </w:rPr>
        <w:t xml:space="preserve"> Atlántico Fenoco S.A.</w:t>
      </w:r>
    </w:p>
    <w:p w14:paraId="6A0A194E"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2079BB5A" w14:textId="77777777" w:rsidR="004F0787" w:rsidRDefault="00E42D0A">
      <w:pPr>
        <w:widowControl/>
        <w:suppressAutoHyphens w:val="0"/>
        <w:ind w:left="567" w:right="680"/>
        <w:jc w:val="both"/>
        <w:textAlignment w:val="auto"/>
        <w:rPr>
          <w:rFonts w:ascii="Work Sans" w:eastAsia="DengXian Light" w:hAnsi="Work Sans" w:cs="Arial"/>
          <w:i/>
          <w:sz w:val="20"/>
          <w:szCs w:val="20"/>
          <w:lang w:bidi="ar-SA"/>
        </w:rPr>
      </w:pPr>
      <w:r>
        <w:rPr>
          <w:rFonts w:ascii="Work Sans" w:eastAsia="DengXian Light" w:hAnsi="Work Sans" w:cs="Arial"/>
          <w:i/>
          <w:sz w:val="20"/>
          <w:szCs w:val="20"/>
          <w:lang w:bidi="ar-SA"/>
        </w:rPr>
        <w:t>Lo anterior, teniendo en cuenta lo siguiente:</w:t>
      </w:r>
    </w:p>
    <w:p w14:paraId="79152264"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3AD54719"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lastRenderedPageBreak/>
        <w:t>1. Las solicitudes expuestas por la Asociación de Carboneros de Norte de Santander mediante radicado MT-20223030246492 del 4 de febrero de 2022, el Viceministerio de Minas y Energía y l</w:t>
      </w:r>
      <w:r>
        <w:rPr>
          <w:rFonts w:ascii="Work Sans" w:eastAsia="DengXian Light" w:hAnsi="Work Sans" w:cs="Arial"/>
          <w:i/>
          <w:sz w:val="20"/>
          <w:szCs w:val="20"/>
          <w:lang w:bidi="ar-SA"/>
        </w:rPr>
        <w:t>a Gobernación del Norte de Santander.</w:t>
      </w:r>
    </w:p>
    <w:p w14:paraId="23154BCC"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0309900E"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2. Los pronunciamientos de favorabilidad de la Agencia Nacional de Infraestructura -ANI, mediante radicado No. 20223030357052 del 18 de febrero de 2022; y el Instituto Nacional de Vías – INVIAS, mediante Radicado INVI</w:t>
      </w:r>
      <w:r>
        <w:rPr>
          <w:rFonts w:ascii="Work Sans" w:eastAsia="DengXian Light" w:hAnsi="Work Sans" w:cs="Arial"/>
          <w:i/>
          <w:sz w:val="20"/>
          <w:szCs w:val="20"/>
          <w:lang w:bidi="ar-SA"/>
        </w:rPr>
        <w:t>AS No. DG 8627 del 21 de febrero de 2022, No. 20223030390712 del 22 de febrero de 2022.</w:t>
      </w:r>
    </w:p>
    <w:p w14:paraId="20E80C61"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012FADED"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3. Como consta en los pronunciamientos de las entidades transcritos en los antecedentes, a la fecha continúa el cierre de las fronteras con la República Bolivariana de</w:t>
      </w:r>
      <w:r>
        <w:rPr>
          <w:rFonts w:ascii="Work Sans" w:eastAsia="DengXian Light" w:hAnsi="Work Sans" w:cs="Arial"/>
          <w:i/>
          <w:sz w:val="20"/>
          <w:szCs w:val="20"/>
          <w:lang w:bidi="ar-SA"/>
        </w:rPr>
        <w:t xml:space="preserve"> Venezuela, afectando el intercambio comercial del carbón y las actividades asociadas al mismo.</w:t>
      </w:r>
    </w:p>
    <w:p w14:paraId="1D30088F" w14:textId="77777777" w:rsidR="004F0787" w:rsidRDefault="004F0787">
      <w:pPr>
        <w:widowControl/>
        <w:suppressAutoHyphens w:val="0"/>
        <w:ind w:left="567" w:right="680"/>
        <w:jc w:val="both"/>
        <w:textAlignment w:val="auto"/>
        <w:rPr>
          <w:rFonts w:ascii="Work Sans" w:eastAsia="DengXian Light" w:hAnsi="Work Sans" w:cs="Arial"/>
          <w:i/>
          <w:sz w:val="20"/>
          <w:szCs w:val="20"/>
          <w:lang w:bidi="ar-SA"/>
        </w:rPr>
      </w:pPr>
    </w:p>
    <w:p w14:paraId="56C516EA" w14:textId="77777777" w:rsidR="004F0787" w:rsidRDefault="00E42D0A">
      <w:pPr>
        <w:widowControl/>
        <w:suppressAutoHyphens w:val="0"/>
        <w:ind w:left="567" w:right="680"/>
        <w:jc w:val="both"/>
        <w:textAlignment w:val="auto"/>
      </w:pPr>
      <w:r>
        <w:rPr>
          <w:rFonts w:ascii="Work Sans" w:eastAsia="DengXian Light" w:hAnsi="Work Sans" w:cs="Arial"/>
          <w:i/>
          <w:sz w:val="20"/>
          <w:szCs w:val="20"/>
          <w:lang w:bidi="ar-SA"/>
        </w:rPr>
        <w:t>Finalmente, respecto de la Estación de Peaje Gamarra, la Oficina de Regulación Económica se permite precisar que el beneficio de Tarifa Especial Diferencial no</w:t>
      </w:r>
      <w:r>
        <w:rPr>
          <w:rFonts w:ascii="Work Sans" w:eastAsia="DengXian Light" w:hAnsi="Work Sans" w:cs="Arial"/>
          <w:i/>
          <w:sz w:val="20"/>
          <w:szCs w:val="20"/>
          <w:lang w:bidi="ar-SA"/>
        </w:rPr>
        <w:t xml:space="preserve"> le puede ser aplicable, toda vez que la misma dejó de operar, de acuerdo con lo establecido en la Resolución 20213040058455 del 03 de diciembre de 2021 “Por el cual se derogan todas las disposiciones contenidas en las Resoluciones 0002127 de 2014, 000859 </w:t>
      </w:r>
      <w:r>
        <w:rPr>
          <w:rFonts w:ascii="Work Sans" w:eastAsia="DengXian Light" w:hAnsi="Work Sans" w:cs="Arial"/>
          <w:i/>
          <w:sz w:val="20"/>
          <w:szCs w:val="20"/>
          <w:lang w:bidi="ar-SA"/>
        </w:rPr>
        <w:t>y 0001314 de 2016, relacionadas únicamente con la estación de peaje “Gamarra” ubicada en la vía Gamarrra – Aguachica”.</w:t>
      </w:r>
    </w:p>
    <w:p w14:paraId="620CE07E" w14:textId="77777777" w:rsidR="004F0787" w:rsidRDefault="00E42D0A">
      <w:pPr>
        <w:widowControl/>
        <w:suppressAutoHyphens w:val="0"/>
        <w:jc w:val="both"/>
        <w:textAlignment w:val="auto"/>
        <w:rPr>
          <w:rFonts w:ascii="Work Sans" w:eastAsia="DengXian Light" w:hAnsi="Work Sans" w:cs="Arial"/>
          <w:i/>
          <w:sz w:val="20"/>
          <w:szCs w:val="20"/>
          <w:lang w:bidi="ar-SA"/>
        </w:rPr>
      </w:pPr>
      <w:r>
        <w:rPr>
          <w:rFonts w:ascii="Work Sans" w:eastAsia="DengXian Light" w:hAnsi="Work Sans" w:cs="Arial"/>
          <w:i/>
          <w:sz w:val="20"/>
          <w:szCs w:val="20"/>
          <w:lang w:bidi="ar-SA"/>
        </w:rPr>
        <w:t> </w:t>
      </w:r>
    </w:p>
    <w:p w14:paraId="230D1CE3" w14:textId="77777777" w:rsidR="004F0787" w:rsidRDefault="00E42D0A">
      <w:pPr>
        <w:pStyle w:val="Standard"/>
        <w:autoSpaceDE w:val="0"/>
        <w:jc w:val="both"/>
        <w:rPr>
          <w:rFonts w:ascii="Work Sans" w:eastAsia="DengXian Light" w:hAnsi="Work Sans" w:cs="Arial"/>
          <w:sz w:val="20"/>
        </w:rPr>
      </w:pPr>
      <w:r>
        <w:rPr>
          <w:rFonts w:ascii="Work Sans" w:eastAsia="DengXian Light" w:hAnsi="Work Sans" w:cs="Arial"/>
          <w:sz w:val="20"/>
        </w:rPr>
        <w:t xml:space="preserve">Que el contenido de la presente resolución será publicado en la página web del Ministerio de Transporte y de la Agencia </w:t>
      </w:r>
      <w:r>
        <w:rPr>
          <w:rFonts w:ascii="Work Sans" w:eastAsia="DengXian Light" w:hAnsi="Work Sans" w:cs="Arial"/>
          <w:sz w:val="20"/>
        </w:rPr>
        <w:t>Nacional de Infraestructura, en cumplimiento de lo determinado en el numeral 8 del artículo 8° de la Ley 1437 de 2011, artículo 2.1.2.1.14 del Decreto 1081 de 2015 modificado y adicionado por el Decreto 270 de 2017 y la Resolución 994 de 2017 del Ministeri</w:t>
      </w:r>
      <w:r>
        <w:rPr>
          <w:rFonts w:ascii="Work Sans" w:eastAsia="DengXian Light" w:hAnsi="Work Sans" w:cs="Arial"/>
          <w:sz w:val="20"/>
        </w:rPr>
        <w:t>o de Transporte, con el objeto de recibir opiniones, sugerencias o propuestas alternativas.</w:t>
      </w:r>
    </w:p>
    <w:p w14:paraId="491A0582" w14:textId="77777777" w:rsidR="004F0787" w:rsidRDefault="004F0787">
      <w:pPr>
        <w:tabs>
          <w:tab w:val="left" w:pos="0"/>
        </w:tabs>
        <w:jc w:val="both"/>
        <w:rPr>
          <w:rFonts w:ascii="Work Sans" w:hAnsi="Work Sans" w:cs="Times New Roman"/>
          <w:iCs/>
          <w:sz w:val="20"/>
          <w:szCs w:val="20"/>
          <w:lang w:eastAsia="es-ES"/>
        </w:rPr>
      </w:pPr>
    </w:p>
    <w:p w14:paraId="06522C4A" w14:textId="77777777" w:rsidR="004F0787" w:rsidRDefault="00E42D0A">
      <w:pPr>
        <w:pStyle w:val="Standard"/>
        <w:autoSpaceDE w:val="0"/>
        <w:jc w:val="both"/>
        <w:rPr>
          <w:rFonts w:ascii="Work Sans" w:eastAsia="DengXian Light" w:hAnsi="Work Sans" w:cs="Arial"/>
          <w:sz w:val="20"/>
        </w:rPr>
      </w:pPr>
      <w:r>
        <w:rPr>
          <w:rFonts w:ascii="Work Sans" w:eastAsia="DengXian Light" w:hAnsi="Work Sans" w:cs="Arial"/>
          <w:sz w:val="20"/>
        </w:rPr>
        <w:t>Que la Oficina Asesora Jurídica del Ministerio de Transporte conservará los documentos asociados a la publicación del presente acto administrativo. Todo ello en co</w:t>
      </w:r>
      <w:r>
        <w:rPr>
          <w:rFonts w:ascii="Work Sans" w:eastAsia="DengXian Light" w:hAnsi="Work Sans" w:cs="Arial"/>
          <w:sz w:val="20"/>
        </w:rPr>
        <w:t>ncordancia con las políticas de gestión documental y de archivo de la entidad.</w:t>
      </w:r>
    </w:p>
    <w:p w14:paraId="1979C11E" w14:textId="77777777" w:rsidR="004F0787" w:rsidRDefault="004F0787">
      <w:pPr>
        <w:pStyle w:val="Standard"/>
        <w:autoSpaceDE w:val="0"/>
        <w:jc w:val="both"/>
        <w:rPr>
          <w:rFonts w:ascii="Work Sans" w:eastAsia="DengXian Light" w:hAnsi="Work Sans" w:cs="Arial"/>
          <w:sz w:val="20"/>
        </w:rPr>
      </w:pPr>
    </w:p>
    <w:p w14:paraId="6EF25225" w14:textId="77777777" w:rsidR="004F0787" w:rsidRDefault="004F0787">
      <w:pPr>
        <w:tabs>
          <w:tab w:val="left" w:pos="0"/>
        </w:tabs>
        <w:jc w:val="both"/>
        <w:rPr>
          <w:rFonts w:ascii="Work Sans" w:hAnsi="Work Sans" w:cs="Times New Roman"/>
          <w:sz w:val="20"/>
          <w:szCs w:val="20"/>
          <w:lang w:eastAsia="es-ES"/>
        </w:rPr>
      </w:pPr>
    </w:p>
    <w:p w14:paraId="614642C3" w14:textId="77777777" w:rsidR="004F0787" w:rsidRDefault="00E42D0A">
      <w:pPr>
        <w:jc w:val="both"/>
        <w:rPr>
          <w:rFonts w:ascii="Work Sans" w:hAnsi="Work Sans" w:cs="Times New Roman"/>
          <w:sz w:val="20"/>
          <w:szCs w:val="20"/>
          <w:lang w:val="es-CO" w:eastAsia="es-ES"/>
        </w:rPr>
      </w:pPr>
      <w:r>
        <w:rPr>
          <w:rFonts w:ascii="Work Sans" w:hAnsi="Work Sans" w:cs="Times New Roman"/>
          <w:sz w:val="20"/>
          <w:szCs w:val="20"/>
          <w:lang w:val="es-CO" w:eastAsia="es-ES"/>
        </w:rPr>
        <w:t>En mérito de lo expuesto,</w:t>
      </w:r>
    </w:p>
    <w:p w14:paraId="5F7C0D47" w14:textId="77777777" w:rsidR="004F0787" w:rsidRDefault="004F0787">
      <w:pPr>
        <w:jc w:val="center"/>
        <w:rPr>
          <w:rFonts w:ascii="Work Sans" w:hAnsi="Work Sans" w:cs="Times New Roman"/>
          <w:b/>
          <w:sz w:val="20"/>
          <w:szCs w:val="20"/>
          <w:lang w:eastAsia="es-ES"/>
        </w:rPr>
      </w:pPr>
    </w:p>
    <w:p w14:paraId="35163FD9" w14:textId="77777777" w:rsidR="004F0787" w:rsidRDefault="00E42D0A">
      <w:pPr>
        <w:jc w:val="center"/>
        <w:rPr>
          <w:rFonts w:ascii="Work Sans" w:hAnsi="Work Sans" w:cs="Times New Roman"/>
          <w:b/>
          <w:sz w:val="20"/>
          <w:szCs w:val="20"/>
          <w:lang w:eastAsia="es-ES"/>
        </w:rPr>
      </w:pPr>
      <w:r>
        <w:rPr>
          <w:rFonts w:ascii="Work Sans" w:hAnsi="Work Sans" w:cs="Times New Roman"/>
          <w:b/>
          <w:sz w:val="20"/>
          <w:szCs w:val="20"/>
          <w:lang w:eastAsia="es-ES"/>
        </w:rPr>
        <w:t>RESUELVE:</w:t>
      </w:r>
    </w:p>
    <w:p w14:paraId="319C469E" w14:textId="77777777" w:rsidR="004F0787" w:rsidRDefault="004F0787">
      <w:pPr>
        <w:jc w:val="center"/>
        <w:rPr>
          <w:rFonts w:ascii="Work Sans" w:hAnsi="Work Sans" w:cs="Times New Roman"/>
          <w:b/>
          <w:sz w:val="20"/>
          <w:szCs w:val="20"/>
          <w:lang w:eastAsia="es-ES"/>
        </w:rPr>
      </w:pPr>
    </w:p>
    <w:p w14:paraId="534DEC9F" w14:textId="77777777" w:rsidR="004F0787" w:rsidRDefault="00E42D0A">
      <w:pPr>
        <w:jc w:val="both"/>
      </w:pPr>
      <w:r>
        <w:rPr>
          <w:rFonts w:ascii="Work Sans" w:hAnsi="Work Sans"/>
          <w:b/>
          <w:bCs/>
          <w:sz w:val="20"/>
          <w:szCs w:val="20"/>
        </w:rPr>
        <w:t xml:space="preserve">ARTÍCULO 1.- </w:t>
      </w:r>
      <w:r>
        <w:rPr>
          <w:rFonts w:ascii="Work Sans" w:eastAsia="DengXian Light" w:hAnsi="Work Sans" w:cs="Arial"/>
          <w:sz w:val="20"/>
          <w:szCs w:val="20"/>
          <w:lang w:bidi="ar-SA"/>
        </w:rPr>
        <w:t>Prorrogar el término establecido en el artículo 1° de la </w:t>
      </w:r>
      <w:hyperlink r:id="rId23" w:history="1">
        <w:r>
          <w:rPr>
            <w:rFonts w:ascii="Work Sans" w:eastAsia="DengXian Light" w:hAnsi="Work Sans" w:cs="Arial"/>
            <w:sz w:val="20"/>
            <w:szCs w:val="20"/>
            <w:lang w:bidi="ar-SA"/>
          </w:rPr>
          <w:t>Resolución 0885 de 2019</w:t>
        </w:r>
      </w:hyperlink>
      <w:r>
        <w:rPr>
          <w:rFonts w:ascii="Work Sans" w:eastAsia="DengXian Light" w:hAnsi="Work Sans" w:cs="Arial"/>
          <w:sz w:val="20"/>
          <w:szCs w:val="20"/>
          <w:lang w:bidi="ar-SA"/>
        </w:rPr>
        <w:t>, prorrogado por el artículo 1° de la </w:t>
      </w:r>
      <w:hyperlink r:id="rId24" w:history="1">
        <w:r>
          <w:rPr>
            <w:rFonts w:ascii="Work Sans" w:eastAsia="DengXian Light" w:hAnsi="Work Sans" w:cs="Arial"/>
            <w:sz w:val="20"/>
            <w:szCs w:val="20"/>
            <w:lang w:bidi="ar-SA"/>
          </w:rPr>
          <w:t>Resolución 0508 de 2020</w:t>
        </w:r>
      </w:hyperlink>
      <w:r>
        <w:rPr>
          <w:rFonts w:ascii="Work Sans" w:eastAsia="DengXian Light" w:hAnsi="Work Sans" w:cs="Arial"/>
          <w:sz w:val="20"/>
          <w:szCs w:val="20"/>
          <w:lang w:bidi="ar-SA"/>
        </w:rPr>
        <w:t xml:space="preserve">, y por el artículo 1º de la Resolución 20213040010075 de 2021,  por un año (1) año más, esto es, hasta el </w:t>
      </w:r>
      <w:r>
        <w:rPr>
          <w:rFonts w:ascii="Work Sans" w:eastAsia="DengXian Light" w:hAnsi="Work Sans" w:cs="Arial"/>
          <w:sz w:val="20"/>
          <w:szCs w:val="20"/>
          <w:lang w:bidi="ar-SA"/>
        </w:rPr>
        <w:lastRenderedPageBreak/>
        <w:t>13 de marzo de 2023.</w:t>
      </w:r>
    </w:p>
    <w:p w14:paraId="6F7B65B4" w14:textId="77777777" w:rsidR="004F0787" w:rsidRDefault="004F0787">
      <w:pPr>
        <w:jc w:val="both"/>
        <w:rPr>
          <w:rFonts w:ascii="Work Sans" w:hAnsi="Work Sans"/>
          <w:b/>
          <w:bCs/>
          <w:sz w:val="20"/>
          <w:szCs w:val="20"/>
        </w:rPr>
      </w:pPr>
    </w:p>
    <w:p w14:paraId="6BF99157" w14:textId="77777777" w:rsidR="004F0787" w:rsidRDefault="00E42D0A">
      <w:pPr>
        <w:jc w:val="both"/>
      </w:pPr>
      <w:r>
        <w:rPr>
          <w:rFonts w:ascii="Work Sans" w:hAnsi="Work Sans"/>
          <w:b/>
          <w:bCs/>
          <w:sz w:val="20"/>
          <w:szCs w:val="20"/>
        </w:rPr>
        <w:t>ARTÍCULO 2.-</w:t>
      </w:r>
      <w:r>
        <w:rPr>
          <w:rFonts w:ascii="Work Sans" w:eastAsia="DengXian Light" w:hAnsi="Work Sans" w:cs="Arial"/>
          <w:sz w:val="20"/>
          <w:szCs w:val="20"/>
          <w:lang w:bidi="ar-SA"/>
        </w:rPr>
        <w:t xml:space="preserve"> Los demás términos de la </w:t>
      </w:r>
      <w:hyperlink r:id="rId25" w:history="1">
        <w:r>
          <w:rPr>
            <w:rFonts w:ascii="Work Sans" w:eastAsia="DengXian Light" w:hAnsi="Work Sans" w:cs="Arial"/>
            <w:sz w:val="20"/>
            <w:szCs w:val="20"/>
            <w:lang w:bidi="ar-SA"/>
          </w:rPr>
          <w:t>Resolución 0885 de 2019</w:t>
        </w:r>
      </w:hyperlink>
      <w:r>
        <w:rPr>
          <w:rFonts w:ascii="Work Sans" w:eastAsia="DengXian Light" w:hAnsi="Work Sans" w:cs="Arial"/>
          <w:sz w:val="20"/>
          <w:szCs w:val="20"/>
          <w:lang w:bidi="ar-SA"/>
        </w:rPr>
        <w:t>, continúan vigentes.</w:t>
      </w:r>
    </w:p>
    <w:p w14:paraId="6049A69F" w14:textId="77777777" w:rsidR="004F0787" w:rsidRDefault="004F0787">
      <w:pPr>
        <w:jc w:val="both"/>
        <w:rPr>
          <w:rFonts w:ascii="Work Sans" w:eastAsia="DengXian Light" w:hAnsi="Work Sans" w:cs="Arial"/>
          <w:sz w:val="20"/>
          <w:szCs w:val="20"/>
          <w:lang w:bidi="ar-SA"/>
        </w:rPr>
      </w:pPr>
    </w:p>
    <w:p w14:paraId="048A10E2" w14:textId="77777777" w:rsidR="004F0787" w:rsidRDefault="00E42D0A">
      <w:pPr>
        <w:jc w:val="both"/>
      </w:pPr>
      <w:r>
        <w:rPr>
          <w:rFonts w:ascii="Work Sans" w:hAnsi="Work Sans"/>
          <w:b/>
          <w:bCs/>
          <w:sz w:val="20"/>
          <w:szCs w:val="20"/>
        </w:rPr>
        <w:t xml:space="preserve">ARTÍCULO 3.- </w:t>
      </w:r>
      <w:r>
        <w:rPr>
          <w:rFonts w:ascii="Work Sans" w:eastAsia="DengXian Light" w:hAnsi="Work Sans" w:cs="Arial"/>
          <w:sz w:val="20"/>
          <w:szCs w:val="20"/>
          <w:lang w:bidi="ar-SA"/>
        </w:rPr>
        <w:t>La presente resolución rige a partir de la fecha de publicación en el Diario Oficial.</w:t>
      </w:r>
    </w:p>
    <w:p w14:paraId="3FB66FE4" w14:textId="77777777" w:rsidR="004F0787" w:rsidRDefault="004F0787">
      <w:pPr>
        <w:jc w:val="both"/>
        <w:rPr>
          <w:rFonts w:ascii="Work Sans" w:eastAsia="DengXian Light" w:hAnsi="Work Sans" w:cs="Arial"/>
          <w:sz w:val="20"/>
          <w:szCs w:val="20"/>
          <w:lang w:bidi="ar-SA"/>
        </w:rPr>
      </w:pPr>
    </w:p>
    <w:p w14:paraId="54EF43BC" w14:textId="77777777" w:rsidR="004F0787" w:rsidRDefault="004F0787">
      <w:pPr>
        <w:pStyle w:val="Standard"/>
        <w:autoSpaceDE w:val="0"/>
        <w:jc w:val="center"/>
        <w:rPr>
          <w:rFonts w:ascii="Work Sans" w:hAnsi="Work Sans" w:cs="Times New Roman"/>
          <w:b/>
          <w:bCs/>
          <w:sz w:val="20"/>
        </w:rPr>
      </w:pPr>
    </w:p>
    <w:p w14:paraId="7A066F31" w14:textId="77777777" w:rsidR="004F0787" w:rsidRDefault="00E42D0A">
      <w:pPr>
        <w:pStyle w:val="Standard"/>
        <w:autoSpaceDE w:val="0"/>
        <w:jc w:val="center"/>
      </w:pPr>
      <w:r>
        <w:rPr>
          <w:rFonts w:ascii="Work Sans" w:hAnsi="Work Sans" w:cs="Times New Roman"/>
          <w:b/>
          <w:bCs/>
          <w:sz w:val="20"/>
        </w:rPr>
        <w:t>PUBLÍQUESE Y CÚMPLASE,</w:t>
      </w:r>
    </w:p>
    <w:p w14:paraId="63E49A38" w14:textId="77777777" w:rsidR="004F0787" w:rsidRDefault="004F0787">
      <w:pPr>
        <w:pStyle w:val="Standard"/>
        <w:autoSpaceDE w:val="0"/>
        <w:jc w:val="center"/>
        <w:rPr>
          <w:rFonts w:ascii="Work Sans" w:hAnsi="Work Sans" w:cs="Times New Roman"/>
          <w:sz w:val="20"/>
        </w:rPr>
      </w:pPr>
    </w:p>
    <w:p w14:paraId="53FD3414" w14:textId="77777777" w:rsidR="004F0787" w:rsidRDefault="004F0787">
      <w:pPr>
        <w:widowControl/>
        <w:tabs>
          <w:tab w:val="left" w:pos="3717"/>
        </w:tabs>
        <w:ind w:left="20"/>
        <w:jc w:val="both"/>
        <w:textAlignment w:val="auto"/>
        <w:rPr>
          <w:rFonts w:ascii="Work Sans" w:eastAsia="DengXian Light" w:hAnsi="Work Sans" w:cs="Arial"/>
          <w:sz w:val="20"/>
          <w:szCs w:val="20"/>
        </w:rPr>
      </w:pPr>
    </w:p>
    <w:p w14:paraId="33C3C606" w14:textId="77777777" w:rsidR="004F0787" w:rsidRDefault="004F0787">
      <w:pPr>
        <w:tabs>
          <w:tab w:val="left" w:pos="0"/>
        </w:tabs>
        <w:jc w:val="both"/>
        <w:rPr>
          <w:rFonts w:ascii="Work Sans" w:hAnsi="Work Sans"/>
          <w:sz w:val="20"/>
          <w:szCs w:val="20"/>
        </w:rPr>
      </w:pPr>
    </w:p>
    <w:p w14:paraId="78909716" w14:textId="77777777" w:rsidR="004F0787" w:rsidRDefault="00E42D0A">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5E012F0F" w14:textId="77777777" w:rsidR="004F0787" w:rsidRDefault="004F0787">
      <w:pPr>
        <w:tabs>
          <w:tab w:val="left" w:pos="0"/>
        </w:tabs>
        <w:jc w:val="center"/>
        <w:rPr>
          <w:rFonts w:ascii="Work Sans" w:hAnsi="Work Sans" w:cs="Times New Roman"/>
          <w:sz w:val="20"/>
          <w:szCs w:val="20"/>
          <w:lang w:eastAsia="es-ES"/>
        </w:rPr>
      </w:pPr>
    </w:p>
    <w:p w14:paraId="6E774D41" w14:textId="77777777" w:rsidR="004F0787" w:rsidRDefault="004F0787">
      <w:pPr>
        <w:tabs>
          <w:tab w:val="left" w:pos="0"/>
        </w:tabs>
        <w:jc w:val="center"/>
        <w:rPr>
          <w:rFonts w:ascii="Work Sans" w:hAnsi="Work Sans" w:cs="Times New Roman"/>
          <w:sz w:val="20"/>
          <w:szCs w:val="20"/>
          <w:lang w:eastAsia="es-ES"/>
        </w:rPr>
      </w:pPr>
    </w:p>
    <w:p w14:paraId="71DBABA6" w14:textId="77777777" w:rsidR="004F0787" w:rsidRDefault="004F0787">
      <w:pPr>
        <w:tabs>
          <w:tab w:val="left" w:pos="0"/>
        </w:tabs>
        <w:jc w:val="both"/>
        <w:rPr>
          <w:rFonts w:ascii="Work Sans" w:hAnsi="Work Sans" w:cs="Times New Roman"/>
          <w:sz w:val="20"/>
          <w:szCs w:val="20"/>
          <w:lang w:eastAsia="es-ES"/>
        </w:rPr>
      </w:pPr>
    </w:p>
    <w:p w14:paraId="1354F505" w14:textId="77777777" w:rsidR="004F0787" w:rsidRDefault="00E42D0A">
      <w:pPr>
        <w:pStyle w:val="Standard"/>
        <w:jc w:val="center"/>
      </w:pPr>
      <w:r>
        <w:rPr>
          <w:rFonts w:ascii="Work Sans" w:hAnsi="Work Sans" w:cs="Times New Roman"/>
          <w:b/>
          <w:sz w:val="20"/>
          <w:lang w:eastAsia="es-ES"/>
        </w:rPr>
        <w:t xml:space="preserve">ÁNGELA MARÍA </w:t>
      </w:r>
      <w:r>
        <w:rPr>
          <w:rFonts w:ascii="Work Sans" w:hAnsi="Work Sans" w:cs="Times New Roman"/>
          <w:b/>
          <w:sz w:val="20"/>
          <w:lang w:eastAsia="es-ES"/>
        </w:rPr>
        <w:t>OROZCO GÓMEZ</w:t>
      </w:r>
    </w:p>
    <w:p w14:paraId="3D488214" w14:textId="77777777" w:rsidR="004F0787" w:rsidRDefault="004F0787">
      <w:pPr>
        <w:pStyle w:val="Standard"/>
        <w:rPr>
          <w:lang w:val="es-CO"/>
        </w:rPr>
      </w:pPr>
    </w:p>
    <w:p w14:paraId="21B31B20" w14:textId="77777777" w:rsidR="004F0787" w:rsidRDefault="004F0787">
      <w:pPr>
        <w:pStyle w:val="Standard"/>
        <w:rPr>
          <w:lang w:val="es-CO"/>
        </w:rPr>
      </w:pPr>
    </w:p>
    <w:p w14:paraId="6F2456A4" w14:textId="77777777" w:rsidR="004F0787" w:rsidRDefault="004F0787">
      <w:pPr>
        <w:jc w:val="both"/>
        <w:rPr>
          <w:rFonts w:ascii="Work Sans" w:hAnsi="Work Sans" w:cs="Arial"/>
          <w:sz w:val="12"/>
          <w:szCs w:val="12"/>
          <w:lang w:eastAsia="es-CO"/>
        </w:rPr>
      </w:pPr>
    </w:p>
    <w:p w14:paraId="601CBE5F" w14:textId="77777777" w:rsidR="004F0787" w:rsidRDefault="00E42D0A">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w:t>
      </w:r>
      <w:proofErr w:type="gramStart"/>
      <w:r>
        <w:rPr>
          <w:rFonts w:ascii="Work Sans" w:hAnsi="Work Sans" w:cs="Arial"/>
          <w:sz w:val="12"/>
          <w:szCs w:val="12"/>
          <w:lang w:eastAsia="es-CO"/>
        </w:rPr>
        <w:t>Presidente</w:t>
      </w:r>
      <w:proofErr w:type="gramEnd"/>
      <w:r>
        <w:rPr>
          <w:rFonts w:ascii="Work Sans" w:hAnsi="Work Sans" w:cs="Arial"/>
          <w:sz w:val="12"/>
          <w:szCs w:val="12"/>
          <w:lang w:eastAsia="es-CO"/>
        </w:rPr>
        <w:t xml:space="preserve"> Agencia Nacional de Infraestructura</w:t>
      </w:r>
    </w:p>
    <w:p w14:paraId="49C038D3" w14:textId="77777777" w:rsidR="004F0787" w:rsidRDefault="00E42D0A">
      <w:pPr>
        <w:jc w:val="both"/>
        <w:rPr>
          <w:rFonts w:ascii="Work Sans" w:hAnsi="Work Sans" w:cs="Arial"/>
          <w:sz w:val="12"/>
          <w:szCs w:val="12"/>
          <w:lang w:eastAsia="es-CO"/>
        </w:rPr>
      </w:pPr>
      <w:r>
        <w:rPr>
          <w:rFonts w:ascii="Work Sans" w:hAnsi="Work Sans" w:cs="Arial"/>
          <w:sz w:val="12"/>
          <w:szCs w:val="12"/>
          <w:lang w:eastAsia="es-CO"/>
        </w:rPr>
        <w:t xml:space="preserve">Sol Ángel Cala Acosta – Asesora Despacho de la </w:t>
      </w:r>
      <w:proofErr w:type="gramStart"/>
      <w:r>
        <w:rPr>
          <w:rFonts w:ascii="Work Sans" w:hAnsi="Work Sans" w:cs="Arial"/>
          <w:sz w:val="12"/>
          <w:szCs w:val="12"/>
          <w:lang w:eastAsia="es-CO"/>
        </w:rPr>
        <w:t>Ministra</w:t>
      </w:r>
      <w:proofErr w:type="gramEnd"/>
      <w:r>
        <w:rPr>
          <w:rFonts w:ascii="Work Sans" w:hAnsi="Work Sans" w:cs="Arial"/>
          <w:sz w:val="12"/>
          <w:szCs w:val="12"/>
          <w:lang w:eastAsia="es-CO"/>
        </w:rPr>
        <w:t>, Ministerio de Transporte</w:t>
      </w:r>
    </w:p>
    <w:p w14:paraId="6E50C939" w14:textId="77777777" w:rsidR="004F0787" w:rsidRDefault="00E42D0A">
      <w:pPr>
        <w:jc w:val="both"/>
        <w:rPr>
          <w:rFonts w:ascii="Work Sans" w:hAnsi="Work Sans" w:cs="Arial"/>
          <w:sz w:val="12"/>
          <w:szCs w:val="12"/>
          <w:lang w:eastAsia="es-CO"/>
        </w:rPr>
      </w:pPr>
      <w:r>
        <w:rPr>
          <w:rFonts w:ascii="Work Sans" w:hAnsi="Work Sans" w:cs="Arial"/>
          <w:sz w:val="12"/>
          <w:szCs w:val="12"/>
          <w:lang w:eastAsia="es-CO"/>
        </w:rPr>
        <w:t xml:space="preserve">María del Pilar Uribe Pontón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Oficina Asesora de Jurídica, Ministerio de</w:t>
      </w:r>
      <w:r>
        <w:rPr>
          <w:rFonts w:ascii="Work Sans" w:hAnsi="Work Sans" w:cs="Arial"/>
          <w:sz w:val="12"/>
          <w:szCs w:val="12"/>
          <w:lang w:eastAsia="es-CO"/>
        </w:rPr>
        <w:t xml:space="preserve"> Transporte</w:t>
      </w:r>
    </w:p>
    <w:p w14:paraId="2C446FFE" w14:textId="77777777" w:rsidR="004F0787" w:rsidRDefault="00E42D0A">
      <w:pPr>
        <w:jc w:val="both"/>
      </w:pPr>
      <w:r>
        <w:rPr>
          <w:rFonts w:ascii="Work Sans" w:hAnsi="Work Sans" w:cs="Arial"/>
          <w:sz w:val="12"/>
          <w:szCs w:val="12"/>
          <w:lang w:eastAsia="es-CO"/>
        </w:rPr>
        <w:t xml:space="preserve">Magola Eugenia Molina Ceballos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de Oficina de Regulación Económica (E), Ministerio de Transporte</w:t>
      </w:r>
    </w:p>
    <w:sectPr w:rsidR="004F0787">
      <w:headerReference w:type="default" r:id="rId26"/>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098C3D" w14:textId="77777777" w:rsidR="00E42D0A" w:rsidRDefault="00E42D0A">
      <w:r>
        <w:separator/>
      </w:r>
    </w:p>
  </w:endnote>
  <w:endnote w:type="continuationSeparator" w:id="0">
    <w:p w14:paraId="6EE6A02D" w14:textId="77777777" w:rsidR="00E42D0A" w:rsidRDefault="00E4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Work Sans">
    <w:altName w:val="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2D109" w14:textId="77777777" w:rsidR="00E42D0A" w:rsidRDefault="00E42D0A">
      <w:r>
        <w:rPr>
          <w:color w:val="000000"/>
        </w:rPr>
        <w:separator/>
      </w:r>
    </w:p>
  </w:footnote>
  <w:footnote w:type="continuationSeparator" w:id="0">
    <w:p w14:paraId="40AF0104" w14:textId="77777777" w:rsidR="00E42D0A" w:rsidRDefault="00E4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894DE" w14:textId="77777777" w:rsidR="00A15CBC" w:rsidRDefault="00E42D0A">
    <w:r>
      <w:rPr>
        <w:noProof/>
        <w:lang w:val="es-CO" w:eastAsia="es-CO" w:bidi="ar-SA"/>
      </w:rPr>
      <w:drawing>
        <wp:inline distT="0" distB="0" distL="0" distR="0" wp14:anchorId="114E93C4" wp14:editId="0E878658">
          <wp:extent cx="2163964"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163964" cy="320040"/>
                  </a:xfrm>
                  <a:prstGeom prst="rect">
                    <a:avLst/>
                  </a:prstGeom>
                  <a:noFill/>
                  <a:ln>
                    <a:noFill/>
                    <a:prstDash/>
                  </a:ln>
                </pic:spPr>
              </pic:pic>
            </a:graphicData>
          </a:graphic>
        </wp:inline>
      </w:drawing>
    </w:r>
  </w:p>
  <w:p w14:paraId="0323EC02" w14:textId="77777777" w:rsidR="00A15CBC" w:rsidRDefault="00E42D0A">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1421B6CF" w14:textId="77777777" w:rsidR="00A15CBC" w:rsidRDefault="00E42D0A">
    <w:pPr>
      <w:pStyle w:val="Encabezado"/>
      <w:jc w:val="center"/>
    </w:pPr>
    <w:r>
      <w:rPr>
        <w:rFonts w:ascii="Work Sans" w:hAnsi="Work Sans"/>
        <w:sz w:val="20"/>
      </w:rPr>
      <w:t xml:space="preserve">de </w:t>
    </w:r>
    <w:r>
      <w:rPr>
        <w:rFonts w:ascii="Work Sans" w:hAnsi="Work Sans" w:cs="Arial"/>
        <w:sz w:val="20"/>
        <w:lang w:val="es-CO"/>
      </w:rPr>
      <w:t>*F_RAD_S*</w:t>
    </w:r>
  </w:p>
  <w:p w14:paraId="6C6EF1E0" w14:textId="77777777" w:rsidR="00A15CBC" w:rsidRDefault="00E42D0A">
    <w:pPr>
      <w:pStyle w:val="Encabezado"/>
      <w:jc w:val="center"/>
      <w:rPr>
        <w:rFonts w:ascii="Code3of9" w:hAnsi="Code3of9" w:cs="Tahoma"/>
        <w:sz w:val="36"/>
        <w:szCs w:val="40"/>
      </w:rPr>
    </w:pPr>
    <w:r>
      <w:rPr>
        <w:rFonts w:ascii="Code3of9" w:hAnsi="Code3of9" w:cs="Tahoma"/>
        <w:sz w:val="36"/>
        <w:szCs w:val="40"/>
      </w:rPr>
      <w:t>**RAD_S**</w:t>
    </w:r>
  </w:p>
  <w:p w14:paraId="77420493" w14:textId="77777777" w:rsidR="00A15CBC" w:rsidRDefault="00E42D0A">
    <w:pPr>
      <w:pStyle w:val="Encabezado"/>
      <w:jc w:val="center"/>
      <w:rPr>
        <w:rFonts w:ascii="Code3of9" w:hAnsi="Code3of9" w:cs="Tahoma"/>
        <w:i/>
      </w:rPr>
    </w:pPr>
  </w:p>
  <w:p w14:paraId="3AB67250" w14:textId="77777777" w:rsidR="00A15CBC" w:rsidRDefault="00E42D0A">
    <w:pPr>
      <w:jc w:val="center"/>
    </w:pPr>
    <w:r>
      <w:rPr>
        <w:rFonts w:ascii="Work Sans" w:hAnsi="Work Sans" w:cs="Times New Roman"/>
        <w:i/>
        <w:color w:val="221E1F"/>
        <w:kern w:val="0"/>
        <w:sz w:val="20"/>
        <w:szCs w:val="20"/>
        <w:lang w:eastAsia="en-US" w:bidi="ar-SA"/>
      </w:rPr>
      <w:t>“P</w:t>
    </w:r>
    <w:r>
      <w:rPr>
        <w:rFonts w:ascii="Work Sans" w:hAnsi="Work Sans" w:cs="Times New Roman"/>
        <w:i/>
        <w:color w:val="221E1F"/>
        <w:kern w:val="0"/>
        <w:sz w:val="20"/>
        <w:szCs w:val="20"/>
        <w:lang w:val="es" w:eastAsia="en-US" w:bidi="ar-SA"/>
      </w:rPr>
      <w:t>or la cual se prorroga el término establecido en el artículo 1° de la </w:t>
    </w:r>
    <w:hyperlink r:id="rId2" w:history="1">
      <w:r>
        <w:rPr>
          <w:rFonts w:ascii="Work Sans" w:hAnsi="Work Sans" w:cs="Times New Roman"/>
          <w:i/>
          <w:kern w:val="0"/>
          <w:sz w:val="20"/>
          <w:szCs w:val="20"/>
          <w:lang w:val="es" w:eastAsia="en-US" w:bidi="ar-SA"/>
        </w:rPr>
        <w:t>Resolución 0885 de 2019</w:t>
      </w:r>
    </w:hyperlink>
    <w:r>
      <w:rPr>
        <w:rFonts w:ascii="Work Sans" w:hAnsi="Work Sans" w:cs="Times New Roman"/>
        <w:i/>
        <w:kern w:val="0"/>
        <w:sz w:val="20"/>
        <w:szCs w:val="20"/>
        <w:lang w:val="es" w:eastAsia="en-US" w:bidi="ar-SA"/>
      </w:rPr>
      <w:t> del Ministerio de Transporte, “por la cual se establece la exención del cincuenta por ciento (50%) de la tarifa de paso actual, po</w:t>
    </w:r>
    <w:r>
      <w:rPr>
        <w:rFonts w:ascii="Work Sans" w:hAnsi="Work Sans" w:cs="Times New Roman"/>
        <w:i/>
        <w:kern w:val="0"/>
        <w:sz w:val="20"/>
        <w:szCs w:val="20"/>
        <w:lang w:val="es" w:eastAsia="en-US" w:bidi="ar-SA"/>
      </w:rPr>
      <w:t>r el derecho de tránsito por cada tonelada métrica de carga de carbón proveniente del departamento de Norte de Santander, transportadas por el corredor férreo en el tramo Chiriguaná-Santa Marta, que debe realizar el Concesionario de la Red Férrea del Atlán</w:t>
    </w:r>
    <w:r>
      <w:rPr>
        <w:rFonts w:ascii="Work Sans" w:hAnsi="Work Sans" w:cs="Times New Roman"/>
        <w:i/>
        <w:kern w:val="0"/>
        <w:sz w:val="20"/>
        <w:szCs w:val="20"/>
        <w:lang w:val="es" w:eastAsia="en-US" w:bidi="ar-SA"/>
      </w:rPr>
      <w:t>tico Fenoco S. A. de que trata el artículo 5° de la </w:t>
    </w:r>
    <w:hyperlink r:id="rId3" w:history="1">
      <w:r>
        <w:rPr>
          <w:rFonts w:ascii="Work Sans" w:hAnsi="Work Sans" w:cs="Times New Roman"/>
          <w:i/>
          <w:kern w:val="0"/>
          <w:sz w:val="20"/>
          <w:szCs w:val="20"/>
          <w:lang w:val="es" w:eastAsia="en-US" w:bidi="ar-SA"/>
        </w:rPr>
        <w:t>Resolución 1070 de 2006</w:t>
      </w:r>
    </w:hyperlink>
    <w:r>
      <w:rPr>
        <w:rFonts w:ascii="Work Sans" w:hAnsi="Work Sans" w:cs="Times New Roman"/>
        <w:i/>
        <w:kern w:val="0"/>
        <w:sz w:val="20"/>
        <w:szCs w:val="20"/>
        <w:lang w:val="es" w:eastAsia="en-US" w:bidi="ar-SA"/>
      </w:rPr>
      <w:t>, modificado por el artículo 1° de la </w:t>
    </w:r>
    <w:hyperlink r:id="rId4" w:history="1">
      <w:r>
        <w:rPr>
          <w:rFonts w:ascii="Work Sans" w:hAnsi="Work Sans" w:cs="Times New Roman"/>
          <w:i/>
          <w:kern w:val="0"/>
          <w:sz w:val="20"/>
          <w:szCs w:val="20"/>
          <w:lang w:val="es" w:eastAsia="en-US" w:bidi="ar-SA"/>
        </w:rPr>
        <w:t>Resolución 3378 de 2015</w:t>
      </w:r>
    </w:hyperlink>
    <w:r>
      <w:rPr>
        <w:rFonts w:ascii="Work Sans" w:hAnsi="Work Sans" w:cs="Times New Roman"/>
        <w:i/>
        <w:kern w:val="0"/>
        <w:sz w:val="20"/>
        <w:szCs w:val="20"/>
        <w:lang w:val="es" w:eastAsia="en-US" w:bidi="ar-SA"/>
      </w:rPr>
      <w:t>, y se dictan</w:t>
    </w:r>
    <w:r>
      <w:rPr>
        <w:rFonts w:ascii="Work Sans" w:hAnsi="Work Sans" w:cs="Times New Roman"/>
        <w:i/>
        <w:color w:val="221E1F"/>
        <w:kern w:val="0"/>
        <w:sz w:val="20"/>
        <w:szCs w:val="20"/>
        <w:lang w:val="es" w:eastAsia="en-US" w:bidi="ar-SA"/>
      </w:rPr>
      <w:t xml:space="preserve"> otras disposiciones</w:t>
    </w:r>
    <w:r>
      <w:rPr>
        <w:rFonts w:ascii="Work Sans" w:hAnsi="Work Sans" w:cs="Times New Roman"/>
        <w:i/>
        <w:color w:val="221E1F"/>
        <w:kern w:val="0"/>
        <w:sz w:val="20"/>
        <w:szCs w:val="20"/>
        <w:lang w:eastAsia="en-US" w:bidi="ar-SA"/>
      </w:rPr>
      <w:t>”</w:t>
    </w:r>
  </w:p>
  <w:p w14:paraId="044C4B19" w14:textId="77777777" w:rsidR="00A15CBC" w:rsidRDefault="00E42D0A">
    <w:pPr>
      <w:widowControl/>
      <w:suppressAutoHyphens w:val="0"/>
      <w:jc w:val="both"/>
      <w:textAlignment w:val="auto"/>
      <w:rPr>
        <w:rFonts w:ascii="Times New Roman" w:hAnsi="Times New Roman" w:cs="Times New Roman"/>
        <w:i/>
        <w:color w:val="000000"/>
        <w:kern w:val="0"/>
        <w:sz w:val="20"/>
        <w:szCs w:val="20"/>
        <w:lang w:val="es" w:eastAsia="en-US"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43D61"/>
    <w:multiLevelType w:val="multilevel"/>
    <w:tmpl w:val="0902F498"/>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1889627B"/>
    <w:multiLevelType w:val="multilevel"/>
    <w:tmpl w:val="B0E828D6"/>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204F341A"/>
    <w:multiLevelType w:val="multilevel"/>
    <w:tmpl w:val="2F9E453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31000C71"/>
    <w:multiLevelType w:val="multilevel"/>
    <w:tmpl w:val="E512876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15:restartNumberingAfterBreak="0">
    <w:nsid w:val="36830B4C"/>
    <w:multiLevelType w:val="multilevel"/>
    <w:tmpl w:val="4A9A8276"/>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368C5A1E"/>
    <w:multiLevelType w:val="multilevel"/>
    <w:tmpl w:val="066CA9B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3EF45992"/>
    <w:multiLevelType w:val="multilevel"/>
    <w:tmpl w:val="04E4F7EA"/>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424E76A5"/>
    <w:multiLevelType w:val="multilevel"/>
    <w:tmpl w:val="B70E02D2"/>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52107B43"/>
    <w:multiLevelType w:val="multilevel"/>
    <w:tmpl w:val="33D0378C"/>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53066001"/>
    <w:multiLevelType w:val="multilevel"/>
    <w:tmpl w:val="7C728BB8"/>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0" w15:restartNumberingAfterBreak="0">
    <w:nsid w:val="55E5781F"/>
    <w:multiLevelType w:val="multilevel"/>
    <w:tmpl w:val="27684898"/>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58CE29F2"/>
    <w:multiLevelType w:val="multilevel"/>
    <w:tmpl w:val="CA5A6058"/>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5C79496C"/>
    <w:multiLevelType w:val="multilevel"/>
    <w:tmpl w:val="06C4F028"/>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693F6C13"/>
    <w:multiLevelType w:val="multilevel"/>
    <w:tmpl w:val="E950290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6CE43AE5"/>
    <w:multiLevelType w:val="multilevel"/>
    <w:tmpl w:val="34445C80"/>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759B7D88"/>
    <w:multiLevelType w:val="multilevel"/>
    <w:tmpl w:val="32E4D71C"/>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786F09EF"/>
    <w:multiLevelType w:val="multilevel"/>
    <w:tmpl w:val="77F442B2"/>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7CB033D5"/>
    <w:multiLevelType w:val="multilevel"/>
    <w:tmpl w:val="7AC8C61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7FA07D90"/>
    <w:multiLevelType w:val="multilevel"/>
    <w:tmpl w:val="963859A4"/>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10"/>
  </w:num>
  <w:num w:numId="2">
    <w:abstractNumId w:val="7"/>
  </w:num>
  <w:num w:numId="3">
    <w:abstractNumId w:val="4"/>
  </w:num>
  <w:num w:numId="4">
    <w:abstractNumId w:val="5"/>
  </w:num>
  <w:num w:numId="5">
    <w:abstractNumId w:val="1"/>
  </w:num>
  <w:num w:numId="6">
    <w:abstractNumId w:val="0"/>
  </w:num>
  <w:num w:numId="7">
    <w:abstractNumId w:val="16"/>
  </w:num>
  <w:num w:numId="8">
    <w:abstractNumId w:val="17"/>
  </w:num>
  <w:num w:numId="9">
    <w:abstractNumId w:val="13"/>
  </w:num>
  <w:num w:numId="10">
    <w:abstractNumId w:val="2"/>
  </w:num>
  <w:num w:numId="11">
    <w:abstractNumId w:val="11"/>
  </w:num>
  <w:num w:numId="12">
    <w:abstractNumId w:val="9"/>
  </w:num>
  <w:num w:numId="13">
    <w:abstractNumId w:val="12"/>
  </w:num>
  <w:num w:numId="14">
    <w:abstractNumId w:val="15"/>
  </w:num>
  <w:num w:numId="15">
    <w:abstractNumId w:val="14"/>
  </w:num>
  <w:num w:numId="16">
    <w:abstractNumId w:val="18"/>
  </w:num>
  <w:num w:numId="17">
    <w:abstractNumId w:val="6"/>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F0787"/>
    <w:rsid w:val="004F0787"/>
    <w:rsid w:val="009D1837"/>
    <w:rsid w:val="00E42D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E567403"/>
  <w15:docId w15:val="{6328C5FC-30F9-B146-B5C4-C97060FD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eastAsia="es-ES" w:bidi="ar-SA"/>
    </w:rP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Courier New" w:hAnsi="Courier New" w:cs="Courier New"/>
      <w:kern w:val="0"/>
      <w:sz w:val="20"/>
      <w:szCs w:val="20"/>
      <w:lang w:val="es-CO" w:eastAsia="es-CO" w:bidi="ar-SA"/>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paragraph" w:customStyle="1" w:styleId="Epgrafe0">
    <w:name w:val="Epígrafe"/>
    <w:basedOn w:val="Normal"/>
    <w:next w:val="Normal"/>
    <w:pPr>
      <w:spacing w:after="200"/>
    </w:pPr>
    <w:rPr>
      <w:rFonts w:cs="Mangal"/>
      <w:i/>
      <w:iCs/>
      <w:color w:val="1F497D"/>
      <w:sz w:val="18"/>
      <w:szCs w:val="16"/>
    </w:rPr>
  </w:style>
  <w:style w:type="paragraph" w:customStyle="1" w:styleId="Normal1">
    <w:name w:val="Normal 1"/>
    <w:basedOn w:val="Sangranormal"/>
    <w:pPr>
      <w:widowControl/>
      <w:tabs>
        <w:tab w:val="left" w:pos="2880"/>
      </w:tabs>
      <w:ind w:left="2880" w:hanging="360"/>
      <w:jc w:val="both"/>
      <w:textAlignment w:val="auto"/>
    </w:pPr>
    <w:rPr>
      <w:rFonts w:ascii="Times New Roman" w:eastAsia="MS Mincho" w:hAnsi="Times New Roman" w:cs="Times New Roman"/>
      <w:kern w:val="0"/>
      <w:szCs w:val="24"/>
      <w:lang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textAlignment w:val="auto"/>
    </w:pPr>
    <w:rPr>
      <w:rFonts w:ascii="Times New Roman" w:hAnsi="Times New Roman" w:cs="Times New Roman"/>
      <w:color w:val="000000"/>
      <w:sz w:val="24"/>
      <w:szCs w:val="24"/>
      <w:lang w:val="es-MX" w:eastAsia="en-U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eastAsia="Arial Narrow" w:hAnsi="Arial Narrow" w:cs="Calibri"/>
      <w:color w:val="000000"/>
      <w:kern w:val="0"/>
      <w:lang w:val="es-CO" w:eastAsia="en-US" w:bidi="ar-SA"/>
    </w:rPr>
  </w:style>
  <w:style w:type="paragraph" w:styleId="Textoindependiente">
    <w:name w:val="Body Text"/>
    <w:basedOn w:val="Normal"/>
    <w:pPr>
      <w:autoSpaceDE w:val="0"/>
      <w:textAlignment w:val="auto"/>
    </w:pPr>
    <w:rPr>
      <w:rFonts w:ascii="Arial" w:eastAsia="Arial" w:hAnsi="Arial" w:cs="Arial"/>
      <w:kern w:val="0"/>
      <w:sz w:val="20"/>
      <w:szCs w:val="20"/>
      <w:lang w:eastAsia="es-ES" w:bidi="ar-SA"/>
    </w:rPr>
  </w:style>
  <w:style w:type="paragraph" w:customStyle="1" w:styleId="nueve">
    <w:name w:val="nueve"/>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paragraph" w:styleId="Sangradetextonormal">
    <w:name w:val="Body Text Indent"/>
    <w:basedOn w:val="Normal"/>
    <w:pPr>
      <w:widowControl/>
      <w:ind w:firstLine="3686"/>
      <w:textAlignment w:val="auto"/>
    </w:pPr>
    <w:rPr>
      <w:rFonts w:ascii="Times New Roman" w:hAnsi="Times New Roman" w:cs="Times New Roman"/>
      <w:kern w:val="0"/>
      <w:sz w:val="20"/>
      <w:szCs w:val="20"/>
      <w:lang w:val="es-CO" w:eastAsia="es-ES" w:bidi="ar-SA"/>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PrrafodelistaCar">
    <w:name w:val="Párrafo de lista Car"/>
    <w:rPr>
      <w:rFonts w:ascii="Courier New" w:eastAsia="Courier New" w:hAnsi="Courier New" w:cs="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eastAsia="es-ES"/>
    </w:rPr>
  </w:style>
  <w:style w:type="character" w:customStyle="1" w:styleId="ANINormalCar">
    <w:name w:val="ANI Normal Car"/>
    <w:rPr>
      <w:rFonts w:ascii="Arial Narrow" w:eastAsia="Arial Narrow" w:hAnsi="Arial Narrow" w:cs="Arial Narrow"/>
      <w:color w:val="000000"/>
      <w:sz w:val="24"/>
      <w:lang w:eastAsia="en-US"/>
    </w:rPr>
  </w:style>
  <w:style w:type="character" w:customStyle="1" w:styleId="Mencinsinresolver1">
    <w:name w:val="Mención sin resolver1"/>
    <w:rPr>
      <w:color w:val="808080"/>
      <w:shd w:val="clear" w:color="auto" w:fill="E6E6E6"/>
    </w:rPr>
  </w:style>
  <w:style w:type="character" w:customStyle="1" w:styleId="TextoindependienteCar">
    <w:name w:val="Texto independiente Car"/>
    <w:basedOn w:val="Fuentedeprrafopredeter"/>
    <w:rPr>
      <w:rFonts w:ascii="Arial" w:eastAsia="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rPr>
      <w:rFonts w:cs="Times New Roman"/>
      <w:color w:val="808080"/>
    </w:rPr>
  </w:style>
  <w:style w:type="character" w:customStyle="1" w:styleId="spelle">
    <w:name w:val="spelle"/>
    <w:basedOn w:val="Fuentedeprrafopredeter"/>
    <w:rPr>
      <w:rFonts w:cs="Times New Roman"/>
    </w:rPr>
  </w:style>
  <w:style w:type="character" w:customStyle="1" w:styleId="normaltextrun">
    <w:name w:val="normaltextrun"/>
    <w:basedOn w:val="Fuentedeprrafopredeter"/>
    <w:rPr>
      <w:rFonts w:cs="Times New Roman"/>
    </w:rPr>
  </w:style>
  <w:style w:type="character" w:customStyle="1" w:styleId="eop">
    <w:name w:val="eop"/>
    <w:basedOn w:val="Fuentedeprrafopredeter"/>
    <w:rPr>
      <w:rFonts w:cs="Times New Roman"/>
    </w:rPr>
  </w:style>
  <w:style w:type="character" w:customStyle="1" w:styleId="tabchar">
    <w:name w:val="tabchar"/>
    <w:basedOn w:val="Fuentedeprrafopredeter"/>
    <w:rPr>
      <w:rFonts w:cs="Times New Roman"/>
    </w:rPr>
  </w:style>
  <w:style w:type="character" w:customStyle="1" w:styleId="scxw228817621">
    <w:name w:val="scxw228817621"/>
    <w:basedOn w:val="Fuentedeprrafopredeter"/>
  </w:style>
  <w:style w:type="character" w:customStyle="1" w:styleId="CuerpodeltextoNegrita">
    <w:name w:val="Cuerpo del texto + Negrita"/>
    <w:rPr>
      <w:rFonts w:ascii="Arial" w:eastAsia="Arial" w:hAnsi="Arial" w:cs="Arial"/>
      <w:b/>
      <w:bCs/>
      <w:sz w:val="17"/>
      <w:szCs w:val="17"/>
      <w:shd w:val="clear" w:color="auto" w:fill="FFFFFF"/>
    </w:rPr>
  </w:style>
  <w:style w:type="character" w:customStyle="1" w:styleId="Mencinsinresolver2">
    <w:name w:val="Mención sin resolver2"/>
    <w:basedOn w:val="Fuentedeprrafopredeter"/>
    <w:rPr>
      <w:color w:val="605E5C"/>
      <w:shd w:val="clear" w:color="auto" w:fill="E1DFDD"/>
    </w:rPr>
  </w:style>
  <w:style w:type="character" w:customStyle="1" w:styleId="SangradetextonormalCar">
    <w:name w:val="Sangría de texto normal Car"/>
    <w:basedOn w:val="Fuentedeprrafopredeter"/>
    <w:rPr>
      <w:rFonts w:ascii="Times New Roman" w:eastAsia="Times New Roman" w:hAnsi="Times New Roman" w:cs="Times New Roman"/>
      <w:lang w:eastAsia="es-ES"/>
    </w:rPr>
  </w:style>
  <w:style w:type="character" w:customStyle="1" w:styleId="EpgrafeCar">
    <w:name w:val="Epígrafe Car"/>
    <w:rPr>
      <w:rFonts w:cs="Mangal"/>
      <w:i/>
      <w:iCs/>
      <w:color w:val="1F497D"/>
      <w:kern w:val="3"/>
      <w:sz w:val="18"/>
      <w:szCs w:val="16"/>
      <w:lang w:val="es-ES" w:eastAsia="zh-CN" w:bidi="hi-IN"/>
    </w:rPr>
  </w:style>
  <w:style w:type="character" w:customStyle="1" w:styleId="Mencionar1">
    <w:name w:val="Mencionar1"/>
    <w:basedOn w:val="Fuentedeprrafopredeter"/>
    <w:rPr>
      <w:color w:val="2B579A"/>
      <w:shd w:val="clear" w:color="auto" w:fill="E1DFDD"/>
    </w:rPr>
  </w:style>
  <w:style w:type="character" w:styleId="Hipervnculovisitado">
    <w:name w:val="FollowedHyperlink"/>
    <w:basedOn w:val="Fuentedeprrafopredeter"/>
    <w:rPr>
      <w:color w:val="800080"/>
      <w:u w:val="single"/>
    </w:rPr>
  </w:style>
  <w:style w:type="character" w:styleId="Mencinsinresolver">
    <w:name w:val="Unresolved Mention"/>
    <w:basedOn w:val="Fuentedeprrafopredeter"/>
    <w:rPr>
      <w:color w:val="605E5C"/>
      <w:shd w:val="clear" w:color="auto" w:fill="E1DFDD"/>
    </w:rPr>
  </w:style>
  <w:style w:type="character" w:styleId="SmartLink">
    <w:name w:val="Smart Link"/>
    <w:basedOn w:val="Fuentedeprrafopredeter"/>
    <w:rPr>
      <w:color w:val="0000FF"/>
      <w:u w:val="single"/>
      <w:shd w:val="clear" w:color="auto" w:fill="F3F2F1"/>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hyperlink" Target="http://www.lexbase.biz/lexbase/normas/Resoluciones/Min-Transporte/2020/R0508de2020.htm" TargetMode="External"/><Relationship Id="rId18" Type="http://schemas.openxmlformats.org/officeDocument/2006/relationships/hyperlink" Target="http://www.lexbase.biz/lexbase/normas/Resoluciones/Min-Transporte/2020/R0508de2020.ht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lexbase.biz/lexbase/normas/Resoluciones/Min-Transporte/2019/R0885de2019.htm" TargetMode="External"/><Relationship Id="rId7" Type="http://schemas.openxmlformats.org/officeDocument/2006/relationships/hyperlink" Target="http://www.lexbase.biz/lexbase/normas/leyes/1993/L0105de1993.htm" TargetMode="External"/><Relationship Id="rId12" Type="http://schemas.openxmlformats.org/officeDocument/2006/relationships/hyperlink" Target="http://www.lexbase.biz/lexbase/normas/decretos/2015/D1770de2015.htm" TargetMode="External"/><Relationship Id="rId17" Type="http://schemas.openxmlformats.org/officeDocument/2006/relationships/hyperlink" Target="http://www.lexbase.biz/lexbase/normas/Resoluciones/Min-Transporte/2019/R0885de2019.htm" TargetMode="External"/><Relationship Id="rId25" Type="http://schemas.openxmlformats.org/officeDocument/2006/relationships/hyperlink" Target="http://www.lexbase.biz/lexbase/normas/Resoluciones/Min-Transporte/2019/R0885de2019.htm" TargetMode="External"/><Relationship Id="rId2" Type="http://schemas.openxmlformats.org/officeDocument/2006/relationships/styles" Target="styles.xml"/><Relationship Id="rId16" Type="http://schemas.openxmlformats.org/officeDocument/2006/relationships/hyperlink" Target="http://www.lexbase.biz/lexbase/normas/Resoluciones/Min-Transporte/2020/R0508de2020.htm" TargetMode="External"/><Relationship Id="rId20" Type="http://schemas.openxmlformats.org/officeDocument/2006/relationships/hyperlink" Target="http://www.lexbase.biz/lexbase/normas/decretos/2011/D0087de2011.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decretos/2015/D1770de2015.htm" TargetMode="External"/><Relationship Id="rId24" Type="http://schemas.openxmlformats.org/officeDocument/2006/relationships/hyperlink" Target="http://www.lexbase.biz/lexbase/normas/Resoluciones/Min-Transporte/2020/R0508de2020.htm" TargetMode="External"/><Relationship Id="rId5" Type="http://schemas.openxmlformats.org/officeDocument/2006/relationships/footnotes" Target="footnotes.xml"/><Relationship Id="rId15" Type="http://schemas.openxmlformats.org/officeDocument/2006/relationships/hyperlink" Target="http://www.lexbase.biz/lexbase/normas/Resoluciones/Min-Transporte/2019/R0885de2019.htm" TargetMode="External"/><Relationship Id="rId23" Type="http://schemas.openxmlformats.org/officeDocument/2006/relationships/hyperlink" Target="http://www.lexbase.biz/lexbase/normas/Resoluciones/Min-Transporte/2019/R0885de2019.htm" TargetMode="External"/><Relationship Id="rId28" Type="http://schemas.openxmlformats.org/officeDocument/2006/relationships/theme" Target="theme/theme1.xml"/><Relationship Id="rId10" Type="http://schemas.openxmlformats.org/officeDocument/2006/relationships/hyperlink" Target="http://www.lexbase.biz/lexbase/normas/decretos/2015/D1770de2015.htm" TargetMode="External"/><Relationship Id="rId19" Type="http://schemas.openxmlformats.org/officeDocument/2006/relationships/hyperlink" Target="http://www.lexbase.biz/lexbase/normas/Resoluciones/Min-Transporte/2019/R0885de2019.htm" TargetMode="Externa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hyperlink" Target="http://www.lexbase.biz/lexbase/normas/Resoluciones/Min-Transporte/2019/R0885de2019.htm" TargetMode="External"/><Relationship Id="rId22" Type="http://schemas.openxmlformats.org/officeDocument/2006/relationships/hyperlink" Target="http://www.lexbase.biz/lexbase/normas/Resoluciones/Min-Transporte/2020/R0508de2020.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exbase.biz/lexbase/normas/Resoluciones/Min-Transporte/2006/R1070de2006.htm" TargetMode="External"/><Relationship Id="rId2" Type="http://schemas.openxmlformats.org/officeDocument/2006/relationships/hyperlink" Target="http://www.lexbase.biz/lexbase/normas/Resoluciones/Min-Transporte/2019/R0885de2019.htm" TargetMode="External"/><Relationship Id="rId1" Type="http://schemas.openxmlformats.org/officeDocument/2006/relationships/image" Target="media/image1.png"/><Relationship Id="rId4" Type="http://schemas.openxmlformats.org/officeDocument/2006/relationships/hyperlink" Target="http://www.lexbase.biz/lexbase/normas/Resoluciones/Min-Transporte/2015/R3378de2015.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2786</Words>
  <Characters>15323</Characters>
  <Application>Microsoft Office Word</Application>
  <DocSecurity>0</DocSecurity>
  <Lines>127</Lines>
  <Paragraphs>36</Paragraphs>
  <ScaleCrop>false</ScaleCrop>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2022-02-24T20:54:00Z</dcterms:created>
  <dcterms:modified xsi:type="dcterms:W3CDTF">2022-02-24T20:54:00Z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