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6284" w:rsidRDefault="00000000">
      <w:pPr>
        <w:tabs>
          <w:tab w:val="left" w:pos="3767"/>
        </w:tabs>
        <w:ind w:left="-142" w:right="-86"/>
        <w:jc w:val="center"/>
        <w:rPr>
          <w:rFonts w:ascii="Work Sans" w:eastAsia="Caladea" w:hAnsi="Work Sans" w:cs="Caladea"/>
          <w:b/>
          <w:bCs/>
          <w:kern w:val="0"/>
          <w:sz w:val="20"/>
          <w:szCs w:val="20"/>
          <w:lang w:eastAsia="en-US" w:bidi="ar-SA"/>
        </w:rPr>
      </w:pPr>
      <w:r>
        <w:rPr>
          <w:rFonts w:ascii="Work Sans" w:eastAsia="Caladea" w:hAnsi="Work Sans" w:cs="Caladea"/>
          <w:b/>
          <w:bCs/>
          <w:kern w:val="0"/>
          <w:sz w:val="20"/>
          <w:szCs w:val="20"/>
          <w:lang w:eastAsia="en-US" w:bidi="ar-SA"/>
        </w:rPr>
        <w:t>EL MINISTRO DE TRANSPORTE</w:t>
      </w:r>
    </w:p>
    <w:p w:rsidR="00136284" w:rsidRDefault="00136284">
      <w:pPr>
        <w:autoSpaceDE w:val="0"/>
        <w:ind w:right="123"/>
        <w:textAlignment w:val="auto"/>
        <w:rPr>
          <w:rFonts w:ascii="Work Sans" w:eastAsia="Caladea" w:hAnsi="Work Sans" w:cs="Caladea"/>
          <w:b/>
          <w:kern w:val="0"/>
          <w:sz w:val="20"/>
          <w:szCs w:val="20"/>
          <w:lang w:eastAsia="en-US" w:bidi="ar-SA"/>
        </w:rPr>
      </w:pPr>
    </w:p>
    <w:p w:rsidR="00136284" w:rsidRDefault="00000000">
      <w:pPr>
        <w:autoSpaceDE w:val="0"/>
        <w:ind w:right="123"/>
        <w:jc w:val="both"/>
        <w:textAlignment w:val="auto"/>
      </w:pPr>
      <w:r>
        <w:rPr>
          <w:rFonts w:ascii="Work Sans" w:eastAsia="Caladea" w:hAnsi="Work Sans" w:cs="Caladea"/>
          <w:kern w:val="0"/>
          <w:sz w:val="20"/>
          <w:szCs w:val="20"/>
          <w:lang w:eastAsia="en-US" w:bidi="ar-SA"/>
        </w:rPr>
        <w:t>En</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ejercicio</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las</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facultades</w:t>
      </w:r>
      <w:r>
        <w:rPr>
          <w:rFonts w:ascii="Work Sans" w:eastAsia="Caladea" w:hAnsi="Work Sans" w:cs="Caladea"/>
          <w:spacing w:val="-4"/>
          <w:kern w:val="0"/>
          <w:sz w:val="20"/>
          <w:szCs w:val="20"/>
          <w:lang w:eastAsia="en-US" w:bidi="ar-SA"/>
        </w:rPr>
        <w:t xml:space="preserve"> </w:t>
      </w:r>
      <w:r>
        <w:rPr>
          <w:rFonts w:ascii="Work Sans" w:eastAsia="Caladea" w:hAnsi="Work Sans" w:cs="Caladea"/>
          <w:kern w:val="0"/>
          <w:sz w:val="20"/>
          <w:szCs w:val="20"/>
          <w:lang w:eastAsia="en-US" w:bidi="ar-SA"/>
        </w:rPr>
        <w:t>legales</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y</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en</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especial</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las</w:t>
      </w:r>
      <w:r>
        <w:rPr>
          <w:rFonts w:ascii="Work Sans" w:eastAsia="Caladea" w:hAnsi="Work Sans" w:cs="Caladea"/>
          <w:spacing w:val="-4"/>
          <w:kern w:val="0"/>
          <w:sz w:val="20"/>
          <w:szCs w:val="20"/>
          <w:lang w:eastAsia="en-US" w:bidi="ar-SA"/>
        </w:rPr>
        <w:t xml:space="preserve"> </w:t>
      </w:r>
      <w:r>
        <w:rPr>
          <w:rFonts w:ascii="Work Sans" w:eastAsia="Caladea" w:hAnsi="Work Sans" w:cs="Caladea"/>
          <w:kern w:val="0"/>
          <w:sz w:val="20"/>
          <w:szCs w:val="20"/>
          <w:lang w:eastAsia="en-US" w:bidi="ar-SA"/>
        </w:rPr>
        <w:t>conferidas</w:t>
      </w:r>
      <w:r>
        <w:rPr>
          <w:rFonts w:ascii="Work Sans" w:eastAsia="Caladea" w:hAnsi="Work Sans" w:cs="Caladea"/>
          <w:spacing w:val="-4"/>
          <w:kern w:val="0"/>
          <w:sz w:val="20"/>
          <w:szCs w:val="20"/>
          <w:lang w:eastAsia="en-US" w:bidi="ar-SA"/>
        </w:rPr>
        <w:t xml:space="preserve"> </w:t>
      </w:r>
      <w:r>
        <w:rPr>
          <w:rFonts w:ascii="Work Sans" w:eastAsia="Caladea" w:hAnsi="Work Sans" w:cs="Caladea"/>
          <w:kern w:val="0"/>
          <w:sz w:val="20"/>
          <w:szCs w:val="20"/>
          <w:lang w:eastAsia="en-US" w:bidi="ar-SA"/>
        </w:rPr>
        <w:t>por</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el</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artículo</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21</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la</w:t>
      </w:r>
      <w:r>
        <w:rPr>
          <w:rFonts w:ascii="Work Sans" w:eastAsia="Caladea" w:hAnsi="Work Sans" w:cs="Caladea"/>
          <w:spacing w:val="-5"/>
          <w:kern w:val="0"/>
          <w:sz w:val="20"/>
          <w:szCs w:val="20"/>
          <w:lang w:eastAsia="en-US" w:bidi="ar-SA"/>
        </w:rPr>
        <w:t xml:space="preserve"> </w:t>
      </w:r>
      <w:r>
        <w:rPr>
          <w:rFonts w:ascii="Work Sans" w:eastAsia="Caladea" w:hAnsi="Work Sans" w:cs="Caladea"/>
          <w:kern w:val="0"/>
          <w:sz w:val="20"/>
          <w:szCs w:val="20"/>
          <w:lang w:eastAsia="en-US" w:bidi="ar-SA"/>
        </w:rPr>
        <w:t>Ley 105</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1993</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modificado</w:t>
      </w:r>
      <w:r>
        <w:rPr>
          <w:rFonts w:ascii="Work Sans" w:eastAsia="Caladea" w:hAnsi="Work Sans" w:cs="Caladea"/>
          <w:spacing w:val="4"/>
          <w:kern w:val="0"/>
          <w:sz w:val="20"/>
          <w:szCs w:val="20"/>
          <w:lang w:eastAsia="en-US" w:bidi="ar-SA"/>
        </w:rPr>
        <w:t xml:space="preserve"> </w:t>
      </w:r>
      <w:r>
        <w:rPr>
          <w:rFonts w:ascii="Work Sans" w:eastAsia="Caladea" w:hAnsi="Work Sans" w:cs="Caladea"/>
          <w:kern w:val="0"/>
          <w:sz w:val="20"/>
          <w:szCs w:val="20"/>
          <w:lang w:eastAsia="en-US" w:bidi="ar-SA"/>
        </w:rPr>
        <w:t>parcialmente</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por</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el</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artículo</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1</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la</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Ley</w:t>
      </w:r>
      <w:r>
        <w:rPr>
          <w:rFonts w:ascii="Work Sans" w:eastAsia="Caladea" w:hAnsi="Work Sans" w:cs="Caladea"/>
          <w:spacing w:val="6"/>
          <w:kern w:val="0"/>
          <w:sz w:val="20"/>
          <w:szCs w:val="20"/>
          <w:lang w:eastAsia="en-US" w:bidi="ar-SA"/>
        </w:rPr>
        <w:t xml:space="preserve"> </w:t>
      </w:r>
      <w:r>
        <w:rPr>
          <w:rFonts w:ascii="Work Sans" w:eastAsia="Caladea" w:hAnsi="Work Sans" w:cs="Caladea"/>
          <w:kern w:val="0"/>
          <w:sz w:val="20"/>
          <w:szCs w:val="20"/>
          <w:lang w:eastAsia="en-US" w:bidi="ar-SA"/>
        </w:rPr>
        <w:t>787</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de</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2002,</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el</w:t>
      </w:r>
      <w:r>
        <w:rPr>
          <w:rFonts w:ascii="Work Sans" w:eastAsia="Caladea" w:hAnsi="Work Sans" w:cs="Caladea"/>
          <w:spacing w:val="7"/>
          <w:kern w:val="0"/>
          <w:sz w:val="20"/>
          <w:szCs w:val="20"/>
          <w:lang w:eastAsia="en-US" w:bidi="ar-SA"/>
        </w:rPr>
        <w:t xml:space="preserve"> </w:t>
      </w:r>
      <w:r>
        <w:rPr>
          <w:rFonts w:ascii="Work Sans" w:eastAsia="Caladea" w:hAnsi="Work Sans" w:cs="Caladea"/>
          <w:kern w:val="0"/>
          <w:sz w:val="20"/>
          <w:szCs w:val="20"/>
          <w:lang w:eastAsia="en-US" w:bidi="ar-SA"/>
        </w:rPr>
        <w:t xml:space="preserve">numeral 6.14 del artículo 6 del Decreto 087 de 2011, y </w:t>
      </w:r>
    </w:p>
    <w:p w:rsidR="00136284" w:rsidRDefault="00136284">
      <w:pPr>
        <w:autoSpaceDE w:val="0"/>
        <w:ind w:right="123"/>
        <w:jc w:val="both"/>
        <w:textAlignment w:val="auto"/>
        <w:rPr>
          <w:rFonts w:ascii="Work Sans" w:eastAsia="Caladea" w:hAnsi="Work Sans" w:cs="Caladea"/>
          <w:kern w:val="0"/>
          <w:sz w:val="20"/>
          <w:szCs w:val="20"/>
          <w:lang w:eastAsia="en-US" w:bidi="ar-SA"/>
        </w:rPr>
      </w:pPr>
    </w:p>
    <w:p w:rsidR="00136284" w:rsidRDefault="00000000">
      <w:pPr>
        <w:autoSpaceDE w:val="0"/>
        <w:ind w:right="123"/>
        <w:jc w:val="center"/>
        <w:textAlignment w:val="auto"/>
        <w:outlineLvl w:val="0"/>
        <w:rPr>
          <w:rFonts w:ascii="Work Sans" w:eastAsia="Caladea" w:hAnsi="Work Sans" w:cs="Caladea"/>
          <w:b/>
          <w:bCs/>
          <w:kern w:val="0"/>
          <w:sz w:val="20"/>
          <w:szCs w:val="20"/>
          <w:lang w:eastAsia="en-US" w:bidi="ar-SA"/>
        </w:rPr>
      </w:pPr>
      <w:r>
        <w:rPr>
          <w:rFonts w:ascii="Work Sans" w:eastAsia="Caladea" w:hAnsi="Work Sans" w:cs="Caladea"/>
          <w:b/>
          <w:bCs/>
          <w:kern w:val="0"/>
          <w:sz w:val="20"/>
          <w:szCs w:val="20"/>
          <w:lang w:eastAsia="en-US" w:bidi="ar-SA"/>
        </w:rPr>
        <w:t>CONSIDERANDO</w:t>
      </w:r>
    </w:p>
    <w:p w:rsidR="00136284" w:rsidRDefault="00136284">
      <w:pPr>
        <w:autoSpaceDE w:val="0"/>
        <w:ind w:right="123"/>
        <w:jc w:val="center"/>
        <w:textAlignment w:val="auto"/>
        <w:outlineLvl w:val="0"/>
        <w:rPr>
          <w:rFonts w:ascii="Work Sans" w:eastAsia="Caladea" w:hAnsi="Work Sans" w:cs="Caladea"/>
          <w:b/>
          <w:bCs/>
          <w:kern w:val="0"/>
          <w:sz w:val="20"/>
          <w:szCs w:val="20"/>
          <w:lang w:eastAsia="en-US" w:bidi="ar-SA"/>
        </w:rPr>
      </w:pPr>
    </w:p>
    <w:p w:rsidR="00136284" w:rsidRDefault="00000000">
      <w:pPr>
        <w:widowControl/>
        <w:tabs>
          <w:tab w:val="left" w:pos="0"/>
        </w:tabs>
        <w:jc w:val="both"/>
        <w:textAlignment w:val="auto"/>
      </w:pPr>
      <w:bookmarkStart w:id="0" w:name="_Hlk124415411"/>
      <w:r>
        <w:rPr>
          <w:rFonts w:ascii="Work Sans" w:eastAsia="DengXian Light" w:hAnsi="Work Sans" w:cs="Arial"/>
          <w:color w:val="000000"/>
          <w:kern w:val="0"/>
          <w:sz w:val="20"/>
          <w:szCs w:val="20"/>
          <w:lang w:eastAsia="es-ES" w:bidi="ar-SA"/>
        </w:rPr>
        <w:t xml:space="preserve">Que la Ley 105 de 1993 </w:t>
      </w:r>
      <w:r>
        <w:rPr>
          <w:rFonts w:ascii="Work Sans" w:eastAsia="DengXian Light" w:hAnsi="Work Sans" w:cs="Arial"/>
          <w:i/>
          <w:color w:val="000000"/>
          <w:kern w:val="0"/>
          <w:sz w:val="20"/>
          <w:szCs w:val="20"/>
          <w:lang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Work Sans" w:eastAsia="DengXian Light" w:hAnsi="Work Sans" w:cs="Arial"/>
          <w:color w:val="000000"/>
          <w:kern w:val="0"/>
          <w:sz w:val="20"/>
          <w:szCs w:val="20"/>
          <w:lang w:eastAsia="es-ES" w:bidi="ar-SA"/>
        </w:rPr>
        <w:t xml:space="preserve"> en su artículo 21 </w:t>
      </w:r>
      <w:r>
        <w:rPr>
          <w:rFonts w:ascii="Work Sans" w:hAnsi="Work Sans" w:cs="Arial"/>
          <w:color w:val="000000"/>
          <w:sz w:val="20"/>
          <w:szCs w:val="20"/>
          <w:lang w:bidi="ar-SA"/>
        </w:rPr>
        <w:t xml:space="preserve">modificado por el artículo 1° de la </w:t>
      </w:r>
      <w:hyperlink r:id="rId7" w:tooltip="Haga clic para abrir TODA la Ley 787 de 2002" w:history="1">
        <w:r>
          <w:rPr>
            <w:rFonts w:ascii="Work Sans" w:hAnsi="Work Sans" w:cs="Arial"/>
            <w:color w:val="000000"/>
            <w:sz w:val="20"/>
            <w:szCs w:val="20"/>
            <w:u w:val="single"/>
            <w:lang w:bidi="ar-SA"/>
          </w:rPr>
          <w:t>Ley 787 de 2002</w:t>
        </w:r>
      </w:hyperlink>
      <w:r>
        <w:rPr>
          <w:rFonts w:ascii="Work Sans" w:hAnsi="Work Sans" w:cs="Arial"/>
          <w:color w:val="000000"/>
          <w:sz w:val="20"/>
          <w:szCs w:val="20"/>
          <w:lang w:bidi="ar-SA"/>
        </w:rPr>
        <w:t xml:space="preserve">, </w:t>
      </w:r>
      <w:r>
        <w:rPr>
          <w:rFonts w:ascii="Work Sans" w:eastAsia="DengXian Light" w:hAnsi="Work Sans" w:cs="Arial"/>
          <w:color w:val="000000"/>
          <w:kern w:val="0"/>
          <w:sz w:val="20"/>
          <w:szCs w:val="20"/>
          <w:lang w:eastAsia="es-ES" w:bidi="ar-SA"/>
        </w:rPr>
        <w:t>establece en cuanto a tasas, tarifas y peajes</w:t>
      </w:r>
      <w:r>
        <w:rPr>
          <w:rFonts w:ascii="Work Sans" w:eastAsia="DengXian Light" w:hAnsi="Work Sans" w:cs="Arial"/>
          <w:iCs/>
          <w:color w:val="000000"/>
          <w:sz w:val="20"/>
          <w:szCs w:val="20"/>
        </w:rPr>
        <w:t xml:space="preserve"> en la infraestructura de transporte a cargo de la Nación, lo siguiente</w:t>
      </w:r>
      <w:r>
        <w:rPr>
          <w:rFonts w:ascii="Work Sans" w:eastAsia="DengXian Light" w:hAnsi="Work Sans" w:cs="Arial"/>
          <w:color w:val="000000"/>
          <w:kern w:val="0"/>
          <w:sz w:val="20"/>
          <w:szCs w:val="20"/>
          <w:lang w:eastAsia="es-ES" w:bidi="ar-SA"/>
        </w:rPr>
        <w:t>:</w:t>
      </w:r>
    </w:p>
    <w:p w:rsidR="00136284" w:rsidRDefault="00136284">
      <w:pPr>
        <w:widowControl/>
        <w:tabs>
          <w:tab w:val="left" w:pos="0"/>
        </w:tabs>
        <w:jc w:val="both"/>
        <w:textAlignment w:val="auto"/>
        <w:rPr>
          <w:rFonts w:ascii="Work Sans" w:eastAsia="DengXian Light" w:hAnsi="Work Sans" w:cs="Arial"/>
          <w:color w:val="000000"/>
          <w:kern w:val="0"/>
          <w:sz w:val="20"/>
          <w:szCs w:val="20"/>
          <w:lang w:eastAsia="es-ES" w:bidi="ar-SA"/>
        </w:rPr>
      </w:pPr>
    </w:p>
    <w:p w:rsidR="00136284" w:rsidRDefault="00000000">
      <w:pPr>
        <w:tabs>
          <w:tab w:val="left" w:pos="8222"/>
        </w:tabs>
        <w:ind w:left="426" w:right="616"/>
        <w:jc w:val="both"/>
        <w:textAlignment w:val="auto"/>
      </w:pPr>
      <w:r>
        <w:rPr>
          <w:rFonts w:ascii="Work Sans" w:eastAsia="DengXian Light" w:hAnsi="Work Sans" w:cs="Arial"/>
          <w:i/>
          <w:color w:val="000000"/>
          <w:kern w:val="0"/>
          <w:sz w:val="18"/>
          <w:szCs w:val="18"/>
          <w:lang w:eastAsia="es-ES" w:bidi="ar-SA"/>
        </w:rPr>
        <w:t xml:space="preserve">“Artículo 21. </w:t>
      </w:r>
      <w:r>
        <w:rPr>
          <w:rFonts w:ascii="Work Sans" w:eastAsia="DengXian Light" w:hAnsi="Work Sans" w:cs="Arial"/>
          <w:i/>
          <w:iCs/>
          <w:color w:val="000000"/>
          <w:sz w:val="18"/>
          <w:szCs w:val="18"/>
        </w:rPr>
        <w:t>Tasas, tarifas y peajes en la infraestructura de transporte a cargo de la Nación.</w:t>
      </w:r>
      <w:r>
        <w:rPr>
          <w:rFonts w:ascii="Work Sans" w:eastAsia="DengXian Light" w:hAnsi="Work Sans" w:cs="Arial"/>
          <w:i/>
          <w:color w:val="000000"/>
          <w:sz w:val="18"/>
          <w:szCs w:val="18"/>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136284" w:rsidRDefault="00136284">
      <w:pPr>
        <w:tabs>
          <w:tab w:val="left" w:pos="8222"/>
        </w:tabs>
        <w:ind w:left="426" w:right="616"/>
        <w:jc w:val="both"/>
        <w:textAlignment w:val="auto"/>
        <w:rPr>
          <w:rFonts w:ascii="Work Sans" w:eastAsia="DengXian Light" w:hAnsi="Work Sans" w:cs="Arial"/>
          <w:i/>
          <w:color w:val="000000"/>
          <w:sz w:val="18"/>
          <w:szCs w:val="18"/>
        </w:rPr>
      </w:pP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Para estos efectos, la Nación establecerá peajes, tarifas y tasas sobre el uso de la infraestructura nacional de transporte y los recursos provenientes de su cobro se usarán exclusivamente para ese modo de transporte.</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Todos los servicios que la Nación o sus entidades descentralizadas presten a los usuarios accesoriamente a la utilización de la infraestructura Nacional de Transporte, estarán sujetos al cobro de tasas o tarifas.</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Para la fijación y cobro de tasas, tarifas y peajes, se observarán los siguientes principios:</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a) Los ingresos provenientes de la utilización de la infraestructura de transporte, deberán garantizar su adecuado mantenimiento, operación y desarrollo;</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Pr>
          <w:rFonts w:ascii="Work Sans" w:eastAsia="DengXian Light" w:hAnsi="Work Sans"/>
          <w:i/>
          <w:color w:val="000000"/>
          <w:sz w:val="18"/>
          <w:szCs w:val="18"/>
        </w:rPr>
        <w:t>Inpec</w:t>
      </w:r>
      <w:proofErr w:type="spellEnd"/>
      <w:r>
        <w:rPr>
          <w:rFonts w:ascii="Work Sans" w:eastAsia="DengXian Light" w:hAnsi="Work Sans" w:cs="Arial"/>
          <w:i/>
          <w:color w:val="000000"/>
          <w:sz w:val="18"/>
          <w:szCs w:val="18"/>
        </w:rPr>
        <w:t xml:space="preserve">, vehículos oficiales del (DAS) Departamento Administrativo de Seguridad y de las demás instituciones que prestan funciones de Policía Judicial; </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c) El valor de las tasas o tarifas será determinado por la autoridad competente; su recaudo estará a cargo de las entidades públicas o privadas, responsables de la prestación del servicio;</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d) Las tasas de peaje serán diferenciales, es decir, se fijarán en proporción a las distancias recorridas, las características vehiculares y sus respectivos costos de operación;</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lastRenderedPageBreak/>
        <w:t>e) Para la determinación del valor del peaje y de las tasas de valoración en las vías nacionales, se tendrá en cuenta un criterio de equidad fiscal.</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Parágrafo 1°. La Nación podrá en caso de necesidad y previo concepto del Ministerio de Transporte, apropiar recursos del Presupuesto Nacional para el mantenimiento, operación y desarrollo de la infraestructura de transporte.</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Parágrafo 3°. Facúltese a las Entidades Territoriales para decretar las exenciones contempladas en el literal b), del artículo 1°.</w:t>
      </w:r>
    </w:p>
    <w:p w:rsidR="00136284" w:rsidRDefault="00000000">
      <w:pPr>
        <w:tabs>
          <w:tab w:val="left" w:pos="8222"/>
        </w:tabs>
        <w:ind w:left="426" w:right="616"/>
        <w:jc w:val="both"/>
        <w:textAlignment w:val="auto"/>
      </w:pPr>
      <w:r>
        <w:rPr>
          <w:rFonts w:ascii="Work Sans" w:eastAsia="DengXian Light" w:hAnsi="Work Sans" w:cs="Arial"/>
          <w:i/>
          <w:color w:val="000000"/>
          <w:sz w:val="18"/>
          <w:szCs w:val="18"/>
          <w:lang w:val="es-MX"/>
        </w:rPr>
        <w:t> </w:t>
      </w:r>
    </w:p>
    <w:p w:rsidR="00136284" w:rsidRDefault="00000000">
      <w:pPr>
        <w:tabs>
          <w:tab w:val="left" w:pos="8222"/>
        </w:tabs>
        <w:ind w:left="426" w:right="616"/>
        <w:jc w:val="both"/>
        <w:textAlignment w:val="auto"/>
        <w:rPr>
          <w:rFonts w:ascii="Work Sans" w:eastAsia="DengXian Light" w:hAnsi="Work Sans" w:cs="Arial"/>
          <w:i/>
          <w:color w:val="000000"/>
          <w:sz w:val="18"/>
          <w:szCs w:val="18"/>
        </w:rPr>
      </w:pPr>
      <w:r>
        <w:rPr>
          <w:rFonts w:ascii="Work Sans" w:eastAsia="DengXian Light" w:hAnsi="Work Sans" w:cs="Arial"/>
          <w:i/>
          <w:color w:val="000000"/>
          <w:sz w:val="18"/>
          <w:szCs w:val="18"/>
        </w:rPr>
        <w:t>Parágrafo 4°. Se entiende también las vías “Concesionadas”.</w:t>
      </w:r>
    </w:p>
    <w:bookmarkEnd w:id="0"/>
    <w:p w:rsidR="00136284" w:rsidRDefault="00136284">
      <w:pPr>
        <w:widowControl/>
        <w:tabs>
          <w:tab w:val="left" w:pos="0"/>
        </w:tabs>
        <w:ind w:left="709" w:right="709"/>
        <w:jc w:val="both"/>
        <w:textAlignment w:val="auto"/>
        <w:rPr>
          <w:rFonts w:ascii="Work Sans" w:eastAsia="DengXian Light" w:hAnsi="Work Sans" w:cs="Arial"/>
          <w:i/>
          <w:color w:val="000000"/>
          <w:kern w:val="0"/>
          <w:sz w:val="20"/>
          <w:szCs w:val="20"/>
          <w:lang w:eastAsia="es-ES" w:bidi="ar-SA"/>
        </w:rPr>
      </w:pPr>
    </w:p>
    <w:p w:rsidR="00136284" w:rsidRDefault="00000000">
      <w:pPr>
        <w:widowControl/>
        <w:tabs>
          <w:tab w:val="left" w:pos="0"/>
        </w:tabs>
        <w:ind w:right="49"/>
        <w:jc w:val="both"/>
        <w:textAlignment w:val="auto"/>
      </w:pPr>
      <w:bookmarkStart w:id="1" w:name="_Hlk124415431"/>
      <w:r>
        <w:rPr>
          <w:rFonts w:ascii="Work Sans" w:eastAsia="DengXian Light" w:hAnsi="Work Sans" w:cs="Arial"/>
          <w:color w:val="000000"/>
          <w:kern w:val="0"/>
          <w:sz w:val="20"/>
          <w:szCs w:val="20"/>
          <w:lang w:eastAsia="es-ES" w:bidi="ar-SA"/>
        </w:rPr>
        <w:t>Que el Decreto 087 de 2011 “</w:t>
      </w:r>
      <w:r>
        <w:rPr>
          <w:rFonts w:ascii="Work Sans" w:eastAsia="DengXian Light" w:hAnsi="Work Sans" w:cs="Arial"/>
          <w:i/>
          <w:color w:val="000000"/>
          <w:kern w:val="0"/>
          <w:sz w:val="20"/>
          <w:szCs w:val="20"/>
          <w:lang w:eastAsia="es-ES" w:bidi="ar-SA"/>
        </w:rPr>
        <w:t>Por el cual se modifica la estructura del Ministerio de Transporte, y se determinan las funciones de sus dependencias</w:t>
      </w:r>
      <w:r>
        <w:rPr>
          <w:rFonts w:ascii="Work Sans" w:eastAsia="DengXian Light" w:hAnsi="Work Sans" w:cs="Arial"/>
          <w:color w:val="000000"/>
          <w:kern w:val="0"/>
          <w:sz w:val="20"/>
          <w:szCs w:val="20"/>
          <w:lang w:eastAsia="es-ES" w:bidi="ar-SA"/>
        </w:rPr>
        <w:t xml:space="preserve">” establece que son funciones del Despacho del </w:t>
      </w:r>
      <w:proofErr w:type="gramStart"/>
      <w:r>
        <w:rPr>
          <w:rFonts w:ascii="Work Sans" w:eastAsia="DengXian Light" w:hAnsi="Work Sans" w:cs="Arial"/>
          <w:color w:val="000000"/>
          <w:kern w:val="0"/>
          <w:sz w:val="20"/>
          <w:szCs w:val="20"/>
          <w:lang w:eastAsia="es-ES" w:bidi="ar-SA"/>
        </w:rPr>
        <w:t>Ministro</w:t>
      </w:r>
      <w:proofErr w:type="gramEnd"/>
      <w:r>
        <w:rPr>
          <w:rFonts w:ascii="Work Sans" w:eastAsia="DengXian Light" w:hAnsi="Work Sans" w:cs="Arial"/>
          <w:color w:val="000000"/>
          <w:kern w:val="0"/>
          <w:sz w:val="20"/>
          <w:szCs w:val="20"/>
          <w:lang w:eastAsia="es-ES" w:bidi="ar-SA"/>
        </w:rPr>
        <w:t>, las siguientes:</w:t>
      </w:r>
    </w:p>
    <w:p w:rsidR="00136284" w:rsidRDefault="00136284">
      <w:pPr>
        <w:widowControl/>
        <w:tabs>
          <w:tab w:val="left" w:pos="0"/>
        </w:tabs>
        <w:ind w:left="709" w:right="709"/>
        <w:jc w:val="both"/>
        <w:textAlignment w:val="auto"/>
        <w:rPr>
          <w:rFonts w:ascii="Work Sans" w:eastAsia="DengXian Light" w:hAnsi="Work Sans" w:cs="Arial"/>
          <w:i/>
          <w:color w:val="000000"/>
          <w:kern w:val="0"/>
          <w:sz w:val="20"/>
          <w:szCs w:val="20"/>
          <w:lang w:eastAsia="es-ES" w:bidi="ar-SA"/>
        </w:rPr>
      </w:pPr>
    </w:p>
    <w:p w:rsidR="00136284" w:rsidRDefault="00000000">
      <w:pPr>
        <w:ind w:left="709" w:right="623"/>
        <w:jc w:val="both"/>
        <w:textAlignment w:val="auto"/>
        <w:rPr>
          <w:rFonts w:ascii="Work Sans" w:eastAsia="DengXian Light" w:hAnsi="Work Sans" w:cs="Arial"/>
          <w:i/>
          <w:color w:val="000000"/>
          <w:kern w:val="0"/>
          <w:sz w:val="18"/>
          <w:szCs w:val="18"/>
          <w:lang w:eastAsia="es-ES" w:bidi="ar-SA"/>
        </w:rPr>
      </w:pPr>
      <w:r>
        <w:rPr>
          <w:rFonts w:ascii="Work Sans" w:eastAsia="DengXian Light" w:hAnsi="Work Sans" w:cs="Arial"/>
          <w:i/>
          <w:color w:val="000000"/>
          <w:kern w:val="0"/>
          <w:sz w:val="18"/>
          <w:szCs w:val="18"/>
          <w:lang w:eastAsia="es-ES" w:bidi="ar-SA"/>
        </w:rPr>
        <w:t xml:space="preserve">“Artículo 6°. Funciones del Despacho del </w:t>
      </w:r>
      <w:proofErr w:type="gramStart"/>
      <w:r>
        <w:rPr>
          <w:rFonts w:ascii="Work Sans" w:eastAsia="DengXian Light" w:hAnsi="Work Sans" w:cs="Arial"/>
          <w:i/>
          <w:color w:val="000000"/>
          <w:kern w:val="0"/>
          <w:sz w:val="18"/>
          <w:szCs w:val="18"/>
          <w:lang w:eastAsia="es-ES" w:bidi="ar-SA"/>
        </w:rPr>
        <w:t>Ministro</w:t>
      </w:r>
      <w:proofErr w:type="gramEnd"/>
      <w:r>
        <w:rPr>
          <w:rFonts w:ascii="Work Sans" w:eastAsia="DengXian Light" w:hAnsi="Work Sans" w:cs="Arial"/>
          <w:i/>
          <w:color w:val="000000"/>
          <w:kern w:val="0"/>
          <w:sz w:val="18"/>
          <w:szCs w:val="18"/>
          <w:lang w:eastAsia="es-ES" w:bidi="ar-SA"/>
        </w:rPr>
        <w:t xml:space="preserve"> de Transporte. Son funciones del Despacho del </w:t>
      </w:r>
      <w:proofErr w:type="gramStart"/>
      <w:r>
        <w:rPr>
          <w:rFonts w:ascii="Work Sans" w:eastAsia="DengXian Light" w:hAnsi="Work Sans" w:cs="Arial"/>
          <w:i/>
          <w:color w:val="000000"/>
          <w:kern w:val="0"/>
          <w:sz w:val="18"/>
          <w:szCs w:val="18"/>
          <w:lang w:eastAsia="es-ES" w:bidi="ar-SA"/>
        </w:rPr>
        <w:t>Ministro</w:t>
      </w:r>
      <w:proofErr w:type="gramEnd"/>
      <w:r>
        <w:rPr>
          <w:rFonts w:ascii="Work Sans" w:eastAsia="DengXian Light" w:hAnsi="Work Sans" w:cs="Arial"/>
          <w:i/>
          <w:color w:val="000000"/>
          <w:kern w:val="0"/>
          <w:sz w:val="18"/>
          <w:szCs w:val="18"/>
          <w:lang w:eastAsia="es-ES" w:bidi="ar-SA"/>
        </w:rPr>
        <w:t xml:space="preserve"> de Transporte, además de las señaladas por la Constitución Política y la ley, las siguientes:</w:t>
      </w:r>
    </w:p>
    <w:p w:rsidR="00136284" w:rsidRDefault="00136284">
      <w:pPr>
        <w:widowControl/>
        <w:tabs>
          <w:tab w:val="left" w:pos="0"/>
        </w:tabs>
        <w:ind w:left="709" w:right="623"/>
        <w:jc w:val="both"/>
        <w:textAlignment w:val="auto"/>
        <w:rPr>
          <w:rFonts w:ascii="Work Sans" w:eastAsia="DejaVu Sans" w:hAnsi="Work Sans" w:cs="Arial"/>
          <w:i/>
          <w:kern w:val="0"/>
          <w:sz w:val="18"/>
          <w:szCs w:val="18"/>
          <w:lang w:val="es-CO" w:eastAsia="es-CO" w:bidi="ar-SA"/>
        </w:rPr>
      </w:pPr>
    </w:p>
    <w:p w:rsidR="00136284" w:rsidRDefault="00000000">
      <w:pPr>
        <w:widowControl/>
        <w:tabs>
          <w:tab w:val="left" w:pos="0"/>
        </w:tabs>
        <w:ind w:left="709" w:right="623"/>
        <w:jc w:val="both"/>
        <w:textAlignment w:val="auto"/>
        <w:rPr>
          <w:rFonts w:ascii="Work Sans" w:eastAsia="DejaVu Sans" w:hAnsi="Work Sans" w:cs="Arial"/>
          <w:i/>
          <w:kern w:val="0"/>
          <w:sz w:val="18"/>
          <w:szCs w:val="18"/>
          <w:lang w:val="es-CO" w:eastAsia="es-CO" w:bidi="ar-SA"/>
        </w:rPr>
      </w:pPr>
      <w:r>
        <w:rPr>
          <w:rFonts w:ascii="Work Sans" w:eastAsia="DejaVu Sans" w:hAnsi="Work Sans" w:cs="Arial"/>
          <w:i/>
          <w:kern w:val="0"/>
          <w:sz w:val="18"/>
          <w:szCs w:val="18"/>
          <w:lang w:val="es-CO" w:eastAsia="es-CO" w:bidi="ar-SA"/>
        </w:rPr>
        <w:t>(…)</w:t>
      </w:r>
    </w:p>
    <w:p w:rsidR="00136284" w:rsidRDefault="00136284">
      <w:pPr>
        <w:widowControl/>
        <w:tabs>
          <w:tab w:val="left" w:pos="0"/>
        </w:tabs>
        <w:ind w:left="709" w:right="623"/>
        <w:jc w:val="both"/>
        <w:textAlignment w:val="auto"/>
        <w:rPr>
          <w:rFonts w:ascii="Work Sans" w:eastAsia="DejaVu Sans" w:hAnsi="Work Sans" w:cs="Arial"/>
          <w:i/>
          <w:kern w:val="0"/>
          <w:sz w:val="18"/>
          <w:szCs w:val="18"/>
          <w:lang w:val="es-CO" w:eastAsia="es-CO" w:bidi="ar-SA"/>
        </w:rPr>
      </w:pPr>
    </w:p>
    <w:p w:rsidR="00136284" w:rsidRDefault="00000000">
      <w:pPr>
        <w:widowControl/>
        <w:tabs>
          <w:tab w:val="left" w:pos="0"/>
        </w:tabs>
        <w:ind w:left="709" w:right="623"/>
        <w:jc w:val="both"/>
        <w:textAlignment w:val="auto"/>
        <w:rPr>
          <w:rFonts w:ascii="Work Sans" w:eastAsia="DejaVu Sans" w:hAnsi="Work Sans" w:cs="Arial"/>
          <w:i/>
          <w:kern w:val="0"/>
          <w:sz w:val="18"/>
          <w:szCs w:val="18"/>
          <w:lang w:val="es-CO" w:eastAsia="es-CO" w:bidi="ar-SA"/>
        </w:rPr>
      </w:pPr>
      <w:r>
        <w:rPr>
          <w:rFonts w:ascii="Work Sans" w:eastAsia="DejaVu Sans" w:hAnsi="Work Sans" w:cs="Arial"/>
          <w:i/>
          <w:kern w:val="0"/>
          <w:sz w:val="18"/>
          <w:szCs w:val="18"/>
          <w:lang w:val="es-CO" w:eastAsia="es-CO" w:bidi="ar-SA"/>
        </w:rPr>
        <w:t>6.14. Emitir, en su calidad de suprema autoridad del Sector Transporte y del Sistema Nacional de Transporte, concepto vinculante previo al establecimiento de los peajes que deban cobrarse por el uso de las vías a cargo de la Nación, los departamentos, distritos y municipios.</w:t>
      </w:r>
    </w:p>
    <w:p w:rsidR="00136284" w:rsidRDefault="00000000">
      <w:pPr>
        <w:widowControl/>
        <w:tabs>
          <w:tab w:val="left" w:pos="0"/>
        </w:tabs>
        <w:ind w:left="709" w:right="623"/>
        <w:jc w:val="both"/>
        <w:textAlignment w:val="auto"/>
        <w:rPr>
          <w:rFonts w:ascii="Work Sans" w:eastAsia="DengXian Light" w:hAnsi="Work Sans" w:cs="Arial"/>
          <w:i/>
          <w:color w:val="000000"/>
          <w:kern w:val="0"/>
          <w:sz w:val="18"/>
          <w:szCs w:val="18"/>
          <w:lang w:eastAsia="es-ES" w:bidi="ar-SA"/>
        </w:rPr>
      </w:pPr>
      <w:r>
        <w:rPr>
          <w:rFonts w:ascii="Work Sans" w:eastAsia="DengXian Light" w:hAnsi="Work Sans" w:cs="Arial"/>
          <w:i/>
          <w:color w:val="000000"/>
          <w:kern w:val="0"/>
          <w:sz w:val="18"/>
          <w:szCs w:val="18"/>
          <w:lang w:eastAsia="es-ES" w:bidi="ar-SA"/>
        </w:rPr>
        <w:t xml:space="preserve"> </w:t>
      </w:r>
    </w:p>
    <w:p w:rsidR="00136284" w:rsidRDefault="00000000">
      <w:pPr>
        <w:widowControl/>
        <w:ind w:left="709" w:right="623"/>
        <w:jc w:val="both"/>
        <w:textAlignment w:val="auto"/>
        <w:rPr>
          <w:rFonts w:ascii="Work Sans" w:eastAsia="DengXian Light" w:hAnsi="Work Sans" w:cs="Arial"/>
          <w:i/>
          <w:color w:val="000000"/>
          <w:kern w:val="0"/>
          <w:sz w:val="18"/>
          <w:szCs w:val="18"/>
          <w:lang w:eastAsia="es-ES" w:bidi="ar-SA"/>
        </w:rPr>
      </w:pPr>
      <w:r>
        <w:rPr>
          <w:rFonts w:ascii="Work Sans" w:eastAsia="DengXian Light" w:hAnsi="Work Sans" w:cs="Arial"/>
          <w:i/>
          <w:color w:val="000000"/>
          <w:kern w:val="0"/>
          <w:sz w:val="18"/>
          <w:szCs w:val="18"/>
          <w:lang w:eastAsia="es-ES" w:bidi="ar-SA"/>
        </w:rPr>
        <w:t>6.15. Establecer los peajes, tarifas, tasas y derechos a cobrar por el uso de la infraestructura de los modos de transporte, excepto el aéreo. (…)”</w:t>
      </w:r>
    </w:p>
    <w:p w:rsidR="00136284" w:rsidRDefault="00136284">
      <w:pPr>
        <w:widowControl/>
        <w:ind w:left="709" w:right="623"/>
        <w:jc w:val="both"/>
        <w:textAlignment w:val="auto"/>
        <w:rPr>
          <w:rFonts w:ascii="Work Sans" w:hAnsi="Work Sans" w:cs="Arial"/>
          <w:kern w:val="0"/>
          <w:sz w:val="20"/>
          <w:szCs w:val="20"/>
          <w:lang w:val="es-CO" w:eastAsia="es-ES" w:bidi="ar-SA"/>
        </w:rPr>
      </w:pPr>
      <w:bookmarkStart w:id="2" w:name="_Hlk124760749"/>
      <w:bookmarkEnd w:id="1"/>
    </w:p>
    <w:bookmarkEnd w:id="2"/>
    <w:p w:rsidR="00136284" w:rsidRDefault="00000000">
      <w:pPr>
        <w:tabs>
          <w:tab w:val="left" w:pos="1134"/>
        </w:tabs>
        <w:jc w:val="both"/>
        <w:rPr>
          <w:rFonts w:ascii="Work Sans" w:eastAsia="Work Sans" w:hAnsi="Work Sans" w:cs="Arial"/>
          <w:color w:val="000000"/>
          <w:sz w:val="20"/>
          <w:szCs w:val="20"/>
          <w:lang w:val="es"/>
        </w:rPr>
      </w:pPr>
      <w:r>
        <w:rPr>
          <w:rFonts w:ascii="Work Sans" w:eastAsia="Work Sans" w:hAnsi="Work Sans" w:cs="Arial"/>
          <w:color w:val="000000"/>
          <w:sz w:val="20"/>
          <w:szCs w:val="20"/>
          <w:lang w:val="es"/>
        </w:rPr>
        <w:t>Que el Decreto 4165 del 03 de noviembre de 2011, cambió la naturaleza jurídica y denominación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w:t>
      </w:r>
    </w:p>
    <w:p w:rsidR="00136284" w:rsidRDefault="00136284">
      <w:pPr>
        <w:tabs>
          <w:tab w:val="left" w:pos="1134"/>
        </w:tabs>
        <w:jc w:val="both"/>
        <w:rPr>
          <w:rFonts w:ascii="Work Sans" w:eastAsia="DengXian Light" w:hAnsi="Work Sans" w:cs="Arial"/>
          <w:color w:val="000000"/>
          <w:sz w:val="20"/>
          <w:szCs w:val="20"/>
          <w:lang w:val="es" w:eastAsia="es-ES"/>
        </w:rPr>
      </w:pPr>
    </w:p>
    <w:p w:rsidR="00136284" w:rsidRDefault="00000000">
      <w:pPr>
        <w:widowControl/>
        <w:jc w:val="both"/>
        <w:textAlignment w:val="auto"/>
        <w:rPr>
          <w:rFonts w:ascii="Work Sans" w:eastAsia="DengXian Light" w:hAnsi="Work Sans" w:cs="Arial"/>
          <w:color w:val="000000"/>
          <w:kern w:val="0"/>
          <w:sz w:val="20"/>
          <w:szCs w:val="20"/>
          <w:lang w:val="es" w:eastAsia="es-ES" w:bidi="ar-SA"/>
        </w:rPr>
      </w:pPr>
      <w:r>
        <w:rPr>
          <w:rFonts w:ascii="Work Sans" w:eastAsia="DengXian Light" w:hAnsi="Work Sans" w:cs="Arial"/>
          <w:color w:val="000000"/>
          <w:kern w:val="0"/>
          <w:sz w:val="20"/>
          <w:szCs w:val="20"/>
          <w:lang w:val="es" w:eastAsia="es-ES" w:bidi="ar-SA"/>
        </w:rPr>
        <w:t xml:space="preserve">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w:t>
      </w:r>
      <w:r>
        <w:rPr>
          <w:rFonts w:ascii="Work Sans" w:eastAsia="DengXian Light" w:hAnsi="Work Sans" w:cs="Arial"/>
          <w:color w:val="000000"/>
          <w:kern w:val="0"/>
          <w:sz w:val="20"/>
          <w:szCs w:val="20"/>
          <w:lang w:val="es" w:eastAsia="es-ES" w:bidi="ar-SA"/>
        </w:rPr>
        <w:lastRenderedPageBreak/>
        <w:t>construcción, operación, explotación, mantenimiento o rehabilitación de la infraestructura relacionada con los proyectos de concesión u otras formas de Asociación Público Privada a su cargo.</w:t>
      </w:r>
    </w:p>
    <w:p w:rsidR="00136284" w:rsidRDefault="00136284">
      <w:pPr>
        <w:widowControl/>
        <w:jc w:val="both"/>
        <w:textAlignment w:val="auto"/>
        <w:rPr>
          <w:rFonts w:ascii="Work Sans" w:eastAsia="DengXian Light" w:hAnsi="Work Sans" w:cs="Arial"/>
          <w:color w:val="000000"/>
          <w:kern w:val="0"/>
          <w:sz w:val="20"/>
          <w:szCs w:val="20"/>
          <w:lang w:val="es" w:eastAsia="es-ES" w:bidi="ar-SA"/>
        </w:rPr>
      </w:pPr>
    </w:p>
    <w:p w:rsidR="00136284" w:rsidRDefault="00000000">
      <w:pPr>
        <w:ind w:right="49"/>
        <w:jc w:val="both"/>
      </w:pPr>
      <w:r>
        <w:rPr>
          <w:rFonts w:ascii="Work Sans" w:eastAsia="DengXian Light" w:hAnsi="Work Sans" w:cs="Arial"/>
          <w:color w:val="000000"/>
          <w:sz w:val="20"/>
          <w:szCs w:val="20"/>
          <w:lang w:val="es" w:eastAsia="es-ES"/>
        </w:rPr>
        <w:t xml:space="preserve">Que igualmente el numeral 34 del artículo 5 del </w:t>
      </w:r>
      <w:r>
        <w:rPr>
          <w:rFonts w:ascii="Work Sans" w:eastAsia="DengXian Light" w:hAnsi="Work Sans" w:cs="Arial"/>
          <w:sz w:val="20"/>
          <w:szCs w:val="20"/>
          <w:lang w:val="es" w:eastAsia="es-ES"/>
        </w:rPr>
        <w:t xml:space="preserve">Decreto 746 del 2022 </w:t>
      </w:r>
      <w:r>
        <w:rPr>
          <w:rFonts w:ascii="Work Sans" w:eastAsia="DengXian Light" w:hAnsi="Work Sans" w:cs="Arial"/>
          <w:i/>
          <w:iCs/>
          <w:color w:val="000000"/>
          <w:sz w:val="20"/>
          <w:szCs w:val="20"/>
          <w:lang w:val="es" w:eastAsia="es-ES"/>
        </w:rPr>
        <w:t>“Por el cual se modifica la estructura de la Agencia Nacional de Infraestructura y se determinan las funciones de sus dependencias”</w:t>
      </w:r>
      <w:r>
        <w:rPr>
          <w:rFonts w:ascii="Work Sans" w:eastAsia="DengXian Light" w:hAnsi="Work Sans" w:cs="Arial"/>
          <w:i/>
          <w:color w:val="000000"/>
          <w:sz w:val="20"/>
          <w:szCs w:val="20"/>
          <w:lang w:val="es" w:eastAsia="es-ES"/>
        </w:rPr>
        <w:t xml:space="preserve"> </w:t>
      </w:r>
      <w:r>
        <w:rPr>
          <w:rFonts w:ascii="Work Sans" w:eastAsia="DengXian Light" w:hAnsi="Work Sans" w:cs="Arial"/>
          <w:color w:val="000000"/>
          <w:sz w:val="20"/>
          <w:szCs w:val="20"/>
          <w:lang w:val="es" w:eastAsia="es-ES"/>
        </w:rPr>
        <w:t>establece como función del presidente de la Agencia Nacional de Infraestructura p</w:t>
      </w:r>
      <w:proofErr w:type="spellStart"/>
      <w:r>
        <w:rPr>
          <w:rFonts w:ascii="Work Sans" w:eastAsia="DengXian Light" w:hAnsi="Work Sans" w:cs="Arial"/>
          <w:color w:val="000000"/>
          <w:sz w:val="20"/>
          <w:szCs w:val="20"/>
        </w:rPr>
        <w:t>roponer</w:t>
      </w:r>
      <w:proofErr w:type="spellEnd"/>
      <w:r>
        <w:rPr>
          <w:rFonts w:ascii="Work Sans" w:eastAsia="DengXian Light" w:hAnsi="Work Sans" w:cs="Arial"/>
          <w:color w:val="000000"/>
          <w:sz w:val="20"/>
          <w:szCs w:val="20"/>
        </w:rPr>
        <w:t xml:space="preserve"> al Ministerio de Transporte o a las entidades competentes, las tarifas de peajes y tasas a cobrar por el uso de las áreas e infraestructura de transporte que haga parte de proyectos a cargo de la Agencia. </w:t>
      </w:r>
    </w:p>
    <w:p w:rsidR="00136284" w:rsidRDefault="00136284">
      <w:pPr>
        <w:ind w:left="567" w:right="616"/>
        <w:jc w:val="both"/>
        <w:rPr>
          <w:rFonts w:ascii="Work Sans" w:eastAsia="DengXian Light" w:hAnsi="Work Sans" w:cs="Arial"/>
          <w:i/>
          <w:color w:val="000000"/>
          <w:sz w:val="20"/>
          <w:szCs w:val="20"/>
        </w:rPr>
      </w:pPr>
    </w:p>
    <w:p w:rsidR="00136284" w:rsidRDefault="00000000">
      <w:pPr>
        <w:pStyle w:val="pa8"/>
        <w:spacing w:before="0" w:after="0"/>
        <w:jc w:val="both"/>
      </w:pPr>
      <w:r>
        <w:rPr>
          <w:rFonts w:ascii="Work Sans" w:hAnsi="Work Sans"/>
          <w:color w:val="0A0A0A"/>
          <w:sz w:val="20"/>
          <w:szCs w:val="20"/>
        </w:rPr>
        <w:t>Que mediante Resolución número 0001378 del 26 de mayo de 2014 el Ministerio de Transporte, estableció las tarifas a cobrar en las estaciones de peaje denominadas </w:t>
      </w:r>
      <w:proofErr w:type="spellStart"/>
      <w:r>
        <w:rPr>
          <w:rStyle w:val="spelle"/>
          <w:rFonts w:ascii="Work Sans" w:hAnsi="Work Sans"/>
          <w:color w:val="0A0A0A"/>
          <w:sz w:val="20"/>
          <w:szCs w:val="20"/>
        </w:rPr>
        <w:t>Marahuaco</w:t>
      </w:r>
      <w:proofErr w:type="spellEnd"/>
      <w:r>
        <w:rPr>
          <w:rFonts w:ascii="Work Sans" w:hAnsi="Work Sans"/>
          <w:color w:val="0A0A0A"/>
          <w:sz w:val="20"/>
          <w:szCs w:val="20"/>
        </w:rPr>
        <w:t>, Puerto Colombia y Galapa y en las casetas de control denominadas Papiros y Juan Mina, pertenecientes al Proyecto Vial Cartagena - Barranquilla y Circunvalar de la Prosperidad.</w:t>
      </w:r>
    </w:p>
    <w:p w:rsidR="00136284" w:rsidRDefault="00000000">
      <w:pPr>
        <w:pStyle w:val="pa8"/>
        <w:spacing w:before="0" w:after="0"/>
        <w:jc w:val="both"/>
      </w:pPr>
      <w:r>
        <w:rPr>
          <w:rFonts w:ascii="Work Sans" w:hAnsi="Work Sans"/>
          <w:color w:val="0A0A0A"/>
          <w:sz w:val="20"/>
          <w:szCs w:val="20"/>
        </w:rPr>
        <w:t> </w:t>
      </w:r>
    </w:p>
    <w:p w:rsidR="00136284" w:rsidRDefault="00000000">
      <w:pPr>
        <w:pStyle w:val="pa8"/>
        <w:spacing w:before="0" w:after="0"/>
        <w:jc w:val="both"/>
      </w:pPr>
      <w:r>
        <w:rPr>
          <w:rFonts w:ascii="Work Sans" w:hAnsi="Work Sans"/>
          <w:color w:val="0A0A0A"/>
          <w:sz w:val="20"/>
          <w:szCs w:val="20"/>
        </w:rPr>
        <w:t>Que el Ministerio de Transporte mediante resolución 20213040003285 del 28 de enero de 2021, estableció tarifas diferenciales de manera temporal para las Categorías I y II en la estación de peaje denominada Puerto Colombia ubicada en el PR 93 + 600 y para las Categorías I, II y III en la caseta de Control Papiros ubicada en el PR103+600 del Proyecto Cartagena - Barranquilla y Circunvalar de la Prosperidad</w:t>
      </w:r>
    </w:p>
    <w:p w:rsidR="00136284" w:rsidRDefault="00000000">
      <w:pPr>
        <w:pStyle w:val="pa8"/>
        <w:spacing w:before="0" w:after="0"/>
        <w:jc w:val="both"/>
      </w:pPr>
      <w:r>
        <w:rPr>
          <w:rFonts w:ascii="Work Sans" w:hAnsi="Work Sans"/>
          <w:color w:val="0A0A0A"/>
          <w:sz w:val="20"/>
          <w:szCs w:val="20"/>
        </w:rPr>
        <w:t> </w:t>
      </w:r>
    </w:p>
    <w:p w:rsidR="00136284" w:rsidRDefault="00000000">
      <w:pPr>
        <w:widowControl/>
        <w:ind w:right="56"/>
        <w:jc w:val="both"/>
        <w:textAlignment w:val="auto"/>
        <w:rPr>
          <w:rFonts w:ascii="Work Sans" w:hAnsi="Work Sans" w:cs="Open Sans"/>
          <w:sz w:val="20"/>
          <w:szCs w:val="20"/>
        </w:rPr>
      </w:pPr>
      <w:r>
        <w:rPr>
          <w:rFonts w:ascii="Work Sans" w:hAnsi="Work Sans" w:cs="Open Sans"/>
          <w:sz w:val="20"/>
          <w:szCs w:val="20"/>
        </w:rPr>
        <w:t xml:space="preserve">Que con ocasión de los cambios climáticos y de ola invernal que afronta el país, la Secretaria de Infraestructura y la oficina de Gestión del Riesgo de Desastres del Municipio de Puerto Colombia reportaron una afectación sobre la carrera 30 (vía que conecta al Municipio de Puerto Colombia con el corredor universitario), a la altura del lago del Cisne (Coordenadas 11.0145783 - 74.8955688), evidenciando el desplazamiento de unos 7 metros de una gran masa de suelo de la ladera de una montaña y que a su vez ha desplazado la banca de la vía, ocasionando el cierre total de un tramo de la misma, la afectación de la </w:t>
      </w:r>
      <w:proofErr w:type="spellStart"/>
      <w:r>
        <w:rPr>
          <w:rFonts w:ascii="Work Sans" w:hAnsi="Work Sans" w:cs="Open Sans"/>
          <w:sz w:val="20"/>
          <w:szCs w:val="20"/>
        </w:rPr>
        <w:t>transitabilidad</w:t>
      </w:r>
      <w:proofErr w:type="spellEnd"/>
      <w:r>
        <w:rPr>
          <w:rFonts w:ascii="Work Sans" w:hAnsi="Work Sans" w:cs="Open Sans"/>
          <w:sz w:val="20"/>
          <w:szCs w:val="20"/>
        </w:rPr>
        <w:t xml:space="preserve"> de vehículos de la comunidad, redes de servicios públicos como suministro de gas, energía eléctrica y redes de telecomunicaciones.</w:t>
      </w:r>
    </w:p>
    <w:p w:rsidR="00136284" w:rsidRDefault="00136284">
      <w:pPr>
        <w:widowControl/>
        <w:ind w:right="56"/>
        <w:jc w:val="both"/>
        <w:textAlignment w:val="auto"/>
        <w:rPr>
          <w:rFonts w:ascii="Work Sans" w:hAnsi="Work Sans"/>
          <w:sz w:val="20"/>
          <w:szCs w:val="20"/>
        </w:rPr>
      </w:pPr>
    </w:p>
    <w:p w:rsidR="00136284" w:rsidRDefault="00000000">
      <w:pPr>
        <w:widowControl/>
        <w:shd w:val="clear" w:color="auto" w:fill="FFFFFF"/>
        <w:ind w:right="56"/>
        <w:jc w:val="both"/>
        <w:textAlignment w:val="auto"/>
        <w:rPr>
          <w:rFonts w:ascii="Work Sans" w:hAnsi="Work Sans" w:cs="Open Sans"/>
          <w:sz w:val="20"/>
          <w:szCs w:val="20"/>
        </w:rPr>
      </w:pPr>
      <w:r>
        <w:rPr>
          <w:rFonts w:ascii="Work Sans" w:hAnsi="Work Sans" w:cs="Open Sans"/>
          <w:sz w:val="20"/>
          <w:szCs w:val="20"/>
        </w:rPr>
        <w:t xml:space="preserve">Que el Alcalde Municipal de Puerto Colombia del departamento del Atlántico solicita con oficio DA- 2023010025 a la Agencia Nacional de Infraestructura encargada de dicha concesión y al Ministerio de Transporte, que en procura de atender con celeridad la situación que ha afectado la prestación de los servicios de energía eléctrica, gas natural y la comunicación por esta importante vía </w:t>
      </w:r>
      <w:bookmarkStart w:id="3" w:name="_Hlk126837534"/>
      <w:r>
        <w:rPr>
          <w:rFonts w:ascii="Work Sans" w:hAnsi="Work Sans" w:cs="Open Sans"/>
          <w:sz w:val="20"/>
          <w:szCs w:val="20"/>
        </w:rPr>
        <w:t xml:space="preserve">alterna por la cual circulan gran cantidad de vehículos </w:t>
      </w:r>
      <w:bookmarkStart w:id="4" w:name="_Hlk126837502"/>
      <w:r>
        <w:rPr>
          <w:rFonts w:ascii="Work Sans" w:hAnsi="Work Sans" w:cs="Open Sans"/>
          <w:sz w:val="20"/>
          <w:szCs w:val="20"/>
        </w:rPr>
        <w:t>que provienen de los corregimientos de Salgar, Sabanilla Monte Carmelo, de la Cabecera municipal de Puerto Colombia y los que diariamente trasladan a los estudiantes a las distintas instituciones ubicadas en este corredor educacional</w:t>
      </w:r>
      <w:bookmarkEnd w:id="4"/>
      <w:r>
        <w:rPr>
          <w:rFonts w:ascii="Work Sans" w:hAnsi="Work Sans" w:cs="Open Sans"/>
          <w:sz w:val="20"/>
          <w:szCs w:val="20"/>
        </w:rPr>
        <w:t xml:space="preserve">, </w:t>
      </w:r>
      <w:bookmarkEnd w:id="3"/>
      <w:r>
        <w:rPr>
          <w:rFonts w:ascii="Work Sans" w:hAnsi="Work Sans" w:cs="Open Sans"/>
          <w:sz w:val="20"/>
          <w:szCs w:val="20"/>
        </w:rPr>
        <w:t xml:space="preserve">se conceda el paso libre en el peaje Papiros a los vehículos que provienen de los corregimientos de Salgar, Sabanilla Monte Carmelo, de la Cabecera municipal de Puerto Colombia y los que diariamente trasladan a los estudiantes a las distintas instituciones ubicadas en este corredor educacional hasta tanto se realice el censo de vehículos, los cuales pueden ser incorporados a la resolución vigente. </w:t>
      </w:r>
    </w:p>
    <w:p w:rsidR="00136284" w:rsidRDefault="00136284">
      <w:pPr>
        <w:widowControl/>
        <w:shd w:val="clear" w:color="auto" w:fill="FFFFFF"/>
        <w:ind w:right="56"/>
        <w:jc w:val="both"/>
        <w:textAlignment w:val="auto"/>
        <w:rPr>
          <w:rFonts w:ascii="Work Sans" w:hAnsi="Work Sans" w:cs="Open Sans"/>
          <w:sz w:val="20"/>
          <w:szCs w:val="20"/>
        </w:rPr>
      </w:pPr>
    </w:p>
    <w:p w:rsidR="00136284" w:rsidRDefault="00000000">
      <w:pPr>
        <w:widowControl/>
        <w:shd w:val="clear" w:color="auto" w:fill="FFFFFF"/>
        <w:ind w:right="56"/>
        <w:jc w:val="both"/>
        <w:textAlignment w:val="auto"/>
        <w:rPr>
          <w:rFonts w:ascii="Work Sans" w:hAnsi="Work Sans" w:cs="Open Sans"/>
          <w:sz w:val="20"/>
          <w:szCs w:val="20"/>
        </w:rPr>
      </w:pPr>
      <w:r>
        <w:rPr>
          <w:rFonts w:ascii="Work Sans" w:hAnsi="Work Sans" w:cs="Open Sans"/>
          <w:sz w:val="20"/>
          <w:szCs w:val="20"/>
        </w:rPr>
        <w:t>Que, en atención a los hechos arriba descritos, la comunidad afectada solicita intervención del gobierno nacional con el fin de mitigar los efectos negativos, proponiendo la suspensión de la caseta de control denominada Papiros, localizada en el PR103 + 600 del trayecto Cartagena – Barranquilla y Circunvalar de la Prosperidad.</w:t>
      </w:r>
    </w:p>
    <w:p w:rsidR="00136284" w:rsidRDefault="00136284">
      <w:pPr>
        <w:widowControl/>
        <w:ind w:right="56"/>
        <w:jc w:val="both"/>
        <w:textAlignment w:val="auto"/>
        <w:rPr>
          <w:rFonts w:ascii="Work Sans" w:hAnsi="Work Sans" w:cs="Arial"/>
          <w:kern w:val="0"/>
          <w:sz w:val="20"/>
          <w:szCs w:val="20"/>
          <w:lang w:val="es-CO" w:eastAsia="es-ES" w:bidi="ar-SA"/>
        </w:rPr>
      </w:pPr>
    </w:p>
    <w:p w:rsidR="00136284" w:rsidRDefault="00000000">
      <w:pPr>
        <w:widowControl/>
        <w:ind w:right="56"/>
        <w:jc w:val="both"/>
        <w:textAlignment w:val="auto"/>
      </w:pPr>
      <w:r>
        <w:rPr>
          <w:rFonts w:ascii="Work Sans" w:hAnsi="Work Sans" w:cs="Arial"/>
          <w:kern w:val="0"/>
          <w:sz w:val="20"/>
          <w:szCs w:val="20"/>
          <w:lang w:val="es-CO" w:eastAsia="es-ES" w:bidi="ar-SA"/>
        </w:rPr>
        <w:t xml:space="preserve">Que la Agencia Nacional de Infraestructura emitió oficio XXXXXX del 09 de febrero de 2023, </w:t>
      </w:r>
      <w:r>
        <w:rPr>
          <w:rFonts w:ascii="Work Sans" w:hAnsi="Work Sans" w:cs="Arial"/>
          <w:sz w:val="20"/>
          <w:szCs w:val="20"/>
          <w:lang w:eastAsia="es-ES"/>
        </w:rPr>
        <w:t xml:space="preserve">en los siguientes términos: </w:t>
      </w:r>
    </w:p>
    <w:p w:rsidR="00136284" w:rsidRDefault="00136284">
      <w:pPr>
        <w:widowControl/>
        <w:shd w:val="clear" w:color="auto" w:fill="FFFFFF"/>
        <w:ind w:right="56"/>
        <w:jc w:val="both"/>
        <w:textAlignment w:val="auto"/>
        <w:rPr>
          <w:rFonts w:ascii="Work Sans" w:hAnsi="Work Sans" w:cs="Open Sans"/>
          <w:sz w:val="20"/>
          <w:szCs w:val="20"/>
        </w:rPr>
      </w:pPr>
    </w:p>
    <w:p w:rsidR="00136284" w:rsidRDefault="00000000">
      <w:pPr>
        <w:widowControl/>
        <w:shd w:val="clear" w:color="auto" w:fill="FFFFFF"/>
        <w:ind w:right="56"/>
        <w:jc w:val="both"/>
        <w:textAlignment w:val="auto"/>
        <w:rPr>
          <w:rFonts w:ascii="Work Sans" w:hAnsi="Work Sans" w:cs="Open Sans"/>
          <w:sz w:val="20"/>
          <w:szCs w:val="20"/>
        </w:rPr>
      </w:pPr>
      <w:r>
        <w:rPr>
          <w:rFonts w:ascii="Work Sans" w:hAnsi="Work Sans" w:cs="Open Sans"/>
          <w:sz w:val="20"/>
          <w:szCs w:val="20"/>
        </w:rPr>
        <w:t>Que conforme lo señalado líneas arriba, uno de los grandes inconvenientes  generados en la situación presentada es la afectación de la prestación de los servicios de energía eléctrica, gas natural y la comunicación por esta importante vía alterna, por la cual circulan gran cantidad de vehículos que provienen de los corregimientos de Salgar, Sabanilla Monte Carmelo, de la Cabecera municipal de Puerto Colombia y los que diariamente trasladan a los estudiantes a las distintas instituciones ubicadas en este corredor educacional.</w:t>
      </w:r>
    </w:p>
    <w:p w:rsidR="00136284" w:rsidRDefault="00136284">
      <w:pPr>
        <w:widowControl/>
        <w:shd w:val="clear" w:color="auto" w:fill="FFFFFF"/>
        <w:ind w:right="56"/>
        <w:jc w:val="both"/>
        <w:textAlignment w:val="auto"/>
        <w:rPr>
          <w:rFonts w:ascii="Work Sans" w:hAnsi="Work Sans" w:cs="Open Sans"/>
          <w:sz w:val="20"/>
          <w:szCs w:val="20"/>
        </w:rPr>
      </w:pPr>
    </w:p>
    <w:p w:rsidR="00136284" w:rsidRDefault="00000000">
      <w:pPr>
        <w:jc w:val="both"/>
      </w:pPr>
      <w:r>
        <w:rPr>
          <w:rFonts w:ascii="Work Sans" w:hAnsi="Work Sans" w:cs="Open Sans"/>
          <w:sz w:val="20"/>
          <w:szCs w:val="20"/>
        </w:rPr>
        <w:t xml:space="preserve">Que atendiendo a la competencia que otorga el </w:t>
      </w:r>
      <w:r>
        <w:rPr>
          <w:rFonts w:ascii="Work Sans" w:eastAsia="Calibri" w:hAnsi="Work Sans" w:cs="Arial"/>
          <w:kern w:val="0"/>
          <w:sz w:val="20"/>
          <w:szCs w:val="20"/>
          <w:lang w:val="es-CO" w:eastAsia="en-US"/>
        </w:rPr>
        <w:t>Decreto 087 de 2011, para emitir</w:t>
      </w:r>
      <w:r>
        <w:rPr>
          <w:rFonts w:ascii="Work Sans" w:eastAsia="DejaVu Sans" w:hAnsi="Work Sans" w:cs="Arial"/>
          <w:i/>
          <w:kern w:val="0"/>
          <w:sz w:val="20"/>
          <w:szCs w:val="20"/>
          <w:lang w:val="es-CO" w:eastAsia="es-CO" w:bidi="ar-SA"/>
        </w:rPr>
        <w:t xml:space="preserve"> </w:t>
      </w:r>
      <w:r>
        <w:rPr>
          <w:rFonts w:ascii="Work Sans" w:eastAsia="DejaVu Sans" w:hAnsi="Work Sans" w:cs="Arial"/>
          <w:kern w:val="0"/>
          <w:sz w:val="20"/>
          <w:szCs w:val="20"/>
          <w:lang w:val="es-CO" w:eastAsia="es-CO" w:bidi="ar-SA"/>
        </w:rPr>
        <w:t>el concepto vinculante previo para al establecimiento de los peajes,</w:t>
      </w:r>
      <w:r>
        <w:rPr>
          <w:rFonts w:ascii="Work Sans" w:hAnsi="Work Sans" w:cs="Open Sans"/>
          <w:sz w:val="20"/>
          <w:szCs w:val="20"/>
        </w:rPr>
        <w:t xml:space="preserve"> y en atención a lo </w:t>
      </w:r>
      <w:r>
        <w:rPr>
          <w:rFonts w:ascii="Work Sans" w:hAnsi="Work Sans" w:cs="Calibri"/>
          <w:sz w:val="20"/>
          <w:szCs w:val="20"/>
          <w:lang w:val="es-CO" w:bidi="ar-SA"/>
        </w:rPr>
        <w:t>expuesto a detalle líneas arriba, la medida temporal tomada el día de ayer en la reunión con la comunidad de los municipios de Puerto Colombia, Piojó, Tubará y Juan de Acosta, la Gobernación de Atlántico, Defensoría del pueblo, el Ministerio de Transporte y la Agencia Nacional de Infraestructura y según da cuenta el informe de Defensoría del Pueblo se hace necesario suspender temporalmente la caseta de control Papiros por 45 días calendario.</w:t>
      </w:r>
      <w:r>
        <w:rPr>
          <w:rFonts w:ascii="Work Sans" w:eastAsia="Segoe UI" w:hAnsi="Work Sans" w:cs="Arial"/>
          <w:iCs/>
          <w:color w:val="000000"/>
          <w:sz w:val="20"/>
          <w:szCs w:val="20"/>
          <w:lang w:val="es-MX"/>
        </w:rPr>
        <w:t xml:space="preserve"> </w:t>
      </w:r>
    </w:p>
    <w:p w:rsidR="00136284" w:rsidRDefault="00136284">
      <w:pPr>
        <w:jc w:val="both"/>
        <w:rPr>
          <w:rFonts w:ascii="Work Sans" w:eastAsia="Segoe UI" w:hAnsi="Work Sans" w:cs="Arial"/>
          <w:iCs/>
          <w:color w:val="000000"/>
          <w:sz w:val="20"/>
          <w:szCs w:val="20"/>
          <w:lang w:val="es-MX"/>
        </w:rPr>
      </w:pPr>
    </w:p>
    <w:p w:rsidR="00136284" w:rsidRDefault="00000000">
      <w:pPr>
        <w:widowControl/>
        <w:shd w:val="clear" w:color="auto" w:fill="FFFFFF"/>
        <w:ind w:right="56"/>
        <w:jc w:val="both"/>
        <w:textAlignment w:val="auto"/>
      </w:pPr>
      <w:r>
        <w:rPr>
          <w:rFonts w:ascii="Work Sans" w:hAnsi="Work Sans" w:cs="Open Sans"/>
          <w:sz w:val="20"/>
          <w:szCs w:val="20"/>
        </w:rPr>
        <w:t>Que mediante memorando la Oficina de Regulación Económica del Ministerio de Transporte en cumplimiento de lo establecido en el numeral 9.8. del artículo 9 del Decreto 087 de 2011, se pronunció frente a la suspensión por el término de 45 días calendario la caseta de control denominada Papiros, localizada en el PR103 + 600 del trayecto Cartagena – Barranquilla y Circunvalar de la Prosperidad.</w:t>
      </w:r>
    </w:p>
    <w:p w:rsidR="00136284" w:rsidRDefault="00136284">
      <w:pPr>
        <w:widowControl/>
        <w:ind w:right="56"/>
        <w:jc w:val="both"/>
        <w:textAlignment w:val="auto"/>
        <w:rPr>
          <w:rFonts w:ascii="Work Sans" w:hAnsi="Work Sans" w:cs="Calibri"/>
          <w:sz w:val="20"/>
          <w:szCs w:val="20"/>
          <w:lang w:val="es-CO" w:bidi="ar-SA"/>
        </w:rPr>
      </w:pPr>
    </w:p>
    <w:p w:rsidR="00136284" w:rsidRDefault="00000000">
      <w:pPr>
        <w:widowControl/>
        <w:jc w:val="both"/>
        <w:textAlignment w:val="auto"/>
        <w:rPr>
          <w:rFonts w:ascii="Work Sans" w:hAnsi="Work Sans" w:cs="Calibri"/>
          <w:sz w:val="20"/>
          <w:szCs w:val="20"/>
          <w:lang w:val="es-CO" w:bidi="ar-SA"/>
        </w:rPr>
      </w:pPr>
      <w:r>
        <w:rPr>
          <w:rFonts w:ascii="Work Sans" w:hAnsi="Work Sans" w:cs="Calibri"/>
          <w:sz w:val="20"/>
          <w:szCs w:val="20"/>
          <w:lang w:val="es-CO" w:bidi="ar-SA"/>
        </w:rPr>
        <w:t xml:space="preserve">Que el contenido de la presente Resolución, en atención a lo expuesto y la inmediatez con que se requiere y acordó la medida, se publicó el proyecto de resolución por dos (2) horas del día 09 de febrero de 2023, en la página web del Ministerio de Transporte y en la página web de la Agencia Nacional de Infraestructura, en cumplimiento de lo determinado en el numeral 8 del artículo 8° de la Ley 1437 de 2011, artículo 2.1.2.1.14 del Decreto 1081 de 2015 (modificado y adicionado por el Decreto 1273 de 2020) y la Resolución No. 994 de 2017 del Ministerio de Transporte. </w:t>
      </w:r>
    </w:p>
    <w:p w:rsidR="00136284" w:rsidRDefault="00136284">
      <w:pPr>
        <w:widowControl/>
        <w:jc w:val="both"/>
        <w:textAlignment w:val="auto"/>
        <w:rPr>
          <w:rFonts w:ascii="Work Sans" w:hAnsi="Work Sans" w:cs="Calibri"/>
          <w:sz w:val="20"/>
          <w:szCs w:val="20"/>
          <w:lang w:val="es-CO" w:bidi="ar-SA"/>
        </w:rPr>
      </w:pPr>
    </w:p>
    <w:p w:rsidR="00136284" w:rsidRDefault="00000000">
      <w:pPr>
        <w:widowControl/>
        <w:autoSpaceDE w:val="0"/>
        <w:jc w:val="both"/>
        <w:textAlignment w:val="auto"/>
      </w:pPr>
      <w:r>
        <w:rPr>
          <w:rFonts w:ascii="Work Sans" w:eastAsia="SimSun" w:hAnsi="Work Sans" w:cs="Calibri"/>
          <w:iCs/>
          <w:color w:val="000000"/>
          <w:kern w:val="0"/>
          <w:sz w:val="20"/>
          <w:szCs w:val="20"/>
          <w:lang w:val="es-CO" w:eastAsia="es-ES" w:bidi="ar-SA"/>
        </w:rPr>
        <w:t>Que la Oficina Asesora Jurídica del Ministerio de Transporte conservará los documentos asociados a la publicación del presente</w:t>
      </w:r>
      <w:r>
        <w:rPr>
          <w:rFonts w:ascii="Work Sans" w:eastAsia="SimSun" w:hAnsi="Work Sans" w:cs="Calibri"/>
          <w:color w:val="000000"/>
          <w:kern w:val="0"/>
          <w:sz w:val="20"/>
          <w:szCs w:val="20"/>
          <w:lang w:val="es-CO" w:eastAsia="es-ES" w:bidi="ar-SA"/>
        </w:rPr>
        <w:t xml:space="preserve"> acto administrativo.</w:t>
      </w:r>
      <w:r>
        <w:rPr>
          <w:rFonts w:ascii="Work Sans" w:eastAsia="SimSun" w:hAnsi="Work Sans" w:cs="Calibri"/>
          <w:iCs/>
          <w:color w:val="000000"/>
          <w:kern w:val="0"/>
          <w:sz w:val="20"/>
          <w:szCs w:val="20"/>
          <w:lang w:val="es-CO" w:eastAsia="es-ES" w:bidi="ar-SA"/>
        </w:rPr>
        <w:t xml:space="preserve"> Todo ello en concordancia con las políticas de gestión documental y de archivo de la entidad.</w:t>
      </w:r>
    </w:p>
    <w:p w:rsidR="00136284" w:rsidRDefault="00136284">
      <w:pPr>
        <w:jc w:val="both"/>
        <w:textAlignment w:val="auto"/>
        <w:rPr>
          <w:rFonts w:ascii="Work Sans" w:hAnsi="Work Sans" w:cs="Calibri"/>
          <w:sz w:val="20"/>
          <w:szCs w:val="20"/>
          <w:lang w:val="es-CO"/>
        </w:rPr>
      </w:pPr>
    </w:p>
    <w:p w:rsidR="00136284" w:rsidRDefault="00000000">
      <w:pPr>
        <w:widowControl/>
        <w:autoSpaceDE w:val="0"/>
        <w:jc w:val="both"/>
        <w:textAlignment w:val="auto"/>
        <w:rPr>
          <w:rFonts w:ascii="Work Sans" w:eastAsia="SimSun" w:hAnsi="Work Sans" w:cs="Calibri"/>
          <w:color w:val="000000"/>
          <w:kern w:val="0"/>
          <w:sz w:val="20"/>
          <w:szCs w:val="20"/>
          <w:lang w:val="es-CO" w:eastAsia="es-ES" w:bidi="ar-SA"/>
        </w:rPr>
      </w:pPr>
      <w:r>
        <w:rPr>
          <w:rFonts w:ascii="Work Sans" w:eastAsia="SimSun" w:hAnsi="Work Sans" w:cs="Calibri"/>
          <w:color w:val="000000"/>
          <w:kern w:val="0"/>
          <w:sz w:val="20"/>
          <w:szCs w:val="20"/>
          <w:lang w:val="es-CO" w:eastAsia="es-ES" w:bidi="ar-SA"/>
        </w:rPr>
        <w:t xml:space="preserve">En mérito de lo expuesto, </w:t>
      </w:r>
    </w:p>
    <w:p w:rsidR="00136284" w:rsidRDefault="00136284">
      <w:pPr>
        <w:widowControl/>
        <w:jc w:val="both"/>
        <w:textAlignment w:val="auto"/>
        <w:rPr>
          <w:rFonts w:ascii="Work Sans" w:eastAsia="Arial Narrow" w:hAnsi="Work Sans" w:cs="Calibri"/>
          <w:sz w:val="20"/>
          <w:szCs w:val="20"/>
          <w:lang w:val="es-CO"/>
        </w:rPr>
      </w:pPr>
    </w:p>
    <w:p w:rsidR="00136284" w:rsidRDefault="00000000">
      <w:pPr>
        <w:widowControl/>
        <w:autoSpaceDE w:val="0"/>
        <w:jc w:val="center"/>
        <w:textAlignment w:val="auto"/>
        <w:rPr>
          <w:rFonts w:ascii="Work Sans" w:hAnsi="Work Sans" w:cs="CIDFont+F2"/>
          <w:b/>
          <w:kern w:val="0"/>
          <w:sz w:val="20"/>
          <w:szCs w:val="20"/>
          <w:lang w:val="es-CO" w:eastAsia="es-CO" w:bidi="ar-SA"/>
        </w:rPr>
      </w:pPr>
      <w:r>
        <w:rPr>
          <w:rFonts w:ascii="Work Sans" w:hAnsi="Work Sans" w:cs="CIDFont+F2"/>
          <w:b/>
          <w:kern w:val="0"/>
          <w:sz w:val="20"/>
          <w:szCs w:val="20"/>
          <w:lang w:val="es-CO" w:eastAsia="es-CO" w:bidi="ar-SA"/>
        </w:rPr>
        <w:t>RESUELVE:</w:t>
      </w:r>
    </w:p>
    <w:p w:rsidR="00136284" w:rsidRDefault="00136284">
      <w:pPr>
        <w:widowControl/>
        <w:autoSpaceDE w:val="0"/>
        <w:jc w:val="center"/>
        <w:textAlignment w:val="auto"/>
        <w:rPr>
          <w:rFonts w:ascii="Work Sans" w:hAnsi="Work Sans" w:cs="CIDFont+F2"/>
          <w:kern w:val="0"/>
          <w:sz w:val="20"/>
          <w:szCs w:val="20"/>
          <w:lang w:val="es-CO" w:eastAsia="es-CO" w:bidi="ar-SA"/>
        </w:rPr>
      </w:pPr>
    </w:p>
    <w:p w:rsidR="00136284" w:rsidRDefault="00000000">
      <w:pPr>
        <w:ind w:right="56"/>
        <w:jc w:val="both"/>
        <w:textAlignment w:val="auto"/>
      </w:pPr>
      <w:r>
        <w:rPr>
          <w:rFonts w:ascii="Work Sans" w:hAnsi="Work Sans" w:cs="CIDFont+F2"/>
          <w:b/>
          <w:kern w:val="0"/>
          <w:sz w:val="20"/>
          <w:szCs w:val="20"/>
          <w:lang w:val="es-CO" w:eastAsia="es-CO" w:bidi="ar-SA"/>
        </w:rPr>
        <w:t>Artículo 1.-</w:t>
      </w:r>
      <w:r>
        <w:rPr>
          <w:rFonts w:ascii="Work Sans" w:hAnsi="Work Sans" w:cs="CIDFont+F2"/>
          <w:kern w:val="0"/>
          <w:sz w:val="20"/>
          <w:szCs w:val="20"/>
          <w:lang w:val="es-CO" w:eastAsia="es-CO" w:bidi="ar-SA"/>
        </w:rPr>
        <w:t xml:space="preserve"> </w:t>
      </w:r>
      <w:r>
        <w:rPr>
          <w:rFonts w:ascii="Work Sans" w:hAnsi="Work Sans" w:cs="Arial"/>
          <w:kern w:val="0"/>
          <w:sz w:val="20"/>
          <w:szCs w:val="20"/>
          <w:lang w:val="es-CO" w:eastAsia="es-ES" w:bidi="ar-SA"/>
        </w:rPr>
        <w:t>S</w:t>
      </w:r>
      <w:proofErr w:type="spellStart"/>
      <w:r>
        <w:rPr>
          <w:rFonts w:ascii="Work Sans" w:hAnsi="Work Sans" w:cs="Arial"/>
          <w:kern w:val="0"/>
          <w:sz w:val="20"/>
          <w:szCs w:val="20"/>
          <w:lang w:val="es-ES_tradnl" w:eastAsia="es-ES" w:bidi="ar-SA"/>
        </w:rPr>
        <w:t>uspender</w:t>
      </w:r>
      <w:proofErr w:type="spellEnd"/>
      <w:r>
        <w:rPr>
          <w:rFonts w:ascii="Work Sans" w:hAnsi="Work Sans" w:cs="Arial"/>
          <w:kern w:val="0"/>
          <w:sz w:val="20"/>
          <w:szCs w:val="20"/>
          <w:lang w:val="es-ES_tradnl" w:eastAsia="es-ES" w:bidi="ar-SA"/>
        </w:rPr>
        <w:t xml:space="preserve"> por el término de 45 días la Caseta de control denominada Papiros localizada en el PR103 + 600 </w:t>
      </w:r>
      <w:r>
        <w:rPr>
          <w:rFonts w:ascii="Work Sans" w:eastAsia="Segoe UI" w:hAnsi="Work Sans" w:cs="Arial"/>
          <w:iCs/>
          <w:color w:val="000000"/>
          <w:sz w:val="20"/>
          <w:szCs w:val="20"/>
          <w:lang w:val="es-MX"/>
        </w:rPr>
        <w:t>del trayecto Cartagena - Barranquilla y Circunvalar de la Prosperidad</w:t>
      </w:r>
      <w:r>
        <w:rPr>
          <w:rFonts w:ascii="Work Sans" w:hAnsi="Work Sans" w:cs="Arial"/>
          <w:kern w:val="0"/>
          <w:sz w:val="20"/>
          <w:szCs w:val="20"/>
          <w:lang w:val="es-CO" w:eastAsia="es-ES" w:bidi="ar-SA"/>
        </w:rPr>
        <w:t>.</w:t>
      </w:r>
    </w:p>
    <w:p w:rsidR="00136284" w:rsidRDefault="00136284">
      <w:pPr>
        <w:widowControl/>
        <w:autoSpaceDE w:val="0"/>
        <w:jc w:val="both"/>
        <w:textAlignment w:val="auto"/>
        <w:rPr>
          <w:rFonts w:ascii="Work Sans" w:hAnsi="Work Sans" w:cs="CIDFont+F3"/>
          <w:kern w:val="0"/>
          <w:sz w:val="20"/>
          <w:szCs w:val="20"/>
          <w:lang w:val="es-CO" w:eastAsia="es-CO" w:bidi="ar-SA"/>
        </w:rPr>
      </w:pPr>
    </w:p>
    <w:p w:rsidR="00136284" w:rsidRDefault="00000000">
      <w:pPr>
        <w:ind w:right="56"/>
        <w:jc w:val="both"/>
        <w:textAlignment w:val="auto"/>
      </w:pPr>
      <w:r>
        <w:rPr>
          <w:rFonts w:ascii="Work Sans" w:hAnsi="Work Sans" w:cs="CIDFont+F2"/>
          <w:b/>
          <w:kern w:val="0"/>
          <w:sz w:val="20"/>
          <w:szCs w:val="20"/>
          <w:lang w:val="es-CO" w:eastAsia="es-CO" w:bidi="ar-SA"/>
        </w:rPr>
        <w:t>Artículo 2.-</w:t>
      </w:r>
      <w:bookmarkStart w:id="5" w:name="_Hlk124512642"/>
      <w:r>
        <w:rPr>
          <w:rFonts w:ascii="Work Sans" w:hAnsi="Work Sans" w:cs="Arial"/>
          <w:kern w:val="0"/>
          <w:sz w:val="20"/>
          <w:szCs w:val="20"/>
          <w:lang w:val="es-CO" w:eastAsia="es-ES" w:bidi="ar-SA"/>
        </w:rPr>
        <w:t xml:space="preserve"> U</w:t>
      </w:r>
      <w:proofErr w:type="spellStart"/>
      <w:r>
        <w:rPr>
          <w:rFonts w:ascii="Work Sans" w:hAnsi="Work Sans" w:cs="Arial"/>
          <w:kern w:val="0"/>
          <w:sz w:val="20"/>
          <w:szCs w:val="20"/>
          <w:lang w:val="es-ES_tradnl" w:eastAsia="es-ES" w:bidi="ar-SA"/>
        </w:rPr>
        <w:t>na</w:t>
      </w:r>
      <w:proofErr w:type="spellEnd"/>
      <w:r>
        <w:rPr>
          <w:rFonts w:ascii="Work Sans" w:hAnsi="Work Sans" w:cs="Arial"/>
          <w:kern w:val="0"/>
          <w:sz w:val="20"/>
          <w:szCs w:val="20"/>
          <w:lang w:val="es-ES_tradnl" w:eastAsia="es-ES" w:bidi="ar-SA"/>
        </w:rPr>
        <w:t xml:space="preserve"> vez expire el término señalado en el artículo 1 del presente acto administrativo, la caseta de control denominada Papiros se habilitará de manera automática el día calendario siguiente.</w:t>
      </w:r>
    </w:p>
    <w:p w:rsidR="00136284" w:rsidRDefault="00136284">
      <w:pPr>
        <w:ind w:right="56"/>
        <w:jc w:val="both"/>
        <w:textAlignment w:val="auto"/>
        <w:rPr>
          <w:rFonts w:ascii="Work Sans" w:hAnsi="Work Sans" w:cs="Arial"/>
          <w:kern w:val="0"/>
          <w:sz w:val="20"/>
          <w:szCs w:val="20"/>
          <w:lang w:val="es-ES_tradnl" w:eastAsia="es-ES" w:bidi="ar-SA"/>
        </w:rPr>
      </w:pPr>
    </w:p>
    <w:bookmarkEnd w:id="5"/>
    <w:p w:rsidR="00136284" w:rsidRDefault="00000000">
      <w:pPr>
        <w:widowControl/>
        <w:spacing w:line="276" w:lineRule="auto"/>
        <w:ind w:right="-1"/>
        <w:jc w:val="both"/>
        <w:textAlignment w:val="auto"/>
      </w:pPr>
      <w:r>
        <w:rPr>
          <w:rFonts w:ascii="Work Sans" w:hAnsi="Work Sans" w:cs="CIDFont+F2"/>
          <w:b/>
          <w:kern w:val="0"/>
          <w:sz w:val="20"/>
          <w:szCs w:val="20"/>
          <w:lang w:val="es-CO" w:eastAsia="es-CO" w:bidi="ar-SA"/>
        </w:rPr>
        <w:t>Artículo 3.-</w:t>
      </w:r>
      <w:r>
        <w:rPr>
          <w:rFonts w:ascii="Work Sans" w:hAnsi="Work Sans" w:cs="CIDFont+F2"/>
          <w:kern w:val="0"/>
          <w:sz w:val="20"/>
          <w:szCs w:val="20"/>
          <w:lang w:val="es-CO" w:eastAsia="es-CO" w:bidi="ar-SA"/>
        </w:rPr>
        <w:t xml:space="preserve"> </w:t>
      </w:r>
      <w:r>
        <w:rPr>
          <w:rFonts w:ascii="Work Sans" w:hAnsi="Work Sans" w:cs="CIDFont+F3"/>
          <w:kern w:val="0"/>
          <w:sz w:val="20"/>
          <w:szCs w:val="20"/>
          <w:lang w:val="es-CO" w:eastAsia="es-CO" w:bidi="ar-SA"/>
        </w:rPr>
        <w:t>La presente resolución rige a partir de la fecha de su publicación en el Diario Oficial.</w:t>
      </w:r>
    </w:p>
    <w:p w:rsidR="00136284" w:rsidRDefault="00136284">
      <w:pPr>
        <w:widowControl/>
        <w:spacing w:line="276" w:lineRule="auto"/>
        <w:ind w:right="-1"/>
        <w:jc w:val="both"/>
        <w:textAlignment w:val="auto"/>
        <w:rPr>
          <w:rFonts w:ascii="Work Sans" w:hAnsi="Work Sans" w:cs="Arial"/>
          <w:b/>
          <w:bCs/>
          <w:color w:val="000000"/>
          <w:sz w:val="20"/>
          <w:szCs w:val="20"/>
          <w:lang w:bidi="ar-SA"/>
        </w:rPr>
      </w:pPr>
    </w:p>
    <w:p w:rsidR="00136284" w:rsidRDefault="00000000">
      <w:pPr>
        <w:widowControl/>
        <w:spacing w:line="276" w:lineRule="auto"/>
        <w:ind w:right="-1"/>
        <w:jc w:val="center"/>
        <w:textAlignment w:val="auto"/>
        <w:rPr>
          <w:rFonts w:ascii="Work Sans" w:hAnsi="Work Sans" w:cs="Arial"/>
          <w:b/>
          <w:bCs/>
          <w:color w:val="000000"/>
          <w:sz w:val="20"/>
          <w:szCs w:val="20"/>
          <w:lang w:bidi="ar-SA"/>
        </w:rPr>
      </w:pPr>
      <w:r>
        <w:rPr>
          <w:rFonts w:ascii="Work Sans" w:hAnsi="Work Sans" w:cs="Arial"/>
          <w:b/>
          <w:bCs/>
          <w:color w:val="000000"/>
          <w:sz w:val="20"/>
          <w:szCs w:val="20"/>
          <w:lang w:bidi="ar-SA"/>
        </w:rPr>
        <w:t>PUBLÍQUESE, CÚMPLASE</w:t>
      </w:r>
    </w:p>
    <w:p w:rsidR="00136284" w:rsidRDefault="00136284">
      <w:pPr>
        <w:widowControl/>
        <w:spacing w:line="276" w:lineRule="auto"/>
        <w:ind w:right="-1"/>
        <w:jc w:val="both"/>
        <w:textAlignment w:val="auto"/>
        <w:rPr>
          <w:rFonts w:ascii="Work Sans" w:hAnsi="Work Sans" w:cs="Arial"/>
          <w:color w:val="000000"/>
          <w:sz w:val="20"/>
          <w:szCs w:val="20"/>
          <w:lang w:bidi="ar-SA"/>
        </w:rPr>
      </w:pPr>
    </w:p>
    <w:p w:rsidR="00136284" w:rsidRDefault="00136284">
      <w:pPr>
        <w:spacing w:line="276" w:lineRule="auto"/>
        <w:jc w:val="center"/>
        <w:textAlignment w:val="auto"/>
        <w:rPr>
          <w:rFonts w:ascii="Work Sans" w:eastAsia="DengXian Light" w:hAnsi="Work Sans" w:cs="Arial"/>
          <w:b/>
          <w:bCs/>
          <w:color w:val="000000"/>
          <w:sz w:val="20"/>
          <w:szCs w:val="20"/>
        </w:rPr>
      </w:pPr>
    </w:p>
    <w:p w:rsidR="00136284" w:rsidRDefault="00136284">
      <w:pPr>
        <w:spacing w:line="276" w:lineRule="auto"/>
        <w:jc w:val="center"/>
        <w:textAlignment w:val="auto"/>
        <w:rPr>
          <w:rFonts w:ascii="Work Sans" w:eastAsia="DengXian Light" w:hAnsi="Work Sans" w:cs="Arial"/>
          <w:b/>
          <w:bCs/>
          <w:color w:val="000000"/>
          <w:sz w:val="20"/>
          <w:szCs w:val="20"/>
        </w:rPr>
      </w:pPr>
    </w:p>
    <w:p w:rsidR="00136284" w:rsidRDefault="00136284">
      <w:pPr>
        <w:spacing w:line="276" w:lineRule="auto"/>
        <w:jc w:val="center"/>
        <w:textAlignment w:val="auto"/>
        <w:rPr>
          <w:rFonts w:ascii="Work Sans" w:eastAsia="DengXian Light" w:hAnsi="Work Sans" w:cs="Arial"/>
          <w:b/>
          <w:bCs/>
          <w:color w:val="000000"/>
          <w:sz w:val="20"/>
          <w:szCs w:val="20"/>
        </w:rPr>
      </w:pPr>
    </w:p>
    <w:p w:rsidR="00136284" w:rsidRDefault="00136284">
      <w:pPr>
        <w:spacing w:line="276" w:lineRule="auto"/>
        <w:jc w:val="center"/>
        <w:textAlignment w:val="auto"/>
        <w:rPr>
          <w:rFonts w:ascii="Work Sans" w:eastAsia="DengXian Light" w:hAnsi="Work Sans" w:cs="Arial"/>
          <w:b/>
          <w:bCs/>
          <w:color w:val="000000"/>
          <w:sz w:val="20"/>
          <w:szCs w:val="20"/>
        </w:rPr>
      </w:pPr>
    </w:p>
    <w:p w:rsidR="00136284" w:rsidRDefault="00136284">
      <w:pPr>
        <w:spacing w:line="276" w:lineRule="auto"/>
        <w:jc w:val="center"/>
        <w:textAlignment w:val="auto"/>
        <w:rPr>
          <w:rFonts w:ascii="Work Sans" w:eastAsia="DengXian Light" w:hAnsi="Work Sans" w:cs="Arial"/>
          <w:b/>
          <w:bCs/>
          <w:color w:val="000000"/>
          <w:sz w:val="20"/>
          <w:szCs w:val="20"/>
        </w:rPr>
      </w:pPr>
    </w:p>
    <w:p w:rsidR="00136284" w:rsidRDefault="00136284">
      <w:pPr>
        <w:spacing w:line="276" w:lineRule="auto"/>
        <w:jc w:val="center"/>
        <w:textAlignment w:val="auto"/>
        <w:rPr>
          <w:rFonts w:ascii="Work Sans" w:eastAsia="DengXian Light" w:hAnsi="Work Sans" w:cs="Arial"/>
          <w:b/>
          <w:bCs/>
          <w:color w:val="000000"/>
          <w:sz w:val="20"/>
          <w:szCs w:val="20"/>
        </w:rPr>
      </w:pPr>
    </w:p>
    <w:p w:rsidR="00136284" w:rsidRDefault="00136284">
      <w:pPr>
        <w:spacing w:line="276" w:lineRule="auto"/>
        <w:jc w:val="center"/>
        <w:textAlignment w:val="auto"/>
        <w:rPr>
          <w:rFonts w:ascii="Work Sans" w:eastAsia="DengXian Light" w:hAnsi="Work Sans" w:cs="Arial"/>
          <w:b/>
          <w:bCs/>
          <w:color w:val="000000"/>
          <w:sz w:val="20"/>
          <w:szCs w:val="20"/>
        </w:rPr>
      </w:pPr>
    </w:p>
    <w:p w:rsidR="00136284" w:rsidRDefault="00000000">
      <w:pPr>
        <w:autoSpaceDE w:val="0"/>
        <w:spacing w:line="276" w:lineRule="auto"/>
        <w:jc w:val="center"/>
        <w:textAlignment w:val="auto"/>
      </w:pPr>
      <w:r>
        <w:rPr>
          <w:rFonts w:ascii="Work Sans" w:hAnsi="Work Sans" w:cs="Arial"/>
          <w:b/>
          <w:bCs/>
          <w:color w:val="000000"/>
          <w:sz w:val="20"/>
          <w:szCs w:val="20"/>
          <w:lang w:bidi="ar-SA"/>
        </w:rPr>
        <w:t>GUILLERMO FRANCISCO REYES GONZÁLEZ</w:t>
      </w:r>
    </w:p>
    <w:sectPr w:rsidR="00136284">
      <w:headerReference w:type="default" r:id="rId8"/>
      <w:pgSz w:w="12247" w:h="18711"/>
      <w:pgMar w:top="1418" w:right="1701" w:bottom="567" w:left="1985" w:header="851" w:footer="720"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4E42" w:rsidRDefault="00914E42">
      <w:r>
        <w:separator/>
      </w:r>
    </w:p>
  </w:endnote>
  <w:endnote w:type="continuationSeparator" w:id="0">
    <w:p w:rsidR="00914E42" w:rsidRDefault="00914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Work Sans">
    <w:panose1 w:val="00000800000000000000"/>
    <w:charset w:val="4D"/>
    <w:family w:val="auto"/>
    <w:notTrueType/>
    <w:pitch w:val="variable"/>
    <w:sig w:usb0="20000007" w:usb1="00000001" w:usb2="00000000" w:usb3="00000000" w:csb0="00000193" w:csb1="00000000"/>
  </w:font>
  <w:font w:name="Caladea">
    <w:panose1 w:val="020B0604020202020204"/>
    <w:charset w:val="00"/>
    <w:family w:val="auto"/>
    <w:pitch w:val="variable"/>
  </w:font>
  <w:font w:name="DengXian Light">
    <w:panose1 w:val="02010600030101010101"/>
    <w:charset w:val="86"/>
    <w:family w:val="auto"/>
    <w:pitch w:val="variable"/>
    <w:sig w:usb0="A00002BF" w:usb1="38CF7CFA" w:usb2="00000016" w:usb3="00000000" w:csb0="0004000F" w:csb1="00000000"/>
  </w:font>
  <w:font w:name="DejaVu Sans">
    <w:panose1 w:val="020B0604020202020204"/>
    <w:charset w:val="00"/>
    <w:family w:val="swiss"/>
    <w:pitch w:val="variable"/>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IDFont+F2">
    <w:panose1 w:val="020B0604020202020204"/>
    <w:charset w:val="00"/>
    <w:family w:val="auto"/>
    <w:pitch w:val="default"/>
  </w:font>
  <w:font w:name="CIDFont+F3">
    <w:panose1 w:val="020B0604020202020204"/>
    <w:charset w:val="00"/>
    <w:family w:val="auto"/>
    <w:pitch w:val="default"/>
  </w:font>
  <w:font w:name="Code3of9">
    <w:altName w:val="Calibri"/>
    <w:panose1 w:val="020B0604020202020204"/>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4E42" w:rsidRDefault="00914E42">
      <w:r>
        <w:rPr>
          <w:color w:val="000000"/>
        </w:rPr>
        <w:separator/>
      </w:r>
    </w:p>
  </w:footnote>
  <w:footnote w:type="continuationSeparator" w:id="0">
    <w:p w:rsidR="00914E42" w:rsidRDefault="00914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4F9B" w:rsidRDefault="00000000">
    <w:r>
      <w:rPr>
        <w:noProof/>
        <w:lang w:val="es-CO" w:eastAsia="es-CO" w:bidi="ar-SA"/>
      </w:rPr>
      <w:drawing>
        <wp:inline distT="0" distB="0" distL="0" distR="0">
          <wp:extent cx="2552757" cy="447836"/>
          <wp:effectExtent l="0" t="0" r="0" b="0"/>
          <wp:docPr id="1" name="Imagen 2" descr="C:\Users\cecampos\Downloads\17. Ministerio de Transporte-0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552757" cy="447836"/>
                  </a:xfrm>
                  <a:prstGeom prst="rect">
                    <a:avLst/>
                  </a:prstGeom>
                  <a:noFill/>
                  <a:ln>
                    <a:noFill/>
                    <a:prstDash/>
                  </a:ln>
                </pic:spPr>
              </pic:pic>
            </a:graphicData>
          </a:graphic>
        </wp:inline>
      </w:drawing>
    </w:r>
  </w:p>
  <w:p w:rsidR="00B44F9B" w:rsidRDefault="00000000">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rsidR="00B44F9B" w:rsidRDefault="00000000">
    <w:pPr>
      <w:pStyle w:val="Encabezado"/>
      <w:jc w:val="center"/>
    </w:pPr>
    <w:r>
      <w:rPr>
        <w:rFonts w:ascii="Work Sans" w:hAnsi="Work Sans"/>
        <w:sz w:val="20"/>
      </w:rPr>
      <w:t xml:space="preserve">de </w:t>
    </w:r>
    <w:r>
      <w:rPr>
        <w:rFonts w:ascii="Work Sans" w:hAnsi="Work Sans" w:cs="Arial"/>
        <w:sz w:val="20"/>
        <w:lang w:val="es-CO"/>
      </w:rPr>
      <w:t>*F_RAD_S*</w:t>
    </w:r>
  </w:p>
  <w:p w:rsidR="00B44F9B" w:rsidRDefault="00000000">
    <w:pPr>
      <w:pStyle w:val="Encabezado"/>
      <w:jc w:val="center"/>
    </w:pPr>
    <w:r>
      <w:rPr>
        <w:rFonts w:ascii="Code3of9" w:hAnsi="Code3of9" w:cs="Tahoma"/>
        <w:sz w:val="36"/>
        <w:szCs w:val="40"/>
      </w:rPr>
      <w:t>**RAD_S**</w:t>
    </w:r>
  </w:p>
  <w:p w:rsidR="00B44F9B" w:rsidRDefault="00000000">
    <w:pPr>
      <w:pStyle w:val="Standard"/>
      <w:autoSpaceDE w:val="0"/>
      <w:rPr>
        <w:rFonts w:ascii="Work Sans" w:hAnsi="Work Sans"/>
        <w:sz w:val="18"/>
        <w:szCs w:val="18"/>
      </w:rPr>
    </w:pPr>
  </w:p>
  <w:p w:rsidR="00B44F9B" w:rsidRDefault="00000000">
    <w:pPr>
      <w:pStyle w:val="Standard"/>
      <w:autoSpaceDE w:val="0"/>
      <w:rPr>
        <w:rFonts w:ascii="Work Sans" w:hAnsi="Work Sans"/>
        <w:sz w:val="18"/>
        <w:szCs w:val="18"/>
      </w:rPr>
    </w:pPr>
  </w:p>
  <w:p w:rsidR="00B44F9B" w:rsidRDefault="00000000">
    <w:pPr>
      <w:ind w:right="56"/>
      <w:jc w:val="center"/>
      <w:textAlignment w:val="auto"/>
    </w:pPr>
    <w:r>
      <w:rPr>
        <w:rFonts w:ascii="Work Sans" w:hAnsi="Work Sans" w:cs="Arial"/>
        <w:i/>
        <w:kern w:val="0"/>
        <w:sz w:val="20"/>
        <w:szCs w:val="20"/>
        <w:lang w:val="es-CO" w:eastAsia="es-ES" w:bidi="ar-SA"/>
      </w:rPr>
      <w:t>“Por la cual se s</w:t>
    </w:r>
    <w:proofErr w:type="spellStart"/>
    <w:r>
      <w:rPr>
        <w:rFonts w:ascii="Work Sans" w:hAnsi="Work Sans" w:cs="Arial"/>
        <w:i/>
        <w:kern w:val="0"/>
        <w:sz w:val="20"/>
        <w:szCs w:val="20"/>
        <w:lang w:val="es-ES_tradnl" w:eastAsia="es-ES" w:bidi="ar-SA"/>
      </w:rPr>
      <w:t>uspende</w:t>
    </w:r>
    <w:proofErr w:type="spellEnd"/>
    <w:r>
      <w:rPr>
        <w:rFonts w:ascii="Work Sans" w:hAnsi="Work Sans" w:cs="Arial"/>
        <w:i/>
        <w:kern w:val="0"/>
        <w:sz w:val="20"/>
        <w:szCs w:val="20"/>
        <w:lang w:val="es-ES_tradnl" w:eastAsia="es-ES" w:bidi="ar-SA"/>
      </w:rPr>
      <w:t xml:space="preserve"> por el término de 45 días calendario la caseta de control denominada Papiros, localizada en el PR103 + 600 del</w:t>
    </w:r>
    <w:r>
      <w:rPr>
        <w:rFonts w:ascii="Work Sans" w:hAnsi="Work Sans"/>
        <w:i/>
        <w:color w:val="0A0A0A"/>
        <w:sz w:val="20"/>
        <w:szCs w:val="20"/>
      </w:rPr>
      <w:t xml:space="preserve"> trayecto Cartagena – Barranquilla y Circunvalar de la Prosperidad</w:t>
    </w:r>
    <w:r>
      <w:rPr>
        <w:rFonts w:ascii="Work Sans" w:hAnsi="Work Sans" w:cs="Arial"/>
        <w:i/>
        <w:kern w:val="0"/>
        <w:sz w:val="20"/>
        <w:szCs w:val="20"/>
        <w:lang w:val="es-CO" w:eastAsia="es-ES" w:bidi="ar-SA"/>
      </w:rPr>
      <w:t>”.</w:t>
    </w:r>
  </w:p>
  <w:p w:rsidR="00B44F9B" w:rsidRDefault="00000000">
    <w:pPr>
      <w:widowControl/>
      <w:suppressLineNumbers/>
      <w:tabs>
        <w:tab w:val="center" w:pos="4819"/>
        <w:tab w:val="right" w:pos="9638"/>
      </w:tabs>
      <w:jc w:val="center"/>
      <w:textAlignment w:val="auto"/>
      <w:rPr>
        <w:rFonts w:ascii="Work Sans" w:eastAsia="Courier New" w:hAnsi="Work Sans" w:cs="Courier New"/>
        <w:sz w:val="20"/>
        <w:szCs w:val="20"/>
        <w:lang w:val="es-ES_tradnl"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D3C"/>
    <w:multiLevelType w:val="multilevel"/>
    <w:tmpl w:val="79D452B2"/>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3CE1C32"/>
    <w:multiLevelType w:val="multilevel"/>
    <w:tmpl w:val="AC7A746E"/>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91234C3"/>
    <w:multiLevelType w:val="multilevel"/>
    <w:tmpl w:val="D3B421E8"/>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 w15:restartNumberingAfterBreak="0">
    <w:nsid w:val="221947D1"/>
    <w:multiLevelType w:val="multilevel"/>
    <w:tmpl w:val="BA0AB394"/>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282A11BC"/>
    <w:multiLevelType w:val="multilevel"/>
    <w:tmpl w:val="15000C02"/>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35E41C7A"/>
    <w:multiLevelType w:val="multilevel"/>
    <w:tmpl w:val="3ADC7F7A"/>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4ED8748D"/>
    <w:multiLevelType w:val="multilevel"/>
    <w:tmpl w:val="36A02624"/>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54C54E3C"/>
    <w:multiLevelType w:val="multilevel"/>
    <w:tmpl w:val="2BA0240C"/>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54EE6576"/>
    <w:multiLevelType w:val="multilevel"/>
    <w:tmpl w:val="32B22954"/>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574D7F90"/>
    <w:multiLevelType w:val="multilevel"/>
    <w:tmpl w:val="177C689E"/>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58C42493"/>
    <w:multiLevelType w:val="multilevel"/>
    <w:tmpl w:val="8D6AB056"/>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 w15:restartNumberingAfterBreak="0">
    <w:nsid w:val="5C0E4992"/>
    <w:multiLevelType w:val="multilevel"/>
    <w:tmpl w:val="7A5C838A"/>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5CD061D3"/>
    <w:multiLevelType w:val="multilevel"/>
    <w:tmpl w:val="4802068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60EF6E5A"/>
    <w:multiLevelType w:val="multilevel"/>
    <w:tmpl w:val="94CCD8DE"/>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614F6DFE"/>
    <w:multiLevelType w:val="multilevel"/>
    <w:tmpl w:val="010A290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67C54DBA"/>
    <w:multiLevelType w:val="multilevel"/>
    <w:tmpl w:val="48F43EEA"/>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6C821756"/>
    <w:multiLevelType w:val="multilevel"/>
    <w:tmpl w:val="E2B4B59E"/>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725C7C55"/>
    <w:multiLevelType w:val="multilevel"/>
    <w:tmpl w:val="5192D702"/>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75911A83"/>
    <w:multiLevelType w:val="multilevel"/>
    <w:tmpl w:val="7F5C711E"/>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16cid:durableId="1004817912">
    <w:abstractNumId w:val="13"/>
  </w:num>
  <w:num w:numId="2" w16cid:durableId="1889950175">
    <w:abstractNumId w:val="17"/>
  </w:num>
  <w:num w:numId="3" w16cid:durableId="47611672">
    <w:abstractNumId w:val="2"/>
  </w:num>
  <w:num w:numId="4" w16cid:durableId="359673445">
    <w:abstractNumId w:val="1"/>
  </w:num>
  <w:num w:numId="5" w16cid:durableId="1506701054">
    <w:abstractNumId w:val="3"/>
  </w:num>
  <w:num w:numId="6" w16cid:durableId="1532762212">
    <w:abstractNumId w:val="12"/>
  </w:num>
  <w:num w:numId="7" w16cid:durableId="1904558032">
    <w:abstractNumId w:val="15"/>
  </w:num>
  <w:num w:numId="8" w16cid:durableId="1629434381">
    <w:abstractNumId w:val="8"/>
  </w:num>
  <w:num w:numId="9" w16cid:durableId="2064524045">
    <w:abstractNumId w:val="9"/>
  </w:num>
  <w:num w:numId="10" w16cid:durableId="1678384184">
    <w:abstractNumId w:val="11"/>
  </w:num>
  <w:num w:numId="11" w16cid:durableId="1327782690">
    <w:abstractNumId w:val="6"/>
  </w:num>
  <w:num w:numId="12" w16cid:durableId="2039702014">
    <w:abstractNumId w:val="16"/>
  </w:num>
  <w:num w:numId="13" w16cid:durableId="77823954">
    <w:abstractNumId w:val="4"/>
  </w:num>
  <w:num w:numId="14" w16cid:durableId="1771198017">
    <w:abstractNumId w:val="14"/>
  </w:num>
  <w:num w:numId="15" w16cid:durableId="527253514">
    <w:abstractNumId w:val="7"/>
  </w:num>
  <w:num w:numId="16" w16cid:durableId="1825854815">
    <w:abstractNumId w:val="0"/>
  </w:num>
  <w:num w:numId="17" w16cid:durableId="1983385118">
    <w:abstractNumId w:val="18"/>
  </w:num>
  <w:num w:numId="18" w16cid:durableId="957028874">
    <w:abstractNumId w:val="10"/>
  </w:num>
  <w:num w:numId="19" w16cid:durableId="61412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36284"/>
    <w:rsid w:val="00136284"/>
    <w:rsid w:val="004217E1"/>
    <w:rsid w:val="00914E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docId w15:val="{EA90C658-F268-6941-8ACE-760BD5F7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eastAsia="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eastAsia="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suppressAutoHyphens/>
    </w:pPr>
    <w:rPr>
      <w:rFonts w:ascii="Courier New" w:eastAsia="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eastAsia="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eastAsia="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eastAsia="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eastAsia="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eastAsia="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eastAsia="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eastAsia="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eastAsia="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eastAsia="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eastAsia="Times New Roman" w:hAnsi="Times New Roman" w:cs="Times New Roman"/>
      <w:sz w:val="18"/>
    </w:rPr>
  </w:style>
  <w:style w:type="paragraph" w:styleId="Ttulodendice">
    <w:name w:val="index heading"/>
    <w:basedOn w:val="Standard"/>
    <w:next w:val="ndice10"/>
    <w:pPr>
      <w:spacing w:before="240" w:after="120"/>
      <w:jc w:val="center"/>
    </w:pPr>
    <w:rPr>
      <w:rFonts w:ascii="Times New Roman" w:eastAsia="Times New Roman" w:hAnsi="Times New Roman" w:cs="Times New Roman"/>
      <w:b/>
      <w:sz w:val="26"/>
    </w:rPr>
  </w:style>
  <w:style w:type="paragraph" w:styleId="Encabezado">
    <w:name w:val="header"/>
    <w:basedOn w:val="HeaderandFooter"/>
  </w:style>
  <w:style w:type="paragraph" w:customStyle="1" w:styleId="HeaderandFooter">
    <w:name w:val="Header and Footer"/>
    <w:basedOn w:val="Standard"/>
    <w:pPr>
      <w:suppressLineNumbers/>
      <w:tabs>
        <w:tab w:val="center" w:pos="4819"/>
        <w:tab w:val="right" w:pos="9638"/>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tabs>
        <w:tab w:val="left" w:pos="-720"/>
      </w:tabs>
      <w:suppressAutoHyphens/>
    </w:pPr>
    <w:rPr>
      <w:rFonts w:ascii="Courier" w:eastAsia="Courier" w:hAnsi="Courier" w:cs="Courier"/>
      <w:kern w:val="3"/>
      <w:sz w:val="24"/>
      <w:lang w:val="en-US" w:eastAsia="zh-CN"/>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eastAsia="Times New Roman" w:hAnsi="Times New Roman" w:cs="Times New Roman"/>
      <w:szCs w:val="24"/>
      <w:lang w:val="es-CO"/>
    </w:rPr>
  </w:style>
  <w:style w:type="paragraph" w:styleId="Sinespaciado">
    <w:name w:val="No Spacing"/>
    <w:pPr>
      <w:suppressAutoHyphens/>
    </w:pPr>
    <w:rPr>
      <w:rFonts w:ascii="Courier New" w:eastAsia="Courier New" w:hAnsi="Courier New" w:cs="Courier New"/>
      <w:kern w:val="3"/>
      <w:sz w:val="24"/>
      <w:lang w:val="es-ES" w:eastAsia="zh-CN"/>
    </w:rPr>
  </w:style>
  <w:style w:type="paragraph" w:customStyle="1" w:styleId="WW-Default">
    <w:name w:val="WW-Default"/>
    <w:pPr>
      <w:suppressAutoHyphens/>
      <w:autoSpaceDE w:val="0"/>
    </w:pPr>
    <w:rPr>
      <w:rFonts w:ascii="Verdana" w:eastAsia="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eastAsia="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eastAsia="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eastAsia="Arial" w:hAnsi="Arial" w:cs="Arial"/>
      <w:kern w:val="3"/>
      <w:sz w:val="24"/>
      <w:szCs w:val="24"/>
      <w:lang w:val="en-US" w:eastAsia="zh-CN"/>
    </w:rPr>
  </w:style>
  <w:style w:type="paragraph" w:styleId="Textodeglobo">
    <w:name w:val="Balloon Text"/>
    <w:basedOn w:val="Normal"/>
    <w:rPr>
      <w:rFonts w:ascii="Tahoma" w:eastAsia="Tahoma" w:hAnsi="Tahoma" w:cs="Mangal"/>
      <w:sz w:val="16"/>
      <w:szCs w:val="14"/>
    </w:rPr>
  </w:style>
  <w:style w:type="paragraph" w:styleId="Asuntodelcomentario">
    <w:name w:val="annotation subject"/>
    <w:basedOn w:val="Textocomentario"/>
    <w:next w:val="Textocomentario"/>
    <w:pPr>
      <w:widowControl w:val="0"/>
    </w:pPr>
    <w:rPr>
      <w:rFonts w:ascii="Liberation Serif" w:eastAsia="Liberation Serif" w:hAnsi="Liberation Serif" w:cs="Mangal"/>
      <w:b/>
      <w:bCs/>
      <w:szCs w:val="18"/>
      <w:lang w:bidi="hi-IN"/>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Courier New" w:hAnsi="Courier New" w:cs="Courier New"/>
      <w:kern w:val="0"/>
      <w:sz w:val="20"/>
      <w:szCs w:val="20"/>
      <w:lang w:val="es-CO" w:eastAsia="es-CO" w:bidi="ar-SA"/>
    </w:rPr>
  </w:style>
  <w:style w:type="paragraph" w:styleId="Revisin">
    <w:name w:val="Revision"/>
    <w:rPr>
      <w:rFonts w:cs="Mangal"/>
      <w:kern w:val="3"/>
      <w:sz w:val="24"/>
      <w:szCs w:val="21"/>
      <w:lang w:val="es-ES" w:eastAsia="zh-CN" w:bidi="hi-IN"/>
    </w:rPr>
  </w:style>
  <w:style w:type="paragraph" w:customStyle="1" w:styleId="Estilo1">
    <w:name w:val="Estilo1"/>
    <w:basedOn w:val="Normal"/>
    <w:pPr>
      <w:widowControl/>
    </w:pPr>
    <w:rPr>
      <w:rFonts w:ascii="Arial" w:eastAsia="Arial" w:hAnsi="Arial" w:cs="Arial"/>
      <w:sz w:val="20"/>
      <w:szCs w:val="20"/>
      <w:lang w:bidi="ar-SA"/>
    </w:rPr>
  </w:style>
  <w:style w:type="paragraph" w:styleId="Textonotaalfinal">
    <w:name w:val="endnote text"/>
    <w:basedOn w:val="Normal"/>
    <w:rPr>
      <w:rFonts w:cs="Mangal"/>
      <w:sz w:val="20"/>
      <w:szCs w:val="18"/>
    </w:rPr>
  </w:style>
  <w:style w:type="paragraph" w:styleId="Textonotapie">
    <w:name w:val="footnote text"/>
    <w:basedOn w:val="Normal"/>
    <w:rPr>
      <w:rFonts w:cs="Mangal"/>
      <w:sz w:val="20"/>
      <w:szCs w:val="18"/>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character" w:customStyle="1" w:styleId="EncabezadoCar">
    <w:name w:val="Encabezado Car"/>
    <w:rPr>
      <w:rFonts w:cs="Mangal"/>
      <w:sz w:val="21"/>
      <w:szCs w:val="21"/>
    </w:rPr>
  </w:style>
  <w:style w:type="character" w:customStyle="1" w:styleId="PiedepginaCar">
    <w:name w:val="Pie de página Car"/>
    <w:rPr>
      <w:rFonts w:cs="Mangal"/>
      <w:sz w:val="21"/>
      <w:szCs w:val="21"/>
    </w:rPr>
  </w:style>
  <w:style w:type="character" w:customStyle="1" w:styleId="Textoindependiente2Car">
    <w:name w:val="Texto independiente 2 Car"/>
    <w:rPr>
      <w:rFonts w:cs="Mangal"/>
      <w:sz w:val="21"/>
      <w:szCs w:val="21"/>
      <w:lang w:bidi="hi-IN"/>
    </w:rPr>
  </w:style>
  <w:style w:type="character" w:customStyle="1" w:styleId="Textoindependiente3Car">
    <w:name w:val="Texto independiente 3 Car"/>
    <w:rPr>
      <w:rFonts w:cs="Mangal"/>
      <w:sz w:val="14"/>
      <w:szCs w:val="14"/>
      <w:lang w:bidi="hi-IN"/>
    </w:rPr>
  </w:style>
  <w:style w:type="character" w:customStyle="1" w:styleId="TextocomentarioCar">
    <w:name w:val="Texto comentario Car"/>
    <w:rPr>
      <w:rFonts w:ascii="Arial" w:eastAsia="Arial" w:hAnsi="Arial" w:cs="Arial"/>
      <w:sz w:val="20"/>
      <w:szCs w:val="20"/>
      <w:lang w:bidi="ar-SA"/>
    </w:rPr>
  </w:style>
  <w:style w:type="character" w:customStyle="1" w:styleId="TextodegloboCar">
    <w:name w:val="Texto de globo Car"/>
    <w:rPr>
      <w:rFonts w:ascii="Tahoma" w:eastAsia="Tahoma" w:hAnsi="Tahoma" w:cs="Mangal"/>
      <w:sz w:val="14"/>
      <w:szCs w:val="14"/>
    </w:rPr>
  </w:style>
  <w:style w:type="character" w:customStyle="1" w:styleId="WW8Num1z0">
    <w:name w:val="WW8Num1z0"/>
    <w:rPr>
      <w:rFonts w:ascii="Arial" w:eastAsia="Arial" w:hAnsi="Arial" w:cs="Arial"/>
      <w:spacing w:val="6"/>
      <w:sz w:val="22"/>
    </w:rPr>
  </w:style>
  <w:style w:type="character" w:customStyle="1" w:styleId="WW8Num2z0">
    <w:name w:val="WW8Num2z0"/>
    <w:rPr>
      <w:rFonts w:ascii="Arial" w:eastAsia="Arial" w:hAnsi="Arial" w:cs="Arial"/>
      <w:sz w:val="24"/>
    </w:rPr>
  </w:style>
  <w:style w:type="character" w:customStyle="1" w:styleId="WW8Num5z0">
    <w:name w:val="WW8Num5z0"/>
  </w:style>
  <w:style w:type="character" w:customStyle="1" w:styleId="WW8Num8z0">
    <w:name w:val="WW8Num8z0"/>
    <w:rPr>
      <w:rFonts w:ascii="Arial" w:eastAsia="Arial" w:hAnsi="Arial" w:cs="Arial"/>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character" w:customStyle="1" w:styleId="AsuntodelcomentarioCar">
    <w:name w:val="Asunto del comentario Car"/>
    <w:rPr>
      <w:rFonts w:ascii="Arial" w:eastAsia="Arial" w:hAnsi="Arial" w:cs="Mangal"/>
      <w:b/>
      <w:bCs/>
      <w:sz w:val="18"/>
      <w:szCs w:val="18"/>
      <w:lang w:bidi="ar-SA"/>
    </w:rPr>
  </w:style>
  <w:style w:type="character" w:customStyle="1" w:styleId="StandardCar">
    <w:name w:val="Standard Car"/>
    <w:rPr>
      <w:rFonts w:ascii="Courier New" w:eastAsia="Courier New" w:hAnsi="Courier New" w:cs="Courier New"/>
      <w:sz w:val="20"/>
      <w:szCs w:val="20"/>
      <w:lang w:bidi="ar-SA"/>
    </w:rPr>
  </w:style>
  <w:style w:type="character" w:customStyle="1" w:styleId="HTMLconformatoprevioCar">
    <w:name w:val="HTML con formato previo Car"/>
    <w:basedOn w:val="Fuentedeprrafopredeter"/>
    <w:rPr>
      <w:rFonts w:ascii="Courier New" w:eastAsia="Courier New" w:hAnsi="Courier New" w:cs="Courier New"/>
    </w:rPr>
  </w:style>
  <w:style w:type="character" w:styleId="Hipervnculo">
    <w:name w:val="Hyperlink"/>
    <w:basedOn w:val="Fuentedeprrafopredeter"/>
    <w:rPr>
      <w:color w:val="0000FF"/>
      <w:u w:val="single"/>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customStyle="1" w:styleId="pa8">
    <w:name w:val="pa8"/>
    <w:basedOn w:val="Normal"/>
    <w:pPr>
      <w:widowControl/>
      <w:suppressAutoHyphens w:val="0"/>
      <w:spacing w:before="100" w:after="100"/>
      <w:textAlignment w:val="auto"/>
    </w:pPr>
    <w:rPr>
      <w:rFonts w:ascii="Times New Roman" w:hAnsi="Times New Roman" w:cs="Times New Roman"/>
      <w:kern w:val="0"/>
      <w:lang w:val="es-CO" w:eastAsia="es-CO" w:bidi="ar-SA"/>
    </w:rPr>
  </w:style>
  <w:style w:type="character" w:customStyle="1" w:styleId="spelle">
    <w:name w:val="spelle"/>
    <w:basedOn w:val="Fuentedeprrafopredete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1911</Words>
  <Characters>10516</Characters>
  <Application>Microsoft Office Word</Application>
  <DocSecurity>0</DocSecurity>
  <Lines>87</Lines>
  <Paragraphs>24</Paragraphs>
  <ScaleCrop>false</ScaleCrop>
  <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Microsoft Office User</cp:lastModifiedBy>
  <cp:revision>2</cp:revision>
  <cp:lastPrinted>2020-04-03T23:17:00Z</cp:lastPrinted>
  <dcterms:created xsi:type="dcterms:W3CDTF">2023-02-09T20:46:00Z</dcterms:created>
  <dcterms:modified xsi:type="dcterms:W3CDTF">2023-02-09T20:46:00Z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