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495AF" w14:textId="77777777" w:rsidR="00A32D08" w:rsidRDefault="00F60DDF" w:rsidP="00AA404C">
      <w:pPr>
        <w:jc w:val="center"/>
      </w:pPr>
      <w:r w:rsidRPr="00F60DDF">
        <w:rPr>
          <w:noProof/>
        </w:rPr>
        <w:drawing>
          <wp:anchor distT="0" distB="0" distL="114300" distR="114300" simplePos="0" relativeHeight="251659264" behindDoc="0" locked="0" layoutInCell="1" allowOverlap="1" wp14:anchorId="24F433B2" wp14:editId="476FF54D">
            <wp:simplePos x="0" y="0"/>
            <wp:positionH relativeFrom="column">
              <wp:posOffset>4444365</wp:posOffset>
            </wp:positionH>
            <wp:positionV relativeFrom="paragraph">
              <wp:posOffset>-367030</wp:posOffset>
            </wp:positionV>
            <wp:extent cx="1143000" cy="1466850"/>
            <wp:effectExtent l="19050" t="0" r="0" b="0"/>
            <wp:wrapNone/>
            <wp:docPr id="8" name="Imagen 2" descr="http://web.presidencia.gov.co/asiescolombia/escudocol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eb.presidencia.gov.co/asiescolombia/escudocolgar.jpg"/>
                    <pic:cNvPicPr>
                      <a:picLocks noChangeAspect="1" noChangeArrowheads="1"/>
                    </pic:cNvPicPr>
                  </pic:nvPicPr>
                  <pic:blipFill>
                    <a:blip r:embed="rId8" r:link="rId9" cstate="print">
                      <a:clrChange>
                        <a:clrFrom>
                          <a:srgbClr val="FFFFFF"/>
                        </a:clrFrom>
                        <a:clrTo>
                          <a:srgbClr val="FFFFFF">
                            <a:alpha val="0"/>
                          </a:srgbClr>
                        </a:clrTo>
                      </a:clrChange>
                    </a:blip>
                    <a:srcRect/>
                    <a:stretch>
                      <a:fillRect/>
                    </a:stretch>
                  </pic:blipFill>
                  <pic:spPr bwMode="auto">
                    <a:xfrm>
                      <a:off x="0" y="0"/>
                      <a:ext cx="1143000" cy="1466850"/>
                    </a:xfrm>
                    <a:prstGeom prst="rect">
                      <a:avLst/>
                    </a:prstGeom>
                    <a:noFill/>
                    <a:ln w="9525">
                      <a:noFill/>
                      <a:miter lim="800000"/>
                      <a:headEnd/>
                      <a:tailEnd/>
                    </a:ln>
                  </pic:spPr>
                </pic:pic>
              </a:graphicData>
            </a:graphic>
          </wp:anchor>
        </w:drawing>
      </w:r>
    </w:p>
    <w:p w14:paraId="329F31DE" w14:textId="77777777" w:rsidR="00F60DDF" w:rsidRDefault="00F60DDF" w:rsidP="00AA404C">
      <w:pPr>
        <w:jc w:val="center"/>
      </w:pPr>
    </w:p>
    <w:p w14:paraId="2048DC94" w14:textId="77777777" w:rsidR="00F60DDF" w:rsidRDefault="00F60DDF" w:rsidP="00AA404C">
      <w:pPr>
        <w:jc w:val="center"/>
      </w:pPr>
    </w:p>
    <w:p w14:paraId="2642E5D2" w14:textId="77777777" w:rsidR="00F60DDF" w:rsidRDefault="00F60DDF" w:rsidP="00AA404C">
      <w:pPr>
        <w:jc w:val="center"/>
      </w:pPr>
    </w:p>
    <w:p w14:paraId="6F776AC6" w14:textId="77777777" w:rsidR="00F60DDF" w:rsidRDefault="009D561E" w:rsidP="00AA404C">
      <w:pPr>
        <w:jc w:val="center"/>
      </w:pPr>
      <w:r>
        <w:rPr>
          <w:noProof/>
        </w:rPr>
        <mc:AlternateContent>
          <mc:Choice Requires="wpg">
            <w:drawing>
              <wp:anchor distT="0" distB="0" distL="114300" distR="114300" simplePos="0" relativeHeight="251660288" behindDoc="0" locked="0" layoutInCell="0" allowOverlap="1" wp14:anchorId="2D22694F" wp14:editId="1C2EC97A">
                <wp:simplePos x="0" y="0"/>
                <wp:positionH relativeFrom="page">
                  <wp:posOffset>-51435</wp:posOffset>
                </wp:positionH>
                <wp:positionV relativeFrom="margin">
                  <wp:posOffset>1547495</wp:posOffset>
                </wp:positionV>
                <wp:extent cx="7771130" cy="6233795"/>
                <wp:effectExtent l="0" t="4445" r="0" b="63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130" cy="6233795"/>
                          <a:chOff x="0" y="1440"/>
                          <a:chExt cx="12239" cy="12960"/>
                        </a:xfrm>
                      </wpg:grpSpPr>
                      <wpg:grpSp>
                        <wpg:cNvPr id="9" name="Group 3"/>
                        <wpg:cNvGrpSpPr>
                          <a:grpSpLocks/>
                        </wpg:cNvGrpSpPr>
                        <wpg:grpSpPr bwMode="auto">
                          <a:xfrm>
                            <a:off x="0" y="9661"/>
                            <a:ext cx="12239" cy="4739"/>
                            <a:chOff x="-6" y="3399"/>
                            <a:chExt cx="12197" cy="4253"/>
                          </a:xfrm>
                        </wpg:grpSpPr>
                        <wpg:grpSp>
                          <wpg:cNvPr id="10" name="Group 4"/>
                          <wpg:cNvGrpSpPr>
                            <a:grpSpLocks/>
                          </wpg:cNvGrpSpPr>
                          <wpg:grpSpPr bwMode="auto">
                            <a:xfrm>
                              <a:off x="-6" y="3717"/>
                              <a:ext cx="12189" cy="3550"/>
                              <a:chOff x="18" y="7468"/>
                              <a:chExt cx="12189" cy="3550"/>
                            </a:xfrm>
                          </wpg:grpSpPr>
                          <wps:wsp>
                            <wps:cNvPr id="11" name="Freeform 5"/>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noFill/>
                              <a:ln>
                                <a:noFill/>
                              </a:ln>
                              <a:extLst>
                                <a:ext uri="{909E8E84-426E-40DD-AFC4-6F175D3DCCD1}">
                                  <a14:hiddenFill xmlns:a14="http://schemas.microsoft.com/office/drawing/2010/main">
                                    <a:solidFill>
                                      <a:srgbClr val="A7BFDE">
                                        <a:alpha val="5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noFill/>
                              <a:ln>
                                <a:noFill/>
                              </a:ln>
                              <a:extLst>
                                <a:ext uri="{909E8E84-426E-40DD-AFC4-6F175D3DCCD1}">
                                  <a14:hiddenFill xmlns:a14="http://schemas.microsoft.com/office/drawing/2010/main">
                                    <a:solidFill>
                                      <a:srgbClr val="D3DFEE">
                                        <a:alpha val="5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7"/>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noFill/>
                              <a:ln>
                                <a:noFill/>
                              </a:ln>
                              <a:extLst>
                                <a:ext uri="{909E8E84-426E-40DD-AFC4-6F175D3DCCD1}">
                                  <a14:hiddenFill xmlns:a14="http://schemas.microsoft.com/office/drawing/2010/main">
                                    <a:solidFill>
                                      <a:srgbClr val="A7BFDE">
                                        <a:alpha val="5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 name="Freeform 8"/>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9"/>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noFill/>
                            <a:ln>
                              <a:noFill/>
                            </a:ln>
                            <a:extLst>
                              <a:ext uri="{909E8E84-426E-40DD-AFC4-6F175D3DCCD1}">
                                <a14:hiddenFill xmlns:a14="http://schemas.microsoft.com/office/drawing/2010/main">
                                  <a:solidFill>
                                    <a:srgbClr val="BFBFB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0"/>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1"/>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noFill/>
                            <a:ln>
                              <a:noFill/>
                            </a:ln>
                            <a:extLst>
                              <a:ext uri="{909E8E84-426E-40DD-AFC4-6F175D3DCCD1}">
                                <a14:hiddenFill xmlns:a14="http://schemas.microsoft.com/office/drawing/2010/main">
                                  <a:solidFill>
                                    <a:srgbClr val="D3DFEE">
                                      <a:alpha val="7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2"/>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noFill/>
                            <a:ln>
                              <a:noFill/>
                            </a:ln>
                            <a:extLst>
                              <a:ext uri="{909E8E84-426E-40DD-AFC4-6F175D3DCCD1}">
                                <a14:hiddenFill xmlns:a14="http://schemas.microsoft.com/office/drawing/2010/main">
                                  <a:solidFill>
                                    <a:srgbClr val="A7BFDE">
                                      <a:alpha val="7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3"/>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noFill/>
                            <a:ln>
                              <a:noFill/>
                            </a:ln>
                            <a:extLst>
                              <a:ext uri="{909E8E84-426E-40DD-AFC4-6F175D3DCCD1}">
                                <a14:hiddenFill xmlns:a14="http://schemas.microsoft.com/office/drawing/2010/main">
                                  <a:solidFill>
                                    <a:srgbClr val="D3DFEE">
                                      <a:alpha val="7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 name="Rectangle 14"/>
                        <wps:cNvSpPr>
                          <a:spLocks noChangeArrowheads="1"/>
                        </wps:cNvSpPr>
                        <wps:spPr bwMode="auto">
                          <a:xfrm>
                            <a:off x="1800" y="1440"/>
                            <a:ext cx="8638"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5CAF3" w14:textId="77777777" w:rsidR="0037346F" w:rsidRPr="00336B81" w:rsidRDefault="0037346F" w:rsidP="00F60DDF">
                              <w:pPr>
                                <w:rPr>
                                  <w:rStyle w:val="nfasis"/>
                                  <w:sz w:val="32"/>
                                </w:rPr>
                              </w:pPr>
                              <w:r w:rsidRPr="00336B81">
                                <w:rPr>
                                  <w:rStyle w:val="nfasis"/>
                                  <w:sz w:val="32"/>
                                </w:rPr>
                                <w:t>Agencia Nacional de Infraestructura</w:t>
                              </w:r>
                            </w:p>
                            <w:p w14:paraId="50B7A7D7" w14:textId="77777777" w:rsidR="0037346F" w:rsidRPr="003F6476" w:rsidRDefault="0037346F" w:rsidP="00F60DDF">
                              <w:pPr>
                                <w:rPr>
                                  <w:rStyle w:val="nfasis"/>
                                </w:rPr>
                              </w:pPr>
                            </w:p>
                          </w:txbxContent>
                        </wps:txbx>
                        <wps:bodyPr rot="0" vert="horz" wrap="square" lIns="91440" tIns="45720" rIns="91440" bIns="45720" anchor="t" anchorCtr="0" upright="1">
                          <a:noAutofit/>
                        </wps:bodyPr>
                      </wps:wsp>
                      <wps:wsp>
                        <wps:cNvPr id="21" name="Rectangle 15"/>
                        <wps:cNvSpPr>
                          <a:spLocks noChangeArrowheads="1"/>
                        </wps:cNvSpPr>
                        <wps:spPr bwMode="auto">
                          <a:xfrm>
                            <a:off x="6494" y="11160"/>
                            <a:ext cx="4998" cy="1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FA3EA" w14:textId="77777777" w:rsidR="0037346F" w:rsidRDefault="0037346F" w:rsidP="00F60DDF">
                              <w:pPr>
                                <w:jc w:val="right"/>
                                <w:rPr>
                                  <w:sz w:val="96"/>
                                  <w:szCs w:val="96"/>
                                </w:rPr>
                              </w:pPr>
                            </w:p>
                          </w:txbxContent>
                        </wps:txbx>
                        <wps:bodyPr rot="0" vert="horz" wrap="square" lIns="91440" tIns="45720" rIns="91440" bIns="45720" anchor="t" anchorCtr="0" upright="1">
                          <a:noAutofit/>
                        </wps:bodyPr>
                      </wps:wsp>
                      <wps:wsp>
                        <wps:cNvPr id="22" name="Rectangle 16"/>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C58AE" w14:textId="77777777" w:rsidR="0037346F" w:rsidRPr="00F60DDF" w:rsidRDefault="0037346F" w:rsidP="00F60DDF">
                              <w:pPr>
                                <w:rPr>
                                  <w:b/>
                                  <w:bCs/>
                                  <w:color w:val="808080"/>
                                  <w:sz w:val="56"/>
                                  <w:szCs w:val="72"/>
                                </w:rPr>
                              </w:pPr>
                              <w:r w:rsidRPr="00F60DDF">
                                <w:rPr>
                                  <w:b/>
                                  <w:bCs/>
                                  <w:color w:val="808080"/>
                                  <w:sz w:val="56"/>
                                  <w:szCs w:val="72"/>
                                </w:rPr>
                                <w:t>SEGUIMIENTO PLAN DE ACCIÓN</w:t>
                              </w:r>
                            </w:p>
                            <w:p w14:paraId="7CF2C9A0" w14:textId="68FE21FB" w:rsidR="0037346F" w:rsidRPr="00F60DDF" w:rsidRDefault="0037346F" w:rsidP="00F60DDF">
                              <w:pPr>
                                <w:rPr>
                                  <w:b/>
                                  <w:bCs/>
                                  <w:color w:val="808080"/>
                                  <w:sz w:val="48"/>
                                  <w:szCs w:val="72"/>
                                </w:rPr>
                              </w:pPr>
                              <w:r>
                                <w:rPr>
                                  <w:b/>
                                  <w:bCs/>
                                  <w:color w:val="808080"/>
                                  <w:sz w:val="48"/>
                                  <w:szCs w:val="72"/>
                                </w:rPr>
                                <w:t>Primer</w:t>
                              </w:r>
                              <w:r w:rsidRPr="00F60DDF">
                                <w:rPr>
                                  <w:b/>
                                  <w:bCs/>
                                  <w:color w:val="808080"/>
                                  <w:sz w:val="48"/>
                                  <w:szCs w:val="72"/>
                                </w:rPr>
                                <w:t xml:space="preserve"> Trimestre 201</w:t>
                              </w:r>
                              <w:r>
                                <w:rPr>
                                  <w:b/>
                                  <w:bCs/>
                                  <w:color w:val="808080"/>
                                  <w:sz w:val="48"/>
                                  <w:szCs w:val="72"/>
                                </w:rPr>
                                <w:t>4</w:t>
                              </w:r>
                            </w:p>
                            <w:p w14:paraId="092DFBBC" w14:textId="77777777" w:rsidR="0037346F" w:rsidRPr="00904F45" w:rsidRDefault="0037346F" w:rsidP="00F60DDF">
                              <w:pPr>
                                <w:rPr>
                                  <w:b/>
                                  <w:bCs/>
                                  <w:color w:val="808080"/>
                                  <w:sz w:val="32"/>
                                  <w:szCs w:val="32"/>
                                </w:rPr>
                              </w:pPr>
                              <w:r>
                                <w:rPr>
                                  <w:b/>
                                  <w:bCs/>
                                  <w:noProof/>
                                  <w:color w:val="808080"/>
                                  <w:sz w:val="32"/>
                                  <w:szCs w:val="32"/>
                                </w:rPr>
                                <w:drawing>
                                  <wp:inline distT="0" distB="0" distL="0" distR="0" wp14:anchorId="25C03867" wp14:editId="5A407CD7">
                                    <wp:extent cx="5153025" cy="1676400"/>
                                    <wp:effectExtent l="0" t="0" r="9525"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025" cy="1676400"/>
                                            </a:xfrm>
                                            <a:prstGeom prst="rect">
                                              <a:avLst/>
                                            </a:prstGeom>
                                            <a:noFill/>
                                            <a:ln>
                                              <a:noFill/>
                                            </a:ln>
                                          </pic:spPr>
                                        </pic:pic>
                                      </a:graphicData>
                                    </a:graphic>
                                  </wp:inline>
                                </w:drawing>
                              </w: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w14:anchorId="2D22694F" id="Group 2" o:spid="_x0000_s1026" style="position:absolute;left:0;text-align:left;margin-left:-4.05pt;margin-top:121.85pt;width:611.9pt;height:490.85pt;z-index:251660288;mso-width-percent:1000;mso-position-horizontal-relative:page;mso-position-vertical-relative:margin;mso-width-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" o:allowincell="f">
                <v:group id="Group 3"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4"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5"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kVKcEA&#10;AADbAAAADwAAAGRycy9kb3ducmV2LnhtbERP32vCMBB+H/g/hBN8m2knSO2MIjJFBoNZpXs9mltb&#10;1lxKEm333y+Dwd7u4/t56+1oOnEn51vLCtJ5AoK4srrlWsH1cnjMQPiArLGzTAq+ycN2M3lYY67t&#10;wGe6F6EWMYR9jgqaEPpcSl81ZNDPbU8cuU/rDIYIXS21wyGGm04+JclSGmw5NjTY076h6qu4GQUl&#10;L4bMpe27K99eMrfi5cexfFVqNh13zyACjeFf/Oc+6Tg/hd9f4g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5FSnBAAAA2wAAAA8AAAAAAAAAAAAAAAAAmAIAAGRycy9kb3du&#10;cmV2LnhtbFBLBQYAAAAABAAEAPUAAACGAwAAAAA=&#10;" path="m,l17,2863,7132,2578r,-2378l,xe" filled="f" fillcolor="#a7bfde" stroked="f">
                      <v:fill opacity="32896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X/8AA&#10;AADbAAAADwAAAGRycy9kb3ducmV2LnhtbERPS4vCMBC+C/6HMII3TVdRpBrFFRY8KT5Y9jg0Y1O3&#10;mZQmtt1/vxEEb/PxPWe16WwpGqp94VjBxzgBQZw5XXCu4Hr5Gi1A+ICssXRMCv7Iw2bd760w1a7l&#10;EzXnkIsYwj5FBSaEKpXSZ4Ys+rGriCN3c7XFEGGdS11jG8NtKSdJMpcWC44NBivaGcp+zw+r4NCc&#10;LD/u0/b4c9t9b2eLrqzMp1LDQbddggjUhbf45d7rOH8Cz1/i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CX/8AAAADbAAAADwAAAAAAAAAAAAAAAACYAgAAZHJzL2Rvd25y&#10;ZXYueG1sUEsFBgAAAAAEAAQA9QAAAIUDAAAAAA==&#10;" path="m,569l,2930r3466,620l3466,,,569xe" filled="f" fillcolor="#d3dfee" stroked="f">
                      <v:fill opacity="32896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SS74A&#10;AADbAAAADwAAAGRycy9kb3ducmV2LnhtbERP24rCMBB9F/Yfwiz4ZlMVRKtRRCjsq5cPGJKxKTaT&#10;2mRtu1+/ERb2bQ7nOrvD4Brxoi7UnhXMsxwEsfam5krB7VrO1iBCRDbYeCYFIwU47D8mOyyM7/lM&#10;r0usRArhUKACG2NbSBm0JYch8y1x4u6+cxgT7CppOuxTuGvkIs9X0mHNqcFiSydL+nH5dgqu2urT&#10;uHHzn4XtV+OTS1Nyo9T0czhuQUQa4r/4z/1l0vwlvH9JB8j9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VEku+AAAA2wAAAA8AAAAAAAAAAAAAAAAAmAIAAGRycy9kb3ducmV2&#10;LnhtbFBLBQYAAAAABAAEAPUAAACDAwAAAAA=&#10;" path="m,l,3550,1591,2746r,-2009l,xe" filled="f" fillcolor="#a7bfde" stroked="f">
                      <v:fill opacity="32896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0LmcMA&#10;AADbAAAADwAAAGRycy9kb3ducmV2LnhtbESPT4vCMBDF78J+hzAL3jRd/yxSjSKC6EVQd/c+NLNt&#10;sZnUJNrqpzeC4G2G9+b93swWranElZwvLSv46icgiDOrS84V/P6sexMQPiBrrCyTght5WMw/OjNM&#10;tW34QNdjyEUMYZ+igiKEOpXSZwUZ9H1bE0ft3zqDIa4ul9phE8NNJQdJ8i0NlhwJBda0Kig7HS9G&#10;wX20i5zT33533vD+PBw3h6VrlOp+tsspiEBteJtf11sd64/g+Usc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0LmcMAAADbAAAADwAAAAAAAAAAAAAAAACYAgAAZHJzL2Rv&#10;d25yZXYueG1sUEsFBgAAAAAEAAQA9QAAAIgDAAAAAA==&#10;" path="m1,251l,2662r4120,251l4120,,1,251xe" filled="f" fillcolor="#d8d8d8"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FsEA&#10;AADbAAAADwAAAGRycy9kb3ducmV2LnhtbERPTWvCQBC9C/0PyxS86UahKqmriKDkoBRt6XnITpPU&#10;7GzMTjX++64geJvH+5z5snO1ulAbKs8GRsMEFHHubcWFga/PzWAGKgiyxdozGbhRgOXipTfH1Por&#10;H+hylELFEA4pGihFmlTrkJfkMAx9Qxy5H986lAjbQtsWrzHc1XqcJBPtsOLYUGJD65Ly0/HPGZhm&#10;+/Ut23zUvxPczsbfIufdam9M/7VbvYMS6uQpfrgzG+e/wf2XeIB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oTRbBAAAA2wAAAA8AAAAAAAAAAAAAAAAAmAIAAGRycy9kb3du&#10;cmV2LnhtbFBLBQYAAAAABAAEAPUAAACGAwAAAAA=&#10;" path="m,l,4236,3985,3349r,-2428l,xe" filled="f" fillcolor="#bfbfbf"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H3YMAA&#10;AADbAAAADwAAAGRycy9kb3ducmV2LnhtbERPzYrCMBC+L/gOYQRva6pgV6pRRFT2qNUHGJqxKTaT&#10;2sRaffrNwsLe5uP7neW6t7XoqPWVYwWTcQKCuHC64lLB5bz/nIPwAVlj7ZgUvMjDejX4WGKm3ZNP&#10;1OWhFDGEfYYKTAhNJqUvDFn0Y9cQR+7qWoshwraUusVnDLe1nCZJKi1WHBsMNrQ1VNzyh1Xwdey2&#10;yXFzsuY9vT9289shn6VWqdGw3yxABOrDv/jP/a3j/BR+f4kHyN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7H3YMAAAADbAAAADwAAAAAAAAAAAAAAAACYAgAAZHJzL2Rvd25y&#10;ZXYueG1sUEsFBgAAAAAEAAQA9QAAAIUDAAAAAA==&#10;" path="m4086,r-2,4253l,3198,,1072,4086,xe" filled="f" fillcolor="#d8d8d8"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VJsIA&#10;AADbAAAADwAAAGRycy9kb3ducmV2LnhtbERPTWvCQBC9F/wPywi91U160JJmlai1lF4kaS7ehuyY&#10;BLOzIbvG+O/dQqG3ebzPSTeT6cRIg2stK4gXEQjiyuqWawXlz+HlDYTzyBo7y6TgTg4269lTiom2&#10;N85pLHwtQgi7BBU03veJlK5qyKBb2J44cGc7GPQBDrXUA95CuOnkaxQtpcGWQ0ODPe0aqi7F1SjY&#10;b0+fy8vq+1jmdM4+8vhop2JU6nk+Ze8gPE3+X/zn/tJh/gp+fwk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AlUmwgAAANsAAAAPAAAAAAAAAAAAAAAAAJgCAABkcnMvZG93&#10;bnJldi54bWxQSwUGAAAAAAQABAD1AAAAhwMAAAAA&#10;" path="m,921l2060,r16,3851l,2981,,921xe" filled="f" fillcolor="#d3dfee" stroked="f">
                    <v:fill opacity="46003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RIMUA&#10;AADbAAAADwAAAGRycy9kb3ducmV2LnhtbESPQWsCQQyF70L/w5BCL6KzVrB2dRQplLbeakXsLezE&#10;3cWdzHZmqlt/vTkIvb2Qly/vzZeda9SJQqw9GxgNM1DEhbc1lwa2X6+DKaiYkC02nsnAH0VYLu56&#10;c8ytP/MnnTapVALhmKOBKqU21zoWFTmMQ98Sy+7gg8MkYyi1DXgWuGv0Y5ZNtMOa5UOFLb1UVBw3&#10;v04oYfd9+cD9z+Ft/DTZxzE9h3XfmIf7bjUDlahL/+bb9buV+BJWuogA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lEgxQAAANsAAAAPAAAAAAAAAAAAAAAAAJgCAABkcnMv&#10;ZG93bnJldi54bWxQSwUGAAAAAAQABAD1AAAAigMAAAAA&#10;" path="m,l17,3835,6011,2629r,-1390l,xe" filled="f" fillcolor="#a7bfde"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8EEMIA&#10;AADbAAAADwAAAGRycy9kb3ducmV2LnhtbERPTWvCQBC9F/wPywi91Y09lDR1lSKIFS82CuJtmh2z&#10;sdnZkF2T+O/dQsHbPN7nzBaDrUVHra8cK5hOEhDEhdMVlwoO+9VLCsIHZI21Y1JwIw+L+ehphpl2&#10;PX9Tl4dSxBD2GSowITSZlL4wZNFPXEMcubNrLYYI21LqFvsYbmv5miRv0mLFscFgQ0tDxW9+tQr6&#10;n0O67U4bebyt08t2l8uj0Z1Sz+Ph8wNEoCE8xP/uLx3nv8PfL/E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wQQwgAAANsAAAAPAAAAAAAAAAAAAAAAAJgCAABkcnMvZG93&#10;bnJldi54bWxQSwUGAAAAAAQABAD1AAAAhwMAAAAA&#10;" path="m,1038l,2411,4102,3432,4102,,,1038xe" filled="f" fillcolor="#d3dfee" stroked="f">
                    <v:fill opacity="46003f"/>
                    <v:path arrowok="t" o:connecttype="custom" o:connectlocs="0,1038;0,2411;4102,3432;4102,0;0,1038" o:connectangles="0,0,0,0,0"/>
                  </v:shape>
                </v:group>
                <v:rect id="Rectangle 14" o:spid="_x0000_s1038" style="position:absolute;left:1800;top:1440;width:8638;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9osAA&#10;AADbAAAADwAAAGRycy9kb3ducmV2LnhtbERPy4rCMBTdD/gP4QpuBk3HhUg1ighiEUGmPtaX5toW&#10;m5vaZNr692Yx4PJw3st1byrRUuNKywp+JhEI4szqknMFl/NuPAfhPLLGyjIpeJGD9WrwtcRY245/&#10;qU19LkIIuxgVFN7XsZQuK8igm9iaOHB32xj0ATa51A12IdxUchpFM2mw5NBQYE3bgrJH+mcUdNmp&#10;vZ2Pe3n6viWWn8lzm14PSo2G/WYBwlPvP+J/d6IVTMP68CX8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A9osAAAADbAAAADwAAAAAAAAAAAAAAAACYAgAAZHJzL2Rvd25y&#10;ZXYueG1sUEsFBgAAAAAEAAQA9QAAAIUDAAAAAA==&#10;" filled="f" stroked="f">
                  <v:textbox>
                    <w:txbxContent>
                      <w:p w14:paraId="5E35CAF3" w14:textId="77777777" w:rsidR="0037346F" w:rsidRPr="00336B81" w:rsidRDefault="0037346F" w:rsidP="00F60DDF">
                        <w:pPr>
                          <w:rPr>
                            <w:rStyle w:val="nfasis"/>
                            <w:sz w:val="32"/>
                          </w:rPr>
                        </w:pPr>
                        <w:r w:rsidRPr="00336B81">
                          <w:rPr>
                            <w:rStyle w:val="nfasis"/>
                            <w:sz w:val="32"/>
                          </w:rPr>
                          <w:t>Agencia Nacional de Infraestructura</w:t>
                        </w:r>
                      </w:p>
                      <w:p w14:paraId="50B7A7D7" w14:textId="77777777" w:rsidR="0037346F" w:rsidRPr="003F6476" w:rsidRDefault="0037346F" w:rsidP="00F60DDF">
                        <w:pPr>
                          <w:rPr>
                            <w:rStyle w:val="nfasis"/>
                          </w:rPr>
                        </w:pPr>
                      </w:p>
                    </w:txbxContent>
                  </v:textbox>
                </v:rect>
                <v:rect id="Rectangle 15" o:spid="_x0000_s1039" style="position:absolute;left:6494;top:11160;width:4998;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v:textbox>
                    <w:txbxContent>
                      <w:p w14:paraId="3A5FA3EA" w14:textId="77777777" w:rsidR="0037346F" w:rsidRDefault="0037346F" w:rsidP="00F60DDF">
                        <w:pPr>
                          <w:jc w:val="right"/>
                          <w:rPr>
                            <w:sz w:val="96"/>
                            <w:szCs w:val="96"/>
                          </w:rPr>
                        </w:pPr>
                      </w:p>
                    </w:txbxContent>
                  </v:textbox>
                </v:rect>
                <v:rect id="Rectangle 16"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6GMQA&#10;AADbAAAADwAAAGRycy9kb3ducmV2LnhtbESP0WrCQBRE34X+w3ILfdONKQRJXUUi0hZqINYPuM3e&#10;JiHZu2F3q+nfdwuCj8PMnGHW28kM4kLOd5YVLBcJCOLa6o4bBefPw3wFwgdkjYNlUvBLHrabh9ka&#10;c22vXNHlFBoRIexzVNCGMOZS+rolg35hR+LofVtnMETpGqkdXiPcDDJNkkwa7DgutDhS0VLdn36M&#10;guePsnTHfX/Ikv35na2bitevSqmnx2n3AiLQFO7hW/tNK0hT+P8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1ehjEAAAA2wAAAA8AAAAAAAAAAAAAAAAAmAIAAGRycy9k&#10;b3ducmV2LnhtbFBLBQYAAAAABAAEAPUAAACJAwAAAAA=&#10;" filled="f" stroked="f">
                  <v:textbox>
                    <w:txbxContent>
                      <w:p w14:paraId="254C58AE" w14:textId="77777777" w:rsidR="0037346F" w:rsidRPr="00F60DDF" w:rsidRDefault="0037346F" w:rsidP="00F60DDF">
                        <w:pPr>
                          <w:rPr>
                            <w:b/>
                            <w:bCs/>
                            <w:color w:val="808080"/>
                            <w:sz w:val="56"/>
                            <w:szCs w:val="72"/>
                          </w:rPr>
                        </w:pPr>
                        <w:r w:rsidRPr="00F60DDF">
                          <w:rPr>
                            <w:b/>
                            <w:bCs/>
                            <w:color w:val="808080"/>
                            <w:sz w:val="56"/>
                            <w:szCs w:val="72"/>
                          </w:rPr>
                          <w:t>SEGUIMIENTO PLAN DE ACCIÓN</w:t>
                        </w:r>
                      </w:p>
                      <w:p w14:paraId="7CF2C9A0" w14:textId="68FE21FB" w:rsidR="0037346F" w:rsidRPr="00F60DDF" w:rsidRDefault="0037346F" w:rsidP="00F60DDF">
                        <w:pPr>
                          <w:rPr>
                            <w:b/>
                            <w:bCs/>
                            <w:color w:val="808080"/>
                            <w:sz w:val="48"/>
                            <w:szCs w:val="72"/>
                          </w:rPr>
                        </w:pPr>
                        <w:r>
                          <w:rPr>
                            <w:b/>
                            <w:bCs/>
                            <w:color w:val="808080"/>
                            <w:sz w:val="48"/>
                            <w:szCs w:val="72"/>
                          </w:rPr>
                          <w:t>Primer</w:t>
                        </w:r>
                        <w:r w:rsidRPr="00F60DDF">
                          <w:rPr>
                            <w:b/>
                            <w:bCs/>
                            <w:color w:val="808080"/>
                            <w:sz w:val="48"/>
                            <w:szCs w:val="72"/>
                          </w:rPr>
                          <w:t xml:space="preserve"> Trimestre 201</w:t>
                        </w:r>
                        <w:r>
                          <w:rPr>
                            <w:b/>
                            <w:bCs/>
                            <w:color w:val="808080"/>
                            <w:sz w:val="48"/>
                            <w:szCs w:val="72"/>
                          </w:rPr>
                          <w:t>4</w:t>
                        </w:r>
                      </w:p>
                      <w:p w14:paraId="092DFBBC" w14:textId="77777777" w:rsidR="0037346F" w:rsidRPr="00904F45" w:rsidRDefault="0037346F" w:rsidP="00F60DDF">
                        <w:pPr>
                          <w:rPr>
                            <w:b/>
                            <w:bCs/>
                            <w:color w:val="808080"/>
                            <w:sz w:val="32"/>
                            <w:szCs w:val="32"/>
                          </w:rPr>
                        </w:pPr>
                        <w:r>
                          <w:rPr>
                            <w:b/>
                            <w:bCs/>
                            <w:noProof/>
                            <w:color w:val="808080"/>
                            <w:sz w:val="32"/>
                            <w:szCs w:val="32"/>
                          </w:rPr>
                          <w:drawing>
                            <wp:inline distT="0" distB="0" distL="0" distR="0" wp14:anchorId="25C03867" wp14:editId="5A407CD7">
                              <wp:extent cx="5153025" cy="1676400"/>
                              <wp:effectExtent l="0" t="0" r="9525"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3025" cy="1676400"/>
                                      </a:xfrm>
                                      <a:prstGeom prst="rect">
                                        <a:avLst/>
                                      </a:prstGeom>
                                      <a:noFill/>
                                      <a:ln>
                                        <a:noFill/>
                                      </a:ln>
                                    </pic:spPr>
                                  </pic:pic>
                                </a:graphicData>
                              </a:graphic>
                            </wp:inline>
                          </w:drawing>
                        </w:r>
                      </w:p>
                    </w:txbxContent>
                  </v:textbox>
                </v:rect>
                <w10:wrap anchorx="page" anchory="margin"/>
              </v:group>
            </w:pict>
          </mc:Fallback>
        </mc:AlternateContent>
      </w:r>
    </w:p>
    <w:p w14:paraId="534824B1" w14:textId="77777777" w:rsidR="00F60DDF" w:rsidRDefault="00F60DDF" w:rsidP="00AA404C">
      <w:pPr>
        <w:jc w:val="center"/>
      </w:pPr>
    </w:p>
    <w:p w14:paraId="11B47066" w14:textId="77777777" w:rsidR="00F60DDF" w:rsidRDefault="00F60DDF" w:rsidP="00AA404C">
      <w:pPr>
        <w:jc w:val="center"/>
      </w:pPr>
    </w:p>
    <w:p w14:paraId="5248A137" w14:textId="77777777" w:rsidR="00F60DDF" w:rsidRDefault="00F60DDF" w:rsidP="00AA404C">
      <w:pPr>
        <w:jc w:val="center"/>
      </w:pPr>
    </w:p>
    <w:p w14:paraId="475DA29B" w14:textId="77777777" w:rsidR="00F60DDF" w:rsidRDefault="00F60DDF" w:rsidP="00AA404C">
      <w:pPr>
        <w:jc w:val="center"/>
      </w:pPr>
    </w:p>
    <w:p w14:paraId="6E33F62A" w14:textId="77777777" w:rsidR="00F60DDF" w:rsidRDefault="00F60DDF" w:rsidP="00AA404C">
      <w:pPr>
        <w:jc w:val="center"/>
      </w:pPr>
    </w:p>
    <w:p w14:paraId="5A778BA3" w14:textId="77777777" w:rsidR="00F60DDF" w:rsidRDefault="00F60DDF" w:rsidP="00AA404C">
      <w:pPr>
        <w:jc w:val="center"/>
      </w:pPr>
    </w:p>
    <w:p w14:paraId="3734D916" w14:textId="77777777" w:rsidR="00F60DDF" w:rsidRDefault="00F60DDF" w:rsidP="00AA404C">
      <w:pPr>
        <w:jc w:val="center"/>
      </w:pPr>
    </w:p>
    <w:p w14:paraId="0178F7EA" w14:textId="77777777" w:rsidR="00F60DDF" w:rsidRDefault="00F60DDF" w:rsidP="00AA404C">
      <w:pPr>
        <w:jc w:val="center"/>
      </w:pPr>
    </w:p>
    <w:p w14:paraId="18CB7419" w14:textId="77777777" w:rsidR="00F60DDF" w:rsidRDefault="00F60DDF" w:rsidP="00AA404C">
      <w:pPr>
        <w:jc w:val="center"/>
      </w:pPr>
    </w:p>
    <w:p w14:paraId="50319D60" w14:textId="77777777" w:rsidR="00F60DDF" w:rsidRDefault="00F60DDF" w:rsidP="00AA404C">
      <w:pPr>
        <w:jc w:val="center"/>
      </w:pPr>
    </w:p>
    <w:p w14:paraId="1A6F5D5B" w14:textId="77777777" w:rsidR="00F60DDF" w:rsidRDefault="00F60DDF" w:rsidP="00AA404C">
      <w:pPr>
        <w:jc w:val="center"/>
      </w:pPr>
    </w:p>
    <w:p w14:paraId="3D5D3663" w14:textId="77777777" w:rsidR="00F60DDF" w:rsidRDefault="00F60DDF" w:rsidP="00AA404C">
      <w:pPr>
        <w:jc w:val="center"/>
      </w:pPr>
    </w:p>
    <w:p w14:paraId="3BFC54FF" w14:textId="77777777" w:rsidR="00F60DDF" w:rsidRDefault="00F60DDF" w:rsidP="00AA404C">
      <w:pPr>
        <w:jc w:val="center"/>
      </w:pPr>
    </w:p>
    <w:p w14:paraId="5A559D17" w14:textId="77777777" w:rsidR="00F60DDF" w:rsidRDefault="00F60DDF" w:rsidP="00AA404C">
      <w:pPr>
        <w:jc w:val="center"/>
      </w:pPr>
    </w:p>
    <w:p w14:paraId="21786F1F" w14:textId="77777777" w:rsidR="00F60DDF" w:rsidRDefault="00F60DDF" w:rsidP="00AA404C">
      <w:pPr>
        <w:jc w:val="center"/>
      </w:pPr>
    </w:p>
    <w:p w14:paraId="244BC417" w14:textId="77777777" w:rsidR="00F60DDF" w:rsidRDefault="00F60DDF" w:rsidP="00AA404C">
      <w:pPr>
        <w:jc w:val="center"/>
      </w:pPr>
    </w:p>
    <w:p w14:paraId="09AE794E" w14:textId="77777777" w:rsidR="00F60DDF" w:rsidRDefault="00F60DDF" w:rsidP="00AA404C">
      <w:pPr>
        <w:jc w:val="center"/>
      </w:pPr>
    </w:p>
    <w:p w14:paraId="05705BBD" w14:textId="77777777" w:rsidR="00F60DDF" w:rsidRDefault="002419C6" w:rsidP="002419C6">
      <w:pPr>
        <w:tabs>
          <w:tab w:val="left" w:pos="2605"/>
        </w:tabs>
      </w:pPr>
      <w:r>
        <w:tab/>
      </w:r>
    </w:p>
    <w:p w14:paraId="427C1031" w14:textId="77777777" w:rsidR="00F60DDF" w:rsidRDefault="00F60DDF" w:rsidP="00AA404C">
      <w:pPr>
        <w:jc w:val="center"/>
      </w:pPr>
    </w:p>
    <w:p w14:paraId="49494FE7" w14:textId="77777777" w:rsidR="004D2A8A" w:rsidRDefault="004D2A8A" w:rsidP="00AA404C">
      <w:pPr>
        <w:jc w:val="center"/>
        <w:rPr>
          <w:sz w:val="28"/>
          <w:szCs w:val="28"/>
        </w:rPr>
      </w:pPr>
    </w:p>
    <w:p w14:paraId="1C8B1EEC" w14:textId="77777777" w:rsidR="0016203E" w:rsidRDefault="00AA404C" w:rsidP="00AA404C">
      <w:pPr>
        <w:jc w:val="center"/>
        <w:rPr>
          <w:sz w:val="28"/>
          <w:szCs w:val="28"/>
        </w:rPr>
      </w:pPr>
      <w:r w:rsidRPr="00AA404C">
        <w:rPr>
          <w:sz w:val="28"/>
          <w:szCs w:val="28"/>
        </w:rPr>
        <w:t>CO</w:t>
      </w:r>
      <w:r w:rsidR="0016203E" w:rsidRPr="00AA404C">
        <w:rPr>
          <w:sz w:val="28"/>
          <w:szCs w:val="28"/>
        </w:rPr>
        <w:t>NTENIDO</w:t>
      </w:r>
    </w:p>
    <w:p w14:paraId="202DFA96" w14:textId="77777777" w:rsidR="004D2A8A" w:rsidRDefault="004D2A8A" w:rsidP="00AA404C">
      <w:pPr>
        <w:jc w:val="center"/>
        <w:rPr>
          <w:sz w:val="28"/>
          <w:szCs w:val="28"/>
        </w:rPr>
      </w:pPr>
    </w:p>
    <w:sdt>
      <w:sdtPr>
        <w:rPr>
          <w:rFonts w:asciiTheme="minorHAnsi" w:eastAsiaTheme="minorEastAsia" w:hAnsiTheme="minorHAnsi" w:cstheme="minorBidi"/>
          <w:b w:val="0"/>
          <w:bCs w:val="0"/>
          <w:color w:val="auto"/>
          <w:sz w:val="22"/>
          <w:szCs w:val="22"/>
          <w:lang w:val="es-CO"/>
        </w:rPr>
        <w:id w:val="1879499798"/>
        <w:docPartObj>
          <w:docPartGallery w:val="Table of Contents"/>
          <w:docPartUnique/>
        </w:docPartObj>
      </w:sdtPr>
      <w:sdtEndPr/>
      <w:sdtContent>
        <w:p w14:paraId="1EF2FE79" w14:textId="77777777" w:rsidR="00180844" w:rsidRDefault="00180844">
          <w:pPr>
            <w:pStyle w:val="TtulodeTDC"/>
          </w:pPr>
        </w:p>
        <w:p w14:paraId="6F4B16A5" w14:textId="77777777" w:rsidR="00EF4AE1" w:rsidRDefault="00180844">
          <w:pPr>
            <w:pStyle w:val="TDC1"/>
            <w:rPr>
              <w:noProof/>
              <w:sz w:val="22"/>
              <w:szCs w:val="22"/>
            </w:rPr>
          </w:pPr>
          <w:r>
            <w:fldChar w:fldCharType="begin"/>
          </w:r>
          <w:r>
            <w:instrText xml:space="preserve"> TOC \o "1-3" \h \z \u </w:instrText>
          </w:r>
          <w:r>
            <w:fldChar w:fldCharType="separate"/>
          </w:r>
          <w:hyperlink w:anchor="_Toc390333872" w:history="1">
            <w:r w:rsidR="00EF4AE1" w:rsidRPr="005C1A4E">
              <w:rPr>
                <w:rStyle w:val="Hipervnculo"/>
                <w:noProof/>
              </w:rPr>
              <w:t>1.</w:t>
            </w:r>
            <w:r w:rsidR="00EF4AE1">
              <w:rPr>
                <w:noProof/>
                <w:sz w:val="22"/>
                <w:szCs w:val="22"/>
              </w:rPr>
              <w:tab/>
            </w:r>
            <w:r w:rsidR="00EF4AE1" w:rsidRPr="005C1A4E">
              <w:rPr>
                <w:rStyle w:val="Hipervnculo"/>
                <w:noProof/>
              </w:rPr>
              <w:t>EJECUCIÓN PRESUPUESTAL</w:t>
            </w:r>
            <w:r w:rsidR="00EF4AE1">
              <w:rPr>
                <w:noProof/>
                <w:webHidden/>
              </w:rPr>
              <w:tab/>
            </w:r>
            <w:r w:rsidR="00EF4AE1">
              <w:rPr>
                <w:noProof/>
                <w:webHidden/>
              </w:rPr>
              <w:fldChar w:fldCharType="begin"/>
            </w:r>
            <w:r w:rsidR="00EF4AE1">
              <w:rPr>
                <w:noProof/>
                <w:webHidden/>
              </w:rPr>
              <w:instrText xml:space="preserve"> PAGEREF _Toc390333872 \h </w:instrText>
            </w:r>
            <w:r w:rsidR="00EF4AE1">
              <w:rPr>
                <w:noProof/>
                <w:webHidden/>
              </w:rPr>
            </w:r>
            <w:r w:rsidR="00EF4AE1">
              <w:rPr>
                <w:noProof/>
                <w:webHidden/>
              </w:rPr>
              <w:fldChar w:fldCharType="separate"/>
            </w:r>
            <w:r w:rsidR="0086211C">
              <w:rPr>
                <w:noProof/>
                <w:webHidden/>
              </w:rPr>
              <w:t>5</w:t>
            </w:r>
            <w:r w:rsidR="00EF4AE1">
              <w:rPr>
                <w:noProof/>
                <w:webHidden/>
              </w:rPr>
              <w:fldChar w:fldCharType="end"/>
            </w:r>
          </w:hyperlink>
        </w:p>
        <w:p w14:paraId="2EB0B213" w14:textId="77777777" w:rsidR="00EF4AE1" w:rsidRDefault="00742481">
          <w:pPr>
            <w:pStyle w:val="TDC1"/>
            <w:rPr>
              <w:noProof/>
              <w:sz w:val="22"/>
              <w:szCs w:val="22"/>
            </w:rPr>
          </w:pPr>
          <w:hyperlink w:anchor="_Toc390333873" w:history="1">
            <w:r w:rsidR="00EF4AE1" w:rsidRPr="005C1A4E">
              <w:rPr>
                <w:rStyle w:val="Hipervnculo"/>
                <w:noProof/>
              </w:rPr>
              <w:t>2.</w:t>
            </w:r>
            <w:r w:rsidR="00EF4AE1">
              <w:rPr>
                <w:noProof/>
                <w:sz w:val="22"/>
                <w:szCs w:val="22"/>
              </w:rPr>
              <w:tab/>
            </w:r>
            <w:r w:rsidR="00EF4AE1" w:rsidRPr="005C1A4E">
              <w:rPr>
                <w:rStyle w:val="Hipervnculo"/>
                <w:noProof/>
              </w:rPr>
              <w:t>SEGUIMIENTO METAS POR DEPENDENCIA</w:t>
            </w:r>
            <w:r w:rsidR="00EF4AE1">
              <w:rPr>
                <w:noProof/>
                <w:webHidden/>
              </w:rPr>
              <w:tab/>
            </w:r>
            <w:r w:rsidR="00EF4AE1">
              <w:rPr>
                <w:noProof/>
                <w:webHidden/>
              </w:rPr>
              <w:fldChar w:fldCharType="begin"/>
            </w:r>
            <w:r w:rsidR="00EF4AE1">
              <w:rPr>
                <w:noProof/>
                <w:webHidden/>
              </w:rPr>
              <w:instrText xml:space="preserve"> PAGEREF _Toc390333873 \h </w:instrText>
            </w:r>
            <w:r w:rsidR="00EF4AE1">
              <w:rPr>
                <w:noProof/>
                <w:webHidden/>
              </w:rPr>
            </w:r>
            <w:r w:rsidR="00EF4AE1">
              <w:rPr>
                <w:noProof/>
                <w:webHidden/>
              </w:rPr>
              <w:fldChar w:fldCharType="separate"/>
            </w:r>
            <w:r w:rsidR="0086211C">
              <w:rPr>
                <w:noProof/>
                <w:webHidden/>
              </w:rPr>
              <w:t>12</w:t>
            </w:r>
            <w:r w:rsidR="00EF4AE1">
              <w:rPr>
                <w:noProof/>
                <w:webHidden/>
              </w:rPr>
              <w:fldChar w:fldCharType="end"/>
            </w:r>
          </w:hyperlink>
        </w:p>
        <w:p w14:paraId="4BAC5FBD" w14:textId="77777777" w:rsidR="00EF4AE1" w:rsidRDefault="00742481">
          <w:pPr>
            <w:pStyle w:val="TDC1"/>
            <w:rPr>
              <w:noProof/>
              <w:sz w:val="22"/>
              <w:szCs w:val="22"/>
            </w:rPr>
          </w:pPr>
          <w:hyperlink w:anchor="_Toc390333874" w:history="1">
            <w:r w:rsidR="00EF4AE1" w:rsidRPr="005C1A4E">
              <w:rPr>
                <w:rStyle w:val="Hipervnculo"/>
                <w:noProof/>
              </w:rPr>
              <w:t>2.1</w:t>
            </w:r>
            <w:r w:rsidR="00EF4AE1">
              <w:rPr>
                <w:noProof/>
                <w:sz w:val="22"/>
                <w:szCs w:val="22"/>
              </w:rPr>
              <w:tab/>
            </w:r>
            <w:r w:rsidR="00EF4AE1" w:rsidRPr="005C1A4E">
              <w:rPr>
                <w:rStyle w:val="Hipervnculo"/>
                <w:noProof/>
              </w:rPr>
              <w:t>VICEPRESIDENCIA ADMINISTRATIVA Y FINANCIERA</w:t>
            </w:r>
            <w:r w:rsidR="00EF4AE1">
              <w:rPr>
                <w:noProof/>
                <w:webHidden/>
              </w:rPr>
              <w:tab/>
            </w:r>
            <w:r w:rsidR="00EF4AE1">
              <w:rPr>
                <w:noProof/>
                <w:webHidden/>
              </w:rPr>
              <w:fldChar w:fldCharType="begin"/>
            </w:r>
            <w:r w:rsidR="00EF4AE1">
              <w:rPr>
                <w:noProof/>
                <w:webHidden/>
              </w:rPr>
              <w:instrText xml:space="preserve"> PAGEREF _Toc390333874 \h </w:instrText>
            </w:r>
            <w:r w:rsidR="00EF4AE1">
              <w:rPr>
                <w:noProof/>
                <w:webHidden/>
              </w:rPr>
            </w:r>
            <w:r w:rsidR="00EF4AE1">
              <w:rPr>
                <w:noProof/>
                <w:webHidden/>
              </w:rPr>
              <w:fldChar w:fldCharType="separate"/>
            </w:r>
            <w:r w:rsidR="0086211C">
              <w:rPr>
                <w:noProof/>
                <w:webHidden/>
              </w:rPr>
              <w:t>12</w:t>
            </w:r>
            <w:r w:rsidR="00EF4AE1">
              <w:rPr>
                <w:noProof/>
                <w:webHidden/>
              </w:rPr>
              <w:fldChar w:fldCharType="end"/>
            </w:r>
          </w:hyperlink>
        </w:p>
        <w:p w14:paraId="2EE1B186" w14:textId="77777777" w:rsidR="00EF4AE1" w:rsidRDefault="00742481">
          <w:pPr>
            <w:pStyle w:val="TDC1"/>
            <w:rPr>
              <w:noProof/>
              <w:sz w:val="22"/>
              <w:szCs w:val="22"/>
            </w:rPr>
          </w:pPr>
          <w:hyperlink w:anchor="_Toc390333875" w:history="1">
            <w:r w:rsidR="00EF4AE1" w:rsidRPr="005C1A4E">
              <w:rPr>
                <w:rStyle w:val="Hipervnculo"/>
                <w:noProof/>
              </w:rPr>
              <w:t>2.2</w:t>
            </w:r>
            <w:r w:rsidR="00EF4AE1">
              <w:rPr>
                <w:noProof/>
                <w:sz w:val="22"/>
                <w:szCs w:val="22"/>
              </w:rPr>
              <w:tab/>
            </w:r>
            <w:r w:rsidR="00EF4AE1" w:rsidRPr="005C1A4E">
              <w:rPr>
                <w:rStyle w:val="Hipervnculo"/>
                <w:noProof/>
              </w:rPr>
              <w:t>VICEPRESIDENCIA JURÍDICA</w:t>
            </w:r>
            <w:r w:rsidR="00EF4AE1">
              <w:rPr>
                <w:noProof/>
                <w:webHidden/>
              </w:rPr>
              <w:tab/>
            </w:r>
            <w:r w:rsidR="00EF4AE1">
              <w:rPr>
                <w:noProof/>
                <w:webHidden/>
              </w:rPr>
              <w:fldChar w:fldCharType="begin"/>
            </w:r>
            <w:r w:rsidR="00EF4AE1">
              <w:rPr>
                <w:noProof/>
                <w:webHidden/>
              </w:rPr>
              <w:instrText xml:space="preserve"> PAGEREF _Toc390333875 \h </w:instrText>
            </w:r>
            <w:r w:rsidR="00EF4AE1">
              <w:rPr>
                <w:noProof/>
                <w:webHidden/>
              </w:rPr>
            </w:r>
            <w:r w:rsidR="00EF4AE1">
              <w:rPr>
                <w:noProof/>
                <w:webHidden/>
              </w:rPr>
              <w:fldChar w:fldCharType="separate"/>
            </w:r>
            <w:r w:rsidR="0086211C">
              <w:rPr>
                <w:noProof/>
                <w:webHidden/>
              </w:rPr>
              <w:t>14</w:t>
            </w:r>
            <w:r w:rsidR="00EF4AE1">
              <w:rPr>
                <w:noProof/>
                <w:webHidden/>
              </w:rPr>
              <w:fldChar w:fldCharType="end"/>
            </w:r>
          </w:hyperlink>
        </w:p>
        <w:p w14:paraId="23642FAF" w14:textId="77777777" w:rsidR="00EF4AE1" w:rsidRDefault="00742481">
          <w:pPr>
            <w:pStyle w:val="TDC1"/>
            <w:rPr>
              <w:noProof/>
              <w:sz w:val="22"/>
              <w:szCs w:val="22"/>
            </w:rPr>
          </w:pPr>
          <w:hyperlink w:anchor="_Toc390333876" w:history="1">
            <w:r w:rsidR="00EF4AE1" w:rsidRPr="005C1A4E">
              <w:rPr>
                <w:rStyle w:val="Hipervnculo"/>
                <w:noProof/>
              </w:rPr>
              <w:t>2.3</w:t>
            </w:r>
            <w:r w:rsidR="00EF4AE1">
              <w:rPr>
                <w:noProof/>
                <w:sz w:val="22"/>
                <w:szCs w:val="22"/>
              </w:rPr>
              <w:tab/>
            </w:r>
            <w:r w:rsidR="00EF4AE1" w:rsidRPr="005C1A4E">
              <w:rPr>
                <w:rStyle w:val="Hipervnculo"/>
                <w:noProof/>
              </w:rPr>
              <w:t>VICEPRESIDENCIA DE GESTIÓN CONTRACTUAL y EJECUTIVA</w:t>
            </w:r>
            <w:r w:rsidR="00EF4AE1">
              <w:rPr>
                <w:noProof/>
                <w:webHidden/>
              </w:rPr>
              <w:tab/>
            </w:r>
            <w:r w:rsidR="00EF4AE1">
              <w:rPr>
                <w:noProof/>
                <w:webHidden/>
              </w:rPr>
              <w:fldChar w:fldCharType="begin"/>
            </w:r>
            <w:r w:rsidR="00EF4AE1">
              <w:rPr>
                <w:noProof/>
                <w:webHidden/>
              </w:rPr>
              <w:instrText xml:space="preserve"> PAGEREF _Toc390333876 \h </w:instrText>
            </w:r>
            <w:r w:rsidR="00EF4AE1">
              <w:rPr>
                <w:noProof/>
                <w:webHidden/>
              </w:rPr>
            </w:r>
            <w:r w:rsidR="00EF4AE1">
              <w:rPr>
                <w:noProof/>
                <w:webHidden/>
              </w:rPr>
              <w:fldChar w:fldCharType="separate"/>
            </w:r>
            <w:r w:rsidR="0086211C">
              <w:rPr>
                <w:noProof/>
                <w:webHidden/>
              </w:rPr>
              <w:t>14</w:t>
            </w:r>
            <w:r w:rsidR="00EF4AE1">
              <w:rPr>
                <w:noProof/>
                <w:webHidden/>
              </w:rPr>
              <w:fldChar w:fldCharType="end"/>
            </w:r>
          </w:hyperlink>
        </w:p>
        <w:p w14:paraId="5586036C" w14:textId="77777777" w:rsidR="00EF4AE1" w:rsidRDefault="00742481">
          <w:pPr>
            <w:pStyle w:val="TDC1"/>
            <w:rPr>
              <w:noProof/>
              <w:sz w:val="22"/>
              <w:szCs w:val="22"/>
            </w:rPr>
          </w:pPr>
          <w:hyperlink w:anchor="_Toc390333877" w:history="1">
            <w:r w:rsidR="00EF4AE1" w:rsidRPr="005C1A4E">
              <w:rPr>
                <w:rStyle w:val="Hipervnculo"/>
                <w:noProof/>
              </w:rPr>
              <w:t>2.4</w:t>
            </w:r>
            <w:r w:rsidR="00EF4AE1">
              <w:rPr>
                <w:noProof/>
                <w:sz w:val="22"/>
                <w:szCs w:val="22"/>
              </w:rPr>
              <w:tab/>
            </w:r>
            <w:r w:rsidR="00EF4AE1" w:rsidRPr="005C1A4E">
              <w:rPr>
                <w:rStyle w:val="Hipervnculo"/>
                <w:noProof/>
              </w:rPr>
              <w:t>VICEPRESIDENCIA DE PLANEACIÓN, RIESGOS Y ENTORNO</w:t>
            </w:r>
            <w:r w:rsidR="00EF4AE1">
              <w:rPr>
                <w:noProof/>
                <w:webHidden/>
              </w:rPr>
              <w:tab/>
            </w:r>
            <w:r w:rsidR="00EF4AE1">
              <w:rPr>
                <w:noProof/>
                <w:webHidden/>
              </w:rPr>
              <w:fldChar w:fldCharType="begin"/>
            </w:r>
            <w:r w:rsidR="00EF4AE1">
              <w:rPr>
                <w:noProof/>
                <w:webHidden/>
              </w:rPr>
              <w:instrText xml:space="preserve"> PAGEREF _Toc390333877 \h </w:instrText>
            </w:r>
            <w:r w:rsidR="00EF4AE1">
              <w:rPr>
                <w:noProof/>
                <w:webHidden/>
              </w:rPr>
            </w:r>
            <w:r w:rsidR="00EF4AE1">
              <w:rPr>
                <w:noProof/>
                <w:webHidden/>
              </w:rPr>
              <w:fldChar w:fldCharType="separate"/>
            </w:r>
            <w:r w:rsidR="0086211C">
              <w:rPr>
                <w:noProof/>
                <w:webHidden/>
              </w:rPr>
              <w:t>58</w:t>
            </w:r>
            <w:r w:rsidR="00EF4AE1">
              <w:rPr>
                <w:noProof/>
                <w:webHidden/>
              </w:rPr>
              <w:fldChar w:fldCharType="end"/>
            </w:r>
          </w:hyperlink>
        </w:p>
        <w:p w14:paraId="113E1E94" w14:textId="77777777" w:rsidR="00EF4AE1" w:rsidRDefault="00742481">
          <w:pPr>
            <w:pStyle w:val="TDC1"/>
            <w:rPr>
              <w:noProof/>
              <w:sz w:val="22"/>
              <w:szCs w:val="22"/>
            </w:rPr>
          </w:pPr>
          <w:hyperlink w:anchor="_Toc390333878" w:history="1">
            <w:r w:rsidR="00EF4AE1" w:rsidRPr="005C1A4E">
              <w:rPr>
                <w:rStyle w:val="Hipervnculo"/>
                <w:noProof/>
              </w:rPr>
              <w:t>2.5</w:t>
            </w:r>
            <w:r w:rsidR="00EF4AE1">
              <w:rPr>
                <w:noProof/>
                <w:sz w:val="22"/>
                <w:szCs w:val="22"/>
              </w:rPr>
              <w:tab/>
            </w:r>
            <w:r w:rsidR="00EF4AE1" w:rsidRPr="005C1A4E">
              <w:rPr>
                <w:rStyle w:val="Hipervnculo"/>
                <w:noProof/>
              </w:rPr>
              <w:t>VICEPRESIDENCIA DE ESTRUCTURACIÓN</w:t>
            </w:r>
            <w:r w:rsidR="00EF4AE1">
              <w:rPr>
                <w:noProof/>
                <w:webHidden/>
              </w:rPr>
              <w:tab/>
            </w:r>
            <w:r w:rsidR="00EF4AE1">
              <w:rPr>
                <w:noProof/>
                <w:webHidden/>
              </w:rPr>
              <w:fldChar w:fldCharType="begin"/>
            </w:r>
            <w:r w:rsidR="00EF4AE1">
              <w:rPr>
                <w:noProof/>
                <w:webHidden/>
              </w:rPr>
              <w:instrText xml:space="preserve"> PAGEREF _Toc390333878 \h </w:instrText>
            </w:r>
            <w:r w:rsidR="00EF4AE1">
              <w:rPr>
                <w:noProof/>
                <w:webHidden/>
              </w:rPr>
            </w:r>
            <w:r w:rsidR="00EF4AE1">
              <w:rPr>
                <w:noProof/>
                <w:webHidden/>
              </w:rPr>
              <w:fldChar w:fldCharType="separate"/>
            </w:r>
            <w:r w:rsidR="0086211C">
              <w:rPr>
                <w:noProof/>
                <w:webHidden/>
              </w:rPr>
              <w:t>80</w:t>
            </w:r>
            <w:r w:rsidR="00EF4AE1">
              <w:rPr>
                <w:noProof/>
                <w:webHidden/>
              </w:rPr>
              <w:fldChar w:fldCharType="end"/>
            </w:r>
          </w:hyperlink>
        </w:p>
        <w:p w14:paraId="1727CD2A" w14:textId="77777777" w:rsidR="00EF4AE1" w:rsidRDefault="00742481">
          <w:pPr>
            <w:pStyle w:val="TDC1"/>
            <w:rPr>
              <w:noProof/>
              <w:sz w:val="22"/>
              <w:szCs w:val="22"/>
            </w:rPr>
          </w:pPr>
          <w:hyperlink w:anchor="_Toc390333879" w:history="1">
            <w:r w:rsidR="00EF4AE1" w:rsidRPr="005C1A4E">
              <w:rPr>
                <w:rStyle w:val="Hipervnculo"/>
                <w:noProof/>
              </w:rPr>
              <w:t>2.6</w:t>
            </w:r>
            <w:r w:rsidR="00EF4AE1">
              <w:rPr>
                <w:noProof/>
                <w:sz w:val="22"/>
                <w:szCs w:val="22"/>
              </w:rPr>
              <w:tab/>
            </w:r>
            <w:r w:rsidR="00EF4AE1" w:rsidRPr="005C1A4E">
              <w:rPr>
                <w:rStyle w:val="Hipervnculo"/>
                <w:noProof/>
              </w:rPr>
              <w:t>OFICINA DE CONTROL INTERNO</w:t>
            </w:r>
            <w:r w:rsidR="00EF4AE1">
              <w:rPr>
                <w:noProof/>
                <w:webHidden/>
              </w:rPr>
              <w:tab/>
            </w:r>
            <w:r w:rsidR="00EF4AE1">
              <w:rPr>
                <w:noProof/>
                <w:webHidden/>
              </w:rPr>
              <w:fldChar w:fldCharType="begin"/>
            </w:r>
            <w:r w:rsidR="00EF4AE1">
              <w:rPr>
                <w:noProof/>
                <w:webHidden/>
              </w:rPr>
              <w:instrText xml:space="preserve"> PAGEREF _Toc390333879 \h </w:instrText>
            </w:r>
            <w:r w:rsidR="00EF4AE1">
              <w:rPr>
                <w:noProof/>
                <w:webHidden/>
              </w:rPr>
            </w:r>
            <w:r w:rsidR="00EF4AE1">
              <w:rPr>
                <w:noProof/>
                <w:webHidden/>
              </w:rPr>
              <w:fldChar w:fldCharType="separate"/>
            </w:r>
            <w:r w:rsidR="0086211C">
              <w:rPr>
                <w:noProof/>
                <w:webHidden/>
              </w:rPr>
              <w:t>84</w:t>
            </w:r>
            <w:r w:rsidR="00EF4AE1">
              <w:rPr>
                <w:noProof/>
                <w:webHidden/>
              </w:rPr>
              <w:fldChar w:fldCharType="end"/>
            </w:r>
          </w:hyperlink>
        </w:p>
        <w:p w14:paraId="6CF67CFA" w14:textId="77777777" w:rsidR="00EF4AE1" w:rsidRDefault="00742481">
          <w:pPr>
            <w:pStyle w:val="TDC1"/>
            <w:rPr>
              <w:noProof/>
              <w:sz w:val="22"/>
              <w:szCs w:val="22"/>
            </w:rPr>
          </w:pPr>
          <w:hyperlink w:anchor="_Toc390333880" w:history="1">
            <w:r w:rsidR="00EF4AE1" w:rsidRPr="005C1A4E">
              <w:rPr>
                <w:rStyle w:val="Hipervnculo"/>
                <w:noProof/>
              </w:rPr>
              <w:t>2.7</w:t>
            </w:r>
            <w:r w:rsidR="00EF4AE1">
              <w:rPr>
                <w:noProof/>
                <w:sz w:val="22"/>
                <w:szCs w:val="22"/>
              </w:rPr>
              <w:tab/>
            </w:r>
            <w:r w:rsidR="00EF4AE1" w:rsidRPr="005C1A4E">
              <w:rPr>
                <w:rStyle w:val="Hipervnculo"/>
                <w:noProof/>
              </w:rPr>
              <w:t>OFICINA DE COMUNICACIONES</w:t>
            </w:r>
            <w:r w:rsidR="00EF4AE1">
              <w:rPr>
                <w:noProof/>
                <w:webHidden/>
              </w:rPr>
              <w:tab/>
            </w:r>
            <w:r w:rsidR="00EF4AE1">
              <w:rPr>
                <w:noProof/>
                <w:webHidden/>
              </w:rPr>
              <w:fldChar w:fldCharType="begin"/>
            </w:r>
            <w:r w:rsidR="00EF4AE1">
              <w:rPr>
                <w:noProof/>
                <w:webHidden/>
              </w:rPr>
              <w:instrText xml:space="preserve"> PAGEREF _Toc390333880 \h </w:instrText>
            </w:r>
            <w:r w:rsidR="00EF4AE1">
              <w:rPr>
                <w:noProof/>
                <w:webHidden/>
              </w:rPr>
            </w:r>
            <w:r w:rsidR="00EF4AE1">
              <w:rPr>
                <w:noProof/>
                <w:webHidden/>
              </w:rPr>
              <w:fldChar w:fldCharType="separate"/>
            </w:r>
            <w:r w:rsidR="0086211C">
              <w:rPr>
                <w:noProof/>
                <w:webHidden/>
              </w:rPr>
              <w:t>86</w:t>
            </w:r>
            <w:r w:rsidR="00EF4AE1">
              <w:rPr>
                <w:noProof/>
                <w:webHidden/>
              </w:rPr>
              <w:fldChar w:fldCharType="end"/>
            </w:r>
          </w:hyperlink>
        </w:p>
        <w:p w14:paraId="47256FEA" w14:textId="77777777" w:rsidR="00EF4AE1" w:rsidRDefault="00742481">
          <w:pPr>
            <w:pStyle w:val="TDC1"/>
            <w:rPr>
              <w:noProof/>
              <w:sz w:val="22"/>
              <w:szCs w:val="22"/>
            </w:rPr>
          </w:pPr>
          <w:hyperlink w:anchor="_Toc390333881" w:history="1">
            <w:r w:rsidR="00EF4AE1" w:rsidRPr="005C1A4E">
              <w:rPr>
                <w:rStyle w:val="Hipervnculo"/>
                <w:noProof/>
              </w:rPr>
              <w:t>3.</w:t>
            </w:r>
            <w:r w:rsidR="00EF4AE1">
              <w:rPr>
                <w:noProof/>
                <w:sz w:val="22"/>
                <w:szCs w:val="22"/>
              </w:rPr>
              <w:tab/>
            </w:r>
            <w:r w:rsidR="00EF4AE1" w:rsidRPr="005C1A4E">
              <w:rPr>
                <w:rStyle w:val="Hipervnculo"/>
                <w:noProof/>
              </w:rPr>
              <w:t>CONCLUSIONES</w:t>
            </w:r>
            <w:r w:rsidR="00EF4AE1">
              <w:rPr>
                <w:noProof/>
                <w:webHidden/>
              </w:rPr>
              <w:tab/>
            </w:r>
            <w:r w:rsidR="00EF4AE1">
              <w:rPr>
                <w:noProof/>
                <w:webHidden/>
              </w:rPr>
              <w:fldChar w:fldCharType="begin"/>
            </w:r>
            <w:r w:rsidR="00EF4AE1">
              <w:rPr>
                <w:noProof/>
                <w:webHidden/>
              </w:rPr>
              <w:instrText xml:space="preserve"> PAGEREF _Toc390333881 \h </w:instrText>
            </w:r>
            <w:r w:rsidR="00EF4AE1">
              <w:rPr>
                <w:noProof/>
                <w:webHidden/>
              </w:rPr>
            </w:r>
            <w:r w:rsidR="00EF4AE1">
              <w:rPr>
                <w:noProof/>
                <w:webHidden/>
              </w:rPr>
              <w:fldChar w:fldCharType="separate"/>
            </w:r>
            <w:r w:rsidR="0086211C">
              <w:rPr>
                <w:noProof/>
                <w:webHidden/>
              </w:rPr>
              <w:t>88</w:t>
            </w:r>
            <w:r w:rsidR="00EF4AE1">
              <w:rPr>
                <w:noProof/>
                <w:webHidden/>
              </w:rPr>
              <w:fldChar w:fldCharType="end"/>
            </w:r>
          </w:hyperlink>
        </w:p>
        <w:p w14:paraId="731745CB" w14:textId="77777777" w:rsidR="00180844" w:rsidRDefault="00180844">
          <w:r>
            <w:rPr>
              <w:b/>
              <w:bCs/>
              <w:lang w:val="es-ES"/>
            </w:rPr>
            <w:fldChar w:fldCharType="end"/>
          </w:r>
        </w:p>
      </w:sdtContent>
    </w:sdt>
    <w:p w14:paraId="5EDD7BAC" w14:textId="77777777" w:rsidR="004D2A8A" w:rsidRPr="00AA404C" w:rsidRDefault="004D2A8A" w:rsidP="00AA404C">
      <w:pPr>
        <w:jc w:val="center"/>
        <w:rPr>
          <w:sz w:val="28"/>
          <w:szCs w:val="28"/>
        </w:rPr>
      </w:pPr>
    </w:p>
    <w:p w14:paraId="71DE6A4B" w14:textId="77777777" w:rsidR="0016203E" w:rsidRDefault="0016203E" w:rsidP="009D6F51">
      <w:pPr>
        <w:pStyle w:val="TDC1"/>
      </w:pPr>
    </w:p>
    <w:p w14:paraId="5090D5B3" w14:textId="53E12A58" w:rsidR="004D2A8A" w:rsidRDefault="004D2A8A">
      <w:pPr>
        <w:rPr>
          <w:rFonts w:ascii="Arial Narrow" w:hAnsi="Arial Narrow"/>
          <w:b/>
          <w:sz w:val="32"/>
          <w:szCs w:val="32"/>
        </w:rPr>
      </w:pPr>
      <w:r>
        <w:rPr>
          <w:rFonts w:ascii="Arial Narrow" w:hAnsi="Arial Narrow"/>
          <w:b/>
        </w:rPr>
        <w:br w:type="page"/>
      </w:r>
    </w:p>
    <w:p w14:paraId="046752AC" w14:textId="77777777" w:rsidR="00D74F8D" w:rsidRPr="002F4F01" w:rsidRDefault="0045207E" w:rsidP="002F4F01">
      <w:pPr>
        <w:pStyle w:val="Ttulo1"/>
        <w:numPr>
          <w:ilvl w:val="0"/>
          <w:numId w:val="31"/>
        </w:numPr>
      </w:pPr>
      <w:bookmarkStart w:id="0" w:name="_Toc360176969"/>
      <w:bookmarkStart w:id="1" w:name="_Toc360177068"/>
      <w:bookmarkStart w:id="2" w:name="_Toc360177561"/>
      <w:bookmarkStart w:id="3" w:name="_Toc360177585"/>
      <w:bookmarkStart w:id="4" w:name="_Toc390088259"/>
      <w:bookmarkStart w:id="5" w:name="_Toc390088690"/>
      <w:bookmarkStart w:id="6" w:name="_Toc390089008"/>
      <w:bookmarkStart w:id="7" w:name="_Toc390089044"/>
      <w:bookmarkStart w:id="8" w:name="_Toc390089079"/>
      <w:bookmarkStart w:id="9" w:name="_Toc390089113"/>
      <w:bookmarkStart w:id="10" w:name="_Toc390089146"/>
      <w:bookmarkStart w:id="11" w:name="_Toc390089176"/>
      <w:bookmarkStart w:id="12" w:name="_Toc390089213"/>
      <w:bookmarkStart w:id="13" w:name="_Toc390089285"/>
      <w:bookmarkStart w:id="14" w:name="_Toc390331661"/>
      <w:bookmarkStart w:id="15" w:name="_Toc390333001"/>
      <w:bookmarkStart w:id="16" w:name="_Toc390333870"/>
      <w:bookmarkStart w:id="17" w:name="_Toc360176970"/>
      <w:bookmarkStart w:id="18" w:name="_Toc360177069"/>
      <w:bookmarkStart w:id="19" w:name="_Toc360177562"/>
      <w:bookmarkStart w:id="20" w:name="_Toc360177586"/>
      <w:bookmarkStart w:id="21" w:name="_Toc390088260"/>
      <w:bookmarkStart w:id="22" w:name="_Toc390088691"/>
      <w:bookmarkStart w:id="23" w:name="_Toc390089009"/>
      <w:bookmarkStart w:id="24" w:name="_Toc390089045"/>
      <w:bookmarkStart w:id="25" w:name="_Toc390089080"/>
      <w:bookmarkStart w:id="26" w:name="_Toc390089114"/>
      <w:bookmarkStart w:id="27" w:name="_Toc390089147"/>
      <w:bookmarkStart w:id="28" w:name="_Toc390089177"/>
      <w:bookmarkStart w:id="29" w:name="_Toc390089214"/>
      <w:bookmarkStart w:id="30" w:name="_Toc390089286"/>
      <w:bookmarkStart w:id="31" w:name="_Toc390331662"/>
      <w:bookmarkStart w:id="32" w:name="_Toc390333002"/>
      <w:bookmarkStart w:id="33" w:name="_Toc390333871"/>
      <w:bookmarkStart w:id="34" w:name="_Toc357434708"/>
      <w:bookmarkStart w:id="35" w:name="_Toc357434974"/>
      <w:bookmarkStart w:id="36" w:name="_Toc360175790"/>
      <w:bookmarkStart w:id="37" w:name="_Toc360176856"/>
      <w:bookmarkStart w:id="38" w:name="_Toc360177563"/>
      <w:bookmarkStart w:id="39" w:name="_Toc3903338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lastRenderedPageBreak/>
        <w:t>EJECUCIÓN PRESUPUESTAL</w:t>
      </w:r>
      <w:bookmarkEnd w:id="34"/>
      <w:bookmarkEnd w:id="35"/>
      <w:bookmarkEnd w:id="36"/>
      <w:bookmarkEnd w:id="37"/>
      <w:bookmarkEnd w:id="38"/>
      <w:bookmarkEnd w:id="39"/>
    </w:p>
    <w:p w14:paraId="635A8BAA" w14:textId="77777777" w:rsidR="00E7759C" w:rsidRPr="00E7759C" w:rsidRDefault="00E7759C" w:rsidP="00E7759C">
      <w:pPr>
        <w:pStyle w:val="Sinespaciado"/>
        <w:ind w:left="720"/>
        <w:jc w:val="both"/>
        <w:rPr>
          <w:color w:val="000000"/>
        </w:rPr>
      </w:pPr>
      <w:r w:rsidRPr="00E7759C">
        <w:rPr>
          <w:color w:val="000000"/>
        </w:rPr>
        <w:t>El presupuesto de gastos de la Entidad para la vigencia 2014 asciende a la suma de $2.480.796 millones y se distribuye de la siguiente forma:</w:t>
      </w:r>
    </w:p>
    <w:p w14:paraId="1630240C" w14:textId="77777777" w:rsidR="00661AF9" w:rsidRPr="00E7759C" w:rsidRDefault="00661AF9" w:rsidP="00661AF9">
      <w:pPr>
        <w:tabs>
          <w:tab w:val="left" w:pos="5812"/>
        </w:tabs>
        <w:rPr>
          <w:rFonts w:eastAsia="Times New Roman"/>
          <w:b/>
          <w:color w:val="4F81BD"/>
          <w:sz w:val="24"/>
          <w:lang w:val="es-ES" w:eastAsia="en-US"/>
        </w:rPr>
      </w:pPr>
    </w:p>
    <w:p w14:paraId="4EEE7CF3" w14:textId="77777777" w:rsidR="00E7759C" w:rsidRPr="00E7759C" w:rsidRDefault="00E7759C" w:rsidP="00E7759C">
      <w:pPr>
        <w:spacing w:after="0" w:line="240" w:lineRule="auto"/>
        <w:jc w:val="center"/>
        <w:rPr>
          <w:rFonts w:eastAsia="Times New Roman" w:cs="Times New Roman"/>
          <w:b/>
          <w:color w:val="2E74B5"/>
          <w:sz w:val="18"/>
          <w:szCs w:val="18"/>
          <w:lang w:val="es-ES" w:eastAsia="en-US"/>
        </w:rPr>
      </w:pPr>
      <w:r w:rsidRPr="00E7759C">
        <w:rPr>
          <w:rFonts w:eastAsia="Times New Roman" w:cs="Times New Roman"/>
          <w:b/>
          <w:color w:val="2E74B5"/>
          <w:sz w:val="18"/>
          <w:szCs w:val="18"/>
          <w:lang w:val="es-ES" w:eastAsia="en-US"/>
        </w:rPr>
        <w:t>Cuadro No.1</w:t>
      </w:r>
    </w:p>
    <w:p w14:paraId="2E3C47BA" w14:textId="77777777" w:rsidR="00E7759C" w:rsidRPr="00E7759C" w:rsidRDefault="00E7759C" w:rsidP="00E7759C">
      <w:pPr>
        <w:spacing w:after="0" w:line="240" w:lineRule="auto"/>
        <w:jc w:val="center"/>
        <w:rPr>
          <w:rFonts w:eastAsia="Times New Roman" w:cs="Times New Roman"/>
          <w:b/>
          <w:color w:val="2E74B5"/>
          <w:sz w:val="18"/>
          <w:szCs w:val="18"/>
          <w:lang w:val="es-ES" w:eastAsia="en-US"/>
        </w:rPr>
      </w:pPr>
      <w:r w:rsidRPr="00E7759C">
        <w:rPr>
          <w:rFonts w:eastAsia="Times New Roman" w:cs="Times New Roman"/>
          <w:b/>
          <w:color w:val="2E74B5"/>
          <w:sz w:val="18"/>
          <w:szCs w:val="18"/>
          <w:lang w:val="es-ES" w:eastAsia="en-US"/>
        </w:rPr>
        <w:t>Presupuesto de Gastos Vigencia 2014</w:t>
      </w:r>
    </w:p>
    <w:p w14:paraId="59986F0E" w14:textId="77777777" w:rsidR="00E7759C" w:rsidRPr="00E7759C" w:rsidRDefault="00E7759C" w:rsidP="00E7759C">
      <w:pPr>
        <w:spacing w:after="0" w:line="240" w:lineRule="auto"/>
        <w:jc w:val="center"/>
        <w:rPr>
          <w:rFonts w:eastAsia="Times New Roman" w:cs="Times New Roman"/>
          <w:sz w:val="20"/>
          <w:szCs w:val="20"/>
        </w:rPr>
      </w:pPr>
    </w:p>
    <w:p w14:paraId="47E946AD" w14:textId="77777777" w:rsidR="00E7759C" w:rsidRPr="00E7759C" w:rsidRDefault="00E7759C" w:rsidP="00E7759C">
      <w:pPr>
        <w:spacing w:after="0" w:line="240" w:lineRule="auto"/>
        <w:jc w:val="center"/>
        <w:rPr>
          <w:rFonts w:eastAsia="Times New Roman" w:cs="Times New Roman"/>
          <w:sz w:val="20"/>
          <w:szCs w:val="20"/>
        </w:rPr>
        <w:sectPr w:rsidR="00E7759C" w:rsidRPr="00E7759C" w:rsidSect="00E7759C">
          <w:headerReference w:type="default" r:id="rId12"/>
          <w:footerReference w:type="default" r:id="rId13"/>
          <w:pgSz w:w="12242" w:h="15842" w:code="1"/>
          <w:pgMar w:top="1808" w:right="1701" w:bottom="1701" w:left="1701" w:header="709" w:footer="709" w:gutter="0"/>
          <w:cols w:space="708"/>
          <w:titlePg/>
          <w:docGrid w:linePitch="360"/>
        </w:sectPr>
      </w:pPr>
    </w:p>
    <w:tbl>
      <w:tblPr>
        <w:tblW w:w="4181" w:type="dxa"/>
        <w:tblCellMar>
          <w:left w:w="70" w:type="dxa"/>
          <w:right w:w="70" w:type="dxa"/>
        </w:tblCellMar>
        <w:tblLook w:val="04A0" w:firstRow="1" w:lastRow="0" w:firstColumn="1" w:lastColumn="0" w:noHBand="0" w:noVBand="1"/>
      </w:tblPr>
      <w:tblGrid>
        <w:gridCol w:w="1605"/>
        <w:gridCol w:w="875"/>
        <w:gridCol w:w="851"/>
        <w:gridCol w:w="875"/>
      </w:tblGrid>
      <w:tr w:rsidR="00E7759C" w:rsidRPr="00E7759C" w14:paraId="5BAEE341" w14:textId="77777777" w:rsidTr="0054297D">
        <w:trPr>
          <w:trHeight w:val="240"/>
        </w:trPr>
        <w:tc>
          <w:tcPr>
            <w:tcW w:w="1605" w:type="dxa"/>
            <w:tcBorders>
              <w:top w:val="nil"/>
              <w:left w:val="nil"/>
              <w:bottom w:val="nil"/>
              <w:right w:val="nil"/>
            </w:tcBorders>
            <w:shd w:val="clear" w:color="auto" w:fill="auto"/>
            <w:noWrap/>
            <w:vAlign w:val="bottom"/>
            <w:hideMark/>
          </w:tcPr>
          <w:p w14:paraId="5B49257A" w14:textId="77777777" w:rsidR="00E7759C" w:rsidRPr="00E7759C" w:rsidRDefault="00E7759C" w:rsidP="00E7759C">
            <w:pPr>
              <w:spacing w:after="0" w:line="240" w:lineRule="auto"/>
              <w:rPr>
                <w:rFonts w:eastAsia="Times New Roman" w:cs="Times New Roman"/>
                <w:sz w:val="20"/>
                <w:szCs w:val="20"/>
              </w:rPr>
            </w:pPr>
          </w:p>
        </w:tc>
        <w:tc>
          <w:tcPr>
            <w:tcW w:w="2576" w:type="dxa"/>
            <w:gridSpan w:val="3"/>
            <w:tcBorders>
              <w:top w:val="nil"/>
              <w:left w:val="nil"/>
              <w:bottom w:val="single" w:sz="4" w:space="0" w:color="auto"/>
              <w:right w:val="nil"/>
            </w:tcBorders>
            <w:shd w:val="clear" w:color="auto" w:fill="auto"/>
            <w:noWrap/>
            <w:vAlign w:val="bottom"/>
            <w:hideMark/>
          </w:tcPr>
          <w:p w14:paraId="202F8FDD"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cifras en millones de pesos</w:t>
            </w:r>
          </w:p>
        </w:tc>
      </w:tr>
      <w:tr w:rsidR="00E7759C" w:rsidRPr="00E7759C" w14:paraId="70C5B073" w14:textId="77777777" w:rsidTr="0054297D">
        <w:trPr>
          <w:trHeight w:val="240"/>
        </w:trPr>
        <w:tc>
          <w:tcPr>
            <w:tcW w:w="1605"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5F5129E0"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Concepto</w:t>
            </w:r>
          </w:p>
        </w:tc>
        <w:tc>
          <w:tcPr>
            <w:tcW w:w="875" w:type="dxa"/>
            <w:tcBorders>
              <w:top w:val="nil"/>
              <w:left w:val="nil"/>
              <w:bottom w:val="single" w:sz="4" w:space="0" w:color="auto"/>
              <w:right w:val="single" w:sz="4" w:space="0" w:color="auto"/>
            </w:tcBorders>
            <w:shd w:val="clear" w:color="auto" w:fill="1F4E79"/>
            <w:vAlign w:val="center"/>
            <w:hideMark/>
          </w:tcPr>
          <w:p w14:paraId="47C05A7B"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Nación</w:t>
            </w:r>
          </w:p>
        </w:tc>
        <w:tc>
          <w:tcPr>
            <w:tcW w:w="851" w:type="dxa"/>
            <w:tcBorders>
              <w:top w:val="nil"/>
              <w:left w:val="nil"/>
              <w:bottom w:val="single" w:sz="4" w:space="0" w:color="auto"/>
              <w:right w:val="single" w:sz="4" w:space="0" w:color="auto"/>
            </w:tcBorders>
            <w:shd w:val="clear" w:color="auto" w:fill="1F4E79"/>
            <w:vAlign w:val="center"/>
            <w:hideMark/>
          </w:tcPr>
          <w:p w14:paraId="395BEDEF"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Propios</w:t>
            </w:r>
          </w:p>
        </w:tc>
        <w:tc>
          <w:tcPr>
            <w:tcW w:w="850" w:type="dxa"/>
            <w:tcBorders>
              <w:top w:val="nil"/>
              <w:left w:val="nil"/>
              <w:bottom w:val="single" w:sz="4" w:space="0" w:color="auto"/>
              <w:right w:val="single" w:sz="4" w:space="0" w:color="auto"/>
            </w:tcBorders>
            <w:shd w:val="clear" w:color="auto" w:fill="1F4E79"/>
            <w:vAlign w:val="center"/>
            <w:hideMark/>
          </w:tcPr>
          <w:p w14:paraId="16C3CE15"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Total</w:t>
            </w:r>
          </w:p>
        </w:tc>
      </w:tr>
      <w:tr w:rsidR="00E7759C" w:rsidRPr="00E7759C" w14:paraId="55C80335" w14:textId="77777777" w:rsidTr="0054297D">
        <w:trPr>
          <w:trHeight w:val="240"/>
        </w:trPr>
        <w:tc>
          <w:tcPr>
            <w:tcW w:w="1605" w:type="dxa"/>
            <w:tcBorders>
              <w:top w:val="nil"/>
              <w:left w:val="single" w:sz="4" w:space="0" w:color="auto"/>
              <w:bottom w:val="nil"/>
              <w:right w:val="single" w:sz="4" w:space="0" w:color="auto"/>
            </w:tcBorders>
            <w:shd w:val="clear" w:color="auto" w:fill="auto"/>
            <w:noWrap/>
            <w:vAlign w:val="bottom"/>
            <w:hideMark/>
          </w:tcPr>
          <w:p w14:paraId="6B0F2E26"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Funcionamiento</w:t>
            </w:r>
          </w:p>
        </w:tc>
        <w:tc>
          <w:tcPr>
            <w:tcW w:w="875" w:type="dxa"/>
            <w:tcBorders>
              <w:top w:val="nil"/>
              <w:left w:val="nil"/>
              <w:bottom w:val="nil"/>
              <w:right w:val="single" w:sz="4" w:space="0" w:color="auto"/>
            </w:tcBorders>
            <w:shd w:val="clear" w:color="auto" w:fill="auto"/>
            <w:noWrap/>
            <w:vAlign w:val="bottom"/>
            <w:hideMark/>
          </w:tcPr>
          <w:p w14:paraId="406A6A1B"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9.499</w:t>
            </w:r>
          </w:p>
        </w:tc>
        <w:tc>
          <w:tcPr>
            <w:tcW w:w="851" w:type="dxa"/>
            <w:tcBorders>
              <w:top w:val="nil"/>
              <w:left w:val="nil"/>
              <w:bottom w:val="nil"/>
              <w:right w:val="single" w:sz="4" w:space="0" w:color="auto"/>
            </w:tcBorders>
            <w:shd w:val="clear" w:color="auto" w:fill="auto"/>
            <w:noWrap/>
            <w:vAlign w:val="bottom"/>
            <w:hideMark/>
          </w:tcPr>
          <w:p w14:paraId="4D7562DA"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60.968</w:t>
            </w:r>
          </w:p>
        </w:tc>
        <w:tc>
          <w:tcPr>
            <w:tcW w:w="850" w:type="dxa"/>
            <w:tcBorders>
              <w:top w:val="nil"/>
              <w:left w:val="nil"/>
              <w:bottom w:val="nil"/>
              <w:right w:val="single" w:sz="4" w:space="0" w:color="auto"/>
            </w:tcBorders>
            <w:shd w:val="clear" w:color="auto" w:fill="auto"/>
            <w:noWrap/>
            <w:vAlign w:val="bottom"/>
            <w:hideMark/>
          </w:tcPr>
          <w:p w14:paraId="2B5E2541"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70.467</w:t>
            </w:r>
          </w:p>
        </w:tc>
      </w:tr>
      <w:tr w:rsidR="00E7759C" w:rsidRPr="00E7759C" w14:paraId="02E916D7" w14:textId="77777777" w:rsidTr="0054297D">
        <w:trPr>
          <w:trHeight w:val="240"/>
        </w:trPr>
        <w:tc>
          <w:tcPr>
            <w:tcW w:w="1605" w:type="dxa"/>
            <w:tcBorders>
              <w:top w:val="nil"/>
              <w:left w:val="single" w:sz="4" w:space="0" w:color="auto"/>
              <w:bottom w:val="nil"/>
              <w:right w:val="single" w:sz="4" w:space="0" w:color="auto"/>
            </w:tcBorders>
            <w:shd w:val="clear" w:color="auto" w:fill="BFBFBF"/>
            <w:noWrap/>
            <w:vAlign w:val="bottom"/>
            <w:hideMark/>
          </w:tcPr>
          <w:p w14:paraId="752FE4DD"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Inversión</w:t>
            </w:r>
          </w:p>
        </w:tc>
        <w:tc>
          <w:tcPr>
            <w:tcW w:w="875" w:type="dxa"/>
            <w:tcBorders>
              <w:top w:val="nil"/>
              <w:left w:val="nil"/>
              <w:bottom w:val="nil"/>
              <w:right w:val="single" w:sz="4" w:space="0" w:color="auto"/>
            </w:tcBorders>
            <w:shd w:val="clear" w:color="auto" w:fill="BFBFBF"/>
            <w:noWrap/>
            <w:vAlign w:val="bottom"/>
            <w:hideMark/>
          </w:tcPr>
          <w:p w14:paraId="496BDF9B"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1.968.110</w:t>
            </w:r>
          </w:p>
        </w:tc>
        <w:tc>
          <w:tcPr>
            <w:tcW w:w="851" w:type="dxa"/>
            <w:tcBorders>
              <w:top w:val="nil"/>
              <w:left w:val="nil"/>
              <w:bottom w:val="nil"/>
              <w:right w:val="single" w:sz="4" w:space="0" w:color="auto"/>
            </w:tcBorders>
            <w:shd w:val="clear" w:color="auto" w:fill="BFBFBF"/>
            <w:noWrap/>
            <w:vAlign w:val="bottom"/>
            <w:hideMark/>
          </w:tcPr>
          <w:p w14:paraId="4A6E17BF"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268.311</w:t>
            </w:r>
          </w:p>
        </w:tc>
        <w:tc>
          <w:tcPr>
            <w:tcW w:w="850" w:type="dxa"/>
            <w:tcBorders>
              <w:top w:val="nil"/>
              <w:left w:val="nil"/>
              <w:bottom w:val="nil"/>
              <w:right w:val="single" w:sz="4" w:space="0" w:color="auto"/>
            </w:tcBorders>
            <w:shd w:val="clear" w:color="auto" w:fill="BFBFBF"/>
            <w:noWrap/>
            <w:vAlign w:val="bottom"/>
            <w:hideMark/>
          </w:tcPr>
          <w:p w14:paraId="7C91DD70"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2.236.421</w:t>
            </w:r>
          </w:p>
        </w:tc>
      </w:tr>
      <w:tr w:rsidR="00E7759C" w:rsidRPr="00E7759C" w14:paraId="34B1C874" w14:textId="77777777" w:rsidTr="0054297D">
        <w:trPr>
          <w:trHeight w:val="240"/>
        </w:trPr>
        <w:tc>
          <w:tcPr>
            <w:tcW w:w="1605" w:type="dxa"/>
            <w:tcBorders>
              <w:top w:val="nil"/>
              <w:left w:val="single" w:sz="4" w:space="0" w:color="auto"/>
              <w:bottom w:val="single" w:sz="4" w:space="0" w:color="auto"/>
              <w:right w:val="single" w:sz="4" w:space="0" w:color="auto"/>
            </w:tcBorders>
            <w:shd w:val="clear" w:color="auto" w:fill="auto"/>
            <w:noWrap/>
            <w:vAlign w:val="bottom"/>
            <w:hideMark/>
          </w:tcPr>
          <w:p w14:paraId="431DE10A"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Servicio de la deuda</w:t>
            </w:r>
          </w:p>
        </w:tc>
        <w:tc>
          <w:tcPr>
            <w:tcW w:w="875" w:type="dxa"/>
            <w:tcBorders>
              <w:top w:val="nil"/>
              <w:left w:val="nil"/>
              <w:bottom w:val="single" w:sz="4" w:space="0" w:color="auto"/>
              <w:right w:val="single" w:sz="4" w:space="0" w:color="auto"/>
            </w:tcBorders>
            <w:shd w:val="clear" w:color="auto" w:fill="auto"/>
            <w:noWrap/>
            <w:vAlign w:val="bottom"/>
            <w:hideMark/>
          </w:tcPr>
          <w:p w14:paraId="6C4F198B"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173.908</w:t>
            </w:r>
          </w:p>
        </w:tc>
        <w:tc>
          <w:tcPr>
            <w:tcW w:w="851" w:type="dxa"/>
            <w:tcBorders>
              <w:top w:val="nil"/>
              <w:left w:val="nil"/>
              <w:bottom w:val="single" w:sz="4" w:space="0" w:color="auto"/>
              <w:right w:val="single" w:sz="4" w:space="0" w:color="auto"/>
            </w:tcBorders>
            <w:shd w:val="clear" w:color="auto" w:fill="auto"/>
            <w:noWrap/>
            <w:vAlign w:val="bottom"/>
            <w:hideMark/>
          </w:tcPr>
          <w:p w14:paraId="3193E355"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1184F4D8"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173.908</w:t>
            </w:r>
          </w:p>
        </w:tc>
      </w:tr>
      <w:tr w:rsidR="00E7759C" w:rsidRPr="00E7759C" w14:paraId="1EA5ABF0" w14:textId="77777777" w:rsidTr="0054297D">
        <w:trPr>
          <w:trHeight w:val="240"/>
        </w:trPr>
        <w:tc>
          <w:tcPr>
            <w:tcW w:w="1605" w:type="dxa"/>
            <w:tcBorders>
              <w:top w:val="nil"/>
              <w:left w:val="single" w:sz="4" w:space="0" w:color="auto"/>
              <w:bottom w:val="single" w:sz="4" w:space="0" w:color="auto"/>
              <w:right w:val="single" w:sz="4" w:space="0" w:color="auto"/>
            </w:tcBorders>
            <w:shd w:val="clear" w:color="auto" w:fill="1F4E79"/>
            <w:noWrap/>
            <w:vAlign w:val="bottom"/>
            <w:hideMark/>
          </w:tcPr>
          <w:p w14:paraId="2363D6A5"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Total</w:t>
            </w:r>
          </w:p>
        </w:tc>
        <w:tc>
          <w:tcPr>
            <w:tcW w:w="875" w:type="dxa"/>
            <w:tcBorders>
              <w:top w:val="nil"/>
              <w:left w:val="nil"/>
              <w:bottom w:val="single" w:sz="4" w:space="0" w:color="auto"/>
              <w:right w:val="single" w:sz="4" w:space="0" w:color="auto"/>
            </w:tcBorders>
            <w:shd w:val="clear" w:color="auto" w:fill="1F4E79"/>
            <w:noWrap/>
            <w:vAlign w:val="center"/>
            <w:hideMark/>
          </w:tcPr>
          <w:p w14:paraId="482E3CE0"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2.151.517</w:t>
            </w:r>
          </w:p>
        </w:tc>
        <w:tc>
          <w:tcPr>
            <w:tcW w:w="851" w:type="dxa"/>
            <w:tcBorders>
              <w:top w:val="nil"/>
              <w:left w:val="nil"/>
              <w:bottom w:val="single" w:sz="4" w:space="0" w:color="auto"/>
              <w:right w:val="single" w:sz="4" w:space="0" w:color="auto"/>
            </w:tcBorders>
            <w:shd w:val="clear" w:color="auto" w:fill="1F4E79"/>
            <w:noWrap/>
            <w:vAlign w:val="center"/>
            <w:hideMark/>
          </w:tcPr>
          <w:p w14:paraId="30E23B69"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329.279</w:t>
            </w:r>
          </w:p>
        </w:tc>
        <w:tc>
          <w:tcPr>
            <w:tcW w:w="850" w:type="dxa"/>
            <w:tcBorders>
              <w:top w:val="nil"/>
              <w:left w:val="nil"/>
              <w:bottom w:val="single" w:sz="4" w:space="0" w:color="auto"/>
              <w:right w:val="single" w:sz="4" w:space="0" w:color="auto"/>
            </w:tcBorders>
            <w:shd w:val="clear" w:color="auto" w:fill="1F4E79"/>
            <w:noWrap/>
            <w:vAlign w:val="center"/>
            <w:hideMark/>
          </w:tcPr>
          <w:p w14:paraId="720E0368"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2.480.796</w:t>
            </w:r>
          </w:p>
        </w:tc>
      </w:tr>
    </w:tbl>
    <w:p w14:paraId="54C1D31A" w14:textId="77777777" w:rsidR="00E7759C" w:rsidRPr="00E7759C" w:rsidRDefault="00E7759C" w:rsidP="00E7759C">
      <w:pPr>
        <w:spacing w:after="0" w:line="240" w:lineRule="auto"/>
        <w:rPr>
          <w:rFonts w:eastAsia="Times New Roman" w:cs="Times New Roman"/>
          <w:color w:val="000000"/>
          <w:lang w:val="es-ES" w:eastAsia="en-US"/>
        </w:rPr>
      </w:pPr>
    </w:p>
    <w:p w14:paraId="2ACC8023" w14:textId="77777777" w:rsidR="00E7759C" w:rsidRPr="00E7759C" w:rsidRDefault="00E7759C" w:rsidP="00E7759C">
      <w:pPr>
        <w:spacing w:after="0" w:line="240" w:lineRule="auto"/>
        <w:jc w:val="both"/>
        <w:rPr>
          <w:rFonts w:eastAsia="Times New Roman" w:cs="Times New Roman"/>
          <w:color w:val="000000"/>
          <w:lang w:val="es-ES" w:eastAsia="en-US"/>
        </w:rPr>
      </w:pPr>
      <w:r w:rsidRPr="00E7759C">
        <w:rPr>
          <w:rFonts w:eastAsia="Times New Roman" w:cs="Times New Roman"/>
          <w:color w:val="000000"/>
          <w:lang w:val="es-ES" w:eastAsia="en-US"/>
        </w:rPr>
        <w:t>Por medio de la Ley 1687 del 11 de dic de 2013 se decreta el presupuesto de rentas y recursos de capital y Ley de apropiaciones para la vigencia fiscal de 2014. Adicionalmente, el Decreto 3036 del 27 de dic de 2013 liquida el Presupuesto General de la Nación para la vigencia fiscal 2014.</w:t>
      </w:r>
    </w:p>
    <w:p w14:paraId="025C8394" w14:textId="63F23A0B" w:rsidR="00E7759C" w:rsidRPr="00E7759C" w:rsidRDefault="00E7759C" w:rsidP="00E7759C">
      <w:pPr>
        <w:tabs>
          <w:tab w:val="left" w:pos="5812"/>
        </w:tabs>
        <w:spacing w:after="0" w:line="240" w:lineRule="auto"/>
        <w:rPr>
          <w:rFonts w:eastAsia="Times New Roman" w:cs="Times New Roman"/>
          <w:b/>
          <w:color w:val="4F81BD"/>
          <w:sz w:val="24"/>
          <w:lang w:val="es-ES" w:eastAsia="en-US"/>
        </w:rPr>
      </w:pPr>
      <w:r w:rsidRPr="00E7759C">
        <w:rPr>
          <w:rFonts w:eastAsia="MS Mincho" w:cs="Times New Roman"/>
          <w:noProof/>
          <w:szCs w:val="24"/>
        </w:rPr>
        <w:lastRenderedPageBreak/>
        <w:drawing>
          <wp:inline distT="0" distB="0" distL="0" distR="0" wp14:anchorId="76DE72FE" wp14:editId="63CDA9A6">
            <wp:extent cx="2620645" cy="2031365"/>
            <wp:effectExtent l="0" t="0" r="8255" b="6985"/>
            <wp:docPr id="34" name="Gráfico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307578" w14:textId="77777777" w:rsidR="00E7759C" w:rsidRPr="00E7759C" w:rsidRDefault="00E7759C" w:rsidP="00E7759C">
      <w:pPr>
        <w:tabs>
          <w:tab w:val="left" w:pos="5812"/>
        </w:tabs>
        <w:spacing w:after="0" w:line="240" w:lineRule="auto"/>
        <w:jc w:val="center"/>
        <w:rPr>
          <w:rFonts w:eastAsia="Times New Roman" w:cs="Times New Roman"/>
          <w:b/>
          <w:color w:val="4F81BD"/>
          <w:sz w:val="24"/>
          <w:lang w:val="es-ES" w:eastAsia="en-US"/>
        </w:rPr>
        <w:sectPr w:rsidR="00E7759C" w:rsidRPr="00E7759C" w:rsidSect="0054297D">
          <w:type w:val="continuous"/>
          <w:pgSz w:w="12242" w:h="15842" w:code="1"/>
          <w:pgMar w:top="1808" w:right="1701" w:bottom="1701" w:left="1701" w:header="709" w:footer="709" w:gutter="0"/>
          <w:cols w:num="2" w:space="708"/>
          <w:titlePg/>
          <w:docGrid w:linePitch="360"/>
        </w:sectPr>
      </w:pPr>
    </w:p>
    <w:p w14:paraId="081758FD" w14:textId="77777777" w:rsidR="00E7759C" w:rsidRPr="00E7759C" w:rsidRDefault="00E7759C" w:rsidP="00E7759C">
      <w:pPr>
        <w:tabs>
          <w:tab w:val="left" w:pos="5812"/>
        </w:tabs>
        <w:spacing w:after="0" w:line="240" w:lineRule="auto"/>
        <w:jc w:val="center"/>
        <w:rPr>
          <w:rFonts w:eastAsia="Times New Roman" w:cs="Times New Roman"/>
          <w:b/>
          <w:color w:val="4F81BD"/>
          <w:sz w:val="24"/>
          <w:lang w:val="es-ES" w:eastAsia="en-US"/>
        </w:rPr>
      </w:pPr>
    </w:p>
    <w:p w14:paraId="02BD849B" w14:textId="77777777" w:rsidR="00E7759C" w:rsidRPr="00E7759C" w:rsidRDefault="00E7759C" w:rsidP="00E7759C">
      <w:pPr>
        <w:tabs>
          <w:tab w:val="left" w:pos="5812"/>
        </w:tabs>
        <w:spacing w:after="0" w:line="240" w:lineRule="auto"/>
        <w:jc w:val="both"/>
        <w:rPr>
          <w:rFonts w:eastAsia="Times New Roman" w:cs="Times New Roman"/>
          <w:color w:val="000000"/>
          <w:lang w:val="es-ES" w:eastAsia="en-US"/>
        </w:rPr>
      </w:pPr>
    </w:p>
    <w:p w14:paraId="3B94E59B" w14:textId="77777777" w:rsidR="00E7759C" w:rsidRPr="00E7759C" w:rsidRDefault="00E7759C" w:rsidP="00E7759C">
      <w:pPr>
        <w:tabs>
          <w:tab w:val="left" w:pos="5812"/>
        </w:tabs>
        <w:spacing w:after="0" w:line="240" w:lineRule="auto"/>
        <w:jc w:val="both"/>
        <w:rPr>
          <w:rFonts w:eastAsia="Times New Roman" w:cs="Times New Roman"/>
          <w:color w:val="000000"/>
          <w:lang w:val="es-ES" w:eastAsia="en-US"/>
        </w:rPr>
      </w:pPr>
      <w:r w:rsidRPr="00E7759C">
        <w:rPr>
          <w:rFonts w:eastAsia="Times New Roman" w:cs="Times New Roman"/>
          <w:color w:val="000000"/>
          <w:lang w:val="es-ES" w:eastAsia="en-US"/>
        </w:rPr>
        <w:t>Al 31 de marzo de 2014, el presupuesto de gastos presenta la siguiente ejecución:</w:t>
      </w:r>
    </w:p>
    <w:p w14:paraId="5A394719" w14:textId="77777777" w:rsidR="00E7759C" w:rsidRPr="00E7759C" w:rsidRDefault="00E7759C" w:rsidP="00E7759C">
      <w:pPr>
        <w:tabs>
          <w:tab w:val="left" w:pos="5812"/>
        </w:tabs>
        <w:spacing w:after="0" w:line="240" w:lineRule="auto"/>
        <w:jc w:val="both"/>
        <w:rPr>
          <w:rFonts w:eastAsia="Times New Roman" w:cs="Times New Roman"/>
          <w:color w:val="000000"/>
          <w:lang w:val="es-ES" w:eastAsia="en-US"/>
        </w:rPr>
      </w:pPr>
    </w:p>
    <w:p w14:paraId="6269681E"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Cuadro No. 2</w:t>
      </w:r>
    </w:p>
    <w:p w14:paraId="00CC1F2B"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Ejecución Presupuestal Trimestre 1</w:t>
      </w:r>
    </w:p>
    <w:tbl>
      <w:tblPr>
        <w:tblW w:w="8921" w:type="dxa"/>
        <w:tblInd w:w="70" w:type="dxa"/>
        <w:tblCellMar>
          <w:left w:w="70" w:type="dxa"/>
          <w:right w:w="70" w:type="dxa"/>
        </w:tblCellMar>
        <w:tblLook w:val="04A0" w:firstRow="1" w:lastRow="0" w:firstColumn="1" w:lastColumn="0" w:noHBand="0" w:noVBand="1"/>
      </w:tblPr>
      <w:tblGrid>
        <w:gridCol w:w="1846"/>
        <w:gridCol w:w="993"/>
        <w:gridCol w:w="1135"/>
        <w:gridCol w:w="1135"/>
        <w:gridCol w:w="994"/>
        <w:gridCol w:w="1141"/>
        <w:gridCol w:w="866"/>
        <w:gridCol w:w="846"/>
      </w:tblGrid>
      <w:tr w:rsidR="00E7759C" w:rsidRPr="00E7759C" w14:paraId="1F174BC5" w14:textId="77777777" w:rsidTr="0054297D">
        <w:trPr>
          <w:trHeight w:val="263"/>
        </w:trPr>
        <w:tc>
          <w:tcPr>
            <w:tcW w:w="1846" w:type="dxa"/>
            <w:tcBorders>
              <w:top w:val="nil"/>
              <w:left w:val="nil"/>
              <w:bottom w:val="nil"/>
              <w:right w:val="nil"/>
            </w:tcBorders>
            <w:shd w:val="clear" w:color="auto" w:fill="auto"/>
            <w:noWrap/>
            <w:vAlign w:val="bottom"/>
            <w:hideMark/>
          </w:tcPr>
          <w:p w14:paraId="31D4670D" w14:textId="77777777" w:rsidR="00E7759C" w:rsidRPr="00E7759C" w:rsidRDefault="00E7759C" w:rsidP="00E7759C">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noWrap/>
            <w:vAlign w:val="bottom"/>
            <w:hideMark/>
          </w:tcPr>
          <w:p w14:paraId="3C821A91" w14:textId="77777777" w:rsidR="00E7759C" w:rsidRPr="00E7759C" w:rsidRDefault="00E7759C" w:rsidP="00E7759C">
            <w:pPr>
              <w:spacing w:after="0" w:line="240" w:lineRule="auto"/>
              <w:rPr>
                <w:rFonts w:eastAsia="Times New Roman" w:cs="Times New Roman"/>
                <w:sz w:val="20"/>
                <w:szCs w:val="20"/>
              </w:rPr>
            </w:pPr>
          </w:p>
        </w:tc>
        <w:tc>
          <w:tcPr>
            <w:tcW w:w="1135" w:type="dxa"/>
            <w:tcBorders>
              <w:top w:val="nil"/>
              <w:left w:val="nil"/>
              <w:bottom w:val="nil"/>
              <w:right w:val="nil"/>
            </w:tcBorders>
            <w:shd w:val="clear" w:color="auto" w:fill="auto"/>
            <w:noWrap/>
            <w:vAlign w:val="bottom"/>
            <w:hideMark/>
          </w:tcPr>
          <w:p w14:paraId="6641FE88" w14:textId="77777777" w:rsidR="00E7759C" w:rsidRPr="00E7759C" w:rsidRDefault="00E7759C" w:rsidP="00E7759C">
            <w:pPr>
              <w:spacing w:after="0" w:line="240" w:lineRule="auto"/>
              <w:rPr>
                <w:rFonts w:eastAsia="Times New Roman" w:cs="Times New Roman"/>
                <w:sz w:val="20"/>
                <w:szCs w:val="20"/>
              </w:rPr>
            </w:pPr>
          </w:p>
        </w:tc>
        <w:tc>
          <w:tcPr>
            <w:tcW w:w="1135" w:type="dxa"/>
            <w:tcBorders>
              <w:top w:val="nil"/>
              <w:left w:val="nil"/>
              <w:bottom w:val="nil"/>
              <w:right w:val="nil"/>
            </w:tcBorders>
            <w:shd w:val="clear" w:color="auto" w:fill="auto"/>
            <w:noWrap/>
            <w:vAlign w:val="bottom"/>
            <w:hideMark/>
          </w:tcPr>
          <w:p w14:paraId="0CCEA570" w14:textId="77777777" w:rsidR="00E7759C" w:rsidRPr="00E7759C" w:rsidRDefault="00E7759C" w:rsidP="00E7759C">
            <w:pPr>
              <w:spacing w:after="0" w:line="240" w:lineRule="auto"/>
              <w:rPr>
                <w:rFonts w:eastAsia="Times New Roman" w:cs="Times New Roman"/>
                <w:sz w:val="20"/>
                <w:szCs w:val="20"/>
              </w:rPr>
            </w:pPr>
          </w:p>
        </w:tc>
        <w:tc>
          <w:tcPr>
            <w:tcW w:w="994" w:type="dxa"/>
            <w:tcBorders>
              <w:top w:val="nil"/>
              <w:left w:val="nil"/>
              <w:bottom w:val="nil"/>
              <w:right w:val="nil"/>
            </w:tcBorders>
            <w:shd w:val="clear" w:color="auto" w:fill="auto"/>
            <w:noWrap/>
            <w:vAlign w:val="bottom"/>
            <w:hideMark/>
          </w:tcPr>
          <w:p w14:paraId="6EAD8117" w14:textId="77777777" w:rsidR="00E7759C" w:rsidRPr="00E7759C" w:rsidRDefault="00E7759C" w:rsidP="00E7759C">
            <w:pPr>
              <w:spacing w:after="0" w:line="240" w:lineRule="auto"/>
              <w:rPr>
                <w:rFonts w:eastAsia="Times New Roman" w:cs="Times New Roman"/>
                <w:sz w:val="20"/>
                <w:szCs w:val="20"/>
              </w:rPr>
            </w:pPr>
          </w:p>
        </w:tc>
        <w:tc>
          <w:tcPr>
            <w:tcW w:w="2818" w:type="dxa"/>
            <w:gridSpan w:val="3"/>
            <w:tcBorders>
              <w:top w:val="nil"/>
              <w:left w:val="nil"/>
              <w:bottom w:val="nil"/>
              <w:right w:val="nil"/>
            </w:tcBorders>
            <w:shd w:val="clear" w:color="auto" w:fill="auto"/>
            <w:noWrap/>
            <w:vAlign w:val="center"/>
            <w:hideMark/>
          </w:tcPr>
          <w:p w14:paraId="113E5388"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Calibri"/>
                <w:color w:val="000000"/>
                <w:sz w:val="18"/>
                <w:szCs w:val="18"/>
                <w:lang w:val="es-ES"/>
              </w:rPr>
              <w:t>cifras en millones de pesos</w:t>
            </w:r>
          </w:p>
        </w:tc>
      </w:tr>
      <w:tr w:rsidR="00E7759C" w:rsidRPr="00E7759C" w14:paraId="2ED8B739" w14:textId="77777777" w:rsidTr="0054297D">
        <w:trPr>
          <w:trHeight w:val="395"/>
        </w:trPr>
        <w:tc>
          <w:tcPr>
            <w:tcW w:w="1846" w:type="dxa"/>
            <w:tcBorders>
              <w:top w:val="single" w:sz="4" w:space="0" w:color="auto"/>
              <w:left w:val="single" w:sz="4" w:space="0" w:color="auto"/>
              <w:bottom w:val="nil"/>
              <w:right w:val="single" w:sz="4" w:space="0" w:color="auto"/>
            </w:tcBorders>
            <w:shd w:val="clear" w:color="auto" w:fill="1F4E79"/>
            <w:vAlign w:val="center"/>
            <w:hideMark/>
          </w:tcPr>
          <w:p w14:paraId="5BC2835B"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Concepto</w:t>
            </w:r>
          </w:p>
        </w:tc>
        <w:tc>
          <w:tcPr>
            <w:tcW w:w="993" w:type="dxa"/>
            <w:tcBorders>
              <w:top w:val="single" w:sz="4" w:space="0" w:color="auto"/>
              <w:left w:val="nil"/>
              <w:bottom w:val="single" w:sz="4" w:space="0" w:color="auto"/>
              <w:right w:val="single" w:sz="4" w:space="0" w:color="auto"/>
            </w:tcBorders>
            <w:shd w:val="clear" w:color="auto" w:fill="1F4E79"/>
            <w:vAlign w:val="center"/>
            <w:hideMark/>
          </w:tcPr>
          <w:p w14:paraId="50361C24"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Apropiac</w:t>
            </w:r>
          </w:p>
        </w:tc>
        <w:tc>
          <w:tcPr>
            <w:tcW w:w="1135" w:type="dxa"/>
            <w:tcBorders>
              <w:top w:val="single" w:sz="4" w:space="0" w:color="auto"/>
              <w:left w:val="nil"/>
              <w:bottom w:val="single" w:sz="4" w:space="0" w:color="auto"/>
              <w:right w:val="single" w:sz="4" w:space="0" w:color="auto"/>
            </w:tcBorders>
            <w:shd w:val="clear" w:color="auto" w:fill="1F4E79"/>
            <w:vAlign w:val="center"/>
            <w:hideMark/>
          </w:tcPr>
          <w:p w14:paraId="46E26200"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Comprom</w:t>
            </w:r>
          </w:p>
        </w:tc>
        <w:tc>
          <w:tcPr>
            <w:tcW w:w="1135" w:type="dxa"/>
            <w:tcBorders>
              <w:top w:val="single" w:sz="4" w:space="0" w:color="auto"/>
              <w:left w:val="nil"/>
              <w:bottom w:val="single" w:sz="4" w:space="0" w:color="auto"/>
              <w:right w:val="single" w:sz="4" w:space="0" w:color="auto"/>
            </w:tcBorders>
            <w:shd w:val="clear" w:color="auto" w:fill="1F4E79"/>
            <w:vAlign w:val="center"/>
            <w:hideMark/>
          </w:tcPr>
          <w:p w14:paraId="75D67A6E"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Oblig</w:t>
            </w:r>
          </w:p>
        </w:tc>
        <w:tc>
          <w:tcPr>
            <w:tcW w:w="994" w:type="dxa"/>
            <w:tcBorders>
              <w:top w:val="single" w:sz="4" w:space="0" w:color="auto"/>
              <w:left w:val="nil"/>
              <w:bottom w:val="single" w:sz="4" w:space="0" w:color="auto"/>
              <w:right w:val="single" w:sz="4" w:space="0" w:color="auto"/>
            </w:tcBorders>
            <w:shd w:val="clear" w:color="auto" w:fill="1F4E79"/>
            <w:vAlign w:val="center"/>
            <w:hideMark/>
          </w:tcPr>
          <w:p w14:paraId="4023C566"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Pagos</w:t>
            </w:r>
          </w:p>
        </w:tc>
        <w:tc>
          <w:tcPr>
            <w:tcW w:w="1141" w:type="dxa"/>
            <w:tcBorders>
              <w:top w:val="single" w:sz="4" w:space="0" w:color="auto"/>
              <w:left w:val="nil"/>
              <w:bottom w:val="single" w:sz="4" w:space="0" w:color="auto"/>
              <w:right w:val="single" w:sz="4" w:space="0" w:color="auto"/>
            </w:tcBorders>
            <w:shd w:val="clear" w:color="auto" w:fill="1F4E79"/>
            <w:vAlign w:val="center"/>
            <w:hideMark/>
          </w:tcPr>
          <w:p w14:paraId="3758A236"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Comp/Aprop</w:t>
            </w:r>
          </w:p>
        </w:tc>
        <w:tc>
          <w:tcPr>
            <w:tcW w:w="854" w:type="dxa"/>
            <w:tcBorders>
              <w:top w:val="single" w:sz="4" w:space="0" w:color="auto"/>
              <w:left w:val="nil"/>
              <w:bottom w:val="single" w:sz="4" w:space="0" w:color="auto"/>
              <w:right w:val="single" w:sz="4" w:space="0" w:color="auto"/>
            </w:tcBorders>
            <w:shd w:val="clear" w:color="auto" w:fill="1F4E79"/>
            <w:vAlign w:val="center"/>
            <w:hideMark/>
          </w:tcPr>
          <w:p w14:paraId="5E53C862"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Oblig/Aprop</w:t>
            </w:r>
          </w:p>
        </w:tc>
        <w:tc>
          <w:tcPr>
            <w:tcW w:w="823" w:type="dxa"/>
            <w:tcBorders>
              <w:top w:val="single" w:sz="4" w:space="0" w:color="auto"/>
              <w:left w:val="nil"/>
              <w:bottom w:val="single" w:sz="4" w:space="0" w:color="auto"/>
              <w:right w:val="single" w:sz="4" w:space="0" w:color="auto"/>
            </w:tcBorders>
            <w:shd w:val="clear" w:color="auto" w:fill="1F4E79"/>
            <w:vAlign w:val="center"/>
            <w:hideMark/>
          </w:tcPr>
          <w:p w14:paraId="4F3B3E7A"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Pago/Aprop</w:t>
            </w:r>
          </w:p>
        </w:tc>
      </w:tr>
      <w:tr w:rsidR="00E7759C" w:rsidRPr="00E7759C" w14:paraId="1B3D9729" w14:textId="77777777" w:rsidTr="0054297D">
        <w:trPr>
          <w:trHeight w:val="263"/>
        </w:trPr>
        <w:tc>
          <w:tcPr>
            <w:tcW w:w="1846" w:type="dxa"/>
            <w:tcBorders>
              <w:top w:val="single" w:sz="4" w:space="0" w:color="auto"/>
              <w:left w:val="single" w:sz="4" w:space="0" w:color="auto"/>
              <w:bottom w:val="nil"/>
              <w:right w:val="single" w:sz="4" w:space="0" w:color="auto"/>
            </w:tcBorders>
            <w:shd w:val="clear" w:color="auto" w:fill="auto"/>
            <w:noWrap/>
            <w:vAlign w:val="center"/>
            <w:hideMark/>
          </w:tcPr>
          <w:p w14:paraId="4AF9C492" w14:textId="77777777" w:rsidR="00E7759C" w:rsidRPr="00E7759C" w:rsidRDefault="00E7759C" w:rsidP="00E7759C">
            <w:pPr>
              <w:spacing w:after="0" w:line="240" w:lineRule="auto"/>
              <w:jc w:val="both"/>
              <w:rPr>
                <w:rFonts w:eastAsia="Times New Roman" w:cs="Times New Roman"/>
                <w:color w:val="000000"/>
                <w:sz w:val="18"/>
                <w:szCs w:val="18"/>
              </w:rPr>
            </w:pPr>
            <w:r w:rsidRPr="00E7759C">
              <w:rPr>
                <w:rFonts w:eastAsia="Times New Roman" w:cs="Calibri"/>
                <w:color w:val="000000"/>
                <w:sz w:val="18"/>
                <w:szCs w:val="18"/>
                <w:lang w:val="es-ES"/>
              </w:rPr>
              <w:t>Gastos Funcionamiento</w:t>
            </w:r>
          </w:p>
        </w:tc>
        <w:tc>
          <w:tcPr>
            <w:tcW w:w="993" w:type="dxa"/>
            <w:tcBorders>
              <w:top w:val="nil"/>
              <w:left w:val="nil"/>
              <w:bottom w:val="nil"/>
              <w:right w:val="single" w:sz="4" w:space="0" w:color="auto"/>
            </w:tcBorders>
            <w:shd w:val="clear" w:color="auto" w:fill="auto"/>
            <w:noWrap/>
            <w:vAlign w:val="center"/>
            <w:hideMark/>
          </w:tcPr>
          <w:p w14:paraId="6AF6FE16"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Calibri"/>
                <w:color w:val="000000"/>
                <w:sz w:val="18"/>
                <w:szCs w:val="18"/>
                <w:lang w:val="es-ES"/>
              </w:rPr>
              <w:t>70.467</w:t>
            </w:r>
          </w:p>
        </w:tc>
        <w:tc>
          <w:tcPr>
            <w:tcW w:w="1135" w:type="dxa"/>
            <w:tcBorders>
              <w:top w:val="nil"/>
              <w:left w:val="nil"/>
              <w:bottom w:val="nil"/>
              <w:right w:val="single" w:sz="4" w:space="0" w:color="auto"/>
            </w:tcBorders>
            <w:shd w:val="clear" w:color="auto" w:fill="auto"/>
            <w:noWrap/>
            <w:vAlign w:val="center"/>
            <w:hideMark/>
          </w:tcPr>
          <w:p w14:paraId="207E8529"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17.606</w:t>
            </w:r>
          </w:p>
        </w:tc>
        <w:tc>
          <w:tcPr>
            <w:tcW w:w="1135" w:type="dxa"/>
            <w:tcBorders>
              <w:top w:val="nil"/>
              <w:left w:val="nil"/>
              <w:bottom w:val="nil"/>
              <w:right w:val="single" w:sz="4" w:space="0" w:color="auto"/>
            </w:tcBorders>
            <w:shd w:val="clear" w:color="auto" w:fill="auto"/>
            <w:noWrap/>
            <w:vAlign w:val="center"/>
            <w:hideMark/>
          </w:tcPr>
          <w:p w14:paraId="30C7306A"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10.628</w:t>
            </w:r>
          </w:p>
        </w:tc>
        <w:tc>
          <w:tcPr>
            <w:tcW w:w="994" w:type="dxa"/>
            <w:tcBorders>
              <w:top w:val="nil"/>
              <w:left w:val="nil"/>
              <w:bottom w:val="nil"/>
              <w:right w:val="single" w:sz="4" w:space="0" w:color="auto"/>
            </w:tcBorders>
            <w:shd w:val="clear" w:color="auto" w:fill="auto"/>
            <w:noWrap/>
            <w:vAlign w:val="center"/>
            <w:hideMark/>
          </w:tcPr>
          <w:p w14:paraId="64992706"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10.126</w:t>
            </w:r>
          </w:p>
        </w:tc>
        <w:tc>
          <w:tcPr>
            <w:tcW w:w="1141" w:type="dxa"/>
            <w:tcBorders>
              <w:top w:val="nil"/>
              <w:left w:val="nil"/>
              <w:bottom w:val="nil"/>
              <w:right w:val="single" w:sz="4" w:space="0" w:color="auto"/>
            </w:tcBorders>
            <w:shd w:val="clear" w:color="auto" w:fill="auto"/>
            <w:noWrap/>
            <w:vAlign w:val="center"/>
            <w:hideMark/>
          </w:tcPr>
          <w:p w14:paraId="627B0D2F"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Calibri"/>
                <w:color w:val="000000"/>
                <w:sz w:val="18"/>
                <w:szCs w:val="18"/>
                <w:lang w:val="es-ES"/>
              </w:rPr>
              <w:t>24,98%</w:t>
            </w:r>
          </w:p>
        </w:tc>
        <w:tc>
          <w:tcPr>
            <w:tcW w:w="854" w:type="dxa"/>
            <w:tcBorders>
              <w:top w:val="nil"/>
              <w:left w:val="nil"/>
              <w:bottom w:val="nil"/>
              <w:right w:val="single" w:sz="4" w:space="0" w:color="auto"/>
            </w:tcBorders>
            <w:shd w:val="clear" w:color="auto" w:fill="auto"/>
            <w:noWrap/>
            <w:vAlign w:val="center"/>
            <w:hideMark/>
          </w:tcPr>
          <w:p w14:paraId="25B5B585"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Calibri"/>
                <w:color w:val="000000"/>
                <w:sz w:val="18"/>
                <w:szCs w:val="18"/>
                <w:lang w:val="es-ES"/>
              </w:rPr>
              <w:t>15,08%</w:t>
            </w:r>
          </w:p>
        </w:tc>
        <w:tc>
          <w:tcPr>
            <w:tcW w:w="823" w:type="dxa"/>
            <w:tcBorders>
              <w:top w:val="nil"/>
              <w:left w:val="nil"/>
              <w:bottom w:val="nil"/>
              <w:right w:val="single" w:sz="4" w:space="0" w:color="auto"/>
            </w:tcBorders>
            <w:shd w:val="clear" w:color="auto" w:fill="auto"/>
            <w:noWrap/>
            <w:vAlign w:val="center"/>
            <w:hideMark/>
          </w:tcPr>
          <w:p w14:paraId="470162F1"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Calibri"/>
                <w:color w:val="000000"/>
                <w:sz w:val="18"/>
                <w:szCs w:val="18"/>
                <w:lang w:val="es-ES"/>
              </w:rPr>
              <w:t>14,37%</w:t>
            </w:r>
          </w:p>
        </w:tc>
      </w:tr>
      <w:tr w:rsidR="00E7759C" w:rsidRPr="00E7759C" w14:paraId="60EA331C" w14:textId="77777777" w:rsidTr="0054297D">
        <w:trPr>
          <w:trHeight w:val="263"/>
        </w:trPr>
        <w:tc>
          <w:tcPr>
            <w:tcW w:w="1846" w:type="dxa"/>
            <w:tcBorders>
              <w:top w:val="nil"/>
              <w:left w:val="single" w:sz="4" w:space="0" w:color="auto"/>
              <w:bottom w:val="nil"/>
              <w:right w:val="single" w:sz="4" w:space="0" w:color="auto"/>
            </w:tcBorders>
            <w:shd w:val="clear" w:color="000000" w:fill="BFBFBF"/>
            <w:noWrap/>
            <w:vAlign w:val="center"/>
            <w:hideMark/>
          </w:tcPr>
          <w:p w14:paraId="24DCD10B" w14:textId="77777777" w:rsidR="00E7759C" w:rsidRPr="00E7759C" w:rsidRDefault="00E7759C" w:rsidP="00E7759C">
            <w:pPr>
              <w:spacing w:after="0" w:line="240" w:lineRule="auto"/>
              <w:jc w:val="both"/>
              <w:rPr>
                <w:rFonts w:eastAsia="Times New Roman" w:cs="Times New Roman"/>
                <w:color w:val="000000"/>
                <w:sz w:val="18"/>
                <w:szCs w:val="18"/>
              </w:rPr>
            </w:pPr>
            <w:r w:rsidRPr="00E7759C">
              <w:rPr>
                <w:rFonts w:eastAsia="Times New Roman" w:cs="Calibri"/>
                <w:color w:val="000000"/>
                <w:sz w:val="18"/>
                <w:szCs w:val="18"/>
                <w:lang w:val="es-ES"/>
              </w:rPr>
              <w:t>Gastos de Inversión</w:t>
            </w:r>
          </w:p>
        </w:tc>
        <w:tc>
          <w:tcPr>
            <w:tcW w:w="993" w:type="dxa"/>
            <w:tcBorders>
              <w:top w:val="nil"/>
              <w:left w:val="nil"/>
              <w:bottom w:val="nil"/>
              <w:right w:val="single" w:sz="4" w:space="0" w:color="auto"/>
            </w:tcBorders>
            <w:shd w:val="clear" w:color="000000" w:fill="BFBFBF"/>
            <w:noWrap/>
            <w:vAlign w:val="center"/>
            <w:hideMark/>
          </w:tcPr>
          <w:p w14:paraId="464C61F8"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1.968.110</w:t>
            </w:r>
          </w:p>
        </w:tc>
        <w:tc>
          <w:tcPr>
            <w:tcW w:w="1135" w:type="dxa"/>
            <w:tcBorders>
              <w:top w:val="nil"/>
              <w:left w:val="nil"/>
              <w:bottom w:val="nil"/>
              <w:right w:val="single" w:sz="4" w:space="0" w:color="auto"/>
            </w:tcBorders>
            <w:shd w:val="clear" w:color="000000" w:fill="BFBFBF"/>
            <w:noWrap/>
            <w:vAlign w:val="center"/>
            <w:hideMark/>
          </w:tcPr>
          <w:p w14:paraId="7B57522A"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1.803.137</w:t>
            </w:r>
          </w:p>
        </w:tc>
        <w:tc>
          <w:tcPr>
            <w:tcW w:w="1135" w:type="dxa"/>
            <w:tcBorders>
              <w:top w:val="nil"/>
              <w:left w:val="nil"/>
              <w:bottom w:val="nil"/>
              <w:right w:val="single" w:sz="4" w:space="0" w:color="auto"/>
            </w:tcBorders>
            <w:shd w:val="clear" w:color="000000" w:fill="BFBFBF"/>
            <w:noWrap/>
            <w:vAlign w:val="center"/>
            <w:hideMark/>
          </w:tcPr>
          <w:p w14:paraId="5FF804C0"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1.672.541</w:t>
            </w:r>
          </w:p>
        </w:tc>
        <w:tc>
          <w:tcPr>
            <w:tcW w:w="994" w:type="dxa"/>
            <w:tcBorders>
              <w:top w:val="nil"/>
              <w:left w:val="nil"/>
              <w:bottom w:val="nil"/>
              <w:right w:val="single" w:sz="4" w:space="0" w:color="auto"/>
            </w:tcBorders>
            <w:shd w:val="clear" w:color="000000" w:fill="BFBFBF"/>
            <w:noWrap/>
            <w:vAlign w:val="center"/>
            <w:hideMark/>
          </w:tcPr>
          <w:p w14:paraId="48DB1E61"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1.123</w:t>
            </w:r>
          </w:p>
        </w:tc>
        <w:tc>
          <w:tcPr>
            <w:tcW w:w="1141" w:type="dxa"/>
            <w:tcBorders>
              <w:top w:val="nil"/>
              <w:left w:val="nil"/>
              <w:bottom w:val="nil"/>
              <w:right w:val="single" w:sz="4" w:space="0" w:color="auto"/>
            </w:tcBorders>
            <w:shd w:val="clear" w:color="000000" w:fill="BFBFBF"/>
            <w:noWrap/>
            <w:vAlign w:val="center"/>
            <w:hideMark/>
          </w:tcPr>
          <w:p w14:paraId="192946E8"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Calibri"/>
                <w:color w:val="000000"/>
                <w:sz w:val="18"/>
                <w:szCs w:val="18"/>
                <w:lang w:val="es-ES"/>
              </w:rPr>
              <w:t>91,62%</w:t>
            </w:r>
          </w:p>
        </w:tc>
        <w:tc>
          <w:tcPr>
            <w:tcW w:w="854" w:type="dxa"/>
            <w:tcBorders>
              <w:top w:val="nil"/>
              <w:left w:val="nil"/>
              <w:bottom w:val="nil"/>
              <w:right w:val="single" w:sz="4" w:space="0" w:color="auto"/>
            </w:tcBorders>
            <w:shd w:val="clear" w:color="000000" w:fill="BFBFBF"/>
            <w:noWrap/>
            <w:vAlign w:val="center"/>
            <w:hideMark/>
          </w:tcPr>
          <w:p w14:paraId="5F91F9B0"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Calibri"/>
                <w:color w:val="000000"/>
                <w:sz w:val="18"/>
                <w:szCs w:val="18"/>
                <w:lang w:val="es-ES"/>
              </w:rPr>
              <w:t>84,98%</w:t>
            </w:r>
          </w:p>
        </w:tc>
        <w:tc>
          <w:tcPr>
            <w:tcW w:w="823" w:type="dxa"/>
            <w:tcBorders>
              <w:top w:val="nil"/>
              <w:left w:val="nil"/>
              <w:bottom w:val="nil"/>
              <w:right w:val="single" w:sz="4" w:space="0" w:color="auto"/>
            </w:tcBorders>
            <w:shd w:val="clear" w:color="000000" w:fill="BFBFBF"/>
            <w:noWrap/>
            <w:vAlign w:val="center"/>
            <w:hideMark/>
          </w:tcPr>
          <w:p w14:paraId="7E24B2BF"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Calibri"/>
                <w:color w:val="000000"/>
                <w:sz w:val="18"/>
                <w:szCs w:val="18"/>
                <w:lang w:val="es-ES"/>
              </w:rPr>
              <w:t>0,06%</w:t>
            </w:r>
          </w:p>
        </w:tc>
      </w:tr>
      <w:tr w:rsidR="00E7759C" w:rsidRPr="00E7759C" w14:paraId="28BC3295" w14:textId="77777777" w:rsidTr="0054297D">
        <w:trPr>
          <w:trHeight w:val="263"/>
        </w:trPr>
        <w:tc>
          <w:tcPr>
            <w:tcW w:w="1846" w:type="dxa"/>
            <w:tcBorders>
              <w:top w:val="nil"/>
              <w:left w:val="single" w:sz="4" w:space="0" w:color="auto"/>
              <w:bottom w:val="single" w:sz="4" w:space="0" w:color="auto"/>
              <w:right w:val="single" w:sz="4" w:space="0" w:color="auto"/>
            </w:tcBorders>
            <w:shd w:val="clear" w:color="auto" w:fill="auto"/>
            <w:noWrap/>
            <w:vAlign w:val="center"/>
            <w:hideMark/>
          </w:tcPr>
          <w:p w14:paraId="13B79E67" w14:textId="77777777" w:rsidR="00E7759C" w:rsidRPr="00E7759C" w:rsidRDefault="00E7759C" w:rsidP="00E7759C">
            <w:pPr>
              <w:spacing w:after="0" w:line="240" w:lineRule="auto"/>
              <w:jc w:val="both"/>
              <w:rPr>
                <w:rFonts w:eastAsia="Times New Roman" w:cs="Times New Roman"/>
                <w:color w:val="000000"/>
                <w:sz w:val="18"/>
                <w:szCs w:val="18"/>
              </w:rPr>
            </w:pPr>
            <w:r w:rsidRPr="00E7759C">
              <w:rPr>
                <w:rFonts w:eastAsia="Times New Roman" w:cs="Calibri"/>
                <w:color w:val="000000"/>
                <w:sz w:val="18"/>
                <w:szCs w:val="18"/>
                <w:lang w:val="es-ES"/>
              </w:rPr>
              <w:t>Servicio de la Deuda</w:t>
            </w:r>
          </w:p>
        </w:tc>
        <w:tc>
          <w:tcPr>
            <w:tcW w:w="993" w:type="dxa"/>
            <w:tcBorders>
              <w:top w:val="nil"/>
              <w:left w:val="nil"/>
              <w:bottom w:val="nil"/>
              <w:right w:val="single" w:sz="4" w:space="0" w:color="auto"/>
            </w:tcBorders>
            <w:shd w:val="clear" w:color="auto" w:fill="auto"/>
            <w:noWrap/>
            <w:vAlign w:val="center"/>
            <w:hideMark/>
          </w:tcPr>
          <w:p w14:paraId="0644981C"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Calibri"/>
                <w:color w:val="000000"/>
                <w:sz w:val="18"/>
                <w:szCs w:val="18"/>
                <w:lang w:val="es-ES"/>
              </w:rPr>
              <w:t>173.908</w:t>
            </w:r>
          </w:p>
        </w:tc>
        <w:tc>
          <w:tcPr>
            <w:tcW w:w="1135" w:type="dxa"/>
            <w:tcBorders>
              <w:top w:val="nil"/>
              <w:left w:val="nil"/>
              <w:bottom w:val="nil"/>
              <w:right w:val="single" w:sz="4" w:space="0" w:color="auto"/>
            </w:tcBorders>
            <w:shd w:val="clear" w:color="auto" w:fill="auto"/>
            <w:noWrap/>
            <w:vAlign w:val="center"/>
            <w:hideMark/>
          </w:tcPr>
          <w:p w14:paraId="108C109D"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48.016</w:t>
            </w:r>
          </w:p>
        </w:tc>
        <w:tc>
          <w:tcPr>
            <w:tcW w:w="1135" w:type="dxa"/>
            <w:tcBorders>
              <w:top w:val="nil"/>
              <w:left w:val="nil"/>
              <w:bottom w:val="nil"/>
              <w:right w:val="single" w:sz="4" w:space="0" w:color="auto"/>
            </w:tcBorders>
            <w:shd w:val="clear" w:color="auto" w:fill="auto"/>
            <w:noWrap/>
            <w:vAlign w:val="center"/>
            <w:hideMark/>
          </w:tcPr>
          <w:p w14:paraId="6866117A"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48.016</w:t>
            </w:r>
          </w:p>
        </w:tc>
        <w:tc>
          <w:tcPr>
            <w:tcW w:w="994" w:type="dxa"/>
            <w:tcBorders>
              <w:top w:val="nil"/>
              <w:left w:val="nil"/>
              <w:bottom w:val="nil"/>
              <w:right w:val="single" w:sz="4" w:space="0" w:color="auto"/>
            </w:tcBorders>
            <w:shd w:val="clear" w:color="auto" w:fill="auto"/>
            <w:noWrap/>
            <w:vAlign w:val="center"/>
            <w:hideMark/>
          </w:tcPr>
          <w:p w14:paraId="2EB9693C"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48.016</w:t>
            </w:r>
          </w:p>
        </w:tc>
        <w:tc>
          <w:tcPr>
            <w:tcW w:w="1141" w:type="dxa"/>
            <w:tcBorders>
              <w:top w:val="nil"/>
              <w:left w:val="nil"/>
              <w:bottom w:val="nil"/>
              <w:right w:val="single" w:sz="4" w:space="0" w:color="auto"/>
            </w:tcBorders>
            <w:shd w:val="clear" w:color="auto" w:fill="auto"/>
            <w:noWrap/>
            <w:vAlign w:val="center"/>
            <w:hideMark/>
          </w:tcPr>
          <w:p w14:paraId="1A06FC90"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27,61%</w:t>
            </w:r>
          </w:p>
        </w:tc>
        <w:tc>
          <w:tcPr>
            <w:tcW w:w="854" w:type="dxa"/>
            <w:tcBorders>
              <w:top w:val="nil"/>
              <w:left w:val="nil"/>
              <w:bottom w:val="nil"/>
              <w:right w:val="single" w:sz="4" w:space="0" w:color="auto"/>
            </w:tcBorders>
            <w:shd w:val="clear" w:color="auto" w:fill="auto"/>
            <w:noWrap/>
            <w:vAlign w:val="center"/>
            <w:hideMark/>
          </w:tcPr>
          <w:p w14:paraId="1913EB05"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27,61%</w:t>
            </w:r>
          </w:p>
        </w:tc>
        <w:tc>
          <w:tcPr>
            <w:tcW w:w="823" w:type="dxa"/>
            <w:tcBorders>
              <w:top w:val="nil"/>
              <w:left w:val="nil"/>
              <w:bottom w:val="nil"/>
              <w:right w:val="single" w:sz="4" w:space="0" w:color="auto"/>
            </w:tcBorders>
            <w:shd w:val="clear" w:color="auto" w:fill="auto"/>
            <w:noWrap/>
            <w:vAlign w:val="center"/>
            <w:hideMark/>
          </w:tcPr>
          <w:p w14:paraId="2C2BD5F7"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27,61%</w:t>
            </w:r>
          </w:p>
        </w:tc>
      </w:tr>
      <w:tr w:rsidR="00E7759C" w:rsidRPr="00E7759C" w14:paraId="0D95C5E7" w14:textId="77777777" w:rsidTr="0054297D">
        <w:trPr>
          <w:trHeight w:val="263"/>
        </w:trPr>
        <w:tc>
          <w:tcPr>
            <w:tcW w:w="1846" w:type="dxa"/>
            <w:tcBorders>
              <w:top w:val="nil"/>
              <w:left w:val="single" w:sz="4" w:space="0" w:color="auto"/>
              <w:bottom w:val="single" w:sz="4" w:space="0" w:color="auto"/>
              <w:right w:val="single" w:sz="4" w:space="0" w:color="auto"/>
            </w:tcBorders>
            <w:shd w:val="clear" w:color="auto" w:fill="1F4E79"/>
            <w:noWrap/>
            <w:vAlign w:val="center"/>
            <w:hideMark/>
          </w:tcPr>
          <w:p w14:paraId="56ED4D67" w14:textId="77777777" w:rsidR="00E7759C" w:rsidRPr="00E7759C" w:rsidRDefault="00E7759C" w:rsidP="00E7759C">
            <w:pPr>
              <w:spacing w:after="0" w:line="240" w:lineRule="auto"/>
              <w:jc w:val="both"/>
              <w:rPr>
                <w:rFonts w:eastAsia="Times New Roman" w:cs="Times New Roman"/>
                <w:b/>
                <w:bCs/>
                <w:color w:val="FFFFFF"/>
                <w:sz w:val="18"/>
                <w:szCs w:val="18"/>
              </w:rPr>
            </w:pPr>
            <w:r w:rsidRPr="00E7759C">
              <w:rPr>
                <w:rFonts w:eastAsia="Times New Roman" w:cs="Calibri"/>
                <w:b/>
                <w:bCs/>
                <w:color w:val="FFFFFF"/>
                <w:sz w:val="18"/>
                <w:szCs w:val="18"/>
                <w:lang w:val="es-ES"/>
              </w:rPr>
              <w:t>Total</w:t>
            </w:r>
          </w:p>
        </w:tc>
        <w:tc>
          <w:tcPr>
            <w:tcW w:w="993" w:type="dxa"/>
            <w:tcBorders>
              <w:top w:val="single" w:sz="4" w:space="0" w:color="auto"/>
              <w:left w:val="nil"/>
              <w:bottom w:val="single" w:sz="4" w:space="0" w:color="auto"/>
              <w:right w:val="single" w:sz="4" w:space="0" w:color="auto"/>
            </w:tcBorders>
            <w:shd w:val="clear" w:color="auto" w:fill="1F4E79"/>
            <w:noWrap/>
            <w:vAlign w:val="center"/>
            <w:hideMark/>
          </w:tcPr>
          <w:p w14:paraId="68BF4900"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Calibri"/>
                <w:b/>
                <w:bCs/>
                <w:color w:val="FFFFFF"/>
                <w:sz w:val="18"/>
                <w:szCs w:val="18"/>
                <w:lang w:val="es-ES"/>
              </w:rPr>
              <w:t>2.212.485</w:t>
            </w:r>
          </w:p>
        </w:tc>
        <w:tc>
          <w:tcPr>
            <w:tcW w:w="1135" w:type="dxa"/>
            <w:tcBorders>
              <w:top w:val="single" w:sz="4" w:space="0" w:color="auto"/>
              <w:left w:val="nil"/>
              <w:bottom w:val="single" w:sz="4" w:space="0" w:color="auto"/>
              <w:right w:val="single" w:sz="4" w:space="0" w:color="auto"/>
            </w:tcBorders>
            <w:shd w:val="clear" w:color="auto" w:fill="1F4E79"/>
            <w:noWrap/>
            <w:vAlign w:val="center"/>
            <w:hideMark/>
          </w:tcPr>
          <w:p w14:paraId="0D606403"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Calibri"/>
                <w:b/>
                <w:bCs/>
                <w:color w:val="FFFFFF"/>
                <w:sz w:val="18"/>
                <w:szCs w:val="18"/>
                <w:lang w:val="es-ES"/>
              </w:rPr>
              <w:t>1.868.759</w:t>
            </w:r>
          </w:p>
        </w:tc>
        <w:tc>
          <w:tcPr>
            <w:tcW w:w="1135" w:type="dxa"/>
            <w:tcBorders>
              <w:top w:val="single" w:sz="4" w:space="0" w:color="auto"/>
              <w:left w:val="nil"/>
              <w:bottom w:val="single" w:sz="4" w:space="0" w:color="auto"/>
              <w:right w:val="single" w:sz="4" w:space="0" w:color="auto"/>
            </w:tcBorders>
            <w:shd w:val="clear" w:color="auto" w:fill="1F4E79"/>
            <w:noWrap/>
            <w:vAlign w:val="center"/>
            <w:hideMark/>
          </w:tcPr>
          <w:p w14:paraId="45E986DB"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Calibri"/>
                <w:b/>
                <w:bCs/>
                <w:color w:val="FFFFFF"/>
                <w:sz w:val="18"/>
                <w:szCs w:val="18"/>
                <w:lang w:val="es-ES"/>
              </w:rPr>
              <w:t>1.731.184</w:t>
            </w:r>
          </w:p>
        </w:tc>
        <w:tc>
          <w:tcPr>
            <w:tcW w:w="994" w:type="dxa"/>
            <w:tcBorders>
              <w:top w:val="single" w:sz="4" w:space="0" w:color="auto"/>
              <w:left w:val="nil"/>
              <w:bottom w:val="single" w:sz="4" w:space="0" w:color="auto"/>
              <w:right w:val="single" w:sz="4" w:space="0" w:color="auto"/>
            </w:tcBorders>
            <w:shd w:val="clear" w:color="auto" w:fill="1F4E79"/>
            <w:noWrap/>
            <w:vAlign w:val="center"/>
            <w:hideMark/>
          </w:tcPr>
          <w:p w14:paraId="2AE74924"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Calibri"/>
                <w:b/>
                <w:bCs/>
                <w:color w:val="FFFFFF"/>
                <w:sz w:val="18"/>
                <w:szCs w:val="18"/>
                <w:lang w:val="es-ES"/>
              </w:rPr>
              <w:t>59.264</w:t>
            </w:r>
          </w:p>
        </w:tc>
        <w:tc>
          <w:tcPr>
            <w:tcW w:w="1141" w:type="dxa"/>
            <w:tcBorders>
              <w:top w:val="single" w:sz="4" w:space="0" w:color="auto"/>
              <w:left w:val="nil"/>
              <w:bottom w:val="single" w:sz="4" w:space="0" w:color="auto"/>
              <w:right w:val="single" w:sz="4" w:space="0" w:color="auto"/>
            </w:tcBorders>
            <w:shd w:val="clear" w:color="auto" w:fill="1F4E79"/>
            <w:noWrap/>
            <w:vAlign w:val="center"/>
            <w:hideMark/>
          </w:tcPr>
          <w:p w14:paraId="05EDABCB"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84,46%</w:t>
            </w:r>
          </w:p>
        </w:tc>
        <w:tc>
          <w:tcPr>
            <w:tcW w:w="854" w:type="dxa"/>
            <w:tcBorders>
              <w:top w:val="single" w:sz="4" w:space="0" w:color="auto"/>
              <w:left w:val="nil"/>
              <w:bottom w:val="single" w:sz="4" w:space="0" w:color="auto"/>
              <w:right w:val="single" w:sz="4" w:space="0" w:color="auto"/>
            </w:tcBorders>
            <w:shd w:val="clear" w:color="auto" w:fill="1F4E79"/>
            <w:noWrap/>
            <w:vAlign w:val="center"/>
            <w:hideMark/>
          </w:tcPr>
          <w:p w14:paraId="09E449B1"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78,25%</w:t>
            </w:r>
          </w:p>
        </w:tc>
        <w:tc>
          <w:tcPr>
            <w:tcW w:w="823" w:type="dxa"/>
            <w:tcBorders>
              <w:top w:val="single" w:sz="4" w:space="0" w:color="auto"/>
              <w:left w:val="nil"/>
              <w:bottom w:val="single" w:sz="4" w:space="0" w:color="auto"/>
              <w:right w:val="single" w:sz="4" w:space="0" w:color="auto"/>
            </w:tcBorders>
            <w:shd w:val="clear" w:color="auto" w:fill="1F4E79"/>
            <w:noWrap/>
            <w:vAlign w:val="center"/>
            <w:hideMark/>
          </w:tcPr>
          <w:p w14:paraId="15EBAE98"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2,68%</w:t>
            </w:r>
          </w:p>
        </w:tc>
      </w:tr>
    </w:tbl>
    <w:p w14:paraId="45D5E9BD"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p>
    <w:p w14:paraId="3A74C1B1" w14:textId="77777777" w:rsidR="00E7759C" w:rsidRPr="00E7759C" w:rsidRDefault="00E7759C" w:rsidP="00E7759C">
      <w:pPr>
        <w:tabs>
          <w:tab w:val="left" w:pos="5812"/>
        </w:tabs>
        <w:spacing w:after="0" w:line="240" w:lineRule="auto"/>
        <w:jc w:val="both"/>
        <w:rPr>
          <w:rFonts w:eastAsia="Times New Roman" w:cs="Times New Roman"/>
          <w:lang w:val="es-ES" w:eastAsia="en-US"/>
        </w:rPr>
      </w:pPr>
    </w:p>
    <w:p w14:paraId="2C376876" w14:textId="77777777" w:rsidR="00E7759C" w:rsidRPr="00E7759C" w:rsidRDefault="00E7759C" w:rsidP="00E7759C">
      <w:pPr>
        <w:tabs>
          <w:tab w:val="left" w:pos="5812"/>
        </w:tabs>
        <w:spacing w:after="0" w:line="240" w:lineRule="auto"/>
        <w:jc w:val="both"/>
        <w:rPr>
          <w:rFonts w:eastAsia="Times New Roman" w:cs="Times New Roman"/>
          <w:lang w:val="es-ES" w:eastAsia="en-US"/>
        </w:rPr>
        <w:sectPr w:rsidR="00E7759C" w:rsidRPr="00E7759C" w:rsidSect="0054297D">
          <w:type w:val="continuous"/>
          <w:pgSz w:w="12242" w:h="15842" w:code="1"/>
          <w:pgMar w:top="1808" w:right="1701" w:bottom="1701" w:left="1701" w:header="709" w:footer="709" w:gutter="0"/>
          <w:cols w:space="708"/>
          <w:titlePg/>
          <w:docGrid w:linePitch="360"/>
        </w:sectPr>
      </w:pPr>
    </w:p>
    <w:p w14:paraId="64AF4371" w14:textId="77777777" w:rsidR="00E7759C" w:rsidRPr="00E7759C" w:rsidRDefault="00E7759C" w:rsidP="00E7759C">
      <w:pPr>
        <w:tabs>
          <w:tab w:val="left" w:pos="5812"/>
        </w:tabs>
        <w:spacing w:after="0" w:line="240" w:lineRule="auto"/>
        <w:jc w:val="both"/>
        <w:rPr>
          <w:rFonts w:eastAsia="Times New Roman" w:cs="Times New Roman"/>
          <w:lang w:val="es-ES" w:eastAsia="en-US"/>
        </w:rPr>
      </w:pPr>
      <w:r w:rsidRPr="00E7759C">
        <w:rPr>
          <w:rFonts w:eastAsia="Times New Roman" w:cs="Times New Roman"/>
          <w:b/>
          <w:color w:val="365F91"/>
          <w:lang w:val="es-ES" w:eastAsia="en-US"/>
        </w:rPr>
        <w:lastRenderedPageBreak/>
        <w:t xml:space="preserve">GASTOS DE FUNCIONAMIENTO. </w:t>
      </w:r>
      <w:r w:rsidRPr="00E7759C">
        <w:rPr>
          <w:rFonts w:eastAsia="Times New Roman" w:cs="Times New Roman"/>
          <w:lang w:val="es-ES" w:eastAsia="en-US"/>
        </w:rPr>
        <w:t xml:space="preserve">Para la vigencia 2014 los gastos de funcionamiento ascienden a $70.467 millones y se conforman por los gastos de personal por $40.644 millones, los gastos generales por valor de $9.437 millones,  las transferencias corrientes por valor de $20.386 millones incluyéndose en estas la cuota de auditaje que se paga en cada vigencia a la Contraloría General de la República y el valor disponible en el rubro de sentencias y conciliaciones para la cancelación de los fallos que se declaren en contra de la Entidad y la Provisión para gastos institucionales y/o Sectoriales contingentes - Previo concepto DGPPN. </w:t>
      </w:r>
    </w:p>
    <w:p w14:paraId="32BB3851" w14:textId="77777777" w:rsidR="00E7759C" w:rsidRPr="00E7759C" w:rsidRDefault="00E7759C" w:rsidP="00E7759C">
      <w:pPr>
        <w:tabs>
          <w:tab w:val="left" w:pos="5812"/>
        </w:tabs>
        <w:spacing w:after="0" w:line="240" w:lineRule="auto"/>
        <w:jc w:val="both"/>
        <w:rPr>
          <w:rFonts w:eastAsia="Times New Roman" w:cs="Times New Roman"/>
          <w:lang w:val="es-ES" w:eastAsia="en-US"/>
        </w:rPr>
      </w:pPr>
    </w:p>
    <w:p w14:paraId="536C5557" w14:textId="77777777" w:rsidR="00E7759C" w:rsidRPr="00E7759C" w:rsidRDefault="00E7759C" w:rsidP="00E7759C">
      <w:pPr>
        <w:spacing w:after="0" w:line="240" w:lineRule="auto"/>
        <w:jc w:val="both"/>
        <w:rPr>
          <w:rFonts w:eastAsia="Times New Roman" w:cs="Times New Roman"/>
          <w:color w:val="000000"/>
          <w:lang w:val="es-ES" w:eastAsia="en-US"/>
        </w:rPr>
      </w:pPr>
      <w:r w:rsidRPr="00E7759C">
        <w:rPr>
          <w:rFonts w:eastAsia="Times New Roman" w:cs="Times New Roman"/>
          <w:color w:val="000000"/>
          <w:lang w:val="es-ES" w:eastAsia="en-US"/>
        </w:rPr>
        <w:t>A la fecha de corte, el presupuesto de gastos de funcionamiento se ha ejecutado de la siguiente forma:</w:t>
      </w:r>
    </w:p>
    <w:p w14:paraId="7E12C33E" w14:textId="77777777" w:rsidR="00E7759C" w:rsidRPr="00E7759C" w:rsidRDefault="00E7759C" w:rsidP="00E7759C">
      <w:pPr>
        <w:tabs>
          <w:tab w:val="left" w:pos="5812"/>
        </w:tabs>
        <w:spacing w:after="0" w:line="240" w:lineRule="auto"/>
        <w:jc w:val="both"/>
        <w:rPr>
          <w:rFonts w:eastAsia="Times New Roman" w:cs="Times New Roman"/>
          <w:lang w:val="es-ES" w:eastAsia="en-US"/>
        </w:rPr>
      </w:pPr>
    </w:p>
    <w:p w14:paraId="14405649" w14:textId="77777777" w:rsidR="00E7759C" w:rsidRPr="00E7759C" w:rsidRDefault="00E7759C" w:rsidP="00E7759C">
      <w:pPr>
        <w:tabs>
          <w:tab w:val="left" w:pos="5812"/>
        </w:tabs>
        <w:spacing w:after="0" w:line="240" w:lineRule="auto"/>
        <w:jc w:val="both"/>
        <w:rPr>
          <w:rFonts w:eastAsia="Times New Roman" w:cs="Times New Roman"/>
          <w:lang w:val="es-ES" w:eastAsia="en-US"/>
        </w:rPr>
      </w:pPr>
    </w:p>
    <w:p w14:paraId="033ADE54" w14:textId="77777777" w:rsidR="00E7759C" w:rsidRPr="00E7759C" w:rsidRDefault="00E7759C" w:rsidP="00E7759C">
      <w:pPr>
        <w:tabs>
          <w:tab w:val="left" w:pos="5812"/>
        </w:tabs>
        <w:spacing w:after="0" w:line="240" w:lineRule="auto"/>
        <w:jc w:val="both"/>
        <w:rPr>
          <w:rFonts w:eastAsia="Times New Roman" w:cs="Times New Roman"/>
          <w:lang w:val="es-ES" w:eastAsia="en-US"/>
        </w:rPr>
      </w:pPr>
    </w:p>
    <w:p w14:paraId="046FEBA6"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Cuadro No. 3</w:t>
      </w:r>
    </w:p>
    <w:p w14:paraId="54AFFC73"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Ejecución Presupuestal – Gastos Funcionamiento Trimestre 1</w:t>
      </w:r>
    </w:p>
    <w:tbl>
      <w:tblPr>
        <w:tblW w:w="8789" w:type="dxa"/>
        <w:tblInd w:w="70" w:type="dxa"/>
        <w:tblCellMar>
          <w:left w:w="70" w:type="dxa"/>
          <w:right w:w="70" w:type="dxa"/>
        </w:tblCellMar>
        <w:tblLook w:val="04A0" w:firstRow="1" w:lastRow="0" w:firstColumn="1" w:lastColumn="0" w:noHBand="0" w:noVBand="1"/>
      </w:tblPr>
      <w:tblGrid>
        <w:gridCol w:w="2460"/>
        <w:gridCol w:w="880"/>
        <w:gridCol w:w="880"/>
        <w:gridCol w:w="880"/>
        <w:gridCol w:w="880"/>
        <w:gridCol w:w="899"/>
        <w:gridCol w:w="1028"/>
        <w:gridCol w:w="945"/>
      </w:tblGrid>
      <w:tr w:rsidR="00E7759C" w:rsidRPr="00E7759C" w14:paraId="708BE4D3" w14:textId="77777777" w:rsidTr="0054297D">
        <w:trPr>
          <w:trHeight w:val="270"/>
        </w:trPr>
        <w:tc>
          <w:tcPr>
            <w:tcW w:w="2460" w:type="dxa"/>
            <w:tcBorders>
              <w:top w:val="nil"/>
              <w:left w:val="nil"/>
              <w:bottom w:val="nil"/>
              <w:right w:val="nil"/>
            </w:tcBorders>
            <w:shd w:val="clear" w:color="auto" w:fill="auto"/>
            <w:noWrap/>
            <w:vAlign w:val="bottom"/>
            <w:hideMark/>
          </w:tcPr>
          <w:p w14:paraId="7E749AA3" w14:textId="77777777" w:rsidR="00E7759C" w:rsidRPr="00E7759C" w:rsidRDefault="00E7759C" w:rsidP="00E7759C">
            <w:pPr>
              <w:spacing w:after="0" w:line="240" w:lineRule="auto"/>
              <w:rPr>
                <w:rFonts w:eastAsia="Times New Roman" w:cs="Times New Roman"/>
                <w:sz w:val="20"/>
                <w:szCs w:val="20"/>
              </w:rPr>
            </w:pPr>
          </w:p>
        </w:tc>
        <w:tc>
          <w:tcPr>
            <w:tcW w:w="880" w:type="dxa"/>
            <w:tcBorders>
              <w:top w:val="nil"/>
              <w:left w:val="nil"/>
              <w:bottom w:val="nil"/>
              <w:right w:val="nil"/>
            </w:tcBorders>
            <w:shd w:val="clear" w:color="auto" w:fill="auto"/>
            <w:noWrap/>
            <w:vAlign w:val="bottom"/>
            <w:hideMark/>
          </w:tcPr>
          <w:p w14:paraId="5A5D4C16" w14:textId="77777777" w:rsidR="00E7759C" w:rsidRPr="00E7759C" w:rsidRDefault="00E7759C" w:rsidP="00E7759C">
            <w:pPr>
              <w:spacing w:after="0" w:line="240" w:lineRule="auto"/>
              <w:rPr>
                <w:rFonts w:eastAsia="Times New Roman" w:cs="Times New Roman"/>
                <w:sz w:val="20"/>
                <w:szCs w:val="20"/>
              </w:rPr>
            </w:pPr>
          </w:p>
        </w:tc>
        <w:tc>
          <w:tcPr>
            <w:tcW w:w="880" w:type="dxa"/>
            <w:tcBorders>
              <w:top w:val="nil"/>
              <w:left w:val="nil"/>
              <w:bottom w:val="nil"/>
              <w:right w:val="nil"/>
            </w:tcBorders>
            <w:shd w:val="clear" w:color="auto" w:fill="auto"/>
            <w:noWrap/>
            <w:vAlign w:val="bottom"/>
            <w:hideMark/>
          </w:tcPr>
          <w:p w14:paraId="483CBEFC" w14:textId="77777777" w:rsidR="00E7759C" w:rsidRPr="00E7759C" w:rsidRDefault="00E7759C" w:rsidP="00E7759C">
            <w:pPr>
              <w:spacing w:after="0" w:line="240" w:lineRule="auto"/>
              <w:rPr>
                <w:rFonts w:eastAsia="Times New Roman" w:cs="Times New Roman"/>
                <w:sz w:val="20"/>
                <w:szCs w:val="20"/>
              </w:rPr>
            </w:pPr>
          </w:p>
        </w:tc>
        <w:tc>
          <w:tcPr>
            <w:tcW w:w="880" w:type="dxa"/>
            <w:tcBorders>
              <w:top w:val="nil"/>
              <w:left w:val="nil"/>
              <w:bottom w:val="nil"/>
              <w:right w:val="nil"/>
            </w:tcBorders>
            <w:shd w:val="clear" w:color="auto" w:fill="auto"/>
            <w:noWrap/>
            <w:vAlign w:val="bottom"/>
            <w:hideMark/>
          </w:tcPr>
          <w:p w14:paraId="5D779EF7" w14:textId="77777777" w:rsidR="00E7759C" w:rsidRPr="00E7759C" w:rsidRDefault="00E7759C" w:rsidP="00E7759C">
            <w:pPr>
              <w:spacing w:after="0" w:line="240" w:lineRule="auto"/>
              <w:rPr>
                <w:rFonts w:eastAsia="Times New Roman" w:cs="Times New Roman"/>
                <w:sz w:val="20"/>
                <w:szCs w:val="20"/>
              </w:rPr>
            </w:pPr>
          </w:p>
        </w:tc>
        <w:tc>
          <w:tcPr>
            <w:tcW w:w="880" w:type="dxa"/>
            <w:tcBorders>
              <w:top w:val="nil"/>
              <w:left w:val="nil"/>
              <w:bottom w:val="nil"/>
              <w:right w:val="nil"/>
            </w:tcBorders>
            <w:shd w:val="clear" w:color="auto" w:fill="auto"/>
            <w:noWrap/>
            <w:vAlign w:val="bottom"/>
            <w:hideMark/>
          </w:tcPr>
          <w:p w14:paraId="511A4644" w14:textId="77777777" w:rsidR="00E7759C" w:rsidRPr="00E7759C" w:rsidRDefault="00E7759C" w:rsidP="00E7759C">
            <w:pPr>
              <w:spacing w:after="0" w:line="240" w:lineRule="auto"/>
              <w:rPr>
                <w:rFonts w:eastAsia="Times New Roman" w:cs="Times New Roman"/>
                <w:sz w:val="20"/>
                <w:szCs w:val="20"/>
              </w:rPr>
            </w:pPr>
          </w:p>
        </w:tc>
        <w:tc>
          <w:tcPr>
            <w:tcW w:w="836" w:type="dxa"/>
            <w:tcBorders>
              <w:top w:val="nil"/>
              <w:left w:val="nil"/>
              <w:bottom w:val="nil"/>
              <w:right w:val="nil"/>
            </w:tcBorders>
            <w:shd w:val="clear" w:color="auto" w:fill="auto"/>
            <w:noWrap/>
            <w:vAlign w:val="bottom"/>
            <w:hideMark/>
          </w:tcPr>
          <w:p w14:paraId="7806850D" w14:textId="77777777" w:rsidR="00E7759C" w:rsidRPr="00E7759C" w:rsidRDefault="00E7759C" w:rsidP="00E7759C">
            <w:pPr>
              <w:spacing w:after="0" w:line="240" w:lineRule="auto"/>
              <w:rPr>
                <w:rFonts w:eastAsia="Times New Roman" w:cs="Times New Roman"/>
                <w:sz w:val="20"/>
                <w:szCs w:val="20"/>
              </w:rPr>
            </w:pPr>
          </w:p>
        </w:tc>
        <w:tc>
          <w:tcPr>
            <w:tcW w:w="1973" w:type="dxa"/>
            <w:gridSpan w:val="2"/>
            <w:tcBorders>
              <w:top w:val="nil"/>
              <w:left w:val="nil"/>
              <w:bottom w:val="single" w:sz="4" w:space="0" w:color="auto"/>
              <w:right w:val="nil"/>
            </w:tcBorders>
            <w:shd w:val="clear" w:color="auto" w:fill="auto"/>
            <w:noWrap/>
            <w:vAlign w:val="bottom"/>
            <w:hideMark/>
          </w:tcPr>
          <w:p w14:paraId="2D2B4892"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cifras en millones de pesos</w:t>
            </w:r>
          </w:p>
        </w:tc>
      </w:tr>
      <w:tr w:rsidR="00E7759C" w:rsidRPr="00E7759C" w14:paraId="4528C2A9" w14:textId="77777777" w:rsidTr="0054297D">
        <w:trPr>
          <w:trHeight w:val="360"/>
        </w:trPr>
        <w:tc>
          <w:tcPr>
            <w:tcW w:w="2460" w:type="dxa"/>
            <w:tcBorders>
              <w:top w:val="single" w:sz="4" w:space="0" w:color="auto"/>
              <w:left w:val="single" w:sz="4" w:space="0" w:color="auto"/>
              <w:bottom w:val="nil"/>
              <w:right w:val="single" w:sz="4" w:space="0" w:color="auto"/>
            </w:tcBorders>
            <w:shd w:val="clear" w:color="auto" w:fill="1F4E79"/>
            <w:vAlign w:val="center"/>
            <w:hideMark/>
          </w:tcPr>
          <w:p w14:paraId="41D6600C"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rPr>
              <w:t>Concepto</w:t>
            </w:r>
          </w:p>
        </w:tc>
        <w:tc>
          <w:tcPr>
            <w:tcW w:w="880" w:type="dxa"/>
            <w:tcBorders>
              <w:top w:val="single" w:sz="4" w:space="0" w:color="auto"/>
              <w:left w:val="nil"/>
              <w:bottom w:val="nil"/>
              <w:right w:val="single" w:sz="4" w:space="0" w:color="auto"/>
            </w:tcBorders>
            <w:shd w:val="clear" w:color="auto" w:fill="1F4E79"/>
            <w:vAlign w:val="center"/>
            <w:hideMark/>
          </w:tcPr>
          <w:p w14:paraId="582F8DB1"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Apropiac</w:t>
            </w:r>
          </w:p>
        </w:tc>
        <w:tc>
          <w:tcPr>
            <w:tcW w:w="880" w:type="dxa"/>
            <w:tcBorders>
              <w:top w:val="single" w:sz="4" w:space="0" w:color="auto"/>
              <w:left w:val="nil"/>
              <w:bottom w:val="single" w:sz="4" w:space="0" w:color="auto"/>
              <w:right w:val="single" w:sz="4" w:space="0" w:color="auto"/>
            </w:tcBorders>
            <w:shd w:val="clear" w:color="auto" w:fill="1F4E79"/>
            <w:vAlign w:val="center"/>
            <w:hideMark/>
          </w:tcPr>
          <w:p w14:paraId="335B9745"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Comprom</w:t>
            </w:r>
          </w:p>
        </w:tc>
        <w:tc>
          <w:tcPr>
            <w:tcW w:w="880" w:type="dxa"/>
            <w:tcBorders>
              <w:top w:val="single" w:sz="4" w:space="0" w:color="auto"/>
              <w:left w:val="nil"/>
              <w:bottom w:val="single" w:sz="4" w:space="0" w:color="auto"/>
              <w:right w:val="single" w:sz="4" w:space="0" w:color="auto"/>
            </w:tcBorders>
            <w:shd w:val="clear" w:color="auto" w:fill="1F4E79"/>
            <w:vAlign w:val="center"/>
            <w:hideMark/>
          </w:tcPr>
          <w:p w14:paraId="5BC6EEFB"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Oblig</w:t>
            </w:r>
          </w:p>
        </w:tc>
        <w:tc>
          <w:tcPr>
            <w:tcW w:w="880" w:type="dxa"/>
            <w:tcBorders>
              <w:top w:val="single" w:sz="4" w:space="0" w:color="auto"/>
              <w:left w:val="nil"/>
              <w:bottom w:val="single" w:sz="4" w:space="0" w:color="auto"/>
              <w:right w:val="single" w:sz="4" w:space="0" w:color="auto"/>
            </w:tcBorders>
            <w:shd w:val="clear" w:color="auto" w:fill="1F4E79"/>
            <w:vAlign w:val="center"/>
            <w:hideMark/>
          </w:tcPr>
          <w:p w14:paraId="79CB06DF"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Pagos</w:t>
            </w:r>
          </w:p>
        </w:tc>
        <w:tc>
          <w:tcPr>
            <w:tcW w:w="836" w:type="dxa"/>
            <w:tcBorders>
              <w:top w:val="single" w:sz="4" w:space="0" w:color="auto"/>
              <w:left w:val="nil"/>
              <w:bottom w:val="single" w:sz="4" w:space="0" w:color="auto"/>
              <w:right w:val="single" w:sz="4" w:space="0" w:color="auto"/>
            </w:tcBorders>
            <w:shd w:val="clear" w:color="auto" w:fill="1F4E79"/>
            <w:vAlign w:val="center"/>
            <w:hideMark/>
          </w:tcPr>
          <w:p w14:paraId="7CD3843B"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Comp/Aprop</w:t>
            </w:r>
          </w:p>
        </w:tc>
        <w:tc>
          <w:tcPr>
            <w:tcW w:w="1028" w:type="dxa"/>
            <w:tcBorders>
              <w:top w:val="nil"/>
              <w:left w:val="nil"/>
              <w:bottom w:val="single" w:sz="4" w:space="0" w:color="auto"/>
              <w:right w:val="single" w:sz="4" w:space="0" w:color="auto"/>
            </w:tcBorders>
            <w:shd w:val="clear" w:color="auto" w:fill="1F4E79"/>
            <w:vAlign w:val="center"/>
            <w:hideMark/>
          </w:tcPr>
          <w:p w14:paraId="5984C8F0"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Oblig/Aprop</w:t>
            </w:r>
          </w:p>
        </w:tc>
        <w:tc>
          <w:tcPr>
            <w:tcW w:w="945" w:type="dxa"/>
            <w:tcBorders>
              <w:top w:val="nil"/>
              <w:left w:val="nil"/>
              <w:bottom w:val="single" w:sz="4" w:space="0" w:color="auto"/>
              <w:right w:val="single" w:sz="4" w:space="0" w:color="auto"/>
            </w:tcBorders>
            <w:shd w:val="clear" w:color="auto" w:fill="1F4E79"/>
            <w:vAlign w:val="center"/>
            <w:hideMark/>
          </w:tcPr>
          <w:p w14:paraId="561D829E" w14:textId="77777777" w:rsidR="00E7759C" w:rsidRPr="00E7759C" w:rsidRDefault="00E7759C" w:rsidP="00E7759C">
            <w:pPr>
              <w:spacing w:after="0" w:line="240" w:lineRule="auto"/>
              <w:jc w:val="center"/>
              <w:rPr>
                <w:rFonts w:eastAsia="Times New Roman" w:cs="Times New Roman"/>
                <w:b/>
                <w:bCs/>
                <w:color w:val="FFFFFF"/>
                <w:sz w:val="14"/>
                <w:szCs w:val="14"/>
              </w:rPr>
            </w:pPr>
            <w:r w:rsidRPr="00E7759C">
              <w:rPr>
                <w:rFonts w:eastAsia="Times New Roman" w:cs="Times New Roman"/>
                <w:b/>
                <w:bCs/>
                <w:color w:val="FFFFFF"/>
                <w:sz w:val="14"/>
                <w:szCs w:val="14"/>
                <w:lang w:val="es-ES"/>
              </w:rPr>
              <w:t>Pago/Aprop</w:t>
            </w:r>
          </w:p>
        </w:tc>
      </w:tr>
      <w:tr w:rsidR="00E7759C" w:rsidRPr="00E7759C" w14:paraId="22BC64B3" w14:textId="77777777" w:rsidTr="0054297D">
        <w:trPr>
          <w:trHeight w:val="270"/>
        </w:trPr>
        <w:tc>
          <w:tcPr>
            <w:tcW w:w="246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7C0B060"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Gastos de Personal</w:t>
            </w:r>
          </w:p>
        </w:tc>
        <w:tc>
          <w:tcPr>
            <w:tcW w:w="880" w:type="dxa"/>
            <w:tcBorders>
              <w:top w:val="single" w:sz="4" w:space="0" w:color="auto"/>
              <w:left w:val="nil"/>
              <w:bottom w:val="single" w:sz="4" w:space="0" w:color="auto"/>
              <w:right w:val="single" w:sz="4" w:space="0" w:color="auto"/>
            </w:tcBorders>
            <w:shd w:val="clear" w:color="auto" w:fill="BFBFBF"/>
            <w:noWrap/>
            <w:vAlign w:val="bottom"/>
            <w:hideMark/>
          </w:tcPr>
          <w:p w14:paraId="463B2AB1"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40.644 </w:t>
            </w:r>
          </w:p>
        </w:tc>
        <w:tc>
          <w:tcPr>
            <w:tcW w:w="880" w:type="dxa"/>
            <w:tcBorders>
              <w:top w:val="nil"/>
              <w:left w:val="nil"/>
              <w:bottom w:val="single" w:sz="4" w:space="0" w:color="auto"/>
              <w:right w:val="single" w:sz="4" w:space="0" w:color="auto"/>
            </w:tcBorders>
            <w:shd w:val="clear" w:color="auto" w:fill="BFBFBF"/>
            <w:noWrap/>
            <w:vAlign w:val="bottom"/>
            <w:hideMark/>
          </w:tcPr>
          <w:p w14:paraId="66E19DA4"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14.164 </w:t>
            </w:r>
          </w:p>
        </w:tc>
        <w:tc>
          <w:tcPr>
            <w:tcW w:w="880" w:type="dxa"/>
            <w:tcBorders>
              <w:top w:val="nil"/>
              <w:left w:val="nil"/>
              <w:bottom w:val="single" w:sz="4" w:space="0" w:color="auto"/>
              <w:right w:val="single" w:sz="4" w:space="0" w:color="auto"/>
            </w:tcBorders>
            <w:shd w:val="clear" w:color="auto" w:fill="BFBFBF"/>
            <w:noWrap/>
            <w:vAlign w:val="bottom"/>
            <w:hideMark/>
          </w:tcPr>
          <w:p w14:paraId="78699882"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9.266 </w:t>
            </w:r>
          </w:p>
        </w:tc>
        <w:tc>
          <w:tcPr>
            <w:tcW w:w="880" w:type="dxa"/>
            <w:tcBorders>
              <w:top w:val="nil"/>
              <w:left w:val="nil"/>
              <w:bottom w:val="single" w:sz="4" w:space="0" w:color="auto"/>
              <w:right w:val="single" w:sz="4" w:space="0" w:color="auto"/>
            </w:tcBorders>
            <w:shd w:val="clear" w:color="auto" w:fill="BFBFBF"/>
            <w:noWrap/>
            <w:vAlign w:val="bottom"/>
            <w:hideMark/>
          </w:tcPr>
          <w:p w14:paraId="060C9DB4"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8.764 </w:t>
            </w:r>
          </w:p>
        </w:tc>
        <w:tc>
          <w:tcPr>
            <w:tcW w:w="836" w:type="dxa"/>
            <w:tcBorders>
              <w:top w:val="nil"/>
              <w:left w:val="nil"/>
              <w:bottom w:val="single" w:sz="4" w:space="0" w:color="auto"/>
              <w:right w:val="single" w:sz="4" w:space="0" w:color="auto"/>
            </w:tcBorders>
            <w:shd w:val="clear" w:color="auto" w:fill="BFBFBF"/>
            <w:noWrap/>
            <w:vAlign w:val="bottom"/>
            <w:hideMark/>
          </w:tcPr>
          <w:p w14:paraId="2D0ABA37" w14:textId="77777777" w:rsidR="00E7759C" w:rsidRPr="00E7759C" w:rsidRDefault="00E7759C" w:rsidP="00E7759C">
            <w:pPr>
              <w:spacing w:after="0" w:line="240" w:lineRule="auto"/>
              <w:jc w:val="center"/>
              <w:rPr>
                <w:rFonts w:eastAsia="Times New Roman" w:cs="Times New Roman"/>
                <w:b/>
                <w:bCs/>
                <w:color w:val="000000"/>
                <w:sz w:val="18"/>
                <w:szCs w:val="18"/>
              </w:rPr>
            </w:pPr>
            <w:r w:rsidRPr="00E7759C">
              <w:rPr>
                <w:rFonts w:eastAsia="Times New Roman" w:cs="Times New Roman"/>
                <w:b/>
                <w:bCs/>
                <w:color w:val="000000"/>
                <w:sz w:val="18"/>
                <w:szCs w:val="18"/>
              </w:rPr>
              <w:t>34,85%</w:t>
            </w:r>
          </w:p>
        </w:tc>
        <w:tc>
          <w:tcPr>
            <w:tcW w:w="1028" w:type="dxa"/>
            <w:tcBorders>
              <w:top w:val="nil"/>
              <w:left w:val="nil"/>
              <w:bottom w:val="single" w:sz="4" w:space="0" w:color="auto"/>
              <w:right w:val="single" w:sz="4" w:space="0" w:color="auto"/>
            </w:tcBorders>
            <w:shd w:val="clear" w:color="auto" w:fill="BFBFBF"/>
            <w:noWrap/>
            <w:vAlign w:val="bottom"/>
            <w:hideMark/>
          </w:tcPr>
          <w:p w14:paraId="0F968FD3" w14:textId="77777777" w:rsidR="00E7759C" w:rsidRPr="00E7759C" w:rsidRDefault="00E7759C" w:rsidP="00E7759C">
            <w:pPr>
              <w:spacing w:after="0" w:line="240" w:lineRule="auto"/>
              <w:jc w:val="center"/>
              <w:rPr>
                <w:rFonts w:eastAsia="Times New Roman" w:cs="Times New Roman"/>
                <w:b/>
                <w:bCs/>
                <w:color w:val="000000"/>
                <w:sz w:val="18"/>
                <w:szCs w:val="18"/>
              </w:rPr>
            </w:pPr>
            <w:r w:rsidRPr="00E7759C">
              <w:rPr>
                <w:rFonts w:eastAsia="Times New Roman" w:cs="Times New Roman"/>
                <w:b/>
                <w:bCs/>
                <w:color w:val="000000"/>
                <w:sz w:val="18"/>
                <w:szCs w:val="18"/>
              </w:rPr>
              <w:t>22,80%</w:t>
            </w:r>
          </w:p>
        </w:tc>
        <w:tc>
          <w:tcPr>
            <w:tcW w:w="945" w:type="dxa"/>
            <w:tcBorders>
              <w:top w:val="nil"/>
              <w:left w:val="nil"/>
              <w:bottom w:val="single" w:sz="4" w:space="0" w:color="auto"/>
              <w:right w:val="single" w:sz="4" w:space="0" w:color="auto"/>
            </w:tcBorders>
            <w:shd w:val="clear" w:color="auto" w:fill="BFBFBF"/>
            <w:noWrap/>
            <w:vAlign w:val="bottom"/>
            <w:hideMark/>
          </w:tcPr>
          <w:p w14:paraId="1E183BD7" w14:textId="77777777" w:rsidR="00E7759C" w:rsidRPr="00E7759C" w:rsidRDefault="00E7759C" w:rsidP="00E7759C">
            <w:pPr>
              <w:spacing w:after="0" w:line="240" w:lineRule="auto"/>
              <w:jc w:val="center"/>
              <w:rPr>
                <w:rFonts w:eastAsia="Times New Roman" w:cs="Times New Roman"/>
                <w:b/>
                <w:bCs/>
                <w:color w:val="000000"/>
                <w:sz w:val="18"/>
                <w:szCs w:val="18"/>
              </w:rPr>
            </w:pPr>
            <w:r w:rsidRPr="00E7759C">
              <w:rPr>
                <w:rFonts w:eastAsia="Times New Roman" w:cs="Times New Roman"/>
                <w:b/>
                <w:bCs/>
                <w:color w:val="000000"/>
                <w:sz w:val="18"/>
                <w:szCs w:val="18"/>
              </w:rPr>
              <w:t>21,56%</w:t>
            </w:r>
          </w:p>
        </w:tc>
      </w:tr>
      <w:tr w:rsidR="00E7759C" w:rsidRPr="00E7759C" w14:paraId="63EEDB9C" w14:textId="77777777" w:rsidTr="0054297D">
        <w:trPr>
          <w:trHeight w:val="270"/>
        </w:trPr>
        <w:tc>
          <w:tcPr>
            <w:tcW w:w="2460" w:type="dxa"/>
            <w:tcBorders>
              <w:top w:val="nil"/>
              <w:left w:val="single" w:sz="4" w:space="0" w:color="auto"/>
              <w:bottom w:val="nil"/>
              <w:right w:val="single" w:sz="4" w:space="0" w:color="auto"/>
            </w:tcBorders>
            <w:shd w:val="clear" w:color="auto" w:fill="auto"/>
            <w:noWrap/>
            <w:vAlign w:val="bottom"/>
            <w:hideMark/>
          </w:tcPr>
          <w:p w14:paraId="306FE658" w14:textId="77777777" w:rsidR="00E7759C" w:rsidRPr="00E7759C" w:rsidRDefault="00E7759C" w:rsidP="00E7759C">
            <w:pPr>
              <w:spacing w:after="0" w:line="240" w:lineRule="auto"/>
              <w:ind w:firstLineChars="100" w:firstLine="180"/>
              <w:rPr>
                <w:rFonts w:eastAsia="Times New Roman" w:cs="Times New Roman"/>
                <w:color w:val="000000"/>
                <w:sz w:val="18"/>
                <w:szCs w:val="18"/>
              </w:rPr>
            </w:pPr>
            <w:r w:rsidRPr="00E7759C">
              <w:rPr>
                <w:rFonts w:eastAsia="Times New Roman" w:cs="Times New Roman"/>
                <w:color w:val="000000"/>
                <w:sz w:val="18"/>
                <w:szCs w:val="18"/>
              </w:rPr>
              <w:t>Personal Directo</w:t>
            </w:r>
          </w:p>
        </w:tc>
        <w:tc>
          <w:tcPr>
            <w:tcW w:w="880" w:type="dxa"/>
            <w:tcBorders>
              <w:top w:val="nil"/>
              <w:left w:val="nil"/>
              <w:bottom w:val="nil"/>
              <w:right w:val="single" w:sz="4" w:space="0" w:color="auto"/>
            </w:tcBorders>
            <w:shd w:val="clear" w:color="auto" w:fill="auto"/>
            <w:noWrap/>
            <w:vAlign w:val="bottom"/>
            <w:hideMark/>
          </w:tcPr>
          <w:p w14:paraId="4FE4841A"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33.750 </w:t>
            </w:r>
          </w:p>
        </w:tc>
        <w:tc>
          <w:tcPr>
            <w:tcW w:w="880" w:type="dxa"/>
            <w:tcBorders>
              <w:top w:val="nil"/>
              <w:left w:val="nil"/>
              <w:bottom w:val="nil"/>
              <w:right w:val="single" w:sz="4" w:space="0" w:color="auto"/>
            </w:tcBorders>
            <w:shd w:val="clear" w:color="auto" w:fill="auto"/>
            <w:noWrap/>
            <w:vAlign w:val="bottom"/>
            <w:hideMark/>
          </w:tcPr>
          <w:p w14:paraId="0CACB3E3"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7.526 </w:t>
            </w:r>
          </w:p>
        </w:tc>
        <w:tc>
          <w:tcPr>
            <w:tcW w:w="880" w:type="dxa"/>
            <w:tcBorders>
              <w:top w:val="nil"/>
              <w:left w:val="nil"/>
              <w:bottom w:val="nil"/>
              <w:right w:val="single" w:sz="4" w:space="0" w:color="auto"/>
            </w:tcBorders>
            <w:shd w:val="clear" w:color="auto" w:fill="auto"/>
            <w:noWrap/>
            <w:vAlign w:val="bottom"/>
            <w:hideMark/>
          </w:tcPr>
          <w:p w14:paraId="587DC828"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7.516 </w:t>
            </w:r>
          </w:p>
        </w:tc>
        <w:tc>
          <w:tcPr>
            <w:tcW w:w="880" w:type="dxa"/>
            <w:tcBorders>
              <w:top w:val="nil"/>
              <w:left w:val="nil"/>
              <w:bottom w:val="nil"/>
              <w:right w:val="single" w:sz="4" w:space="0" w:color="auto"/>
            </w:tcBorders>
            <w:shd w:val="clear" w:color="auto" w:fill="auto"/>
            <w:noWrap/>
            <w:vAlign w:val="bottom"/>
            <w:hideMark/>
          </w:tcPr>
          <w:p w14:paraId="6C748550"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7.015 </w:t>
            </w:r>
          </w:p>
        </w:tc>
        <w:tc>
          <w:tcPr>
            <w:tcW w:w="836" w:type="dxa"/>
            <w:tcBorders>
              <w:top w:val="nil"/>
              <w:left w:val="nil"/>
              <w:bottom w:val="nil"/>
              <w:right w:val="single" w:sz="4" w:space="0" w:color="auto"/>
            </w:tcBorders>
            <w:shd w:val="clear" w:color="auto" w:fill="auto"/>
            <w:noWrap/>
            <w:vAlign w:val="bottom"/>
            <w:hideMark/>
          </w:tcPr>
          <w:p w14:paraId="4D2B45A6"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22,30%</w:t>
            </w:r>
          </w:p>
        </w:tc>
        <w:tc>
          <w:tcPr>
            <w:tcW w:w="1028" w:type="dxa"/>
            <w:tcBorders>
              <w:top w:val="nil"/>
              <w:left w:val="nil"/>
              <w:bottom w:val="nil"/>
              <w:right w:val="single" w:sz="4" w:space="0" w:color="auto"/>
            </w:tcBorders>
            <w:shd w:val="clear" w:color="auto" w:fill="auto"/>
            <w:noWrap/>
            <w:vAlign w:val="bottom"/>
            <w:hideMark/>
          </w:tcPr>
          <w:p w14:paraId="101BC740"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22,27%</w:t>
            </w:r>
          </w:p>
        </w:tc>
        <w:tc>
          <w:tcPr>
            <w:tcW w:w="945" w:type="dxa"/>
            <w:tcBorders>
              <w:top w:val="nil"/>
              <w:left w:val="nil"/>
              <w:bottom w:val="nil"/>
              <w:right w:val="single" w:sz="4" w:space="0" w:color="auto"/>
            </w:tcBorders>
            <w:shd w:val="clear" w:color="auto" w:fill="auto"/>
            <w:noWrap/>
            <w:vAlign w:val="bottom"/>
            <w:hideMark/>
          </w:tcPr>
          <w:p w14:paraId="14B7A2D7"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20,78%</w:t>
            </w:r>
          </w:p>
        </w:tc>
      </w:tr>
      <w:tr w:rsidR="00E7759C" w:rsidRPr="00E7759C" w14:paraId="5061D8BD" w14:textId="77777777" w:rsidTr="0054297D">
        <w:trPr>
          <w:trHeight w:val="27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D6BD0C7" w14:textId="77777777" w:rsidR="00E7759C" w:rsidRPr="00E7759C" w:rsidRDefault="00E7759C" w:rsidP="00E7759C">
            <w:pPr>
              <w:spacing w:after="0" w:line="240" w:lineRule="auto"/>
              <w:ind w:firstLineChars="100" w:firstLine="180"/>
              <w:rPr>
                <w:rFonts w:eastAsia="Times New Roman" w:cs="Times New Roman"/>
                <w:color w:val="000000"/>
                <w:sz w:val="18"/>
                <w:szCs w:val="18"/>
              </w:rPr>
            </w:pPr>
            <w:r w:rsidRPr="00E7759C">
              <w:rPr>
                <w:rFonts w:eastAsia="Times New Roman" w:cs="Times New Roman"/>
                <w:color w:val="000000"/>
                <w:sz w:val="18"/>
                <w:szCs w:val="18"/>
              </w:rPr>
              <w:t>Serv. Personales Indirectos</w:t>
            </w:r>
          </w:p>
        </w:tc>
        <w:tc>
          <w:tcPr>
            <w:tcW w:w="880" w:type="dxa"/>
            <w:tcBorders>
              <w:top w:val="nil"/>
              <w:left w:val="nil"/>
              <w:bottom w:val="single" w:sz="4" w:space="0" w:color="auto"/>
              <w:right w:val="single" w:sz="4" w:space="0" w:color="auto"/>
            </w:tcBorders>
            <w:shd w:val="clear" w:color="auto" w:fill="auto"/>
            <w:noWrap/>
            <w:vAlign w:val="bottom"/>
            <w:hideMark/>
          </w:tcPr>
          <w:p w14:paraId="0C354BB8"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6.894 </w:t>
            </w:r>
          </w:p>
        </w:tc>
        <w:tc>
          <w:tcPr>
            <w:tcW w:w="880" w:type="dxa"/>
            <w:tcBorders>
              <w:top w:val="nil"/>
              <w:left w:val="nil"/>
              <w:bottom w:val="single" w:sz="4" w:space="0" w:color="auto"/>
              <w:right w:val="single" w:sz="4" w:space="0" w:color="auto"/>
            </w:tcBorders>
            <w:shd w:val="clear" w:color="auto" w:fill="auto"/>
            <w:noWrap/>
            <w:vAlign w:val="bottom"/>
            <w:hideMark/>
          </w:tcPr>
          <w:p w14:paraId="73A69B1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6.638 </w:t>
            </w:r>
          </w:p>
        </w:tc>
        <w:tc>
          <w:tcPr>
            <w:tcW w:w="880" w:type="dxa"/>
            <w:tcBorders>
              <w:top w:val="nil"/>
              <w:left w:val="nil"/>
              <w:bottom w:val="single" w:sz="4" w:space="0" w:color="auto"/>
              <w:right w:val="single" w:sz="4" w:space="0" w:color="auto"/>
            </w:tcBorders>
            <w:shd w:val="clear" w:color="auto" w:fill="auto"/>
            <w:noWrap/>
            <w:vAlign w:val="bottom"/>
            <w:hideMark/>
          </w:tcPr>
          <w:p w14:paraId="5999E6D3"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1.750 </w:t>
            </w:r>
          </w:p>
        </w:tc>
        <w:tc>
          <w:tcPr>
            <w:tcW w:w="880" w:type="dxa"/>
            <w:tcBorders>
              <w:top w:val="nil"/>
              <w:left w:val="nil"/>
              <w:bottom w:val="single" w:sz="4" w:space="0" w:color="auto"/>
              <w:right w:val="single" w:sz="4" w:space="0" w:color="auto"/>
            </w:tcBorders>
            <w:shd w:val="clear" w:color="auto" w:fill="auto"/>
            <w:noWrap/>
            <w:vAlign w:val="bottom"/>
            <w:hideMark/>
          </w:tcPr>
          <w:p w14:paraId="00392285"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1.750 </w:t>
            </w:r>
          </w:p>
        </w:tc>
        <w:tc>
          <w:tcPr>
            <w:tcW w:w="836" w:type="dxa"/>
            <w:tcBorders>
              <w:top w:val="nil"/>
              <w:left w:val="nil"/>
              <w:bottom w:val="single" w:sz="4" w:space="0" w:color="auto"/>
              <w:right w:val="single" w:sz="4" w:space="0" w:color="auto"/>
            </w:tcBorders>
            <w:shd w:val="clear" w:color="auto" w:fill="auto"/>
            <w:noWrap/>
            <w:vAlign w:val="bottom"/>
            <w:hideMark/>
          </w:tcPr>
          <w:p w14:paraId="2AEDF114"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96,29%</w:t>
            </w:r>
          </w:p>
        </w:tc>
        <w:tc>
          <w:tcPr>
            <w:tcW w:w="1028" w:type="dxa"/>
            <w:tcBorders>
              <w:top w:val="nil"/>
              <w:left w:val="nil"/>
              <w:bottom w:val="single" w:sz="4" w:space="0" w:color="auto"/>
              <w:right w:val="single" w:sz="4" w:space="0" w:color="auto"/>
            </w:tcBorders>
            <w:shd w:val="clear" w:color="auto" w:fill="auto"/>
            <w:noWrap/>
            <w:vAlign w:val="bottom"/>
            <w:hideMark/>
          </w:tcPr>
          <w:p w14:paraId="05465EEB"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25,38%</w:t>
            </w:r>
          </w:p>
        </w:tc>
        <w:tc>
          <w:tcPr>
            <w:tcW w:w="945" w:type="dxa"/>
            <w:tcBorders>
              <w:top w:val="nil"/>
              <w:left w:val="nil"/>
              <w:bottom w:val="single" w:sz="4" w:space="0" w:color="auto"/>
              <w:right w:val="single" w:sz="4" w:space="0" w:color="auto"/>
            </w:tcBorders>
            <w:shd w:val="clear" w:color="auto" w:fill="auto"/>
            <w:noWrap/>
            <w:vAlign w:val="bottom"/>
            <w:hideMark/>
          </w:tcPr>
          <w:p w14:paraId="77B40647"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25,38%</w:t>
            </w:r>
          </w:p>
        </w:tc>
      </w:tr>
      <w:tr w:rsidR="00E7759C" w:rsidRPr="00E7759C" w14:paraId="0FAABD83" w14:textId="77777777" w:rsidTr="0054297D">
        <w:trPr>
          <w:trHeight w:val="270"/>
        </w:trPr>
        <w:tc>
          <w:tcPr>
            <w:tcW w:w="2460" w:type="dxa"/>
            <w:tcBorders>
              <w:top w:val="nil"/>
              <w:left w:val="single" w:sz="4" w:space="0" w:color="auto"/>
              <w:bottom w:val="single" w:sz="4" w:space="0" w:color="auto"/>
              <w:right w:val="single" w:sz="4" w:space="0" w:color="auto"/>
            </w:tcBorders>
            <w:shd w:val="clear" w:color="auto" w:fill="BFBFBF"/>
            <w:noWrap/>
            <w:vAlign w:val="bottom"/>
            <w:hideMark/>
          </w:tcPr>
          <w:p w14:paraId="54C4A9BE"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Gastos Generales</w:t>
            </w:r>
          </w:p>
        </w:tc>
        <w:tc>
          <w:tcPr>
            <w:tcW w:w="880" w:type="dxa"/>
            <w:tcBorders>
              <w:top w:val="nil"/>
              <w:left w:val="nil"/>
              <w:bottom w:val="single" w:sz="4" w:space="0" w:color="auto"/>
              <w:right w:val="single" w:sz="4" w:space="0" w:color="auto"/>
            </w:tcBorders>
            <w:shd w:val="clear" w:color="auto" w:fill="BFBFBF"/>
            <w:noWrap/>
            <w:vAlign w:val="bottom"/>
            <w:hideMark/>
          </w:tcPr>
          <w:p w14:paraId="17B0CB1F"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9.437 </w:t>
            </w:r>
          </w:p>
        </w:tc>
        <w:tc>
          <w:tcPr>
            <w:tcW w:w="880" w:type="dxa"/>
            <w:tcBorders>
              <w:top w:val="nil"/>
              <w:left w:val="nil"/>
              <w:bottom w:val="single" w:sz="4" w:space="0" w:color="auto"/>
              <w:right w:val="single" w:sz="4" w:space="0" w:color="auto"/>
            </w:tcBorders>
            <w:shd w:val="clear" w:color="auto" w:fill="BFBFBF"/>
            <w:noWrap/>
            <w:vAlign w:val="bottom"/>
            <w:hideMark/>
          </w:tcPr>
          <w:p w14:paraId="746D29B8"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3.110 </w:t>
            </w:r>
          </w:p>
        </w:tc>
        <w:tc>
          <w:tcPr>
            <w:tcW w:w="880" w:type="dxa"/>
            <w:tcBorders>
              <w:top w:val="nil"/>
              <w:left w:val="nil"/>
              <w:bottom w:val="single" w:sz="4" w:space="0" w:color="auto"/>
              <w:right w:val="single" w:sz="4" w:space="0" w:color="auto"/>
            </w:tcBorders>
            <w:shd w:val="clear" w:color="auto" w:fill="BFBFBF"/>
            <w:noWrap/>
            <w:vAlign w:val="bottom"/>
            <w:hideMark/>
          </w:tcPr>
          <w:p w14:paraId="1AE6604C"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1.203 </w:t>
            </w:r>
          </w:p>
        </w:tc>
        <w:tc>
          <w:tcPr>
            <w:tcW w:w="880" w:type="dxa"/>
            <w:tcBorders>
              <w:top w:val="nil"/>
              <w:left w:val="nil"/>
              <w:bottom w:val="single" w:sz="4" w:space="0" w:color="auto"/>
              <w:right w:val="single" w:sz="4" w:space="0" w:color="auto"/>
            </w:tcBorders>
            <w:shd w:val="clear" w:color="auto" w:fill="BFBFBF"/>
            <w:noWrap/>
            <w:vAlign w:val="bottom"/>
            <w:hideMark/>
          </w:tcPr>
          <w:p w14:paraId="1308FF2E"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1.203 </w:t>
            </w:r>
          </w:p>
        </w:tc>
        <w:tc>
          <w:tcPr>
            <w:tcW w:w="836" w:type="dxa"/>
            <w:tcBorders>
              <w:top w:val="nil"/>
              <w:left w:val="nil"/>
              <w:bottom w:val="single" w:sz="4" w:space="0" w:color="auto"/>
              <w:right w:val="single" w:sz="4" w:space="0" w:color="auto"/>
            </w:tcBorders>
            <w:shd w:val="clear" w:color="auto" w:fill="BFBFBF"/>
            <w:noWrap/>
            <w:vAlign w:val="bottom"/>
            <w:hideMark/>
          </w:tcPr>
          <w:p w14:paraId="5B324AB2" w14:textId="77777777" w:rsidR="00E7759C" w:rsidRPr="00E7759C" w:rsidRDefault="00E7759C" w:rsidP="00E7759C">
            <w:pPr>
              <w:spacing w:after="0" w:line="240" w:lineRule="auto"/>
              <w:jc w:val="center"/>
              <w:rPr>
                <w:rFonts w:eastAsia="Times New Roman" w:cs="Times New Roman"/>
                <w:b/>
                <w:bCs/>
                <w:color w:val="000000"/>
                <w:sz w:val="18"/>
                <w:szCs w:val="18"/>
              </w:rPr>
            </w:pPr>
            <w:r w:rsidRPr="00E7759C">
              <w:rPr>
                <w:rFonts w:eastAsia="Times New Roman" w:cs="Times New Roman"/>
                <w:b/>
                <w:bCs/>
                <w:color w:val="000000"/>
                <w:sz w:val="18"/>
                <w:szCs w:val="18"/>
              </w:rPr>
              <w:t>32,96%</w:t>
            </w:r>
          </w:p>
        </w:tc>
        <w:tc>
          <w:tcPr>
            <w:tcW w:w="1028" w:type="dxa"/>
            <w:tcBorders>
              <w:top w:val="nil"/>
              <w:left w:val="nil"/>
              <w:bottom w:val="single" w:sz="4" w:space="0" w:color="auto"/>
              <w:right w:val="single" w:sz="4" w:space="0" w:color="auto"/>
            </w:tcBorders>
            <w:shd w:val="clear" w:color="auto" w:fill="BFBFBF"/>
            <w:noWrap/>
            <w:vAlign w:val="bottom"/>
            <w:hideMark/>
          </w:tcPr>
          <w:p w14:paraId="33687757" w14:textId="77777777" w:rsidR="00E7759C" w:rsidRPr="00E7759C" w:rsidRDefault="00E7759C" w:rsidP="00E7759C">
            <w:pPr>
              <w:spacing w:after="0" w:line="240" w:lineRule="auto"/>
              <w:jc w:val="center"/>
              <w:rPr>
                <w:rFonts w:eastAsia="Times New Roman" w:cs="Times New Roman"/>
                <w:b/>
                <w:bCs/>
                <w:color w:val="000000"/>
                <w:sz w:val="18"/>
                <w:szCs w:val="18"/>
              </w:rPr>
            </w:pPr>
            <w:r w:rsidRPr="00E7759C">
              <w:rPr>
                <w:rFonts w:eastAsia="Times New Roman" w:cs="Times New Roman"/>
                <w:b/>
                <w:bCs/>
                <w:color w:val="000000"/>
                <w:sz w:val="18"/>
                <w:szCs w:val="18"/>
              </w:rPr>
              <w:t>12,74%</w:t>
            </w:r>
          </w:p>
        </w:tc>
        <w:tc>
          <w:tcPr>
            <w:tcW w:w="945" w:type="dxa"/>
            <w:tcBorders>
              <w:top w:val="nil"/>
              <w:left w:val="nil"/>
              <w:bottom w:val="single" w:sz="4" w:space="0" w:color="auto"/>
              <w:right w:val="single" w:sz="4" w:space="0" w:color="auto"/>
            </w:tcBorders>
            <w:shd w:val="clear" w:color="auto" w:fill="BFBFBF"/>
            <w:noWrap/>
            <w:vAlign w:val="bottom"/>
            <w:hideMark/>
          </w:tcPr>
          <w:p w14:paraId="49B714EE" w14:textId="77777777" w:rsidR="00E7759C" w:rsidRPr="00E7759C" w:rsidRDefault="00E7759C" w:rsidP="00E7759C">
            <w:pPr>
              <w:spacing w:after="0" w:line="240" w:lineRule="auto"/>
              <w:jc w:val="center"/>
              <w:rPr>
                <w:rFonts w:eastAsia="Times New Roman" w:cs="Times New Roman"/>
                <w:b/>
                <w:bCs/>
                <w:color w:val="000000"/>
                <w:sz w:val="18"/>
                <w:szCs w:val="18"/>
              </w:rPr>
            </w:pPr>
            <w:r w:rsidRPr="00E7759C">
              <w:rPr>
                <w:rFonts w:eastAsia="Times New Roman" w:cs="Times New Roman"/>
                <w:b/>
                <w:bCs/>
                <w:color w:val="000000"/>
                <w:sz w:val="18"/>
                <w:szCs w:val="18"/>
              </w:rPr>
              <w:t>12,74%</w:t>
            </w:r>
          </w:p>
        </w:tc>
      </w:tr>
      <w:tr w:rsidR="00E7759C" w:rsidRPr="00E7759C" w14:paraId="09DBD5D1" w14:textId="77777777" w:rsidTr="0054297D">
        <w:trPr>
          <w:trHeight w:val="270"/>
        </w:trPr>
        <w:tc>
          <w:tcPr>
            <w:tcW w:w="2460" w:type="dxa"/>
            <w:tcBorders>
              <w:top w:val="nil"/>
              <w:left w:val="single" w:sz="4" w:space="0" w:color="auto"/>
              <w:bottom w:val="nil"/>
              <w:right w:val="single" w:sz="4" w:space="0" w:color="auto"/>
            </w:tcBorders>
            <w:shd w:val="clear" w:color="auto" w:fill="auto"/>
            <w:noWrap/>
            <w:vAlign w:val="bottom"/>
            <w:hideMark/>
          </w:tcPr>
          <w:p w14:paraId="24351645" w14:textId="77777777" w:rsidR="00E7759C" w:rsidRPr="00E7759C" w:rsidRDefault="00E7759C" w:rsidP="00E7759C">
            <w:pPr>
              <w:spacing w:after="0" w:line="240" w:lineRule="auto"/>
              <w:ind w:firstLineChars="100" w:firstLine="180"/>
              <w:rPr>
                <w:rFonts w:eastAsia="Times New Roman" w:cs="Times New Roman"/>
                <w:color w:val="000000"/>
                <w:sz w:val="18"/>
                <w:szCs w:val="18"/>
              </w:rPr>
            </w:pPr>
            <w:r w:rsidRPr="00E7759C">
              <w:rPr>
                <w:rFonts w:eastAsia="Times New Roman" w:cs="Times New Roman"/>
                <w:color w:val="000000"/>
                <w:sz w:val="18"/>
                <w:szCs w:val="18"/>
              </w:rPr>
              <w:t>Impuestos y Multas</w:t>
            </w:r>
          </w:p>
        </w:tc>
        <w:tc>
          <w:tcPr>
            <w:tcW w:w="880" w:type="dxa"/>
            <w:tcBorders>
              <w:top w:val="nil"/>
              <w:left w:val="nil"/>
              <w:bottom w:val="nil"/>
              <w:right w:val="single" w:sz="4" w:space="0" w:color="auto"/>
            </w:tcBorders>
            <w:shd w:val="clear" w:color="auto" w:fill="auto"/>
            <w:noWrap/>
            <w:vAlign w:val="bottom"/>
            <w:hideMark/>
          </w:tcPr>
          <w:p w14:paraId="23A41A14"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18 </w:t>
            </w:r>
          </w:p>
        </w:tc>
        <w:tc>
          <w:tcPr>
            <w:tcW w:w="880" w:type="dxa"/>
            <w:tcBorders>
              <w:top w:val="nil"/>
              <w:left w:val="nil"/>
              <w:bottom w:val="nil"/>
              <w:right w:val="single" w:sz="4" w:space="0" w:color="auto"/>
            </w:tcBorders>
            <w:shd w:val="clear" w:color="auto" w:fill="auto"/>
            <w:noWrap/>
            <w:vAlign w:val="bottom"/>
            <w:hideMark/>
          </w:tcPr>
          <w:p w14:paraId="69892FE7"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880" w:type="dxa"/>
            <w:tcBorders>
              <w:top w:val="nil"/>
              <w:left w:val="nil"/>
              <w:bottom w:val="nil"/>
              <w:right w:val="single" w:sz="4" w:space="0" w:color="auto"/>
            </w:tcBorders>
            <w:shd w:val="clear" w:color="auto" w:fill="auto"/>
            <w:noWrap/>
            <w:vAlign w:val="bottom"/>
            <w:hideMark/>
          </w:tcPr>
          <w:p w14:paraId="4EFFAB6D"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880" w:type="dxa"/>
            <w:tcBorders>
              <w:top w:val="nil"/>
              <w:left w:val="nil"/>
              <w:bottom w:val="nil"/>
              <w:right w:val="single" w:sz="4" w:space="0" w:color="auto"/>
            </w:tcBorders>
            <w:shd w:val="clear" w:color="auto" w:fill="auto"/>
            <w:noWrap/>
            <w:vAlign w:val="bottom"/>
            <w:hideMark/>
          </w:tcPr>
          <w:p w14:paraId="41604DC3"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836" w:type="dxa"/>
            <w:tcBorders>
              <w:top w:val="nil"/>
              <w:left w:val="nil"/>
              <w:bottom w:val="nil"/>
              <w:right w:val="single" w:sz="4" w:space="0" w:color="auto"/>
            </w:tcBorders>
            <w:shd w:val="clear" w:color="auto" w:fill="auto"/>
            <w:noWrap/>
            <w:vAlign w:val="bottom"/>
            <w:hideMark/>
          </w:tcPr>
          <w:p w14:paraId="26941186"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0,00%</w:t>
            </w:r>
          </w:p>
        </w:tc>
        <w:tc>
          <w:tcPr>
            <w:tcW w:w="1028" w:type="dxa"/>
            <w:tcBorders>
              <w:top w:val="nil"/>
              <w:left w:val="nil"/>
              <w:bottom w:val="nil"/>
              <w:right w:val="single" w:sz="4" w:space="0" w:color="auto"/>
            </w:tcBorders>
            <w:shd w:val="clear" w:color="auto" w:fill="auto"/>
            <w:noWrap/>
            <w:vAlign w:val="bottom"/>
            <w:hideMark/>
          </w:tcPr>
          <w:p w14:paraId="197119CC"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0,00%</w:t>
            </w:r>
          </w:p>
        </w:tc>
        <w:tc>
          <w:tcPr>
            <w:tcW w:w="945" w:type="dxa"/>
            <w:tcBorders>
              <w:top w:val="nil"/>
              <w:left w:val="nil"/>
              <w:bottom w:val="nil"/>
              <w:right w:val="single" w:sz="4" w:space="0" w:color="auto"/>
            </w:tcBorders>
            <w:shd w:val="clear" w:color="auto" w:fill="auto"/>
            <w:noWrap/>
            <w:vAlign w:val="bottom"/>
            <w:hideMark/>
          </w:tcPr>
          <w:p w14:paraId="22F771F7"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0,00%</w:t>
            </w:r>
          </w:p>
        </w:tc>
      </w:tr>
      <w:tr w:rsidR="00E7759C" w:rsidRPr="00E7759C" w14:paraId="17BF688E" w14:textId="77777777" w:rsidTr="0054297D">
        <w:trPr>
          <w:trHeight w:val="27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1A67889" w14:textId="77777777" w:rsidR="00E7759C" w:rsidRPr="00E7759C" w:rsidRDefault="00E7759C" w:rsidP="00E7759C">
            <w:pPr>
              <w:spacing w:after="0" w:line="240" w:lineRule="auto"/>
              <w:ind w:firstLineChars="100" w:firstLine="180"/>
              <w:rPr>
                <w:rFonts w:eastAsia="Times New Roman" w:cs="Times New Roman"/>
                <w:color w:val="000000"/>
                <w:sz w:val="18"/>
                <w:szCs w:val="18"/>
              </w:rPr>
            </w:pPr>
            <w:r w:rsidRPr="00E7759C">
              <w:rPr>
                <w:rFonts w:eastAsia="Times New Roman" w:cs="Times New Roman"/>
                <w:color w:val="000000"/>
                <w:sz w:val="18"/>
                <w:szCs w:val="18"/>
              </w:rPr>
              <w:t>Adquisición de Bienes y Serv.</w:t>
            </w:r>
          </w:p>
        </w:tc>
        <w:tc>
          <w:tcPr>
            <w:tcW w:w="880" w:type="dxa"/>
            <w:tcBorders>
              <w:top w:val="nil"/>
              <w:left w:val="nil"/>
              <w:bottom w:val="single" w:sz="4" w:space="0" w:color="auto"/>
              <w:right w:val="single" w:sz="4" w:space="0" w:color="auto"/>
            </w:tcBorders>
            <w:shd w:val="clear" w:color="auto" w:fill="auto"/>
            <w:noWrap/>
            <w:vAlign w:val="bottom"/>
            <w:hideMark/>
          </w:tcPr>
          <w:p w14:paraId="7A6AEFCA"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9.419 </w:t>
            </w:r>
          </w:p>
        </w:tc>
        <w:tc>
          <w:tcPr>
            <w:tcW w:w="880" w:type="dxa"/>
            <w:tcBorders>
              <w:top w:val="nil"/>
              <w:left w:val="nil"/>
              <w:bottom w:val="single" w:sz="4" w:space="0" w:color="auto"/>
              <w:right w:val="single" w:sz="4" w:space="0" w:color="auto"/>
            </w:tcBorders>
            <w:shd w:val="clear" w:color="auto" w:fill="auto"/>
            <w:noWrap/>
            <w:vAlign w:val="bottom"/>
            <w:hideMark/>
          </w:tcPr>
          <w:p w14:paraId="737E1848"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3.110 </w:t>
            </w:r>
          </w:p>
        </w:tc>
        <w:tc>
          <w:tcPr>
            <w:tcW w:w="880" w:type="dxa"/>
            <w:tcBorders>
              <w:top w:val="nil"/>
              <w:left w:val="nil"/>
              <w:bottom w:val="single" w:sz="4" w:space="0" w:color="auto"/>
              <w:right w:val="single" w:sz="4" w:space="0" w:color="auto"/>
            </w:tcBorders>
            <w:shd w:val="clear" w:color="auto" w:fill="auto"/>
            <w:noWrap/>
            <w:vAlign w:val="bottom"/>
            <w:hideMark/>
          </w:tcPr>
          <w:p w14:paraId="477684C2"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1.203 </w:t>
            </w:r>
          </w:p>
        </w:tc>
        <w:tc>
          <w:tcPr>
            <w:tcW w:w="880" w:type="dxa"/>
            <w:tcBorders>
              <w:top w:val="nil"/>
              <w:left w:val="nil"/>
              <w:bottom w:val="single" w:sz="4" w:space="0" w:color="auto"/>
              <w:right w:val="single" w:sz="4" w:space="0" w:color="auto"/>
            </w:tcBorders>
            <w:shd w:val="clear" w:color="auto" w:fill="auto"/>
            <w:noWrap/>
            <w:vAlign w:val="bottom"/>
            <w:hideMark/>
          </w:tcPr>
          <w:p w14:paraId="28CFD108"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1.203 </w:t>
            </w:r>
          </w:p>
        </w:tc>
        <w:tc>
          <w:tcPr>
            <w:tcW w:w="836" w:type="dxa"/>
            <w:tcBorders>
              <w:top w:val="nil"/>
              <w:left w:val="nil"/>
              <w:bottom w:val="single" w:sz="4" w:space="0" w:color="auto"/>
              <w:right w:val="single" w:sz="4" w:space="0" w:color="auto"/>
            </w:tcBorders>
            <w:shd w:val="clear" w:color="auto" w:fill="auto"/>
            <w:noWrap/>
            <w:vAlign w:val="bottom"/>
            <w:hideMark/>
          </w:tcPr>
          <w:p w14:paraId="4792EF7B"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33,02%</w:t>
            </w:r>
          </w:p>
        </w:tc>
        <w:tc>
          <w:tcPr>
            <w:tcW w:w="1028" w:type="dxa"/>
            <w:tcBorders>
              <w:top w:val="nil"/>
              <w:left w:val="nil"/>
              <w:bottom w:val="single" w:sz="4" w:space="0" w:color="auto"/>
              <w:right w:val="single" w:sz="4" w:space="0" w:color="auto"/>
            </w:tcBorders>
            <w:shd w:val="clear" w:color="auto" w:fill="auto"/>
            <w:noWrap/>
            <w:vAlign w:val="bottom"/>
            <w:hideMark/>
          </w:tcPr>
          <w:p w14:paraId="6AFA17C6"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12,77%</w:t>
            </w:r>
          </w:p>
        </w:tc>
        <w:tc>
          <w:tcPr>
            <w:tcW w:w="945" w:type="dxa"/>
            <w:tcBorders>
              <w:top w:val="nil"/>
              <w:left w:val="nil"/>
              <w:bottom w:val="single" w:sz="4" w:space="0" w:color="auto"/>
              <w:right w:val="single" w:sz="4" w:space="0" w:color="auto"/>
            </w:tcBorders>
            <w:shd w:val="clear" w:color="auto" w:fill="auto"/>
            <w:noWrap/>
            <w:vAlign w:val="bottom"/>
            <w:hideMark/>
          </w:tcPr>
          <w:p w14:paraId="176EFBD2"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12,77%</w:t>
            </w:r>
          </w:p>
        </w:tc>
      </w:tr>
      <w:tr w:rsidR="00E7759C" w:rsidRPr="00E7759C" w14:paraId="47D8FDDB" w14:textId="77777777" w:rsidTr="0054297D">
        <w:trPr>
          <w:trHeight w:val="270"/>
        </w:trPr>
        <w:tc>
          <w:tcPr>
            <w:tcW w:w="2460" w:type="dxa"/>
            <w:tcBorders>
              <w:top w:val="nil"/>
              <w:left w:val="single" w:sz="4" w:space="0" w:color="auto"/>
              <w:bottom w:val="single" w:sz="4" w:space="0" w:color="auto"/>
              <w:right w:val="single" w:sz="4" w:space="0" w:color="auto"/>
            </w:tcBorders>
            <w:shd w:val="clear" w:color="auto" w:fill="BFBFBF"/>
            <w:noWrap/>
            <w:vAlign w:val="bottom"/>
            <w:hideMark/>
          </w:tcPr>
          <w:p w14:paraId="251ACB15"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Transferencias Corrientes</w:t>
            </w:r>
          </w:p>
        </w:tc>
        <w:tc>
          <w:tcPr>
            <w:tcW w:w="880" w:type="dxa"/>
            <w:tcBorders>
              <w:top w:val="nil"/>
              <w:left w:val="nil"/>
              <w:bottom w:val="single" w:sz="4" w:space="0" w:color="auto"/>
              <w:right w:val="single" w:sz="4" w:space="0" w:color="auto"/>
            </w:tcBorders>
            <w:shd w:val="clear" w:color="auto" w:fill="BFBFBF"/>
            <w:noWrap/>
            <w:vAlign w:val="bottom"/>
            <w:hideMark/>
          </w:tcPr>
          <w:p w14:paraId="0FEDA0A6"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20.386 </w:t>
            </w:r>
          </w:p>
        </w:tc>
        <w:tc>
          <w:tcPr>
            <w:tcW w:w="880" w:type="dxa"/>
            <w:tcBorders>
              <w:top w:val="nil"/>
              <w:left w:val="nil"/>
              <w:bottom w:val="single" w:sz="4" w:space="0" w:color="auto"/>
              <w:right w:val="single" w:sz="4" w:space="0" w:color="auto"/>
            </w:tcBorders>
            <w:shd w:val="clear" w:color="auto" w:fill="BFBFBF"/>
            <w:noWrap/>
            <w:vAlign w:val="bottom"/>
            <w:hideMark/>
          </w:tcPr>
          <w:p w14:paraId="2A38C6BD"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332 </w:t>
            </w:r>
          </w:p>
        </w:tc>
        <w:tc>
          <w:tcPr>
            <w:tcW w:w="880" w:type="dxa"/>
            <w:tcBorders>
              <w:top w:val="nil"/>
              <w:left w:val="nil"/>
              <w:bottom w:val="single" w:sz="4" w:space="0" w:color="auto"/>
              <w:right w:val="single" w:sz="4" w:space="0" w:color="auto"/>
            </w:tcBorders>
            <w:shd w:val="clear" w:color="auto" w:fill="BFBFBF"/>
            <w:noWrap/>
            <w:vAlign w:val="bottom"/>
            <w:hideMark/>
          </w:tcPr>
          <w:p w14:paraId="5F2D109B"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159 </w:t>
            </w:r>
          </w:p>
        </w:tc>
        <w:tc>
          <w:tcPr>
            <w:tcW w:w="880" w:type="dxa"/>
            <w:tcBorders>
              <w:top w:val="nil"/>
              <w:left w:val="nil"/>
              <w:bottom w:val="single" w:sz="4" w:space="0" w:color="auto"/>
              <w:right w:val="single" w:sz="4" w:space="0" w:color="auto"/>
            </w:tcBorders>
            <w:shd w:val="clear" w:color="auto" w:fill="BFBFBF"/>
            <w:noWrap/>
            <w:vAlign w:val="bottom"/>
            <w:hideMark/>
          </w:tcPr>
          <w:p w14:paraId="5EE3033E" w14:textId="77777777" w:rsidR="00E7759C" w:rsidRPr="00E7759C" w:rsidRDefault="00E7759C" w:rsidP="00E7759C">
            <w:pPr>
              <w:spacing w:after="0" w:line="240" w:lineRule="auto"/>
              <w:rPr>
                <w:rFonts w:eastAsia="Times New Roman" w:cs="Times New Roman"/>
                <w:b/>
                <w:bCs/>
                <w:color w:val="000000"/>
                <w:sz w:val="18"/>
                <w:szCs w:val="18"/>
              </w:rPr>
            </w:pPr>
            <w:r w:rsidRPr="00E7759C">
              <w:rPr>
                <w:rFonts w:eastAsia="Times New Roman" w:cs="Times New Roman"/>
                <w:b/>
                <w:bCs/>
                <w:color w:val="000000"/>
                <w:sz w:val="18"/>
                <w:szCs w:val="18"/>
              </w:rPr>
              <w:t xml:space="preserve">            159 </w:t>
            </w:r>
          </w:p>
        </w:tc>
        <w:tc>
          <w:tcPr>
            <w:tcW w:w="836" w:type="dxa"/>
            <w:tcBorders>
              <w:top w:val="nil"/>
              <w:left w:val="nil"/>
              <w:bottom w:val="single" w:sz="4" w:space="0" w:color="auto"/>
              <w:right w:val="single" w:sz="4" w:space="0" w:color="auto"/>
            </w:tcBorders>
            <w:shd w:val="clear" w:color="auto" w:fill="BFBFBF"/>
            <w:noWrap/>
            <w:vAlign w:val="bottom"/>
            <w:hideMark/>
          </w:tcPr>
          <w:p w14:paraId="460041CE" w14:textId="77777777" w:rsidR="00E7759C" w:rsidRPr="00E7759C" w:rsidRDefault="00E7759C" w:rsidP="00E7759C">
            <w:pPr>
              <w:spacing w:after="0" w:line="240" w:lineRule="auto"/>
              <w:jc w:val="center"/>
              <w:rPr>
                <w:rFonts w:eastAsia="Times New Roman" w:cs="Times New Roman"/>
                <w:b/>
                <w:bCs/>
                <w:color w:val="000000"/>
                <w:sz w:val="18"/>
                <w:szCs w:val="18"/>
              </w:rPr>
            </w:pPr>
            <w:r w:rsidRPr="00E7759C">
              <w:rPr>
                <w:rFonts w:eastAsia="Times New Roman" w:cs="Times New Roman"/>
                <w:b/>
                <w:bCs/>
                <w:color w:val="000000"/>
                <w:sz w:val="18"/>
                <w:szCs w:val="18"/>
              </w:rPr>
              <w:t>1,63%</w:t>
            </w:r>
          </w:p>
        </w:tc>
        <w:tc>
          <w:tcPr>
            <w:tcW w:w="1028" w:type="dxa"/>
            <w:tcBorders>
              <w:top w:val="nil"/>
              <w:left w:val="nil"/>
              <w:bottom w:val="single" w:sz="4" w:space="0" w:color="auto"/>
              <w:right w:val="single" w:sz="4" w:space="0" w:color="auto"/>
            </w:tcBorders>
            <w:shd w:val="clear" w:color="auto" w:fill="BFBFBF"/>
            <w:noWrap/>
            <w:vAlign w:val="bottom"/>
            <w:hideMark/>
          </w:tcPr>
          <w:p w14:paraId="12E96557" w14:textId="77777777" w:rsidR="00E7759C" w:rsidRPr="00E7759C" w:rsidRDefault="00E7759C" w:rsidP="00E7759C">
            <w:pPr>
              <w:spacing w:after="0" w:line="240" w:lineRule="auto"/>
              <w:jc w:val="center"/>
              <w:rPr>
                <w:rFonts w:eastAsia="Times New Roman" w:cs="Times New Roman"/>
                <w:b/>
                <w:bCs/>
                <w:color w:val="000000"/>
                <w:sz w:val="18"/>
                <w:szCs w:val="18"/>
              </w:rPr>
            </w:pPr>
            <w:r w:rsidRPr="00E7759C">
              <w:rPr>
                <w:rFonts w:eastAsia="Times New Roman" w:cs="Times New Roman"/>
                <w:b/>
                <w:bCs/>
                <w:color w:val="000000"/>
                <w:sz w:val="18"/>
                <w:szCs w:val="18"/>
              </w:rPr>
              <w:t>0,78%</w:t>
            </w:r>
          </w:p>
        </w:tc>
        <w:tc>
          <w:tcPr>
            <w:tcW w:w="945" w:type="dxa"/>
            <w:tcBorders>
              <w:top w:val="nil"/>
              <w:left w:val="nil"/>
              <w:bottom w:val="single" w:sz="4" w:space="0" w:color="auto"/>
              <w:right w:val="single" w:sz="4" w:space="0" w:color="auto"/>
            </w:tcBorders>
            <w:shd w:val="clear" w:color="auto" w:fill="BFBFBF"/>
            <w:noWrap/>
            <w:vAlign w:val="bottom"/>
            <w:hideMark/>
          </w:tcPr>
          <w:p w14:paraId="1EE1647E" w14:textId="77777777" w:rsidR="00E7759C" w:rsidRPr="00E7759C" w:rsidRDefault="00E7759C" w:rsidP="00E7759C">
            <w:pPr>
              <w:spacing w:after="0" w:line="240" w:lineRule="auto"/>
              <w:jc w:val="center"/>
              <w:rPr>
                <w:rFonts w:eastAsia="Times New Roman" w:cs="Times New Roman"/>
                <w:b/>
                <w:bCs/>
                <w:color w:val="000000"/>
                <w:sz w:val="18"/>
                <w:szCs w:val="18"/>
              </w:rPr>
            </w:pPr>
            <w:r w:rsidRPr="00E7759C">
              <w:rPr>
                <w:rFonts w:eastAsia="Times New Roman" w:cs="Times New Roman"/>
                <w:b/>
                <w:bCs/>
                <w:color w:val="000000"/>
                <w:sz w:val="18"/>
                <w:szCs w:val="18"/>
              </w:rPr>
              <w:t>0,78%</w:t>
            </w:r>
          </w:p>
        </w:tc>
      </w:tr>
      <w:tr w:rsidR="00E7759C" w:rsidRPr="00E7759C" w14:paraId="58F0DE9A" w14:textId="77777777" w:rsidTr="0054297D">
        <w:trPr>
          <w:trHeight w:val="270"/>
        </w:trPr>
        <w:tc>
          <w:tcPr>
            <w:tcW w:w="2460" w:type="dxa"/>
            <w:tcBorders>
              <w:top w:val="nil"/>
              <w:left w:val="single" w:sz="4" w:space="0" w:color="auto"/>
              <w:bottom w:val="nil"/>
              <w:right w:val="single" w:sz="4" w:space="0" w:color="auto"/>
            </w:tcBorders>
            <w:shd w:val="clear" w:color="auto" w:fill="auto"/>
            <w:noWrap/>
            <w:vAlign w:val="bottom"/>
            <w:hideMark/>
          </w:tcPr>
          <w:p w14:paraId="6A8F8A5B" w14:textId="77777777" w:rsidR="00E7759C" w:rsidRPr="00E7759C" w:rsidRDefault="00E7759C" w:rsidP="00E7759C">
            <w:pPr>
              <w:spacing w:after="0" w:line="240" w:lineRule="auto"/>
              <w:ind w:firstLineChars="100" w:firstLine="180"/>
              <w:rPr>
                <w:rFonts w:eastAsia="Times New Roman" w:cs="Times New Roman"/>
                <w:color w:val="000000"/>
                <w:sz w:val="18"/>
                <w:szCs w:val="18"/>
              </w:rPr>
            </w:pPr>
            <w:r w:rsidRPr="00E7759C">
              <w:rPr>
                <w:rFonts w:eastAsia="Times New Roman" w:cs="Times New Roman"/>
                <w:color w:val="000000"/>
                <w:sz w:val="18"/>
                <w:szCs w:val="18"/>
              </w:rPr>
              <w:t>Cuota de Auditaje Contraloría</w:t>
            </w:r>
          </w:p>
        </w:tc>
        <w:tc>
          <w:tcPr>
            <w:tcW w:w="880" w:type="dxa"/>
            <w:tcBorders>
              <w:top w:val="nil"/>
              <w:left w:val="nil"/>
              <w:bottom w:val="nil"/>
              <w:right w:val="single" w:sz="4" w:space="0" w:color="auto"/>
            </w:tcBorders>
            <w:shd w:val="clear" w:color="auto" w:fill="auto"/>
            <w:noWrap/>
            <w:vAlign w:val="bottom"/>
            <w:hideMark/>
          </w:tcPr>
          <w:p w14:paraId="1FBBB00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7.092 </w:t>
            </w:r>
          </w:p>
        </w:tc>
        <w:tc>
          <w:tcPr>
            <w:tcW w:w="880" w:type="dxa"/>
            <w:tcBorders>
              <w:top w:val="nil"/>
              <w:left w:val="nil"/>
              <w:bottom w:val="nil"/>
              <w:right w:val="single" w:sz="4" w:space="0" w:color="auto"/>
            </w:tcBorders>
            <w:shd w:val="clear" w:color="auto" w:fill="auto"/>
            <w:noWrap/>
            <w:vAlign w:val="bottom"/>
            <w:hideMark/>
          </w:tcPr>
          <w:p w14:paraId="7E5DF19C"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880" w:type="dxa"/>
            <w:tcBorders>
              <w:top w:val="nil"/>
              <w:left w:val="nil"/>
              <w:bottom w:val="nil"/>
              <w:right w:val="single" w:sz="4" w:space="0" w:color="auto"/>
            </w:tcBorders>
            <w:shd w:val="clear" w:color="auto" w:fill="auto"/>
            <w:noWrap/>
            <w:vAlign w:val="bottom"/>
            <w:hideMark/>
          </w:tcPr>
          <w:p w14:paraId="750AD66B"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880" w:type="dxa"/>
            <w:tcBorders>
              <w:top w:val="nil"/>
              <w:left w:val="nil"/>
              <w:bottom w:val="nil"/>
              <w:right w:val="single" w:sz="4" w:space="0" w:color="auto"/>
            </w:tcBorders>
            <w:shd w:val="clear" w:color="auto" w:fill="auto"/>
            <w:noWrap/>
            <w:vAlign w:val="bottom"/>
            <w:hideMark/>
          </w:tcPr>
          <w:p w14:paraId="3BD0C4AD"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836" w:type="dxa"/>
            <w:tcBorders>
              <w:top w:val="nil"/>
              <w:left w:val="nil"/>
              <w:bottom w:val="nil"/>
              <w:right w:val="single" w:sz="4" w:space="0" w:color="auto"/>
            </w:tcBorders>
            <w:shd w:val="clear" w:color="auto" w:fill="auto"/>
            <w:noWrap/>
            <w:vAlign w:val="bottom"/>
            <w:hideMark/>
          </w:tcPr>
          <w:p w14:paraId="5315F9C9"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0,00%</w:t>
            </w:r>
          </w:p>
        </w:tc>
        <w:tc>
          <w:tcPr>
            <w:tcW w:w="1028" w:type="dxa"/>
            <w:tcBorders>
              <w:top w:val="nil"/>
              <w:left w:val="nil"/>
              <w:bottom w:val="nil"/>
              <w:right w:val="single" w:sz="4" w:space="0" w:color="auto"/>
            </w:tcBorders>
            <w:shd w:val="clear" w:color="auto" w:fill="auto"/>
            <w:noWrap/>
            <w:vAlign w:val="bottom"/>
            <w:hideMark/>
          </w:tcPr>
          <w:p w14:paraId="0D1C852A"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0,00%</w:t>
            </w:r>
          </w:p>
        </w:tc>
        <w:tc>
          <w:tcPr>
            <w:tcW w:w="945" w:type="dxa"/>
            <w:tcBorders>
              <w:top w:val="nil"/>
              <w:left w:val="nil"/>
              <w:bottom w:val="nil"/>
              <w:right w:val="single" w:sz="4" w:space="0" w:color="auto"/>
            </w:tcBorders>
            <w:shd w:val="clear" w:color="auto" w:fill="auto"/>
            <w:noWrap/>
            <w:vAlign w:val="bottom"/>
            <w:hideMark/>
          </w:tcPr>
          <w:p w14:paraId="1A2D5A60"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0,00%</w:t>
            </w:r>
          </w:p>
        </w:tc>
      </w:tr>
      <w:tr w:rsidR="00E7759C" w:rsidRPr="00E7759C" w14:paraId="19502206" w14:textId="77777777" w:rsidTr="0054297D">
        <w:trPr>
          <w:trHeight w:val="270"/>
        </w:trPr>
        <w:tc>
          <w:tcPr>
            <w:tcW w:w="2460" w:type="dxa"/>
            <w:tcBorders>
              <w:top w:val="nil"/>
              <w:left w:val="single" w:sz="4" w:space="0" w:color="auto"/>
              <w:bottom w:val="nil"/>
              <w:right w:val="single" w:sz="4" w:space="0" w:color="auto"/>
            </w:tcBorders>
            <w:shd w:val="clear" w:color="auto" w:fill="auto"/>
            <w:noWrap/>
            <w:vAlign w:val="bottom"/>
            <w:hideMark/>
          </w:tcPr>
          <w:p w14:paraId="2B98AFF5" w14:textId="77777777" w:rsidR="00E7759C" w:rsidRPr="00E7759C" w:rsidRDefault="00E7759C" w:rsidP="00E7759C">
            <w:pPr>
              <w:spacing w:after="0" w:line="240" w:lineRule="auto"/>
              <w:ind w:firstLineChars="100" w:firstLine="180"/>
              <w:rPr>
                <w:rFonts w:eastAsia="Times New Roman" w:cs="Times New Roman"/>
                <w:color w:val="000000"/>
                <w:sz w:val="18"/>
                <w:szCs w:val="18"/>
              </w:rPr>
            </w:pPr>
            <w:r w:rsidRPr="00E7759C">
              <w:rPr>
                <w:rFonts w:eastAsia="Times New Roman" w:cs="Times New Roman"/>
                <w:color w:val="000000"/>
                <w:sz w:val="18"/>
                <w:szCs w:val="18"/>
              </w:rPr>
              <w:t>Sentencias y Conciliaciones</w:t>
            </w:r>
          </w:p>
        </w:tc>
        <w:tc>
          <w:tcPr>
            <w:tcW w:w="880" w:type="dxa"/>
            <w:tcBorders>
              <w:top w:val="nil"/>
              <w:left w:val="nil"/>
              <w:bottom w:val="nil"/>
              <w:right w:val="single" w:sz="4" w:space="0" w:color="auto"/>
            </w:tcBorders>
            <w:shd w:val="clear" w:color="auto" w:fill="auto"/>
            <w:noWrap/>
            <w:vAlign w:val="bottom"/>
            <w:hideMark/>
          </w:tcPr>
          <w:p w14:paraId="1BA32711"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8.891 </w:t>
            </w:r>
          </w:p>
        </w:tc>
        <w:tc>
          <w:tcPr>
            <w:tcW w:w="880" w:type="dxa"/>
            <w:tcBorders>
              <w:top w:val="nil"/>
              <w:left w:val="nil"/>
              <w:bottom w:val="nil"/>
              <w:right w:val="single" w:sz="4" w:space="0" w:color="auto"/>
            </w:tcBorders>
            <w:shd w:val="clear" w:color="auto" w:fill="auto"/>
            <w:noWrap/>
            <w:vAlign w:val="bottom"/>
            <w:hideMark/>
          </w:tcPr>
          <w:p w14:paraId="5D1E8194"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332 </w:t>
            </w:r>
          </w:p>
        </w:tc>
        <w:tc>
          <w:tcPr>
            <w:tcW w:w="880" w:type="dxa"/>
            <w:tcBorders>
              <w:top w:val="nil"/>
              <w:left w:val="nil"/>
              <w:bottom w:val="nil"/>
              <w:right w:val="single" w:sz="4" w:space="0" w:color="auto"/>
            </w:tcBorders>
            <w:shd w:val="clear" w:color="auto" w:fill="auto"/>
            <w:noWrap/>
            <w:vAlign w:val="bottom"/>
            <w:hideMark/>
          </w:tcPr>
          <w:p w14:paraId="765DF2C3"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159 </w:t>
            </w:r>
          </w:p>
        </w:tc>
        <w:tc>
          <w:tcPr>
            <w:tcW w:w="880" w:type="dxa"/>
            <w:tcBorders>
              <w:top w:val="nil"/>
              <w:left w:val="nil"/>
              <w:bottom w:val="nil"/>
              <w:right w:val="single" w:sz="4" w:space="0" w:color="auto"/>
            </w:tcBorders>
            <w:shd w:val="clear" w:color="auto" w:fill="auto"/>
            <w:noWrap/>
            <w:vAlign w:val="bottom"/>
            <w:hideMark/>
          </w:tcPr>
          <w:p w14:paraId="0D37278B"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159 </w:t>
            </w:r>
          </w:p>
        </w:tc>
        <w:tc>
          <w:tcPr>
            <w:tcW w:w="836" w:type="dxa"/>
            <w:tcBorders>
              <w:top w:val="nil"/>
              <w:left w:val="nil"/>
              <w:bottom w:val="nil"/>
              <w:right w:val="single" w:sz="4" w:space="0" w:color="auto"/>
            </w:tcBorders>
            <w:shd w:val="clear" w:color="auto" w:fill="auto"/>
            <w:noWrap/>
            <w:vAlign w:val="bottom"/>
            <w:hideMark/>
          </w:tcPr>
          <w:p w14:paraId="17F4A6FC"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3,73%</w:t>
            </w:r>
          </w:p>
        </w:tc>
        <w:tc>
          <w:tcPr>
            <w:tcW w:w="1028" w:type="dxa"/>
            <w:tcBorders>
              <w:top w:val="nil"/>
              <w:left w:val="nil"/>
              <w:bottom w:val="nil"/>
              <w:right w:val="single" w:sz="4" w:space="0" w:color="auto"/>
            </w:tcBorders>
            <w:shd w:val="clear" w:color="auto" w:fill="auto"/>
            <w:noWrap/>
            <w:vAlign w:val="bottom"/>
            <w:hideMark/>
          </w:tcPr>
          <w:p w14:paraId="1FB6E0D3"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1,79%</w:t>
            </w:r>
          </w:p>
        </w:tc>
        <w:tc>
          <w:tcPr>
            <w:tcW w:w="945" w:type="dxa"/>
            <w:tcBorders>
              <w:top w:val="nil"/>
              <w:left w:val="nil"/>
              <w:bottom w:val="nil"/>
              <w:right w:val="single" w:sz="4" w:space="0" w:color="auto"/>
            </w:tcBorders>
            <w:shd w:val="clear" w:color="auto" w:fill="auto"/>
            <w:noWrap/>
            <w:vAlign w:val="bottom"/>
            <w:hideMark/>
          </w:tcPr>
          <w:p w14:paraId="45DBB8DF"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1,79%</w:t>
            </w:r>
          </w:p>
        </w:tc>
      </w:tr>
      <w:tr w:rsidR="00E7759C" w:rsidRPr="00E7759C" w14:paraId="3079F7ED" w14:textId="77777777" w:rsidTr="0054297D">
        <w:trPr>
          <w:trHeight w:val="27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3235FFF2" w14:textId="77777777" w:rsidR="00E7759C" w:rsidRPr="00E7759C" w:rsidRDefault="00E7759C" w:rsidP="00E7759C">
            <w:pPr>
              <w:spacing w:after="0" w:line="240" w:lineRule="auto"/>
              <w:ind w:firstLineChars="100" w:firstLine="180"/>
              <w:rPr>
                <w:rFonts w:eastAsia="Times New Roman" w:cs="Times New Roman"/>
                <w:color w:val="000000"/>
                <w:sz w:val="18"/>
                <w:szCs w:val="18"/>
              </w:rPr>
            </w:pPr>
            <w:r w:rsidRPr="00E7759C">
              <w:rPr>
                <w:rFonts w:eastAsia="Times New Roman" w:cs="Times New Roman"/>
                <w:color w:val="000000"/>
                <w:sz w:val="18"/>
                <w:szCs w:val="18"/>
              </w:rPr>
              <w:t>Provisión gastos institucionales</w:t>
            </w:r>
          </w:p>
        </w:tc>
        <w:tc>
          <w:tcPr>
            <w:tcW w:w="880" w:type="dxa"/>
            <w:tcBorders>
              <w:top w:val="nil"/>
              <w:left w:val="nil"/>
              <w:bottom w:val="single" w:sz="4" w:space="0" w:color="auto"/>
              <w:right w:val="single" w:sz="4" w:space="0" w:color="auto"/>
            </w:tcBorders>
            <w:shd w:val="clear" w:color="auto" w:fill="auto"/>
            <w:noWrap/>
            <w:vAlign w:val="bottom"/>
            <w:hideMark/>
          </w:tcPr>
          <w:p w14:paraId="5CA8B07E"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4.403 </w:t>
            </w:r>
          </w:p>
        </w:tc>
        <w:tc>
          <w:tcPr>
            <w:tcW w:w="880" w:type="dxa"/>
            <w:tcBorders>
              <w:top w:val="nil"/>
              <w:left w:val="nil"/>
              <w:bottom w:val="single" w:sz="4" w:space="0" w:color="auto"/>
              <w:right w:val="single" w:sz="4" w:space="0" w:color="auto"/>
            </w:tcBorders>
            <w:shd w:val="clear" w:color="auto" w:fill="auto"/>
            <w:noWrap/>
            <w:vAlign w:val="bottom"/>
            <w:hideMark/>
          </w:tcPr>
          <w:p w14:paraId="4E87B9D9"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880" w:type="dxa"/>
            <w:tcBorders>
              <w:top w:val="nil"/>
              <w:left w:val="nil"/>
              <w:bottom w:val="single" w:sz="4" w:space="0" w:color="auto"/>
              <w:right w:val="single" w:sz="4" w:space="0" w:color="auto"/>
            </w:tcBorders>
            <w:shd w:val="clear" w:color="auto" w:fill="auto"/>
            <w:noWrap/>
            <w:vAlign w:val="bottom"/>
            <w:hideMark/>
          </w:tcPr>
          <w:p w14:paraId="47F19F23"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880" w:type="dxa"/>
            <w:tcBorders>
              <w:top w:val="nil"/>
              <w:left w:val="nil"/>
              <w:bottom w:val="single" w:sz="4" w:space="0" w:color="auto"/>
              <w:right w:val="single" w:sz="4" w:space="0" w:color="auto"/>
            </w:tcBorders>
            <w:shd w:val="clear" w:color="auto" w:fill="auto"/>
            <w:noWrap/>
            <w:vAlign w:val="bottom"/>
            <w:hideMark/>
          </w:tcPr>
          <w:p w14:paraId="1B72CB5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14:paraId="1DF0C432"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0,00%</w:t>
            </w:r>
          </w:p>
        </w:tc>
        <w:tc>
          <w:tcPr>
            <w:tcW w:w="1028" w:type="dxa"/>
            <w:tcBorders>
              <w:top w:val="nil"/>
              <w:left w:val="nil"/>
              <w:bottom w:val="single" w:sz="4" w:space="0" w:color="auto"/>
              <w:right w:val="single" w:sz="4" w:space="0" w:color="auto"/>
            </w:tcBorders>
            <w:shd w:val="clear" w:color="auto" w:fill="auto"/>
            <w:noWrap/>
            <w:vAlign w:val="bottom"/>
            <w:hideMark/>
          </w:tcPr>
          <w:p w14:paraId="38A36CFC"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14:paraId="7098C993" w14:textId="77777777" w:rsidR="00E7759C" w:rsidRPr="00E7759C" w:rsidRDefault="00E7759C" w:rsidP="00E7759C">
            <w:pPr>
              <w:spacing w:after="0" w:line="240" w:lineRule="auto"/>
              <w:jc w:val="center"/>
              <w:rPr>
                <w:rFonts w:eastAsia="Times New Roman" w:cs="Times New Roman"/>
                <w:color w:val="000000"/>
                <w:sz w:val="18"/>
                <w:szCs w:val="18"/>
              </w:rPr>
            </w:pPr>
            <w:r w:rsidRPr="00E7759C">
              <w:rPr>
                <w:rFonts w:eastAsia="Times New Roman" w:cs="Times New Roman"/>
                <w:color w:val="000000"/>
                <w:sz w:val="18"/>
                <w:szCs w:val="18"/>
              </w:rPr>
              <w:t>0,00%</w:t>
            </w:r>
          </w:p>
        </w:tc>
      </w:tr>
      <w:tr w:rsidR="00E7759C" w:rsidRPr="00E7759C" w14:paraId="427FF6F2" w14:textId="77777777" w:rsidTr="0054297D">
        <w:trPr>
          <w:trHeight w:val="270"/>
        </w:trPr>
        <w:tc>
          <w:tcPr>
            <w:tcW w:w="2460" w:type="dxa"/>
            <w:tcBorders>
              <w:top w:val="nil"/>
              <w:left w:val="single" w:sz="4" w:space="0" w:color="auto"/>
              <w:bottom w:val="single" w:sz="4" w:space="0" w:color="auto"/>
              <w:right w:val="single" w:sz="4" w:space="0" w:color="auto"/>
            </w:tcBorders>
            <w:shd w:val="clear" w:color="000000" w:fill="376091"/>
            <w:noWrap/>
            <w:vAlign w:val="center"/>
            <w:hideMark/>
          </w:tcPr>
          <w:p w14:paraId="52290BC0" w14:textId="77777777" w:rsidR="00E7759C" w:rsidRPr="00E7759C" w:rsidRDefault="00E7759C" w:rsidP="00E7759C">
            <w:pPr>
              <w:spacing w:after="0" w:line="240" w:lineRule="auto"/>
              <w:jc w:val="both"/>
              <w:rPr>
                <w:rFonts w:eastAsia="Times New Roman" w:cs="Times New Roman"/>
                <w:b/>
                <w:bCs/>
                <w:color w:val="FFFFFF"/>
                <w:sz w:val="18"/>
                <w:szCs w:val="18"/>
              </w:rPr>
            </w:pPr>
            <w:r w:rsidRPr="00E7759C">
              <w:rPr>
                <w:rFonts w:eastAsia="Times New Roman" w:cs="Times New Roman"/>
                <w:b/>
                <w:bCs/>
                <w:color w:val="FFFFFF"/>
                <w:sz w:val="18"/>
                <w:szCs w:val="18"/>
              </w:rPr>
              <w:t>Total</w:t>
            </w:r>
          </w:p>
        </w:tc>
        <w:tc>
          <w:tcPr>
            <w:tcW w:w="880" w:type="dxa"/>
            <w:tcBorders>
              <w:top w:val="nil"/>
              <w:left w:val="nil"/>
              <w:bottom w:val="single" w:sz="4" w:space="0" w:color="auto"/>
              <w:right w:val="single" w:sz="4" w:space="0" w:color="auto"/>
            </w:tcBorders>
            <w:shd w:val="clear" w:color="000000" w:fill="376091"/>
            <w:noWrap/>
            <w:vAlign w:val="center"/>
            <w:hideMark/>
          </w:tcPr>
          <w:p w14:paraId="0BB497A0"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 xml:space="preserve">       70.467 </w:t>
            </w:r>
          </w:p>
        </w:tc>
        <w:tc>
          <w:tcPr>
            <w:tcW w:w="880" w:type="dxa"/>
            <w:tcBorders>
              <w:top w:val="nil"/>
              <w:left w:val="nil"/>
              <w:bottom w:val="single" w:sz="4" w:space="0" w:color="auto"/>
              <w:right w:val="single" w:sz="4" w:space="0" w:color="auto"/>
            </w:tcBorders>
            <w:shd w:val="clear" w:color="000000" w:fill="376091"/>
            <w:noWrap/>
            <w:vAlign w:val="center"/>
            <w:hideMark/>
          </w:tcPr>
          <w:p w14:paraId="2A29848E"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 xml:space="preserve">       17.606 </w:t>
            </w:r>
          </w:p>
        </w:tc>
        <w:tc>
          <w:tcPr>
            <w:tcW w:w="880" w:type="dxa"/>
            <w:tcBorders>
              <w:top w:val="nil"/>
              <w:left w:val="nil"/>
              <w:bottom w:val="single" w:sz="4" w:space="0" w:color="auto"/>
              <w:right w:val="single" w:sz="4" w:space="0" w:color="auto"/>
            </w:tcBorders>
            <w:shd w:val="clear" w:color="000000" w:fill="376091"/>
            <w:noWrap/>
            <w:vAlign w:val="center"/>
            <w:hideMark/>
          </w:tcPr>
          <w:p w14:paraId="15CF149B"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 xml:space="preserve">       10.628 </w:t>
            </w:r>
          </w:p>
        </w:tc>
        <w:tc>
          <w:tcPr>
            <w:tcW w:w="880" w:type="dxa"/>
            <w:tcBorders>
              <w:top w:val="nil"/>
              <w:left w:val="nil"/>
              <w:bottom w:val="single" w:sz="4" w:space="0" w:color="auto"/>
              <w:right w:val="single" w:sz="4" w:space="0" w:color="auto"/>
            </w:tcBorders>
            <w:shd w:val="clear" w:color="000000" w:fill="376091"/>
            <w:noWrap/>
            <w:vAlign w:val="center"/>
            <w:hideMark/>
          </w:tcPr>
          <w:p w14:paraId="445629B1" w14:textId="77777777" w:rsidR="00E7759C" w:rsidRPr="00E7759C" w:rsidRDefault="00E7759C" w:rsidP="00E7759C">
            <w:pPr>
              <w:spacing w:after="0" w:line="240" w:lineRule="auto"/>
              <w:jc w:val="right"/>
              <w:rPr>
                <w:rFonts w:eastAsia="Times New Roman" w:cs="Times New Roman"/>
                <w:b/>
                <w:bCs/>
                <w:color w:val="FFFFFF"/>
                <w:sz w:val="18"/>
                <w:szCs w:val="18"/>
              </w:rPr>
            </w:pPr>
            <w:r w:rsidRPr="00E7759C">
              <w:rPr>
                <w:rFonts w:eastAsia="Times New Roman" w:cs="Times New Roman"/>
                <w:b/>
                <w:bCs/>
                <w:color w:val="FFFFFF"/>
                <w:sz w:val="18"/>
                <w:szCs w:val="18"/>
              </w:rPr>
              <w:t xml:space="preserve">       10.126 </w:t>
            </w:r>
          </w:p>
        </w:tc>
        <w:tc>
          <w:tcPr>
            <w:tcW w:w="836" w:type="dxa"/>
            <w:tcBorders>
              <w:top w:val="nil"/>
              <w:left w:val="nil"/>
              <w:bottom w:val="single" w:sz="4" w:space="0" w:color="auto"/>
              <w:right w:val="single" w:sz="4" w:space="0" w:color="auto"/>
            </w:tcBorders>
            <w:shd w:val="clear" w:color="000000" w:fill="376091"/>
            <w:noWrap/>
            <w:vAlign w:val="center"/>
            <w:hideMark/>
          </w:tcPr>
          <w:p w14:paraId="388A4BA9"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24,98%</w:t>
            </w:r>
          </w:p>
        </w:tc>
        <w:tc>
          <w:tcPr>
            <w:tcW w:w="1028" w:type="dxa"/>
            <w:tcBorders>
              <w:top w:val="nil"/>
              <w:left w:val="nil"/>
              <w:bottom w:val="single" w:sz="4" w:space="0" w:color="auto"/>
              <w:right w:val="single" w:sz="4" w:space="0" w:color="auto"/>
            </w:tcBorders>
            <w:shd w:val="clear" w:color="000000" w:fill="376091"/>
            <w:noWrap/>
            <w:vAlign w:val="center"/>
            <w:hideMark/>
          </w:tcPr>
          <w:p w14:paraId="2C855C80"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15,08%</w:t>
            </w:r>
          </w:p>
        </w:tc>
        <w:tc>
          <w:tcPr>
            <w:tcW w:w="945" w:type="dxa"/>
            <w:tcBorders>
              <w:top w:val="nil"/>
              <w:left w:val="nil"/>
              <w:bottom w:val="single" w:sz="4" w:space="0" w:color="auto"/>
              <w:right w:val="single" w:sz="4" w:space="0" w:color="auto"/>
            </w:tcBorders>
            <w:shd w:val="clear" w:color="000000" w:fill="376091"/>
            <w:noWrap/>
            <w:vAlign w:val="center"/>
            <w:hideMark/>
          </w:tcPr>
          <w:p w14:paraId="133A66A1"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14,37%</w:t>
            </w:r>
          </w:p>
        </w:tc>
      </w:tr>
    </w:tbl>
    <w:p w14:paraId="42316E31" w14:textId="77777777" w:rsidR="00E7759C" w:rsidRPr="00E7759C" w:rsidRDefault="00E7759C" w:rsidP="00E7759C">
      <w:pPr>
        <w:tabs>
          <w:tab w:val="left" w:pos="5812"/>
        </w:tabs>
        <w:spacing w:after="0" w:line="240" w:lineRule="auto"/>
        <w:jc w:val="both"/>
        <w:rPr>
          <w:rFonts w:eastAsia="Times New Roman" w:cs="Times New Roman"/>
          <w:lang w:val="es-ES" w:eastAsia="en-US"/>
        </w:rPr>
      </w:pPr>
    </w:p>
    <w:p w14:paraId="00F1B9AC" w14:textId="77777777" w:rsidR="00E7759C" w:rsidRPr="00E7759C" w:rsidRDefault="00E7759C" w:rsidP="00E7759C">
      <w:pPr>
        <w:spacing w:after="0" w:line="240" w:lineRule="auto"/>
        <w:jc w:val="both"/>
        <w:rPr>
          <w:rFonts w:eastAsia="Times New Roman" w:cs="Times New Roman"/>
          <w:b/>
          <w:color w:val="365F91"/>
          <w:lang w:val="es-ES" w:eastAsia="en-US"/>
        </w:rPr>
      </w:pPr>
      <w:r w:rsidRPr="00E7759C">
        <w:rPr>
          <w:rFonts w:eastAsia="Times New Roman" w:cs="Times New Roman"/>
          <w:b/>
          <w:color w:val="365F91"/>
          <w:lang w:val="es-ES" w:eastAsia="en-US"/>
        </w:rPr>
        <w:t xml:space="preserve">SERVICIO DE LA DEUDA PÚBLICA INTERNA. </w:t>
      </w:r>
      <w:r w:rsidRPr="00E7759C">
        <w:rPr>
          <w:rFonts w:eastAsia="Times New Roman" w:cs="Times New Roman"/>
          <w:color w:val="000000"/>
          <w:lang w:val="es-ES" w:eastAsia="en-US"/>
        </w:rPr>
        <w:t>La apropiación para la vigencia 2014 asciende a $173.908 millones, la cual se compone de: Los pasivos contingentes aprobados por el Ministerio de Hacienda y Crédito Público por valor de $125.892 millones y la anualidad de los acuerdos de pago celebrados entre el Ministerio de Hacienda y la Entidad originados por el pago de garantías e ingreso mínimo garantizado con títulos TES desde la vigencia 2006 a 2010 por valor de $48.015 millones.</w:t>
      </w:r>
      <w:r w:rsidRPr="00E7759C">
        <w:rPr>
          <w:rFonts w:eastAsia="Times New Roman" w:cs="Times New Roman"/>
          <w:b/>
          <w:color w:val="365F91"/>
          <w:lang w:val="es-ES" w:eastAsia="en-US"/>
        </w:rPr>
        <w:t xml:space="preserve"> </w:t>
      </w:r>
    </w:p>
    <w:p w14:paraId="546CB88D" w14:textId="77777777" w:rsidR="00E7759C" w:rsidRPr="00E7759C" w:rsidRDefault="00E7759C" w:rsidP="00E7759C">
      <w:pPr>
        <w:spacing w:after="0" w:line="240" w:lineRule="auto"/>
        <w:jc w:val="both"/>
        <w:rPr>
          <w:rFonts w:eastAsia="Times New Roman" w:cs="Times New Roman"/>
          <w:b/>
          <w:color w:val="365F91"/>
          <w:lang w:val="es-ES" w:eastAsia="en-US"/>
        </w:rPr>
      </w:pPr>
    </w:p>
    <w:p w14:paraId="5714877D" w14:textId="77777777" w:rsidR="00E7759C" w:rsidRPr="00E7759C" w:rsidRDefault="00E7759C" w:rsidP="00E7759C">
      <w:pPr>
        <w:spacing w:after="0" w:line="240" w:lineRule="auto"/>
        <w:jc w:val="both"/>
        <w:rPr>
          <w:rFonts w:eastAsia="Times New Roman" w:cs="Times New Roman"/>
          <w:color w:val="000000"/>
          <w:lang w:val="es-ES" w:eastAsia="en-US"/>
        </w:rPr>
      </w:pPr>
      <w:r w:rsidRPr="00E7759C">
        <w:rPr>
          <w:rFonts w:eastAsia="Times New Roman" w:cs="Times New Roman"/>
          <w:color w:val="000000"/>
          <w:lang w:val="es-ES" w:eastAsia="en-US"/>
        </w:rPr>
        <w:t xml:space="preserve">Para el primer trimestre de la vigencia se presenta la siguiente ejecución: </w:t>
      </w:r>
    </w:p>
    <w:p w14:paraId="69B51809" w14:textId="424CAC61" w:rsidR="00E7759C" w:rsidRPr="00E7759C" w:rsidRDefault="00622451" w:rsidP="00446FE9">
      <w:pPr>
        <w:rPr>
          <w:rFonts w:eastAsia="Times New Roman" w:cs="Times New Roman"/>
          <w:b/>
          <w:color w:val="365F91"/>
          <w:sz w:val="18"/>
          <w:szCs w:val="16"/>
          <w:lang w:val="es-ES" w:eastAsia="es-ES"/>
        </w:rPr>
      </w:pPr>
      <w:r>
        <w:rPr>
          <w:rFonts w:eastAsia="MS Mincho" w:cs="Times New Roman"/>
          <w:color w:val="000000"/>
          <w:szCs w:val="24"/>
          <w:lang w:val="es-ES" w:eastAsia="ja-JP"/>
        </w:rPr>
        <w:br w:type="page"/>
      </w:r>
      <w:r w:rsidR="00E7759C" w:rsidRPr="00E7759C">
        <w:rPr>
          <w:rFonts w:eastAsia="Times New Roman" w:cs="Times New Roman"/>
          <w:b/>
          <w:color w:val="365F91"/>
          <w:sz w:val="18"/>
          <w:szCs w:val="16"/>
          <w:lang w:val="es-ES" w:eastAsia="es-ES"/>
        </w:rPr>
        <w:lastRenderedPageBreak/>
        <w:t>Cuadro No. 4</w:t>
      </w:r>
    </w:p>
    <w:p w14:paraId="6367F9CB"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Ejecución Presupuestal – Servicio de la deuda Trimestre 1</w:t>
      </w:r>
    </w:p>
    <w:tbl>
      <w:tblPr>
        <w:tblW w:w="9087" w:type="dxa"/>
        <w:tblInd w:w="55" w:type="dxa"/>
        <w:tblLayout w:type="fixed"/>
        <w:tblCellMar>
          <w:left w:w="70" w:type="dxa"/>
          <w:right w:w="70" w:type="dxa"/>
        </w:tblCellMar>
        <w:tblLook w:val="04A0" w:firstRow="1" w:lastRow="0" w:firstColumn="1" w:lastColumn="0" w:noHBand="0" w:noVBand="1"/>
      </w:tblPr>
      <w:tblGrid>
        <w:gridCol w:w="2850"/>
        <w:gridCol w:w="851"/>
        <w:gridCol w:w="883"/>
        <w:gridCol w:w="960"/>
        <w:gridCol w:w="850"/>
        <w:gridCol w:w="851"/>
        <w:gridCol w:w="850"/>
        <w:gridCol w:w="992"/>
      </w:tblGrid>
      <w:tr w:rsidR="00E7759C" w:rsidRPr="00E7759C" w14:paraId="15047FA2" w14:textId="77777777" w:rsidTr="0054297D">
        <w:trPr>
          <w:trHeight w:val="240"/>
        </w:trPr>
        <w:tc>
          <w:tcPr>
            <w:tcW w:w="2850" w:type="dxa"/>
            <w:tcBorders>
              <w:top w:val="nil"/>
              <w:left w:val="nil"/>
              <w:bottom w:val="nil"/>
              <w:right w:val="nil"/>
            </w:tcBorders>
            <w:shd w:val="clear" w:color="auto" w:fill="auto"/>
            <w:noWrap/>
            <w:vAlign w:val="bottom"/>
            <w:hideMark/>
          </w:tcPr>
          <w:p w14:paraId="26E6C97F" w14:textId="77777777" w:rsidR="00E7759C" w:rsidRPr="00E7759C" w:rsidRDefault="00E7759C" w:rsidP="00E7759C">
            <w:pPr>
              <w:spacing w:after="0" w:line="240" w:lineRule="auto"/>
              <w:rPr>
                <w:rFonts w:eastAsia="Times New Roman" w:cs="Calibri"/>
                <w:color w:val="000000"/>
                <w:sz w:val="18"/>
                <w:szCs w:val="18"/>
              </w:rPr>
            </w:pPr>
          </w:p>
        </w:tc>
        <w:tc>
          <w:tcPr>
            <w:tcW w:w="851" w:type="dxa"/>
            <w:tcBorders>
              <w:top w:val="nil"/>
              <w:left w:val="nil"/>
              <w:bottom w:val="nil"/>
              <w:right w:val="nil"/>
            </w:tcBorders>
            <w:shd w:val="clear" w:color="auto" w:fill="auto"/>
            <w:noWrap/>
            <w:vAlign w:val="bottom"/>
            <w:hideMark/>
          </w:tcPr>
          <w:p w14:paraId="7ECCE46D" w14:textId="77777777" w:rsidR="00E7759C" w:rsidRPr="00E7759C" w:rsidRDefault="00E7759C" w:rsidP="00E7759C">
            <w:pPr>
              <w:spacing w:after="0" w:line="240" w:lineRule="auto"/>
              <w:rPr>
                <w:rFonts w:eastAsia="Times New Roman" w:cs="Calibri"/>
                <w:color w:val="000000"/>
                <w:sz w:val="18"/>
                <w:szCs w:val="18"/>
              </w:rPr>
            </w:pPr>
          </w:p>
        </w:tc>
        <w:tc>
          <w:tcPr>
            <w:tcW w:w="883" w:type="dxa"/>
            <w:tcBorders>
              <w:top w:val="nil"/>
              <w:left w:val="nil"/>
              <w:bottom w:val="nil"/>
              <w:right w:val="nil"/>
            </w:tcBorders>
            <w:shd w:val="clear" w:color="auto" w:fill="auto"/>
            <w:noWrap/>
            <w:vAlign w:val="bottom"/>
            <w:hideMark/>
          </w:tcPr>
          <w:p w14:paraId="15641AE4" w14:textId="77777777" w:rsidR="00E7759C" w:rsidRPr="00E7759C" w:rsidRDefault="00E7759C" w:rsidP="00E7759C">
            <w:pPr>
              <w:spacing w:after="0" w:line="240" w:lineRule="auto"/>
              <w:rPr>
                <w:rFonts w:eastAsia="Times New Roman" w:cs="Calibri"/>
                <w:color w:val="000000"/>
                <w:sz w:val="18"/>
                <w:szCs w:val="18"/>
              </w:rPr>
            </w:pPr>
          </w:p>
        </w:tc>
        <w:tc>
          <w:tcPr>
            <w:tcW w:w="960" w:type="dxa"/>
            <w:tcBorders>
              <w:top w:val="nil"/>
              <w:left w:val="nil"/>
              <w:bottom w:val="nil"/>
              <w:right w:val="nil"/>
            </w:tcBorders>
            <w:shd w:val="clear" w:color="auto" w:fill="auto"/>
            <w:noWrap/>
            <w:vAlign w:val="bottom"/>
            <w:hideMark/>
          </w:tcPr>
          <w:p w14:paraId="3C6868E2" w14:textId="77777777" w:rsidR="00E7759C" w:rsidRPr="00E7759C" w:rsidRDefault="00E7759C" w:rsidP="00E7759C">
            <w:pPr>
              <w:spacing w:after="0" w:line="240" w:lineRule="auto"/>
              <w:rPr>
                <w:rFonts w:eastAsia="Times New Roman" w:cs="Calibri"/>
                <w:color w:val="000000"/>
                <w:sz w:val="18"/>
                <w:szCs w:val="18"/>
              </w:rPr>
            </w:pPr>
          </w:p>
        </w:tc>
        <w:tc>
          <w:tcPr>
            <w:tcW w:w="850" w:type="dxa"/>
            <w:tcBorders>
              <w:top w:val="nil"/>
              <w:left w:val="nil"/>
              <w:bottom w:val="nil"/>
              <w:right w:val="nil"/>
            </w:tcBorders>
            <w:shd w:val="clear" w:color="auto" w:fill="auto"/>
            <w:noWrap/>
            <w:vAlign w:val="bottom"/>
            <w:hideMark/>
          </w:tcPr>
          <w:p w14:paraId="0C8C6798" w14:textId="77777777" w:rsidR="00E7759C" w:rsidRPr="00E7759C" w:rsidRDefault="00E7759C" w:rsidP="00E7759C">
            <w:pPr>
              <w:spacing w:after="0" w:line="240" w:lineRule="auto"/>
              <w:rPr>
                <w:rFonts w:eastAsia="Times New Roman" w:cs="Calibri"/>
                <w:color w:val="000000"/>
                <w:sz w:val="18"/>
                <w:szCs w:val="18"/>
              </w:rPr>
            </w:pPr>
          </w:p>
        </w:tc>
        <w:tc>
          <w:tcPr>
            <w:tcW w:w="2693" w:type="dxa"/>
            <w:gridSpan w:val="3"/>
            <w:tcBorders>
              <w:top w:val="nil"/>
              <w:left w:val="nil"/>
              <w:bottom w:val="nil"/>
              <w:right w:val="nil"/>
            </w:tcBorders>
            <w:shd w:val="clear" w:color="auto" w:fill="auto"/>
            <w:noWrap/>
            <w:vAlign w:val="bottom"/>
            <w:hideMark/>
          </w:tcPr>
          <w:p w14:paraId="016EDC42" w14:textId="77777777" w:rsidR="00E7759C" w:rsidRPr="00E7759C" w:rsidRDefault="00E7759C" w:rsidP="00E7759C">
            <w:pPr>
              <w:spacing w:after="0" w:line="240" w:lineRule="auto"/>
              <w:jc w:val="right"/>
              <w:rPr>
                <w:rFonts w:eastAsia="Times New Roman" w:cs="Calibri"/>
                <w:color w:val="000000"/>
                <w:sz w:val="16"/>
                <w:szCs w:val="16"/>
              </w:rPr>
            </w:pPr>
            <w:r w:rsidRPr="00E7759C">
              <w:rPr>
                <w:rFonts w:eastAsia="Times New Roman" w:cs="Calibri"/>
                <w:color w:val="000000"/>
                <w:sz w:val="16"/>
                <w:szCs w:val="16"/>
                <w:lang w:val="es-ES"/>
              </w:rPr>
              <w:t>cifras en millones de pesos</w:t>
            </w:r>
          </w:p>
        </w:tc>
      </w:tr>
      <w:tr w:rsidR="00E7759C" w:rsidRPr="00E7759C" w14:paraId="16861819" w14:textId="77777777" w:rsidTr="0054297D">
        <w:trPr>
          <w:trHeight w:val="450"/>
        </w:trPr>
        <w:tc>
          <w:tcPr>
            <w:tcW w:w="2850"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68A13168" w14:textId="77777777" w:rsidR="00E7759C" w:rsidRPr="00E7759C" w:rsidRDefault="00E7759C" w:rsidP="00E7759C">
            <w:pPr>
              <w:spacing w:after="0" w:line="240" w:lineRule="auto"/>
              <w:jc w:val="center"/>
              <w:rPr>
                <w:rFonts w:eastAsia="Times New Roman" w:cs="Calibri"/>
                <w:b/>
                <w:bCs/>
                <w:color w:val="FFFFFF"/>
                <w:sz w:val="18"/>
                <w:szCs w:val="18"/>
              </w:rPr>
            </w:pPr>
            <w:r w:rsidRPr="00E7759C">
              <w:rPr>
                <w:rFonts w:eastAsia="Times New Roman" w:cs="Calibri"/>
                <w:b/>
                <w:bCs/>
                <w:color w:val="FFFFFF"/>
                <w:sz w:val="18"/>
                <w:szCs w:val="18"/>
              </w:rPr>
              <w:t>Concepto</w:t>
            </w:r>
          </w:p>
        </w:tc>
        <w:tc>
          <w:tcPr>
            <w:tcW w:w="851" w:type="dxa"/>
            <w:tcBorders>
              <w:top w:val="single" w:sz="4" w:space="0" w:color="auto"/>
              <w:left w:val="nil"/>
              <w:bottom w:val="nil"/>
              <w:right w:val="single" w:sz="4" w:space="0" w:color="auto"/>
            </w:tcBorders>
            <w:shd w:val="clear" w:color="auto" w:fill="1F4E79"/>
            <w:vAlign w:val="center"/>
            <w:hideMark/>
          </w:tcPr>
          <w:p w14:paraId="0AF15A08" w14:textId="77777777" w:rsidR="00E7759C" w:rsidRPr="00E7759C" w:rsidRDefault="00E7759C" w:rsidP="00E7759C">
            <w:pPr>
              <w:spacing w:after="0" w:line="240" w:lineRule="auto"/>
              <w:jc w:val="center"/>
              <w:rPr>
                <w:rFonts w:eastAsia="Times New Roman" w:cs="Calibri"/>
                <w:b/>
                <w:bCs/>
                <w:color w:val="FFFFFF"/>
                <w:sz w:val="18"/>
                <w:szCs w:val="18"/>
              </w:rPr>
            </w:pPr>
            <w:r w:rsidRPr="00E7759C">
              <w:rPr>
                <w:rFonts w:eastAsia="Times New Roman" w:cs="Calibri"/>
                <w:b/>
                <w:bCs/>
                <w:color w:val="FFFFFF"/>
                <w:sz w:val="18"/>
                <w:szCs w:val="18"/>
              </w:rPr>
              <w:t>Aprop</w:t>
            </w:r>
          </w:p>
        </w:tc>
        <w:tc>
          <w:tcPr>
            <w:tcW w:w="883" w:type="dxa"/>
            <w:tcBorders>
              <w:top w:val="single" w:sz="4" w:space="0" w:color="auto"/>
              <w:left w:val="nil"/>
              <w:bottom w:val="single" w:sz="4" w:space="0" w:color="auto"/>
              <w:right w:val="single" w:sz="4" w:space="0" w:color="auto"/>
            </w:tcBorders>
            <w:shd w:val="clear" w:color="auto" w:fill="1F4E79"/>
            <w:vAlign w:val="center"/>
            <w:hideMark/>
          </w:tcPr>
          <w:p w14:paraId="6817AEA2" w14:textId="77777777" w:rsidR="00E7759C" w:rsidRPr="00E7759C" w:rsidRDefault="00E7759C" w:rsidP="00E7759C">
            <w:pPr>
              <w:spacing w:after="0" w:line="240" w:lineRule="auto"/>
              <w:jc w:val="center"/>
              <w:rPr>
                <w:rFonts w:eastAsia="Times New Roman" w:cs="Calibri"/>
                <w:b/>
                <w:bCs/>
                <w:color w:val="FFFFFF"/>
                <w:sz w:val="18"/>
                <w:szCs w:val="18"/>
              </w:rPr>
            </w:pPr>
            <w:r w:rsidRPr="00E7759C">
              <w:rPr>
                <w:rFonts w:eastAsia="Times New Roman" w:cs="Calibri"/>
                <w:b/>
                <w:bCs/>
                <w:color w:val="FFFFFF"/>
                <w:sz w:val="18"/>
                <w:szCs w:val="18"/>
                <w:lang w:val="es-ES"/>
              </w:rPr>
              <w:t>Comprom</w:t>
            </w:r>
          </w:p>
        </w:tc>
        <w:tc>
          <w:tcPr>
            <w:tcW w:w="960" w:type="dxa"/>
            <w:tcBorders>
              <w:top w:val="single" w:sz="4" w:space="0" w:color="auto"/>
              <w:left w:val="nil"/>
              <w:bottom w:val="single" w:sz="4" w:space="0" w:color="auto"/>
              <w:right w:val="single" w:sz="4" w:space="0" w:color="auto"/>
            </w:tcBorders>
            <w:shd w:val="clear" w:color="auto" w:fill="1F4E79"/>
            <w:vAlign w:val="center"/>
            <w:hideMark/>
          </w:tcPr>
          <w:p w14:paraId="6F9372DC" w14:textId="77777777" w:rsidR="00E7759C" w:rsidRPr="00E7759C" w:rsidRDefault="00E7759C" w:rsidP="00E7759C">
            <w:pPr>
              <w:spacing w:after="0" w:line="240" w:lineRule="auto"/>
              <w:jc w:val="center"/>
              <w:rPr>
                <w:rFonts w:eastAsia="Times New Roman" w:cs="Calibri"/>
                <w:b/>
                <w:bCs/>
                <w:color w:val="FFFFFF"/>
                <w:sz w:val="18"/>
                <w:szCs w:val="18"/>
              </w:rPr>
            </w:pPr>
            <w:r w:rsidRPr="00E7759C">
              <w:rPr>
                <w:rFonts w:eastAsia="Times New Roman" w:cs="Calibri"/>
                <w:b/>
                <w:bCs/>
                <w:color w:val="FFFFFF"/>
                <w:sz w:val="18"/>
                <w:szCs w:val="18"/>
                <w:lang w:val="es-ES"/>
              </w:rPr>
              <w:t>Oblig</w:t>
            </w:r>
          </w:p>
        </w:tc>
        <w:tc>
          <w:tcPr>
            <w:tcW w:w="850" w:type="dxa"/>
            <w:tcBorders>
              <w:top w:val="single" w:sz="4" w:space="0" w:color="auto"/>
              <w:left w:val="nil"/>
              <w:bottom w:val="single" w:sz="4" w:space="0" w:color="auto"/>
              <w:right w:val="single" w:sz="4" w:space="0" w:color="auto"/>
            </w:tcBorders>
            <w:shd w:val="clear" w:color="auto" w:fill="1F4E79"/>
            <w:vAlign w:val="center"/>
            <w:hideMark/>
          </w:tcPr>
          <w:p w14:paraId="06AA655A" w14:textId="77777777" w:rsidR="00E7759C" w:rsidRPr="00E7759C" w:rsidRDefault="00E7759C" w:rsidP="00E7759C">
            <w:pPr>
              <w:spacing w:after="0" w:line="240" w:lineRule="auto"/>
              <w:jc w:val="center"/>
              <w:rPr>
                <w:rFonts w:eastAsia="Times New Roman" w:cs="Calibri"/>
                <w:b/>
                <w:bCs/>
                <w:color w:val="FFFFFF"/>
                <w:sz w:val="18"/>
                <w:szCs w:val="18"/>
              </w:rPr>
            </w:pPr>
            <w:r w:rsidRPr="00E7759C">
              <w:rPr>
                <w:rFonts w:eastAsia="Times New Roman" w:cs="Calibri"/>
                <w:b/>
                <w:bCs/>
                <w:color w:val="FFFFFF"/>
                <w:sz w:val="18"/>
                <w:szCs w:val="18"/>
                <w:lang w:val="es-ES"/>
              </w:rPr>
              <w:t>Pagos</w:t>
            </w:r>
          </w:p>
        </w:tc>
        <w:tc>
          <w:tcPr>
            <w:tcW w:w="851" w:type="dxa"/>
            <w:tcBorders>
              <w:top w:val="single" w:sz="4" w:space="0" w:color="auto"/>
              <w:left w:val="nil"/>
              <w:bottom w:val="nil"/>
              <w:right w:val="single" w:sz="4" w:space="0" w:color="auto"/>
            </w:tcBorders>
            <w:shd w:val="clear" w:color="auto" w:fill="1F4E79"/>
            <w:vAlign w:val="center"/>
            <w:hideMark/>
          </w:tcPr>
          <w:p w14:paraId="51FED1E3" w14:textId="77777777" w:rsidR="00E7759C" w:rsidRPr="00E7759C" w:rsidRDefault="00E7759C" w:rsidP="00E7759C">
            <w:pPr>
              <w:spacing w:after="0" w:line="240" w:lineRule="auto"/>
              <w:jc w:val="center"/>
              <w:rPr>
                <w:rFonts w:eastAsia="Times New Roman" w:cs="Calibri"/>
                <w:b/>
                <w:bCs/>
                <w:color w:val="FFFFFF"/>
                <w:sz w:val="16"/>
                <w:szCs w:val="16"/>
              </w:rPr>
            </w:pPr>
            <w:r w:rsidRPr="00E7759C">
              <w:rPr>
                <w:rFonts w:eastAsia="Times New Roman" w:cs="Calibri"/>
                <w:b/>
                <w:bCs/>
                <w:color w:val="FFFFFF"/>
                <w:sz w:val="16"/>
                <w:szCs w:val="16"/>
                <w:lang w:val="es-ES"/>
              </w:rPr>
              <w:t>Comp/Aprop</w:t>
            </w:r>
          </w:p>
        </w:tc>
        <w:tc>
          <w:tcPr>
            <w:tcW w:w="850" w:type="dxa"/>
            <w:tcBorders>
              <w:top w:val="single" w:sz="4" w:space="0" w:color="auto"/>
              <w:left w:val="nil"/>
              <w:bottom w:val="nil"/>
              <w:right w:val="single" w:sz="4" w:space="0" w:color="auto"/>
            </w:tcBorders>
            <w:shd w:val="clear" w:color="auto" w:fill="1F4E79"/>
            <w:vAlign w:val="center"/>
            <w:hideMark/>
          </w:tcPr>
          <w:p w14:paraId="37C6C10A" w14:textId="77777777" w:rsidR="00E7759C" w:rsidRPr="00E7759C" w:rsidRDefault="00E7759C" w:rsidP="00E7759C">
            <w:pPr>
              <w:spacing w:after="0" w:line="240" w:lineRule="auto"/>
              <w:jc w:val="center"/>
              <w:rPr>
                <w:rFonts w:eastAsia="Times New Roman" w:cs="Calibri"/>
                <w:b/>
                <w:bCs/>
                <w:color w:val="FFFFFF"/>
                <w:sz w:val="16"/>
                <w:szCs w:val="16"/>
              </w:rPr>
            </w:pPr>
            <w:r w:rsidRPr="00E7759C">
              <w:rPr>
                <w:rFonts w:eastAsia="Times New Roman" w:cs="Calibri"/>
                <w:b/>
                <w:bCs/>
                <w:color w:val="FFFFFF"/>
                <w:sz w:val="16"/>
                <w:szCs w:val="16"/>
                <w:lang w:val="es-ES"/>
              </w:rPr>
              <w:t>Oblig/Aprop</w:t>
            </w:r>
          </w:p>
        </w:tc>
        <w:tc>
          <w:tcPr>
            <w:tcW w:w="992" w:type="dxa"/>
            <w:tcBorders>
              <w:top w:val="single" w:sz="4" w:space="0" w:color="auto"/>
              <w:left w:val="nil"/>
              <w:bottom w:val="single" w:sz="4" w:space="0" w:color="auto"/>
              <w:right w:val="single" w:sz="4" w:space="0" w:color="auto"/>
            </w:tcBorders>
            <w:shd w:val="clear" w:color="auto" w:fill="1F4E79"/>
            <w:vAlign w:val="center"/>
            <w:hideMark/>
          </w:tcPr>
          <w:p w14:paraId="5EE872B9" w14:textId="77777777" w:rsidR="00E7759C" w:rsidRPr="00E7759C" w:rsidRDefault="00E7759C" w:rsidP="00E7759C">
            <w:pPr>
              <w:spacing w:after="0" w:line="240" w:lineRule="auto"/>
              <w:jc w:val="center"/>
              <w:rPr>
                <w:rFonts w:eastAsia="Times New Roman" w:cs="Calibri"/>
                <w:b/>
                <w:bCs/>
                <w:color w:val="FFFFFF"/>
                <w:sz w:val="16"/>
                <w:szCs w:val="16"/>
              </w:rPr>
            </w:pPr>
            <w:r w:rsidRPr="00E7759C">
              <w:rPr>
                <w:rFonts w:eastAsia="Times New Roman" w:cs="Calibri"/>
                <w:b/>
                <w:bCs/>
                <w:color w:val="FFFFFF"/>
                <w:sz w:val="16"/>
                <w:szCs w:val="16"/>
                <w:lang w:val="es-ES"/>
              </w:rPr>
              <w:t>Pago/Aprop</w:t>
            </w:r>
          </w:p>
        </w:tc>
      </w:tr>
      <w:tr w:rsidR="00E7759C" w:rsidRPr="00E7759C" w14:paraId="69A79E10" w14:textId="77777777" w:rsidTr="0054297D">
        <w:trPr>
          <w:trHeight w:val="240"/>
        </w:trPr>
        <w:tc>
          <w:tcPr>
            <w:tcW w:w="2850" w:type="dxa"/>
            <w:tcBorders>
              <w:top w:val="nil"/>
              <w:left w:val="single" w:sz="4" w:space="0" w:color="auto"/>
              <w:bottom w:val="nil"/>
              <w:right w:val="single" w:sz="4" w:space="0" w:color="auto"/>
            </w:tcBorders>
            <w:shd w:val="clear" w:color="auto" w:fill="auto"/>
            <w:noWrap/>
            <w:vAlign w:val="bottom"/>
            <w:hideMark/>
          </w:tcPr>
          <w:p w14:paraId="31573859" w14:textId="77777777" w:rsidR="00E7759C" w:rsidRPr="00E7759C" w:rsidRDefault="00E7759C" w:rsidP="00E7759C">
            <w:pPr>
              <w:spacing w:after="0" w:line="240" w:lineRule="auto"/>
              <w:rPr>
                <w:rFonts w:eastAsia="Times New Roman" w:cs="Calibri"/>
                <w:color w:val="000000"/>
                <w:sz w:val="18"/>
                <w:szCs w:val="18"/>
              </w:rPr>
            </w:pPr>
            <w:r w:rsidRPr="00E7759C">
              <w:rPr>
                <w:rFonts w:eastAsia="Times New Roman" w:cs="Calibri"/>
                <w:color w:val="000000"/>
                <w:sz w:val="18"/>
                <w:szCs w:val="18"/>
              </w:rPr>
              <w:t>Pasivos contingentes aprobados</w:t>
            </w:r>
          </w:p>
        </w:tc>
        <w:tc>
          <w:tcPr>
            <w:tcW w:w="851" w:type="dxa"/>
            <w:tcBorders>
              <w:top w:val="single" w:sz="4" w:space="0" w:color="auto"/>
              <w:left w:val="nil"/>
              <w:bottom w:val="nil"/>
              <w:right w:val="single" w:sz="4" w:space="0" w:color="auto"/>
            </w:tcBorders>
            <w:shd w:val="clear" w:color="auto" w:fill="auto"/>
            <w:noWrap/>
            <w:vAlign w:val="bottom"/>
            <w:hideMark/>
          </w:tcPr>
          <w:p w14:paraId="7A1969D2" w14:textId="77777777" w:rsidR="00E7759C" w:rsidRPr="00E7759C" w:rsidRDefault="00E7759C" w:rsidP="00E7759C">
            <w:pPr>
              <w:spacing w:after="0" w:line="240" w:lineRule="auto"/>
              <w:jc w:val="right"/>
              <w:rPr>
                <w:rFonts w:eastAsia="Times New Roman" w:cs="Calibri"/>
                <w:color w:val="000000"/>
                <w:sz w:val="18"/>
                <w:szCs w:val="18"/>
              </w:rPr>
            </w:pPr>
            <w:r w:rsidRPr="00E7759C">
              <w:rPr>
                <w:rFonts w:eastAsia="Times New Roman" w:cs="Calibri"/>
                <w:color w:val="000000"/>
                <w:sz w:val="18"/>
                <w:szCs w:val="18"/>
              </w:rPr>
              <w:t>125.892</w:t>
            </w:r>
          </w:p>
        </w:tc>
        <w:tc>
          <w:tcPr>
            <w:tcW w:w="883" w:type="dxa"/>
            <w:tcBorders>
              <w:top w:val="nil"/>
              <w:left w:val="nil"/>
              <w:bottom w:val="nil"/>
              <w:right w:val="single" w:sz="4" w:space="0" w:color="auto"/>
            </w:tcBorders>
            <w:shd w:val="clear" w:color="auto" w:fill="auto"/>
            <w:noWrap/>
            <w:vAlign w:val="bottom"/>
            <w:hideMark/>
          </w:tcPr>
          <w:p w14:paraId="3BFDA609" w14:textId="77777777" w:rsidR="00E7759C" w:rsidRPr="00E7759C" w:rsidRDefault="00E7759C" w:rsidP="00E7759C">
            <w:pPr>
              <w:spacing w:after="0" w:line="240" w:lineRule="auto"/>
              <w:jc w:val="right"/>
              <w:rPr>
                <w:rFonts w:eastAsia="Times New Roman" w:cs="Calibri"/>
                <w:color w:val="000000"/>
                <w:sz w:val="18"/>
                <w:szCs w:val="18"/>
              </w:rPr>
            </w:pPr>
            <w:r w:rsidRPr="00E7759C">
              <w:rPr>
                <w:rFonts w:eastAsia="Times New Roman" w:cs="Calibri"/>
                <w:color w:val="000000"/>
                <w:sz w:val="18"/>
                <w:szCs w:val="18"/>
              </w:rPr>
              <w:t>-</w:t>
            </w:r>
          </w:p>
        </w:tc>
        <w:tc>
          <w:tcPr>
            <w:tcW w:w="960" w:type="dxa"/>
            <w:tcBorders>
              <w:top w:val="nil"/>
              <w:left w:val="nil"/>
              <w:bottom w:val="nil"/>
              <w:right w:val="single" w:sz="4" w:space="0" w:color="auto"/>
            </w:tcBorders>
            <w:shd w:val="clear" w:color="auto" w:fill="auto"/>
            <w:noWrap/>
            <w:vAlign w:val="bottom"/>
            <w:hideMark/>
          </w:tcPr>
          <w:p w14:paraId="0CD76DC8" w14:textId="77777777" w:rsidR="00E7759C" w:rsidRPr="00E7759C" w:rsidRDefault="00E7759C" w:rsidP="00E7759C">
            <w:pPr>
              <w:spacing w:after="0" w:line="240" w:lineRule="auto"/>
              <w:jc w:val="right"/>
              <w:rPr>
                <w:rFonts w:eastAsia="Times New Roman" w:cs="Calibri"/>
                <w:color w:val="000000"/>
                <w:sz w:val="18"/>
                <w:szCs w:val="18"/>
              </w:rPr>
            </w:pPr>
            <w:r w:rsidRPr="00E7759C">
              <w:rPr>
                <w:rFonts w:eastAsia="Times New Roman" w:cs="Calibri"/>
                <w:color w:val="000000"/>
                <w:sz w:val="18"/>
                <w:szCs w:val="18"/>
              </w:rPr>
              <w:t>-</w:t>
            </w:r>
          </w:p>
        </w:tc>
        <w:tc>
          <w:tcPr>
            <w:tcW w:w="850" w:type="dxa"/>
            <w:tcBorders>
              <w:top w:val="nil"/>
              <w:left w:val="nil"/>
              <w:bottom w:val="nil"/>
              <w:right w:val="single" w:sz="4" w:space="0" w:color="auto"/>
            </w:tcBorders>
            <w:shd w:val="clear" w:color="auto" w:fill="auto"/>
            <w:noWrap/>
            <w:vAlign w:val="bottom"/>
            <w:hideMark/>
          </w:tcPr>
          <w:p w14:paraId="3F9B4236" w14:textId="77777777" w:rsidR="00E7759C" w:rsidRPr="00E7759C" w:rsidRDefault="00E7759C" w:rsidP="00E7759C">
            <w:pPr>
              <w:spacing w:after="0" w:line="240" w:lineRule="auto"/>
              <w:rPr>
                <w:rFonts w:eastAsia="Times New Roman" w:cs="Calibri"/>
                <w:color w:val="000000"/>
                <w:sz w:val="18"/>
                <w:szCs w:val="18"/>
              </w:rPr>
            </w:pPr>
            <w:r w:rsidRPr="00E7759C">
              <w:rPr>
                <w:rFonts w:eastAsia="Times New Roman" w:cs="Calibri"/>
                <w:color w:val="000000"/>
                <w:sz w:val="18"/>
                <w:szCs w:val="18"/>
              </w:rPr>
              <w:t xml:space="preserve">               -   </w:t>
            </w:r>
          </w:p>
        </w:tc>
        <w:tc>
          <w:tcPr>
            <w:tcW w:w="851" w:type="dxa"/>
            <w:tcBorders>
              <w:top w:val="single" w:sz="4" w:space="0" w:color="auto"/>
              <w:left w:val="nil"/>
              <w:bottom w:val="nil"/>
              <w:right w:val="single" w:sz="4" w:space="0" w:color="auto"/>
            </w:tcBorders>
            <w:shd w:val="clear" w:color="auto" w:fill="auto"/>
            <w:noWrap/>
            <w:vAlign w:val="center"/>
            <w:hideMark/>
          </w:tcPr>
          <w:p w14:paraId="4247E011" w14:textId="77777777" w:rsidR="00E7759C" w:rsidRPr="00E7759C" w:rsidRDefault="00E7759C" w:rsidP="00E7759C">
            <w:pPr>
              <w:spacing w:after="0" w:line="240" w:lineRule="auto"/>
              <w:jc w:val="center"/>
              <w:rPr>
                <w:rFonts w:eastAsia="Times New Roman" w:cs="Calibri"/>
                <w:color w:val="000000"/>
                <w:sz w:val="18"/>
                <w:szCs w:val="18"/>
              </w:rPr>
            </w:pPr>
            <w:r w:rsidRPr="00E7759C">
              <w:rPr>
                <w:rFonts w:eastAsia="Times New Roman" w:cs="Calibri"/>
                <w:color w:val="000000"/>
                <w:sz w:val="18"/>
                <w:szCs w:val="18"/>
              </w:rPr>
              <w:t>0,00%</w:t>
            </w:r>
          </w:p>
        </w:tc>
        <w:tc>
          <w:tcPr>
            <w:tcW w:w="850" w:type="dxa"/>
            <w:tcBorders>
              <w:top w:val="single" w:sz="4" w:space="0" w:color="auto"/>
              <w:left w:val="nil"/>
              <w:bottom w:val="nil"/>
              <w:right w:val="single" w:sz="4" w:space="0" w:color="auto"/>
            </w:tcBorders>
            <w:shd w:val="clear" w:color="auto" w:fill="auto"/>
            <w:noWrap/>
            <w:vAlign w:val="center"/>
            <w:hideMark/>
          </w:tcPr>
          <w:p w14:paraId="5A6BCCD5" w14:textId="77777777" w:rsidR="00E7759C" w:rsidRPr="00E7759C" w:rsidRDefault="00E7759C" w:rsidP="00E7759C">
            <w:pPr>
              <w:spacing w:after="0" w:line="240" w:lineRule="auto"/>
              <w:jc w:val="center"/>
              <w:rPr>
                <w:rFonts w:eastAsia="Times New Roman" w:cs="Calibri"/>
                <w:color w:val="000000"/>
                <w:sz w:val="18"/>
                <w:szCs w:val="18"/>
              </w:rPr>
            </w:pPr>
            <w:r w:rsidRPr="00E7759C">
              <w:rPr>
                <w:rFonts w:eastAsia="Times New Roman" w:cs="Calibri"/>
                <w:color w:val="000000"/>
                <w:sz w:val="18"/>
                <w:szCs w:val="18"/>
              </w:rPr>
              <w:t>0,00%</w:t>
            </w:r>
          </w:p>
        </w:tc>
        <w:tc>
          <w:tcPr>
            <w:tcW w:w="992" w:type="dxa"/>
            <w:tcBorders>
              <w:top w:val="nil"/>
              <w:left w:val="nil"/>
              <w:bottom w:val="nil"/>
              <w:right w:val="single" w:sz="4" w:space="0" w:color="auto"/>
            </w:tcBorders>
            <w:shd w:val="clear" w:color="auto" w:fill="auto"/>
            <w:noWrap/>
            <w:vAlign w:val="center"/>
            <w:hideMark/>
          </w:tcPr>
          <w:p w14:paraId="749DED5A" w14:textId="77777777" w:rsidR="00E7759C" w:rsidRPr="00E7759C" w:rsidRDefault="00E7759C" w:rsidP="00E7759C">
            <w:pPr>
              <w:spacing w:after="0" w:line="240" w:lineRule="auto"/>
              <w:jc w:val="center"/>
              <w:rPr>
                <w:rFonts w:eastAsia="Times New Roman" w:cs="Calibri"/>
                <w:color w:val="000000"/>
                <w:sz w:val="18"/>
                <w:szCs w:val="18"/>
              </w:rPr>
            </w:pPr>
            <w:r w:rsidRPr="00E7759C">
              <w:rPr>
                <w:rFonts w:eastAsia="Times New Roman" w:cs="Calibri"/>
                <w:color w:val="000000"/>
                <w:sz w:val="18"/>
                <w:szCs w:val="18"/>
              </w:rPr>
              <w:t>0,00%</w:t>
            </w:r>
          </w:p>
        </w:tc>
      </w:tr>
      <w:tr w:rsidR="00E7759C" w:rsidRPr="00E7759C" w14:paraId="1DEB25CD" w14:textId="77777777" w:rsidTr="0054297D">
        <w:trPr>
          <w:trHeight w:val="24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5E67BC21" w14:textId="77777777" w:rsidR="00E7759C" w:rsidRPr="00E7759C" w:rsidRDefault="00E7759C" w:rsidP="00E7759C">
            <w:pPr>
              <w:spacing w:after="0" w:line="240" w:lineRule="auto"/>
              <w:rPr>
                <w:rFonts w:eastAsia="Times New Roman" w:cs="Calibri"/>
                <w:color w:val="000000"/>
                <w:sz w:val="18"/>
                <w:szCs w:val="18"/>
              </w:rPr>
            </w:pPr>
            <w:r w:rsidRPr="00E7759C">
              <w:rPr>
                <w:rFonts w:eastAsia="Times New Roman" w:cs="Calibri"/>
                <w:color w:val="000000"/>
                <w:sz w:val="18"/>
                <w:szCs w:val="18"/>
              </w:rPr>
              <w:t>Acuerdos de pago MHCP</w:t>
            </w:r>
          </w:p>
        </w:tc>
        <w:tc>
          <w:tcPr>
            <w:tcW w:w="851" w:type="dxa"/>
            <w:tcBorders>
              <w:top w:val="nil"/>
              <w:left w:val="nil"/>
              <w:bottom w:val="single" w:sz="4" w:space="0" w:color="auto"/>
              <w:right w:val="single" w:sz="4" w:space="0" w:color="auto"/>
            </w:tcBorders>
            <w:shd w:val="clear" w:color="auto" w:fill="auto"/>
            <w:noWrap/>
            <w:vAlign w:val="bottom"/>
            <w:hideMark/>
          </w:tcPr>
          <w:p w14:paraId="4CA9228B" w14:textId="77777777" w:rsidR="00E7759C" w:rsidRPr="00E7759C" w:rsidRDefault="00E7759C" w:rsidP="00E7759C">
            <w:pPr>
              <w:spacing w:after="0" w:line="240" w:lineRule="auto"/>
              <w:jc w:val="right"/>
              <w:rPr>
                <w:rFonts w:eastAsia="Times New Roman" w:cs="Calibri"/>
                <w:color w:val="000000"/>
                <w:sz w:val="18"/>
                <w:szCs w:val="18"/>
              </w:rPr>
            </w:pPr>
            <w:r w:rsidRPr="00E7759C">
              <w:rPr>
                <w:rFonts w:eastAsia="Times New Roman" w:cs="Calibri"/>
                <w:color w:val="000000"/>
                <w:sz w:val="18"/>
                <w:szCs w:val="18"/>
              </w:rPr>
              <w:t>48.016</w:t>
            </w:r>
          </w:p>
        </w:tc>
        <w:tc>
          <w:tcPr>
            <w:tcW w:w="883" w:type="dxa"/>
            <w:tcBorders>
              <w:top w:val="nil"/>
              <w:left w:val="nil"/>
              <w:bottom w:val="single" w:sz="4" w:space="0" w:color="auto"/>
              <w:right w:val="single" w:sz="4" w:space="0" w:color="auto"/>
            </w:tcBorders>
            <w:shd w:val="clear" w:color="auto" w:fill="auto"/>
            <w:noWrap/>
            <w:vAlign w:val="bottom"/>
            <w:hideMark/>
          </w:tcPr>
          <w:p w14:paraId="0F9EFF32" w14:textId="77777777" w:rsidR="00E7759C" w:rsidRPr="00E7759C" w:rsidRDefault="00E7759C" w:rsidP="00E7759C">
            <w:pPr>
              <w:spacing w:after="0" w:line="240" w:lineRule="auto"/>
              <w:jc w:val="right"/>
              <w:rPr>
                <w:rFonts w:eastAsia="Times New Roman" w:cs="Calibri"/>
                <w:color w:val="000000"/>
                <w:sz w:val="18"/>
                <w:szCs w:val="18"/>
              </w:rPr>
            </w:pPr>
            <w:r w:rsidRPr="00E7759C">
              <w:rPr>
                <w:rFonts w:eastAsia="Times New Roman" w:cs="Calibri"/>
                <w:color w:val="000000"/>
                <w:sz w:val="18"/>
                <w:szCs w:val="18"/>
              </w:rPr>
              <w:t>48.016</w:t>
            </w:r>
          </w:p>
        </w:tc>
        <w:tc>
          <w:tcPr>
            <w:tcW w:w="960" w:type="dxa"/>
            <w:tcBorders>
              <w:top w:val="nil"/>
              <w:left w:val="nil"/>
              <w:bottom w:val="single" w:sz="4" w:space="0" w:color="auto"/>
              <w:right w:val="single" w:sz="4" w:space="0" w:color="auto"/>
            </w:tcBorders>
            <w:shd w:val="clear" w:color="auto" w:fill="auto"/>
            <w:noWrap/>
            <w:vAlign w:val="bottom"/>
            <w:hideMark/>
          </w:tcPr>
          <w:p w14:paraId="61B0ECB1" w14:textId="77777777" w:rsidR="00E7759C" w:rsidRPr="00E7759C" w:rsidRDefault="00E7759C" w:rsidP="00E7759C">
            <w:pPr>
              <w:spacing w:after="0" w:line="240" w:lineRule="auto"/>
              <w:jc w:val="right"/>
              <w:rPr>
                <w:rFonts w:eastAsia="Times New Roman" w:cs="Calibri"/>
                <w:color w:val="000000"/>
                <w:sz w:val="18"/>
                <w:szCs w:val="18"/>
              </w:rPr>
            </w:pPr>
            <w:r w:rsidRPr="00E7759C">
              <w:rPr>
                <w:rFonts w:eastAsia="Times New Roman" w:cs="Calibri"/>
                <w:color w:val="000000"/>
                <w:sz w:val="18"/>
                <w:szCs w:val="18"/>
              </w:rPr>
              <w:t>48.016</w:t>
            </w:r>
          </w:p>
        </w:tc>
        <w:tc>
          <w:tcPr>
            <w:tcW w:w="850" w:type="dxa"/>
            <w:tcBorders>
              <w:top w:val="nil"/>
              <w:left w:val="nil"/>
              <w:bottom w:val="single" w:sz="4" w:space="0" w:color="auto"/>
              <w:right w:val="single" w:sz="4" w:space="0" w:color="auto"/>
            </w:tcBorders>
            <w:shd w:val="clear" w:color="auto" w:fill="auto"/>
            <w:noWrap/>
            <w:vAlign w:val="bottom"/>
            <w:hideMark/>
          </w:tcPr>
          <w:p w14:paraId="5B751FBC" w14:textId="77777777" w:rsidR="00E7759C" w:rsidRPr="00E7759C" w:rsidRDefault="00E7759C" w:rsidP="00E7759C">
            <w:pPr>
              <w:spacing w:after="0" w:line="240" w:lineRule="auto"/>
              <w:rPr>
                <w:rFonts w:eastAsia="Times New Roman" w:cs="Calibri"/>
                <w:color w:val="000000"/>
                <w:sz w:val="18"/>
                <w:szCs w:val="18"/>
              </w:rPr>
            </w:pPr>
            <w:r w:rsidRPr="00E7759C">
              <w:rPr>
                <w:rFonts w:eastAsia="Times New Roman" w:cs="Calibri"/>
                <w:color w:val="000000"/>
                <w:sz w:val="18"/>
                <w:szCs w:val="18"/>
              </w:rPr>
              <w:t xml:space="preserve">      48.016   </w:t>
            </w:r>
          </w:p>
        </w:tc>
        <w:tc>
          <w:tcPr>
            <w:tcW w:w="851" w:type="dxa"/>
            <w:tcBorders>
              <w:top w:val="nil"/>
              <w:left w:val="nil"/>
              <w:bottom w:val="single" w:sz="4" w:space="0" w:color="auto"/>
              <w:right w:val="single" w:sz="4" w:space="0" w:color="auto"/>
            </w:tcBorders>
            <w:shd w:val="clear" w:color="auto" w:fill="auto"/>
            <w:noWrap/>
            <w:vAlign w:val="center"/>
            <w:hideMark/>
          </w:tcPr>
          <w:p w14:paraId="374F5C8B" w14:textId="77777777" w:rsidR="00E7759C" w:rsidRPr="00E7759C" w:rsidRDefault="00E7759C" w:rsidP="00E7759C">
            <w:pPr>
              <w:spacing w:after="0" w:line="240" w:lineRule="auto"/>
              <w:jc w:val="center"/>
              <w:rPr>
                <w:rFonts w:eastAsia="Times New Roman" w:cs="Calibri"/>
                <w:color w:val="000000"/>
                <w:sz w:val="18"/>
                <w:szCs w:val="18"/>
              </w:rPr>
            </w:pPr>
            <w:r w:rsidRPr="00E7759C">
              <w:rPr>
                <w:rFonts w:eastAsia="Times New Roman" w:cs="Calibri"/>
                <w:color w:val="000000"/>
                <w:sz w:val="18"/>
                <w:szCs w:val="18"/>
              </w:rPr>
              <w:t>100%</w:t>
            </w:r>
          </w:p>
        </w:tc>
        <w:tc>
          <w:tcPr>
            <w:tcW w:w="850" w:type="dxa"/>
            <w:tcBorders>
              <w:top w:val="nil"/>
              <w:left w:val="nil"/>
              <w:bottom w:val="single" w:sz="4" w:space="0" w:color="auto"/>
              <w:right w:val="single" w:sz="4" w:space="0" w:color="auto"/>
            </w:tcBorders>
            <w:shd w:val="clear" w:color="auto" w:fill="auto"/>
            <w:noWrap/>
            <w:vAlign w:val="center"/>
            <w:hideMark/>
          </w:tcPr>
          <w:p w14:paraId="7A9E13E3" w14:textId="77777777" w:rsidR="00E7759C" w:rsidRPr="00E7759C" w:rsidRDefault="00E7759C" w:rsidP="00E7759C">
            <w:pPr>
              <w:spacing w:after="0" w:line="240" w:lineRule="auto"/>
              <w:jc w:val="center"/>
              <w:rPr>
                <w:rFonts w:eastAsia="Times New Roman" w:cs="Calibri"/>
                <w:color w:val="000000"/>
                <w:sz w:val="18"/>
                <w:szCs w:val="18"/>
              </w:rPr>
            </w:pPr>
            <w:r w:rsidRPr="00E7759C">
              <w:rPr>
                <w:rFonts w:eastAsia="Times New Roman" w:cs="Calibri"/>
                <w:color w:val="000000"/>
                <w:sz w:val="18"/>
                <w:szCs w:val="18"/>
              </w:rPr>
              <w:t>100%</w:t>
            </w:r>
          </w:p>
        </w:tc>
        <w:tc>
          <w:tcPr>
            <w:tcW w:w="992" w:type="dxa"/>
            <w:tcBorders>
              <w:top w:val="nil"/>
              <w:left w:val="nil"/>
              <w:bottom w:val="single" w:sz="4" w:space="0" w:color="auto"/>
              <w:right w:val="single" w:sz="4" w:space="0" w:color="auto"/>
            </w:tcBorders>
            <w:shd w:val="clear" w:color="auto" w:fill="auto"/>
            <w:noWrap/>
            <w:vAlign w:val="center"/>
            <w:hideMark/>
          </w:tcPr>
          <w:p w14:paraId="1D6DF20A" w14:textId="77777777" w:rsidR="00E7759C" w:rsidRPr="00E7759C" w:rsidRDefault="00E7759C" w:rsidP="00E7759C">
            <w:pPr>
              <w:spacing w:after="0" w:line="240" w:lineRule="auto"/>
              <w:jc w:val="center"/>
              <w:rPr>
                <w:rFonts w:eastAsia="Times New Roman" w:cs="Calibri"/>
                <w:color w:val="000000"/>
                <w:sz w:val="18"/>
                <w:szCs w:val="18"/>
              </w:rPr>
            </w:pPr>
            <w:r w:rsidRPr="00E7759C">
              <w:rPr>
                <w:rFonts w:eastAsia="Times New Roman" w:cs="Calibri"/>
                <w:color w:val="000000"/>
                <w:sz w:val="18"/>
                <w:szCs w:val="18"/>
              </w:rPr>
              <w:t>100%</w:t>
            </w:r>
          </w:p>
        </w:tc>
      </w:tr>
      <w:tr w:rsidR="00E7759C" w:rsidRPr="00E7759C" w14:paraId="68DFDCCA" w14:textId="77777777" w:rsidTr="0054297D">
        <w:trPr>
          <w:trHeight w:val="240"/>
        </w:trPr>
        <w:tc>
          <w:tcPr>
            <w:tcW w:w="2850" w:type="dxa"/>
            <w:tcBorders>
              <w:top w:val="nil"/>
              <w:left w:val="single" w:sz="4" w:space="0" w:color="auto"/>
              <w:bottom w:val="single" w:sz="4" w:space="0" w:color="auto"/>
              <w:right w:val="single" w:sz="4" w:space="0" w:color="auto"/>
            </w:tcBorders>
            <w:shd w:val="clear" w:color="auto" w:fill="1F4E79"/>
            <w:noWrap/>
            <w:vAlign w:val="center"/>
            <w:hideMark/>
          </w:tcPr>
          <w:p w14:paraId="6115FDD7" w14:textId="77777777" w:rsidR="00E7759C" w:rsidRPr="00E7759C" w:rsidRDefault="00E7759C" w:rsidP="00E7759C">
            <w:pPr>
              <w:spacing w:after="0" w:line="240" w:lineRule="auto"/>
              <w:rPr>
                <w:rFonts w:eastAsia="Times New Roman" w:cs="Calibri"/>
                <w:b/>
                <w:bCs/>
                <w:color w:val="FFFFFF"/>
                <w:sz w:val="18"/>
                <w:szCs w:val="18"/>
              </w:rPr>
            </w:pPr>
            <w:r w:rsidRPr="00E7759C">
              <w:rPr>
                <w:rFonts w:eastAsia="Times New Roman" w:cs="Calibri"/>
                <w:b/>
                <w:bCs/>
                <w:color w:val="FFFFFF"/>
                <w:sz w:val="18"/>
                <w:szCs w:val="18"/>
              </w:rPr>
              <w:t>Total</w:t>
            </w:r>
          </w:p>
        </w:tc>
        <w:tc>
          <w:tcPr>
            <w:tcW w:w="851" w:type="dxa"/>
            <w:tcBorders>
              <w:top w:val="nil"/>
              <w:left w:val="nil"/>
              <w:bottom w:val="single" w:sz="4" w:space="0" w:color="auto"/>
              <w:right w:val="single" w:sz="4" w:space="0" w:color="auto"/>
            </w:tcBorders>
            <w:shd w:val="clear" w:color="auto" w:fill="1F4E79"/>
            <w:noWrap/>
            <w:vAlign w:val="center"/>
            <w:hideMark/>
          </w:tcPr>
          <w:p w14:paraId="23B80F2D" w14:textId="77777777" w:rsidR="00E7759C" w:rsidRPr="00E7759C" w:rsidRDefault="00E7759C" w:rsidP="00E7759C">
            <w:pPr>
              <w:spacing w:after="0" w:line="240" w:lineRule="auto"/>
              <w:jc w:val="right"/>
              <w:rPr>
                <w:rFonts w:eastAsia="Times New Roman" w:cs="Calibri"/>
                <w:b/>
                <w:bCs/>
                <w:color w:val="FFFFFF"/>
                <w:sz w:val="18"/>
                <w:szCs w:val="18"/>
              </w:rPr>
            </w:pPr>
            <w:r w:rsidRPr="00E7759C">
              <w:rPr>
                <w:rFonts w:eastAsia="Times New Roman" w:cs="Calibri"/>
                <w:b/>
                <w:bCs/>
                <w:color w:val="FFFFFF"/>
                <w:sz w:val="18"/>
                <w:szCs w:val="18"/>
              </w:rPr>
              <w:t>173.908</w:t>
            </w:r>
          </w:p>
        </w:tc>
        <w:tc>
          <w:tcPr>
            <w:tcW w:w="883" w:type="dxa"/>
            <w:tcBorders>
              <w:top w:val="nil"/>
              <w:left w:val="nil"/>
              <w:bottom w:val="single" w:sz="4" w:space="0" w:color="auto"/>
              <w:right w:val="single" w:sz="4" w:space="0" w:color="auto"/>
            </w:tcBorders>
            <w:shd w:val="clear" w:color="auto" w:fill="1F4E79"/>
            <w:noWrap/>
            <w:vAlign w:val="center"/>
            <w:hideMark/>
          </w:tcPr>
          <w:p w14:paraId="672B04AA" w14:textId="77777777" w:rsidR="00E7759C" w:rsidRPr="00E7759C" w:rsidRDefault="00E7759C" w:rsidP="00E7759C">
            <w:pPr>
              <w:spacing w:after="0" w:line="240" w:lineRule="auto"/>
              <w:jc w:val="right"/>
              <w:rPr>
                <w:rFonts w:eastAsia="Times New Roman" w:cs="Calibri"/>
                <w:b/>
                <w:bCs/>
                <w:color w:val="FFFFFF"/>
                <w:sz w:val="18"/>
                <w:szCs w:val="18"/>
              </w:rPr>
            </w:pPr>
            <w:r w:rsidRPr="00E7759C">
              <w:rPr>
                <w:rFonts w:eastAsia="Times New Roman" w:cs="Calibri"/>
                <w:b/>
                <w:bCs/>
                <w:color w:val="FFFFFF"/>
                <w:sz w:val="18"/>
                <w:szCs w:val="18"/>
              </w:rPr>
              <w:t>48.016</w:t>
            </w:r>
          </w:p>
        </w:tc>
        <w:tc>
          <w:tcPr>
            <w:tcW w:w="960" w:type="dxa"/>
            <w:tcBorders>
              <w:top w:val="nil"/>
              <w:left w:val="nil"/>
              <w:bottom w:val="single" w:sz="4" w:space="0" w:color="auto"/>
              <w:right w:val="single" w:sz="4" w:space="0" w:color="auto"/>
            </w:tcBorders>
            <w:shd w:val="clear" w:color="auto" w:fill="1F4E79"/>
            <w:noWrap/>
            <w:vAlign w:val="center"/>
            <w:hideMark/>
          </w:tcPr>
          <w:p w14:paraId="785EED5C" w14:textId="77777777" w:rsidR="00E7759C" w:rsidRPr="00E7759C" w:rsidRDefault="00E7759C" w:rsidP="00E7759C">
            <w:pPr>
              <w:spacing w:after="0" w:line="240" w:lineRule="auto"/>
              <w:jc w:val="right"/>
              <w:rPr>
                <w:rFonts w:eastAsia="Times New Roman" w:cs="Calibri"/>
                <w:b/>
                <w:bCs/>
                <w:color w:val="FFFFFF"/>
                <w:sz w:val="18"/>
                <w:szCs w:val="18"/>
              </w:rPr>
            </w:pPr>
            <w:r w:rsidRPr="00E7759C">
              <w:rPr>
                <w:rFonts w:eastAsia="Times New Roman" w:cs="Calibri"/>
                <w:b/>
                <w:bCs/>
                <w:color w:val="FFFFFF"/>
                <w:sz w:val="18"/>
                <w:szCs w:val="18"/>
              </w:rPr>
              <w:t>48.016</w:t>
            </w:r>
          </w:p>
        </w:tc>
        <w:tc>
          <w:tcPr>
            <w:tcW w:w="850" w:type="dxa"/>
            <w:tcBorders>
              <w:top w:val="nil"/>
              <w:left w:val="nil"/>
              <w:bottom w:val="single" w:sz="4" w:space="0" w:color="auto"/>
              <w:right w:val="single" w:sz="4" w:space="0" w:color="auto"/>
            </w:tcBorders>
            <w:shd w:val="clear" w:color="auto" w:fill="1F4E79"/>
            <w:noWrap/>
            <w:vAlign w:val="center"/>
            <w:hideMark/>
          </w:tcPr>
          <w:p w14:paraId="6CC4C912" w14:textId="77777777" w:rsidR="00E7759C" w:rsidRPr="00E7759C" w:rsidRDefault="00E7759C" w:rsidP="00E7759C">
            <w:pPr>
              <w:spacing w:after="0" w:line="240" w:lineRule="auto"/>
              <w:rPr>
                <w:rFonts w:eastAsia="Times New Roman" w:cs="Calibri"/>
                <w:b/>
                <w:bCs/>
                <w:color w:val="FFFFFF"/>
                <w:sz w:val="18"/>
                <w:szCs w:val="18"/>
              </w:rPr>
            </w:pPr>
            <w:r w:rsidRPr="00E7759C">
              <w:rPr>
                <w:rFonts w:eastAsia="Times New Roman" w:cs="Calibri"/>
                <w:b/>
                <w:bCs/>
                <w:color w:val="FFFFFF"/>
                <w:sz w:val="18"/>
                <w:szCs w:val="18"/>
              </w:rPr>
              <w:t xml:space="preserve">      48.016  </w:t>
            </w:r>
          </w:p>
        </w:tc>
        <w:tc>
          <w:tcPr>
            <w:tcW w:w="851" w:type="dxa"/>
            <w:tcBorders>
              <w:top w:val="nil"/>
              <w:left w:val="nil"/>
              <w:bottom w:val="single" w:sz="4" w:space="0" w:color="auto"/>
              <w:right w:val="single" w:sz="4" w:space="0" w:color="auto"/>
            </w:tcBorders>
            <w:shd w:val="clear" w:color="auto" w:fill="1F4E79"/>
            <w:noWrap/>
            <w:vAlign w:val="center"/>
            <w:hideMark/>
          </w:tcPr>
          <w:p w14:paraId="5462B20C" w14:textId="77777777" w:rsidR="00E7759C" w:rsidRPr="00E7759C" w:rsidRDefault="00E7759C" w:rsidP="00E7759C">
            <w:pPr>
              <w:spacing w:after="0" w:line="240" w:lineRule="auto"/>
              <w:jc w:val="center"/>
              <w:rPr>
                <w:rFonts w:eastAsia="Times New Roman" w:cs="Calibri"/>
                <w:b/>
                <w:bCs/>
                <w:color w:val="FFFFFF"/>
                <w:sz w:val="18"/>
                <w:szCs w:val="18"/>
              </w:rPr>
            </w:pPr>
            <w:r w:rsidRPr="00E7759C">
              <w:rPr>
                <w:rFonts w:eastAsia="Times New Roman" w:cs="Calibri"/>
                <w:b/>
                <w:bCs/>
                <w:color w:val="FFFFFF"/>
                <w:sz w:val="18"/>
                <w:szCs w:val="18"/>
              </w:rPr>
              <w:t>27,61%</w:t>
            </w:r>
          </w:p>
        </w:tc>
        <w:tc>
          <w:tcPr>
            <w:tcW w:w="850" w:type="dxa"/>
            <w:tcBorders>
              <w:top w:val="nil"/>
              <w:left w:val="nil"/>
              <w:bottom w:val="single" w:sz="4" w:space="0" w:color="auto"/>
              <w:right w:val="single" w:sz="4" w:space="0" w:color="auto"/>
            </w:tcBorders>
            <w:shd w:val="clear" w:color="auto" w:fill="1F4E79"/>
            <w:noWrap/>
            <w:vAlign w:val="center"/>
            <w:hideMark/>
          </w:tcPr>
          <w:p w14:paraId="69554F99" w14:textId="77777777" w:rsidR="00E7759C" w:rsidRPr="00E7759C" w:rsidRDefault="00E7759C" w:rsidP="00E7759C">
            <w:pPr>
              <w:spacing w:after="0" w:line="240" w:lineRule="auto"/>
              <w:jc w:val="center"/>
              <w:rPr>
                <w:rFonts w:eastAsia="Times New Roman" w:cs="Calibri"/>
                <w:b/>
                <w:bCs/>
                <w:color w:val="FFFFFF"/>
                <w:sz w:val="18"/>
                <w:szCs w:val="18"/>
              </w:rPr>
            </w:pPr>
            <w:r w:rsidRPr="00E7759C">
              <w:rPr>
                <w:rFonts w:eastAsia="Times New Roman" w:cs="Calibri"/>
                <w:b/>
                <w:bCs/>
                <w:color w:val="FFFFFF"/>
                <w:sz w:val="18"/>
                <w:szCs w:val="18"/>
              </w:rPr>
              <w:t>27,61%</w:t>
            </w:r>
          </w:p>
        </w:tc>
        <w:tc>
          <w:tcPr>
            <w:tcW w:w="992" w:type="dxa"/>
            <w:tcBorders>
              <w:top w:val="nil"/>
              <w:left w:val="nil"/>
              <w:bottom w:val="single" w:sz="4" w:space="0" w:color="auto"/>
              <w:right w:val="single" w:sz="4" w:space="0" w:color="auto"/>
            </w:tcBorders>
            <w:shd w:val="clear" w:color="auto" w:fill="1F4E79"/>
            <w:noWrap/>
            <w:vAlign w:val="center"/>
            <w:hideMark/>
          </w:tcPr>
          <w:p w14:paraId="08DB873D" w14:textId="77777777" w:rsidR="00E7759C" w:rsidRPr="00E7759C" w:rsidRDefault="00E7759C" w:rsidP="00E7759C">
            <w:pPr>
              <w:spacing w:after="0" w:line="240" w:lineRule="auto"/>
              <w:jc w:val="center"/>
              <w:rPr>
                <w:rFonts w:eastAsia="Times New Roman" w:cs="Calibri"/>
                <w:b/>
                <w:bCs/>
                <w:color w:val="FFFFFF"/>
                <w:sz w:val="18"/>
                <w:szCs w:val="18"/>
              </w:rPr>
            </w:pPr>
            <w:r w:rsidRPr="00E7759C">
              <w:rPr>
                <w:rFonts w:eastAsia="Times New Roman" w:cs="Calibri"/>
                <w:b/>
                <w:bCs/>
                <w:color w:val="FFFFFF"/>
                <w:sz w:val="18"/>
                <w:szCs w:val="18"/>
              </w:rPr>
              <w:t>27,61%</w:t>
            </w:r>
          </w:p>
        </w:tc>
      </w:tr>
    </w:tbl>
    <w:p w14:paraId="6F2622F9" w14:textId="77777777" w:rsidR="00E7759C" w:rsidRPr="00E7759C" w:rsidRDefault="00E7759C" w:rsidP="00E7759C">
      <w:pPr>
        <w:spacing w:after="0" w:line="240" w:lineRule="auto"/>
        <w:jc w:val="both"/>
        <w:rPr>
          <w:rFonts w:eastAsia="MS Mincho" w:cs="Times New Roman"/>
          <w:color w:val="000000"/>
          <w:szCs w:val="24"/>
          <w:lang w:val="es-ES" w:eastAsia="ja-JP"/>
        </w:rPr>
      </w:pPr>
    </w:p>
    <w:p w14:paraId="25189262" w14:textId="77777777" w:rsidR="00E7759C" w:rsidRPr="00E7759C" w:rsidRDefault="00E7759C" w:rsidP="00E7759C">
      <w:pPr>
        <w:spacing w:after="0" w:line="240" w:lineRule="auto"/>
        <w:jc w:val="both"/>
        <w:rPr>
          <w:rFonts w:eastAsia="Times New Roman" w:cs="Times New Roman"/>
          <w:b/>
          <w:color w:val="365F91"/>
          <w:lang w:val="es-ES" w:eastAsia="en-US"/>
        </w:rPr>
      </w:pPr>
      <w:r w:rsidRPr="00E7759C">
        <w:rPr>
          <w:rFonts w:eastAsia="Times New Roman" w:cs="Times New Roman"/>
          <w:b/>
          <w:color w:val="365F91"/>
          <w:lang w:val="es-ES" w:eastAsia="en-US"/>
        </w:rPr>
        <w:t>Comentarios especiales para el presupuesto de servicio de la deuda pública interna:</w:t>
      </w:r>
    </w:p>
    <w:p w14:paraId="3AB4910B" w14:textId="77777777" w:rsidR="00E7759C" w:rsidRPr="00E7759C" w:rsidRDefault="00E7759C" w:rsidP="00E7759C">
      <w:pPr>
        <w:spacing w:after="0" w:line="240" w:lineRule="auto"/>
        <w:jc w:val="both"/>
        <w:rPr>
          <w:rFonts w:eastAsia="Times New Roman" w:cs="Times New Roman"/>
          <w:b/>
          <w:color w:val="365F91"/>
          <w:lang w:val="es-ES" w:eastAsia="en-US"/>
        </w:rPr>
      </w:pPr>
    </w:p>
    <w:p w14:paraId="3C2D2BDD" w14:textId="77777777" w:rsidR="00E7759C" w:rsidRPr="00E7759C" w:rsidRDefault="00E7759C" w:rsidP="00E7759C">
      <w:pPr>
        <w:numPr>
          <w:ilvl w:val="0"/>
          <w:numId w:val="126"/>
        </w:numPr>
        <w:spacing w:after="0" w:line="240" w:lineRule="auto"/>
        <w:ind w:left="284" w:hanging="284"/>
        <w:jc w:val="both"/>
        <w:rPr>
          <w:rFonts w:eastAsia="Times New Roman" w:cs="Times New Roman"/>
          <w:color w:val="000000"/>
          <w:lang w:val="es-ES" w:eastAsia="en-US"/>
        </w:rPr>
      </w:pPr>
      <w:r w:rsidRPr="00E7759C">
        <w:rPr>
          <w:rFonts w:eastAsia="Times New Roman" w:cs="Times New Roman"/>
          <w:color w:val="000000"/>
          <w:lang w:val="es-ES" w:eastAsia="en-US"/>
        </w:rPr>
        <w:t>El presupuesto asignado para la vigencia 2014 cuenta con una porción Sin Situación de Fondos por valor de $101.797 millones de los cuales, se solicitó el cambio de situación a Con Situación de Fondos por valor de $53.781 millones. Lo anterior teniendo en cuenta que sólo debe estar Sin Situación de Fondos el valor que corresponde a la alícuota de los acuerdos de pago con el Ministerio de Hacienda y Crédito Público por valor de $48.016 millones.</w:t>
      </w:r>
    </w:p>
    <w:p w14:paraId="2BF88119" w14:textId="77777777" w:rsidR="00E7759C" w:rsidRPr="00E7759C" w:rsidRDefault="00E7759C" w:rsidP="00E7759C">
      <w:pPr>
        <w:spacing w:after="0" w:line="240" w:lineRule="auto"/>
        <w:ind w:left="284"/>
        <w:jc w:val="both"/>
        <w:rPr>
          <w:rFonts w:eastAsia="Times New Roman" w:cs="Times New Roman"/>
          <w:color w:val="000000"/>
          <w:lang w:val="es-ES" w:eastAsia="en-US"/>
        </w:rPr>
      </w:pPr>
    </w:p>
    <w:p w14:paraId="777D5E51" w14:textId="77777777" w:rsidR="00E7759C" w:rsidRPr="00E7759C" w:rsidRDefault="00E7759C" w:rsidP="00E7759C">
      <w:pPr>
        <w:numPr>
          <w:ilvl w:val="0"/>
          <w:numId w:val="126"/>
        </w:numPr>
        <w:spacing w:after="0" w:line="240" w:lineRule="auto"/>
        <w:ind w:left="284" w:hanging="284"/>
        <w:jc w:val="both"/>
        <w:rPr>
          <w:rFonts w:eastAsia="Times New Roman" w:cs="Times New Roman"/>
          <w:color w:val="000000"/>
          <w:lang w:val="es-ES" w:eastAsia="en-US"/>
        </w:rPr>
      </w:pPr>
      <w:r w:rsidRPr="00E7759C">
        <w:rPr>
          <w:rFonts w:eastAsia="Times New Roman" w:cs="Times New Roman"/>
          <w:color w:val="000000"/>
          <w:u w:val="single"/>
          <w:lang w:val="es-ES" w:eastAsia="en-US"/>
        </w:rPr>
        <w:t>Déficit actual en el Fondo de Pasivos Contingentes</w:t>
      </w:r>
      <w:r w:rsidRPr="00E7759C">
        <w:rPr>
          <w:rFonts w:eastAsia="Times New Roman" w:cs="Times New Roman"/>
          <w:color w:val="000000"/>
          <w:lang w:val="es-ES" w:eastAsia="en-US"/>
        </w:rPr>
        <w:t xml:space="preserve">. Desde la vigencia 2013 el presupuesto asignado a la Entidad para cumplir con los planes de aportes aprobados para los diferentes proyectos de concesión vial han sido insuficientes. Esta situación ya fue reportada al Ministerio de Hacienda y Crédito Público y dicho déficit fue incluido dentro del Anteproyecto de Presupuesto de la vigencia 2015 por lo que se espera que para dicha vigencia se asignen los recursos suficientes para cumplir con el pago total que se debe realizar. </w:t>
      </w:r>
    </w:p>
    <w:p w14:paraId="1F983925" w14:textId="77777777" w:rsidR="00E7759C" w:rsidRPr="00E7759C" w:rsidRDefault="00E7759C" w:rsidP="00E7759C">
      <w:pPr>
        <w:ind w:left="720"/>
        <w:contextualSpacing/>
        <w:rPr>
          <w:rFonts w:eastAsia="Times New Roman" w:cs="Times New Roman"/>
          <w:color w:val="000000"/>
          <w:lang w:val="x-none" w:eastAsia="en-US"/>
        </w:rPr>
      </w:pPr>
    </w:p>
    <w:p w14:paraId="2DD513B0" w14:textId="77777777" w:rsidR="00E7759C" w:rsidRPr="00E7759C" w:rsidRDefault="00E7759C" w:rsidP="00E7759C">
      <w:pPr>
        <w:spacing w:after="0" w:line="240" w:lineRule="auto"/>
        <w:ind w:left="284"/>
        <w:jc w:val="both"/>
        <w:rPr>
          <w:rFonts w:eastAsia="Times New Roman" w:cs="Times New Roman"/>
          <w:color w:val="000000"/>
          <w:lang w:val="es-ES" w:eastAsia="en-US"/>
        </w:rPr>
      </w:pPr>
      <w:r w:rsidRPr="00E7759C">
        <w:rPr>
          <w:rFonts w:eastAsia="Times New Roman" w:cs="Times New Roman"/>
          <w:color w:val="000000"/>
          <w:lang w:val="es-ES" w:eastAsia="en-US"/>
        </w:rPr>
        <w:t>El déficit que se presenta asciende a la suma de $147.465 millones.</w:t>
      </w:r>
    </w:p>
    <w:p w14:paraId="62611935" w14:textId="77777777" w:rsidR="00E7759C" w:rsidRPr="00E7759C" w:rsidRDefault="00E7759C" w:rsidP="00E7759C">
      <w:pPr>
        <w:spacing w:after="0" w:line="240" w:lineRule="auto"/>
        <w:ind w:left="284"/>
        <w:jc w:val="both"/>
        <w:rPr>
          <w:rFonts w:eastAsia="Times New Roman" w:cs="Times New Roman"/>
          <w:color w:val="000000"/>
          <w:lang w:val="es-ES" w:eastAsia="en-US"/>
        </w:rPr>
      </w:pPr>
    </w:p>
    <w:p w14:paraId="4210F107" w14:textId="77777777" w:rsidR="00E7759C" w:rsidRPr="00E7759C" w:rsidRDefault="00E7759C" w:rsidP="00E7759C">
      <w:pPr>
        <w:spacing w:after="0" w:line="240" w:lineRule="auto"/>
        <w:ind w:left="284"/>
        <w:jc w:val="both"/>
        <w:rPr>
          <w:rFonts w:eastAsia="Times New Roman" w:cs="Times New Roman"/>
          <w:color w:val="000000"/>
          <w:lang w:val="es-ES" w:eastAsia="en-US"/>
        </w:rPr>
      </w:pPr>
      <w:r w:rsidRPr="00E7759C">
        <w:rPr>
          <w:rFonts w:eastAsia="Times New Roman" w:cs="Times New Roman"/>
          <w:color w:val="000000"/>
          <w:lang w:val="es-ES" w:eastAsia="en-US"/>
        </w:rPr>
        <w:t>Adicionalmente, la Gerencia de Riesgos se encuentra trabajando con la Subdirección de Riesgos del Ministerio de Hacienda y Crédito Público en la búsqueda de alternativas para solucionar el problema del déficit mencionado con el fin de optimizar los recursos existentes en el Fondo de Pasivos Contingentes y la disponibilidad presupuestal asignada.</w:t>
      </w:r>
    </w:p>
    <w:p w14:paraId="1EFB6D2A" w14:textId="77777777" w:rsidR="00E7759C" w:rsidRPr="00E7759C" w:rsidRDefault="00E7759C" w:rsidP="00E7759C">
      <w:pPr>
        <w:spacing w:after="0" w:line="240" w:lineRule="auto"/>
        <w:ind w:left="284"/>
        <w:jc w:val="both"/>
        <w:rPr>
          <w:rFonts w:eastAsia="Times New Roman" w:cs="Times New Roman"/>
          <w:color w:val="000000"/>
          <w:lang w:val="es-ES" w:eastAsia="en-US"/>
        </w:rPr>
      </w:pPr>
    </w:p>
    <w:p w14:paraId="2E97B302" w14:textId="77777777" w:rsidR="00E7759C" w:rsidRPr="00E7759C" w:rsidRDefault="00E7759C" w:rsidP="00E7759C">
      <w:pPr>
        <w:spacing w:after="0" w:line="240" w:lineRule="auto"/>
        <w:jc w:val="both"/>
        <w:rPr>
          <w:rFonts w:eastAsia="MS Mincho" w:cs="Times New Roman"/>
          <w:szCs w:val="24"/>
          <w:lang w:val="es-ES" w:eastAsia="ja-JP"/>
        </w:rPr>
      </w:pPr>
      <w:r w:rsidRPr="00E7759C">
        <w:rPr>
          <w:rFonts w:eastAsia="Times New Roman" w:cs="Times New Roman"/>
          <w:b/>
          <w:color w:val="365F91"/>
          <w:lang w:val="es-ES" w:eastAsia="en-US"/>
        </w:rPr>
        <w:t>GASTOS DE INVERSIÓN.</w:t>
      </w:r>
      <w:r w:rsidRPr="00E7759C">
        <w:rPr>
          <w:rFonts w:eastAsia="MS Mincho" w:cs="Times New Roman"/>
          <w:szCs w:val="24"/>
          <w:lang w:val="es-ES" w:eastAsia="ja-JP"/>
        </w:rPr>
        <w:t xml:space="preserve"> El presupuesto de gastos de Inversión para la vigencia 2014 asciende a $2.236.421 millones de los cuales $1.968.110 millones son financiados con recursos de la Nación y $268.311 millones son financiados con recursos propios. Este presupuesto se encuentra conformado por las vigencias futuras aprobadas previamente para los proyectos de concesión vial, férrea y portuaria, las cuales ascienden a $2.141.449 millones representando el 95.75% del presupuesto de gastos de inversión. Los recursos adicionales, por valor de $94.972 millones y que equivalen al 4.25% de dicho presupuesto están orientados a atender gastos de proyectos carreteros, férreos, portuarios, de asesorías y consultorías, de gestión de calidad y de fortalecimiento institucional. A continuación se presenta la ejecución del presupuesto de inversión a la fecha:</w:t>
      </w:r>
    </w:p>
    <w:p w14:paraId="0CBB29E6" w14:textId="2B10853A" w:rsidR="008A7483" w:rsidRDefault="008A7483">
      <w:pPr>
        <w:rPr>
          <w:rFonts w:eastAsia="MS Mincho" w:cs="Times New Roman"/>
          <w:szCs w:val="24"/>
          <w:lang w:val="es-ES" w:eastAsia="ja-JP"/>
        </w:rPr>
      </w:pPr>
      <w:r>
        <w:rPr>
          <w:rFonts w:eastAsia="MS Mincho" w:cs="Times New Roman"/>
          <w:szCs w:val="24"/>
          <w:lang w:val="es-ES" w:eastAsia="ja-JP"/>
        </w:rPr>
        <w:br w:type="page"/>
      </w:r>
    </w:p>
    <w:p w14:paraId="33D3CD60" w14:textId="77777777" w:rsidR="00E7759C" w:rsidRPr="00E7759C" w:rsidRDefault="00E7759C" w:rsidP="00E7759C">
      <w:pPr>
        <w:spacing w:after="0" w:line="240" w:lineRule="auto"/>
        <w:jc w:val="both"/>
        <w:rPr>
          <w:rFonts w:eastAsia="MS Mincho" w:cs="Times New Roman"/>
          <w:szCs w:val="24"/>
          <w:lang w:val="es-ES" w:eastAsia="ja-JP"/>
        </w:rPr>
      </w:pPr>
    </w:p>
    <w:p w14:paraId="03430BB0"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Cuadro No. 5</w:t>
      </w:r>
    </w:p>
    <w:p w14:paraId="3E241C14"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Ejecución Presupuestal - Inversión 2014</w:t>
      </w:r>
    </w:p>
    <w:tbl>
      <w:tblPr>
        <w:tblW w:w="9087" w:type="dxa"/>
        <w:tblInd w:w="55" w:type="dxa"/>
        <w:tblLayout w:type="fixed"/>
        <w:tblCellMar>
          <w:left w:w="70" w:type="dxa"/>
          <w:right w:w="70" w:type="dxa"/>
        </w:tblCellMar>
        <w:tblLook w:val="04A0" w:firstRow="1" w:lastRow="0" w:firstColumn="1" w:lastColumn="0" w:noHBand="0" w:noVBand="1"/>
      </w:tblPr>
      <w:tblGrid>
        <w:gridCol w:w="2142"/>
        <w:gridCol w:w="666"/>
        <w:gridCol w:w="326"/>
        <w:gridCol w:w="514"/>
        <w:gridCol w:w="478"/>
        <w:gridCol w:w="394"/>
        <w:gridCol w:w="598"/>
        <w:gridCol w:w="349"/>
        <w:gridCol w:w="644"/>
        <w:gridCol w:w="992"/>
        <w:gridCol w:w="992"/>
        <w:gridCol w:w="867"/>
        <w:gridCol w:w="125"/>
      </w:tblGrid>
      <w:tr w:rsidR="00E7759C" w:rsidRPr="00E7759C" w14:paraId="691CC575" w14:textId="77777777" w:rsidTr="0054297D">
        <w:trPr>
          <w:gridAfter w:val="1"/>
          <w:wAfter w:w="125" w:type="dxa"/>
          <w:trHeight w:val="240"/>
        </w:trPr>
        <w:tc>
          <w:tcPr>
            <w:tcW w:w="2808" w:type="dxa"/>
            <w:gridSpan w:val="2"/>
            <w:tcBorders>
              <w:top w:val="nil"/>
              <w:left w:val="nil"/>
              <w:bottom w:val="nil"/>
              <w:right w:val="nil"/>
            </w:tcBorders>
            <w:shd w:val="clear" w:color="auto" w:fill="auto"/>
            <w:noWrap/>
            <w:vAlign w:val="bottom"/>
            <w:hideMark/>
          </w:tcPr>
          <w:p w14:paraId="0A560D81" w14:textId="77777777" w:rsidR="00E7759C" w:rsidRPr="00E7759C" w:rsidRDefault="00E7759C" w:rsidP="00E7759C">
            <w:pPr>
              <w:spacing w:after="0" w:line="240" w:lineRule="auto"/>
              <w:rPr>
                <w:rFonts w:eastAsia="Times New Roman" w:cs="Calibri"/>
                <w:color w:val="000000"/>
                <w:sz w:val="18"/>
                <w:szCs w:val="18"/>
              </w:rPr>
            </w:pPr>
          </w:p>
        </w:tc>
        <w:tc>
          <w:tcPr>
            <w:tcW w:w="840" w:type="dxa"/>
            <w:gridSpan w:val="2"/>
            <w:tcBorders>
              <w:top w:val="nil"/>
              <w:left w:val="nil"/>
              <w:bottom w:val="nil"/>
              <w:right w:val="nil"/>
            </w:tcBorders>
            <w:shd w:val="clear" w:color="auto" w:fill="auto"/>
            <w:noWrap/>
            <w:vAlign w:val="bottom"/>
            <w:hideMark/>
          </w:tcPr>
          <w:p w14:paraId="2250B700" w14:textId="77777777" w:rsidR="00E7759C" w:rsidRPr="00E7759C" w:rsidRDefault="00E7759C" w:rsidP="00E7759C">
            <w:pPr>
              <w:spacing w:after="0" w:line="240" w:lineRule="auto"/>
              <w:rPr>
                <w:rFonts w:eastAsia="Times New Roman" w:cs="Calibri"/>
                <w:color w:val="000000"/>
                <w:sz w:val="18"/>
                <w:szCs w:val="18"/>
              </w:rPr>
            </w:pPr>
          </w:p>
        </w:tc>
        <w:tc>
          <w:tcPr>
            <w:tcW w:w="872" w:type="dxa"/>
            <w:gridSpan w:val="2"/>
            <w:tcBorders>
              <w:top w:val="nil"/>
              <w:left w:val="nil"/>
              <w:bottom w:val="nil"/>
              <w:right w:val="nil"/>
            </w:tcBorders>
            <w:shd w:val="clear" w:color="auto" w:fill="auto"/>
            <w:noWrap/>
            <w:vAlign w:val="bottom"/>
            <w:hideMark/>
          </w:tcPr>
          <w:p w14:paraId="0D894A21" w14:textId="77777777" w:rsidR="00E7759C" w:rsidRPr="00E7759C" w:rsidRDefault="00E7759C" w:rsidP="00E7759C">
            <w:pPr>
              <w:spacing w:after="0" w:line="240" w:lineRule="auto"/>
              <w:rPr>
                <w:rFonts w:eastAsia="Times New Roman" w:cs="Calibri"/>
                <w:color w:val="000000"/>
                <w:sz w:val="18"/>
                <w:szCs w:val="18"/>
              </w:rPr>
            </w:pPr>
          </w:p>
        </w:tc>
        <w:tc>
          <w:tcPr>
            <w:tcW w:w="947" w:type="dxa"/>
            <w:gridSpan w:val="2"/>
            <w:tcBorders>
              <w:top w:val="nil"/>
              <w:left w:val="nil"/>
              <w:bottom w:val="nil"/>
              <w:right w:val="nil"/>
            </w:tcBorders>
            <w:shd w:val="clear" w:color="auto" w:fill="auto"/>
            <w:noWrap/>
            <w:vAlign w:val="bottom"/>
            <w:hideMark/>
          </w:tcPr>
          <w:p w14:paraId="66ED8045" w14:textId="77777777" w:rsidR="00E7759C" w:rsidRPr="00E7759C" w:rsidRDefault="00E7759C" w:rsidP="00E7759C">
            <w:pPr>
              <w:spacing w:after="0" w:line="240" w:lineRule="auto"/>
              <w:rPr>
                <w:rFonts w:eastAsia="Times New Roman" w:cs="Calibri"/>
                <w:color w:val="000000"/>
                <w:sz w:val="18"/>
                <w:szCs w:val="18"/>
              </w:rPr>
            </w:pPr>
          </w:p>
        </w:tc>
        <w:tc>
          <w:tcPr>
            <w:tcW w:w="644" w:type="dxa"/>
            <w:tcBorders>
              <w:top w:val="nil"/>
              <w:left w:val="nil"/>
              <w:bottom w:val="nil"/>
              <w:right w:val="nil"/>
            </w:tcBorders>
            <w:shd w:val="clear" w:color="auto" w:fill="auto"/>
            <w:noWrap/>
            <w:vAlign w:val="bottom"/>
            <w:hideMark/>
          </w:tcPr>
          <w:p w14:paraId="405EBE51" w14:textId="77777777" w:rsidR="00E7759C" w:rsidRPr="00E7759C" w:rsidRDefault="00E7759C" w:rsidP="00E7759C">
            <w:pPr>
              <w:spacing w:after="0" w:line="240" w:lineRule="auto"/>
              <w:rPr>
                <w:rFonts w:eastAsia="Times New Roman" w:cs="Calibri"/>
                <w:color w:val="000000"/>
                <w:sz w:val="18"/>
                <w:szCs w:val="18"/>
              </w:rPr>
            </w:pPr>
          </w:p>
        </w:tc>
        <w:tc>
          <w:tcPr>
            <w:tcW w:w="2851" w:type="dxa"/>
            <w:gridSpan w:val="3"/>
            <w:tcBorders>
              <w:top w:val="nil"/>
              <w:left w:val="nil"/>
              <w:bottom w:val="nil"/>
              <w:right w:val="nil"/>
            </w:tcBorders>
            <w:shd w:val="clear" w:color="auto" w:fill="auto"/>
            <w:noWrap/>
            <w:vAlign w:val="bottom"/>
            <w:hideMark/>
          </w:tcPr>
          <w:p w14:paraId="0DB80ECF" w14:textId="77777777" w:rsidR="00E7759C" w:rsidRPr="00E7759C" w:rsidRDefault="00E7759C" w:rsidP="00E7759C">
            <w:pPr>
              <w:spacing w:after="0" w:line="240" w:lineRule="auto"/>
              <w:jc w:val="right"/>
              <w:rPr>
                <w:rFonts w:eastAsia="Times New Roman" w:cs="Calibri"/>
                <w:color w:val="000000"/>
                <w:sz w:val="16"/>
                <w:szCs w:val="16"/>
              </w:rPr>
            </w:pPr>
            <w:r w:rsidRPr="00E7759C">
              <w:rPr>
                <w:rFonts w:eastAsia="Times New Roman" w:cs="Calibri"/>
                <w:color w:val="000000"/>
                <w:sz w:val="16"/>
                <w:szCs w:val="16"/>
                <w:lang w:val="es-ES"/>
              </w:rPr>
              <w:t>cifras en millones de pesos</w:t>
            </w:r>
          </w:p>
        </w:tc>
      </w:tr>
      <w:tr w:rsidR="00E7759C" w:rsidRPr="00E7759C" w14:paraId="26096C54" w14:textId="77777777" w:rsidTr="0054297D">
        <w:trPr>
          <w:trHeight w:val="240"/>
        </w:trPr>
        <w:tc>
          <w:tcPr>
            <w:tcW w:w="2142" w:type="dxa"/>
            <w:tcBorders>
              <w:top w:val="single" w:sz="4" w:space="0" w:color="auto"/>
              <w:left w:val="single" w:sz="4" w:space="0" w:color="auto"/>
              <w:bottom w:val="single" w:sz="4" w:space="0" w:color="auto"/>
              <w:right w:val="single" w:sz="4" w:space="0" w:color="auto"/>
            </w:tcBorders>
            <w:shd w:val="clear" w:color="auto" w:fill="1F4E79"/>
            <w:noWrap/>
            <w:vAlign w:val="bottom"/>
            <w:hideMark/>
          </w:tcPr>
          <w:p w14:paraId="0FD0046E"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Concepto</w:t>
            </w:r>
          </w:p>
        </w:tc>
        <w:tc>
          <w:tcPr>
            <w:tcW w:w="992" w:type="dxa"/>
            <w:gridSpan w:val="2"/>
            <w:tcBorders>
              <w:top w:val="single" w:sz="4" w:space="0" w:color="auto"/>
              <w:left w:val="nil"/>
              <w:bottom w:val="single" w:sz="4" w:space="0" w:color="auto"/>
              <w:right w:val="single" w:sz="4" w:space="0" w:color="auto"/>
            </w:tcBorders>
            <w:shd w:val="clear" w:color="auto" w:fill="1F4E79"/>
            <w:noWrap/>
            <w:vAlign w:val="bottom"/>
            <w:hideMark/>
          </w:tcPr>
          <w:p w14:paraId="3A46AB28"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Aprop</w:t>
            </w:r>
          </w:p>
        </w:tc>
        <w:tc>
          <w:tcPr>
            <w:tcW w:w="992" w:type="dxa"/>
            <w:gridSpan w:val="2"/>
            <w:tcBorders>
              <w:top w:val="single" w:sz="4" w:space="0" w:color="auto"/>
              <w:left w:val="nil"/>
              <w:bottom w:val="single" w:sz="4" w:space="0" w:color="auto"/>
              <w:right w:val="single" w:sz="4" w:space="0" w:color="auto"/>
            </w:tcBorders>
            <w:shd w:val="clear" w:color="auto" w:fill="1F4E79"/>
            <w:noWrap/>
            <w:vAlign w:val="bottom"/>
            <w:hideMark/>
          </w:tcPr>
          <w:p w14:paraId="4420E40A"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Comprom</w:t>
            </w:r>
          </w:p>
        </w:tc>
        <w:tc>
          <w:tcPr>
            <w:tcW w:w="992" w:type="dxa"/>
            <w:gridSpan w:val="2"/>
            <w:tcBorders>
              <w:top w:val="single" w:sz="4" w:space="0" w:color="auto"/>
              <w:left w:val="nil"/>
              <w:bottom w:val="single" w:sz="4" w:space="0" w:color="auto"/>
              <w:right w:val="single" w:sz="4" w:space="0" w:color="auto"/>
            </w:tcBorders>
            <w:shd w:val="clear" w:color="auto" w:fill="1F4E79"/>
            <w:noWrap/>
            <w:vAlign w:val="bottom"/>
            <w:hideMark/>
          </w:tcPr>
          <w:p w14:paraId="3CD92A8D"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Oblig</w:t>
            </w:r>
          </w:p>
        </w:tc>
        <w:tc>
          <w:tcPr>
            <w:tcW w:w="993" w:type="dxa"/>
            <w:gridSpan w:val="2"/>
            <w:tcBorders>
              <w:top w:val="single" w:sz="4" w:space="0" w:color="auto"/>
              <w:left w:val="nil"/>
              <w:bottom w:val="single" w:sz="4" w:space="0" w:color="auto"/>
              <w:right w:val="single" w:sz="4" w:space="0" w:color="auto"/>
            </w:tcBorders>
            <w:shd w:val="clear" w:color="auto" w:fill="1F4E79"/>
            <w:noWrap/>
            <w:vAlign w:val="bottom"/>
            <w:hideMark/>
          </w:tcPr>
          <w:p w14:paraId="724231AB"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Pagos</w:t>
            </w:r>
          </w:p>
        </w:tc>
        <w:tc>
          <w:tcPr>
            <w:tcW w:w="992" w:type="dxa"/>
            <w:tcBorders>
              <w:top w:val="single" w:sz="4" w:space="0" w:color="auto"/>
              <w:left w:val="nil"/>
              <w:bottom w:val="single" w:sz="4" w:space="0" w:color="auto"/>
              <w:right w:val="single" w:sz="4" w:space="0" w:color="auto"/>
            </w:tcBorders>
            <w:shd w:val="clear" w:color="auto" w:fill="1F4E79"/>
            <w:noWrap/>
            <w:vAlign w:val="bottom"/>
            <w:hideMark/>
          </w:tcPr>
          <w:p w14:paraId="70787424"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Comp/Aprop</w:t>
            </w:r>
          </w:p>
        </w:tc>
        <w:tc>
          <w:tcPr>
            <w:tcW w:w="992" w:type="dxa"/>
            <w:tcBorders>
              <w:top w:val="single" w:sz="4" w:space="0" w:color="auto"/>
              <w:left w:val="nil"/>
              <w:bottom w:val="single" w:sz="4" w:space="0" w:color="auto"/>
              <w:right w:val="single" w:sz="4" w:space="0" w:color="auto"/>
            </w:tcBorders>
            <w:shd w:val="clear" w:color="auto" w:fill="1F4E79"/>
            <w:noWrap/>
            <w:vAlign w:val="bottom"/>
            <w:hideMark/>
          </w:tcPr>
          <w:p w14:paraId="580C6F34"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Oblig/Aprop</w:t>
            </w:r>
          </w:p>
        </w:tc>
        <w:tc>
          <w:tcPr>
            <w:tcW w:w="992" w:type="dxa"/>
            <w:gridSpan w:val="2"/>
            <w:tcBorders>
              <w:top w:val="single" w:sz="4" w:space="0" w:color="auto"/>
              <w:left w:val="nil"/>
              <w:bottom w:val="single" w:sz="4" w:space="0" w:color="auto"/>
              <w:right w:val="single" w:sz="4" w:space="0" w:color="auto"/>
            </w:tcBorders>
            <w:shd w:val="clear" w:color="auto" w:fill="1F4E79"/>
            <w:noWrap/>
            <w:vAlign w:val="bottom"/>
            <w:hideMark/>
          </w:tcPr>
          <w:p w14:paraId="70130DE8"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Pago/Aprop</w:t>
            </w:r>
          </w:p>
        </w:tc>
      </w:tr>
      <w:tr w:rsidR="00E7759C" w:rsidRPr="00E7759C" w14:paraId="1DB21CF4" w14:textId="77777777" w:rsidTr="0054297D">
        <w:trPr>
          <w:trHeight w:val="240"/>
        </w:trPr>
        <w:tc>
          <w:tcPr>
            <w:tcW w:w="2142" w:type="dxa"/>
            <w:tcBorders>
              <w:top w:val="nil"/>
              <w:left w:val="single" w:sz="4" w:space="0" w:color="auto"/>
              <w:bottom w:val="nil"/>
              <w:right w:val="single" w:sz="4" w:space="0" w:color="auto"/>
            </w:tcBorders>
            <w:shd w:val="clear" w:color="auto" w:fill="auto"/>
            <w:noWrap/>
            <w:vAlign w:val="bottom"/>
            <w:hideMark/>
          </w:tcPr>
          <w:p w14:paraId="528D8D7C"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Vigencias Futuras Carretero</w:t>
            </w:r>
          </w:p>
        </w:tc>
        <w:tc>
          <w:tcPr>
            <w:tcW w:w="992" w:type="dxa"/>
            <w:gridSpan w:val="2"/>
            <w:tcBorders>
              <w:top w:val="nil"/>
              <w:left w:val="nil"/>
              <w:bottom w:val="nil"/>
              <w:right w:val="single" w:sz="4" w:space="0" w:color="auto"/>
            </w:tcBorders>
            <w:shd w:val="clear" w:color="auto" w:fill="auto"/>
            <w:noWrap/>
            <w:vAlign w:val="bottom"/>
            <w:hideMark/>
          </w:tcPr>
          <w:p w14:paraId="1B79A604"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2.026.296 </w:t>
            </w:r>
          </w:p>
        </w:tc>
        <w:tc>
          <w:tcPr>
            <w:tcW w:w="992" w:type="dxa"/>
            <w:gridSpan w:val="2"/>
            <w:tcBorders>
              <w:top w:val="nil"/>
              <w:left w:val="nil"/>
              <w:bottom w:val="nil"/>
              <w:right w:val="single" w:sz="4" w:space="0" w:color="auto"/>
            </w:tcBorders>
            <w:shd w:val="clear" w:color="auto" w:fill="auto"/>
            <w:noWrap/>
            <w:vAlign w:val="bottom"/>
            <w:hideMark/>
          </w:tcPr>
          <w:p w14:paraId="24E2A45F"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1.671.418 </w:t>
            </w:r>
          </w:p>
        </w:tc>
        <w:tc>
          <w:tcPr>
            <w:tcW w:w="992" w:type="dxa"/>
            <w:gridSpan w:val="2"/>
            <w:tcBorders>
              <w:top w:val="nil"/>
              <w:left w:val="nil"/>
              <w:bottom w:val="nil"/>
              <w:right w:val="single" w:sz="4" w:space="0" w:color="auto"/>
            </w:tcBorders>
            <w:shd w:val="clear" w:color="auto" w:fill="auto"/>
            <w:noWrap/>
            <w:vAlign w:val="bottom"/>
            <w:hideMark/>
          </w:tcPr>
          <w:p w14:paraId="25C89DD7"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1.671.418 </w:t>
            </w:r>
          </w:p>
        </w:tc>
        <w:tc>
          <w:tcPr>
            <w:tcW w:w="993" w:type="dxa"/>
            <w:gridSpan w:val="2"/>
            <w:tcBorders>
              <w:top w:val="nil"/>
              <w:left w:val="nil"/>
              <w:bottom w:val="nil"/>
              <w:right w:val="single" w:sz="4" w:space="0" w:color="auto"/>
            </w:tcBorders>
            <w:shd w:val="clear" w:color="auto" w:fill="auto"/>
            <w:noWrap/>
            <w:vAlign w:val="bottom"/>
            <w:hideMark/>
          </w:tcPr>
          <w:p w14:paraId="1C5C05F8"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115DABCD"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82,49%</w:t>
            </w:r>
          </w:p>
        </w:tc>
        <w:tc>
          <w:tcPr>
            <w:tcW w:w="992" w:type="dxa"/>
            <w:tcBorders>
              <w:top w:val="nil"/>
              <w:left w:val="nil"/>
              <w:bottom w:val="nil"/>
              <w:right w:val="single" w:sz="4" w:space="0" w:color="auto"/>
            </w:tcBorders>
            <w:shd w:val="clear" w:color="auto" w:fill="auto"/>
            <w:noWrap/>
            <w:vAlign w:val="bottom"/>
            <w:hideMark/>
          </w:tcPr>
          <w:p w14:paraId="51948D7F"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82,49%</w:t>
            </w:r>
          </w:p>
        </w:tc>
        <w:tc>
          <w:tcPr>
            <w:tcW w:w="992" w:type="dxa"/>
            <w:gridSpan w:val="2"/>
            <w:tcBorders>
              <w:top w:val="nil"/>
              <w:left w:val="nil"/>
              <w:bottom w:val="nil"/>
              <w:right w:val="single" w:sz="4" w:space="0" w:color="auto"/>
            </w:tcBorders>
            <w:shd w:val="clear" w:color="auto" w:fill="auto"/>
            <w:noWrap/>
            <w:vAlign w:val="bottom"/>
            <w:hideMark/>
          </w:tcPr>
          <w:p w14:paraId="4B05198D"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340C5788" w14:textId="77777777" w:rsidTr="0054297D">
        <w:trPr>
          <w:trHeight w:val="240"/>
        </w:trPr>
        <w:tc>
          <w:tcPr>
            <w:tcW w:w="2142" w:type="dxa"/>
            <w:tcBorders>
              <w:top w:val="nil"/>
              <w:left w:val="single" w:sz="4" w:space="0" w:color="auto"/>
              <w:bottom w:val="nil"/>
              <w:right w:val="single" w:sz="4" w:space="0" w:color="auto"/>
            </w:tcBorders>
            <w:shd w:val="clear" w:color="auto" w:fill="BFBFBF"/>
            <w:noWrap/>
            <w:vAlign w:val="bottom"/>
            <w:hideMark/>
          </w:tcPr>
          <w:p w14:paraId="550D713D"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Vigencias Futuras Férreo</w:t>
            </w:r>
          </w:p>
        </w:tc>
        <w:tc>
          <w:tcPr>
            <w:tcW w:w="992" w:type="dxa"/>
            <w:gridSpan w:val="2"/>
            <w:tcBorders>
              <w:top w:val="nil"/>
              <w:left w:val="nil"/>
              <w:bottom w:val="nil"/>
              <w:right w:val="single" w:sz="4" w:space="0" w:color="auto"/>
            </w:tcBorders>
            <w:shd w:val="clear" w:color="auto" w:fill="BFBFBF"/>
            <w:noWrap/>
            <w:vAlign w:val="bottom"/>
            <w:hideMark/>
          </w:tcPr>
          <w:p w14:paraId="7FBE1EA0"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113.920 </w:t>
            </w:r>
          </w:p>
        </w:tc>
        <w:tc>
          <w:tcPr>
            <w:tcW w:w="992" w:type="dxa"/>
            <w:gridSpan w:val="2"/>
            <w:tcBorders>
              <w:top w:val="nil"/>
              <w:left w:val="nil"/>
              <w:bottom w:val="nil"/>
              <w:right w:val="single" w:sz="4" w:space="0" w:color="auto"/>
            </w:tcBorders>
            <w:shd w:val="clear" w:color="auto" w:fill="BFBFBF"/>
            <w:noWrap/>
            <w:vAlign w:val="bottom"/>
            <w:hideMark/>
          </w:tcPr>
          <w:p w14:paraId="3BA9EECA"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113.378 </w:t>
            </w:r>
          </w:p>
        </w:tc>
        <w:tc>
          <w:tcPr>
            <w:tcW w:w="992" w:type="dxa"/>
            <w:gridSpan w:val="2"/>
            <w:tcBorders>
              <w:top w:val="nil"/>
              <w:left w:val="nil"/>
              <w:bottom w:val="nil"/>
              <w:right w:val="single" w:sz="4" w:space="0" w:color="auto"/>
            </w:tcBorders>
            <w:shd w:val="clear" w:color="auto" w:fill="BFBFBF"/>
            <w:noWrap/>
            <w:vAlign w:val="bottom"/>
            <w:hideMark/>
          </w:tcPr>
          <w:p w14:paraId="013A8F3B"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454 </w:t>
            </w:r>
          </w:p>
        </w:tc>
        <w:tc>
          <w:tcPr>
            <w:tcW w:w="993" w:type="dxa"/>
            <w:gridSpan w:val="2"/>
            <w:tcBorders>
              <w:top w:val="nil"/>
              <w:left w:val="nil"/>
              <w:bottom w:val="nil"/>
              <w:right w:val="single" w:sz="4" w:space="0" w:color="auto"/>
            </w:tcBorders>
            <w:shd w:val="clear" w:color="auto" w:fill="BFBFBF"/>
            <w:noWrap/>
            <w:vAlign w:val="bottom"/>
            <w:hideMark/>
          </w:tcPr>
          <w:p w14:paraId="3E9587BA"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454 </w:t>
            </w:r>
          </w:p>
        </w:tc>
        <w:tc>
          <w:tcPr>
            <w:tcW w:w="992" w:type="dxa"/>
            <w:tcBorders>
              <w:top w:val="nil"/>
              <w:left w:val="nil"/>
              <w:bottom w:val="nil"/>
              <w:right w:val="single" w:sz="4" w:space="0" w:color="auto"/>
            </w:tcBorders>
            <w:shd w:val="clear" w:color="auto" w:fill="BFBFBF"/>
            <w:noWrap/>
            <w:vAlign w:val="bottom"/>
            <w:hideMark/>
          </w:tcPr>
          <w:p w14:paraId="0984B461"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99,52%</w:t>
            </w:r>
          </w:p>
        </w:tc>
        <w:tc>
          <w:tcPr>
            <w:tcW w:w="992" w:type="dxa"/>
            <w:tcBorders>
              <w:top w:val="nil"/>
              <w:left w:val="nil"/>
              <w:bottom w:val="nil"/>
              <w:right w:val="single" w:sz="4" w:space="0" w:color="auto"/>
            </w:tcBorders>
            <w:shd w:val="clear" w:color="auto" w:fill="BFBFBF"/>
            <w:noWrap/>
            <w:vAlign w:val="bottom"/>
            <w:hideMark/>
          </w:tcPr>
          <w:p w14:paraId="4308A8F5"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0,40%</w:t>
            </w:r>
          </w:p>
        </w:tc>
        <w:tc>
          <w:tcPr>
            <w:tcW w:w="992" w:type="dxa"/>
            <w:gridSpan w:val="2"/>
            <w:tcBorders>
              <w:top w:val="nil"/>
              <w:left w:val="nil"/>
              <w:bottom w:val="nil"/>
              <w:right w:val="single" w:sz="4" w:space="0" w:color="auto"/>
            </w:tcBorders>
            <w:shd w:val="clear" w:color="auto" w:fill="BFBFBF"/>
            <w:noWrap/>
            <w:vAlign w:val="bottom"/>
            <w:hideMark/>
          </w:tcPr>
          <w:p w14:paraId="3E468FED"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0,40%</w:t>
            </w:r>
          </w:p>
        </w:tc>
      </w:tr>
      <w:tr w:rsidR="00E7759C" w:rsidRPr="00E7759C" w14:paraId="4EEDADFF" w14:textId="77777777" w:rsidTr="0054297D">
        <w:trPr>
          <w:trHeight w:val="240"/>
        </w:trPr>
        <w:tc>
          <w:tcPr>
            <w:tcW w:w="2142" w:type="dxa"/>
            <w:tcBorders>
              <w:top w:val="nil"/>
              <w:left w:val="single" w:sz="4" w:space="0" w:color="auto"/>
              <w:bottom w:val="nil"/>
              <w:right w:val="single" w:sz="4" w:space="0" w:color="auto"/>
            </w:tcBorders>
            <w:shd w:val="clear" w:color="auto" w:fill="auto"/>
            <w:noWrap/>
            <w:vAlign w:val="bottom"/>
            <w:hideMark/>
          </w:tcPr>
          <w:p w14:paraId="5886CD7A"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Vigencias Futuras Puertos</w:t>
            </w:r>
          </w:p>
        </w:tc>
        <w:tc>
          <w:tcPr>
            <w:tcW w:w="992" w:type="dxa"/>
            <w:gridSpan w:val="2"/>
            <w:tcBorders>
              <w:top w:val="nil"/>
              <w:left w:val="nil"/>
              <w:bottom w:val="nil"/>
              <w:right w:val="single" w:sz="4" w:space="0" w:color="auto"/>
            </w:tcBorders>
            <w:shd w:val="clear" w:color="auto" w:fill="auto"/>
            <w:noWrap/>
            <w:vAlign w:val="bottom"/>
            <w:hideMark/>
          </w:tcPr>
          <w:p w14:paraId="4685AFB1"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1.233 </w:t>
            </w:r>
          </w:p>
        </w:tc>
        <w:tc>
          <w:tcPr>
            <w:tcW w:w="992" w:type="dxa"/>
            <w:gridSpan w:val="2"/>
            <w:tcBorders>
              <w:top w:val="nil"/>
              <w:left w:val="nil"/>
              <w:bottom w:val="nil"/>
              <w:right w:val="single" w:sz="4" w:space="0" w:color="auto"/>
            </w:tcBorders>
            <w:shd w:val="clear" w:color="auto" w:fill="auto"/>
            <w:noWrap/>
            <w:vAlign w:val="bottom"/>
            <w:hideMark/>
          </w:tcPr>
          <w:p w14:paraId="11B1E222"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1.056 </w:t>
            </w:r>
          </w:p>
        </w:tc>
        <w:tc>
          <w:tcPr>
            <w:tcW w:w="992" w:type="dxa"/>
            <w:gridSpan w:val="2"/>
            <w:tcBorders>
              <w:top w:val="nil"/>
              <w:left w:val="nil"/>
              <w:bottom w:val="nil"/>
              <w:right w:val="single" w:sz="4" w:space="0" w:color="auto"/>
            </w:tcBorders>
            <w:shd w:val="clear" w:color="auto" w:fill="auto"/>
            <w:noWrap/>
            <w:vAlign w:val="bottom"/>
            <w:hideMark/>
          </w:tcPr>
          <w:p w14:paraId="703CFB1B"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3" w:type="dxa"/>
            <w:gridSpan w:val="2"/>
            <w:tcBorders>
              <w:top w:val="nil"/>
              <w:left w:val="nil"/>
              <w:bottom w:val="nil"/>
              <w:right w:val="single" w:sz="4" w:space="0" w:color="auto"/>
            </w:tcBorders>
            <w:shd w:val="clear" w:color="auto" w:fill="auto"/>
            <w:noWrap/>
            <w:vAlign w:val="bottom"/>
            <w:hideMark/>
          </w:tcPr>
          <w:p w14:paraId="6E7A22F5"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5E9BFD6C"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85,71%</w:t>
            </w:r>
          </w:p>
        </w:tc>
        <w:tc>
          <w:tcPr>
            <w:tcW w:w="992" w:type="dxa"/>
            <w:tcBorders>
              <w:top w:val="nil"/>
              <w:left w:val="nil"/>
              <w:bottom w:val="nil"/>
              <w:right w:val="single" w:sz="4" w:space="0" w:color="auto"/>
            </w:tcBorders>
            <w:shd w:val="clear" w:color="auto" w:fill="auto"/>
            <w:noWrap/>
            <w:vAlign w:val="bottom"/>
            <w:hideMark/>
          </w:tcPr>
          <w:p w14:paraId="21561225"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gridSpan w:val="2"/>
            <w:tcBorders>
              <w:top w:val="nil"/>
              <w:left w:val="nil"/>
              <w:bottom w:val="nil"/>
              <w:right w:val="single" w:sz="4" w:space="0" w:color="auto"/>
            </w:tcBorders>
            <w:shd w:val="clear" w:color="auto" w:fill="auto"/>
            <w:noWrap/>
            <w:vAlign w:val="bottom"/>
            <w:hideMark/>
          </w:tcPr>
          <w:p w14:paraId="7E02DD38"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140B32E4" w14:textId="77777777" w:rsidTr="0054297D">
        <w:trPr>
          <w:trHeight w:val="240"/>
        </w:trPr>
        <w:tc>
          <w:tcPr>
            <w:tcW w:w="2142" w:type="dxa"/>
            <w:tcBorders>
              <w:top w:val="nil"/>
              <w:left w:val="single" w:sz="4" w:space="0" w:color="auto"/>
              <w:bottom w:val="nil"/>
              <w:right w:val="single" w:sz="4" w:space="0" w:color="auto"/>
            </w:tcBorders>
            <w:shd w:val="clear" w:color="auto" w:fill="BFBFBF"/>
            <w:noWrap/>
            <w:vAlign w:val="bottom"/>
            <w:hideMark/>
          </w:tcPr>
          <w:p w14:paraId="0F38E4D5"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Construcción Puentes Soacha</w:t>
            </w:r>
          </w:p>
        </w:tc>
        <w:tc>
          <w:tcPr>
            <w:tcW w:w="992" w:type="dxa"/>
            <w:gridSpan w:val="2"/>
            <w:tcBorders>
              <w:top w:val="nil"/>
              <w:left w:val="nil"/>
              <w:bottom w:val="nil"/>
              <w:right w:val="single" w:sz="4" w:space="0" w:color="auto"/>
            </w:tcBorders>
            <w:shd w:val="clear" w:color="auto" w:fill="BFBFBF"/>
            <w:noWrap/>
            <w:vAlign w:val="bottom"/>
            <w:hideMark/>
          </w:tcPr>
          <w:p w14:paraId="14AF8703"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23.153 </w:t>
            </w:r>
          </w:p>
        </w:tc>
        <w:tc>
          <w:tcPr>
            <w:tcW w:w="992" w:type="dxa"/>
            <w:gridSpan w:val="2"/>
            <w:tcBorders>
              <w:top w:val="nil"/>
              <w:left w:val="nil"/>
              <w:bottom w:val="nil"/>
              <w:right w:val="single" w:sz="4" w:space="0" w:color="auto"/>
            </w:tcBorders>
            <w:shd w:val="clear" w:color="auto" w:fill="BFBFBF"/>
            <w:noWrap/>
            <w:vAlign w:val="bottom"/>
            <w:hideMark/>
          </w:tcPr>
          <w:p w14:paraId="2CDB4A71"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52 </w:t>
            </w:r>
          </w:p>
        </w:tc>
        <w:tc>
          <w:tcPr>
            <w:tcW w:w="992" w:type="dxa"/>
            <w:gridSpan w:val="2"/>
            <w:tcBorders>
              <w:top w:val="nil"/>
              <w:left w:val="nil"/>
              <w:bottom w:val="nil"/>
              <w:right w:val="single" w:sz="4" w:space="0" w:color="auto"/>
            </w:tcBorders>
            <w:shd w:val="clear" w:color="auto" w:fill="BFBFBF"/>
            <w:noWrap/>
            <w:vAlign w:val="bottom"/>
            <w:hideMark/>
          </w:tcPr>
          <w:p w14:paraId="73C3AE69"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52 </w:t>
            </w:r>
          </w:p>
        </w:tc>
        <w:tc>
          <w:tcPr>
            <w:tcW w:w="993" w:type="dxa"/>
            <w:gridSpan w:val="2"/>
            <w:tcBorders>
              <w:top w:val="nil"/>
              <w:left w:val="nil"/>
              <w:bottom w:val="nil"/>
              <w:right w:val="single" w:sz="4" w:space="0" w:color="auto"/>
            </w:tcBorders>
            <w:shd w:val="clear" w:color="auto" w:fill="BFBFBF"/>
            <w:noWrap/>
            <w:vAlign w:val="bottom"/>
            <w:hideMark/>
          </w:tcPr>
          <w:p w14:paraId="3506D86C"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52 </w:t>
            </w:r>
          </w:p>
        </w:tc>
        <w:tc>
          <w:tcPr>
            <w:tcW w:w="992" w:type="dxa"/>
            <w:tcBorders>
              <w:top w:val="nil"/>
              <w:left w:val="nil"/>
              <w:bottom w:val="nil"/>
              <w:right w:val="single" w:sz="4" w:space="0" w:color="auto"/>
            </w:tcBorders>
            <w:shd w:val="clear" w:color="auto" w:fill="BFBFBF"/>
            <w:noWrap/>
            <w:vAlign w:val="bottom"/>
            <w:hideMark/>
          </w:tcPr>
          <w:p w14:paraId="62A97ED3"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0,22%</w:t>
            </w:r>
          </w:p>
        </w:tc>
        <w:tc>
          <w:tcPr>
            <w:tcW w:w="992" w:type="dxa"/>
            <w:tcBorders>
              <w:top w:val="nil"/>
              <w:left w:val="nil"/>
              <w:bottom w:val="nil"/>
              <w:right w:val="single" w:sz="4" w:space="0" w:color="auto"/>
            </w:tcBorders>
            <w:shd w:val="clear" w:color="auto" w:fill="BFBFBF"/>
            <w:noWrap/>
            <w:vAlign w:val="bottom"/>
            <w:hideMark/>
          </w:tcPr>
          <w:p w14:paraId="1B734B75"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0,22%</w:t>
            </w:r>
          </w:p>
        </w:tc>
        <w:tc>
          <w:tcPr>
            <w:tcW w:w="992" w:type="dxa"/>
            <w:gridSpan w:val="2"/>
            <w:tcBorders>
              <w:top w:val="nil"/>
              <w:left w:val="nil"/>
              <w:bottom w:val="nil"/>
              <w:right w:val="single" w:sz="4" w:space="0" w:color="auto"/>
            </w:tcBorders>
            <w:shd w:val="clear" w:color="auto" w:fill="BFBFBF"/>
            <w:noWrap/>
            <w:vAlign w:val="bottom"/>
            <w:hideMark/>
          </w:tcPr>
          <w:p w14:paraId="31228313"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0,22%</w:t>
            </w:r>
          </w:p>
        </w:tc>
      </w:tr>
      <w:tr w:rsidR="00E7759C" w:rsidRPr="00E7759C" w14:paraId="3A358973" w14:textId="77777777" w:rsidTr="0054297D">
        <w:trPr>
          <w:trHeight w:val="240"/>
        </w:trPr>
        <w:tc>
          <w:tcPr>
            <w:tcW w:w="2142" w:type="dxa"/>
            <w:tcBorders>
              <w:top w:val="nil"/>
              <w:left w:val="single" w:sz="4" w:space="0" w:color="auto"/>
              <w:bottom w:val="nil"/>
              <w:right w:val="single" w:sz="4" w:space="0" w:color="auto"/>
            </w:tcBorders>
            <w:shd w:val="clear" w:color="auto" w:fill="auto"/>
            <w:noWrap/>
            <w:vAlign w:val="bottom"/>
            <w:hideMark/>
          </w:tcPr>
          <w:p w14:paraId="0CAC1725"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Disp. Otros Proyectos Carreteros</w:t>
            </w:r>
          </w:p>
        </w:tc>
        <w:tc>
          <w:tcPr>
            <w:tcW w:w="992" w:type="dxa"/>
            <w:gridSpan w:val="2"/>
            <w:tcBorders>
              <w:top w:val="nil"/>
              <w:left w:val="nil"/>
              <w:bottom w:val="nil"/>
              <w:right w:val="single" w:sz="4" w:space="0" w:color="auto"/>
            </w:tcBorders>
            <w:shd w:val="clear" w:color="auto" w:fill="auto"/>
            <w:noWrap/>
            <w:vAlign w:val="bottom"/>
            <w:hideMark/>
          </w:tcPr>
          <w:p w14:paraId="41009067"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7.291 </w:t>
            </w:r>
          </w:p>
        </w:tc>
        <w:tc>
          <w:tcPr>
            <w:tcW w:w="992" w:type="dxa"/>
            <w:gridSpan w:val="2"/>
            <w:tcBorders>
              <w:top w:val="nil"/>
              <w:left w:val="nil"/>
              <w:bottom w:val="nil"/>
              <w:right w:val="single" w:sz="4" w:space="0" w:color="auto"/>
            </w:tcBorders>
            <w:shd w:val="clear" w:color="auto" w:fill="auto"/>
            <w:noWrap/>
            <w:vAlign w:val="bottom"/>
            <w:hideMark/>
          </w:tcPr>
          <w:p w14:paraId="4DB08E78"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135 </w:t>
            </w:r>
          </w:p>
        </w:tc>
        <w:tc>
          <w:tcPr>
            <w:tcW w:w="992" w:type="dxa"/>
            <w:gridSpan w:val="2"/>
            <w:tcBorders>
              <w:top w:val="nil"/>
              <w:left w:val="nil"/>
              <w:bottom w:val="nil"/>
              <w:right w:val="single" w:sz="4" w:space="0" w:color="auto"/>
            </w:tcBorders>
            <w:shd w:val="clear" w:color="auto" w:fill="auto"/>
            <w:noWrap/>
            <w:vAlign w:val="bottom"/>
            <w:hideMark/>
          </w:tcPr>
          <w:p w14:paraId="09565D46"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3" w:type="dxa"/>
            <w:gridSpan w:val="2"/>
            <w:tcBorders>
              <w:top w:val="nil"/>
              <w:left w:val="nil"/>
              <w:bottom w:val="nil"/>
              <w:right w:val="single" w:sz="4" w:space="0" w:color="auto"/>
            </w:tcBorders>
            <w:shd w:val="clear" w:color="auto" w:fill="auto"/>
            <w:noWrap/>
            <w:vAlign w:val="bottom"/>
            <w:hideMark/>
          </w:tcPr>
          <w:p w14:paraId="51450B70"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60D4ACB0"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1,86%</w:t>
            </w:r>
          </w:p>
        </w:tc>
        <w:tc>
          <w:tcPr>
            <w:tcW w:w="992" w:type="dxa"/>
            <w:tcBorders>
              <w:top w:val="nil"/>
              <w:left w:val="nil"/>
              <w:bottom w:val="nil"/>
              <w:right w:val="single" w:sz="4" w:space="0" w:color="auto"/>
            </w:tcBorders>
            <w:shd w:val="clear" w:color="auto" w:fill="auto"/>
            <w:noWrap/>
            <w:vAlign w:val="bottom"/>
            <w:hideMark/>
          </w:tcPr>
          <w:p w14:paraId="59F1D672"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gridSpan w:val="2"/>
            <w:tcBorders>
              <w:top w:val="nil"/>
              <w:left w:val="nil"/>
              <w:bottom w:val="nil"/>
              <w:right w:val="single" w:sz="4" w:space="0" w:color="auto"/>
            </w:tcBorders>
            <w:shd w:val="clear" w:color="auto" w:fill="auto"/>
            <w:noWrap/>
            <w:vAlign w:val="bottom"/>
            <w:hideMark/>
          </w:tcPr>
          <w:p w14:paraId="2DBCAC95"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1A8B5656" w14:textId="77777777" w:rsidTr="0054297D">
        <w:trPr>
          <w:trHeight w:val="240"/>
        </w:trPr>
        <w:tc>
          <w:tcPr>
            <w:tcW w:w="2142" w:type="dxa"/>
            <w:tcBorders>
              <w:top w:val="nil"/>
              <w:left w:val="single" w:sz="4" w:space="0" w:color="auto"/>
              <w:bottom w:val="nil"/>
              <w:right w:val="single" w:sz="4" w:space="0" w:color="auto"/>
            </w:tcBorders>
            <w:shd w:val="clear" w:color="auto" w:fill="BFBFBF"/>
            <w:noWrap/>
            <w:vAlign w:val="bottom"/>
            <w:hideMark/>
          </w:tcPr>
          <w:p w14:paraId="32E6D8E5"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Interventoría Red Férrea Pacífico</w:t>
            </w:r>
          </w:p>
        </w:tc>
        <w:tc>
          <w:tcPr>
            <w:tcW w:w="992" w:type="dxa"/>
            <w:gridSpan w:val="2"/>
            <w:tcBorders>
              <w:top w:val="nil"/>
              <w:left w:val="nil"/>
              <w:bottom w:val="nil"/>
              <w:right w:val="single" w:sz="4" w:space="0" w:color="auto"/>
            </w:tcBorders>
            <w:shd w:val="clear" w:color="auto" w:fill="BFBFBF"/>
            <w:noWrap/>
            <w:vAlign w:val="bottom"/>
            <w:hideMark/>
          </w:tcPr>
          <w:p w14:paraId="5D1B940B"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1.417 </w:t>
            </w:r>
          </w:p>
        </w:tc>
        <w:tc>
          <w:tcPr>
            <w:tcW w:w="992" w:type="dxa"/>
            <w:gridSpan w:val="2"/>
            <w:tcBorders>
              <w:top w:val="nil"/>
              <w:left w:val="nil"/>
              <w:bottom w:val="nil"/>
              <w:right w:val="single" w:sz="4" w:space="0" w:color="auto"/>
            </w:tcBorders>
            <w:shd w:val="clear" w:color="auto" w:fill="BFBFBF"/>
            <w:noWrap/>
            <w:vAlign w:val="bottom"/>
            <w:hideMark/>
          </w:tcPr>
          <w:p w14:paraId="060B5572"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gridSpan w:val="2"/>
            <w:tcBorders>
              <w:top w:val="nil"/>
              <w:left w:val="nil"/>
              <w:bottom w:val="nil"/>
              <w:right w:val="single" w:sz="4" w:space="0" w:color="auto"/>
            </w:tcBorders>
            <w:shd w:val="clear" w:color="auto" w:fill="BFBFBF"/>
            <w:noWrap/>
            <w:vAlign w:val="bottom"/>
            <w:hideMark/>
          </w:tcPr>
          <w:p w14:paraId="7BD9BC05"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3" w:type="dxa"/>
            <w:gridSpan w:val="2"/>
            <w:tcBorders>
              <w:top w:val="nil"/>
              <w:left w:val="nil"/>
              <w:bottom w:val="nil"/>
              <w:right w:val="single" w:sz="4" w:space="0" w:color="auto"/>
            </w:tcBorders>
            <w:shd w:val="clear" w:color="auto" w:fill="BFBFBF"/>
            <w:noWrap/>
            <w:vAlign w:val="bottom"/>
            <w:hideMark/>
          </w:tcPr>
          <w:p w14:paraId="6B0F0233"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nil"/>
              <w:right w:val="single" w:sz="4" w:space="0" w:color="auto"/>
            </w:tcBorders>
            <w:shd w:val="clear" w:color="auto" w:fill="BFBFBF"/>
            <w:noWrap/>
            <w:vAlign w:val="bottom"/>
            <w:hideMark/>
          </w:tcPr>
          <w:p w14:paraId="39D45E6E"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tcBorders>
              <w:top w:val="nil"/>
              <w:left w:val="nil"/>
              <w:bottom w:val="nil"/>
              <w:right w:val="single" w:sz="4" w:space="0" w:color="auto"/>
            </w:tcBorders>
            <w:shd w:val="clear" w:color="auto" w:fill="BFBFBF"/>
            <w:noWrap/>
            <w:vAlign w:val="bottom"/>
            <w:hideMark/>
          </w:tcPr>
          <w:p w14:paraId="23377E33"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gridSpan w:val="2"/>
            <w:tcBorders>
              <w:top w:val="nil"/>
              <w:left w:val="nil"/>
              <w:bottom w:val="nil"/>
              <w:right w:val="single" w:sz="4" w:space="0" w:color="auto"/>
            </w:tcBorders>
            <w:shd w:val="clear" w:color="auto" w:fill="BFBFBF"/>
            <w:noWrap/>
            <w:vAlign w:val="bottom"/>
            <w:hideMark/>
          </w:tcPr>
          <w:p w14:paraId="22F13502"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2385B807" w14:textId="77777777" w:rsidTr="0054297D">
        <w:trPr>
          <w:trHeight w:val="240"/>
        </w:trPr>
        <w:tc>
          <w:tcPr>
            <w:tcW w:w="2142" w:type="dxa"/>
            <w:tcBorders>
              <w:top w:val="nil"/>
              <w:left w:val="single" w:sz="4" w:space="0" w:color="auto"/>
              <w:bottom w:val="nil"/>
              <w:right w:val="single" w:sz="4" w:space="0" w:color="auto"/>
            </w:tcBorders>
            <w:shd w:val="clear" w:color="auto" w:fill="auto"/>
            <w:noWrap/>
            <w:vAlign w:val="bottom"/>
            <w:hideMark/>
          </w:tcPr>
          <w:p w14:paraId="6E7BD517"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Proyectos Corredores Férreos</w:t>
            </w:r>
          </w:p>
        </w:tc>
        <w:tc>
          <w:tcPr>
            <w:tcW w:w="992" w:type="dxa"/>
            <w:gridSpan w:val="2"/>
            <w:tcBorders>
              <w:top w:val="nil"/>
              <w:left w:val="nil"/>
              <w:bottom w:val="nil"/>
              <w:right w:val="single" w:sz="4" w:space="0" w:color="auto"/>
            </w:tcBorders>
            <w:shd w:val="clear" w:color="auto" w:fill="auto"/>
            <w:noWrap/>
            <w:vAlign w:val="bottom"/>
            <w:hideMark/>
          </w:tcPr>
          <w:p w14:paraId="1FAAC7DF"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10.000 </w:t>
            </w:r>
          </w:p>
        </w:tc>
        <w:tc>
          <w:tcPr>
            <w:tcW w:w="992" w:type="dxa"/>
            <w:gridSpan w:val="2"/>
            <w:tcBorders>
              <w:top w:val="nil"/>
              <w:left w:val="nil"/>
              <w:bottom w:val="nil"/>
              <w:right w:val="single" w:sz="4" w:space="0" w:color="auto"/>
            </w:tcBorders>
            <w:shd w:val="clear" w:color="auto" w:fill="auto"/>
            <w:noWrap/>
            <w:vAlign w:val="bottom"/>
            <w:hideMark/>
          </w:tcPr>
          <w:p w14:paraId="75C27ADE"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gridSpan w:val="2"/>
            <w:tcBorders>
              <w:top w:val="nil"/>
              <w:left w:val="nil"/>
              <w:bottom w:val="nil"/>
              <w:right w:val="single" w:sz="4" w:space="0" w:color="auto"/>
            </w:tcBorders>
            <w:shd w:val="clear" w:color="auto" w:fill="auto"/>
            <w:noWrap/>
            <w:vAlign w:val="bottom"/>
            <w:hideMark/>
          </w:tcPr>
          <w:p w14:paraId="40F09414"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3" w:type="dxa"/>
            <w:gridSpan w:val="2"/>
            <w:tcBorders>
              <w:top w:val="nil"/>
              <w:left w:val="nil"/>
              <w:bottom w:val="nil"/>
              <w:right w:val="single" w:sz="4" w:space="0" w:color="auto"/>
            </w:tcBorders>
            <w:shd w:val="clear" w:color="auto" w:fill="auto"/>
            <w:noWrap/>
            <w:vAlign w:val="bottom"/>
            <w:hideMark/>
          </w:tcPr>
          <w:p w14:paraId="686D9FCD"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509861D3"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tcBorders>
              <w:top w:val="nil"/>
              <w:left w:val="nil"/>
              <w:bottom w:val="nil"/>
              <w:right w:val="single" w:sz="4" w:space="0" w:color="auto"/>
            </w:tcBorders>
            <w:shd w:val="clear" w:color="auto" w:fill="auto"/>
            <w:noWrap/>
            <w:vAlign w:val="bottom"/>
            <w:hideMark/>
          </w:tcPr>
          <w:p w14:paraId="00EDBA24"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gridSpan w:val="2"/>
            <w:tcBorders>
              <w:top w:val="nil"/>
              <w:left w:val="nil"/>
              <w:bottom w:val="nil"/>
              <w:right w:val="single" w:sz="4" w:space="0" w:color="auto"/>
            </w:tcBorders>
            <w:shd w:val="clear" w:color="auto" w:fill="auto"/>
            <w:noWrap/>
            <w:vAlign w:val="bottom"/>
            <w:hideMark/>
          </w:tcPr>
          <w:p w14:paraId="3B0AAC6D"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5DC1114C" w14:textId="77777777" w:rsidTr="0054297D">
        <w:trPr>
          <w:trHeight w:val="240"/>
        </w:trPr>
        <w:tc>
          <w:tcPr>
            <w:tcW w:w="2142" w:type="dxa"/>
            <w:tcBorders>
              <w:top w:val="nil"/>
              <w:left w:val="single" w:sz="4" w:space="0" w:color="auto"/>
              <w:bottom w:val="nil"/>
              <w:right w:val="single" w:sz="4" w:space="0" w:color="auto"/>
            </w:tcBorders>
            <w:shd w:val="clear" w:color="auto" w:fill="BFBFBF"/>
            <w:noWrap/>
            <w:vAlign w:val="bottom"/>
            <w:hideMark/>
          </w:tcPr>
          <w:p w14:paraId="5BF1AF18"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Proyectos Portuarios</w:t>
            </w:r>
          </w:p>
        </w:tc>
        <w:tc>
          <w:tcPr>
            <w:tcW w:w="992" w:type="dxa"/>
            <w:gridSpan w:val="2"/>
            <w:tcBorders>
              <w:top w:val="nil"/>
              <w:left w:val="nil"/>
              <w:bottom w:val="nil"/>
              <w:right w:val="single" w:sz="4" w:space="0" w:color="auto"/>
            </w:tcBorders>
            <w:shd w:val="clear" w:color="auto" w:fill="BFBFBF"/>
            <w:noWrap/>
            <w:vAlign w:val="bottom"/>
            <w:hideMark/>
          </w:tcPr>
          <w:p w14:paraId="61D721A7"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3.767 </w:t>
            </w:r>
          </w:p>
        </w:tc>
        <w:tc>
          <w:tcPr>
            <w:tcW w:w="992" w:type="dxa"/>
            <w:gridSpan w:val="2"/>
            <w:tcBorders>
              <w:top w:val="nil"/>
              <w:left w:val="nil"/>
              <w:bottom w:val="nil"/>
              <w:right w:val="single" w:sz="4" w:space="0" w:color="auto"/>
            </w:tcBorders>
            <w:shd w:val="clear" w:color="auto" w:fill="BFBFBF"/>
            <w:noWrap/>
            <w:vAlign w:val="bottom"/>
            <w:hideMark/>
          </w:tcPr>
          <w:p w14:paraId="15330020"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gridSpan w:val="2"/>
            <w:tcBorders>
              <w:top w:val="nil"/>
              <w:left w:val="nil"/>
              <w:bottom w:val="nil"/>
              <w:right w:val="single" w:sz="4" w:space="0" w:color="auto"/>
            </w:tcBorders>
            <w:shd w:val="clear" w:color="auto" w:fill="BFBFBF"/>
            <w:noWrap/>
            <w:vAlign w:val="bottom"/>
            <w:hideMark/>
          </w:tcPr>
          <w:p w14:paraId="60989A26"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3" w:type="dxa"/>
            <w:gridSpan w:val="2"/>
            <w:tcBorders>
              <w:top w:val="nil"/>
              <w:left w:val="nil"/>
              <w:bottom w:val="nil"/>
              <w:right w:val="single" w:sz="4" w:space="0" w:color="auto"/>
            </w:tcBorders>
            <w:shd w:val="clear" w:color="auto" w:fill="BFBFBF"/>
            <w:noWrap/>
            <w:vAlign w:val="bottom"/>
            <w:hideMark/>
          </w:tcPr>
          <w:p w14:paraId="595E8B6E"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nil"/>
              <w:right w:val="single" w:sz="4" w:space="0" w:color="auto"/>
            </w:tcBorders>
            <w:shd w:val="clear" w:color="auto" w:fill="BFBFBF"/>
            <w:noWrap/>
            <w:vAlign w:val="bottom"/>
            <w:hideMark/>
          </w:tcPr>
          <w:p w14:paraId="1B17DCD2"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tcBorders>
              <w:top w:val="nil"/>
              <w:left w:val="nil"/>
              <w:bottom w:val="nil"/>
              <w:right w:val="single" w:sz="4" w:space="0" w:color="auto"/>
            </w:tcBorders>
            <w:shd w:val="clear" w:color="auto" w:fill="BFBFBF"/>
            <w:noWrap/>
            <w:vAlign w:val="bottom"/>
            <w:hideMark/>
          </w:tcPr>
          <w:p w14:paraId="7D7F204E"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gridSpan w:val="2"/>
            <w:tcBorders>
              <w:top w:val="nil"/>
              <w:left w:val="nil"/>
              <w:bottom w:val="nil"/>
              <w:right w:val="single" w:sz="4" w:space="0" w:color="auto"/>
            </w:tcBorders>
            <w:shd w:val="clear" w:color="auto" w:fill="BFBFBF"/>
            <w:noWrap/>
            <w:vAlign w:val="bottom"/>
            <w:hideMark/>
          </w:tcPr>
          <w:p w14:paraId="11073D23"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191344DA" w14:textId="77777777" w:rsidTr="0054297D">
        <w:trPr>
          <w:trHeight w:val="240"/>
        </w:trPr>
        <w:tc>
          <w:tcPr>
            <w:tcW w:w="2142" w:type="dxa"/>
            <w:tcBorders>
              <w:top w:val="nil"/>
              <w:left w:val="single" w:sz="4" w:space="0" w:color="auto"/>
              <w:bottom w:val="nil"/>
              <w:right w:val="single" w:sz="4" w:space="0" w:color="auto"/>
            </w:tcBorders>
            <w:shd w:val="clear" w:color="auto" w:fill="auto"/>
            <w:noWrap/>
            <w:vAlign w:val="bottom"/>
            <w:hideMark/>
          </w:tcPr>
          <w:p w14:paraId="52C1898B"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Interventorías Aeroportuarias</w:t>
            </w:r>
          </w:p>
        </w:tc>
        <w:tc>
          <w:tcPr>
            <w:tcW w:w="992" w:type="dxa"/>
            <w:gridSpan w:val="2"/>
            <w:tcBorders>
              <w:top w:val="nil"/>
              <w:left w:val="nil"/>
              <w:bottom w:val="nil"/>
              <w:right w:val="single" w:sz="4" w:space="0" w:color="auto"/>
            </w:tcBorders>
            <w:shd w:val="clear" w:color="auto" w:fill="auto"/>
            <w:noWrap/>
            <w:vAlign w:val="bottom"/>
            <w:hideMark/>
          </w:tcPr>
          <w:p w14:paraId="65C679C7"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5.000 </w:t>
            </w:r>
          </w:p>
        </w:tc>
        <w:tc>
          <w:tcPr>
            <w:tcW w:w="992" w:type="dxa"/>
            <w:gridSpan w:val="2"/>
            <w:tcBorders>
              <w:top w:val="nil"/>
              <w:left w:val="nil"/>
              <w:bottom w:val="nil"/>
              <w:right w:val="single" w:sz="4" w:space="0" w:color="auto"/>
            </w:tcBorders>
            <w:shd w:val="clear" w:color="auto" w:fill="auto"/>
            <w:noWrap/>
            <w:vAlign w:val="bottom"/>
            <w:hideMark/>
          </w:tcPr>
          <w:p w14:paraId="0A3AB0CC"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gridSpan w:val="2"/>
            <w:tcBorders>
              <w:top w:val="nil"/>
              <w:left w:val="nil"/>
              <w:bottom w:val="nil"/>
              <w:right w:val="single" w:sz="4" w:space="0" w:color="auto"/>
            </w:tcBorders>
            <w:shd w:val="clear" w:color="auto" w:fill="auto"/>
            <w:noWrap/>
            <w:vAlign w:val="bottom"/>
            <w:hideMark/>
          </w:tcPr>
          <w:p w14:paraId="089D2BFF"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3" w:type="dxa"/>
            <w:gridSpan w:val="2"/>
            <w:tcBorders>
              <w:top w:val="nil"/>
              <w:left w:val="nil"/>
              <w:bottom w:val="nil"/>
              <w:right w:val="single" w:sz="4" w:space="0" w:color="auto"/>
            </w:tcBorders>
            <w:shd w:val="clear" w:color="auto" w:fill="auto"/>
            <w:noWrap/>
            <w:vAlign w:val="bottom"/>
            <w:hideMark/>
          </w:tcPr>
          <w:p w14:paraId="10AD9DB9"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6F886BA4"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tcBorders>
              <w:top w:val="nil"/>
              <w:left w:val="nil"/>
              <w:bottom w:val="nil"/>
              <w:right w:val="single" w:sz="4" w:space="0" w:color="auto"/>
            </w:tcBorders>
            <w:shd w:val="clear" w:color="auto" w:fill="auto"/>
            <w:noWrap/>
            <w:vAlign w:val="bottom"/>
            <w:hideMark/>
          </w:tcPr>
          <w:p w14:paraId="5F965D93"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gridSpan w:val="2"/>
            <w:tcBorders>
              <w:top w:val="nil"/>
              <w:left w:val="nil"/>
              <w:bottom w:val="nil"/>
              <w:right w:val="single" w:sz="4" w:space="0" w:color="auto"/>
            </w:tcBorders>
            <w:shd w:val="clear" w:color="auto" w:fill="auto"/>
            <w:noWrap/>
            <w:vAlign w:val="bottom"/>
            <w:hideMark/>
          </w:tcPr>
          <w:p w14:paraId="2690B8EE"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69B21D78" w14:textId="77777777" w:rsidTr="0054297D">
        <w:trPr>
          <w:trHeight w:val="240"/>
        </w:trPr>
        <w:tc>
          <w:tcPr>
            <w:tcW w:w="2142" w:type="dxa"/>
            <w:tcBorders>
              <w:top w:val="nil"/>
              <w:left w:val="single" w:sz="4" w:space="0" w:color="auto"/>
              <w:bottom w:val="nil"/>
              <w:right w:val="single" w:sz="4" w:space="0" w:color="auto"/>
            </w:tcBorders>
            <w:shd w:val="clear" w:color="auto" w:fill="BFBFBF"/>
            <w:noWrap/>
            <w:vAlign w:val="bottom"/>
            <w:hideMark/>
          </w:tcPr>
          <w:p w14:paraId="13451020"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Asesorías y Consultorías</w:t>
            </w:r>
          </w:p>
        </w:tc>
        <w:tc>
          <w:tcPr>
            <w:tcW w:w="992" w:type="dxa"/>
            <w:gridSpan w:val="2"/>
            <w:tcBorders>
              <w:top w:val="nil"/>
              <w:left w:val="nil"/>
              <w:bottom w:val="nil"/>
              <w:right w:val="single" w:sz="4" w:space="0" w:color="auto"/>
            </w:tcBorders>
            <w:shd w:val="clear" w:color="auto" w:fill="BFBFBF"/>
            <w:noWrap/>
            <w:vAlign w:val="bottom"/>
            <w:hideMark/>
          </w:tcPr>
          <w:p w14:paraId="5B88668D"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41.700 </w:t>
            </w:r>
          </w:p>
        </w:tc>
        <w:tc>
          <w:tcPr>
            <w:tcW w:w="992" w:type="dxa"/>
            <w:gridSpan w:val="2"/>
            <w:tcBorders>
              <w:top w:val="nil"/>
              <w:left w:val="nil"/>
              <w:bottom w:val="nil"/>
              <w:right w:val="single" w:sz="4" w:space="0" w:color="auto"/>
            </w:tcBorders>
            <w:shd w:val="clear" w:color="auto" w:fill="BFBFBF"/>
            <w:noWrap/>
            <w:vAlign w:val="bottom"/>
            <w:hideMark/>
          </w:tcPr>
          <w:p w14:paraId="1AD321A4"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17.097 </w:t>
            </w:r>
          </w:p>
        </w:tc>
        <w:tc>
          <w:tcPr>
            <w:tcW w:w="992" w:type="dxa"/>
            <w:gridSpan w:val="2"/>
            <w:tcBorders>
              <w:top w:val="nil"/>
              <w:left w:val="nil"/>
              <w:bottom w:val="nil"/>
              <w:right w:val="single" w:sz="4" w:space="0" w:color="auto"/>
            </w:tcBorders>
            <w:shd w:val="clear" w:color="auto" w:fill="BFBFBF"/>
            <w:noWrap/>
            <w:vAlign w:val="bottom"/>
            <w:hideMark/>
          </w:tcPr>
          <w:p w14:paraId="30BE5211"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617 </w:t>
            </w:r>
          </w:p>
        </w:tc>
        <w:tc>
          <w:tcPr>
            <w:tcW w:w="993" w:type="dxa"/>
            <w:gridSpan w:val="2"/>
            <w:tcBorders>
              <w:top w:val="nil"/>
              <w:left w:val="nil"/>
              <w:bottom w:val="nil"/>
              <w:right w:val="single" w:sz="4" w:space="0" w:color="auto"/>
            </w:tcBorders>
            <w:shd w:val="clear" w:color="auto" w:fill="BFBFBF"/>
            <w:noWrap/>
            <w:vAlign w:val="bottom"/>
            <w:hideMark/>
          </w:tcPr>
          <w:p w14:paraId="105F2694"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617 </w:t>
            </w:r>
          </w:p>
        </w:tc>
        <w:tc>
          <w:tcPr>
            <w:tcW w:w="992" w:type="dxa"/>
            <w:tcBorders>
              <w:top w:val="nil"/>
              <w:left w:val="nil"/>
              <w:bottom w:val="nil"/>
              <w:right w:val="single" w:sz="4" w:space="0" w:color="auto"/>
            </w:tcBorders>
            <w:shd w:val="clear" w:color="auto" w:fill="BFBFBF"/>
            <w:noWrap/>
            <w:vAlign w:val="bottom"/>
            <w:hideMark/>
          </w:tcPr>
          <w:p w14:paraId="2D57AB6C"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41,00%</w:t>
            </w:r>
          </w:p>
        </w:tc>
        <w:tc>
          <w:tcPr>
            <w:tcW w:w="992" w:type="dxa"/>
            <w:tcBorders>
              <w:top w:val="nil"/>
              <w:left w:val="nil"/>
              <w:bottom w:val="nil"/>
              <w:right w:val="single" w:sz="4" w:space="0" w:color="auto"/>
            </w:tcBorders>
            <w:shd w:val="clear" w:color="auto" w:fill="BFBFBF"/>
            <w:noWrap/>
            <w:vAlign w:val="bottom"/>
            <w:hideMark/>
          </w:tcPr>
          <w:p w14:paraId="175815CB"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1,48%</w:t>
            </w:r>
          </w:p>
        </w:tc>
        <w:tc>
          <w:tcPr>
            <w:tcW w:w="992" w:type="dxa"/>
            <w:gridSpan w:val="2"/>
            <w:tcBorders>
              <w:top w:val="nil"/>
              <w:left w:val="nil"/>
              <w:bottom w:val="nil"/>
              <w:right w:val="single" w:sz="4" w:space="0" w:color="auto"/>
            </w:tcBorders>
            <w:shd w:val="clear" w:color="auto" w:fill="BFBFBF"/>
            <w:noWrap/>
            <w:vAlign w:val="bottom"/>
            <w:hideMark/>
          </w:tcPr>
          <w:p w14:paraId="2948D222"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1,48%</w:t>
            </w:r>
          </w:p>
        </w:tc>
      </w:tr>
      <w:tr w:rsidR="00E7759C" w:rsidRPr="00E7759C" w14:paraId="4ECD15D6" w14:textId="77777777" w:rsidTr="0054297D">
        <w:trPr>
          <w:trHeight w:val="240"/>
        </w:trPr>
        <w:tc>
          <w:tcPr>
            <w:tcW w:w="2142" w:type="dxa"/>
            <w:tcBorders>
              <w:top w:val="nil"/>
              <w:left w:val="single" w:sz="4" w:space="0" w:color="auto"/>
              <w:bottom w:val="nil"/>
              <w:right w:val="single" w:sz="4" w:space="0" w:color="auto"/>
            </w:tcBorders>
            <w:shd w:val="clear" w:color="auto" w:fill="auto"/>
            <w:noWrap/>
            <w:vAlign w:val="bottom"/>
            <w:hideMark/>
          </w:tcPr>
          <w:p w14:paraId="71216A7E"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Tecnologías de Información</w:t>
            </w:r>
          </w:p>
        </w:tc>
        <w:tc>
          <w:tcPr>
            <w:tcW w:w="992" w:type="dxa"/>
            <w:gridSpan w:val="2"/>
            <w:tcBorders>
              <w:top w:val="nil"/>
              <w:left w:val="nil"/>
              <w:bottom w:val="nil"/>
              <w:right w:val="single" w:sz="4" w:space="0" w:color="auto"/>
            </w:tcBorders>
            <w:shd w:val="clear" w:color="auto" w:fill="auto"/>
            <w:noWrap/>
            <w:vAlign w:val="bottom"/>
            <w:hideMark/>
          </w:tcPr>
          <w:p w14:paraId="29FF652D"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1.200 </w:t>
            </w:r>
          </w:p>
        </w:tc>
        <w:tc>
          <w:tcPr>
            <w:tcW w:w="992" w:type="dxa"/>
            <w:gridSpan w:val="2"/>
            <w:tcBorders>
              <w:top w:val="nil"/>
              <w:left w:val="nil"/>
              <w:bottom w:val="nil"/>
              <w:right w:val="single" w:sz="4" w:space="0" w:color="auto"/>
            </w:tcBorders>
            <w:shd w:val="clear" w:color="auto" w:fill="auto"/>
            <w:noWrap/>
            <w:vAlign w:val="bottom"/>
            <w:hideMark/>
          </w:tcPr>
          <w:p w14:paraId="45D93D7F"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gridSpan w:val="2"/>
            <w:tcBorders>
              <w:top w:val="nil"/>
              <w:left w:val="nil"/>
              <w:bottom w:val="nil"/>
              <w:right w:val="single" w:sz="4" w:space="0" w:color="auto"/>
            </w:tcBorders>
            <w:shd w:val="clear" w:color="auto" w:fill="auto"/>
            <w:noWrap/>
            <w:vAlign w:val="bottom"/>
            <w:hideMark/>
          </w:tcPr>
          <w:p w14:paraId="3A191C49"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3" w:type="dxa"/>
            <w:gridSpan w:val="2"/>
            <w:tcBorders>
              <w:top w:val="nil"/>
              <w:left w:val="nil"/>
              <w:bottom w:val="nil"/>
              <w:right w:val="single" w:sz="4" w:space="0" w:color="auto"/>
            </w:tcBorders>
            <w:shd w:val="clear" w:color="auto" w:fill="auto"/>
            <w:noWrap/>
            <w:vAlign w:val="bottom"/>
            <w:hideMark/>
          </w:tcPr>
          <w:p w14:paraId="705EEC9E"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04A849E9"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tcBorders>
              <w:top w:val="nil"/>
              <w:left w:val="nil"/>
              <w:bottom w:val="nil"/>
              <w:right w:val="single" w:sz="4" w:space="0" w:color="auto"/>
            </w:tcBorders>
            <w:shd w:val="clear" w:color="auto" w:fill="auto"/>
            <w:noWrap/>
            <w:vAlign w:val="bottom"/>
            <w:hideMark/>
          </w:tcPr>
          <w:p w14:paraId="47282152"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gridSpan w:val="2"/>
            <w:tcBorders>
              <w:top w:val="nil"/>
              <w:left w:val="nil"/>
              <w:bottom w:val="nil"/>
              <w:right w:val="single" w:sz="4" w:space="0" w:color="auto"/>
            </w:tcBorders>
            <w:shd w:val="clear" w:color="auto" w:fill="auto"/>
            <w:noWrap/>
            <w:vAlign w:val="bottom"/>
            <w:hideMark/>
          </w:tcPr>
          <w:p w14:paraId="69933109"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5179A437" w14:textId="77777777" w:rsidTr="0054297D">
        <w:trPr>
          <w:trHeight w:val="240"/>
        </w:trPr>
        <w:tc>
          <w:tcPr>
            <w:tcW w:w="2142" w:type="dxa"/>
            <w:tcBorders>
              <w:top w:val="nil"/>
              <w:left w:val="single" w:sz="4" w:space="0" w:color="auto"/>
              <w:bottom w:val="nil"/>
              <w:right w:val="single" w:sz="4" w:space="0" w:color="auto"/>
            </w:tcBorders>
            <w:shd w:val="clear" w:color="auto" w:fill="BFBFBF"/>
            <w:noWrap/>
            <w:vAlign w:val="bottom"/>
            <w:hideMark/>
          </w:tcPr>
          <w:p w14:paraId="2CCB9E57"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Fortalecimiento Institucional</w:t>
            </w:r>
          </w:p>
        </w:tc>
        <w:tc>
          <w:tcPr>
            <w:tcW w:w="992" w:type="dxa"/>
            <w:gridSpan w:val="2"/>
            <w:tcBorders>
              <w:top w:val="nil"/>
              <w:left w:val="nil"/>
              <w:bottom w:val="nil"/>
              <w:right w:val="single" w:sz="4" w:space="0" w:color="auto"/>
            </w:tcBorders>
            <w:shd w:val="clear" w:color="auto" w:fill="BFBFBF"/>
            <w:noWrap/>
            <w:vAlign w:val="bottom"/>
            <w:hideMark/>
          </w:tcPr>
          <w:p w14:paraId="1A864327"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1.000 </w:t>
            </w:r>
          </w:p>
        </w:tc>
        <w:tc>
          <w:tcPr>
            <w:tcW w:w="992" w:type="dxa"/>
            <w:gridSpan w:val="2"/>
            <w:tcBorders>
              <w:top w:val="nil"/>
              <w:left w:val="nil"/>
              <w:bottom w:val="nil"/>
              <w:right w:val="single" w:sz="4" w:space="0" w:color="auto"/>
            </w:tcBorders>
            <w:shd w:val="clear" w:color="auto" w:fill="BFBFBF"/>
            <w:noWrap/>
            <w:vAlign w:val="bottom"/>
            <w:hideMark/>
          </w:tcPr>
          <w:p w14:paraId="2BCAF6F3"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gridSpan w:val="2"/>
            <w:tcBorders>
              <w:top w:val="nil"/>
              <w:left w:val="nil"/>
              <w:bottom w:val="nil"/>
              <w:right w:val="single" w:sz="4" w:space="0" w:color="auto"/>
            </w:tcBorders>
            <w:shd w:val="clear" w:color="auto" w:fill="BFBFBF"/>
            <w:noWrap/>
            <w:vAlign w:val="bottom"/>
            <w:hideMark/>
          </w:tcPr>
          <w:p w14:paraId="2470A291"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3" w:type="dxa"/>
            <w:gridSpan w:val="2"/>
            <w:tcBorders>
              <w:top w:val="nil"/>
              <w:left w:val="nil"/>
              <w:bottom w:val="nil"/>
              <w:right w:val="single" w:sz="4" w:space="0" w:color="auto"/>
            </w:tcBorders>
            <w:shd w:val="clear" w:color="auto" w:fill="BFBFBF"/>
            <w:noWrap/>
            <w:vAlign w:val="bottom"/>
            <w:hideMark/>
          </w:tcPr>
          <w:p w14:paraId="101969CC"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nil"/>
              <w:right w:val="single" w:sz="4" w:space="0" w:color="auto"/>
            </w:tcBorders>
            <w:shd w:val="clear" w:color="auto" w:fill="BFBFBF"/>
            <w:noWrap/>
            <w:vAlign w:val="bottom"/>
            <w:hideMark/>
          </w:tcPr>
          <w:p w14:paraId="39FC77C6"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tcBorders>
              <w:top w:val="nil"/>
              <w:left w:val="nil"/>
              <w:bottom w:val="nil"/>
              <w:right w:val="single" w:sz="4" w:space="0" w:color="auto"/>
            </w:tcBorders>
            <w:shd w:val="clear" w:color="auto" w:fill="BFBFBF"/>
            <w:noWrap/>
            <w:vAlign w:val="bottom"/>
            <w:hideMark/>
          </w:tcPr>
          <w:p w14:paraId="258BB768"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gridSpan w:val="2"/>
            <w:tcBorders>
              <w:top w:val="nil"/>
              <w:left w:val="nil"/>
              <w:bottom w:val="nil"/>
              <w:right w:val="single" w:sz="4" w:space="0" w:color="auto"/>
            </w:tcBorders>
            <w:shd w:val="clear" w:color="auto" w:fill="BFBFBF"/>
            <w:noWrap/>
            <w:vAlign w:val="bottom"/>
            <w:hideMark/>
          </w:tcPr>
          <w:p w14:paraId="7C07C767"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420C1A1C" w14:textId="77777777" w:rsidTr="0054297D">
        <w:trPr>
          <w:trHeight w:val="24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429DBE1A"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Gestión de Calidad</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3892C968"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445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72456C13"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6C50182D"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57BC592D" w14:textId="77777777" w:rsidR="00E7759C" w:rsidRPr="00E7759C" w:rsidRDefault="00E7759C" w:rsidP="00E7759C">
            <w:pPr>
              <w:spacing w:after="0" w:line="240" w:lineRule="auto"/>
              <w:rPr>
                <w:rFonts w:eastAsia="Times New Roman" w:cs="Times New Roman"/>
                <w:color w:val="000000"/>
                <w:sz w:val="16"/>
                <w:szCs w:val="18"/>
              </w:rPr>
            </w:pPr>
            <w:r w:rsidRPr="00E7759C">
              <w:rPr>
                <w:rFonts w:eastAsia="Times New Roman" w:cs="Times New Roman"/>
                <w:color w:val="000000"/>
                <w:sz w:val="16"/>
                <w:szCs w:val="18"/>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6FB603AA"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tcBorders>
              <w:top w:val="nil"/>
              <w:left w:val="nil"/>
              <w:bottom w:val="nil"/>
              <w:right w:val="single" w:sz="4" w:space="0" w:color="auto"/>
            </w:tcBorders>
            <w:shd w:val="clear" w:color="auto" w:fill="auto"/>
            <w:noWrap/>
            <w:vAlign w:val="bottom"/>
            <w:hideMark/>
          </w:tcPr>
          <w:p w14:paraId="34B77550"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c>
          <w:tcPr>
            <w:tcW w:w="992" w:type="dxa"/>
            <w:gridSpan w:val="2"/>
            <w:tcBorders>
              <w:top w:val="nil"/>
              <w:left w:val="nil"/>
              <w:bottom w:val="nil"/>
              <w:right w:val="single" w:sz="4" w:space="0" w:color="auto"/>
            </w:tcBorders>
            <w:shd w:val="clear" w:color="auto" w:fill="auto"/>
            <w:noWrap/>
            <w:vAlign w:val="bottom"/>
            <w:hideMark/>
          </w:tcPr>
          <w:p w14:paraId="7D1C4EE8" w14:textId="77777777" w:rsidR="00E7759C" w:rsidRPr="00E7759C" w:rsidRDefault="00E7759C" w:rsidP="00E7759C">
            <w:pPr>
              <w:spacing w:after="0" w:line="240" w:lineRule="auto"/>
              <w:jc w:val="center"/>
              <w:rPr>
                <w:rFonts w:eastAsia="Times New Roman" w:cs="Times New Roman"/>
                <w:color w:val="000000"/>
                <w:sz w:val="16"/>
                <w:szCs w:val="18"/>
              </w:rPr>
            </w:pPr>
            <w:r w:rsidRPr="00E7759C">
              <w:rPr>
                <w:rFonts w:eastAsia="Times New Roman" w:cs="Times New Roman"/>
                <w:color w:val="000000"/>
                <w:sz w:val="16"/>
                <w:szCs w:val="18"/>
              </w:rPr>
              <w:t>0,00%</w:t>
            </w:r>
          </w:p>
        </w:tc>
      </w:tr>
      <w:tr w:rsidR="00E7759C" w:rsidRPr="00E7759C" w14:paraId="3AD000A5" w14:textId="77777777" w:rsidTr="0054297D">
        <w:trPr>
          <w:trHeight w:val="240"/>
        </w:trPr>
        <w:tc>
          <w:tcPr>
            <w:tcW w:w="2142" w:type="dxa"/>
            <w:tcBorders>
              <w:top w:val="nil"/>
              <w:left w:val="single" w:sz="4" w:space="0" w:color="auto"/>
              <w:bottom w:val="single" w:sz="4" w:space="0" w:color="auto"/>
              <w:right w:val="single" w:sz="4" w:space="0" w:color="auto"/>
            </w:tcBorders>
            <w:shd w:val="clear" w:color="auto" w:fill="1F4E79"/>
            <w:noWrap/>
            <w:vAlign w:val="bottom"/>
            <w:hideMark/>
          </w:tcPr>
          <w:p w14:paraId="65527983"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Total</w:t>
            </w:r>
          </w:p>
        </w:tc>
        <w:tc>
          <w:tcPr>
            <w:tcW w:w="992" w:type="dxa"/>
            <w:gridSpan w:val="2"/>
            <w:tcBorders>
              <w:top w:val="nil"/>
              <w:left w:val="nil"/>
              <w:bottom w:val="single" w:sz="4" w:space="0" w:color="auto"/>
              <w:right w:val="single" w:sz="4" w:space="0" w:color="auto"/>
            </w:tcBorders>
            <w:shd w:val="clear" w:color="auto" w:fill="1F4E79"/>
            <w:noWrap/>
            <w:vAlign w:val="bottom"/>
            <w:hideMark/>
          </w:tcPr>
          <w:p w14:paraId="280C9286"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 xml:space="preserve">    2.236.421 </w:t>
            </w:r>
          </w:p>
        </w:tc>
        <w:tc>
          <w:tcPr>
            <w:tcW w:w="992" w:type="dxa"/>
            <w:gridSpan w:val="2"/>
            <w:tcBorders>
              <w:top w:val="nil"/>
              <w:left w:val="nil"/>
              <w:bottom w:val="single" w:sz="4" w:space="0" w:color="auto"/>
              <w:right w:val="single" w:sz="4" w:space="0" w:color="auto"/>
            </w:tcBorders>
            <w:shd w:val="clear" w:color="auto" w:fill="1F4E79"/>
            <w:noWrap/>
            <w:vAlign w:val="bottom"/>
            <w:hideMark/>
          </w:tcPr>
          <w:p w14:paraId="055DE2CB"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 xml:space="preserve">    1.803.137 </w:t>
            </w:r>
          </w:p>
        </w:tc>
        <w:tc>
          <w:tcPr>
            <w:tcW w:w="992" w:type="dxa"/>
            <w:gridSpan w:val="2"/>
            <w:tcBorders>
              <w:top w:val="nil"/>
              <w:left w:val="nil"/>
              <w:bottom w:val="single" w:sz="4" w:space="0" w:color="auto"/>
              <w:right w:val="single" w:sz="4" w:space="0" w:color="auto"/>
            </w:tcBorders>
            <w:shd w:val="clear" w:color="auto" w:fill="1F4E79"/>
            <w:noWrap/>
            <w:vAlign w:val="bottom"/>
            <w:hideMark/>
          </w:tcPr>
          <w:p w14:paraId="7DD23D7D"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 xml:space="preserve">    1.672.541 </w:t>
            </w:r>
          </w:p>
        </w:tc>
        <w:tc>
          <w:tcPr>
            <w:tcW w:w="993" w:type="dxa"/>
            <w:gridSpan w:val="2"/>
            <w:tcBorders>
              <w:top w:val="nil"/>
              <w:left w:val="nil"/>
              <w:bottom w:val="single" w:sz="4" w:space="0" w:color="auto"/>
              <w:right w:val="single" w:sz="4" w:space="0" w:color="auto"/>
            </w:tcBorders>
            <w:shd w:val="clear" w:color="auto" w:fill="1F4E79"/>
            <w:noWrap/>
            <w:vAlign w:val="bottom"/>
            <w:hideMark/>
          </w:tcPr>
          <w:p w14:paraId="058DEA03"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 xml:space="preserve">           1.123 </w:t>
            </w:r>
          </w:p>
        </w:tc>
        <w:tc>
          <w:tcPr>
            <w:tcW w:w="992" w:type="dxa"/>
            <w:tcBorders>
              <w:top w:val="nil"/>
              <w:left w:val="nil"/>
              <w:bottom w:val="single" w:sz="4" w:space="0" w:color="auto"/>
              <w:right w:val="single" w:sz="4" w:space="0" w:color="auto"/>
            </w:tcBorders>
            <w:shd w:val="clear" w:color="auto" w:fill="1F4E79"/>
            <w:noWrap/>
            <w:vAlign w:val="bottom"/>
            <w:hideMark/>
          </w:tcPr>
          <w:p w14:paraId="30572379"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80,63%</w:t>
            </w:r>
          </w:p>
        </w:tc>
        <w:tc>
          <w:tcPr>
            <w:tcW w:w="992" w:type="dxa"/>
            <w:tcBorders>
              <w:top w:val="single" w:sz="4" w:space="0" w:color="auto"/>
              <w:left w:val="nil"/>
              <w:bottom w:val="single" w:sz="4" w:space="0" w:color="auto"/>
              <w:right w:val="single" w:sz="4" w:space="0" w:color="auto"/>
            </w:tcBorders>
            <w:shd w:val="clear" w:color="auto" w:fill="1F4E79"/>
            <w:noWrap/>
            <w:vAlign w:val="bottom"/>
            <w:hideMark/>
          </w:tcPr>
          <w:p w14:paraId="19F89D25"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74,79%</w:t>
            </w:r>
          </w:p>
        </w:tc>
        <w:tc>
          <w:tcPr>
            <w:tcW w:w="992" w:type="dxa"/>
            <w:gridSpan w:val="2"/>
            <w:tcBorders>
              <w:top w:val="single" w:sz="4" w:space="0" w:color="auto"/>
              <w:left w:val="nil"/>
              <w:bottom w:val="single" w:sz="4" w:space="0" w:color="auto"/>
              <w:right w:val="single" w:sz="4" w:space="0" w:color="auto"/>
            </w:tcBorders>
            <w:shd w:val="clear" w:color="auto" w:fill="1F4E79"/>
            <w:noWrap/>
            <w:vAlign w:val="bottom"/>
            <w:hideMark/>
          </w:tcPr>
          <w:p w14:paraId="71B15327" w14:textId="77777777" w:rsidR="00E7759C" w:rsidRPr="00E7759C" w:rsidRDefault="00E7759C" w:rsidP="00E7759C">
            <w:pPr>
              <w:spacing w:after="0" w:line="240" w:lineRule="auto"/>
              <w:jc w:val="center"/>
              <w:rPr>
                <w:rFonts w:eastAsia="Times New Roman" w:cs="Times New Roman"/>
                <w:b/>
                <w:bCs/>
                <w:color w:val="FFFFFF"/>
                <w:sz w:val="16"/>
                <w:szCs w:val="18"/>
              </w:rPr>
            </w:pPr>
            <w:r w:rsidRPr="00E7759C">
              <w:rPr>
                <w:rFonts w:eastAsia="Times New Roman" w:cs="Times New Roman"/>
                <w:b/>
                <w:bCs/>
                <w:color w:val="FFFFFF"/>
                <w:sz w:val="16"/>
                <w:szCs w:val="18"/>
              </w:rPr>
              <w:t>0,05%</w:t>
            </w:r>
          </w:p>
        </w:tc>
      </w:tr>
    </w:tbl>
    <w:p w14:paraId="5F7AA467" w14:textId="77777777" w:rsidR="008A7483" w:rsidRDefault="008A7483" w:rsidP="00E7759C">
      <w:pPr>
        <w:spacing w:after="0" w:line="0" w:lineRule="atLeast"/>
        <w:rPr>
          <w:rFonts w:eastAsia="Times New Roman" w:cs="Times New Roman"/>
          <w:b/>
          <w:color w:val="365F91"/>
          <w:lang w:val="es-ES" w:eastAsia="en-US"/>
        </w:rPr>
      </w:pPr>
    </w:p>
    <w:p w14:paraId="47F15187" w14:textId="77777777" w:rsidR="00E7759C" w:rsidRPr="00E7759C" w:rsidRDefault="00E7759C" w:rsidP="00E7759C">
      <w:pPr>
        <w:spacing w:after="0" w:line="0" w:lineRule="atLeast"/>
        <w:rPr>
          <w:rFonts w:eastAsia="Times New Roman" w:cs="Times New Roman"/>
          <w:b/>
          <w:color w:val="365F91"/>
          <w:lang w:val="es-ES" w:eastAsia="en-US"/>
        </w:rPr>
      </w:pPr>
      <w:r w:rsidRPr="00E7759C">
        <w:rPr>
          <w:rFonts w:eastAsia="Times New Roman" w:cs="Times New Roman"/>
          <w:b/>
          <w:color w:val="365F91"/>
          <w:lang w:val="es-ES" w:eastAsia="en-US"/>
        </w:rPr>
        <w:t>Comentarios especiales para el presupuesto de inversión:</w:t>
      </w:r>
    </w:p>
    <w:p w14:paraId="0FD1955E" w14:textId="77777777" w:rsidR="00E7759C" w:rsidRPr="00E7759C" w:rsidRDefault="00E7759C" w:rsidP="00E7759C">
      <w:pPr>
        <w:spacing w:after="0" w:line="0" w:lineRule="atLeast"/>
        <w:rPr>
          <w:rFonts w:eastAsia="Times New Roman" w:cs="Times New Roman"/>
          <w:b/>
          <w:color w:val="365F91"/>
          <w:lang w:val="es-ES" w:eastAsia="en-US"/>
        </w:rPr>
      </w:pPr>
    </w:p>
    <w:p w14:paraId="765BEB25" w14:textId="77777777" w:rsidR="00E7759C" w:rsidRPr="00E7759C" w:rsidRDefault="00E7759C" w:rsidP="00E7759C">
      <w:pPr>
        <w:numPr>
          <w:ilvl w:val="0"/>
          <w:numId w:val="128"/>
        </w:numPr>
        <w:spacing w:after="0" w:line="0" w:lineRule="atLeast"/>
        <w:ind w:left="284" w:hanging="284"/>
        <w:jc w:val="both"/>
        <w:rPr>
          <w:rFonts w:eastAsia="Times New Roman" w:cs="Times New Roman"/>
          <w:u w:val="single"/>
          <w:lang w:val="es-ES" w:eastAsia="en-US"/>
        </w:rPr>
      </w:pPr>
      <w:r w:rsidRPr="00E7759C">
        <w:rPr>
          <w:rFonts w:eastAsia="Times New Roman" w:cs="Times New Roman"/>
          <w:u w:val="single"/>
          <w:lang w:val="es-ES" w:eastAsia="en-US"/>
        </w:rPr>
        <w:t>Vigencias Futuras Carretero.</w:t>
      </w:r>
      <w:r w:rsidRPr="00E7759C">
        <w:rPr>
          <w:rFonts w:eastAsia="Times New Roman" w:cs="Times New Roman"/>
          <w:lang w:val="es-ES" w:eastAsia="en-US"/>
        </w:rPr>
        <w:t xml:space="preserve"> La concesión vial Ruta del Sol Sector 3 cuenta con una aprobación de $354.000 millones para la vigencia 2014. Sin embargo, el Ministerio de Hacienda y Crédito Público aprobó una modificación al plan de vigencias de este proyecto, en donde el valor del 2014 se desplazará. El valor apropiado será distribuido de la siguiente forma: $250.000 para trasladar al presupuesto del INVIAS y los $104.000 millones serán transferidos al proyecto Transversal de las Américas a cargo de la ANI.</w:t>
      </w:r>
    </w:p>
    <w:p w14:paraId="3F58ECE4" w14:textId="77777777" w:rsidR="00E7759C" w:rsidRPr="00E7759C" w:rsidRDefault="00E7759C" w:rsidP="00E7759C">
      <w:pPr>
        <w:spacing w:after="0" w:line="0" w:lineRule="atLeast"/>
        <w:ind w:left="284"/>
        <w:jc w:val="both"/>
        <w:rPr>
          <w:rFonts w:eastAsia="Times New Roman" w:cs="Times New Roman"/>
          <w:u w:val="single"/>
          <w:lang w:val="es-ES" w:eastAsia="en-US"/>
        </w:rPr>
      </w:pPr>
    </w:p>
    <w:p w14:paraId="5184C9CF" w14:textId="77777777" w:rsidR="00E7759C" w:rsidRPr="00E7759C" w:rsidRDefault="00E7759C" w:rsidP="00E7759C">
      <w:pPr>
        <w:spacing w:after="0" w:line="0" w:lineRule="atLeast"/>
        <w:ind w:left="284"/>
        <w:jc w:val="both"/>
        <w:rPr>
          <w:rFonts w:eastAsia="Times New Roman" w:cs="Times New Roman"/>
          <w:lang w:val="es-ES" w:eastAsia="en-US"/>
        </w:rPr>
      </w:pPr>
      <w:r w:rsidRPr="00E7759C">
        <w:rPr>
          <w:rFonts w:eastAsia="Times New Roman" w:cs="Times New Roman"/>
          <w:lang w:val="es-ES" w:eastAsia="en-US"/>
        </w:rPr>
        <w:t>Teniendo en cuenta lo anterior, el valor de la apropiación se registra a la fecha sin comprometer.</w:t>
      </w:r>
    </w:p>
    <w:p w14:paraId="6E3EE203" w14:textId="77777777" w:rsidR="00E7759C" w:rsidRPr="00E7759C" w:rsidRDefault="00E7759C" w:rsidP="00E7759C">
      <w:pPr>
        <w:spacing w:after="0" w:line="0" w:lineRule="atLeast"/>
        <w:ind w:left="284"/>
        <w:jc w:val="both"/>
        <w:rPr>
          <w:rFonts w:eastAsia="Times New Roman" w:cs="Times New Roman"/>
          <w:lang w:val="es-ES" w:eastAsia="en-US"/>
        </w:rPr>
      </w:pPr>
    </w:p>
    <w:p w14:paraId="7D7188CB" w14:textId="77777777" w:rsidR="00E7759C" w:rsidRPr="00E7759C" w:rsidRDefault="00E7759C" w:rsidP="00E7759C">
      <w:pPr>
        <w:numPr>
          <w:ilvl w:val="0"/>
          <w:numId w:val="128"/>
        </w:numPr>
        <w:spacing w:after="0" w:line="0" w:lineRule="atLeast"/>
        <w:ind w:left="284" w:hanging="284"/>
        <w:jc w:val="both"/>
        <w:rPr>
          <w:rFonts w:eastAsia="Times New Roman" w:cs="Times New Roman"/>
          <w:lang w:val="es-ES" w:eastAsia="en-US"/>
        </w:rPr>
      </w:pPr>
      <w:r w:rsidRPr="00E7759C">
        <w:rPr>
          <w:rFonts w:eastAsia="Times New Roman" w:cs="Times New Roman"/>
          <w:u w:val="single"/>
          <w:lang w:val="es-ES" w:eastAsia="en-US"/>
        </w:rPr>
        <w:t>Asesorías y Consultorías.</w:t>
      </w:r>
      <w:r w:rsidRPr="00E7759C">
        <w:rPr>
          <w:rFonts w:eastAsia="Times New Roman" w:cs="Times New Roman"/>
          <w:lang w:val="es-ES" w:eastAsia="en-US"/>
        </w:rPr>
        <w:t xml:space="preserve"> Para la vigencia 2014, se cuenta con una apropiación de recursos que asciende a la suma de $41.700 millones, los cuales se encuentran distribuidos para el desarrollo de diferentes proyectos a cargo de las Vicepresidencias y Oficinas de la Entidad, tal como se presenta a continuación:</w:t>
      </w:r>
    </w:p>
    <w:p w14:paraId="0799CFC2" w14:textId="77777777" w:rsidR="00E7759C" w:rsidRPr="00E7759C" w:rsidRDefault="00E7759C" w:rsidP="00E7759C">
      <w:pPr>
        <w:spacing w:after="0" w:line="0" w:lineRule="atLeast"/>
        <w:ind w:left="284"/>
        <w:jc w:val="both"/>
        <w:rPr>
          <w:rFonts w:eastAsia="Times New Roman" w:cs="Times New Roman"/>
          <w:lang w:val="es-ES" w:eastAsia="en-US"/>
        </w:rPr>
      </w:pPr>
    </w:p>
    <w:p w14:paraId="32C3EA44" w14:textId="77777777" w:rsidR="00E7759C" w:rsidRPr="00E7759C" w:rsidRDefault="00E7759C" w:rsidP="00E7759C">
      <w:pPr>
        <w:spacing w:after="0" w:line="0" w:lineRule="atLeast"/>
        <w:jc w:val="center"/>
        <w:rPr>
          <w:rFonts w:eastAsia="Times New Roman" w:cs="Times New Roman"/>
          <w:lang w:val="es-ES" w:eastAsia="en-US"/>
        </w:rPr>
      </w:pPr>
      <w:r w:rsidRPr="00E7759C">
        <w:rPr>
          <w:rFonts w:eastAsia="Times New Roman" w:cs="Times New Roman"/>
          <w:b/>
          <w:color w:val="365F91"/>
          <w:sz w:val="18"/>
          <w:szCs w:val="16"/>
          <w:lang w:val="es-ES" w:eastAsia="es-ES"/>
        </w:rPr>
        <w:t>Cuadro No. 6</w:t>
      </w:r>
    </w:p>
    <w:p w14:paraId="20FF13AA"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Ejecución Presupuestal – Asesorías y consultorías</w:t>
      </w:r>
    </w:p>
    <w:tbl>
      <w:tblPr>
        <w:tblW w:w="9073" w:type="dxa"/>
        <w:jc w:val="center"/>
        <w:tblCellMar>
          <w:left w:w="70" w:type="dxa"/>
          <w:right w:w="70" w:type="dxa"/>
        </w:tblCellMar>
        <w:tblLook w:val="04A0" w:firstRow="1" w:lastRow="0" w:firstColumn="1" w:lastColumn="0" w:noHBand="0" w:noVBand="1"/>
      </w:tblPr>
      <w:tblGrid>
        <w:gridCol w:w="1322"/>
        <w:gridCol w:w="3782"/>
        <w:gridCol w:w="1002"/>
        <w:gridCol w:w="1051"/>
        <w:gridCol w:w="1065"/>
        <w:gridCol w:w="851"/>
      </w:tblGrid>
      <w:tr w:rsidR="00E7759C" w:rsidRPr="00E7759C" w14:paraId="092E50A1" w14:textId="77777777" w:rsidTr="0054297D">
        <w:trPr>
          <w:trHeight w:val="270"/>
          <w:jc w:val="center"/>
        </w:trPr>
        <w:tc>
          <w:tcPr>
            <w:tcW w:w="9073" w:type="dxa"/>
            <w:gridSpan w:val="6"/>
            <w:tcBorders>
              <w:top w:val="nil"/>
              <w:left w:val="nil"/>
              <w:bottom w:val="single" w:sz="4" w:space="0" w:color="auto"/>
              <w:right w:val="nil"/>
            </w:tcBorders>
            <w:shd w:val="clear" w:color="auto" w:fill="auto"/>
            <w:noWrap/>
            <w:vAlign w:val="bottom"/>
            <w:hideMark/>
          </w:tcPr>
          <w:p w14:paraId="74A215E1"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cifras en millones de pesos</w:t>
            </w:r>
          </w:p>
        </w:tc>
      </w:tr>
      <w:tr w:rsidR="00E7759C" w:rsidRPr="00E7759C" w14:paraId="2C54DA25" w14:textId="77777777" w:rsidTr="0054297D">
        <w:trPr>
          <w:trHeight w:val="270"/>
          <w:jc w:val="center"/>
        </w:trPr>
        <w:tc>
          <w:tcPr>
            <w:tcW w:w="1322" w:type="dxa"/>
            <w:tcBorders>
              <w:top w:val="nil"/>
              <w:left w:val="single" w:sz="4" w:space="0" w:color="auto"/>
              <w:bottom w:val="single" w:sz="4" w:space="0" w:color="auto"/>
              <w:right w:val="single" w:sz="4" w:space="0" w:color="auto"/>
            </w:tcBorders>
            <w:shd w:val="clear" w:color="000000" w:fill="1F4E78"/>
            <w:noWrap/>
            <w:vAlign w:val="bottom"/>
            <w:hideMark/>
          </w:tcPr>
          <w:p w14:paraId="50D7D594"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Vicep / Oficina</w:t>
            </w:r>
          </w:p>
        </w:tc>
        <w:tc>
          <w:tcPr>
            <w:tcW w:w="3782" w:type="dxa"/>
            <w:tcBorders>
              <w:top w:val="nil"/>
              <w:left w:val="nil"/>
              <w:bottom w:val="nil"/>
              <w:right w:val="single" w:sz="4" w:space="0" w:color="auto"/>
            </w:tcBorders>
            <w:shd w:val="clear" w:color="000000" w:fill="1F4E78"/>
            <w:noWrap/>
            <w:vAlign w:val="bottom"/>
            <w:hideMark/>
          </w:tcPr>
          <w:p w14:paraId="0329653D"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Actividad</w:t>
            </w:r>
          </w:p>
        </w:tc>
        <w:tc>
          <w:tcPr>
            <w:tcW w:w="1002" w:type="dxa"/>
            <w:tcBorders>
              <w:top w:val="nil"/>
              <w:left w:val="nil"/>
              <w:bottom w:val="nil"/>
              <w:right w:val="single" w:sz="4" w:space="0" w:color="auto"/>
            </w:tcBorders>
            <w:shd w:val="clear" w:color="000000" w:fill="1F4E78"/>
            <w:noWrap/>
            <w:vAlign w:val="bottom"/>
            <w:hideMark/>
          </w:tcPr>
          <w:p w14:paraId="661D79CC"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Apropiación</w:t>
            </w:r>
          </w:p>
        </w:tc>
        <w:tc>
          <w:tcPr>
            <w:tcW w:w="1051" w:type="dxa"/>
            <w:tcBorders>
              <w:top w:val="nil"/>
              <w:left w:val="nil"/>
              <w:bottom w:val="nil"/>
              <w:right w:val="single" w:sz="4" w:space="0" w:color="auto"/>
            </w:tcBorders>
            <w:shd w:val="clear" w:color="000000" w:fill="1F4E78"/>
            <w:noWrap/>
            <w:vAlign w:val="bottom"/>
            <w:hideMark/>
          </w:tcPr>
          <w:p w14:paraId="13D68080"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Compromiso</w:t>
            </w:r>
          </w:p>
        </w:tc>
        <w:tc>
          <w:tcPr>
            <w:tcW w:w="1065" w:type="dxa"/>
            <w:tcBorders>
              <w:top w:val="nil"/>
              <w:left w:val="nil"/>
              <w:bottom w:val="nil"/>
              <w:right w:val="single" w:sz="4" w:space="0" w:color="auto"/>
            </w:tcBorders>
            <w:shd w:val="clear" w:color="000000" w:fill="1F4E78"/>
            <w:noWrap/>
            <w:vAlign w:val="bottom"/>
            <w:hideMark/>
          </w:tcPr>
          <w:p w14:paraId="270C5C82"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Obligación</w:t>
            </w:r>
          </w:p>
        </w:tc>
        <w:tc>
          <w:tcPr>
            <w:tcW w:w="851" w:type="dxa"/>
            <w:tcBorders>
              <w:top w:val="nil"/>
              <w:left w:val="nil"/>
              <w:bottom w:val="nil"/>
              <w:right w:val="single" w:sz="4" w:space="0" w:color="auto"/>
            </w:tcBorders>
            <w:shd w:val="clear" w:color="000000" w:fill="1F4E78"/>
            <w:noWrap/>
            <w:vAlign w:val="bottom"/>
            <w:hideMark/>
          </w:tcPr>
          <w:p w14:paraId="2045AEEF"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Pago</w:t>
            </w:r>
          </w:p>
        </w:tc>
      </w:tr>
      <w:tr w:rsidR="00E7759C" w:rsidRPr="00E7759C" w14:paraId="3AE74D31" w14:textId="77777777" w:rsidTr="0054297D">
        <w:trPr>
          <w:trHeight w:val="270"/>
          <w:jc w:val="center"/>
        </w:trPr>
        <w:tc>
          <w:tcPr>
            <w:tcW w:w="1322" w:type="dxa"/>
            <w:vMerge w:val="restart"/>
            <w:tcBorders>
              <w:top w:val="nil"/>
              <w:left w:val="single" w:sz="4" w:space="0" w:color="auto"/>
              <w:bottom w:val="single" w:sz="4" w:space="0" w:color="auto"/>
              <w:right w:val="single" w:sz="4" w:space="0" w:color="000000"/>
            </w:tcBorders>
            <w:shd w:val="clear" w:color="auto" w:fill="auto"/>
            <w:vAlign w:val="center"/>
            <w:hideMark/>
          </w:tcPr>
          <w:p w14:paraId="4E4196AE" w14:textId="77777777" w:rsidR="00E7759C" w:rsidRPr="00E7759C" w:rsidRDefault="00E7759C" w:rsidP="00E7759C">
            <w:pPr>
              <w:spacing w:after="0" w:line="240" w:lineRule="auto"/>
              <w:jc w:val="center"/>
              <w:rPr>
                <w:rFonts w:eastAsia="Times New Roman" w:cs="Times New Roman"/>
                <w:b/>
                <w:bCs/>
                <w:color w:val="000000"/>
                <w:sz w:val="16"/>
                <w:szCs w:val="16"/>
              </w:rPr>
            </w:pPr>
            <w:r w:rsidRPr="00E7759C">
              <w:rPr>
                <w:rFonts w:eastAsia="Times New Roman" w:cs="Times New Roman"/>
                <w:b/>
                <w:bCs/>
                <w:color w:val="000000"/>
                <w:sz w:val="16"/>
                <w:szCs w:val="16"/>
              </w:rPr>
              <w:t>Vice Estructuración</w:t>
            </w:r>
          </w:p>
        </w:tc>
        <w:tc>
          <w:tcPr>
            <w:tcW w:w="3782" w:type="dxa"/>
            <w:tcBorders>
              <w:top w:val="single" w:sz="4" w:space="0" w:color="auto"/>
              <w:left w:val="nil"/>
              <w:bottom w:val="nil"/>
              <w:right w:val="nil"/>
            </w:tcBorders>
            <w:shd w:val="clear" w:color="auto" w:fill="auto"/>
            <w:noWrap/>
            <w:vAlign w:val="bottom"/>
            <w:hideMark/>
          </w:tcPr>
          <w:p w14:paraId="453E77DD"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Adición convenios Fonade</w:t>
            </w:r>
          </w:p>
        </w:tc>
        <w:tc>
          <w:tcPr>
            <w:tcW w:w="1002" w:type="dxa"/>
            <w:tcBorders>
              <w:top w:val="single" w:sz="4" w:space="0" w:color="auto"/>
              <w:left w:val="single" w:sz="4" w:space="0" w:color="auto"/>
              <w:bottom w:val="nil"/>
              <w:right w:val="single" w:sz="4" w:space="0" w:color="auto"/>
            </w:tcBorders>
            <w:shd w:val="clear" w:color="auto" w:fill="auto"/>
            <w:noWrap/>
            <w:vAlign w:val="bottom"/>
            <w:hideMark/>
          </w:tcPr>
          <w:p w14:paraId="08892D4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8.817</w:t>
            </w:r>
          </w:p>
        </w:tc>
        <w:tc>
          <w:tcPr>
            <w:tcW w:w="1051" w:type="dxa"/>
            <w:tcBorders>
              <w:top w:val="single" w:sz="4" w:space="0" w:color="auto"/>
              <w:left w:val="nil"/>
              <w:bottom w:val="nil"/>
              <w:right w:val="single" w:sz="4" w:space="0" w:color="auto"/>
            </w:tcBorders>
            <w:shd w:val="clear" w:color="auto" w:fill="auto"/>
            <w:noWrap/>
            <w:vAlign w:val="bottom"/>
            <w:hideMark/>
          </w:tcPr>
          <w:p w14:paraId="119AEE63"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8.817</w:t>
            </w:r>
          </w:p>
        </w:tc>
        <w:tc>
          <w:tcPr>
            <w:tcW w:w="1065" w:type="dxa"/>
            <w:tcBorders>
              <w:top w:val="single" w:sz="4" w:space="0" w:color="auto"/>
              <w:left w:val="nil"/>
              <w:bottom w:val="nil"/>
              <w:right w:val="single" w:sz="4" w:space="0" w:color="auto"/>
            </w:tcBorders>
            <w:shd w:val="clear" w:color="auto" w:fill="auto"/>
            <w:noWrap/>
            <w:vAlign w:val="bottom"/>
            <w:hideMark/>
          </w:tcPr>
          <w:p w14:paraId="7FB80D86"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single" w:sz="4" w:space="0" w:color="auto"/>
              <w:left w:val="nil"/>
              <w:bottom w:val="nil"/>
              <w:right w:val="single" w:sz="4" w:space="0" w:color="auto"/>
            </w:tcBorders>
            <w:shd w:val="clear" w:color="auto" w:fill="auto"/>
            <w:noWrap/>
            <w:vAlign w:val="bottom"/>
            <w:hideMark/>
          </w:tcPr>
          <w:p w14:paraId="52EBCB6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6DC5AA13"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568926AB"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nil"/>
            </w:tcBorders>
            <w:shd w:val="clear" w:color="auto" w:fill="F2F2F2"/>
            <w:noWrap/>
            <w:vAlign w:val="bottom"/>
            <w:hideMark/>
          </w:tcPr>
          <w:p w14:paraId="669D4E1A"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Adición Estructuración Aeropuertos</w:t>
            </w:r>
          </w:p>
        </w:tc>
        <w:tc>
          <w:tcPr>
            <w:tcW w:w="1002" w:type="dxa"/>
            <w:tcBorders>
              <w:top w:val="nil"/>
              <w:left w:val="single" w:sz="4" w:space="0" w:color="auto"/>
              <w:bottom w:val="nil"/>
              <w:right w:val="single" w:sz="4" w:space="0" w:color="auto"/>
            </w:tcBorders>
            <w:shd w:val="clear" w:color="auto" w:fill="F2F2F2"/>
            <w:noWrap/>
            <w:vAlign w:val="bottom"/>
            <w:hideMark/>
          </w:tcPr>
          <w:p w14:paraId="3BCA2F6F"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550</w:t>
            </w:r>
          </w:p>
        </w:tc>
        <w:tc>
          <w:tcPr>
            <w:tcW w:w="1051" w:type="dxa"/>
            <w:tcBorders>
              <w:top w:val="nil"/>
              <w:left w:val="nil"/>
              <w:bottom w:val="nil"/>
              <w:right w:val="single" w:sz="4" w:space="0" w:color="auto"/>
            </w:tcBorders>
            <w:shd w:val="clear" w:color="auto" w:fill="F2F2F2"/>
            <w:noWrap/>
            <w:vAlign w:val="bottom"/>
            <w:hideMark/>
          </w:tcPr>
          <w:p w14:paraId="568A960E"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nil"/>
              <w:right w:val="single" w:sz="4" w:space="0" w:color="auto"/>
            </w:tcBorders>
            <w:shd w:val="clear" w:color="auto" w:fill="F2F2F2"/>
            <w:noWrap/>
            <w:vAlign w:val="bottom"/>
            <w:hideMark/>
          </w:tcPr>
          <w:p w14:paraId="1DAB840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F2F2F2"/>
            <w:noWrap/>
            <w:vAlign w:val="bottom"/>
            <w:hideMark/>
          </w:tcPr>
          <w:p w14:paraId="57F504C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47272089"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531A7BEF"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nil"/>
            </w:tcBorders>
            <w:shd w:val="clear" w:color="auto" w:fill="auto"/>
            <w:noWrap/>
            <w:vAlign w:val="bottom"/>
            <w:hideMark/>
          </w:tcPr>
          <w:p w14:paraId="3A11625B"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Adición Estructuración Barranca - Remedios - Yondó</w:t>
            </w:r>
          </w:p>
        </w:tc>
        <w:tc>
          <w:tcPr>
            <w:tcW w:w="1002" w:type="dxa"/>
            <w:tcBorders>
              <w:top w:val="nil"/>
              <w:left w:val="single" w:sz="4" w:space="0" w:color="auto"/>
              <w:bottom w:val="nil"/>
              <w:right w:val="single" w:sz="4" w:space="0" w:color="auto"/>
            </w:tcBorders>
            <w:shd w:val="clear" w:color="auto" w:fill="auto"/>
            <w:noWrap/>
            <w:vAlign w:val="bottom"/>
            <w:hideMark/>
          </w:tcPr>
          <w:p w14:paraId="47F7116D"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503</w:t>
            </w:r>
          </w:p>
        </w:tc>
        <w:tc>
          <w:tcPr>
            <w:tcW w:w="1051" w:type="dxa"/>
            <w:tcBorders>
              <w:top w:val="nil"/>
              <w:left w:val="nil"/>
              <w:bottom w:val="nil"/>
              <w:right w:val="single" w:sz="4" w:space="0" w:color="auto"/>
            </w:tcBorders>
            <w:shd w:val="clear" w:color="auto" w:fill="auto"/>
            <w:noWrap/>
            <w:vAlign w:val="bottom"/>
            <w:hideMark/>
          </w:tcPr>
          <w:p w14:paraId="6C6470A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503</w:t>
            </w:r>
          </w:p>
        </w:tc>
        <w:tc>
          <w:tcPr>
            <w:tcW w:w="1065" w:type="dxa"/>
            <w:tcBorders>
              <w:top w:val="nil"/>
              <w:left w:val="nil"/>
              <w:bottom w:val="nil"/>
              <w:right w:val="single" w:sz="4" w:space="0" w:color="auto"/>
            </w:tcBorders>
            <w:shd w:val="clear" w:color="auto" w:fill="auto"/>
            <w:noWrap/>
            <w:vAlign w:val="bottom"/>
            <w:hideMark/>
          </w:tcPr>
          <w:p w14:paraId="64432371"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auto"/>
            <w:noWrap/>
            <w:vAlign w:val="bottom"/>
            <w:hideMark/>
          </w:tcPr>
          <w:p w14:paraId="7EB37F4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565CE4BD"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4317FBEA"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nil"/>
            </w:tcBorders>
            <w:shd w:val="clear" w:color="auto" w:fill="F2F2F2"/>
            <w:noWrap/>
            <w:vAlign w:val="bottom"/>
            <w:hideMark/>
          </w:tcPr>
          <w:p w14:paraId="0A28192D"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Asesorías Financieras</w:t>
            </w:r>
          </w:p>
        </w:tc>
        <w:tc>
          <w:tcPr>
            <w:tcW w:w="1002" w:type="dxa"/>
            <w:tcBorders>
              <w:top w:val="nil"/>
              <w:left w:val="single" w:sz="4" w:space="0" w:color="auto"/>
              <w:bottom w:val="nil"/>
              <w:right w:val="single" w:sz="4" w:space="0" w:color="auto"/>
            </w:tcBorders>
            <w:shd w:val="clear" w:color="auto" w:fill="F2F2F2"/>
            <w:noWrap/>
            <w:vAlign w:val="bottom"/>
            <w:hideMark/>
          </w:tcPr>
          <w:p w14:paraId="3F5A8CAB"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211</w:t>
            </w:r>
          </w:p>
        </w:tc>
        <w:tc>
          <w:tcPr>
            <w:tcW w:w="1051" w:type="dxa"/>
            <w:tcBorders>
              <w:top w:val="nil"/>
              <w:left w:val="nil"/>
              <w:bottom w:val="nil"/>
              <w:right w:val="single" w:sz="4" w:space="0" w:color="auto"/>
            </w:tcBorders>
            <w:shd w:val="clear" w:color="auto" w:fill="F2F2F2"/>
            <w:noWrap/>
            <w:vAlign w:val="bottom"/>
            <w:hideMark/>
          </w:tcPr>
          <w:p w14:paraId="0FD3543D"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61</w:t>
            </w:r>
          </w:p>
        </w:tc>
        <w:tc>
          <w:tcPr>
            <w:tcW w:w="1065" w:type="dxa"/>
            <w:tcBorders>
              <w:top w:val="nil"/>
              <w:left w:val="nil"/>
              <w:bottom w:val="nil"/>
              <w:right w:val="single" w:sz="4" w:space="0" w:color="auto"/>
            </w:tcBorders>
            <w:shd w:val="clear" w:color="auto" w:fill="F2F2F2"/>
            <w:noWrap/>
            <w:vAlign w:val="bottom"/>
            <w:hideMark/>
          </w:tcPr>
          <w:p w14:paraId="39537304"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F2F2F2"/>
            <w:noWrap/>
            <w:vAlign w:val="bottom"/>
            <w:hideMark/>
          </w:tcPr>
          <w:p w14:paraId="5170258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535D1DFB"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44C01D0C"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nil"/>
            </w:tcBorders>
            <w:shd w:val="clear" w:color="auto" w:fill="auto"/>
            <w:noWrap/>
            <w:vAlign w:val="bottom"/>
            <w:hideMark/>
          </w:tcPr>
          <w:p w14:paraId="19272EE7"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Asesorías Técnicas</w:t>
            </w:r>
          </w:p>
        </w:tc>
        <w:tc>
          <w:tcPr>
            <w:tcW w:w="1002" w:type="dxa"/>
            <w:tcBorders>
              <w:top w:val="nil"/>
              <w:left w:val="single" w:sz="4" w:space="0" w:color="auto"/>
              <w:bottom w:val="nil"/>
              <w:right w:val="single" w:sz="4" w:space="0" w:color="auto"/>
            </w:tcBorders>
            <w:shd w:val="clear" w:color="auto" w:fill="auto"/>
            <w:noWrap/>
            <w:vAlign w:val="bottom"/>
            <w:hideMark/>
          </w:tcPr>
          <w:p w14:paraId="0F3F09B8"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1.541</w:t>
            </w:r>
          </w:p>
        </w:tc>
        <w:tc>
          <w:tcPr>
            <w:tcW w:w="1051" w:type="dxa"/>
            <w:tcBorders>
              <w:top w:val="nil"/>
              <w:left w:val="nil"/>
              <w:bottom w:val="nil"/>
              <w:right w:val="single" w:sz="4" w:space="0" w:color="auto"/>
            </w:tcBorders>
            <w:shd w:val="clear" w:color="auto" w:fill="auto"/>
            <w:noWrap/>
            <w:vAlign w:val="bottom"/>
            <w:hideMark/>
          </w:tcPr>
          <w:p w14:paraId="00649B5C"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1.198</w:t>
            </w:r>
          </w:p>
        </w:tc>
        <w:tc>
          <w:tcPr>
            <w:tcW w:w="1065" w:type="dxa"/>
            <w:tcBorders>
              <w:top w:val="nil"/>
              <w:left w:val="nil"/>
              <w:bottom w:val="nil"/>
              <w:right w:val="single" w:sz="4" w:space="0" w:color="auto"/>
            </w:tcBorders>
            <w:shd w:val="clear" w:color="auto" w:fill="auto"/>
            <w:noWrap/>
            <w:vAlign w:val="bottom"/>
            <w:hideMark/>
          </w:tcPr>
          <w:p w14:paraId="2EA8BEC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106</w:t>
            </w:r>
          </w:p>
        </w:tc>
        <w:tc>
          <w:tcPr>
            <w:tcW w:w="851" w:type="dxa"/>
            <w:tcBorders>
              <w:top w:val="nil"/>
              <w:left w:val="nil"/>
              <w:bottom w:val="nil"/>
              <w:right w:val="single" w:sz="4" w:space="0" w:color="auto"/>
            </w:tcBorders>
            <w:shd w:val="clear" w:color="auto" w:fill="auto"/>
            <w:noWrap/>
            <w:vAlign w:val="bottom"/>
            <w:hideMark/>
          </w:tcPr>
          <w:p w14:paraId="1AABFEDD"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106</w:t>
            </w:r>
          </w:p>
        </w:tc>
      </w:tr>
      <w:tr w:rsidR="00E7759C" w:rsidRPr="00E7759C" w14:paraId="3A0D11AC"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3653FAC7"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nil"/>
            </w:tcBorders>
            <w:shd w:val="clear" w:color="auto" w:fill="F2F2F2"/>
            <w:noWrap/>
            <w:vAlign w:val="bottom"/>
            <w:hideMark/>
          </w:tcPr>
          <w:p w14:paraId="4EC880E7"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Estructuración de Proyectos</w:t>
            </w:r>
          </w:p>
        </w:tc>
        <w:tc>
          <w:tcPr>
            <w:tcW w:w="1002" w:type="dxa"/>
            <w:tcBorders>
              <w:top w:val="nil"/>
              <w:left w:val="single" w:sz="4" w:space="0" w:color="auto"/>
              <w:bottom w:val="nil"/>
              <w:right w:val="single" w:sz="4" w:space="0" w:color="auto"/>
            </w:tcBorders>
            <w:shd w:val="clear" w:color="auto" w:fill="F2F2F2"/>
            <w:noWrap/>
            <w:vAlign w:val="bottom"/>
            <w:hideMark/>
          </w:tcPr>
          <w:p w14:paraId="7D060B3C"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10.500</w:t>
            </w:r>
          </w:p>
        </w:tc>
        <w:tc>
          <w:tcPr>
            <w:tcW w:w="1051" w:type="dxa"/>
            <w:tcBorders>
              <w:top w:val="nil"/>
              <w:left w:val="nil"/>
              <w:bottom w:val="nil"/>
              <w:right w:val="single" w:sz="4" w:space="0" w:color="auto"/>
            </w:tcBorders>
            <w:shd w:val="clear" w:color="auto" w:fill="F2F2F2"/>
            <w:noWrap/>
            <w:vAlign w:val="bottom"/>
            <w:hideMark/>
          </w:tcPr>
          <w:p w14:paraId="6BE9FD85"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nil"/>
              <w:right w:val="single" w:sz="4" w:space="0" w:color="auto"/>
            </w:tcBorders>
            <w:shd w:val="clear" w:color="auto" w:fill="F2F2F2"/>
            <w:noWrap/>
            <w:vAlign w:val="bottom"/>
            <w:hideMark/>
          </w:tcPr>
          <w:p w14:paraId="0AAFD9EC"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F2F2F2"/>
            <w:noWrap/>
            <w:vAlign w:val="bottom"/>
            <w:hideMark/>
          </w:tcPr>
          <w:p w14:paraId="1747D6ED"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653EFDA0"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226BC994"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nil"/>
            </w:tcBorders>
            <w:shd w:val="clear" w:color="auto" w:fill="auto"/>
            <w:noWrap/>
            <w:vAlign w:val="bottom"/>
            <w:hideMark/>
          </w:tcPr>
          <w:p w14:paraId="1C21014B"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Evaluación de Iniciativas Privadas</w:t>
            </w:r>
          </w:p>
        </w:tc>
        <w:tc>
          <w:tcPr>
            <w:tcW w:w="1002" w:type="dxa"/>
            <w:tcBorders>
              <w:top w:val="nil"/>
              <w:left w:val="single" w:sz="4" w:space="0" w:color="auto"/>
              <w:bottom w:val="nil"/>
              <w:right w:val="single" w:sz="4" w:space="0" w:color="auto"/>
            </w:tcBorders>
            <w:shd w:val="clear" w:color="auto" w:fill="auto"/>
            <w:noWrap/>
            <w:vAlign w:val="bottom"/>
            <w:hideMark/>
          </w:tcPr>
          <w:p w14:paraId="393B5B82"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2.600</w:t>
            </w:r>
          </w:p>
        </w:tc>
        <w:tc>
          <w:tcPr>
            <w:tcW w:w="1051" w:type="dxa"/>
            <w:tcBorders>
              <w:top w:val="nil"/>
              <w:left w:val="nil"/>
              <w:bottom w:val="nil"/>
              <w:right w:val="single" w:sz="4" w:space="0" w:color="auto"/>
            </w:tcBorders>
            <w:shd w:val="clear" w:color="auto" w:fill="auto"/>
            <w:noWrap/>
            <w:vAlign w:val="bottom"/>
            <w:hideMark/>
          </w:tcPr>
          <w:p w14:paraId="35326C15"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nil"/>
              <w:right w:val="single" w:sz="4" w:space="0" w:color="auto"/>
            </w:tcBorders>
            <w:shd w:val="clear" w:color="auto" w:fill="auto"/>
            <w:noWrap/>
            <w:vAlign w:val="bottom"/>
            <w:hideMark/>
          </w:tcPr>
          <w:p w14:paraId="6A694402"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auto"/>
            <w:noWrap/>
            <w:vAlign w:val="bottom"/>
            <w:hideMark/>
          </w:tcPr>
          <w:p w14:paraId="6362ED85"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76D8AC8A"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3C94DC0F"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nil"/>
            </w:tcBorders>
            <w:shd w:val="clear" w:color="auto" w:fill="F2F2F2"/>
            <w:noWrap/>
            <w:vAlign w:val="bottom"/>
            <w:hideMark/>
          </w:tcPr>
          <w:p w14:paraId="35CB0BBC"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Precalificaciones Proyectos 4G</w:t>
            </w:r>
          </w:p>
        </w:tc>
        <w:tc>
          <w:tcPr>
            <w:tcW w:w="1002" w:type="dxa"/>
            <w:tcBorders>
              <w:top w:val="nil"/>
              <w:left w:val="single" w:sz="4" w:space="0" w:color="auto"/>
              <w:bottom w:val="nil"/>
              <w:right w:val="single" w:sz="4" w:space="0" w:color="auto"/>
            </w:tcBorders>
            <w:shd w:val="clear" w:color="auto" w:fill="F2F2F2"/>
            <w:noWrap/>
            <w:vAlign w:val="bottom"/>
            <w:hideMark/>
          </w:tcPr>
          <w:p w14:paraId="498DEE6F"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333</w:t>
            </w:r>
          </w:p>
        </w:tc>
        <w:tc>
          <w:tcPr>
            <w:tcW w:w="1051" w:type="dxa"/>
            <w:tcBorders>
              <w:top w:val="nil"/>
              <w:left w:val="nil"/>
              <w:bottom w:val="nil"/>
              <w:right w:val="single" w:sz="4" w:space="0" w:color="auto"/>
            </w:tcBorders>
            <w:shd w:val="clear" w:color="auto" w:fill="F2F2F2"/>
            <w:noWrap/>
            <w:vAlign w:val="bottom"/>
            <w:hideMark/>
          </w:tcPr>
          <w:p w14:paraId="6500E892"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186</w:t>
            </w:r>
          </w:p>
        </w:tc>
        <w:tc>
          <w:tcPr>
            <w:tcW w:w="1065" w:type="dxa"/>
            <w:tcBorders>
              <w:top w:val="nil"/>
              <w:left w:val="nil"/>
              <w:bottom w:val="nil"/>
              <w:right w:val="single" w:sz="4" w:space="0" w:color="auto"/>
            </w:tcBorders>
            <w:shd w:val="clear" w:color="auto" w:fill="F2F2F2"/>
            <w:noWrap/>
            <w:vAlign w:val="bottom"/>
            <w:hideMark/>
          </w:tcPr>
          <w:p w14:paraId="6EE7177B"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F2F2F2"/>
            <w:noWrap/>
            <w:vAlign w:val="bottom"/>
            <w:hideMark/>
          </w:tcPr>
          <w:p w14:paraId="327CBFD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36D87F92"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716019A0"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nil"/>
            </w:tcBorders>
            <w:shd w:val="clear" w:color="auto" w:fill="auto"/>
            <w:noWrap/>
            <w:vAlign w:val="bottom"/>
            <w:hideMark/>
          </w:tcPr>
          <w:p w14:paraId="0EC3F3C2"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Promoción Proyectos 4G</w:t>
            </w:r>
          </w:p>
        </w:tc>
        <w:tc>
          <w:tcPr>
            <w:tcW w:w="1002" w:type="dxa"/>
            <w:tcBorders>
              <w:top w:val="nil"/>
              <w:left w:val="single" w:sz="4" w:space="0" w:color="auto"/>
              <w:bottom w:val="nil"/>
              <w:right w:val="single" w:sz="4" w:space="0" w:color="auto"/>
            </w:tcBorders>
            <w:shd w:val="clear" w:color="auto" w:fill="auto"/>
            <w:noWrap/>
            <w:vAlign w:val="bottom"/>
            <w:hideMark/>
          </w:tcPr>
          <w:p w14:paraId="0E6B0ADC"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142</w:t>
            </w:r>
          </w:p>
        </w:tc>
        <w:tc>
          <w:tcPr>
            <w:tcW w:w="1051" w:type="dxa"/>
            <w:tcBorders>
              <w:top w:val="nil"/>
              <w:left w:val="nil"/>
              <w:bottom w:val="nil"/>
              <w:right w:val="single" w:sz="4" w:space="0" w:color="auto"/>
            </w:tcBorders>
            <w:shd w:val="clear" w:color="auto" w:fill="auto"/>
            <w:noWrap/>
            <w:vAlign w:val="bottom"/>
            <w:hideMark/>
          </w:tcPr>
          <w:p w14:paraId="3B8C41EF"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82</w:t>
            </w:r>
          </w:p>
        </w:tc>
        <w:tc>
          <w:tcPr>
            <w:tcW w:w="1065" w:type="dxa"/>
            <w:tcBorders>
              <w:top w:val="nil"/>
              <w:left w:val="nil"/>
              <w:bottom w:val="nil"/>
              <w:right w:val="single" w:sz="4" w:space="0" w:color="auto"/>
            </w:tcBorders>
            <w:shd w:val="clear" w:color="auto" w:fill="auto"/>
            <w:noWrap/>
            <w:vAlign w:val="bottom"/>
            <w:hideMark/>
          </w:tcPr>
          <w:p w14:paraId="0ECA4784"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22</w:t>
            </w:r>
          </w:p>
        </w:tc>
        <w:tc>
          <w:tcPr>
            <w:tcW w:w="851" w:type="dxa"/>
            <w:tcBorders>
              <w:top w:val="nil"/>
              <w:left w:val="nil"/>
              <w:bottom w:val="nil"/>
              <w:right w:val="single" w:sz="4" w:space="0" w:color="auto"/>
            </w:tcBorders>
            <w:shd w:val="clear" w:color="auto" w:fill="auto"/>
            <w:noWrap/>
            <w:vAlign w:val="bottom"/>
            <w:hideMark/>
          </w:tcPr>
          <w:p w14:paraId="012656B1"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22</w:t>
            </w:r>
          </w:p>
        </w:tc>
      </w:tr>
      <w:tr w:rsidR="00E7759C" w:rsidRPr="00E7759C" w14:paraId="2CA4A692"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2AA2D185"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nil"/>
            </w:tcBorders>
            <w:shd w:val="clear" w:color="auto" w:fill="F2F2F2"/>
            <w:noWrap/>
            <w:vAlign w:val="bottom"/>
            <w:hideMark/>
          </w:tcPr>
          <w:p w14:paraId="434C9337"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Revisión Estructuraciones</w:t>
            </w:r>
          </w:p>
        </w:tc>
        <w:tc>
          <w:tcPr>
            <w:tcW w:w="1002" w:type="dxa"/>
            <w:tcBorders>
              <w:top w:val="nil"/>
              <w:left w:val="single" w:sz="4" w:space="0" w:color="auto"/>
              <w:bottom w:val="nil"/>
              <w:right w:val="single" w:sz="4" w:space="0" w:color="auto"/>
            </w:tcBorders>
            <w:shd w:val="clear" w:color="auto" w:fill="F2F2F2"/>
            <w:noWrap/>
            <w:vAlign w:val="bottom"/>
            <w:hideMark/>
          </w:tcPr>
          <w:p w14:paraId="6BB86BC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302</w:t>
            </w:r>
          </w:p>
        </w:tc>
        <w:tc>
          <w:tcPr>
            <w:tcW w:w="1051" w:type="dxa"/>
            <w:tcBorders>
              <w:top w:val="nil"/>
              <w:left w:val="nil"/>
              <w:bottom w:val="nil"/>
              <w:right w:val="single" w:sz="4" w:space="0" w:color="auto"/>
            </w:tcBorders>
            <w:shd w:val="clear" w:color="auto" w:fill="F2F2F2"/>
            <w:noWrap/>
            <w:vAlign w:val="bottom"/>
            <w:hideMark/>
          </w:tcPr>
          <w:p w14:paraId="1D0BF0D0"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220</w:t>
            </w:r>
          </w:p>
        </w:tc>
        <w:tc>
          <w:tcPr>
            <w:tcW w:w="1065" w:type="dxa"/>
            <w:tcBorders>
              <w:top w:val="nil"/>
              <w:left w:val="nil"/>
              <w:bottom w:val="nil"/>
              <w:right w:val="single" w:sz="4" w:space="0" w:color="auto"/>
            </w:tcBorders>
            <w:shd w:val="clear" w:color="auto" w:fill="F2F2F2"/>
            <w:noWrap/>
            <w:vAlign w:val="bottom"/>
            <w:hideMark/>
          </w:tcPr>
          <w:p w14:paraId="6E221987"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F2F2F2"/>
            <w:noWrap/>
            <w:vAlign w:val="bottom"/>
            <w:hideMark/>
          </w:tcPr>
          <w:p w14:paraId="2D3A3233"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06EEC8F7" w14:textId="77777777" w:rsidTr="0054297D">
        <w:trPr>
          <w:trHeight w:val="270"/>
          <w:jc w:val="center"/>
        </w:trPr>
        <w:tc>
          <w:tcPr>
            <w:tcW w:w="1322" w:type="dxa"/>
            <w:vMerge/>
            <w:tcBorders>
              <w:top w:val="nil"/>
              <w:left w:val="single" w:sz="4" w:space="0" w:color="auto"/>
              <w:bottom w:val="single" w:sz="4" w:space="0" w:color="auto"/>
              <w:right w:val="single" w:sz="4" w:space="0" w:color="000000"/>
            </w:tcBorders>
            <w:vAlign w:val="center"/>
            <w:hideMark/>
          </w:tcPr>
          <w:p w14:paraId="4396F2ED"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single" w:sz="4" w:space="0" w:color="auto"/>
              <w:left w:val="nil"/>
              <w:bottom w:val="single" w:sz="4" w:space="0" w:color="auto"/>
              <w:right w:val="single" w:sz="4" w:space="0" w:color="auto"/>
            </w:tcBorders>
            <w:shd w:val="clear" w:color="auto" w:fill="D9D9D9"/>
            <w:noWrap/>
            <w:vAlign w:val="bottom"/>
            <w:hideMark/>
          </w:tcPr>
          <w:p w14:paraId="10F2374E" w14:textId="77777777" w:rsidR="00E7759C" w:rsidRPr="00E7759C" w:rsidRDefault="00E7759C" w:rsidP="00E7759C">
            <w:pPr>
              <w:spacing w:after="0" w:line="240" w:lineRule="auto"/>
              <w:rPr>
                <w:rFonts w:eastAsia="Times New Roman" w:cs="Times New Roman"/>
                <w:b/>
                <w:bCs/>
                <w:color w:val="000000"/>
                <w:sz w:val="16"/>
                <w:szCs w:val="16"/>
              </w:rPr>
            </w:pPr>
            <w:r w:rsidRPr="00E7759C">
              <w:rPr>
                <w:rFonts w:eastAsia="Times New Roman" w:cs="Times New Roman"/>
                <w:b/>
                <w:bCs/>
                <w:color w:val="000000"/>
                <w:sz w:val="16"/>
                <w:szCs w:val="16"/>
              </w:rPr>
              <w:t>Total</w:t>
            </w:r>
          </w:p>
        </w:tc>
        <w:tc>
          <w:tcPr>
            <w:tcW w:w="1002" w:type="dxa"/>
            <w:tcBorders>
              <w:top w:val="single" w:sz="4" w:space="0" w:color="auto"/>
              <w:left w:val="nil"/>
              <w:bottom w:val="single" w:sz="4" w:space="0" w:color="auto"/>
              <w:right w:val="single" w:sz="4" w:space="0" w:color="auto"/>
            </w:tcBorders>
            <w:shd w:val="clear" w:color="auto" w:fill="D9D9D9"/>
            <w:noWrap/>
            <w:vAlign w:val="bottom"/>
            <w:hideMark/>
          </w:tcPr>
          <w:p w14:paraId="37407092"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25.500</w:t>
            </w:r>
          </w:p>
        </w:tc>
        <w:tc>
          <w:tcPr>
            <w:tcW w:w="1051" w:type="dxa"/>
            <w:tcBorders>
              <w:top w:val="single" w:sz="4" w:space="0" w:color="auto"/>
              <w:left w:val="nil"/>
              <w:bottom w:val="single" w:sz="4" w:space="0" w:color="auto"/>
              <w:right w:val="single" w:sz="4" w:space="0" w:color="auto"/>
            </w:tcBorders>
            <w:shd w:val="clear" w:color="auto" w:fill="D9D9D9"/>
            <w:noWrap/>
            <w:vAlign w:val="bottom"/>
            <w:hideMark/>
          </w:tcPr>
          <w:p w14:paraId="3E2B6496"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11.068</w:t>
            </w:r>
          </w:p>
        </w:tc>
        <w:tc>
          <w:tcPr>
            <w:tcW w:w="1065" w:type="dxa"/>
            <w:tcBorders>
              <w:top w:val="single" w:sz="4" w:space="0" w:color="auto"/>
              <w:left w:val="nil"/>
              <w:bottom w:val="single" w:sz="4" w:space="0" w:color="auto"/>
              <w:right w:val="single" w:sz="4" w:space="0" w:color="auto"/>
            </w:tcBorders>
            <w:shd w:val="clear" w:color="auto" w:fill="D9D9D9"/>
            <w:noWrap/>
            <w:vAlign w:val="bottom"/>
            <w:hideMark/>
          </w:tcPr>
          <w:p w14:paraId="21BE9647"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128</w:t>
            </w:r>
          </w:p>
        </w:tc>
        <w:tc>
          <w:tcPr>
            <w:tcW w:w="851" w:type="dxa"/>
            <w:tcBorders>
              <w:top w:val="single" w:sz="4" w:space="0" w:color="auto"/>
              <w:left w:val="nil"/>
              <w:bottom w:val="single" w:sz="4" w:space="0" w:color="auto"/>
              <w:right w:val="single" w:sz="4" w:space="0" w:color="auto"/>
            </w:tcBorders>
            <w:shd w:val="clear" w:color="auto" w:fill="D9D9D9"/>
            <w:noWrap/>
            <w:vAlign w:val="bottom"/>
            <w:hideMark/>
          </w:tcPr>
          <w:p w14:paraId="2797D5B8"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128</w:t>
            </w:r>
          </w:p>
        </w:tc>
      </w:tr>
      <w:tr w:rsidR="00E7759C" w:rsidRPr="00E7759C" w14:paraId="02A47F9C" w14:textId="77777777" w:rsidTr="0054297D">
        <w:trPr>
          <w:trHeight w:val="270"/>
          <w:jc w:val="center"/>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11A06C66" w14:textId="77777777" w:rsidR="00E7759C" w:rsidRPr="00E7759C" w:rsidRDefault="00E7759C" w:rsidP="00E7759C">
            <w:pPr>
              <w:spacing w:after="0" w:line="240" w:lineRule="auto"/>
              <w:jc w:val="center"/>
              <w:rPr>
                <w:rFonts w:eastAsia="Times New Roman" w:cs="Times New Roman"/>
                <w:b/>
                <w:bCs/>
                <w:color w:val="000000"/>
                <w:sz w:val="16"/>
                <w:szCs w:val="16"/>
              </w:rPr>
            </w:pPr>
            <w:r w:rsidRPr="00E7759C">
              <w:rPr>
                <w:rFonts w:eastAsia="Times New Roman" w:cs="Times New Roman"/>
                <w:b/>
                <w:bCs/>
                <w:color w:val="000000"/>
                <w:sz w:val="16"/>
                <w:szCs w:val="16"/>
              </w:rPr>
              <w:t xml:space="preserve">Vice </w:t>
            </w:r>
            <w:r w:rsidRPr="00E7759C">
              <w:rPr>
                <w:rFonts w:eastAsia="Times New Roman" w:cs="Times New Roman"/>
                <w:b/>
                <w:bCs/>
                <w:color w:val="000000"/>
                <w:sz w:val="16"/>
                <w:szCs w:val="16"/>
              </w:rPr>
              <w:br/>
              <w:t>Jurídica</w:t>
            </w:r>
          </w:p>
        </w:tc>
        <w:tc>
          <w:tcPr>
            <w:tcW w:w="3782" w:type="dxa"/>
            <w:tcBorders>
              <w:top w:val="nil"/>
              <w:left w:val="nil"/>
              <w:bottom w:val="nil"/>
              <w:right w:val="single" w:sz="4" w:space="0" w:color="auto"/>
            </w:tcBorders>
            <w:shd w:val="clear" w:color="auto" w:fill="auto"/>
            <w:noWrap/>
            <w:vAlign w:val="bottom"/>
            <w:hideMark/>
          </w:tcPr>
          <w:p w14:paraId="526B2F2A"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Precalificaciones Proyectos 4G</w:t>
            </w:r>
          </w:p>
        </w:tc>
        <w:tc>
          <w:tcPr>
            <w:tcW w:w="1002" w:type="dxa"/>
            <w:tcBorders>
              <w:top w:val="nil"/>
              <w:left w:val="nil"/>
              <w:bottom w:val="nil"/>
              <w:right w:val="single" w:sz="4" w:space="0" w:color="auto"/>
            </w:tcBorders>
            <w:shd w:val="clear" w:color="auto" w:fill="auto"/>
            <w:noWrap/>
            <w:vAlign w:val="bottom"/>
            <w:hideMark/>
          </w:tcPr>
          <w:p w14:paraId="74FD3B3E"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3.500</w:t>
            </w:r>
          </w:p>
        </w:tc>
        <w:tc>
          <w:tcPr>
            <w:tcW w:w="1051" w:type="dxa"/>
            <w:tcBorders>
              <w:top w:val="nil"/>
              <w:left w:val="nil"/>
              <w:bottom w:val="nil"/>
              <w:right w:val="single" w:sz="4" w:space="0" w:color="auto"/>
            </w:tcBorders>
            <w:shd w:val="clear" w:color="auto" w:fill="auto"/>
            <w:noWrap/>
            <w:vAlign w:val="bottom"/>
            <w:hideMark/>
          </w:tcPr>
          <w:p w14:paraId="31D6A353"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3.000</w:t>
            </w:r>
          </w:p>
        </w:tc>
        <w:tc>
          <w:tcPr>
            <w:tcW w:w="1065" w:type="dxa"/>
            <w:tcBorders>
              <w:top w:val="nil"/>
              <w:left w:val="nil"/>
              <w:bottom w:val="nil"/>
              <w:right w:val="single" w:sz="4" w:space="0" w:color="auto"/>
            </w:tcBorders>
            <w:shd w:val="clear" w:color="auto" w:fill="auto"/>
            <w:noWrap/>
            <w:vAlign w:val="bottom"/>
            <w:hideMark/>
          </w:tcPr>
          <w:p w14:paraId="12446CE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197</w:t>
            </w:r>
          </w:p>
        </w:tc>
        <w:tc>
          <w:tcPr>
            <w:tcW w:w="851" w:type="dxa"/>
            <w:tcBorders>
              <w:top w:val="nil"/>
              <w:left w:val="nil"/>
              <w:bottom w:val="nil"/>
              <w:right w:val="single" w:sz="4" w:space="0" w:color="auto"/>
            </w:tcBorders>
            <w:shd w:val="clear" w:color="auto" w:fill="auto"/>
            <w:noWrap/>
            <w:vAlign w:val="bottom"/>
            <w:hideMark/>
          </w:tcPr>
          <w:p w14:paraId="6613049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197</w:t>
            </w:r>
          </w:p>
        </w:tc>
      </w:tr>
      <w:tr w:rsidR="00E7759C" w:rsidRPr="00E7759C" w14:paraId="065A5793"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7BC03A37"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single" w:sz="4" w:space="0" w:color="auto"/>
            </w:tcBorders>
            <w:shd w:val="clear" w:color="auto" w:fill="F2F2F2"/>
            <w:noWrap/>
            <w:vAlign w:val="bottom"/>
            <w:hideMark/>
          </w:tcPr>
          <w:p w14:paraId="1886592E"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Asesorías Legales</w:t>
            </w:r>
          </w:p>
        </w:tc>
        <w:tc>
          <w:tcPr>
            <w:tcW w:w="1002" w:type="dxa"/>
            <w:tcBorders>
              <w:top w:val="nil"/>
              <w:left w:val="nil"/>
              <w:bottom w:val="nil"/>
              <w:right w:val="single" w:sz="4" w:space="0" w:color="auto"/>
            </w:tcBorders>
            <w:shd w:val="clear" w:color="auto" w:fill="F2F2F2"/>
            <w:noWrap/>
            <w:vAlign w:val="bottom"/>
            <w:hideMark/>
          </w:tcPr>
          <w:p w14:paraId="7517F43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1.744</w:t>
            </w:r>
          </w:p>
        </w:tc>
        <w:tc>
          <w:tcPr>
            <w:tcW w:w="1051" w:type="dxa"/>
            <w:tcBorders>
              <w:top w:val="nil"/>
              <w:left w:val="nil"/>
              <w:bottom w:val="nil"/>
              <w:right w:val="single" w:sz="4" w:space="0" w:color="auto"/>
            </w:tcBorders>
            <w:shd w:val="clear" w:color="auto" w:fill="F2F2F2"/>
            <w:noWrap/>
            <w:vAlign w:val="bottom"/>
            <w:hideMark/>
          </w:tcPr>
          <w:p w14:paraId="33014FF4"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1.738</w:t>
            </w:r>
          </w:p>
        </w:tc>
        <w:tc>
          <w:tcPr>
            <w:tcW w:w="1065" w:type="dxa"/>
            <w:tcBorders>
              <w:top w:val="nil"/>
              <w:left w:val="nil"/>
              <w:bottom w:val="nil"/>
              <w:right w:val="single" w:sz="4" w:space="0" w:color="auto"/>
            </w:tcBorders>
            <w:shd w:val="clear" w:color="auto" w:fill="F2F2F2"/>
            <w:noWrap/>
            <w:vAlign w:val="bottom"/>
            <w:hideMark/>
          </w:tcPr>
          <w:p w14:paraId="54651948"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120</w:t>
            </w:r>
          </w:p>
        </w:tc>
        <w:tc>
          <w:tcPr>
            <w:tcW w:w="851" w:type="dxa"/>
            <w:tcBorders>
              <w:top w:val="nil"/>
              <w:left w:val="nil"/>
              <w:bottom w:val="nil"/>
              <w:right w:val="single" w:sz="4" w:space="0" w:color="auto"/>
            </w:tcBorders>
            <w:shd w:val="clear" w:color="auto" w:fill="F2F2F2"/>
            <w:noWrap/>
            <w:vAlign w:val="bottom"/>
            <w:hideMark/>
          </w:tcPr>
          <w:p w14:paraId="4587D09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120</w:t>
            </w:r>
          </w:p>
        </w:tc>
      </w:tr>
      <w:tr w:rsidR="00E7759C" w:rsidRPr="00E7759C" w14:paraId="5873072F"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52DE5BA6"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single" w:sz="4" w:space="0" w:color="auto"/>
            </w:tcBorders>
            <w:shd w:val="clear" w:color="auto" w:fill="auto"/>
            <w:noWrap/>
            <w:vAlign w:val="bottom"/>
            <w:hideMark/>
          </w:tcPr>
          <w:p w14:paraId="376EC074"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Panel de Expertos Jurídicos</w:t>
            </w:r>
          </w:p>
        </w:tc>
        <w:tc>
          <w:tcPr>
            <w:tcW w:w="1002" w:type="dxa"/>
            <w:tcBorders>
              <w:top w:val="nil"/>
              <w:left w:val="nil"/>
              <w:bottom w:val="nil"/>
              <w:right w:val="single" w:sz="4" w:space="0" w:color="auto"/>
            </w:tcBorders>
            <w:shd w:val="clear" w:color="auto" w:fill="auto"/>
            <w:noWrap/>
            <w:vAlign w:val="bottom"/>
            <w:hideMark/>
          </w:tcPr>
          <w:p w14:paraId="2ED9F11E"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1.600</w:t>
            </w:r>
          </w:p>
        </w:tc>
        <w:tc>
          <w:tcPr>
            <w:tcW w:w="1051" w:type="dxa"/>
            <w:tcBorders>
              <w:top w:val="nil"/>
              <w:left w:val="nil"/>
              <w:bottom w:val="nil"/>
              <w:right w:val="single" w:sz="4" w:space="0" w:color="auto"/>
            </w:tcBorders>
            <w:shd w:val="clear" w:color="auto" w:fill="auto"/>
            <w:noWrap/>
            <w:vAlign w:val="bottom"/>
            <w:hideMark/>
          </w:tcPr>
          <w:p w14:paraId="7A03D09B"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nil"/>
              <w:right w:val="single" w:sz="4" w:space="0" w:color="auto"/>
            </w:tcBorders>
            <w:shd w:val="clear" w:color="auto" w:fill="auto"/>
            <w:noWrap/>
            <w:vAlign w:val="bottom"/>
            <w:hideMark/>
          </w:tcPr>
          <w:p w14:paraId="7F66B9CC"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auto"/>
            <w:noWrap/>
            <w:vAlign w:val="bottom"/>
            <w:hideMark/>
          </w:tcPr>
          <w:p w14:paraId="22F2D21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5A3F0BC3"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4FE78AD0"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F2F2F2"/>
            <w:noWrap/>
            <w:vAlign w:val="bottom"/>
            <w:hideMark/>
          </w:tcPr>
          <w:p w14:paraId="00C52741"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Representación en Tribunales de Arbitramento</w:t>
            </w:r>
          </w:p>
        </w:tc>
        <w:tc>
          <w:tcPr>
            <w:tcW w:w="1002" w:type="dxa"/>
            <w:tcBorders>
              <w:top w:val="nil"/>
              <w:left w:val="nil"/>
              <w:bottom w:val="single" w:sz="4" w:space="0" w:color="auto"/>
              <w:right w:val="single" w:sz="4" w:space="0" w:color="auto"/>
            </w:tcBorders>
            <w:shd w:val="clear" w:color="auto" w:fill="F2F2F2"/>
            <w:noWrap/>
            <w:vAlign w:val="bottom"/>
            <w:hideMark/>
          </w:tcPr>
          <w:p w14:paraId="267FAC5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128</w:t>
            </w:r>
          </w:p>
        </w:tc>
        <w:tc>
          <w:tcPr>
            <w:tcW w:w="1051" w:type="dxa"/>
            <w:tcBorders>
              <w:top w:val="nil"/>
              <w:left w:val="nil"/>
              <w:bottom w:val="single" w:sz="4" w:space="0" w:color="auto"/>
              <w:right w:val="single" w:sz="4" w:space="0" w:color="auto"/>
            </w:tcBorders>
            <w:shd w:val="clear" w:color="auto" w:fill="F2F2F2"/>
            <w:noWrap/>
            <w:vAlign w:val="bottom"/>
            <w:hideMark/>
          </w:tcPr>
          <w:p w14:paraId="0B03B3F8"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128</w:t>
            </w:r>
          </w:p>
        </w:tc>
        <w:tc>
          <w:tcPr>
            <w:tcW w:w="1065" w:type="dxa"/>
            <w:tcBorders>
              <w:top w:val="nil"/>
              <w:left w:val="nil"/>
              <w:bottom w:val="single" w:sz="4" w:space="0" w:color="auto"/>
              <w:right w:val="single" w:sz="4" w:space="0" w:color="auto"/>
            </w:tcBorders>
            <w:shd w:val="clear" w:color="auto" w:fill="F2F2F2"/>
            <w:noWrap/>
            <w:vAlign w:val="bottom"/>
            <w:hideMark/>
          </w:tcPr>
          <w:p w14:paraId="281BE3B6"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single" w:sz="4" w:space="0" w:color="auto"/>
              <w:right w:val="single" w:sz="4" w:space="0" w:color="auto"/>
            </w:tcBorders>
            <w:shd w:val="clear" w:color="auto" w:fill="F2F2F2"/>
            <w:noWrap/>
            <w:vAlign w:val="bottom"/>
            <w:hideMark/>
          </w:tcPr>
          <w:p w14:paraId="50FB7833"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6995FA4F"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3FB32815"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D9D9D9"/>
            <w:noWrap/>
            <w:vAlign w:val="bottom"/>
            <w:hideMark/>
          </w:tcPr>
          <w:p w14:paraId="57158B37" w14:textId="77777777" w:rsidR="00E7759C" w:rsidRPr="00E7759C" w:rsidRDefault="00E7759C" w:rsidP="00E7759C">
            <w:pPr>
              <w:spacing w:after="0" w:line="240" w:lineRule="auto"/>
              <w:rPr>
                <w:rFonts w:eastAsia="Times New Roman" w:cs="Times New Roman"/>
                <w:b/>
                <w:bCs/>
                <w:color w:val="000000"/>
                <w:sz w:val="16"/>
                <w:szCs w:val="16"/>
              </w:rPr>
            </w:pPr>
            <w:r w:rsidRPr="00E7759C">
              <w:rPr>
                <w:rFonts w:eastAsia="Times New Roman" w:cs="Times New Roman"/>
                <w:b/>
                <w:bCs/>
                <w:color w:val="000000"/>
                <w:sz w:val="16"/>
                <w:szCs w:val="16"/>
              </w:rPr>
              <w:t>Total</w:t>
            </w:r>
          </w:p>
        </w:tc>
        <w:tc>
          <w:tcPr>
            <w:tcW w:w="1002" w:type="dxa"/>
            <w:tcBorders>
              <w:top w:val="nil"/>
              <w:left w:val="nil"/>
              <w:bottom w:val="single" w:sz="4" w:space="0" w:color="auto"/>
              <w:right w:val="single" w:sz="4" w:space="0" w:color="auto"/>
            </w:tcBorders>
            <w:shd w:val="clear" w:color="auto" w:fill="D9D9D9"/>
            <w:noWrap/>
            <w:vAlign w:val="bottom"/>
            <w:hideMark/>
          </w:tcPr>
          <w:p w14:paraId="708A91CC"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6.971</w:t>
            </w:r>
          </w:p>
        </w:tc>
        <w:tc>
          <w:tcPr>
            <w:tcW w:w="1051" w:type="dxa"/>
            <w:tcBorders>
              <w:top w:val="nil"/>
              <w:left w:val="nil"/>
              <w:bottom w:val="single" w:sz="4" w:space="0" w:color="auto"/>
              <w:right w:val="single" w:sz="4" w:space="0" w:color="auto"/>
            </w:tcBorders>
            <w:shd w:val="clear" w:color="auto" w:fill="D9D9D9"/>
            <w:noWrap/>
            <w:vAlign w:val="bottom"/>
            <w:hideMark/>
          </w:tcPr>
          <w:p w14:paraId="0F0830A1"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4.866</w:t>
            </w:r>
          </w:p>
        </w:tc>
        <w:tc>
          <w:tcPr>
            <w:tcW w:w="1065" w:type="dxa"/>
            <w:tcBorders>
              <w:top w:val="nil"/>
              <w:left w:val="nil"/>
              <w:bottom w:val="single" w:sz="4" w:space="0" w:color="auto"/>
              <w:right w:val="single" w:sz="4" w:space="0" w:color="auto"/>
            </w:tcBorders>
            <w:shd w:val="clear" w:color="auto" w:fill="D9D9D9"/>
            <w:noWrap/>
            <w:vAlign w:val="bottom"/>
            <w:hideMark/>
          </w:tcPr>
          <w:p w14:paraId="483E4B28"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316</w:t>
            </w:r>
          </w:p>
        </w:tc>
        <w:tc>
          <w:tcPr>
            <w:tcW w:w="851" w:type="dxa"/>
            <w:tcBorders>
              <w:top w:val="nil"/>
              <w:left w:val="nil"/>
              <w:bottom w:val="single" w:sz="4" w:space="0" w:color="auto"/>
              <w:right w:val="single" w:sz="4" w:space="0" w:color="auto"/>
            </w:tcBorders>
            <w:shd w:val="clear" w:color="auto" w:fill="D9D9D9"/>
            <w:noWrap/>
            <w:vAlign w:val="bottom"/>
            <w:hideMark/>
          </w:tcPr>
          <w:p w14:paraId="18D61FFD"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316</w:t>
            </w:r>
          </w:p>
        </w:tc>
      </w:tr>
      <w:tr w:rsidR="00E7759C" w:rsidRPr="00E7759C" w14:paraId="4329D9EC" w14:textId="77777777" w:rsidTr="0054297D">
        <w:trPr>
          <w:trHeight w:val="270"/>
          <w:jc w:val="center"/>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39B09AE4" w14:textId="77777777" w:rsidR="00E7759C" w:rsidRPr="00E7759C" w:rsidRDefault="00E7759C" w:rsidP="00E7759C">
            <w:pPr>
              <w:spacing w:after="0" w:line="240" w:lineRule="auto"/>
              <w:jc w:val="center"/>
              <w:rPr>
                <w:rFonts w:eastAsia="Times New Roman" w:cs="Times New Roman"/>
                <w:b/>
                <w:bCs/>
                <w:color w:val="000000"/>
                <w:sz w:val="16"/>
                <w:szCs w:val="16"/>
              </w:rPr>
            </w:pPr>
            <w:r w:rsidRPr="00E7759C">
              <w:rPr>
                <w:rFonts w:eastAsia="Times New Roman" w:cs="Times New Roman"/>
                <w:b/>
                <w:bCs/>
                <w:color w:val="000000"/>
                <w:sz w:val="16"/>
                <w:szCs w:val="16"/>
              </w:rPr>
              <w:t xml:space="preserve">Vice </w:t>
            </w:r>
            <w:r w:rsidRPr="00E7759C">
              <w:rPr>
                <w:rFonts w:eastAsia="Times New Roman" w:cs="Times New Roman"/>
                <w:b/>
                <w:bCs/>
                <w:color w:val="000000"/>
                <w:sz w:val="16"/>
                <w:szCs w:val="16"/>
              </w:rPr>
              <w:br/>
              <w:t>Admin</w:t>
            </w:r>
          </w:p>
        </w:tc>
        <w:tc>
          <w:tcPr>
            <w:tcW w:w="3782" w:type="dxa"/>
            <w:tcBorders>
              <w:top w:val="nil"/>
              <w:left w:val="nil"/>
              <w:bottom w:val="nil"/>
              <w:right w:val="single" w:sz="4" w:space="0" w:color="auto"/>
            </w:tcBorders>
            <w:shd w:val="clear" w:color="auto" w:fill="auto"/>
            <w:noWrap/>
            <w:vAlign w:val="bottom"/>
            <w:hideMark/>
          </w:tcPr>
          <w:p w14:paraId="4732EFC6"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 Jurídica</w:t>
            </w:r>
          </w:p>
        </w:tc>
        <w:tc>
          <w:tcPr>
            <w:tcW w:w="1002" w:type="dxa"/>
            <w:tcBorders>
              <w:top w:val="nil"/>
              <w:left w:val="nil"/>
              <w:bottom w:val="nil"/>
              <w:right w:val="single" w:sz="4" w:space="0" w:color="auto"/>
            </w:tcBorders>
            <w:shd w:val="clear" w:color="auto" w:fill="auto"/>
            <w:noWrap/>
            <w:vAlign w:val="bottom"/>
            <w:hideMark/>
          </w:tcPr>
          <w:p w14:paraId="08255BB2"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860</w:t>
            </w:r>
          </w:p>
        </w:tc>
        <w:tc>
          <w:tcPr>
            <w:tcW w:w="1051" w:type="dxa"/>
            <w:tcBorders>
              <w:top w:val="nil"/>
              <w:left w:val="nil"/>
              <w:bottom w:val="nil"/>
              <w:right w:val="single" w:sz="4" w:space="0" w:color="auto"/>
            </w:tcBorders>
            <w:shd w:val="clear" w:color="auto" w:fill="auto"/>
            <w:noWrap/>
            <w:vAlign w:val="bottom"/>
            <w:hideMark/>
          </w:tcPr>
          <w:p w14:paraId="1C3B6A32"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290</w:t>
            </w:r>
          </w:p>
        </w:tc>
        <w:tc>
          <w:tcPr>
            <w:tcW w:w="1065" w:type="dxa"/>
            <w:tcBorders>
              <w:top w:val="nil"/>
              <w:left w:val="nil"/>
              <w:bottom w:val="nil"/>
              <w:right w:val="single" w:sz="4" w:space="0" w:color="auto"/>
            </w:tcBorders>
            <w:shd w:val="clear" w:color="auto" w:fill="auto"/>
            <w:noWrap/>
            <w:vAlign w:val="bottom"/>
            <w:hideMark/>
          </w:tcPr>
          <w:p w14:paraId="2E65D24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87</w:t>
            </w:r>
          </w:p>
        </w:tc>
        <w:tc>
          <w:tcPr>
            <w:tcW w:w="851" w:type="dxa"/>
            <w:tcBorders>
              <w:top w:val="nil"/>
              <w:left w:val="nil"/>
              <w:bottom w:val="nil"/>
              <w:right w:val="single" w:sz="4" w:space="0" w:color="auto"/>
            </w:tcBorders>
            <w:shd w:val="clear" w:color="auto" w:fill="auto"/>
            <w:noWrap/>
            <w:vAlign w:val="bottom"/>
            <w:hideMark/>
          </w:tcPr>
          <w:p w14:paraId="1341175C"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87</w:t>
            </w:r>
          </w:p>
        </w:tc>
      </w:tr>
      <w:tr w:rsidR="00E7759C" w:rsidRPr="00E7759C" w14:paraId="79A8FA10"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379A00BC"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single" w:sz="4" w:space="0" w:color="auto"/>
            </w:tcBorders>
            <w:shd w:val="clear" w:color="auto" w:fill="F2F2F2"/>
            <w:noWrap/>
            <w:vAlign w:val="bottom"/>
            <w:hideMark/>
          </w:tcPr>
          <w:p w14:paraId="2A1B0982"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Asesorías en contratos misionales de la Entidad</w:t>
            </w:r>
          </w:p>
        </w:tc>
        <w:tc>
          <w:tcPr>
            <w:tcW w:w="1002" w:type="dxa"/>
            <w:tcBorders>
              <w:top w:val="nil"/>
              <w:left w:val="nil"/>
              <w:bottom w:val="nil"/>
              <w:right w:val="single" w:sz="4" w:space="0" w:color="auto"/>
            </w:tcBorders>
            <w:shd w:val="clear" w:color="auto" w:fill="F2F2F2"/>
            <w:noWrap/>
            <w:vAlign w:val="bottom"/>
            <w:hideMark/>
          </w:tcPr>
          <w:p w14:paraId="6A489891"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259</w:t>
            </w:r>
          </w:p>
        </w:tc>
        <w:tc>
          <w:tcPr>
            <w:tcW w:w="1051" w:type="dxa"/>
            <w:tcBorders>
              <w:top w:val="nil"/>
              <w:left w:val="nil"/>
              <w:bottom w:val="nil"/>
              <w:right w:val="single" w:sz="4" w:space="0" w:color="auto"/>
            </w:tcBorders>
            <w:shd w:val="clear" w:color="auto" w:fill="F2F2F2"/>
            <w:noWrap/>
            <w:vAlign w:val="bottom"/>
            <w:hideMark/>
          </w:tcPr>
          <w:p w14:paraId="7E11D26E"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259</w:t>
            </w:r>
          </w:p>
        </w:tc>
        <w:tc>
          <w:tcPr>
            <w:tcW w:w="1065" w:type="dxa"/>
            <w:tcBorders>
              <w:top w:val="nil"/>
              <w:left w:val="nil"/>
              <w:bottom w:val="nil"/>
              <w:right w:val="single" w:sz="4" w:space="0" w:color="auto"/>
            </w:tcBorders>
            <w:shd w:val="clear" w:color="auto" w:fill="F2F2F2"/>
            <w:noWrap/>
            <w:vAlign w:val="bottom"/>
            <w:hideMark/>
          </w:tcPr>
          <w:p w14:paraId="0CC2CB6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F2F2F2"/>
            <w:noWrap/>
            <w:vAlign w:val="bottom"/>
            <w:hideMark/>
          </w:tcPr>
          <w:p w14:paraId="280241F4"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3B0D192B"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628E4281"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auto"/>
            <w:noWrap/>
            <w:vAlign w:val="bottom"/>
            <w:hideMark/>
          </w:tcPr>
          <w:p w14:paraId="069A3119"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Asesorías en Comunicaciones</w:t>
            </w:r>
          </w:p>
        </w:tc>
        <w:tc>
          <w:tcPr>
            <w:tcW w:w="1002" w:type="dxa"/>
            <w:tcBorders>
              <w:top w:val="nil"/>
              <w:left w:val="nil"/>
              <w:bottom w:val="single" w:sz="4" w:space="0" w:color="auto"/>
              <w:right w:val="single" w:sz="4" w:space="0" w:color="auto"/>
            </w:tcBorders>
            <w:shd w:val="clear" w:color="auto" w:fill="auto"/>
            <w:noWrap/>
            <w:vAlign w:val="bottom"/>
            <w:hideMark/>
          </w:tcPr>
          <w:p w14:paraId="645A4493"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184</w:t>
            </w:r>
          </w:p>
        </w:tc>
        <w:tc>
          <w:tcPr>
            <w:tcW w:w="1051" w:type="dxa"/>
            <w:tcBorders>
              <w:top w:val="nil"/>
              <w:left w:val="nil"/>
              <w:bottom w:val="single" w:sz="4" w:space="0" w:color="auto"/>
              <w:right w:val="single" w:sz="4" w:space="0" w:color="auto"/>
            </w:tcBorders>
            <w:shd w:val="clear" w:color="auto" w:fill="auto"/>
            <w:noWrap/>
            <w:vAlign w:val="bottom"/>
            <w:hideMark/>
          </w:tcPr>
          <w:p w14:paraId="7605B9F4"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90</w:t>
            </w:r>
          </w:p>
        </w:tc>
        <w:tc>
          <w:tcPr>
            <w:tcW w:w="1065" w:type="dxa"/>
            <w:tcBorders>
              <w:top w:val="nil"/>
              <w:left w:val="nil"/>
              <w:bottom w:val="single" w:sz="4" w:space="0" w:color="auto"/>
              <w:right w:val="single" w:sz="4" w:space="0" w:color="auto"/>
            </w:tcBorders>
            <w:shd w:val="clear" w:color="auto" w:fill="auto"/>
            <w:noWrap/>
            <w:vAlign w:val="bottom"/>
            <w:hideMark/>
          </w:tcPr>
          <w:p w14:paraId="54BBBDD3"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45</w:t>
            </w:r>
          </w:p>
        </w:tc>
        <w:tc>
          <w:tcPr>
            <w:tcW w:w="851" w:type="dxa"/>
            <w:tcBorders>
              <w:top w:val="nil"/>
              <w:left w:val="nil"/>
              <w:bottom w:val="single" w:sz="4" w:space="0" w:color="auto"/>
              <w:right w:val="single" w:sz="4" w:space="0" w:color="auto"/>
            </w:tcBorders>
            <w:shd w:val="clear" w:color="auto" w:fill="auto"/>
            <w:noWrap/>
            <w:vAlign w:val="bottom"/>
            <w:hideMark/>
          </w:tcPr>
          <w:p w14:paraId="416E2EFB"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45</w:t>
            </w:r>
          </w:p>
        </w:tc>
      </w:tr>
      <w:tr w:rsidR="00E7759C" w:rsidRPr="00E7759C" w14:paraId="07E447B5"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008B5321"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D9D9D9"/>
            <w:noWrap/>
            <w:vAlign w:val="bottom"/>
            <w:hideMark/>
          </w:tcPr>
          <w:p w14:paraId="7C00B78E" w14:textId="77777777" w:rsidR="00E7759C" w:rsidRPr="00E7759C" w:rsidRDefault="00E7759C" w:rsidP="00E7759C">
            <w:pPr>
              <w:spacing w:after="0" w:line="240" w:lineRule="auto"/>
              <w:rPr>
                <w:rFonts w:eastAsia="Times New Roman" w:cs="Times New Roman"/>
                <w:b/>
                <w:bCs/>
                <w:color w:val="000000"/>
                <w:sz w:val="16"/>
                <w:szCs w:val="16"/>
              </w:rPr>
            </w:pPr>
            <w:r w:rsidRPr="00E7759C">
              <w:rPr>
                <w:rFonts w:eastAsia="Times New Roman" w:cs="Times New Roman"/>
                <w:b/>
                <w:bCs/>
                <w:color w:val="000000"/>
                <w:sz w:val="16"/>
                <w:szCs w:val="16"/>
              </w:rPr>
              <w:t>Total</w:t>
            </w:r>
          </w:p>
        </w:tc>
        <w:tc>
          <w:tcPr>
            <w:tcW w:w="1002" w:type="dxa"/>
            <w:tcBorders>
              <w:top w:val="nil"/>
              <w:left w:val="nil"/>
              <w:bottom w:val="single" w:sz="4" w:space="0" w:color="auto"/>
              <w:right w:val="single" w:sz="4" w:space="0" w:color="auto"/>
            </w:tcBorders>
            <w:shd w:val="clear" w:color="auto" w:fill="D9D9D9"/>
            <w:noWrap/>
            <w:vAlign w:val="bottom"/>
            <w:hideMark/>
          </w:tcPr>
          <w:p w14:paraId="428EC6FC"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1.303</w:t>
            </w:r>
          </w:p>
        </w:tc>
        <w:tc>
          <w:tcPr>
            <w:tcW w:w="1051" w:type="dxa"/>
            <w:tcBorders>
              <w:top w:val="nil"/>
              <w:left w:val="nil"/>
              <w:bottom w:val="single" w:sz="4" w:space="0" w:color="auto"/>
              <w:right w:val="single" w:sz="4" w:space="0" w:color="auto"/>
            </w:tcBorders>
            <w:shd w:val="clear" w:color="auto" w:fill="D9D9D9"/>
            <w:noWrap/>
            <w:vAlign w:val="bottom"/>
            <w:hideMark/>
          </w:tcPr>
          <w:p w14:paraId="7A74956C"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639</w:t>
            </w:r>
          </w:p>
        </w:tc>
        <w:tc>
          <w:tcPr>
            <w:tcW w:w="1065" w:type="dxa"/>
            <w:tcBorders>
              <w:top w:val="nil"/>
              <w:left w:val="nil"/>
              <w:bottom w:val="single" w:sz="4" w:space="0" w:color="auto"/>
              <w:right w:val="single" w:sz="4" w:space="0" w:color="auto"/>
            </w:tcBorders>
            <w:shd w:val="clear" w:color="auto" w:fill="D9D9D9"/>
            <w:noWrap/>
            <w:vAlign w:val="bottom"/>
            <w:hideMark/>
          </w:tcPr>
          <w:p w14:paraId="6595554E"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132</w:t>
            </w:r>
          </w:p>
        </w:tc>
        <w:tc>
          <w:tcPr>
            <w:tcW w:w="851" w:type="dxa"/>
            <w:tcBorders>
              <w:top w:val="nil"/>
              <w:left w:val="nil"/>
              <w:bottom w:val="single" w:sz="4" w:space="0" w:color="auto"/>
              <w:right w:val="single" w:sz="4" w:space="0" w:color="auto"/>
            </w:tcBorders>
            <w:shd w:val="clear" w:color="auto" w:fill="D9D9D9"/>
            <w:noWrap/>
            <w:vAlign w:val="bottom"/>
            <w:hideMark/>
          </w:tcPr>
          <w:p w14:paraId="2CF681F4"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132</w:t>
            </w:r>
          </w:p>
        </w:tc>
      </w:tr>
      <w:tr w:rsidR="00E7759C" w:rsidRPr="00E7759C" w14:paraId="43680644" w14:textId="77777777" w:rsidTr="0054297D">
        <w:trPr>
          <w:trHeight w:val="270"/>
          <w:jc w:val="center"/>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5B9FAAF7" w14:textId="77777777" w:rsidR="00E7759C" w:rsidRPr="00E7759C" w:rsidRDefault="00E7759C" w:rsidP="00E7759C">
            <w:pPr>
              <w:spacing w:after="0" w:line="240" w:lineRule="auto"/>
              <w:jc w:val="center"/>
              <w:rPr>
                <w:rFonts w:eastAsia="Times New Roman" w:cs="Times New Roman"/>
                <w:b/>
                <w:bCs/>
                <w:color w:val="000000"/>
                <w:sz w:val="16"/>
                <w:szCs w:val="16"/>
              </w:rPr>
            </w:pPr>
            <w:r w:rsidRPr="00E7759C">
              <w:rPr>
                <w:rFonts w:eastAsia="Times New Roman" w:cs="Times New Roman"/>
                <w:b/>
                <w:bCs/>
                <w:color w:val="000000"/>
                <w:sz w:val="16"/>
                <w:szCs w:val="16"/>
              </w:rPr>
              <w:t xml:space="preserve">Vice </w:t>
            </w:r>
            <w:r w:rsidRPr="00E7759C">
              <w:rPr>
                <w:rFonts w:eastAsia="Times New Roman" w:cs="Times New Roman"/>
                <w:b/>
                <w:bCs/>
                <w:color w:val="000000"/>
                <w:sz w:val="16"/>
                <w:szCs w:val="16"/>
              </w:rPr>
              <w:br/>
              <w:t>Planeación</w:t>
            </w:r>
          </w:p>
        </w:tc>
        <w:tc>
          <w:tcPr>
            <w:tcW w:w="3782" w:type="dxa"/>
            <w:tcBorders>
              <w:top w:val="nil"/>
              <w:left w:val="nil"/>
              <w:bottom w:val="nil"/>
              <w:right w:val="single" w:sz="4" w:space="0" w:color="auto"/>
            </w:tcBorders>
            <w:shd w:val="clear" w:color="auto" w:fill="auto"/>
            <w:noWrap/>
            <w:vAlign w:val="bottom"/>
            <w:hideMark/>
          </w:tcPr>
          <w:p w14:paraId="176EB91F"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Verificación avalúos comerciales</w:t>
            </w:r>
          </w:p>
        </w:tc>
        <w:tc>
          <w:tcPr>
            <w:tcW w:w="1002" w:type="dxa"/>
            <w:tcBorders>
              <w:top w:val="nil"/>
              <w:left w:val="nil"/>
              <w:bottom w:val="nil"/>
              <w:right w:val="single" w:sz="4" w:space="0" w:color="auto"/>
            </w:tcBorders>
            <w:shd w:val="clear" w:color="auto" w:fill="auto"/>
            <w:noWrap/>
            <w:vAlign w:val="bottom"/>
            <w:hideMark/>
          </w:tcPr>
          <w:p w14:paraId="0DC0A99D"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200</w:t>
            </w:r>
          </w:p>
        </w:tc>
        <w:tc>
          <w:tcPr>
            <w:tcW w:w="1051" w:type="dxa"/>
            <w:tcBorders>
              <w:top w:val="nil"/>
              <w:left w:val="nil"/>
              <w:bottom w:val="nil"/>
              <w:right w:val="single" w:sz="4" w:space="0" w:color="auto"/>
            </w:tcBorders>
            <w:shd w:val="clear" w:color="auto" w:fill="auto"/>
            <w:noWrap/>
            <w:vAlign w:val="bottom"/>
            <w:hideMark/>
          </w:tcPr>
          <w:p w14:paraId="3337AD3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nil"/>
              <w:right w:val="single" w:sz="4" w:space="0" w:color="auto"/>
            </w:tcBorders>
            <w:shd w:val="clear" w:color="auto" w:fill="auto"/>
            <w:noWrap/>
            <w:vAlign w:val="bottom"/>
            <w:hideMark/>
          </w:tcPr>
          <w:p w14:paraId="79FD3E98"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auto"/>
            <w:noWrap/>
            <w:vAlign w:val="bottom"/>
            <w:hideMark/>
          </w:tcPr>
          <w:p w14:paraId="035733B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0B59B0B2"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08C5322D"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single" w:sz="4" w:space="0" w:color="auto"/>
            </w:tcBorders>
            <w:shd w:val="clear" w:color="auto" w:fill="F2F2F2"/>
            <w:noWrap/>
            <w:vAlign w:val="bottom"/>
            <w:hideMark/>
          </w:tcPr>
          <w:p w14:paraId="1022A92A"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Asesorías en materia de presupuesto</w:t>
            </w:r>
          </w:p>
        </w:tc>
        <w:tc>
          <w:tcPr>
            <w:tcW w:w="1002" w:type="dxa"/>
            <w:tcBorders>
              <w:top w:val="nil"/>
              <w:left w:val="nil"/>
              <w:bottom w:val="nil"/>
              <w:right w:val="single" w:sz="4" w:space="0" w:color="auto"/>
            </w:tcBorders>
            <w:shd w:val="clear" w:color="auto" w:fill="F2F2F2"/>
            <w:noWrap/>
            <w:vAlign w:val="bottom"/>
            <w:hideMark/>
          </w:tcPr>
          <w:p w14:paraId="1CC0684F"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100</w:t>
            </w:r>
          </w:p>
        </w:tc>
        <w:tc>
          <w:tcPr>
            <w:tcW w:w="1051" w:type="dxa"/>
            <w:tcBorders>
              <w:top w:val="nil"/>
              <w:left w:val="nil"/>
              <w:bottom w:val="nil"/>
              <w:right w:val="single" w:sz="4" w:space="0" w:color="auto"/>
            </w:tcBorders>
            <w:shd w:val="clear" w:color="auto" w:fill="F2F2F2"/>
            <w:noWrap/>
            <w:vAlign w:val="bottom"/>
            <w:hideMark/>
          </w:tcPr>
          <w:p w14:paraId="1C6E4D15"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nil"/>
              <w:right w:val="single" w:sz="4" w:space="0" w:color="auto"/>
            </w:tcBorders>
            <w:shd w:val="clear" w:color="auto" w:fill="F2F2F2"/>
            <w:noWrap/>
            <w:vAlign w:val="bottom"/>
            <w:hideMark/>
          </w:tcPr>
          <w:p w14:paraId="4E8FE2D0"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F2F2F2"/>
            <w:noWrap/>
            <w:vAlign w:val="bottom"/>
            <w:hideMark/>
          </w:tcPr>
          <w:p w14:paraId="00FD2AA5"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517C2BE6"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0ADC4B59"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single" w:sz="4" w:space="0" w:color="auto"/>
            </w:tcBorders>
            <w:shd w:val="clear" w:color="auto" w:fill="auto"/>
            <w:noWrap/>
            <w:vAlign w:val="bottom"/>
            <w:hideMark/>
          </w:tcPr>
          <w:p w14:paraId="40435A87"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Gerencia de Proyectos</w:t>
            </w:r>
          </w:p>
        </w:tc>
        <w:tc>
          <w:tcPr>
            <w:tcW w:w="1002" w:type="dxa"/>
            <w:tcBorders>
              <w:top w:val="nil"/>
              <w:left w:val="nil"/>
              <w:bottom w:val="nil"/>
              <w:right w:val="single" w:sz="4" w:space="0" w:color="auto"/>
            </w:tcBorders>
            <w:shd w:val="clear" w:color="auto" w:fill="auto"/>
            <w:noWrap/>
            <w:vAlign w:val="bottom"/>
            <w:hideMark/>
          </w:tcPr>
          <w:p w14:paraId="72F4D048"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51" w:type="dxa"/>
            <w:tcBorders>
              <w:top w:val="nil"/>
              <w:left w:val="nil"/>
              <w:bottom w:val="nil"/>
              <w:right w:val="single" w:sz="4" w:space="0" w:color="auto"/>
            </w:tcBorders>
            <w:shd w:val="clear" w:color="auto" w:fill="auto"/>
            <w:noWrap/>
            <w:vAlign w:val="bottom"/>
            <w:hideMark/>
          </w:tcPr>
          <w:p w14:paraId="34E75D95"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185</w:t>
            </w:r>
          </w:p>
        </w:tc>
        <w:tc>
          <w:tcPr>
            <w:tcW w:w="1065" w:type="dxa"/>
            <w:tcBorders>
              <w:top w:val="nil"/>
              <w:left w:val="nil"/>
              <w:bottom w:val="nil"/>
              <w:right w:val="single" w:sz="4" w:space="0" w:color="auto"/>
            </w:tcBorders>
            <w:shd w:val="clear" w:color="auto" w:fill="auto"/>
            <w:noWrap/>
            <w:vAlign w:val="bottom"/>
            <w:hideMark/>
          </w:tcPr>
          <w:p w14:paraId="2AFDE7AF"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auto"/>
            <w:noWrap/>
            <w:vAlign w:val="bottom"/>
            <w:hideMark/>
          </w:tcPr>
          <w:p w14:paraId="69ADF425"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72443AC8"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23ACE515"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F2F2F2"/>
            <w:noWrap/>
            <w:vAlign w:val="bottom"/>
            <w:hideMark/>
          </w:tcPr>
          <w:p w14:paraId="3ADD17E4"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Asesorías temas prediales</w:t>
            </w:r>
          </w:p>
        </w:tc>
        <w:tc>
          <w:tcPr>
            <w:tcW w:w="1002" w:type="dxa"/>
            <w:tcBorders>
              <w:top w:val="nil"/>
              <w:left w:val="nil"/>
              <w:bottom w:val="single" w:sz="4" w:space="0" w:color="auto"/>
              <w:right w:val="single" w:sz="4" w:space="0" w:color="auto"/>
            </w:tcBorders>
            <w:shd w:val="clear" w:color="auto" w:fill="F2F2F2"/>
            <w:noWrap/>
            <w:vAlign w:val="bottom"/>
            <w:hideMark/>
          </w:tcPr>
          <w:p w14:paraId="4EEA67AF"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87</w:t>
            </w:r>
          </w:p>
        </w:tc>
        <w:tc>
          <w:tcPr>
            <w:tcW w:w="1051" w:type="dxa"/>
            <w:tcBorders>
              <w:top w:val="nil"/>
              <w:left w:val="nil"/>
              <w:bottom w:val="single" w:sz="4" w:space="0" w:color="auto"/>
              <w:right w:val="single" w:sz="4" w:space="0" w:color="auto"/>
            </w:tcBorders>
            <w:shd w:val="clear" w:color="auto" w:fill="F2F2F2"/>
            <w:noWrap/>
            <w:vAlign w:val="bottom"/>
            <w:hideMark/>
          </w:tcPr>
          <w:p w14:paraId="119886F5"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59</w:t>
            </w:r>
          </w:p>
        </w:tc>
        <w:tc>
          <w:tcPr>
            <w:tcW w:w="1065" w:type="dxa"/>
            <w:tcBorders>
              <w:top w:val="nil"/>
              <w:left w:val="nil"/>
              <w:bottom w:val="single" w:sz="4" w:space="0" w:color="auto"/>
              <w:right w:val="single" w:sz="4" w:space="0" w:color="auto"/>
            </w:tcBorders>
            <w:shd w:val="clear" w:color="auto" w:fill="F2F2F2"/>
            <w:noWrap/>
            <w:vAlign w:val="bottom"/>
            <w:hideMark/>
          </w:tcPr>
          <w:p w14:paraId="237E2B70"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7</w:t>
            </w:r>
          </w:p>
        </w:tc>
        <w:tc>
          <w:tcPr>
            <w:tcW w:w="851" w:type="dxa"/>
            <w:tcBorders>
              <w:top w:val="nil"/>
              <w:left w:val="nil"/>
              <w:bottom w:val="single" w:sz="4" w:space="0" w:color="auto"/>
              <w:right w:val="single" w:sz="4" w:space="0" w:color="auto"/>
            </w:tcBorders>
            <w:shd w:val="clear" w:color="auto" w:fill="F2F2F2"/>
            <w:noWrap/>
            <w:vAlign w:val="bottom"/>
            <w:hideMark/>
          </w:tcPr>
          <w:p w14:paraId="3A5537A3"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7</w:t>
            </w:r>
          </w:p>
        </w:tc>
      </w:tr>
      <w:tr w:rsidR="00E7759C" w:rsidRPr="00E7759C" w14:paraId="6661A7EB"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3E90114E"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D9D9D9"/>
            <w:noWrap/>
            <w:vAlign w:val="bottom"/>
            <w:hideMark/>
          </w:tcPr>
          <w:p w14:paraId="37F4A08C" w14:textId="77777777" w:rsidR="00E7759C" w:rsidRPr="00E7759C" w:rsidRDefault="00E7759C" w:rsidP="00E7759C">
            <w:pPr>
              <w:spacing w:after="0" w:line="240" w:lineRule="auto"/>
              <w:rPr>
                <w:rFonts w:eastAsia="Times New Roman" w:cs="Times New Roman"/>
                <w:b/>
                <w:bCs/>
                <w:color w:val="000000"/>
                <w:sz w:val="16"/>
                <w:szCs w:val="16"/>
              </w:rPr>
            </w:pPr>
            <w:r w:rsidRPr="00E7759C">
              <w:rPr>
                <w:rFonts w:eastAsia="Times New Roman" w:cs="Times New Roman"/>
                <w:b/>
                <w:bCs/>
                <w:color w:val="000000"/>
                <w:sz w:val="16"/>
                <w:szCs w:val="16"/>
              </w:rPr>
              <w:t>Total</w:t>
            </w:r>
          </w:p>
        </w:tc>
        <w:tc>
          <w:tcPr>
            <w:tcW w:w="1002" w:type="dxa"/>
            <w:tcBorders>
              <w:top w:val="nil"/>
              <w:left w:val="nil"/>
              <w:bottom w:val="single" w:sz="4" w:space="0" w:color="auto"/>
              <w:right w:val="single" w:sz="4" w:space="0" w:color="auto"/>
            </w:tcBorders>
            <w:shd w:val="clear" w:color="auto" w:fill="D9D9D9"/>
            <w:noWrap/>
            <w:vAlign w:val="bottom"/>
            <w:hideMark/>
          </w:tcPr>
          <w:p w14:paraId="3EBFF214"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387</w:t>
            </w:r>
          </w:p>
        </w:tc>
        <w:tc>
          <w:tcPr>
            <w:tcW w:w="1051" w:type="dxa"/>
            <w:tcBorders>
              <w:top w:val="nil"/>
              <w:left w:val="nil"/>
              <w:bottom w:val="single" w:sz="4" w:space="0" w:color="auto"/>
              <w:right w:val="single" w:sz="4" w:space="0" w:color="auto"/>
            </w:tcBorders>
            <w:shd w:val="clear" w:color="auto" w:fill="D9D9D9"/>
            <w:noWrap/>
            <w:vAlign w:val="bottom"/>
            <w:hideMark/>
          </w:tcPr>
          <w:p w14:paraId="64B6AD39"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244</w:t>
            </w:r>
          </w:p>
        </w:tc>
        <w:tc>
          <w:tcPr>
            <w:tcW w:w="1065" w:type="dxa"/>
            <w:tcBorders>
              <w:top w:val="nil"/>
              <w:left w:val="nil"/>
              <w:bottom w:val="single" w:sz="4" w:space="0" w:color="auto"/>
              <w:right w:val="single" w:sz="4" w:space="0" w:color="auto"/>
            </w:tcBorders>
            <w:shd w:val="clear" w:color="auto" w:fill="D9D9D9"/>
            <w:noWrap/>
            <w:vAlign w:val="bottom"/>
            <w:hideMark/>
          </w:tcPr>
          <w:p w14:paraId="4F205A3E"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7</w:t>
            </w:r>
          </w:p>
        </w:tc>
        <w:tc>
          <w:tcPr>
            <w:tcW w:w="851" w:type="dxa"/>
            <w:tcBorders>
              <w:top w:val="nil"/>
              <w:left w:val="nil"/>
              <w:bottom w:val="single" w:sz="4" w:space="0" w:color="auto"/>
              <w:right w:val="single" w:sz="4" w:space="0" w:color="auto"/>
            </w:tcBorders>
            <w:shd w:val="clear" w:color="auto" w:fill="D9D9D9"/>
            <w:noWrap/>
            <w:vAlign w:val="bottom"/>
            <w:hideMark/>
          </w:tcPr>
          <w:p w14:paraId="2732E400"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7</w:t>
            </w:r>
          </w:p>
        </w:tc>
      </w:tr>
      <w:tr w:rsidR="00E7759C" w:rsidRPr="00E7759C" w14:paraId="15426C1F" w14:textId="77777777" w:rsidTr="0054297D">
        <w:trPr>
          <w:trHeight w:val="270"/>
          <w:jc w:val="center"/>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4B73CCFE" w14:textId="77777777" w:rsidR="00E7759C" w:rsidRPr="00E7759C" w:rsidRDefault="00E7759C" w:rsidP="00E7759C">
            <w:pPr>
              <w:spacing w:after="0" w:line="240" w:lineRule="auto"/>
              <w:jc w:val="center"/>
              <w:rPr>
                <w:rFonts w:eastAsia="Times New Roman" w:cs="Times New Roman"/>
                <w:b/>
                <w:bCs/>
                <w:color w:val="000000"/>
                <w:sz w:val="16"/>
                <w:szCs w:val="16"/>
              </w:rPr>
            </w:pPr>
            <w:r w:rsidRPr="00E7759C">
              <w:rPr>
                <w:rFonts w:eastAsia="Times New Roman" w:cs="Times New Roman"/>
                <w:b/>
                <w:bCs/>
                <w:color w:val="000000"/>
                <w:sz w:val="16"/>
                <w:szCs w:val="16"/>
              </w:rPr>
              <w:t>Oficina Comunicaciones</w:t>
            </w:r>
          </w:p>
        </w:tc>
        <w:tc>
          <w:tcPr>
            <w:tcW w:w="3782" w:type="dxa"/>
            <w:tcBorders>
              <w:top w:val="nil"/>
              <w:left w:val="nil"/>
              <w:bottom w:val="nil"/>
              <w:right w:val="single" w:sz="4" w:space="0" w:color="auto"/>
            </w:tcBorders>
            <w:shd w:val="clear" w:color="auto" w:fill="auto"/>
            <w:noWrap/>
            <w:vAlign w:val="bottom"/>
            <w:hideMark/>
          </w:tcPr>
          <w:p w14:paraId="348C1852"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Asesorías en materia de Comunicaciones</w:t>
            </w:r>
          </w:p>
        </w:tc>
        <w:tc>
          <w:tcPr>
            <w:tcW w:w="1002" w:type="dxa"/>
            <w:tcBorders>
              <w:top w:val="nil"/>
              <w:left w:val="nil"/>
              <w:bottom w:val="nil"/>
              <w:right w:val="single" w:sz="4" w:space="0" w:color="auto"/>
            </w:tcBorders>
            <w:shd w:val="clear" w:color="auto" w:fill="auto"/>
            <w:noWrap/>
            <w:vAlign w:val="bottom"/>
            <w:hideMark/>
          </w:tcPr>
          <w:p w14:paraId="7D8DD8C7"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200</w:t>
            </w:r>
          </w:p>
        </w:tc>
        <w:tc>
          <w:tcPr>
            <w:tcW w:w="1051" w:type="dxa"/>
            <w:tcBorders>
              <w:top w:val="nil"/>
              <w:left w:val="nil"/>
              <w:bottom w:val="nil"/>
              <w:right w:val="single" w:sz="4" w:space="0" w:color="auto"/>
            </w:tcBorders>
            <w:shd w:val="clear" w:color="auto" w:fill="auto"/>
            <w:noWrap/>
            <w:vAlign w:val="bottom"/>
            <w:hideMark/>
          </w:tcPr>
          <w:p w14:paraId="45C24613"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nil"/>
              <w:right w:val="single" w:sz="4" w:space="0" w:color="auto"/>
            </w:tcBorders>
            <w:shd w:val="clear" w:color="auto" w:fill="auto"/>
            <w:noWrap/>
            <w:vAlign w:val="bottom"/>
            <w:hideMark/>
          </w:tcPr>
          <w:p w14:paraId="49072370"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auto"/>
            <w:noWrap/>
            <w:vAlign w:val="bottom"/>
            <w:hideMark/>
          </w:tcPr>
          <w:p w14:paraId="31E7660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619CE290"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303A969D"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single" w:sz="4" w:space="0" w:color="auto"/>
            </w:tcBorders>
            <w:shd w:val="clear" w:color="auto" w:fill="F2F2F2"/>
            <w:noWrap/>
            <w:vAlign w:val="bottom"/>
            <w:hideMark/>
          </w:tcPr>
          <w:p w14:paraId="52B0C519"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Asesorías para el monitoreo de comunicaciones</w:t>
            </w:r>
          </w:p>
        </w:tc>
        <w:tc>
          <w:tcPr>
            <w:tcW w:w="1002" w:type="dxa"/>
            <w:tcBorders>
              <w:top w:val="nil"/>
              <w:left w:val="nil"/>
              <w:bottom w:val="nil"/>
              <w:right w:val="single" w:sz="4" w:space="0" w:color="auto"/>
            </w:tcBorders>
            <w:shd w:val="clear" w:color="auto" w:fill="F2F2F2"/>
            <w:noWrap/>
            <w:vAlign w:val="bottom"/>
            <w:hideMark/>
          </w:tcPr>
          <w:p w14:paraId="62863588"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25</w:t>
            </w:r>
          </w:p>
        </w:tc>
        <w:tc>
          <w:tcPr>
            <w:tcW w:w="1051" w:type="dxa"/>
            <w:tcBorders>
              <w:top w:val="nil"/>
              <w:left w:val="nil"/>
              <w:bottom w:val="nil"/>
              <w:right w:val="single" w:sz="4" w:space="0" w:color="auto"/>
            </w:tcBorders>
            <w:shd w:val="clear" w:color="auto" w:fill="F2F2F2"/>
            <w:noWrap/>
            <w:vAlign w:val="bottom"/>
            <w:hideMark/>
          </w:tcPr>
          <w:p w14:paraId="51C0A05C"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nil"/>
              <w:right w:val="single" w:sz="4" w:space="0" w:color="auto"/>
            </w:tcBorders>
            <w:shd w:val="clear" w:color="auto" w:fill="F2F2F2"/>
            <w:noWrap/>
            <w:vAlign w:val="bottom"/>
            <w:hideMark/>
          </w:tcPr>
          <w:p w14:paraId="65D4D03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F2F2F2"/>
            <w:noWrap/>
            <w:vAlign w:val="bottom"/>
            <w:hideMark/>
          </w:tcPr>
          <w:p w14:paraId="3044FCA4"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379E8295"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5AAC96FC"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auto"/>
            <w:noWrap/>
            <w:vAlign w:val="bottom"/>
            <w:hideMark/>
          </w:tcPr>
          <w:p w14:paraId="2A29383C"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Apoyo en Redes sociales</w:t>
            </w:r>
          </w:p>
        </w:tc>
        <w:tc>
          <w:tcPr>
            <w:tcW w:w="1002" w:type="dxa"/>
            <w:tcBorders>
              <w:top w:val="nil"/>
              <w:left w:val="nil"/>
              <w:bottom w:val="single" w:sz="4" w:space="0" w:color="auto"/>
              <w:right w:val="single" w:sz="4" w:space="0" w:color="auto"/>
            </w:tcBorders>
            <w:shd w:val="clear" w:color="auto" w:fill="auto"/>
            <w:noWrap/>
            <w:vAlign w:val="bottom"/>
            <w:hideMark/>
          </w:tcPr>
          <w:p w14:paraId="0A5F24DA"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11</w:t>
            </w:r>
          </w:p>
        </w:tc>
        <w:tc>
          <w:tcPr>
            <w:tcW w:w="1051" w:type="dxa"/>
            <w:tcBorders>
              <w:top w:val="nil"/>
              <w:left w:val="nil"/>
              <w:bottom w:val="single" w:sz="4" w:space="0" w:color="auto"/>
              <w:right w:val="single" w:sz="4" w:space="0" w:color="auto"/>
            </w:tcBorders>
            <w:shd w:val="clear" w:color="auto" w:fill="auto"/>
            <w:noWrap/>
            <w:vAlign w:val="bottom"/>
            <w:hideMark/>
          </w:tcPr>
          <w:p w14:paraId="7F156482"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single" w:sz="4" w:space="0" w:color="auto"/>
              <w:right w:val="single" w:sz="4" w:space="0" w:color="auto"/>
            </w:tcBorders>
            <w:shd w:val="clear" w:color="auto" w:fill="auto"/>
            <w:noWrap/>
            <w:vAlign w:val="bottom"/>
            <w:hideMark/>
          </w:tcPr>
          <w:p w14:paraId="72BDBA9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bottom"/>
            <w:hideMark/>
          </w:tcPr>
          <w:p w14:paraId="73AC64A8"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50013419"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57046A37"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D9D9D9"/>
            <w:noWrap/>
            <w:vAlign w:val="bottom"/>
            <w:hideMark/>
          </w:tcPr>
          <w:p w14:paraId="5F6BA2E2" w14:textId="77777777" w:rsidR="00E7759C" w:rsidRPr="00E7759C" w:rsidRDefault="00E7759C" w:rsidP="00E7759C">
            <w:pPr>
              <w:spacing w:after="0" w:line="240" w:lineRule="auto"/>
              <w:rPr>
                <w:rFonts w:eastAsia="Times New Roman" w:cs="Times New Roman"/>
                <w:b/>
                <w:bCs/>
                <w:color w:val="000000"/>
                <w:sz w:val="16"/>
                <w:szCs w:val="16"/>
              </w:rPr>
            </w:pPr>
            <w:r w:rsidRPr="00E7759C">
              <w:rPr>
                <w:rFonts w:eastAsia="Times New Roman" w:cs="Times New Roman"/>
                <w:b/>
                <w:bCs/>
                <w:color w:val="000000"/>
                <w:sz w:val="16"/>
                <w:szCs w:val="16"/>
              </w:rPr>
              <w:t>Total</w:t>
            </w:r>
          </w:p>
        </w:tc>
        <w:tc>
          <w:tcPr>
            <w:tcW w:w="1002" w:type="dxa"/>
            <w:tcBorders>
              <w:top w:val="nil"/>
              <w:left w:val="nil"/>
              <w:bottom w:val="single" w:sz="4" w:space="0" w:color="auto"/>
              <w:right w:val="single" w:sz="4" w:space="0" w:color="auto"/>
            </w:tcBorders>
            <w:shd w:val="clear" w:color="auto" w:fill="D9D9D9"/>
            <w:noWrap/>
            <w:vAlign w:val="bottom"/>
            <w:hideMark/>
          </w:tcPr>
          <w:p w14:paraId="3F54AF50"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236</w:t>
            </w:r>
          </w:p>
        </w:tc>
        <w:tc>
          <w:tcPr>
            <w:tcW w:w="1051" w:type="dxa"/>
            <w:tcBorders>
              <w:top w:val="nil"/>
              <w:left w:val="nil"/>
              <w:bottom w:val="single" w:sz="4" w:space="0" w:color="auto"/>
              <w:right w:val="single" w:sz="4" w:space="0" w:color="auto"/>
            </w:tcBorders>
            <w:shd w:val="clear" w:color="auto" w:fill="D9D9D9"/>
            <w:noWrap/>
            <w:vAlign w:val="bottom"/>
            <w:hideMark/>
          </w:tcPr>
          <w:p w14:paraId="2ED66987"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w:t>
            </w:r>
          </w:p>
        </w:tc>
        <w:tc>
          <w:tcPr>
            <w:tcW w:w="1065" w:type="dxa"/>
            <w:tcBorders>
              <w:top w:val="nil"/>
              <w:left w:val="nil"/>
              <w:bottom w:val="single" w:sz="4" w:space="0" w:color="auto"/>
              <w:right w:val="single" w:sz="4" w:space="0" w:color="auto"/>
            </w:tcBorders>
            <w:shd w:val="clear" w:color="auto" w:fill="D9D9D9"/>
            <w:noWrap/>
            <w:vAlign w:val="bottom"/>
            <w:hideMark/>
          </w:tcPr>
          <w:p w14:paraId="729B353C"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D9D9D9"/>
            <w:noWrap/>
            <w:vAlign w:val="bottom"/>
            <w:hideMark/>
          </w:tcPr>
          <w:p w14:paraId="47562CCB"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w:t>
            </w:r>
          </w:p>
        </w:tc>
      </w:tr>
      <w:tr w:rsidR="00E7759C" w:rsidRPr="00E7759C" w14:paraId="5742428D" w14:textId="77777777" w:rsidTr="0054297D">
        <w:trPr>
          <w:trHeight w:val="270"/>
          <w:jc w:val="center"/>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59388071" w14:textId="77777777" w:rsidR="00E7759C" w:rsidRPr="00E7759C" w:rsidRDefault="00E7759C" w:rsidP="00E7759C">
            <w:pPr>
              <w:spacing w:after="0" w:line="240" w:lineRule="auto"/>
              <w:jc w:val="center"/>
              <w:rPr>
                <w:rFonts w:eastAsia="Times New Roman" w:cs="Times New Roman"/>
                <w:b/>
                <w:bCs/>
                <w:color w:val="000000"/>
                <w:sz w:val="16"/>
                <w:szCs w:val="16"/>
              </w:rPr>
            </w:pPr>
            <w:r w:rsidRPr="00E7759C">
              <w:rPr>
                <w:rFonts w:eastAsia="Times New Roman" w:cs="Times New Roman"/>
                <w:b/>
                <w:bCs/>
                <w:color w:val="000000"/>
                <w:sz w:val="16"/>
                <w:szCs w:val="16"/>
              </w:rPr>
              <w:t>Oficina Control Interno</w:t>
            </w:r>
          </w:p>
        </w:tc>
        <w:tc>
          <w:tcPr>
            <w:tcW w:w="3782" w:type="dxa"/>
            <w:tcBorders>
              <w:top w:val="nil"/>
              <w:left w:val="nil"/>
              <w:bottom w:val="single" w:sz="4" w:space="0" w:color="auto"/>
              <w:right w:val="single" w:sz="4" w:space="0" w:color="auto"/>
            </w:tcBorders>
            <w:shd w:val="clear" w:color="auto" w:fill="auto"/>
            <w:noWrap/>
            <w:vAlign w:val="bottom"/>
            <w:hideMark/>
          </w:tcPr>
          <w:p w14:paraId="67A45553"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Premio Nacional de Interventorías</w:t>
            </w:r>
          </w:p>
        </w:tc>
        <w:tc>
          <w:tcPr>
            <w:tcW w:w="1002" w:type="dxa"/>
            <w:tcBorders>
              <w:top w:val="nil"/>
              <w:left w:val="nil"/>
              <w:bottom w:val="single" w:sz="4" w:space="0" w:color="auto"/>
              <w:right w:val="single" w:sz="4" w:space="0" w:color="auto"/>
            </w:tcBorders>
            <w:shd w:val="clear" w:color="auto" w:fill="auto"/>
            <w:noWrap/>
            <w:vAlign w:val="bottom"/>
            <w:hideMark/>
          </w:tcPr>
          <w:p w14:paraId="266A4F0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170</w:t>
            </w:r>
          </w:p>
        </w:tc>
        <w:tc>
          <w:tcPr>
            <w:tcW w:w="1051" w:type="dxa"/>
            <w:tcBorders>
              <w:top w:val="nil"/>
              <w:left w:val="nil"/>
              <w:bottom w:val="single" w:sz="4" w:space="0" w:color="auto"/>
              <w:right w:val="single" w:sz="4" w:space="0" w:color="auto"/>
            </w:tcBorders>
            <w:shd w:val="clear" w:color="auto" w:fill="auto"/>
            <w:noWrap/>
            <w:vAlign w:val="bottom"/>
            <w:hideMark/>
          </w:tcPr>
          <w:p w14:paraId="5766C5BD"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166</w:t>
            </w:r>
          </w:p>
        </w:tc>
        <w:tc>
          <w:tcPr>
            <w:tcW w:w="1065" w:type="dxa"/>
            <w:tcBorders>
              <w:top w:val="nil"/>
              <w:left w:val="nil"/>
              <w:bottom w:val="single" w:sz="4" w:space="0" w:color="auto"/>
              <w:right w:val="single" w:sz="4" w:space="0" w:color="auto"/>
            </w:tcBorders>
            <w:shd w:val="clear" w:color="auto" w:fill="auto"/>
            <w:noWrap/>
            <w:vAlign w:val="bottom"/>
            <w:hideMark/>
          </w:tcPr>
          <w:p w14:paraId="1CBCC9B7"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33</w:t>
            </w:r>
          </w:p>
        </w:tc>
        <w:tc>
          <w:tcPr>
            <w:tcW w:w="851" w:type="dxa"/>
            <w:tcBorders>
              <w:top w:val="nil"/>
              <w:left w:val="nil"/>
              <w:bottom w:val="single" w:sz="4" w:space="0" w:color="auto"/>
              <w:right w:val="single" w:sz="4" w:space="0" w:color="auto"/>
            </w:tcBorders>
            <w:shd w:val="clear" w:color="auto" w:fill="auto"/>
            <w:noWrap/>
            <w:vAlign w:val="bottom"/>
            <w:hideMark/>
          </w:tcPr>
          <w:p w14:paraId="11933418"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33</w:t>
            </w:r>
          </w:p>
        </w:tc>
      </w:tr>
      <w:tr w:rsidR="00E7759C" w:rsidRPr="00E7759C" w14:paraId="603E0DD1"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24000027"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D9D9D9"/>
            <w:noWrap/>
            <w:vAlign w:val="bottom"/>
            <w:hideMark/>
          </w:tcPr>
          <w:p w14:paraId="2F12A558" w14:textId="77777777" w:rsidR="00E7759C" w:rsidRPr="00E7759C" w:rsidRDefault="00E7759C" w:rsidP="00E7759C">
            <w:pPr>
              <w:spacing w:after="0" w:line="240" w:lineRule="auto"/>
              <w:rPr>
                <w:rFonts w:eastAsia="Times New Roman" w:cs="Times New Roman"/>
                <w:b/>
                <w:bCs/>
                <w:color w:val="000000"/>
                <w:sz w:val="16"/>
                <w:szCs w:val="16"/>
              </w:rPr>
            </w:pPr>
            <w:r w:rsidRPr="00E7759C">
              <w:rPr>
                <w:rFonts w:eastAsia="Times New Roman" w:cs="Times New Roman"/>
                <w:b/>
                <w:bCs/>
                <w:color w:val="000000"/>
                <w:sz w:val="16"/>
                <w:szCs w:val="16"/>
              </w:rPr>
              <w:t>Total</w:t>
            </w:r>
          </w:p>
        </w:tc>
        <w:tc>
          <w:tcPr>
            <w:tcW w:w="1002" w:type="dxa"/>
            <w:tcBorders>
              <w:top w:val="nil"/>
              <w:left w:val="nil"/>
              <w:bottom w:val="single" w:sz="4" w:space="0" w:color="auto"/>
              <w:right w:val="single" w:sz="4" w:space="0" w:color="auto"/>
            </w:tcBorders>
            <w:shd w:val="clear" w:color="auto" w:fill="D9D9D9"/>
            <w:noWrap/>
            <w:vAlign w:val="bottom"/>
            <w:hideMark/>
          </w:tcPr>
          <w:p w14:paraId="795DFE40"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170</w:t>
            </w:r>
          </w:p>
        </w:tc>
        <w:tc>
          <w:tcPr>
            <w:tcW w:w="1051" w:type="dxa"/>
            <w:tcBorders>
              <w:top w:val="nil"/>
              <w:left w:val="nil"/>
              <w:bottom w:val="single" w:sz="4" w:space="0" w:color="auto"/>
              <w:right w:val="single" w:sz="4" w:space="0" w:color="auto"/>
            </w:tcBorders>
            <w:shd w:val="clear" w:color="auto" w:fill="D9D9D9"/>
            <w:noWrap/>
            <w:vAlign w:val="bottom"/>
            <w:hideMark/>
          </w:tcPr>
          <w:p w14:paraId="25EFE2ED"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166</w:t>
            </w:r>
          </w:p>
        </w:tc>
        <w:tc>
          <w:tcPr>
            <w:tcW w:w="1065" w:type="dxa"/>
            <w:tcBorders>
              <w:top w:val="nil"/>
              <w:left w:val="nil"/>
              <w:bottom w:val="single" w:sz="4" w:space="0" w:color="auto"/>
              <w:right w:val="single" w:sz="4" w:space="0" w:color="auto"/>
            </w:tcBorders>
            <w:shd w:val="clear" w:color="auto" w:fill="D9D9D9"/>
            <w:noWrap/>
            <w:vAlign w:val="bottom"/>
            <w:hideMark/>
          </w:tcPr>
          <w:p w14:paraId="7EE1535E"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33</w:t>
            </w:r>
          </w:p>
        </w:tc>
        <w:tc>
          <w:tcPr>
            <w:tcW w:w="851" w:type="dxa"/>
            <w:tcBorders>
              <w:top w:val="nil"/>
              <w:left w:val="nil"/>
              <w:bottom w:val="single" w:sz="4" w:space="0" w:color="auto"/>
              <w:right w:val="single" w:sz="4" w:space="0" w:color="auto"/>
            </w:tcBorders>
            <w:shd w:val="clear" w:color="auto" w:fill="D9D9D9"/>
            <w:noWrap/>
            <w:vAlign w:val="bottom"/>
            <w:hideMark/>
          </w:tcPr>
          <w:p w14:paraId="254842F9"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33</w:t>
            </w:r>
          </w:p>
        </w:tc>
      </w:tr>
      <w:tr w:rsidR="00E7759C" w:rsidRPr="00E7759C" w14:paraId="47DDF6B6" w14:textId="77777777" w:rsidTr="0054297D">
        <w:trPr>
          <w:trHeight w:val="270"/>
          <w:jc w:val="center"/>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47A4F014" w14:textId="77777777" w:rsidR="00E7759C" w:rsidRPr="00E7759C" w:rsidRDefault="00E7759C" w:rsidP="00E7759C">
            <w:pPr>
              <w:spacing w:after="0" w:line="240" w:lineRule="auto"/>
              <w:jc w:val="center"/>
              <w:rPr>
                <w:rFonts w:eastAsia="Times New Roman" w:cs="Times New Roman"/>
                <w:b/>
                <w:bCs/>
                <w:color w:val="000000"/>
                <w:sz w:val="16"/>
                <w:szCs w:val="16"/>
              </w:rPr>
            </w:pPr>
            <w:r w:rsidRPr="00E7759C">
              <w:rPr>
                <w:rFonts w:eastAsia="Times New Roman" w:cs="Times New Roman"/>
                <w:b/>
                <w:bCs/>
                <w:color w:val="000000"/>
                <w:sz w:val="16"/>
                <w:szCs w:val="16"/>
              </w:rPr>
              <w:t>Otros</w:t>
            </w:r>
          </w:p>
        </w:tc>
        <w:tc>
          <w:tcPr>
            <w:tcW w:w="3782" w:type="dxa"/>
            <w:tcBorders>
              <w:top w:val="nil"/>
              <w:left w:val="nil"/>
              <w:bottom w:val="nil"/>
              <w:right w:val="single" w:sz="4" w:space="0" w:color="auto"/>
            </w:tcBorders>
            <w:shd w:val="clear" w:color="auto" w:fill="auto"/>
            <w:noWrap/>
            <w:vAlign w:val="bottom"/>
            <w:hideMark/>
          </w:tcPr>
          <w:p w14:paraId="1D9B1159"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Prestación Servicios modo Férreo</w:t>
            </w:r>
          </w:p>
        </w:tc>
        <w:tc>
          <w:tcPr>
            <w:tcW w:w="1002" w:type="dxa"/>
            <w:tcBorders>
              <w:top w:val="nil"/>
              <w:left w:val="nil"/>
              <w:bottom w:val="nil"/>
              <w:right w:val="single" w:sz="4" w:space="0" w:color="auto"/>
            </w:tcBorders>
            <w:shd w:val="clear" w:color="auto" w:fill="auto"/>
            <w:noWrap/>
            <w:vAlign w:val="bottom"/>
            <w:hideMark/>
          </w:tcPr>
          <w:p w14:paraId="60F55441"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230</w:t>
            </w:r>
          </w:p>
        </w:tc>
        <w:tc>
          <w:tcPr>
            <w:tcW w:w="1051" w:type="dxa"/>
            <w:tcBorders>
              <w:top w:val="nil"/>
              <w:left w:val="nil"/>
              <w:bottom w:val="nil"/>
              <w:right w:val="single" w:sz="4" w:space="0" w:color="auto"/>
            </w:tcBorders>
            <w:shd w:val="clear" w:color="auto" w:fill="auto"/>
            <w:noWrap/>
            <w:vAlign w:val="bottom"/>
            <w:hideMark/>
          </w:tcPr>
          <w:p w14:paraId="3EAE220C"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nil"/>
              <w:right w:val="single" w:sz="4" w:space="0" w:color="auto"/>
            </w:tcBorders>
            <w:shd w:val="clear" w:color="auto" w:fill="auto"/>
            <w:noWrap/>
            <w:vAlign w:val="bottom"/>
            <w:hideMark/>
          </w:tcPr>
          <w:p w14:paraId="395CF76F"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auto"/>
            <w:noWrap/>
            <w:vAlign w:val="bottom"/>
            <w:hideMark/>
          </w:tcPr>
          <w:p w14:paraId="3E8D2555"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08A241F5"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294E6CE0"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single" w:sz="4" w:space="0" w:color="auto"/>
            </w:tcBorders>
            <w:shd w:val="clear" w:color="auto" w:fill="F2F2F2"/>
            <w:noWrap/>
            <w:vAlign w:val="bottom"/>
            <w:hideMark/>
          </w:tcPr>
          <w:p w14:paraId="40B38F2A"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Otras Asesorías para VGC y VE</w:t>
            </w:r>
          </w:p>
        </w:tc>
        <w:tc>
          <w:tcPr>
            <w:tcW w:w="1002" w:type="dxa"/>
            <w:tcBorders>
              <w:top w:val="nil"/>
              <w:left w:val="nil"/>
              <w:bottom w:val="nil"/>
              <w:right w:val="single" w:sz="4" w:space="0" w:color="auto"/>
            </w:tcBorders>
            <w:shd w:val="clear" w:color="auto" w:fill="F2F2F2"/>
            <w:noWrap/>
            <w:vAlign w:val="bottom"/>
            <w:hideMark/>
          </w:tcPr>
          <w:p w14:paraId="4388042B"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904</w:t>
            </w:r>
          </w:p>
        </w:tc>
        <w:tc>
          <w:tcPr>
            <w:tcW w:w="1051" w:type="dxa"/>
            <w:tcBorders>
              <w:top w:val="nil"/>
              <w:left w:val="nil"/>
              <w:bottom w:val="nil"/>
              <w:right w:val="single" w:sz="4" w:space="0" w:color="auto"/>
            </w:tcBorders>
            <w:shd w:val="clear" w:color="auto" w:fill="F2F2F2"/>
            <w:noWrap/>
            <w:vAlign w:val="bottom"/>
            <w:hideMark/>
          </w:tcPr>
          <w:p w14:paraId="5414AB27"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115</w:t>
            </w:r>
          </w:p>
        </w:tc>
        <w:tc>
          <w:tcPr>
            <w:tcW w:w="1065" w:type="dxa"/>
            <w:tcBorders>
              <w:top w:val="nil"/>
              <w:left w:val="nil"/>
              <w:bottom w:val="nil"/>
              <w:right w:val="single" w:sz="4" w:space="0" w:color="auto"/>
            </w:tcBorders>
            <w:shd w:val="clear" w:color="auto" w:fill="F2F2F2"/>
            <w:noWrap/>
            <w:vAlign w:val="bottom"/>
            <w:hideMark/>
          </w:tcPr>
          <w:p w14:paraId="37F6E696"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nil"/>
              <w:right w:val="single" w:sz="4" w:space="0" w:color="auto"/>
            </w:tcBorders>
            <w:shd w:val="clear" w:color="auto" w:fill="F2F2F2"/>
            <w:noWrap/>
            <w:vAlign w:val="bottom"/>
            <w:hideMark/>
          </w:tcPr>
          <w:p w14:paraId="15F8E628"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01DE0577"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53C91B09"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single" w:sz="4" w:space="0" w:color="auto"/>
              <w:right w:val="single" w:sz="4" w:space="0" w:color="auto"/>
            </w:tcBorders>
            <w:shd w:val="clear" w:color="auto" w:fill="auto"/>
            <w:noWrap/>
            <w:vAlign w:val="bottom"/>
            <w:hideMark/>
          </w:tcPr>
          <w:p w14:paraId="651F0999"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Recursos para Traslado a Fortalecimiento Institucional</w:t>
            </w:r>
          </w:p>
        </w:tc>
        <w:tc>
          <w:tcPr>
            <w:tcW w:w="1002" w:type="dxa"/>
            <w:tcBorders>
              <w:top w:val="nil"/>
              <w:left w:val="nil"/>
              <w:bottom w:val="single" w:sz="4" w:space="0" w:color="auto"/>
              <w:right w:val="single" w:sz="4" w:space="0" w:color="auto"/>
            </w:tcBorders>
            <w:shd w:val="clear" w:color="auto" w:fill="auto"/>
            <w:noWrap/>
            <w:vAlign w:val="bottom"/>
            <w:hideMark/>
          </w:tcPr>
          <w:p w14:paraId="72C030E9"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6.000</w:t>
            </w:r>
          </w:p>
        </w:tc>
        <w:tc>
          <w:tcPr>
            <w:tcW w:w="1051" w:type="dxa"/>
            <w:tcBorders>
              <w:top w:val="nil"/>
              <w:left w:val="nil"/>
              <w:bottom w:val="single" w:sz="4" w:space="0" w:color="auto"/>
              <w:right w:val="single" w:sz="4" w:space="0" w:color="auto"/>
            </w:tcBorders>
            <w:shd w:val="clear" w:color="auto" w:fill="auto"/>
            <w:noWrap/>
            <w:vAlign w:val="bottom"/>
            <w:hideMark/>
          </w:tcPr>
          <w:p w14:paraId="52213DEC"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1065" w:type="dxa"/>
            <w:tcBorders>
              <w:top w:val="nil"/>
              <w:left w:val="nil"/>
              <w:bottom w:val="single" w:sz="4" w:space="0" w:color="auto"/>
              <w:right w:val="single" w:sz="4" w:space="0" w:color="auto"/>
            </w:tcBorders>
            <w:shd w:val="clear" w:color="auto" w:fill="auto"/>
            <w:noWrap/>
            <w:vAlign w:val="bottom"/>
            <w:hideMark/>
          </w:tcPr>
          <w:p w14:paraId="60517A7F"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c>
          <w:tcPr>
            <w:tcW w:w="851" w:type="dxa"/>
            <w:tcBorders>
              <w:top w:val="nil"/>
              <w:left w:val="nil"/>
              <w:bottom w:val="single" w:sz="4" w:space="0" w:color="auto"/>
              <w:right w:val="single" w:sz="4" w:space="0" w:color="auto"/>
            </w:tcBorders>
            <w:shd w:val="clear" w:color="auto" w:fill="auto"/>
            <w:noWrap/>
            <w:vAlign w:val="bottom"/>
            <w:hideMark/>
          </w:tcPr>
          <w:p w14:paraId="30D54C54"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w:t>
            </w:r>
          </w:p>
        </w:tc>
      </w:tr>
      <w:tr w:rsidR="00E7759C" w:rsidRPr="00E7759C" w14:paraId="40B7673A" w14:textId="77777777" w:rsidTr="0054297D">
        <w:trPr>
          <w:trHeight w:val="270"/>
          <w:jc w:val="center"/>
        </w:trPr>
        <w:tc>
          <w:tcPr>
            <w:tcW w:w="1322" w:type="dxa"/>
            <w:vMerge/>
            <w:tcBorders>
              <w:top w:val="nil"/>
              <w:left w:val="single" w:sz="4" w:space="0" w:color="auto"/>
              <w:bottom w:val="single" w:sz="4" w:space="0" w:color="auto"/>
              <w:right w:val="single" w:sz="4" w:space="0" w:color="auto"/>
            </w:tcBorders>
            <w:vAlign w:val="center"/>
            <w:hideMark/>
          </w:tcPr>
          <w:p w14:paraId="3D845CA1" w14:textId="77777777" w:rsidR="00E7759C" w:rsidRPr="00E7759C" w:rsidRDefault="00E7759C" w:rsidP="00E7759C">
            <w:pPr>
              <w:spacing w:after="0" w:line="240" w:lineRule="auto"/>
              <w:rPr>
                <w:rFonts w:eastAsia="Times New Roman" w:cs="Times New Roman"/>
                <w:b/>
                <w:bCs/>
                <w:color w:val="000000"/>
                <w:sz w:val="16"/>
                <w:szCs w:val="16"/>
              </w:rPr>
            </w:pPr>
          </w:p>
        </w:tc>
        <w:tc>
          <w:tcPr>
            <w:tcW w:w="3782" w:type="dxa"/>
            <w:tcBorders>
              <w:top w:val="nil"/>
              <w:left w:val="nil"/>
              <w:bottom w:val="nil"/>
              <w:right w:val="single" w:sz="4" w:space="0" w:color="auto"/>
            </w:tcBorders>
            <w:shd w:val="clear" w:color="auto" w:fill="D9D9D9"/>
            <w:noWrap/>
            <w:vAlign w:val="bottom"/>
            <w:hideMark/>
          </w:tcPr>
          <w:p w14:paraId="19E26163" w14:textId="77777777" w:rsidR="00E7759C" w:rsidRPr="00E7759C" w:rsidRDefault="00E7759C" w:rsidP="00E7759C">
            <w:pPr>
              <w:spacing w:after="0" w:line="240" w:lineRule="auto"/>
              <w:rPr>
                <w:rFonts w:eastAsia="Times New Roman" w:cs="Times New Roman"/>
                <w:b/>
                <w:bCs/>
                <w:color w:val="000000"/>
                <w:sz w:val="16"/>
                <w:szCs w:val="16"/>
              </w:rPr>
            </w:pPr>
            <w:r w:rsidRPr="00E7759C">
              <w:rPr>
                <w:rFonts w:eastAsia="Times New Roman" w:cs="Times New Roman"/>
                <w:b/>
                <w:bCs/>
                <w:color w:val="000000"/>
                <w:sz w:val="16"/>
                <w:szCs w:val="16"/>
              </w:rPr>
              <w:t>Total</w:t>
            </w:r>
          </w:p>
        </w:tc>
        <w:tc>
          <w:tcPr>
            <w:tcW w:w="1002" w:type="dxa"/>
            <w:tcBorders>
              <w:top w:val="nil"/>
              <w:left w:val="nil"/>
              <w:bottom w:val="nil"/>
              <w:right w:val="single" w:sz="4" w:space="0" w:color="auto"/>
            </w:tcBorders>
            <w:shd w:val="clear" w:color="auto" w:fill="D9D9D9"/>
            <w:noWrap/>
            <w:vAlign w:val="bottom"/>
            <w:hideMark/>
          </w:tcPr>
          <w:p w14:paraId="1CBED5BA"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7.133</w:t>
            </w:r>
          </w:p>
        </w:tc>
        <w:tc>
          <w:tcPr>
            <w:tcW w:w="1051" w:type="dxa"/>
            <w:tcBorders>
              <w:top w:val="nil"/>
              <w:left w:val="nil"/>
              <w:bottom w:val="nil"/>
              <w:right w:val="single" w:sz="4" w:space="0" w:color="auto"/>
            </w:tcBorders>
            <w:shd w:val="clear" w:color="auto" w:fill="D9D9D9"/>
            <w:noWrap/>
            <w:vAlign w:val="bottom"/>
            <w:hideMark/>
          </w:tcPr>
          <w:p w14:paraId="601A1457"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115</w:t>
            </w:r>
          </w:p>
        </w:tc>
        <w:tc>
          <w:tcPr>
            <w:tcW w:w="1065" w:type="dxa"/>
            <w:tcBorders>
              <w:top w:val="nil"/>
              <w:left w:val="nil"/>
              <w:bottom w:val="nil"/>
              <w:right w:val="single" w:sz="4" w:space="0" w:color="auto"/>
            </w:tcBorders>
            <w:shd w:val="clear" w:color="auto" w:fill="D9D9D9"/>
            <w:noWrap/>
            <w:vAlign w:val="bottom"/>
            <w:hideMark/>
          </w:tcPr>
          <w:p w14:paraId="638B2A4A"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w:t>
            </w:r>
          </w:p>
        </w:tc>
        <w:tc>
          <w:tcPr>
            <w:tcW w:w="851" w:type="dxa"/>
            <w:tcBorders>
              <w:top w:val="nil"/>
              <w:left w:val="nil"/>
              <w:bottom w:val="nil"/>
              <w:right w:val="single" w:sz="4" w:space="0" w:color="auto"/>
            </w:tcBorders>
            <w:shd w:val="clear" w:color="auto" w:fill="D9D9D9"/>
            <w:noWrap/>
            <w:vAlign w:val="bottom"/>
            <w:hideMark/>
          </w:tcPr>
          <w:p w14:paraId="6CE24D2B" w14:textId="77777777" w:rsidR="00E7759C" w:rsidRPr="00E7759C" w:rsidRDefault="00E7759C" w:rsidP="00E7759C">
            <w:pPr>
              <w:spacing w:after="0" w:line="240" w:lineRule="auto"/>
              <w:jc w:val="right"/>
              <w:rPr>
                <w:rFonts w:eastAsia="Times New Roman" w:cs="Times New Roman"/>
                <w:b/>
                <w:bCs/>
                <w:color w:val="000000"/>
                <w:sz w:val="16"/>
                <w:szCs w:val="16"/>
              </w:rPr>
            </w:pPr>
            <w:r w:rsidRPr="00E7759C">
              <w:rPr>
                <w:rFonts w:eastAsia="Times New Roman" w:cs="Times New Roman"/>
                <w:b/>
                <w:bCs/>
                <w:color w:val="000000"/>
                <w:sz w:val="16"/>
                <w:szCs w:val="16"/>
              </w:rPr>
              <w:t>-</w:t>
            </w:r>
          </w:p>
        </w:tc>
      </w:tr>
      <w:tr w:rsidR="00E7759C" w:rsidRPr="00E7759C" w14:paraId="5CA92258" w14:textId="77777777" w:rsidTr="0054297D">
        <w:trPr>
          <w:trHeight w:val="270"/>
          <w:jc w:val="center"/>
        </w:trPr>
        <w:tc>
          <w:tcPr>
            <w:tcW w:w="5104" w:type="dxa"/>
            <w:gridSpan w:val="2"/>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56FFF89B"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Total</w:t>
            </w:r>
          </w:p>
        </w:tc>
        <w:tc>
          <w:tcPr>
            <w:tcW w:w="1002" w:type="dxa"/>
            <w:tcBorders>
              <w:top w:val="single" w:sz="4" w:space="0" w:color="auto"/>
              <w:left w:val="nil"/>
              <w:bottom w:val="single" w:sz="4" w:space="0" w:color="auto"/>
              <w:right w:val="single" w:sz="4" w:space="0" w:color="auto"/>
            </w:tcBorders>
            <w:shd w:val="clear" w:color="000000" w:fill="1F4E78"/>
            <w:noWrap/>
            <w:vAlign w:val="bottom"/>
            <w:hideMark/>
          </w:tcPr>
          <w:p w14:paraId="34F138A9" w14:textId="77777777" w:rsidR="00E7759C" w:rsidRPr="00E7759C" w:rsidRDefault="00E7759C" w:rsidP="00E7759C">
            <w:pPr>
              <w:spacing w:after="0" w:line="240" w:lineRule="auto"/>
              <w:jc w:val="right"/>
              <w:rPr>
                <w:rFonts w:eastAsia="Times New Roman" w:cs="Times New Roman"/>
                <w:b/>
                <w:bCs/>
                <w:color w:val="FFFFFF"/>
                <w:sz w:val="16"/>
                <w:szCs w:val="16"/>
              </w:rPr>
            </w:pPr>
            <w:r w:rsidRPr="00E7759C">
              <w:rPr>
                <w:rFonts w:eastAsia="Times New Roman" w:cs="Times New Roman"/>
                <w:b/>
                <w:bCs/>
                <w:color w:val="FFFFFF"/>
                <w:sz w:val="16"/>
                <w:szCs w:val="16"/>
              </w:rPr>
              <w:t>41.700</w:t>
            </w:r>
          </w:p>
        </w:tc>
        <w:tc>
          <w:tcPr>
            <w:tcW w:w="1051" w:type="dxa"/>
            <w:tcBorders>
              <w:top w:val="single" w:sz="4" w:space="0" w:color="auto"/>
              <w:left w:val="nil"/>
              <w:bottom w:val="single" w:sz="4" w:space="0" w:color="auto"/>
              <w:right w:val="single" w:sz="4" w:space="0" w:color="auto"/>
            </w:tcBorders>
            <w:shd w:val="clear" w:color="000000" w:fill="1F4E78"/>
            <w:noWrap/>
            <w:vAlign w:val="bottom"/>
            <w:hideMark/>
          </w:tcPr>
          <w:p w14:paraId="251789E2" w14:textId="77777777" w:rsidR="00E7759C" w:rsidRPr="00E7759C" w:rsidRDefault="00E7759C" w:rsidP="00E7759C">
            <w:pPr>
              <w:spacing w:after="0" w:line="240" w:lineRule="auto"/>
              <w:jc w:val="right"/>
              <w:rPr>
                <w:rFonts w:eastAsia="Times New Roman" w:cs="Times New Roman"/>
                <w:b/>
                <w:bCs/>
                <w:color w:val="FFFFFF"/>
                <w:sz w:val="16"/>
                <w:szCs w:val="16"/>
              </w:rPr>
            </w:pPr>
            <w:r w:rsidRPr="00E7759C">
              <w:rPr>
                <w:rFonts w:eastAsia="Times New Roman" w:cs="Times New Roman"/>
                <w:b/>
                <w:bCs/>
                <w:color w:val="FFFFFF"/>
                <w:sz w:val="16"/>
                <w:szCs w:val="16"/>
              </w:rPr>
              <w:t>17.097</w:t>
            </w:r>
          </w:p>
        </w:tc>
        <w:tc>
          <w:tcPr>
            <w:tcW w:w="1065" w:type="dxa"/>
            <w:tcBorders>
              <w:top w:val="single" w:sz="4" w:space="0" w:color="auto"/>
              <w:left w:val="nil"/>
              <w:bottom w:val="single" w:sz="4" w:space="0" w:color="auto"/>
              <w:right w:val="single" w:sz="4" w:space="0" w:color="auto"/>
            </w:tcBorders>
            <w:shd w:val="clear" w:color="000000" w:fill="1F4E78"/>
            <w:noWrap/>
            <w:vAlign w:val="bottom"/>
            <w:hideMark/>
          </w:tcPr>
          <w:p w14:paraId="13115874" w14:textId="77777777" w:rsidR="00E7759C" w:rsidRPr="00E7759C" w:rsidRDefault="00E7759C" w:rsidP="00E7759C">
            <w:pPr>
              <w:spacing w:after="0" w:line="240" w:lineRule="auto"/>
              <w:jc w:val="right"/>
              <w:rPr>
                <w:rFonts w:eastAsia="Times New Roman" w:cs="Times New Roman"/>
                <w:b/>
                <w:bCs/>
                <w:color w:val="FFFFFF"/>
                <w:sz w:val="16"/>
                <w:szCs w:val="16"/>
              </w:rPr>
            </w:pPr>
            <w:r w:rsidRPr="00E7759C">
              <w:rPr>
                <w:rFonts w:eastAsia="Times New Roman" w:cs="Times New Roman"/>
                <w:b/>
                <w:bCs/>
                <w:color w:val="FFFFFF"/>
                <w:sz w:val="16"/>
                <w:szCs w:val="16"/>
              </w:rPr>
              <w:t>617</w:t>
            </w:r>
          </w:p>
        </w:tc>
        <w:tc>
          <w:tcPr>
            <w:tcW w:w="851" w:type="dxa"/>
            <w:tcBorders>
              <w:top w:val="single" w:sz="4" w:space="0" w:color="auto"/>
              <w:left w:val="nil"/>
              <w:bottom w:val="single" w:sz="4" w:space="0" w:color="auto"/>
              <w:right w:val="single" w:sz="4" w:space="0" w:color="auto"/>
            </w:tcBorders>
            <w:shd w:val="clear" w:color="000000" w:fill="1F4E78"/>
            <w:noWrap/>
            <w:vAlign w:val="bottom"/>
            <w:hideMark/>
          </w:tcPr>
          <w:p w14:paraId="1B7B1A35" w14:textId="77777777" w:rsidR="00E7759C" w:rsidRPr="00E7759C" w:rsidRDefault="00E7759C" w:rsidP="00E7759C">
            <w:pPr>
              <w:spacing w:after="0" w:line="240" w:lineRule="auto"/>
              <w:jc w:val="right"/>
              <w:rPr>
                <w:rFonts w:eastAsia="Times New Roman" w:cs="Times New Roman"/>
                <w:b/>
                <w:bCs/>
                <w:color w:val="FFFFFF"/>
                <w:sz w:val="16"/>
                <w:szCs w:val="16"/>
              </w:rPr>
            </w:pPr>
            <w:r w:rsidRPr="00E7759C">
              <w:rPr>
                <w:rFonts w:eastAsia="Times New Roman" w:cs="Times New Roman"/>
                <w:b/>
                <w:bCs/>
                <w:color w:val="FFFFFF"/>
                <w:sz w:val="16"/>
                <w:szCs w:val="16"/>
              </w:rPr>
              <w:t>617</w:t>
            </w:r>
          </w:p>
        </w:tc>
      </w:tr>
    </w:tbl>
    <w:p w14:paraId="5F97618F" w14:textId="77777777" w:rsidR="00E7759C" w:rsidRPr="00E7759C" w:rsidRDefault="00E7759C" w:rsidP="00E7759C">
      <w:pPr>
        <w:spacing w:after="0" w:line="0" w:lineRule="atLeast"/>
        <w:jc w:val="both"/>
        <w:rPr>
          <w:rFonts w:eastAsia="Times New Roman" w:cs="Times New Roman"/>
          <w:u w:val="single"/>
          <w:lang w:val="es-ES" w:eastAsia="en-US"/>
        </w:rPr>
      </w:pPr>
    </w:p>
    <w:p w14:paraId="4D8691C0" w14:textId="77777777" w:rsidR="00E7759C" w:rsidRPr="00E7759C" w:rsidRDefault="00E7759C" w:rsidP="00E7759C">
      <w:pPr>
        <w:spacing w:after="0" w:line="0" w:lineRule="atLeast"/>
        <w:jc w:val="both"/>
        <w:rPr>
          <w:rFonts w:eastAsia="Times New Roman" w:cs="Times New Roman"/>
          <w:lang w:val="es-ES" w:eastAsia="en-US"/>
        </w:rPr>
      </w:pPr>
      <w:r w:rsidRPr="00E7759C">
        <w:rPr>
          <w:rFonts w:eastAsia="Times New Roman" w:cs="Times New Roman"/>
          <w:lang w:val="es-ES" w:eastAsia="en-US"/>
        </w:rPr>
        <w:t xml:space="preserve">Tal como se evidencia, a la fecha de corte se ha comprometido el 41% del total de los recursos disponibles para Asesorías y Consultorías y la ejecución de los pagos ha sido mínima (1.48%). </w:t>
      </w:r>
    </w:p>
    <w:p w14:paraId="3E9254AF" w14:textId="77777777" w:rsidR="00E7759C" w:rsidRPr="00E7759C" w:rsidRDefault="00E7759C" w:rsidP="00E7759C">
      <w:pPr>
        <w:spacing w:after="0" w:line="0" w:lineRule="atLeast"/>
        <w:jc w:val="both"/>
        <w:rPr>
          <w:rFonts w:eastAsia="Times New Roman" w:cs="Times New Roman"/>
          <w:lang w:val="es-ES" w:eastAsia="en-US"/>
        </w:rPr>
      </w:pPr>
    </w:p>
    <w:p w14:paraId="0EC78090" w14:textId="77777777" w:rsidR="00E7759C" w:rsidRPr="00E7759C" w:rsidRDefault="00E7759C" w:rsidP="00E7759C">
      <w:pPr>
        <w:numPr>
          <w:ilvl w:val="0"/>
          <w:numId w:val="128"/>
        </w:numPr>
        <w:spacing w:after="0" w:line="0" w:lineRule="atLeast"/>
        <w:jc w:val="both"/>
        <w:rPr>
          <w:rFonts w:eastAsia="Times New Roman" w:cs="Times New Roman"/>
          <w:u w:val="single"/>
          <w:lang w:val="es-ES" w:eastAsia="en-US"/>
        </w:rPr>
      </w:pPr>
      <w:r w:rsidRPr="00E7759C">
        <w:rPr>
          <w:rFonts w:eastAsia="Times New Roman" w:cs="Times New Roman"/>
          <w:u w:val="single"/>
          <w:lang w:val="es-ES" w:eastAsia="en-US"/>
        </w:rPr>
        <w:t>Fortalecimiento Institucional.</w:t>
      </w:r>
      <w:r w:rsidRPr="00E7759C">
        <w:rPr>
          <w:rFonts w:eastAsia="Times New Roman" w:cs="Times New Roman"/>
          <w:lang w:val="es-ES" w:eastAsia="en-US"/>
        </w:rPr>
        <w:t xml:space="preserve"> Para la vigencia 2014 se cuenta con una apropiación de $1.000 millones, los cuales a la fecha de corte no presentan ejecución. De acuerdo con el Plan de Acción, estos recursos serán destinados para las siguientes actividades:</w:t>
      </w:r>
    </w:p>
    <w:p w14:paraId="169BD6A0" w14:textId="7F01FD06" w:rsidR="008A7483" w:rsidRDefault="008A7483">
      <w:pPr>
        <w:rPr>
          <w:rFonts w:eastAsia="Times New Roman" w:cs="Times New Roman"/>
          <w:u w:val="single"/>
          <w:lang w:val="es-ES" w:eastAsia="en-US"/>
        </w:rPr>
      </w:pPr>
      <w:r>
        <w:rPr>
          <w:rFonts w:eastAsia="Times New Roman" w:cs="Times New Roman"/>
          <w:u w:val="single"/>
          <w:lang w:val="es-ES" w:eastAsia="en-US"/>
        </w:rPr>
        <w:br w:type="page"/>
      </w:r>
    </w:p>
    <w:p w14:paraId="0A54C7D1" w14:textId="77777777" w:rsidR="00E7759C" w:rsidRPr="00E7759C" w:rsidRDefault="00E7759C" w:rsidP="00E7759C">
      <w:pPr>
        <w:spacing w:after="0" w:line="0" w:lineRule="atLeast"/>
        <w:ind w:left="720"/>
        <w:jc w:val="both"/>
        <w:rPr>
          <w:rFonts w:eastAsia="Times New Roman" w:cs="Times New Roman"/>
          <w:u w:val="single"/>
          <w:lang w:val="es-ES" w:eastAsia="en-US"/>
        </w:rPr>
      </w:pPr>
    </w:p>
    <w:p w14:paraId="73858872" w14:textId="77777777" w:rsidR="00E7759C" w:rsidRPr="00E7759C" w:rsidRDefault="00E7759C" w:rsidP="00E7759C">
      <w:pPr>
        <w:spacing w:after="0" w:line="0" w:lineRule="atLeast"/>
        <w:jc w:val="center"/>
        <w:rPr>
          <w:rFonts w:eastAsia="Times New Roman" w:cs="Times New Roman"/>
          <w:lang w:val="es-ES" w:eastAsia="en-US"/>
        </w:rPr>
      </w:pPr>
      <w:r w:rsidRPr="00E7759C">
        <w:rPr>
          <w:rFonts w:eastAsia="Times New Roman" w:cs="Times New Roman"/>
          <w:b/>
          <w:color w:val="365F91"/>
          <w:sz w:val="18"/>
          <w:szCs w:val="16"/>
          <w:lang w:val="es-ES" w:eastAsia="es-ES"/>
        </w:rPr>
        <w:t>Cuadro No. 6</w:t>
      </w:r>
    </w:p>
    <w:p w14:paraId="64D072D3"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Ejecución Presupuestal – Fortalecimiento Institucional</w:t>
      </w:r>
    </w:p>
    <w:tbl>
      <w:tblPr>
        <w:tblW w:w="7680" w:type="dxa"/>
        <w:jc w:val="center"/>
        <w:tblCellMar>
          <w:left w:w="70" w:type="dxa"/>
          <w:right w:w="70" w:type="dxa"/>
        </w:tblCellMar>
        <w:tblLook w:val="04A0" w:firstRow="1" w:lastRow="0" w:firstColumn="1" w:lastColumn="0" w:noHBand="0" w:noVBand="1"/>
      </w:tblPr>
      <w:tblGrid>
        <w:gridCol w:w="3440"/>
        <w:gridCol w:w="1060"/>
        <w:gridCol w:w="1162"/>
        <w:gridCol w:w="1009"/>
        <w:gridCol w:w="1009"/>
      </w:tblGrid>
      <w:tr w:rsidR="00E7759C" w:rsidRPr="00E7759C" w14:paraId="6CA899C1" w14:textId="77777777" w:rsidTr="0054297D">
        <w:trPr>
          <w:trHeight w:val="270"/>
          <w:jc w:val="center"/>
        </w:trPr>
        <w:tc>
          <w:tcPr>
            <w:tcW w:w="3440" w:type="dxa"/>
            <w:tcBorders>
              <w:top w:val="nil"/>
              <w:left w:val="nil"/>
              <w:bottom w:val="nil"/>
              <w:right w:val="nil"/>
            </w:tcBorders>
            <w:shd w:val="clear" w:color="auto" w:fill="auto"/>
            <w:noWrap/>
            <w:vAlign w:val="bottom"/>
            <w:hideMark/>
          </w:tcPr>
          <w:p w14:paraId="2BD1FAC5" w14:textId="77777777" w:rsidR="00E7759C" w:rsidRPr="00E7759C" w:rsidRDefault="00E7759C" w:rsidP="00E7759C">
            <w:pPr>
              <w:spacing w:after="0" w:line="240" w:lineRule="auto"/>
              <w:rPr>
                <w:rFonts w:eastAsia="Times New Roman" w:cs="Times New Roman"/>
                <w:sz w:val="16"/>
                <w:szCs w:val="16"/>
              </w:rPr>
            </w:pPr>
          </w:p>
        </w:tc>
        <w:tc>
          <w:tcPr>
            <w:tcW w:w="1060" w:type="dxa"/>
            <w:tcBorders>
              <w:top w:val="nil"/>
              <w:left w:val="nil"/>
              <w:bottom w:val="nil"/>
              <w:right w:val="nil"/>
            </w:tcBorders>
            <w:shd w:val="clear" w:color="auto" w:fill="auto"/>
            <w:noWrap/>
            <w:vAlign w:val="bottom"/>
            <w:hideMark/>
          </w:tcPr>
          <w:p w14:paraId="318E238B" w14:textId="77777777" w:rsidR="00E7759C" w:rsidRPr="00E7759C" w:rsidRDefault="00E7759C" w:rsidP="00E7759C">
            <w:pPr>
              <w:spacing w:after="0" w:line="240" w:lineRule="auto"/>
              <w:rPr>
                <w:rFonts w:eastAsia="Times New Roman" w:cs="Times New Roman"/>
                <w:sz w:val="16"/>
                <w:szCs w:val="16"/>
              </w:rPr>
            </w:pPr>
          </w:p>
        </w:tc>
        <w:tc>
          <w:tcPr>
            <w:tcW w:w="3180" w:type="dxa"/>
            <w:gridSpan w:val="3"/>
            <w:tcBorders>
              <w:top w:val="nil"/>
              <w:left w:val="nil"/>
              <w:bottom w:val="single" w:sz="4" w:space="0" w:color="auto"/>
              <w:right w:val="nil"/>
            </w:tcBorders>
            <w:shd w:val="clear" w:color="auto" w:fill="auto"/>
            <w:noWrap/>
            <w:vAlign w:val="bottom"/>
            <w:hideMark/>
          </w:tcPr>
          <w:p w14:paraId="34F66C61" w14:textId="77777777" w:rsidR="00E7759C" w:rsidRPr="00E7759C" w:rsidRDefault="00E7759C" w:rsidP="00E7759C">
            <w:pPr>
              <w:spacing w:after="0" w:line="240" w:lineRule="auto"/>
              <w:jc w:val="right"/>
              <w:rPr>
                <w:rFonts w:eastAsia="Times New Roman" w:cs="Times New Roman"/>
                <w:color w:val="000000"/>
                <w:sz w:val="16"/>
                <w:szCs w:val="16"/>
              </w:rPr>
            </w:pPr>
            <w:r w:rsidRPr="00E7759C">
              <w:rPr>
                <w:rFonts w:eastAsia="Times New Roman" w:cs="Times New Roman"/>
                <w:color w:val="000000"/>
                <w:sz w:val="16"/>
                <w:szCs w:val="16"/>
              </w:rPr>
              <w:t xml:space="preserve"> cifras en millones de pesos </w:t>
            </w:r>
          </w:p>
        </w:tc>
      </w:tr>
      <w:tr w:rsidR="00E7759C" w:rsidRPr="00E7759C" w14:paraId="42CE5D9A" w14:textId="77777777" w:rsidTr="0054297D">
        <w:trPr>
          <w:trHeight w:val="270"/>
          <w:jc w:val="center"/>
        </w:trPr>
        <w:tc>
          <w:tcPr>
            <w:tcW w:w="3440" w:type="dxa"/>
            <w:tcBorders>
              <w:top w:val="single" w:sz="4" w:space="0" w:color="auto"/>
              <w:left w:val="single" w:sz="4" w:space="0" w:color="auto"/>
              <w:bottom w:val="nil"/>
              <w:right w:val="single" w:sz="4" w:space="0" w:color="auto"/>
            </w:tcBorders>
            <w:shd w:val="clear" w:color="000000" w:fill="1F4E78"/>
            <w:noWrap/>
            <w:vAlign w:val="bottom"/>
            <w:hideMark/>
          </w:tcPr>
          <w:p w14:paraId="1B1F7D1F"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Actividad</w:t>
            </w:r>
          </w:p>
        </w:tc>
        <w:tc>
          <w:tcPr>
            <w:tcW w:w="1060" w:type="dxa"/>
            <w:tcBorders>
              <w:top w:val="single" w:sz="4" w:space="0" w:color="auto"/>
              <w:left w:val="nil"/>
              <w:bottom w:val="nil"/>
              <w:right w:val="single" w:sz="4" w:space="0" w:color="auto"/>
            </w:tcBorders>
            <w:shd w:val="clear" w:color="000000" w:fill="1F4E78"/>
            <w:noWrap/>
            <w:vAlign w:val="bottom"/>
            <w:hideMark/>
          </w:tcPr>
          <w:p w14:paraId="220FD96B"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Apropiación</w:t>
            </w:r>
          </w:p>
        </w:tc>
        <w:tc>
          <w:tcPr>
            <w:tcW w:w="1162" w:type="dxa"/>
            <w:tcBorders>
              <w:top w:val="nil"/>
              <w:left w:val="nil"/>
              <w:bottom w:val="nil"/>
              <w:right w:val="single" w:sz="4" w:space="0" w:color="auto"/>
            </w:tcBorders>
            <w:shd w:val="clear" w:color="000000" w:fill="1F4E78"/>
            <w:noWrap/>
            <w:vAlign w:val="bottom"/>
            <w:hideMark/>
          </w:tcPr>
          <w:p w14:paraId="55149877"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Compromiso</w:t>
            </w:r>
          </w:p>
        </w:tc>
        <w:tc>
          <w:tcPr>
            <w:tcW w:w="1009" w:type="dxa"/>
            <w:tcBorders>
              <w:top w:val="nil"/>
              <w:left w:val="nil"/>
              <w:bottom w:val="nil"/>
              <w:right w:val="single" w:sz="4" w:space="0" w:color="auto"/>
            </w:tcBorders>
            <w:shd w:val="clear" w:color="000000" w:fill="1F4E78"/>
            <w:noWrap/>
            <w:vAlign w:val="bottom"/>
            <w:hideMark/>
          </w:tcPr>
          <w:p w14:paraId="1229E8B9"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Obligación</w:t>
            </w:r>
          </w:p>
        </w:tc>
        <w:tc>
          <w:tcPr>
            <w:tcW w:w="1009" w:type="dxa"/>
            <w:tcBorders>
              <w:top w:val="nil"/>
              <w:left w:val="nil"/>
              <w:bottom w:val="nil"/>
              <w:right w:val="single" w:sz="4" w:space="0" w:color="auto"/>
            </w:tcBorders>
            <w:shd w:val="clear" w:color="000000" w:fill="1F4E78"/>
            <w:noWrap/>
            <w:vAlign w:val="bottom"/>
            <w:hideMark/>
          </w:tcPr>
          <w:p w14:paraId="6CD1AC5D"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Pago</w:t>
            </w:r>
          </w:p>
        </w:tc>
      </w:tr>
      <w:tr w:rsidR="00E7759C" w:rsidRPr="00E7759C" w14:paraId="577145C9" w14:textId="77777777" w:rsidTr="0054297D">
        <w:trPr>
          <w:trHeight w:val="270"/>
          <w:jc w:val="center"/>
        </w:trPr>
        <w:tc>
          <w:tcPr>
            <w:tcW w:w="3440" w:type="dxa"/>
            <w:tcBorders>
              <w:top w:val="single" w:sz="4" w:space="0" w:color="auto"/>
              <w:left w:val="single" w:sz="4" w:space="0" w:color="auto"/>
              <w:bottom w:val="nil"/>
              <w:right w:val="single" w:sz="4" w:space="0" w:color="auto"/>
            </w:tcBorders>
            <w:shd w:val="clear" w:color="auto" w:fill="auto"/>
            <w:noWrap/>
            <w:vAlign w:val="bottom"/>
            <w:hideMark/>
          </w:tcPr>
          <w:p w14:paraId="01E9B37E"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Suministro pasajes aéreos </w:t>
            </w:r>
          </w:p>
        </w:tc>
        <w:tc>
          <w:tcPr>
            <w:tcW w:w="1060" w:type="dxa"/>
            <w:tcBorders>
              <w:top w:val="single" w:sz="4" w:space="0" w:color="auto"/>
              <w:left w:val="nil"/>
              <w:bottom w:val="nil"/>
              <w:right w:val="single" w:sz="4" w:space="0" w:color="auto"/>
            </w:tcBorders>
            <w:shd w:val="clear" w:color="auto" w:fill="auto"/>
            <w:noWrap/>
            <w:vAlign w:val="bottom"/>
            <w:hideMark/>
          </w:tcPr>
          <w:p w14:paraId="7D979461"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600 </w:t>
            </w:r>
          </w:p>
        </w:tc>
        <w:tc>
          <w:tcPr>
            <w:tcW w:w="1162" w:type="dxa"/>
            <w:tcBorders>
              <w:top w:val="single" w:sz="4" w:space="0" w:color="auto"/>
              <w:left w:val="nil"/>
              <w:bottom w:val="nil"/>
              <w:right w:val="single" w:sz="4" w:space="0" w:color="auto"/>
            </w:tcBorders>
            <w:shd w:val="clear" w:color="auto" w:fill="auto"/>
            <w:noWrap/>
            <w:vAlign w:val="bottom"/>
            <w:hideMark/>
          </w:tcPr>
          <w:p w14:paraId="3B244281"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single" w:sz="4" w:space="0" w:color="auto"/>
              <w:left w:val="nil"/>
              <w:bottom w:val="nil"/>
              <w:right w:val="single" w:sz="4" w:space="0" w:color="auto"/>
            </w:tcBorders>
            <w:shd w:val="clear" w:color="auto" w:fill="auto"/>
            <w:noWrap/>
            <w:vAlign w:val="bottom"/>
            <w:hideMark/>
          </w:tcPr>
          <w:p w14:paraId="7918239B"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single" w:sz="4" w:space="0" w:color="auto"/>
              <w:left w:val="nil"/>
              <w:bottom w:val="nil"/>
              <w:right w:val="single" w:sz="4" w:space="0" w:color="auto"/>
            </w:tcBorders>
            <w:shd w:val="clear" w:color="auto" w:fill="auto"/>
            <w:noWrap/>
            <w:vAlign w:val="bottom"/>
            <w:hideMark/>
          </w:tcPr>
          <w:p w14:paraId="2E1ADBDC"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r>
      <w:tr w:rsidR="00E7759C" w:rsidRPr="00E7759C" w14:paraId="68A4B3AF" w14:textId="77777777" w:rsidTr="0054297D">
        <w:trPr>
          <w:trHeight w:val="270"/>
          <w:jc w:val="center"/>
        </w:trPr>
        <w:tc>
          <w:tcPr>
            <w:tcW w:w="3440" w:type="dxa"/>
            <w:tcBorders>
              <w:top w:val="nil"/>
              <w:left w:val="single" w:sz="4" w:space="0" w:color="auto"/>
              <w:bottom w:val="nil"/>
              <w:right w:val="single" w:sz="4" w:space="0" w:color="auto"/>
            </w:tcBorders>
            <w:shd w:val="clear" w:color="000000" w:fill="D9D9D9"/>
            <w:noWrap/>
            <w:vAlign w:val="bottom"/>
            <w:hideMark/>
          </w:tcPr>
          <w:p w14:paraId="2F8F1912"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Reorganizar archivos de comunicaciones oficiales  </w:t>
            </w:r>
          </w:p>
        </w:tc>
        <w:tc>
          <w:tcPr>
            <w:tcW w:w="1060" w:type="dxa"/>
            <w:tcBorders>
              <w:top w:val="nil"/>
              <w:left w:val="nil"/>
              <w:bottom w:val="nil"/>
              <w:right w:val="single" w:sz="4" w:space="0" w:color="auto"/>
            </w:tcBorders>
            <w:shd w:val="clear" w:color="000000" w:fill="D9D9D9"/>
            <w:noWrap/>
            <w:vAlign w:val="bottom"/>
            <w:hideMark/>
          </w:tcPr>
          <w:p w14:paraId="1FC19458"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235 </w:t>
            </w:r>
          </w:p>
        </w:tc>
        <w:tc>
          <w:tcPr>
            <w:tcW w:w="1162" w:type="dxa"/>
            <w:tcBorders>
              <w:top w:val="nil"/>
              <w:left w:val="nil"/>
              <w:bottom w:val="nil"/>
              <w:right w:val="single" w:sz="4" w:space="0" w:color="auto"/>
            </w:tcBorders>
            <w:shd w:val="clear" w:color="000000" w:fill="D9D9D9"/>
            <w:noWrap/>
            <w:vAlign w:val="bottom"/>
            <w:hideMark/>
          </w:tcPr>
          <w:p w14:paraId="6064AE69"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nil"/>
              <w:left w:val="nil"/>
              <w:bottom w:val="nil"/>
              <w:right w:val="single" w:sz="4" w:space="0" w:color="auto"/>
            </w:tcBorders>
            <w:shd w:val="clear" w:color="000000" w:fill="D9D9D9"/>
            <w:noWrap/>
            <w:vAlign w:val="bottom"/>
            <w:hideMark/>
          </w:tcPr>
          <w:p w14:paraId="1183E610"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nil"/>
              <w:left w:val="nil"/>
              <w:bottom w:val="nil"/>
              <w:right w:val="single" w:sz="4" w:space="0" w:color="auto"/>
            </w:tcBorders>
            <w:shd w:val="clear" w:color="000000" w:fill="D9D9D9"/>
            <w:noWrap/>
            <w:vAlign w:val="bottom"/>
            <w:hideMark/>
          </w:tcPr>
          <w:p w14:paraId="0C1DA738"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r>
      <w:tr w:rsidR="00E7759C" w:rsidRPr="00E7759C" w14:paraId="32EF0F8E" w14:textId="77777777" w:rsidTr="0054297D">
        <w:trPr>
          <w:trHeight w:val="270"/>
          <w:jc w:val="center"/>
        </w:trPr>
        <w:tc>
          <w:tcPr>
            <w:tcW w:w="3440" w:type="dxa"/>
            <w:tcBorders>
              <w:top w:val="nil"/>
              <w:left w:val="single" w:sz="4" w:space="0" w:color="auto"/>
              <w:bottom w:val="nil"/>
              <w:right w:val="single" w:sz="4" w:space="0" w:color="auto"/>
            </w:tcBorders>
            <w:shd w:val="clear" w:color="auto" w:fill="auto"/>
            <w:noWrap/>
            <w:vAlign w:val="bottom"/>
            <w:hideMark/>
          </w:tcPr>
          <w:p w14:paraId="118E1E16"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Inventario y almacenamiento de planos</w:t>
            </w:r>
          </w:p>
        </w:tc>
        <w:tc>
          <w:tcPr>
            <w:tcW w:w="1060" w:type="dxa"/>
            <w:tcBorders>
              <w:top w:val="nil"/>
              <w:left w:val="nil"/>
              <w:bottom w:val="nil"/>
              <w:right w:val="single" w:sz="4" w:space="0" w:color="auto"/>
            </w:tcBorders>
            <w:shd w:val="clear" w:color="auto" w:fill="auto"/>
            <w:noWrap/>
            <w:vAlign w:val="bottom"/>
            <w:hideMark/>
          </w:tcPr>
          <w:p w14:paraId="1424FFD8"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89 </w:t>
            </w:r>
          </w:p>
        </w:tc>
        <w:tc>
          <w:tcPr>
            <w:tcW w:w="1162" w:type="dxa"/>
            <w:tcBorders>
              <w:top w:val="nil"/>
              <w:left w:val="nil"/>
              <w:bottom w:val="nil"/>
              <w:right w:val="single" w:sz="4" w:space="0" w:color="auto"/>
            </w:tcBorders>
            <w:shd w:val="clear" w:color="auto" w:fill="auto"/>
            <w:noWrap/>
            <w:vAlign w:val="bottom"/>
            <w:hideMark/>
          </w:tcPr>
          <w:p w14:paraId="6A77D0BE"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nil"/>
              <w:left w:val="nil"/>
              <w:bottom w:val="nil"/>
              <w:right w:val="single" w:sz="4" w:space="0" w:color="auto"/>
            </w:tcBorders>
            <w:shd w:val="clear" w:color="auto" w:fill="auto"/>
            <w:noWrap/>
            <w:vAlign w:val="bottom"/>
            <w:hideMark/>
          </w:tcPr>
          <w:p w14:paraId="118FE99C"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nil"/>
              <w:left w:val="nil"/>
              <w:bottom w:val="nil"/>
              <w:right w:val="single" w:sz="4" w:space="0" w:color="auto"/>
            </w:tcBorders>
            <w:shd w:val="clear" w:color="auto" w:fill="auto"/>
            <w:noWrap/>
            <w:vAlign w:val="bottom"/>
            <w:hideMark/>
          </w:tcPr>
          <w:p w14:paraId="5901BE51"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r>
      <w:tr w:rsidR="00E7759C" w:rsidRPr="00E7759C" w14:paraId="1370B338" w14:textId="77777777" w:rsidTr="0054297D">
        <w:trPr>
          <w:trHeight w:val="270"/>
          <w:jc w:val="center"/>
        </w:trPr>
        <w:tc>
          <w:tcPr>
            <w:tcW w:w="3440" w:type="dxa"/>
            <w:tcBorders>
              <w:top w:val="nil"/>
              <w:left w:val="single" w:sz="4" w:space="0" w:color="auto"/>
              <w:bottom w:val="nil"/>
              <w:right w:val="single" w:sz="4" w:space="0" w:color="auto"/>
            </w:tcBorders>
            <w:shd w:val="clear" w:color="000000" w:fill="D9D9D9"/>
            <w:noWrap/>
            <w:vAlign w:val="bottom"/>
            <w:hideMark/>
          </w:tcPr>
          <w:p w14:paraId="1834842B"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Microfilmación y digitalización</w:t>
            </w:r>
          </w:p>
        </w:tc>
        <w:tc>
          <w:tcPr>
            <w:tcW w:w="1060" w:type="dxa"/>
            <w:tcBorders>
              <w:top w:val="nil"/>
              <w:left w:val="nil"/>
              <w:bottom w:val="nil"/>
              <w:right w:val="single" w:sz="4" w:space="0" w:color="auto"/>
            </w:tcBorders>
            <w:shd w:val="clear" w:color="000000" w:fill="D9D9D9"/>
            <w:noWrap/>
            <w:vAlign w:val="bottom"/>
            <w:hideMark/>
          </w:tcPr>
          <w:p w14:paraId="31BF2756"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23 </w:t>
            </w:r>
          </w:p>
        </w:tc>
        <w:tc>
          <w:tcPr>
            <w:tcW w:w="1162" w:type="dxa"/>
            <w:tcBorders>
              <w:top w:val="nil"/>
              <w:left w:val="nil"/>
              <w:bottom w:val="nil"/>
              <w:right w:val="single" w:sz="4" w:space="0" w:color="auto"/>
            </w:tcBorders>
            <w:shd w:val="clear" w:color="000000" w:fill="D9D9D9"/>
            <w:noWrap/>
            <w:vAlign w:val="bottom"/>
            <w:hideMark/>
          </w:tcPr>
          <w:p w14:paraId="0D54CD2F"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nil"/>
              <w:left w:val="nil"/>
              <w:bottom w:val="nil"/>
              <w:right w:val="single" w:sz="4" w:space="0" w:color="auto"/>
            </w:tcBorders>
            <w:shd w:val="clear" w:color="000000" w:fill="D9D9D9"/>
            <w:noWrap/>
            <w:vAlign w:val="bottom"/>
            <w:hideMark/>
          </w:tcPr>
          <w:p w14:paraId="09504DBB"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nil"/>
              <w:left w:val="nil"/>
              <w:bottom w:val="nil"/>
              <w:right w:val="single" w:sz="4" w:space="0" w:color="auto"/>
            </w:tcBorders>
            <w:shd w:val="clear" w:color="000000" w:fill="D9D9D9"/>
            <w:noWrap/>
            <w:vAlign w:val="bottom"/>
            <w:hideMark/>
          </w:tcPr>
          <w:p w14:paraId="68C2C79D"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r>
      <w:tr w:rsidR="00E7759C" w:rsidRPr="00E7759C" w14:paraId="06CB6043" w14:textId="77777777" w:rsidTr="0054297D">
        <w:trPr>
          <w:trHeight w:val="270"/>
          <w:jc w:val="center"/>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14:paraId="6598355F"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Servicio de bodegaje para el archivo </w:t>
            </w:r>
          </w:p>
        </w:tc>
        <w:tc>
          <w:tcPr>
            <w:tcW w:w="1060" w:type="dxa"/>
            <w:tcBorders>
              <w:top w:val="nil"/>
              <w:left w:val="nil"/>
              <w:bottom w:val="single" w:sz="4" w:space="0" w:color="auto"/>
              <w:right w:val="single" w:sz="4" w:space="0" w:color="auto"/>
            </w:tcBorders>
            <w:shd w:val="clear" w:color="auto" w:fill="auto"/>
            <w:noWrap/>
            <w:vAlign w:val="bottom"/>
            <w:hideMark/>
          </w:tcPr>
          <w:p w14:paraId="1B446909"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52 </w:t>
            </w:r>
          </w:p>
        </w:tc>
        <w:tc>
          <w:tcPr>
            <w:tcW w:w="1162" w:type="dxa"/>
            <w:tcBorders>
              <w:top w:val="nil"/>
              <w:left w:val="nil"/>
              <w:bottom w:val="single" w:sz="4" w:space="0" w:color="auto"/>
              <w:right w:val="single" w:sz="4" w:space="0" w:color="auto"/>
            </w:tcBorders>
            <w:shd w:val="clear" w:color="auto" w:fill="auto"/>
            <w:noWrap/>
            <w:vAlign w:val="bottom"/>
            <w:hideMark/>
          </w:tcPr>
          <w:p w14:paraId="2A7E4AD9"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nil"/>
              <w:left w:val="nil"/>
              <w:bottom w:val="single" w:sz="4" w:space="0" w:color="auto"/>
              <w:right w:val="single" w:sz="4" w:space="0" w:color="auto"/>
            </w:tcBorders>
            <w:shd w:val="clear" w:color="auto" w:fill="auto"/>
            <w:noWrap/>
            <w:vAlign w:val="bottom"/>
            <w:hideMark/>
          </w:tcPr>
          <w:p w14:paraId="4A0A32BC"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c>
          <w:tcPr>
            <w:tcW w:w="1009" w:type="dxa"/>
            <w:tcBorders>
              <w:top w:val="nil"/>
              <w:left w:val="nil"/>
              <w:bottom w:val="single" w:sz="4" w:space="0" w:color="auto"/>
              <w:right w:val="single" w:sz="4" w:space="0" w:color="auto"/>
            </w:tcBorders>
            <w:shd w:val="clear" w:color="auto" w:fill="auto"/>
            <w:noWrap/>
            <w:vAlign w:val="bottom"/>
            <w:hideMark/>
          </w:tcPr>
          <w:p w14:paraId="04493037" w14:textId="77777777" w:rsidR="00E7759C" w:rsidRPr="00E7759C" w:rsidRDefault="00E7759C" w:rsidP="00E7759C">
            <w:pPr>
              <w:spacing w:after="0" w:line="240" w:lineRule="auto"/>
              <w:rPr>
                <w:rFonts w:eastAsia="Times New Roman" w:cs="Times New Roman"/>
                <w:color w:val="000000"/>
                <w:sz w:val="16"/>
                <w:szCs w:val="16"/>
              </w:rPr>
            </w:pPr>
            <w:r w:rsidRPr="00E7759C">
              <w:rPr>
                <w:rFonts w:eastAsia="Times New Roman" w:cs="Times New Roman"/>
                <w:color w:val="000000"/>
                <w:sz w:val="16"/>
                <w:szCs w:val="16"/>
              </w:rPr>
              <w:t xml:space="preserve">                  -   </w:t>
            </w:r>
          </w:p>
        </w:tc>
      </w:tr>
      <w:tr w:rsidR="00E7759C" w:rsidRPr="00E7759C" w14:paraId="415E7A25" w14:textId="77777777" w:rsidTr="0054297D">
        <w:trPr>
          <w:trHeight w:val="270"/>
          <w:jc w:val="center"/>
        </w:trPr>
        <w:tc>
          <w:tcPr>
            <w:tcW w:w="3440" w:type="dxa"/>
            <w:tcBorders>
              <w:top w:val="nil"/>
              <w:left w:val="single" w:sz="4" w:space="0" w:color="auto"/>
              <w:bottom w:val="single" w:sz="4" w:space="0" w:color="auto"/>
              <w:right w:val="single" w:sz="4" w:space="0" w:color="auto"/>
            </w:tcBorders>
            <w:shd w:val="clear" w:color="000000" w:fill="1F4E78"/>
            <w:noWrap/>
            <w:vAlign w:val="bottom"/>
            <w:hideMark/>
          </w:tcPr>
          <w:p w14:paraId="4338993F" w14:textId="77777777" w:rsidR="00E7759C" w:rsidRPr="00E7759C" w:rsidRDefault="00E7759C" w:rsidP="00E7759C">
            <w:pPr>
              <w:spacing w:after="0" w:line="240" w:lineRule="auto"/>
              <w:jc w:val="center"/>
              <w:rPr>
                <w:rFonts w:eastAsia="Times New Roman" w:cs="Times New Roman"/>
                <w:b/>
                <w:bCs/>
                <w:color w:val="FFFFFF"/>
                <w:sz w:val="16"/>
                <w:szCs w:val="16"/>
              </w:rPr>
            </w:pPr>
            <w:r w:rsidRPr="00E7759C">
              <w:rPr>
                <w:rFonts w:eastAsia="Times New Roman" w:cs="Times New Roman"/>
                <w:b/>
                <w:bCs/>
                <w:color w:val="FFFFFF"/>
                <w:sz w:val="16"/>
                <w:szCs w:val="16"/>
              </w:rPr>
              <w:t>Total</w:t>
            </w:r>
          </w:p>
        </w:tc>
        <w:tc>
          <w:tcPr>
            <w:tcW w:w="1060" w:type="dxa"/>
            <w:tcBorders>
              <w:top w:val="nil"/>
              <w:left w:val="nil"/>
              <w:bottom w:val="single" w:sz="4" w:space="0" w:color="auto"/>
              <w:right w:val="single" w:sz="4" w:space="0" w:color="auto"/>
            </w:tcBorders>
            <w:shd w:val="clear" w:color="000000" w:fill="1F4E78"/>
            <w:noWrap/>
            <w:vAlign w:val="bottom"/>
            <w:hideMark/>
          </w:tcPr>
          <w:p w14:paraId="6D5BD47C" w14:textId="77777777" w:rsidR="00E7759C" w:rsidRPr="00E7759C" w:rsidRDefault="00E7759C" w:rsidP="00E7759C">
            <w:pPr>
              <w:spacing w:after="0" w:line="240" w:lineRule="auto"/>
              <w:rPr>
                <w:rFonts w:eastAsia="Times New Roman" w:cs="Times New Roman"/>
                <w:b/>
                <w:bCs/>
                <w:color w:val="FFFFFF"/>
                <w:sz w:val="16"/>
                <w:szCs w:val="16"/>
              </w:rPr>
            </w:pPr>
            <w:r w:rsidRPr="00E7759C">
              <w:rPr>
                <w:rFonts w:eastAsia="Times New Roman" w:cs="Times New Roman"/>
                <w:b/>
                <w:bCs/>
                <w:color w:val="FFFFFF"/>
                <w:sz w:val="16"/>
                <w:szCs w:val="16"/>
              </w:rPr>
              <w:t xml:space="preserve">             1.000 </w:t>
            </w:r>
          </w:p>
        </w:tc>
        <w:tc>
          <w:tcPr>
            <w:tcW w:w="1162" w:type="dxa"/>
            <w:tcBorders>
              <w:top w:val="nil"/>
              <w:left w:val="nil"/>
              <w:bottom w:val="single" w:sz="4" w:space="0" w:color="auto"/>
              <w:right w:val="single" w:sz="4" w:space="0" w:color="auto"/>
            </w:tcBorders>
            <w:shd w:val="clear" w:color="000000" w:fill="1F4E78"/>
            <w:noWrap/>
            <w:vAlign w:val="bottom"/>
            <w:hideMark/>
          </w:tcPr>
          <w:p w14:paraId="76F387A3" w14:textId="77777777" w:rsidR="00E7759C" w:rsidRPr="00E7759C" w:rsidRDefault="00E7759C" w:rsidP="00E7759C">
            <w:pPr>
              <w:spacing w:after="0" w:line="240" w:lineRule="auto"/>
              <w:rPr>
                <w:rFonts w:eastAsia="Times New Roman" w:cs="Times New Roman"/>
                <w:b/>
                <w:bCs/>
                <w:color w:val="FFFFFF"/>
                <w:sz w:val="16"/>
                <w:szCs w:val="16"/>
              </w:rPr>
            </w:pPr>
            <w:r w:rsidRPr="00E7759C">
              <w:rPr>
                <w:rFonts w:eastAsia="Times New Roman" w:cs="Times New Roman"/>
                <w:b/>
                <w:bCs/>
                <w:color w:val="FFFFFF"/>
                <w:sz w:val="16"/>
                <w:szCs w:val="16"/>
              </w:rPr>
              <w:t xml:space="preserve">                  -   </w:t>
            </w:r>
          </w:p>
        </w:tc>
        <w:tc>
          <w:tcPr>
            <w:tcW w:w="1009" w:type="dxa"/>
            <w:tcBorders>
              <w:top w:val="nil"/>
              <w:left w:val="nil"/>
              <w:bottom w:val="single" w:sz="4" w:space="0" w:color="auto"/>
              <w:right w:val="single" w:sz="4" w:space="0" w:color="auto"/>
            </w:tcBorders>
            <w:shd w:val="clear" w:color="000000" w:fill="1F4E78"/>
            <w:noWrap/>
            <w:vAlign w:val="bottom"/>
            <w:hideMark/>
          </w:tcPr>
          <w:p w14:paraId="77A77C4F" w14:textId="77777777" w:rsidR="00E7759C" w:rsidRPr="00E7759C" w:rsidRDefault="00E7759C" w:rsidP="00E7759C">
            <w:pPr>
              <w:spacing w:after="0" w:line="240" w:lineRule="auto"/>
              <w:rPr>
                <w:rFonts w:eastAsia="Times New Roman" w:cs="Times New Roman"/>
                <w:b/>
                <w:bCs/>
                <w:color w:val="FFFFFF"/>
                <w:sz w:val="16"/>
                <w:szCs w:val="16"/>
              </w:rPr>
            </w:pPr>
            <w:r w:rsidRPr="00E7759C">
              <w:rPr>
                <w:rFonts w:eastAsia="Times New Roman" w:cs="Times New Roman"/>
                <w:b/>
                <w:bCs/>
                <w:color w:val="FFFFFF"/>
                <w:sz w:val="16"/>
                <w:szCs w:val="16"/>
              </w:rPr>
              <w:t xml:space="preserve">                  -   </w:t>
            </w:r>
          </w:p>
        </w:tc>
        <w:tc>
          <w:tcPr>
            <w:tcW w:w="1009" w:type="dxa"/>
            <w:tcBorders>
              <w:top w:val="nil"/>
              <w:left w:val="nil"/>
              <w:bottom w:val="single" w:sz="4" w:space="0" w:color="auto"/>
              <w:right w:val="single" w:sz="4" w:space="0" w:color="auto"/>
            </w:tcBorders>
            <w:shd w:val="clear" w:color="000000" w:fill="1F4E78"/>
            <w:noWrap/>
            <w:vAlign w:val="bottom"/>
            <w:hideMark/>
          </w:tcPr>
          <w:p w14:paraId="6F58EBE4" w14:textId="77777777" w:rsidR="00E7759C" w:rsidRPr="00E7759C" w:rsidRDefault="00E7759C" w:rsidP="00E7759C">
            <w:pPr>
              <w:spacing w:after="0" w:line="240" w:lineRule="auto"/>
              <w:rPr>
                <w:rFonts w:eastAsia="Times New Roman" w:cs="Times New Roman"/>
                <w:b/>
                <w:bCs/>
                <w:color w:val="FFFFFF"/>
                <w:sz w:val="16"/>
                <w:szCs w:val="16"/>
              </w:rPr>
            </w:pPr>
            <w:r w:rsidRPr="00E7759C">
              <w:rPr>
                <w:rFonts w:eastAsia="Times New Roman" w:cs="Times New Roman"/>
                <w:b/>
                <w:bCs/>
                <w:color w:val="FFFFFF"/>
                <w:sz w:val="16"/>
                <w:szCs w:val="16"/>
              </w:rPr>
              <w:t xml:space="preserve">                  -   </w:t>
            </w:r>
          </w:p>
        </w:tc>
      </w:tr>
    </w:tbl>
    <w:p w14:paraId="6080C212" w14:textId="77777777" w:rsidR="00E7759C" w:rsidRPr="00E7759C" w:rsidRDefault="00E7759C" w:rsidP="00E7759C">
      <w:pPr>
        <w:spacing w:after="0" w:line="0" w:lineRule="atLeast"/>
        <w:jc w:val="both"/>
        <w:rPr>
          <w:rFonts w:eastAsia="Times New Roman" w:cs="Times New Roman"/>
          <w:u w:val="single"/>
          <w:lang w:val="es-ES" w:eastAsia="en-US"/>
        </w:rPr>
      </w:pPr>
    </w:p>
    <w:p w14:paraId="46A20435" w14:textId="77777777" w:rsidR="00E7759C" w:rsidRPr="00E7759C" w:rsidRDefault="00E7759C" w:rsidP="00E7759C">
      <w:pPr>
        <w:numPr>
          <w:ilvl w:val="0"/>
          <w:numId w:val="128"/>
        </w:numPr>
        <w:spacing w:after="0" w:line="0" w:lineRule="atLeast"/>
        <w:jc w:val="both"/>
        <w:rPr>
          <w:rFonts w:eastAsia="Times New Roman" w:cs="Times New Roman"/>
          <w:u w:val="single"/>
          <w:lang w:val="es-ES" w:eastAsia="en-US"/>
        </w:rPr>
      </w:pPr>
      <w:r w:rsidRPr="00E7759C">
        <w:rPr>
          <w:rFonts w:eastAsia="Times New Roman" w:cs="Times New Roman"/>
          <w:u w:val="single"/>
          <w:lang w:val="es-ES" w:eastAsia="en-US"/>
        </w:rPr>
        <w:t>Tecnologías de la Información.</w:t>
      </w:r>
      <w:r w:rsidRPr="00E7759C">
        <w:rPr>
          <w:rFonts w:eastAsia="Times New Roman" w:cs="Times New Roman"/>
          <w:lang w:val="es-ES" w:eastAsia="en-US"/>
        </w:rPr>
        <w:t xml:space="preserve"> Para la vigencia 2014 se cuenta con una apropiación de $1.200 millones, los cuales a la fecha de corte no presentan ninguna ejecución. De acuerdo con el Plan de Acción, estos recursos serán destinados para las siguientes actividades:</w:t>
      </w:r>
    </w:p>
    <w:p w14:paraId="50882CA9" w14:textId="77777777" w:rsidR="00E7759C" w:rsidRPr="00E7759C" w:rsidRDefault="00E7759C" w:rsidP="00E7759C">
      <w:pPr>
        <w:spacing w:after="0" w:line="0" w:lineRule="atLeast"/>
        <w:ind w:left="720"/>
        <w:jc w:val="both"/>
        <w:rPr>
          <w:rFonts w:eastAsia="Times New Roman" w:cs="Times New Roman"/>
          <w:u w:val="single"/>
          <w:lang w:val="es-ES" w:eastAsia="en-US"/>
        </w:rPr>
      </w:pPr>
    </w:p>
    <w:p w14:paraId="13262D35" w14:textId="77777777" w:rsidR="00E7759C" w:rsidRPr="00E7759C" w:rsidRDefault="00E7759C" w:rsidP="00E7759C">
      <w:pPr>
        <w:spacing w:after="0" w:line="0" w:lineRule="atLeast"/>
        <w:jc w:val="center"/>
        <w:rPr>
          <w:rFonts w:eastAsia="Times New Roman" w:cs="Times New Roman"/>
          <w:lang w:val="es-ES" w:eastAsia="en-US"/>
        </w:rPr>
      </w:pPr>
      <w:r w:rsidRPr="00E7759C">
        <w:rPr>
          <w:rFonts w:eastAsia="Times New Roman" w:cs="Times New Roman"/>
          <w:b/>
          <w:color w:val="365F91"/>
          <w:sz w:val="18"/>
          <w:szCs w:val="16"/>
          <w:lang w:val="es-ES" w:eastAsia="es-ES"/>
        </w:rPr>
        <w:t>Cuadro No. 7</w:t>
      </w:r>
    </w:p>
    <w:p w14:paraId="3AA10D9D"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Ejecución Presupuestal – Tecnologías de la Información</w:t>
      </w:r>
    </w:p>
    <w:tbl>
      <w:tblPr>
        <w:tblW w:w="9067" w:type="dxa"/>
        <w:tblInd w:w="75" w:type="dxa"/>
        <w:tblCellMar>
          <w:left w:w="70" w:type="dxa"/>
          <w:right w:w="70" w:type="dxa"/>
        </w:tblCellMar>
        <w:tblLook w:val="04A0" w:firstRow="1" w:lastRow="0" w:firstColumn="1" w:lastColumn="0" w:noHBand="0" w:noVBand="1"/>
      </w:tblPr>
      <w:tblGrid>
        <w:gridCol w:w="4957"/>
        <w:gridCol w:w="1134"/>
        <w:gridCol w:w="1096"/>
        <w:gridCol w:w="934"/>
        <w:gridCol w:w="992"/>
      </w:tblGrid>
      <w:tr w:rsidR="00E7759C" w:rsidRPr="00E7759C" w14:paraId="5DEC0B98" w14:textId="77777777" w:rsidTr="0054297D">
        <w:trPr>
          <w:trHeight w:val="270"/>
        </w:trPr>
        <w:tc>
          <w:tcPr>
            <w:tcW w:w="4957" w:type="dxa"/>
            <w:tcBorders>
              <w:top w:val="nil"/>
              <w:left w:val="nil"/>
              <w:bottom w:val="nil"/>
              <w:right w:val="nil"/>
            </w:tcBorders>
            <w:shd w:val="clear" w:color="auto" w:fill="auto"/>
            <w:noWrap/>
            <w:vAlign w:val="bottom"/>
            <w:hideMark/>
          </w:tcPr>
          <w:p w14:paraId="4F942530" w14:textId="77777777" w:rsidR="00E7759C" w:rsidRPr="00E7759C" w:rsidRDefault="00E7759C" w:rsidP="00E7759C">
            <w:pPr>
              <w:spacing w:after="0" w:line="240" w:lineRule="auto"/>
              <w:rPr>
                <w:rFonts w:eastAsia="Times New Roman" w:cs="Times New Roman"/>
                <w:sz w:val="20"/>
                <w:szCs w:val="20"/>
              </w:rPr>
            </w:pPr>
          </w:p>
        </w:tc>
        <w:tc>
          <w:tcPr>
            <w:tcW w:w="1134" w:type="dxa"/>
            <w:tcBorders>
              <w:top w:val="nil"/>
              <w:left w:val="nil"/>
              <w:bottom w:val="nil"/>
              <w:right w:val="nil"/>
            </w:tcBorders>
            <w:shd w:val="clear" w:color="auto" w:fill="auto"/>
            <w:noWrap/>
            <w:vAlign w:val="bottom"/>
            <w:hideMark/>
          </w:tcPr>
          <w:p w14:paraId="01638486" w14:textId="77777777" w:rsidR="00E7759C" w:rsidRPr="00E7759C" w:rsidRDefault="00E7759C" w:rsidP="00E7759C">
            <w:pPr>
              <w:spacing w:after="0" w:line="240" w:lineRule="auto"/>
              <w:rPr>
                <w:rFonts w:eastAsia="Times New Roman" w:cs="Times New Roman"/>
                <w:sz w:val="20"/>
                <w:szCs w:val="20"/>
              </w:rPr>
            </w:pPr>
          </w:p>
        </w:tc>
        <w:tc>
          <w:tcPr>
            <w:tcW w:w="2976" w:type="dxa"/>
            <w:gridSpan w:val="3"/>
            <w:tcBorders>
              <w:top w:val="nil"/>
              <w:left w:val="nil"/>
              <w:bottom w:val="single" w:sz="4" w:space="0" w:color="auto"/>
              <w:right w:val="nil"/>
            </w:tcBorders>
            <w:shd w:val="clear" w:color="auto" w:fill="auto"/>
            <w:noWrap/>
            <w:vAlign w:val="bottom"/>
            <w:hideMark/>
          </w:tcPr>
          <w:p w14:paraId="61DFB33D"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 xml:space="preserve"> cifras en millones de pesos </w:t>
            </w:r>
          </w:p>
        </w:tc>
      </w:tr>
      <w:tr w:rsidR="00E7759C" w:rsidRPr="00E7759C" w14:paraId="3775F96A" w14:textId="77777777" w:rsidTr="0054297D">
        <w:trPr>
          <w:trHeight w:val="270"/>
        </w:trPr>
        <w:tc>
          <w:tcPr>
            <w:tcW w:w="4957" w:type="dxa"/>
            <w:tcBorders>
              <w:top w:val="single" w:sz="4" w:space="0" w:color="auto"/>
              <w:left w:val="single" w:sz="4" w:space="0" w:color="auto"/>
              <w:bottom w:val="nil"/>
              <w:right w:val="single" w:sz="4" w:space="0" w:color="auto"/>
            </w:tcBorders>
            <w:shd w:val="clear" w:color="000000" w:fill="1F4E78"/>
            <w:noWrap/>
            <w:vAlign w:val="bottom"/>
            <w:hideMark/>
          </w:tcPr>
          <w:p w14:paraId="4385A2C1"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Actividad</w:t>
            </w:r>
          </w:p>
        </w:tc>
        <w:tc>
          <w:tcPr>
            <w:tcW w:w="1134" w:type="dxa"/>
            <w:tcBorders>
              <w:top w:val="single" w:sz="4" w:space="0" w:color="auto"/>
              <w:left w:val="nil"/>
              <w:bottom w:val="nil"/>
              <w:right w:val="single" w:sz="4" w:space="0" w:color="auto"/>
            </w:tcBorders>
            <w:shd w:val="clear" w:color="000000" w:fill="1F4E78"/>
            <w:noWrap/>
            <w:vAlign w:val="bottom"/>
            <w:hideMark/>
          </w:tcPr>
          <w:p w14:paraId="78C1AC76"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Apropiación</w:t>
            </w:r>
          </w:p>
        </w:tc>
        <w:tc>
          <w:tcPr>
            <w:tcW w:w="1051" w:type="dxa"/>
            <w:tcBorders>
              <w:top w:val="nil"/>
              <w:left w:val="nil"/>
              <w:bottom w:val="nil"/>
              <w:right w:val="single" w:sz="4" w:space="0" w:color="auto"/>
            </w:tcBorders>
            <w:shd w:val="clear" w:color="000000" w:fill="1F4E78"/>
            <w:noWrap/>
            <w:vAlign w:val="bottom"/>
            <w:hideMark/>
          </w:tcPr>
          <w:p w14:paraId="39022FB7"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Compromiso</w:t>
            </w:r>
          </w:p>
        </w:tc>
        <w:tc>
          <w:tcPr>
            <w:tcW w:w="933" w:type="dxa"/>
            <w:tcBorders>
              <w:top w:val="nil"/>
              <w:left w:val="nil"/>
              <w:bottom w:val="nil"/>
              <w:right w:val="single" w:sz="4" w:space="0" w:color="auto"/>
            </w:tcBorders>
            <w:shd w:val="clear" w:color="000000" w:fill="1F4E78"/>
            <w:noWrap/>
            <w:vAlign w:val="bottom"/>
            <w:hideMark/>
          </w:tcPr>
          <w:p w14:paraId="23ED5B45"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Obligación</w:t>
            </w:r>
          </w:p>
        </w:tc>
        <w:tc>
          <w:tcPr>
            <w:tcW w:w="992" w:type="dxa"/>
            <w:tcBorders>
              <w:top w:val="nil"/>
              <w:left w:val="nil"/>
              <w:bottom w:val="nil"/>
              <w:right w:val="single" w:sz="4" w:space="0" w:color="auto"/>
            </w:tcBorders>
            <w:shd w:val="clear" w:color="000000" w:fill="1F4E78"/>
            <w:noWrap/>
            <w:vAlign w:val="bottom"/>
            <w:hideMark/>
          </w:tcPr>
          <w:p w14:paraId="63D32D19"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Pago</w:t>
            </w:r>
          </w:p>
        </w:tc>
      </w:tr>
      <w:tr w:rsidR="00E7759C" w:rsidRPr="00E7759C" w14:paraId="3E9E77BD" w14:textId="77777777" w:rsidTr="0054297D">
        <w:trPr>
          <w:trHeight w:val="270"/>
        </w:trPr>
        <w:tc>
          <w:tcPr>
            <w:tcW w:w="4957" w:type="dxa"/>
            <w:tcBorders>
              <w:top w:val="single" w:sz="4" w:space="0" w:color="auto"/>
              <w:left w:val="single" w:sz="4" w:space="0" w:color="auto"/>
              <w:bottom w:val="nil"/>
              <w:right w:val="single" w:sz="4" w:space="0" w:color="auto"/>
            </w:tcBorders>
            <w:shd w:val="clear" w:color="auto" w:fill="auto"/>
            <w:noWrap/>
            <w:vAlign w:val="bottom"/>
            <w:hideMark/>
          </w:tcPr>
          <w:p w14:paraId="43EE2F79"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Adquisición de licencias de Office y Project Online </w:t>
            </w:r>
          </w:p>
        </w:tc>
        <w:tc>
          <w:tcPr>
            <w:tcW w:w="1134" w:type="dxa"/>
            <w:tcBorders>
              <w:top w:val="single" w:sz="4" w:space="0" w:color="auto"/>
              <w:left w:val="nil"/>
              <w:bottom w:val="nil"/>
              <w:right w:val="single" w:sz="4" w:space="0" w:color="auto"/>
            </w:tcBorders>
            <w:shd w:val="clear" w:color="auto" w:fill="auto"/>
            <w:noWrap/>
            <w:vAlign w:val="bottom"/>
            <w:hideMark/>
          </w:tcPr>
          <w:p w14:paraId="23A0183D"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422 </w:t>
            </w:r>
          </w:p>
        </w:tc>
        <w:tc>
          <w:tcPr>
            <w:tcW w:w="1051" w:type="dxa"/>
            <w:tcBorders>
              <w:top w:val="single" w:sz="4" w:space="0" w:color="auto"/>
              <w:left w:val="nil"/>
              <w:bottom w:val="nil"/>
              <w:right w:val="single" w:sz="4" w:space="0" w:color="auto"/>
            </w:tcBorders>
            <w:shd w:val="clear" w:color="auto" w:fill="auto"/>
            <w:noWrap/>
            <w:vAlign w:val="bottom"/>
            <w:hideMark/>
          </w:tcPr>
          <w:p w14:paraId="4FCEA97C"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33" w:type="dxa"/>
            <w:tcBorders>
              <w:top w:val="single" w:sz="4" w:space="0" w:color="auto"/>
              <w:left w:val="nil"/>
              <w:bottom w:val="nil"/>
              <w:right w:val="single" w:sz="4" w:space="0" w:color="auto"/>
            </w:tcBorders>
            <w:shd w:val="clear" w:color="auto" w:fill="auto"/>
            <w:noWrap/>
            <w:vAlign w:val="bottom"/>
            <w:hideMark/>
          </w:tcPr>
          <w:p w14:paraId="4648E545"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92" w:type="dxa"/>
            <w:tcBorders>
              <w:top w:val="single" w:sz="4" w:space="0" w:color="auto"/>
              <w:left w:val="nil"/>
              <w:bottom w:val="nil"/>
              <w:right w:val="single" w:sz="4" w:space="0" w:color="auto"/>
            </w:tcBorders>
            <w:shd w:val="clear" w:color="auto" w:fill="auto"/>
            <w:noWrap/>
            <w:vAlign w:val="bottom"/>
            <w:hideMark/>
          </w:tcPr>
          <w:p w14:paraId="75905F21"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r>
      <w:tr w:rsidR="00E7759C" w:rsidRPr="00E7759C" w14:paraId="18211231" w14:textId="77777777" w:rsidTr="0054297D">
        <w:trPr>
          <w:trHeight w:val="270"/>
        </w:trPr>
        <w:tc>
          <w:tcPr>
            <w:tcW w:w="4957" w:type="dxa"/>
            <w:tcBorders>
              <w:top w:val="nil"/>
              <w:left w:val="single" w:sz="4" w:space="0" w:color="auto"/>
              <w:bottom w:val="nil"/>
              <w:right w:val="single" w:sz="4" w:space="0" w:color="auto"/>
            </w:tcBorders>
            <w:shd w:val="clear" w:color="000000" w:fill="D9D9D9"/>
            <w:noWrap/>
            <w:vAlign w:val="bottom"/>
            <w:hideMark/>
          </w:tcPr>
          <w:p w14:paraId="60646626"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Servicio de soporte </w:t>
            </w:r>
          </w:p>
        </w:tc>
        <w:tc>
          <w:tcPr>
            <w:tcW w:w="1134" w:type="dxa"/>
            <w:tcBorders>
              <w:top w:val="nil"/>
              <w:left w:val="nil"/>
              <w:bottom w:val="nil"/>
              <w:right w:val="single" w:sz="4" w:space="0" w:color="auto"/>
            </w:tcBorders>
            <w:shd w:val="clear" w:color="000000" w:fill="D9D9D9"/>
            <w:noWrap/>
            <w:vAlign w:val="bottom"/>
            <w:hideMark/>
          </w:tcPr>
          <w:p w14:paraId="06AFAD81"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110 </w:t>
            </w:r>
          </w:p>
        </w:tc>
        <w:tc>
          <w:tcPr>
            <w:tcW w:w="1051" w:type="dxa"/>
            <w:tcBorders>
              <w:top w:val="nil"/>
              <w:left w:val="nil"/>
              <w:bottom w:val="nil"/>
              <w:right w:val="single" w:sz="4" w:space="0" w:color="auto"/>
            </w:tcBorders>
            <w:shd w:val="clear" w:color="000000" w:fill="D9D9D9"/>
            <w:noWrap/>
            <w:vAlign w:val="bottom"/>
            <w:hideMark/>
          </w:tcPr>
          <w:p w14:paraId="1C9FDE58"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33" w:type="dxa"/>
            <w:tcBorders>
              <w:top w:val="nil"/>
              <w:left w:val="nil"/>
              <w:bottom w:val="nil"/>
              <w:right w:val="single" w:sz="4" w:space="0" w:color="auto"/>
            </w:tcBorders>
            <w:shd w:val="clear" w:color="000000" w:fill="D9D9D9"/>
            <w:noWrap/>
            <w:vAlign w:val="bottom"/>
            <w:hideMark/>
          </w:tcPr>
          <w:p w14:paraId="3C219D73"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92" w:type="dxa"/>
            <w:tcBorders>
              <w:top w:val="nil"/>
              <w:left w:val="nil"/>
              <w:bottom w:val="nil"/>
              <w:right w:val="single" w:sz="4" w:space="0" w:color="auto"/>
            </w:tcBorders>
            <w:shd w:val="clear" w:color="000000" w:fill="D9D9D9"/>
            <w:noWrap/>
            <w:vAlign w:val="bottom"/>
            <w:hideMark/>
          </w:tcPr>
          <w:p w14:paraId="70A2298E"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r>
      <w:tr w:rsidR="00E7759C" w:rsidRPr="00E7759C" w14:paraId="0AA01125" w14:textId="77777777" w:rsidTr="0054297D">
        <w:trPr>
          <w:trHeight w:val="270"/>
        </w:trPr>
        <w:tc>
          <w:tcPr>
            <w:tcW w:w="4957" w:type="dxa"/>
            <w:tcBorders>
              <w:top w:val="nil"/>
              <w:left w:val="single" w:sz="4" w:space="0" w:color="auto"/>
              <w:bottom w:val="nil"/>
              <w:right w:val="single" w:sz="4" w:space="0" w:color="auto"/>
            </w:tcBorders>
            <w:shd w:val="clear" w:color="auto" w:fill="auto"/>
            <w:noWrap/>
            <w:vAlign w:val="bottom"/>
            <w:hideMark/>
          </w:tcPr>
          <w:p w14:paraId="47C3A0F7"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Adquisición del Hardware </w:t>
            </w:r>
          </w:p>
        </w:tc>
        <w:tc>
          <w:tcPr>
            <w:tcW w:w="1134" w:type="dxa"/>
            <w:tcBorders>
              <w:top w:val="nil"/>
              <w:left w:val="nil"/>
              <w:bottom w:val="nil"/>
              <w:right w:val="single" w:sz="4" w:space="0" w:color="auto"/>
            </w:tcBorders>
            <w:shd w:val="clear" w:color="auto" w:fill="auto"/>
            <w:noWrap/>
            <w:vAlign w:val="bottom"/>
            <w:hideMark/>
          </w:tcPr>
          <w:p w14:paraId="3703024A"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365 </w:t>
            </w:r>
          </w:p>
        </w:tc>
        <w:tc>
          <w:tcPr>
            <w:tcW w:w="1051" w:type="dxa"/>
            <w:tcBorders>
              <w:top w:val="nil"/>
              <w:left w:val="nil"/>
              <w:bottom w:val="nil"/>
              <w:right w:val="single" w:sz="4" w:space="0" w:color="auto"/>
            </w:tcBorders>
            <w:shd w:val="clear" w:color="auto" w:fill="auto"/>
            <w:noWrap/>
            <w:vAlign w:val="bottom"/>
            <w:hideMark/>
          </w:tcPr>
          <w:p w14:paraId="097BB391"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33" w:type="dxa"/>
            <w:tcBorders>
              <w:top w:val="nil"/>
              <w:left w:val="nil"/>
              <w:bottom w:val="nil"/>
              <w:right w:val="single" w:sz="4" w:space="0" w:color="auto"/>
            </w:tcBorders>
            <w:shd w:val="clear" w:color="auto" w:fill="auto"/>
            <w:noWrap/>
            <w:vAlign w:val="bottom"/>
            <w:hideMark/>
          </w:tcPr>
          <w:p w14:paraId="69A47D9E"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6673FC39"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r>
      <w:tr w:rsidR="00E7759C" w:rsidRPr="00E7759C" w14:paraId="55E788D9" w14:textId="77777777" w:rsidTr="0054297D">
        <w:trPr>
          <w:trHeight w:val="270"/>
        </w:trPr>
        <w:tc>
          <w:tcPr>
            <w:tcW w:w="4957" w:type="dxa"/>
            <w:tcBorders>
              <w:top w:val="nil"/>
              <w:left w:val="single" w:sz="4" w:space="0" w:color="auto"/>
              <w:bottom w:val="nil"/>
              <w:right w:val="single" w:sz="4" w:space="0" w:color="auto"/>
            </w:tcBorders>
            <w:shd w:val="clear" w:color="000000" w:fill="D9D9D9"/>
            <w:noWrap/>
            <w:vAlign w:val="bottom"/>
            <w:hideMark/>
          </w:tcPr>
          <w:p w14:paraId="39BE6446"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Asesoría técnica para optimizar el uso de la infraestructura TIC</w:t>
            </w:r>
          </w:p>
        </w:tc>
        <w:tc>
          <w:tcPr>
            <w:tcW w:w="1134" w:type="dxa"/>
            <w:tcBorders>
              <w:top w:val="nil"/>
              <w:left w:val="nil"/>
              <w:bottom w:val="nil"/>
              <w:right w:val="single" w:sz="4" w:space="0" w:color="auto"/>
            </w:tcBorders>
            <w:shd w:val="clear" w:color="000000" w:fill="D9D9D9"/>
            <w:noWrap/>
            <w:vAlign w:val="bottom"/>
            <w:hideMark/>
          </w:tcPr>
          <w:p w14:paraId="5819B53C"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59 </w:t>
            </w:r>
          </w:p>
        </w:tc>
        <w:tc>
          <w:tcPr>
            <w:tcW w:w="1051" w:type="dxa"/>
            <w:tcBorders>
              <w:top w:val="nil"/>
              <w:left w:val="nil"/>
              <w:bottom w:val="nil"/>
              <w:right w:val="single" w:sz="4" w:space="0" w:color="auto"/>
            </w:tcBorders>
            <w:shd w:val="clear" w:color="000000" w:fill="D9D9D9"/>
            <w:noWrap/>
            <w:vAlign w:val="bottom"/>
            <w:hideMark/>
          </w:tcPr>
          <w:p w14:paraId="6D4A9689"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33" w:type="dxa"/>
            <w:tcBorders>
              <w:top w:val="nil"/>
              <w:left w:val="nil"/>
              <w:bottom w:val="nil"/>
              <w:right w:val="single" w:sz="4" w:space="0" w:color="auto"/>
            </w:tcBorders>
            <w:shd w:val="clear" w:color="000000" w:fill="D9D9D9"/>
            <w:noWrap/>
            <w:vAlign w:val="bottom"/>
            <w:hideMark/>
          </w:tcPr>
          <w:p w14:paraId="617DFA82"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92" w:type="dxa"/>
            <w:tcBorders>
              <w:top w:val="nil"/>
              <w:left w:val="nil"/>
              <w:bottom w:val="nil"/>
              <w:right w:val="single" w:sz="4" w:space="0" w:color="auto"/>
            </w:tcBorders>
            <w:shd w:val="clear" w:color="000000" w:fill="D9D9D9"/>
            <w:noWrap/>
            <w:vAlign w:val="bottom"/>
            <w:hideMark/>
          </w:tcPr>
          <w:p w14:paraId="39002711"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r>
      <w:tr w:rsidR="00E7759C" w:rsidRPr="00E7759C" w14:paraId="5481A0CD" w14:textId="77777777" w:rsidTr="0054297D">
        <w:trPr>
          <w:trHeight w:val="270"/>
        </w:trPr>
        <w:tc>
          <w:tcPr>
            <w:tcW w:w="4957" w:type="dxa"/>
            <w:tcBorders>
              <w:top w:val="nil"/>
              <w:left w:val="single" w:sz="4" w:space="0" w:color="auto"/>
              <w:bottom w:val="nil"/>
              <w:right w:val="single" w:sz="4" w:space="0" w:color="auto"/>
            </w:tcBorders>
            <w:shd w:val="clear" w:color="auto" w:fill="auto"/>
            <w:noWrap/>
            <w:vAlign w:val="bottom"/>
            <w:hideMark/>
          </w:tcPr>
          <w:p w14:paraId="2E79C639"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Adquisición del Hardware - esquema de seguridad perimetral</w:t>
            </w:r>
          </w:p>
        </w:tc>
        <w:tc>
          <w:tcPr>
            <w:tcW w:w="1134" w:type="dxa"/>
            <w:tcBorders>
              <w:top w:val="nil"/>
              <w:left w:val="nil"/>
              <w:bottom w:val="nil"/>
              <w:right w:val="single" w:sz="4" w:space="0" w:color="auto"/>
            </w:tcBorders>
            <w:shd w:val="clear" w:color="auto" w:fill="auto"/>
            <w:noWrap/>
            <w:vAlign w:val="bottom"/>
            <w:hideMark/>
          </w:tcPr>
          <w:p w14:paraId="10B646E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59 </w:t>
            </w:r>
          </w:p>
        </w:tc>
        <w:tc>
          <w:tcPr>
            <w:tcW w:w="1051" w:type="dxa"/>
            <w:tcBorders>
              <w:top w:val="nil"/>
              <w:left w:val="nil"/>
              <w:bottom w:val="nil"/>
              <w:right w:val="single" w:sz="4" w:space="0" w:color="auto"/>
            </w:tcBorders>
            <w:shd w:val="clear" w:color="auto" w:fill="auto"/>
            <w:noWrap/>
            <w:vAlign w:val="bottom"/>
            <w:hideMark/>
          </w:tcPr>
          <w:p w14:paraId="3BCC0A94"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33" w:type="dxa"/>
            <w:tcBorders>
              <w:top w:val="nil"/>
              <w:left w:val="nil"/>
              <w:bottom w:val="nil"/>
              <w:right w:val="single" w:sz="4" w:space="0" w:color="auto"/>
            </w:tcBorders>
            <w:shd w:val="clear" w:color="auto" w:fill="auto"/>
            <w:noWrap/>
            <w:vAlign w:val="bottom"/>
            <w:hideMark/>
          </w:tcPr>
          <w:p w14:paraId="1DBE9BB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3469A8E8"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r>
      <w:tr w:rsidR="00E7759C" w:rsidRPr="00E7759C" w14:paraId="22CF264F" w14:textId="77777777" w:rsidTr="0054297D">
        <w:trPr>
          <w:trHeight w:val="270"/>
        </w:trPr>
        <w:tc>
          <w:tcPr>
            <w:tcW w:w="4957" w:type="dxa"/>
            <w:tcBorders>
              <w:top w:val="nil"/>
              <w:left w:val="single" w:sz="4" w:space="0" w:color="auto"/>
              <w:bottom w:val="nil"/>
              <w:right w:val="single" w:sz="4" w:space="0" w:color="auto"/>
            </w:tcBorders>
            <w:shd w:val="clear" w:color="000000" w:fill="D9D9D9"/>
            <w:noWrap/>
            <w:vAlign w:val="bottom"/>
            <w:hideMark/>
          </w:tcPr>
          <w:p w14:paraId="0C02AE1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Implement y puesta en marcha Fase 2 Sist Info Seg y Control proyectos </w:t>
            </w:r>
          </w:p>
        </w:tc>
        <w:tc>
          <w:tcPr>
            <w:tcW w:w="1134" w:type="dxa"/>
            <w:tcBorders>
              <w:top w:val="nil"/>
              <w:left w:val="nil"/>
              <w:bottom w:val="nil"/>
              <w:right w:val="single" w:sz="4" w:space="0" w:color="auto"/>
            </w:tcBorders>
            <w:shd w:val="clear" w:color="000000" w:fill="D9D9D9"/>
            <w:noWrap/>
            <w:vAlign w:val="bottom"/>
            <w:hideMark/>
          </w:tcPr>
          <w:p w14:paraId="5DDE7FFA"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150 </w:t>
            </w:r>
          </w:p>
        </w:tc>
        <w:tc>
          <w:tcPr>
            <w:tcW w:w="1051" w:type="dxa"/>
            <w:tcBorders>
              <w:top w:val="nil"/>
              <w:left w:val="nil"/>
              <w:bottom w:val="nil"/>
              <w:right w:val="single" w:sz="4" w:space="0" w:color="auto"/>
            </w:tcBorders>
            <w:shd w:val="clear" w:color="000000" w:fill="D9D9D9"/>
            <w:noWrap/>
            <w:vAlign w:val="bottom"/>
            <w:hideMark/>
          </w:tcPr>
          <w:p w14:paraId="3BE073C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33" w:type="dxa"/>
            <w:tcBorders>
              <w:top w:val="nil"/>
              <w:left w:val="nil"/>
              <w:bottom w:val="nil"/>
              <w:right w:val="single" w:sz="4" w:space="0" w:color="auto"/>
            </w:tcBorders>
            <w:shd w:val="clear" w:color="000000" w:fill="D9D9D9"/>
            <w:noWrap/>
            <w:vAlign w:val="bottom"/>
            <w:hideMark/>
          </w:tcPr>
          <w:p w14:paraId="2CC7ABC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92" w:type="dxa"/>
            <w:tcBorders>
              <w:top w:val="nil"/>
              <w:left w:val="nil"/>
              <w:bottom w:val="nil"/>
              <w:right w:val="single" w:sz="4" w:space="0" w:color="auto"/>
            </w:tcBorders>
            <w:shd w:val="clear" w:color="000000" w:fill="D9D9D9"/>
            <w:noWrap/>
            <w:vAlign w:val="bottom"/>
            <w:hideMark/>
          </w:tcPr>
          <w:p w14:paraId="0316F55A"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r>
      <w:tr w:rsidR="00E7759C" w:rsidRPr="00E7759C" w14:paraId="454C55A1" w14:textId="77777777" w:rsidTr="0054297D">
        <w:trPr>
          <w:trHeight w:val="27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FFD6968"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Fortalecimiento capacidades Gerencia de Sistemas </w:t>
            </w:r>
          </w:p>
        </w:tc>
        <w:tc>
          <w:tcPr>
            <w:tcW w:w="1134" w:type="dxa"/>
            <w:tcBorders>
              <w:top w:val="nil"/>
              <w:left w:val="nil"/>
              <w:bottom w:val="nil"/>
              <w:right w:val="single" w:sz="4" w:space="0" w:color="auto"/>
            </w:tcBorders>
            <w:shd w:val="clear" w:color="auto" w:fill="auto"/>
            <w:noWrap/>
            <w:vAlign w:val="bottom"/>
            <w:hideMark/>
          </w:tcPr>
          <w:p w14:paraId="37C1C147"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36 </w:t>
            </w:r>
          </w:p>
        </w:tc>
        <w:tc>
          <w:tcPr>
            <w:tcW w:w="1051" w:type="dxa"/>
            <w:tcBorders>
              <w:top w:val="nil"/>
              <w:left w:val="nil"/>
              <w:bottom w:val="nil"/>
              <w:right w:val="single" w:sz="4" w:space="0" w:color="auto"/>
            </w:tcBorders>
            <w:shd w:val="clear" w:color="auto" w:fill="auto"/>
            <w:noWrap/>
            <w:vAlign w:val="bottom"/>
            <w:hideMark/>
          </w:tcPr>
          <w:p w14:paraId="1F209C6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33" w:type="dxa"/>
            <w:tcBorders>
              <w:top w:val="nil"/>
              <w:left w:val="nil"/>
              <w:bottom w:val="nil"/>
              <w:right w:val="single" w:sz="4" w:space="0" w:color="auto"/>
            </w:tcBorders>
            <w:shd w:val="clear" w:color="auto" w:fill="auto"/>
            <w:noWrap/>
            <w:vAlign w:val="bottom"/>
            <w:hideMark/>
          </w:tcPr>
          <w:p w14:paraId="411E076B"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380F7D72"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   </w:t>
            </w:r>
          </w:p>
        </w:tc>
      </w:tr>
      <w:tr w:rsidR="00E7759C" w:rsidRPr="00E7759C" w14:paraId="49EB3130" w14:textId="77777777" w:rsidTr="0054297D">
        <w:trPr>
          <w:trHeight w:val="270"/>
        </w:trPr>
        <w:tc>
          <w:tcPr>
            <w:tcW w:w="4957" w:type="dxa"/>
            <w:tcBorders>
              <w:top w:val="nil"/>
              <w:left w:val="single" w:sz="4" w:space="0" w:color="auto"/>
              <w:bottom w:val="single" w:sz="4" w:space="0" w:color="auto"/>
              <w:right w:val="single" w:sz="4" w:space="0" w:color="auto"/>
            </w:tcBorders>
            <w:shd w:val="clear" w:color="000000" w:fill="1F4E78"/>
            <w:noWrap/>
            <w:vAlign w:val="bottom"/>
            <w:hideMark/>
          </w:tcPr>
          <w:p w14:paraId="1C7DEBD0"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Total</w:t>
            </w:r>
          </w:p>
        </w:tc>
        <w:tc>
          <w:tcPr>
            <w:tcW w:w="1134" w:type="dxa"/>
            <w:tcBorders>
              <w:top w:val="single" w:sz="4" w:space="0" w:color="auto"/>
              <w:left w:val="nil"/>
              <w:bottom w:val="single" w:sz="4" w:space="0" w:color="auto"/>
              <w:right w:val="single" w:sz="4" w:space="0" w:color="auto"/>
            </w:tcBorders>
            <w:shd w:val="clear" w:color="000000" w:fill="1F4E78"/>
            <w:noWrap/>
            <w:vAlign w:val="bottom"/>
            <w:hideMark/>
          </w:tcPr>
          <w:p w14:paraId="25CC5ABD"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 xml:space="preserve">             1.200 </w:t>
            </w:r>
          </w:p>
        </w:tc>
        <w:tc>
          <w:tcPr>
            <w:tcW w:w="1051" w:type="dxa"/>
            <w:tcBorders>
              <w:top w:val="single" w:sz="4" w:space="0" w:color="auto"/>
              <w:left w:val="nil"/>
              <w:bottom w:val="single" w:sz="4" w:space="0" w:color="auto"/>
              <w:right w:val="single" w:sz="4" w:space="0" w:color="auto"/>
            </w:tcBorders>
            <w:shd w:val="clear" w:color="000000" w:fill="1F4E78"/>
            <w:noWrap/>
            <w:vAlign w:val="bottom"/>
            <w:hideMark/>
          </w:tcPr>
          <w:p w14:paraId="2BC1C5C6"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 xml:space="preserve">                  -   </w:t>
            </w:r>
          </w:p>
        </w:tc>
        <w:tc>
          <w:tcPr>
            <w:tcW w:w="933" w:type="dxa"/>
            <w:tcBorders>
              <w:top w:val="single" w:sz="4" w:space="0" w:color="auto"/>
              <w:left w:val="nil"/>
              <w:bottom w:val="single" w:sz="4" w:space="0" w:color="auto"/>
              <w:right w:val="single" w:sz="4" w:space="0" w:color="auto"/>
            </w:tcBorders>
            <w:shd w:val="clear" w:color="000000" w:fill="1F4E78"/>
            <w:noWrap/>
            <w:vAlign w:val="bottom"/>
            <w:hideMark/>
          </w:tcPr>
          <w:p w14:paraId="43CD10D9"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 xml:space="preserve">                  -   </w:t>
            </w:r>
          </w:p>
        </w:tc>
        <w:tc>
          <w:tcPr>
            <w:tcW w:w="992" w:type="dxa"/>
            <w:tcBorders>
              <w:top w:val="single" w:sz="4" w:space="0" w:color="auto"/>
              <w:left w:val="nil"/>
              <w:bottom w:val="single" w:sz="4" w:space="0" w:color="auto"/>
              <w:right w:val="single" w:sz="4" w:space="0" w:color="auto"/>
            </w:tcBorders>
            <w:shd w:val="clear" w:color="000000" w:fill="1F4E78"/>
            <w:noWrap/>
            <w:vAlign w:val="bottom"/>
            <w:hideMark/>
          </w:tcPr>
          <w:p w14:paraId="2D0C3F75"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 xml:space="preserve">                  -   </w:t>
            </w:r>
          </w:p>
        </w:tc>
      </w:tr>
    </w:tbl>
    <w:p w14:paraId="5ECAD56D" w14:textId="77777777" w:rsidR="00E7759C" w:rsidRPr="00E7759C" w:rsidRDefault="00E7759C" w:rsidP="00E7759C">
      <w:pPr>
        <w:spacing w:after="0" w:line="0" w:lineRule="atLeast"/>
        <w:ind w:left="720"/>
        <w:jc w:val="both"/>
        <w:rPr>
          <w:rFonts w:eastAsia="Times New Roman" w:cs="Times New Roman"/>
          <w:u w:val="single"/>
          <w:lang w:val="es-ES" w:eastAsia="en-US"/>
        </w:rPr>
      </w:pPr>
    </w:p>
    <w:p w14:paraId="266AB262" w14:textId="77777777" w:rsidR="00E7759C" w:rsidRPr="00E7759C" w:rsidRDefault="00E7759C" w:rsidP="00E7759C">
      <w:pPr>
        <w:numPr>
          <w:ilvl w:val="0"/>
          <w:numId w:val="128"/>
        </w:numPr>
        <w:spacing w:after="0" w:line="0" w:lineRule="atLeast"/>
        <w:jc w:val="both"/>
        <w:rPr>
          <w:rFonts w:eastAsia="Times New Roman" w:cs="Times New Roman"/>
          <w:u w:val="single"/>
          <w:lang w:val="es-ES" w:eastAsia="en-US"/>
        </w:rPr>
      </w:pPr>
      <w:r w:rsidRPr="00E7759C">
        <w:rPr>
          <w:rFonts w:eastAsia="Times New Roman" w:cs="Times New Roman"/>
          <w:u w:val="single"/>
          <w:lang w:val="es-ES" w:eastAsia="en-US"/>
        </w:rPr>
        <w:t>Gestión de Calidad.</w:t>
      </w:r>
      <w:r w:rsidRPr="00E7759C">
        <w:rPr>
          <w:rFonts w:eastAsia="Times New Roman" w:cs="Times New Roman"/>
          <w:lang w:val="es-ES" w:eastAsia="en-US"/>
        </w:rPr>
        <w:t xml:space="preserve"> Para la vigencia 2014 se cuenta con una apropiación de $445 millones, los cuales a la fecha de corte no presentan ninguna ejecución. De acuerdo con el Plan de Acción, estos recursos serán destinados para las siguientes actividades:</w:t>
      </w:r>
    </w:p>
    <w:p w14:paraId="664A0FC6" w14:textId="7182617C" w:rsidR="008A7483" w:rsidRDefault="008A7483">
      <w:pPr>
        <w:rPr>
          <w:rFonts w:eastAsia="Times New Roman" w:cs="Times New Roman"/>
          <w:lang w:val="es-ES" w:eastAsia="en-US"/>
        </w:rPr>
      </w:pPr>
      <w:r>
        <w:rPr>
          <w:rFonts w:eastAsia="Times New Roman" w:cs="Times New Roman"/>
          <w:lang w:val="es-ES" w:eastAsia="en-US"/>
        </w:rPr>
        <w:br w:type="page"/>
      </w:r>
    </w:p>
    <w:p w14:paraId="31E2B39B" w14:textId="77777777" w:rsidR="00E7759C" w:rsidRPr="00E7759C" w:rsidRDefault="00E7759C" w:rsidP="00E7759C">
      <w:pPr>
        <w:spacing w:after="0" w:line="0" w:lineRule="atLeast"/>
        <w:ind w:left="720"/>
        <w:jc w:val="both"/>
        <w:rPr>
          <w:rFonts w:eastAsia="Times New Roman" w:cs="Times New Roman"/>
          <w:lang w:val="es-ES" w:eastAsia="en-US"/>
        </w:rPr>
      </w:pPr>
    </w:p>
    <w:p w14:paraId="424C0548" w14:textId="77777777" w:rsidR="00E7759C" w:rsidRPr="00E7759C" w:rsidRDefault="00E7759C" w:rsidP="00E7759C">
      <w:pPr>
        <w:spacing w:after="0" w:line="0" w:lineRule="atLeast"/>
        <w:jc w:val="center"/>
        <w:rPr>
          <w:rFonts w:eastAsia="Times New Roman" w:cs="Times New Roman"/>
          <w:lang w:val="es-ES" w:eastAsia="en-US"/>
        </w:rPr>
      </w:pPr>
      <w:r w:rsidRPr="00E7759C">
        <w:rPr>
          <w:rFonts w:eastAsia="Times New Roman" w:cs="Times New Roman"/>
          <w:b/>
          <w:color w:val="365F91"/>
          <w:sz w:val="18"/>
          <w:szCs w:val="16"/>
          <w:lang w:val="es-ES" w:eastAsia="es-ES"/>
        </w:rPr>
        <w:t>Cuadro No. 7</w:t>
      </w:r>
    </w:p>
    <w:p w14:paraId="797379A3" w14:textId="77777777" w:rsidR="00E7759C" w:rsidRPr="00E7759C" w:rsidRDefault="00E7759C" w:rsidP="00E7759C">
      <w:pPr>
        <w:spacing w:after="0" w:line="240" w:lineRule="auto"/>
        <w:jc w:val="center"/>
        <w:rPr>
          <w:rFonts w:eastAsia="Times New Roman" w:cs="Times New Roman"/>
          <w:b/>
          <w:color w:val="365F91"/>
          <w:sz w:val="18"/>
          <w:szCs w:val="16"/>
          <w:lang w:val="es-ES" w:eastAsia="es-ES"/>
        </w:rPr>
      </w:pPr>
      <w:r w:rsidRPr="00E7759C">
        <w:rPr>
          <w:rFonts w:eastAsia="Times New Roman" w:cs="Times New Roman"/>
          <w:b/>
          <w:color w:val="365F91"/>
          <w:sz w:val="18"/>
          <w:szCs w:val="16"/>
          <w:lang w:val="es-ES" w:eastAsia="es-ES"/>
        </w:rPr>
        <w:t>Ejecución Presupuestal – Gestión de Calidad</w:t>
      </w:r>
    </w:p>
    <w:tbl>
      <w:tblPr>
        <w:tblW w:w="8016" w:type="dxa"/>
        <w:jc w:val="center"/>
        <w:tblCellMar>
          <w:left w:w="70" w:type="dxa"/>
          <w:right w:w="70" w:type="dxa"/>
        </w:tblCellMar>
        <w:tblLook w:val="04A0" w:firstRow="1" w:lastRow="0" w:firstColumn="1" w:lastColumn="0" w:noHBand="0" w:noVBand="1"/>
      </w:tblPr>
      <w:tblGrid>
        <w:gridCol w:w="3820"/>
        <w:gridCol w:w="1060"/>
        <w:gridCol w:w="1132"/>
        <w:gridCol w:w="1132"/>
        <w:gridCol w:w="1132"/>
      </w:tblGrid>
      <w:tr w:rsidR="00E7759C" w:rsidRPr="00E7759C" w14:paraId="5DFD94C2" w14:textId="77777777" w:rsidTr="0054297D">
        <w:trPr>
          <w:trHeight w:val="270"/>
          <w:jc w:val="center"/>
        </w:trPr>
        <w:tc>
          <w:tcPr>
            <w:tcW w:w="3820" w:type="dxa"/>
            <w:tcBorders>
              <w:top w:val="nil"/>
              <w:left w:val="nil"/>
              <w:bottom w:val="nil"/>
              <w:right w:val="nil"/>
            </w:tcBorders>
            <w:shd w:val="clear" w:color="auto" w:fill="auto"/>
            <w:noWrap/>
            <w:vAlign w:val="bottom"/>
            <w:hideMark/>
          </w:tcPr>
          <w:p w14:paraId="5E0E644A" w14:textId="77777777" w:rsidR="00E7759C" w:rsidRPr="00E7759C" w:rsidRDefault="00E7759C" w:rsidP="00E7759C">
            <w:pPr>
              <w:spacing w:after="0" w:line="240" w:lineRule="auto"/>
              <w:rPr>
                <w:rFonts w:eastAsia="Times New Roman" w:cs="Times New Roman"/>
                <w:sz w:val="20"/>
                <w:szCs w:val="20"/>
              </w:rPr>
            </w:pPr>
          </w:p>
        </w:tc>
        <w:tc>
          <w:tcPr>
            <w:tcW w:w="1060" w:type="dxa"/>
            <w:tcBorders>
              <w:top w:val="nil"/>
              <w:left w:val="nil"/>
              <w:bottom w:val="nil"/>
              <w:right w:val="nil"/>
            </w:tcBorders>
            <w:shd w:val="clear" w:color="auto" w:fill="auto"/>
            <w:noWrap/>
            <w:vAlign w:val="bottom"/>
            <w:hideMark/>
          </w:tcPr>
          <w:p w14:paraId="692A514F" w14:textId="77777777" w:rsidR="00E7759C" w:rsidRPr="00E7759C" w:rsidRDefault="00E7759C" w:rsidP="00E7759C">
            <w:pPr>
              <w:spacing w:after="0" w:line="240" w:lineRule="auto"/>
              <w:rPr>
                <w:rFonts w:eastAsia="Times New Roman" w:cs="Times New Roman"/>
                <w:sz w:val="20"/>
                <w:szCs w:val="20"/>
              </w:rPr>
            </w:pPr>
          </w:p>
        </w:tc>
        <w:tc>
          <w:tcPr>
            <w:tcW w:w="3136" w:type="dxa"/>
            <w:gridSpan w:val="3"/>
            <w:tcBorders>
              <w:top w:val="nil"/>
              <w:left w:val="nil"/>
              <w:bottom w:val="single" w:sz="4" w:space="0" w:color="auto"/>
              <w:right w:val="nil"/>
            </w:tcBorders>
            <w:shd w:val="clear" w:color="auto" w:fill="auto"/>
            <w:noWrap/>
            <w:vAlign w:val="bottom"/>
            <w:hideMark/>
          </w:tcPr>
          <w:p w14:paraId="177E2928" w14:textId="77777777" w:rsidR="00E7759C" w:rsidRPr="00E7759C" w:rsidRDefault="00E7759C" w:rsidP="00E7759C">
            <w:pPr>
              <w:spacing w:after="0" w:line="240" w:lineRule="auto"/>
              <w:jc w:val="right"/>
              <w:rPr>
                <w:rFonts w:eastAsia="Times New Roman" w:cs="Times New Roman"/>
                <w:color w:val="000000"/>
                <w:sz w:val="18"/>
                <w:szCs w:val="18"/>
              </w:rPr>
            </w:pPr>
            <w:r w:rsidRPr="00E7759C">
              <w:rPr>
                <w:rFonts w:eastAsia="Times New Roman" w:cs="Times New Roman"/>
                <w:color w:val="000000"/>
                <w:sz w:val="18"/>
                <w:szCs w:val="18"/>
              </w:rPr>
              <w:t xml:space="preserve"> cifras en millones de pesos </w:t>
            </w:r>
          </w:p>
        </w:tc>
      </w:tr>
      <w:tr w:rsidR="00E7759C" w:rsidRPr="00E7759C" w14:paraId="03E6C2AF" w14:textId="77777777" w:rsidTr="0054297D">
        <w:trPr>
          <w:trHeight w:val="270"/>
          <w:jc w:val="center"/>
        </w:trPr>
        <w:tc>
          <w:tcPr>
            <w:tcW w:w="3820" w:type="dxa"/>
            <w:tcBorders>
              <w:top w:val="single" w:sz="4" w:space="0" w:color="auto"/>
              <w:left w:val="single" w:sz="4" w:space="0" w:color="auto"/>
              <w:bottom w:val="nil"/>
              <w:right w:val="single" w:sz="4" w:space="0" w:color="auto"/>
            </w:tcBorders>
            <w:shd w:val="clear" w:color="000000" w:fill="1F4E78"/>
            <w:noWrap/>
            <w:vAlign w:val="bottom"/>
            <w:hideMark/>
          </w:tcPr>
          <w:p w14:paraId="6440BD47"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Actividad</w:t>
            </w:r>
          </w:p>
        </w:tc>
        <w:tc>
          <w:tcPr>
            <w:tcW w:w="1060" w:type="dxa"/>
            <w:tcBorders>
              <w:top w:val="single" w:sz="4" w:space="0" w:color="auto"/>
              <w:left w:val="nil"/>
              <w:bottom w:val="nil"/>
              <w:right w:val="single" w:sz="4" w:space="0" w:color="auto"/>
            </w:tcBorders>
            <w:shd w:val="clear" w:color="000000" w:fill="1F4E78"/>
            <w:noWrap/>
            <w:vAlign w:val="bottom"/>
            <w:hideMark/>
          </w:tcPr>
          <w:p w14:paraId="22AA2EBA"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Apropiación</w:t>
            </w:r>
          </w:p>
        </w:tc>
        <w:tc>
          <w:tcPr>
            <w:tcW w:w="1051" w:type="dxa"/>
            <w:tcBorders>
              <w:top w:val="nil"/>
              <w:left w:val="nil"/>
              <w:bottom w:val="nil"/>
              <w:right w:val="single" w:sz="4" w:space="0" w:color="auto"/>
            </w:tcBorders>
            <w:shd w:val="clear" w:color="000000" w:fill="1F4E78"/>
            <w:noWrap/>
            <w:vAlign w:val="bottom"/>
            <w:hideMark/>
          </w:tcPr>
          <w:p w14:paraId="75CF588E"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Compromiso</w:t>
            </w:r>
          </w:p>
        </w:tc>
        <w:tc>
          <w:tcPr>
            <w:tcW w:w="1092" w:type="dxa"/>
            <w:tcBorders>
              <w:top w:val="nil"/>
              <w:left w:val="nil"/>
              <w:bottom w:val="nil"/>
              <w:right w:val="single" w:sz="4" w:space="0" w:color="auto"/>
            </w:tcBorders>
            <w:shd w:val="clear" w:color="000000" w:fill="1F4E78"/>
            <w:noWrap/>
            <w:vAlign w:val="bottom"/>
            <w:hideMark/>
          </w:tcPr>
          <w:p w14:paraId="2E852843"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Obligación</w:t>
            </w:r>
          </w:p>
        </w:tc>
        <w:tc>
          <w:tcPr>
            <w:tcW w:w="993" w:type="dxa"/>
            <w:tcBorders>
              <w:top w:val="nil"/>
              <w:left w:val="nil"/>
              <w:bottom w:val="nil"/>
              <w:right w:val="single" w:sz="4" w:space="0" w:color="auto"/>
            </w:tcBorders>
            <w:shd w:val="clear" w:color="000000" w:fill="1F4E78"/>
            <w:noWrap/>
            <w:vAlign w:val="bottom"/>
            <w:hideMark/>
          </w:tcPr>
          <w:p w14:paraId="456662BD"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Pago</w:t>
            </w:r>
          </w:p>
        </w:tc>
      </w:tr>
      <w:tr w:rsidR="00E7759C" w:rsidRPr="00E7759C" w14:paraId="2A0222DF" w14:textId="77777777" w:rsidTr="0054297D">
        <w:trPr>
          <w:trHeight w:val="270"/>
          <w:jc w:val="center"/>
        </w:trPr>
        <w:tc>
          <w:tcPr>
            <w:tcW w:w="3820" w:type="dxa"/>
            <w:tcBorders>
              <w:top w:val="single" w:sz="4" w:space="0" w:color="auto"/>
              <w:left w:val="single" w:sz="4" w:space="0" w:color="auto"/>
              <w:bottom w:val="nil"/>
              <w:right w:val="single" w:sz="4" w:space="0" w:color="auto"/>
            </w:tcBorders>
            <w:shd w:val="clear" w:color="auto" w:fill="auto"/>
            <w:noWrap/>
            <w:vAlign w:val="bottom"/>
            <w:hideMark/>
          </w:tcPr>
          <w:p w14:paraId="46C754C4"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Implementación del mejoramiento continuo </w:t>
            </w:r>
          </w:p>
        </w:tc>
        <w:tc>
          <w:tcPr>
            <w:tcW w:w="1060" w:type="dxa"/>
            <w:tcBorders>
              <w:top w:val="single" w:sz="4" w:space="0" w:color="auto"/>
              <w:left w:val="nil"/>
              <w:bottom w:val="nil"/>
              <w:right w:val="single" w:sz="4" w:space="0" w:color="auto"/>
            </w:tcBorders>
            <w:shd w:val="clear" w:color="auto" w:fill="auto"/>
            <w:noWrap/>
            <w:vAlign w:val="bottom"/>
            <w:hideMark/>
          </w:tcPr>
          <w:p w14:paraId="680BCEF3"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100 </w:t>
            </w:r>
          </w:p>
        </w:tc>
        <w:tc>
          <w:tcPr>
            <w:tcW w:w="1051" w:type="dxa"/>
            <w:tcBorders>
              <w:top w:val="single" w:sz="4" w:space="0" w:color="auto"/>
              <w:left w:val="nil"/>
              <w:bottom w:val="nil"/>
              <w:right w:val="single" w:sz="4" w:space="0" w:color="auto"/>
            </w:tcBorders>
            <w:shd w:val="clear" w:color="auto" w:fill="auto"/>
            <w:noWrap/>
            <w:vAlign w:val="bottom"/>
            <w:hideMark/>
          </w:tcPr>
          <w:p w14:paraId="280F21C3"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1092" w:type="dxa"/>
            <w:tcBorders>
              <w:top w:val="single" w:sz="4" w:space="0" w:color="auto"/>
              <w:left w:val="nil"/>
              <w:bottom w:val="nil"/>
              <w:right w:val="single" w:sz="4" w:space="0" w:color="auto"/>
            </w:tcBorders>
            <w:shd w:val="clear" w:color="auto" w:fill="auto"/>
            <w:noWrap/>
            <w:vAlign w:val="bottom"/>
            <w:hideMark/>
          </w:tcPr>
          <w:p w14:paraId="678EF560"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993" w:type="dxa"/>
            <w:tcBorders>
              <w:top w:val="single" w:sz="4" w:space="0" w:color="auto"/>
              <w:left w:val="nil"/>
              <w:bottom w:val="nil"/>
              <w:right w:val="single" w:sz="4" w:space="0" w:color="auto"/>
            </w:tcBorders>
            <w:shd w:val="clear" w:color="auto" w:fill="auto"/>
            <w:noWrap/>
            <w:vAlign w:val="bottom"/>
            <w:hideMark/>
          </w:tcPr>
          <w:p w14:paraId="72686546"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r>
      <w:tr w:rsidR="00E7759C" w:rsidRPr="00E7759C" w14:paraId="7329E3A0" w14:textId="77777777" w:rsidTr="0054297D">
        <w:trPr>
          <w:trHeight w:val="270"/>
          <w:jc w:val="center"/>
        </w:trPr>
        <w:tc>
          <w:tcPr>
            <w:tcW w:w="3820" w:type="dxa"/>
            <w:tcBorders>
              <w:top w:val="nil"/>
              <w:left w:val="single" w:sz="4" w:space="0" w:color="auto"/>
              <w:bottom w:val="nil"/>
              <w:right w:val="single" w:sz="4" w:space="0" w:color="auto"/>
            </w:tcBorders>
            <w:shd w:val="clear" w:color="000000" w:fill="D9D9D9"/>
            <w:noWrap/>
            <w:vAlign w:val="bottom"/>
            <w:hideMark/>
          </w:tcPr>
          <w:p w14:paraId="2F0082FB"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Realización de la Pre-auditoria del SGC</w:t>
            </w:r>
          </w:p>
        </w:tc>
        <w:tc>
          <w:tcPr>
            <w:tcW w:w="1060" w:type="dxa"/>
            <w:tcBorders>
              <w:top w:val="nil"/>
              <w:left w:val="nil"/>
              <w:bottom w:val="nil"/>
              <w:right w:val="single" w:sz="4" w:space="0" w:color="auto"/>
            </w:tcBorders>
            <w:shd w:val="clear" w:color="000000" w:fill="D9D9D9"/>
            <w:noWrap/>
            <w:vAlign w:val="bottom"/>
            <w:hideMark/>
          </w:tcPr>
          <w:p w14:paraId="41AD92FA"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10 </w:t>
            </w:r>
          </w:p>
        </w:tc>
        <w:tc>
          <w:tcPr>
            <w:tcW w:w="1051" w:type="dxa"/>
            <w:tcBorders>
              <w:top w:val="nil"/>
              <w:left w:val="nil"/>
              <w:bottom w:val="nil"/>
              <w:right w:val="single" w:sz="4" w:space="0" w:color="auto"/>
            </w:tcBorders>
            <w:shd w:val="clear" w:color="000000" w:fill="D9D9D9"/>
            <w:noWrap/>
            <w:vAlign w:val="bottom"/>
            <w:hideMark/>
          </w:tcPr>
          <w:p w14:paraId="3AEC58B6"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w:t>
            </w:r>
          </w:p>
        </w:tc>
        <w:tc>
          <w:tcPr>
            <w:tcW w:w="1092" w:type="dxa"/>
            <w:tcBorders>
              <w:top w:val="nil"/>
              <w:left w:val="nil"/>
              <w:bottom w:val="nil"/>
              <w:right w:val="single" w:sz="4" w:space="0" w:color="auto"/>
            </w:tcBorders>
            <w:shd w:val="clear" w:color="000000" w:fill="D9D9D9"/>
            <w:noWrap/>
            <w:vAlign w:val="bottom"/>
            <w:hideMark/>
          </w:tcPr>
          <w:p w14:paraId="18141A6E"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993" w:type="dxa"/>
            <w:tcBorders>
              <w:top w:val="nil"/>
              <w:left w:val="nil"/>
              <w:bottom w:val="nil"/>
              <w:right w:val="single" w:sz="4" w:space="0" w:color="auto"/>
            </w:tcBorders>
            <w:shd w:val="clear" w:color="000000" w:fill="D9D9D9"/>
            <w:noWrap/>
            <w:vAlign w:val="bottom"/>
            <w:hideMark/>
          </w:tcPr>
          <w:p w14:paraId="5646BF68"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r>
      <w:tr w:rsidR="00E7759C" w:rsidRPr="00E7759C" w14:paraId="30AC0434" w14:textId="77777777" w:rsidTr="0054297D">
        <w:trPr>
          <w:trHeight w:val="270"/>
          <w:jc w:val="center"/>
        </w:trPr>
        <w:tc>
          <w:tcPr>
            <w:tcW w:w="3820" w:type="dxa"/>
            <w:tcBorders>
              <w:top w:val="nil"/>
              <w:left w:val="single" w:sz="4" w:space="0" w:color="auto"/>
              <w:bottom w:val="nil"/>
              <w:right w:val="single" w:sz="4" w:space="0" w:color="auto"/>
            </w:tcBorders>
            <w:shd w:val="clear" w:color="auto" w:fill="auto"/>
            <w:noWrap/>
            <w:vAlign w:val="bottom"/>
            <w:hideMark/>
          </w:tcPr>
          <w:p w14:paraId="290E7214"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Realización Auditoria del SGC</w:t>
            </w:r>
          </w:p>
        </w:tc>
        <w:tc>
          <w:tcPr>
            <w:tcW w:w="1060" w:type="dxa"/>
            <w:tcBorders>
              <w:top w:val="nil"/>
              <w:left w:val="nil"/>
              <w:bottom w:val="nil"/>
              <w:right w:val="single" w:sz="4" w:space="0" w:color="auto"/>
            </w:tcBorders>
            <w:shd w:val="clear" w:color="auto" w:fill="auto"/>
            <w:noWrap/>
            <w:vAlign w:val="bottom"/>
            <w:hideMark/>
          </w:tcPr>
          <w:p w14:paraId="2A3B33F9"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20 </w:t>
            </w:r>
          </w:p>
        </w:tc>
        <w:tc>
          <w:tcPr>
            <w:tcW w:w="1051" w:type="dxa"/>
            <w:tcBorders>
              <w:top w:val="nil"/>
              <w:left w:val="nil"/>
              <w:bottom w:val="nil"/>
              <w:right w:val="single" w:sz="4" w:space="0" w:color="auto"/>
            </w:tcBorders>
            <w:shd w:val="clear" w:color="auto" w:fill="auto"/>
            <w:noWrap/>
            <w:vAlign w:val="bottom"/>
            <w:hideMark/>
          </w:tcPr>
          <w:p w14:paraId="3C458E9B"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1092" w:type="dxa"/>
            <w:tcBorders>
              <w:top w:val="nil"/>
              <w:left w:val="nil"/>
              <w:bottom w:val="nil"/>
              <w:right w:val="single" w:sz="4" w:space="0" w:color="auto"/>
            </w:tcBorders>
            <w:shd w:val="clear" w:color="auto" w:fill="auto"/>
            <w:noWrap/>
            <w:vAlign w:val="bottom"/>
            <w:hideMark/>
          </w:tcPr>
          <w:p w14:paraId="537C9E29"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993" w:type="dxa"/>
            <w:tcBorders>
              <w:top w:val="nil"/>
              <w:left w:val="nil"/>
              <w:bottom w:val="nil"/>
              <w:right w:val="single" w:sz="4" w:space="0" w:color="auto"/>
            </w:tcBorders>
            <w:shd w:val="clear" w:color="auto" w:fill="auto"/>
            <w:noWrap/>
            <w:vAlign w:val="bottom"/>
            <w:hideMark/>
          </w:tcPr>
          <w:p w14:paraId="6ECC5A2B"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r>
      <w:tr w:rsidR="00E7759C" w:rsidRPr="00E7759C" w14:paraId="6E8E7993" w14:textId="77777777" w:rsidTr="0054297D">
        <w:trPr>
          <w:trHeight w:val="270"/>
          <w:jc w:val="center"/>
        </w:trPr>
        <w:tc>
          <w:tcPr>
            <w:tcW w:w="3820" w:type="dxa"/>
            <w:tcBorders>
              <w:top w:val="nil"/>
              <w:left w:val="single" w:sz="4" w:space="0" w:color="auto"/>
              <w:bottom w:val="nil"/>
              <w:right w:val="single" w:sz="4" w:space="0" w:color="auto"/>
            </w:tcBorders>
            <w:shd w:val="clear" w:color="000000" w:fill="D9D9D9"/>
            <w:noWrap/>
            <w:vAlign w:val="bottom"/>
            <w:hideMark/>
          </w:tcPr>
          <w:p w14:paraId="522A1DF9"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Adquisición material de apoyo SGC</w:t>
            </w:r>
          </w:p>
        </w:tc>
        <w:tc>
          <w:tcPr>
            <w:tcW w:w="1060" w:type="dxa"/>
            <w:tcBorders>
              <w:top w:val="nil"/>
              <w:left w:val="nil"/>
              <w:bottom w:val="nil"/>
              <w:right w:val="single" w:sz="4" w:space="0" w:color="auto"/>
            </w:tcBorders>
            <w:shd w:val="clear" w:color="000000" w:fill="D9D9D9"/>
            <w:noWrap/>
            <w:vAlign w:val="bottom"/>
            <w:hideMark/>
          </w:tcPr>
          <w:p w14:paraId="34CCC68E"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50 </w:t>
            </w:r>
          </w:p>
        </w:tc>
        <w:tc>
          <w:tcPr>
            <w:tcW w:w="1051" w:type="dxa"/>
            <w:tcBorders>
              <w:top w:val="nil"/>
              <w:left w:val="nil"/>
              <w:bottom w:val="nil"/>
              <w:right w:val="single" w:sz="4" w:space="0" w:color="auto"/>
            </w:tcBorders>
            <w:shd w:val="clear" w:color="000000" w:fill="D9D9D9"/>
            <w:noWrap/>
            <w:vAlign w:val="bottom"/>
            <w:hideMark/>
          </w:tcPr>
          <w:p w14:paraId="2EE9FB0C"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1092" w:type="dxa"/>
            <w:tcBorders>
              <w:top w:val="nil"/>
              <w:left w:val="nil"/>
              <w:bottom w:val="nil"/>
              <w:right w:val="single" w:sz="4" w:space="0" w:color="auto"/>
            </w:tcBorders>
            <w:shd w:val="clear" w:color="000000" w:fill="D9D9D9"/>
            <w:noWrap/>
            <w:vAlign w:val="bottom"/>
            <w:hideMark/>
          </w:tcPr>
          <w:p w14:paraId="6150BD72"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993" w:type="dxa"/>
            <w:tcBorders>
              <w:top w:val="nil"/>
              <w:left w:val="nil"/>
              <w:bottom w:val="nil"/>
              <w:right w:val="single" w:sz="4" w:space="0" w:color="auto"/>
            </w:tcBorders>
            <w:shd w:val="clear" w:color="000000" w:fill="D9D9D9"/>
            <w:noWrap/>
            <w:vAlign w:val="bottom"/>
            <w:hideMark/>
          </w:tcPr>
          <w:p w14:paraId="7180A031"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r>
      <w:tr w:rsidR="00E7759C" w:rsidRPr="00E7759C" w14:paraId="6EA9E50C" w14:textId="77777777" w:rsidTr="0054297D">
        <w:trPr>
          <w:trHeight w:val="270"/>
          <w:jc w:val="center"/>
        </w:trPr>
        <w:tc>
          <w:tcPr>
            <w:tcW w:w="3820" w:type="dxa"/>
            <w:tcBorders>
              <w:top w:val="nil"/>
              <w:left w:val="single" w:sz="4" w:space="0" w:color="auto"/>
              <w:bottom w:val="nil"/>
              <w:right w:val="single" w:sz="4" w:space="0" w:color="auto"/>
            </w:tcBorders>
            <w:shd w:val="clear" w:color="auto" w:fill="auto"/>
            <w:noWrap/>
            <w:vAlign w:val="bottom"/>
            <w:hideMark/>
          </w:tcPr>
          <w:p w14:paraId="6ADAED51"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Implementación del Balanced Score Card y herramienta</w:t>
            </w:r>
          </w:p>
        </w:tc>
        <w:tc>
          <w:tcPr>
            <w:tcW w:w="1060" w:type="dxa"/>
            <w:tcBorders>
              <w:top w:val="nil"/>
              <w:left w:val="nil"/>
              <w:bottom w:val="nil"/>
              <w:right w:val="single" w:sz="4" w:space="0" w:color="auto"/>
            </w:tcBorders>
            <w:shd w:val="clear" w:color="auto" w:fill="auto"/>
            <w:noWrap/>
            <w:vAlign w:val="bottom"/>
            <w:hideMark/>
          </w:tcPr>
          <w:p w14:paraId="6BCF326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165 </w:t>
            </w:r>
          </w:p>
        </w:tc>
        <w:tc>
          <w:tcPr>
            <w:tcW w:w="1051" w:type="dxa"/>
            <w:tcBorders>
              <w:top w:val="nil"/>
              <w:left w:val="nil"/>
              <w:bottom w:val="nil"/>
              <w:right w:val="single" w:sz="4" w:space="0" w:color="auto"/>
            </w:tcBorders>
            <w:shd w:val="clear" w:color="auto" w:fill="auto"/>
            <w:noWrap/>
            <w:vAlign w:val="bottom"/>
            <w:hideMark/>
          </w:tcPr>
          <w:p w14:paraId="06CECFD4"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1092" w:type="dxa"/>
            <w:tcBorders>
              <w:top w:val="nil"/>
              <w:left w:val="nil"/>
              <w:bottom w:val="nil"/>
              <w:right w:val="single" w:sz="4" w:space="0" w:color="auto"/>
            </w:tcBorders>
            <w:shd w:val="clear" w:color="auto" w:fill="auto"/>
            <w:noWrap/>
            <w:vAlign w:val="bottom"/>
            <w:hideMark/>
          </w:tcPr>
          <w:p w14:paraId="4707A319"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993" w:type="dxa"/>
            <w:tcBorders>
              <w:top w:val="nil"/>
              <w:left w:val="nil"/>
              <w:bottom w:val="nil"/>
              <w:right w:val="single" w:sz="4" w:space="0" w:color="auto"/>
            </w:tcBorders>
            <w:shd w:val="clear" w:color="auto" w:fill="auto"/>
            <w:noWrap/>
            <w:vAlign w:val="bottom"/>
            <w:hideMark/>
          </w:tcPr>
          <w:p w14:paraId="0B08E0E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r>
      <w:tr w:rsidR="00E7759C" w:rsidRPr="00E7759C" w14:paraId="4AB9654F" w14:textId="77777777" w:rsidTr="0054297D">
        <w:trPr>
          <w:trHeight w:val="270"/>
          <w:jc w:val="center"/>
        </w:trPr>
        <w:tc>
          <w:tcPr>
            <w:tcW w:w="3820" w:type="dxa"/>
            <w:tcBorders>
              <w:top w:val="nil"/>
              <w:left w:val="single" w:sz="4" w:space="0" w:color="auto"/>
              <w:bottom w:val="nil"/>
              <w:right w:val="single" w:sz="4" w:space="0" w:color="auto"/>
            </w:tcBorders>
            <w:shd w:val="clear" w:color="000000" w:fill="D9D9D9"/>
            <w:noWrap/>
            <w:vAlign w:val="bottom"/>
            <w:hideMark/>
          </w:tcPr>
          <w:p w14:paraId="06C4EE5B"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Adquisición de un software de calidad</w:t>
            </w:r>
          </w:p>
        </w:tc>
        <w:tc>
          <w:tcPr>
            <w:tcW w:w="1060" w:type="dxa"/>
            <w:tcBorders>
              <w:top w:val="nil"/>
              <w:left w:val="nil"/>
              <w:bottom w:val="nil"/>
              <w:right w:val="single" w:sz="4" w:space="0" w:color="auto"/>
            </w:tcBorders>
            <w:shd w:val="clear" w:color="000000" w:fill="D9D9D9"/>
            <w:noWrap/>
            <w:vAlign w:val="bottom"/>
            <w:hideMark/>
          </w:tcPr>
          <w:p w14:paraId="4BF8C93D"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xml:space="preserve">                100 </w:t>
            </w:r>
          </w:p>
        </w:tc>
        <w:tc>
          <w:tcPr>
            <w:tcW w:w="1051" w:type="dxa"/>
            <w:tcBorders>
              <w:top w:val="nil"/>
              <w:left w:val="nil"/>
              <w:bottom w:val="nil"/>
              <w:right w:val="single" w:sz="4" w:space="0" w:color="auto"/>
            </w:tcBorders>
            <w:shd w:val="clear" w:color="000000" w:fill="D9D9D9"/>
            <w:noWrap/>
            <w:vAlign w:val="bottom"/>
            <w:hideMark/>
          </w:tcPr>
          <w:p w14:paraId="224CFB22"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1092" w:type="dxa"/>
            <w:tcBorders>
              <w:top w:val="nil"/>
              <w:left w:val="nil"/>
              <w:bottom w:val="nil"/>
              <w:right w:val="single" w:sz="4" w:space="0" w:color="auto"/>
            </w:tcBorders>
            <w:shd w:val="clear" w:color="000000" w:fill="D9D9D9"/>
            <w:noWrap/>
            <w:vAlign w:val="bottom"/>
            <w:hideMark/>
          </w:tcPr>
          <w:p w14:paraId="7E4B163F"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c>
          <w:tcPr>
            <w:tcW w:w="993" w:type="dxa"/>
            <w:tcBorders>
              <w:top w:val="nil"/>
              <w:left w:val="nil"/>
              <w:bottom w:val="nil"/>
              <w:right w:val="single" w:sz="4" w:space="0" w:color="auto"/>
            </w:tcBorders>
            <w:shd w:val="clear" w:color="000000" w:fill="D9D9D9"/>
            <w:noWrap/>
            <w:vAlign w:val="bottom"/>
            <w:hideMark/>
          </w:tcPr>
          <w:p w14:paraId="21A1795B" w14:textId="77777777" w:rsidR="00E7759C" w:rsidRPr="00E7759C" w:rsidRDefault="00E7759C" w:rsidP="00E7759C">
            <w:pPr>
              <w:spacing w:after="0" w:line="240" w:lineRule="auto"/>
              <w:rPr>
                <w:rFonts w:eastAsia="Times New Roman" w:cs="Times New Roman"/>
                <w:color w:val="000000"/>
                <w:sz w:val="18"/>
                <w:szCs w:val="18"/>
              </w:rPr>
            </w:pPr>
            <w:r w:rsidRPr="00E7759C">
              <w:rPr>
                <w:rFonts w:eastAsia="Times New Roman" w:cs="Times New Roman"/>
                <w:color w:val="000000"/>
                <w:sz w:val="18"/>
                <w:szCs w:val="18"/>
              </w:rPr>
              <w:t>                       -</w:t>
            </w:r>
          </w:p>
        </w:tc>
      </w:tr>
      <w:tr w:rsidR="00E7759C" w:rsidRPr="00E7759C" w14:paraId="5359EDC2" w14:textId="77777777" w:rsidTr="0054297D">
        <w:trPr>
          <w:trHeight w:val="270"/>
          <w:jc w:val="center"/>
        </w:trPr>
        <w:tc>
          <w:tcPr>
            <w:tcW w:w="3820" w:type="dxa"/>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45706BF4" w14:textId="77777777" w:rsidR="00E7759C" w:rsidRPr="00E7759C" w:rsidRDefault="00E7759C" w:rsidP="00E7759C">
            <w:pPr>
              <w:spacing w:after="0" w:line="240" w:lineRule="auto"/>
              <w:jc w:val="center"/>
              <w:rPr>
                <w:rFonts w:eastAsia="Times New Roman" w:cs="Times New Roman"/>
                <w:b/>
                <w:bCs/>
                <w:color w:val="FFFFFF"/>
                <w:sz w:val="18"/>
                <w:szCs w:val="18"/>
              </w:rPr>
            </w:pPr>
            <w:r w:rsidRPr="00E7759C">
              <w:rPr>
                <w:rFonts w:eastAsia="Times New Roman" w:cs="Times New Roman"/>
                <w:b/>
                <w:bCs/>
                <w:color w:val="FFFFFF"/>
                <w:sz w:val="18"/>
                <w:szCs w:val="18"/>
              </w:rPr>
              <w:t>Total</w:t>
            </w:r>
          </w:p>
        </w:tc>
        <w:tc>
          <w:tcPr>
            <w:tcW w:w="1060" w:type="dxa"/>
            <w:tcBorders>
              <w:top w:val="single" w:sz="4" w:space="0" w:color="auto"/>
              <w:left w:val="nil"/>
              <w:bottom w:val="single" w:sz="4" w:space="0" w:color="auto"/>
              <w:right w:val="single" w:sz="4" w:space="0" w:color="auto"/>
            </w:tcBorders>
            <w:shd w:val="clear" w:color="000000" w:fill="1F4E78"/>
            <w:noWrap/>
            <w:vAlign w:val="bottom"/>
            <w:hideMark/>
          </w:tcPr>
          <w:p w14:paraId="04EA4AD5"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 xml:space="preserve">                445 </w:t>
            </w:r>
          </w:p>
        </w:tc>
        <w:tc>
          <w:tcPr>
            <w:tcW w:w="1051" w:type="dxa"/>
            <w:tcBorders>
              <w:top w:val="single" w:sz="4" w:space="0" w:color="auto"/>
              <w:left w:val="nil"/>
              <w:bottom w:val="single" w:sz="4" w:space="0" w:color="auto"/>
              <w:right w:val="single" w:sz="4" w:space="0" w:color="auto"/>
            </w:tcBorders>
            <w:shd w:val="clear" w:color="000000" w:fill="1F4E78"/>
            <w:noWrap/>
            <w:vAlign w:val="bottom"/>
            <w:hideMark/>
          </w:tcPr>
          <w:p w14:paraId="2B458307"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 xml:space="preserve">                  -   </w:t>
            </w:r>
          </w:p>
        </w:tc>
        <w:tc>
          <w:tcPr>
            <w:tcW w:w="1092" w:type="dxa"/>
            <w:tcBorders>
              <w:top w:val="single" w:sz="4" w:space="0" w:color="auto"/>
              <w:left w:val="nil"/>
              <w:bottom w:val="single" w:sz="4" w:space="0" w:color="auto"/>
              <w:right w:val="single" w:sz="4" w:space="0" w:color="auto"/>
            </w:tcBorders>
            <w:shd w:val="clear" w:color="000000" w:fill="1F4E78"/>
            <w:noWrap/>
            <w:vAlign w:val="bottom"/>
            <w:hideMark/>
          </w:tcPr>
          <w:p w14:paraId="24C07F7B"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 xml:space="preserve">                  -   </w:t>
            </w:r>
          </w:p>
        </w:tc>
        <w:tc>
          <w:tcPr>
            <w:tcW w:w="993" w:type="dxa"/>
            <w:tcBorders>
              <w:top w:val="single" w:sz="4" w:space="0" w:color="auto"/>
              <w:left w:val="nil"/>
              <w:bottom w:val="single" w:sz="4" w:space="0" w:color="auto"/>
              <w:right w:val="single" w:sz="4" w:space="0" w:color="auto"/>
            </w:tcBorders>
            <w:shd w:val="clear" w:color="000000" w:fill="1F4E78"/>
            <w:noWrap/>
            <w:vAlign w:val="bottom"/>
            <w:hideMark/>
          </w:tcPr>
          <w:p w14:paraId="07E766A8" w14:textId="77777777" w:rsidR="00E7759C" w:rsidRPr="00E7759C" w:rsidRDefault="00E7759C" w:rsidP="00E7759C">
            <w:pPr>
              <w:spacing w:after="0" w:line="240" w:lineRule="auto"/>
              <w:rPr>
                <w:rFonts w:eastAsia="Times New Roman" w:cs="Times New Roman"/>
                <w:b/>
                <w:bCs/>
                <w:color w:val="FFFFFF"/>
                <w:sz w:val="18"/>
                <w:szCs w:val="18"/>
              </w:rPr>
            </w:pPr>
            <w:r w:rsidRPr="00E7759C">
              <w:rPr>
                <w:rFonts w:eastAsia="Times New Roman" w:cs="Times New Roman"/>
                <w:b/>
                <w:bCs/>
                <w:color w:val="FFFFFF"/>
                <w:sz w:val="18"/>
                <w:szCs w:val="18"/>
              </w:rPr>
              <w:t xml:space="preserve">                  -   </w:t>
            </w:r>
          </w:p>
        </w:tc>
      </w:tr>
    </w:tbl>
    <w:p w14:paraId="3C030431" w14:textId="1024BD24" w:rsidR="00444132" w:rsidRDefault="00444132" w:rsidP="00E7759C">
      <w:pPr>
        <w:spacing w:after="0" w:line="0" w:lineRule="atLeast"/>
        <w:jc w:val="both"/>
        <w:rPr>
          <w:rFonts w:eastAsia="Times New Roman" w:cs="Times New Roman"/>
          <w:lang w:val="es-ES" w:eastAsia="en-US"/>
        </w:rPr>
      </w:pPr>
    </w:p>
    <w:p w14:paraId="6C78B590" w14:textId="77777777" w:rsidR="00444132" w:rsidRDefault="00444132">
      <w:pPr>
        <w:rPr>
          <w:rFonts w:eastAsia="Times New Roman" w:cs="Times New Roman"/>
          <w:lang w:val="es-ES" w:eastAsia="en-US"/>
        </w:rPr>
      </w:pPr>
      <w:r>
        <w:rPr>
          <w:rFonts w:eastAsia="Times New Roman" w:cs="Times New Roman"/>
          <w:lang w:val="es-ES" w:eastAsia="en-US"/>
        </w:rPr>
        <w:br w:type="page"/>
      </w:r>
    </w:p>
    <w:p w14:paraId="1552CCD6" w14:textId="77777777" w:rsidR="00D74F8D" w:rsidRDefault="0045207E" w:rsidP="002F4F01">
      <w:pPr>
        <w:pStyle w:val="Ttulo1"/>
        <w:numPr>
          <w:ilvl w:val="0"/>
          <w:numId w:val="31"/>
        </w:numPr>
      </w:pPr>
      <w:bookmarkStart w:id="40" w:name="_Toc357434709"/>
      <w:bookmarkStart w:id="41" w:name="_Toc357434975"/>
      <w:bookmarkStart w:id="42" w:name="_Toc360175791"/>
      <w:bookmarkStart w:id="43" w:name="_Toc360176857"/>
      <w:bookmarkStart w:id="44" w:name="_Toc360177564"/>
      <w:bookmarkStart w:id="45" w:name="_Toc390333873"/>
      <w:r>
        <w:lastRenderedPageBreak/>
        <w:t>SEGUIMIENTO METAS POR DEPENDENCIA</w:t>
      </w:r>
      <w:bookmarkEnd w:id="40"/>
      <w:bookmarkEnd w:id="41"/>
      <w:bookmarkEnd w:id="42"/>
      <w:bookmarkEnd w:id="43"/>
      <w:bookmarkEnd w:id="44"/>
      <w:bookmarkEnd w:id="45"/>
    </w:p>
    <w:p w14:paraId="2488E45E" w14:textId="77777777" w:rsidR="00EE62A7" w:rsidRDefault="00EE62A7" w:rsidP="004D2A8A">
      <w:pPr>
        <w:pStyle w:val="Ttulo1"/>
        <w:numPr>
          <w:ilvl w:val="1"/>
          <w:numId w:val="31"/>
        </w:numPr>
      </w:pPr>
      <w:bookmarkStart w:id="46" w:name="_Toc357434710"/>
      <w:bookmarkStart w:id="47" w:name="_Toc357434976"/>
      <w:bookmarkStart w:id="48" w:name="_Toc360175792"/>
      <w:bookmarkStart w:id="49" w:name="_Toc360177565"/>
      <w:bookmarkStart w:id="50" w:name="_Toc390333874"/>
      <w:r>
        <w:t>VICEPRESIDENCIA ADMIN</w:t>
      </w:r>
      <w:r w:rsidR="00EB08EF">
        <w:t>I</w:t>
      </w:r>
      <w:r>
        <w:t>STRATIVA Y FINANCIERA</w:t>
      </w:r>
      <w:bookmarkEnd w:id="46"/>
      <w:bookmarkEnd w:id="47"/>
      <w:bookmarkEnd w:id="48"/>
      <w:bookmarkEnd w:id="49"/>
      <w:bookmarkEnd w:id="50"/>
    </w:p>
    <w:tbl>
      <w:tblPr>
        <w:tblW w:w="9229" w:type="dxa"/>
        <w:tblInd w:w="55" w:type="dxa"/>
        <w:tblCellMar>
          <w:left w:w="70" w:type="dxa"/>
          <w:right w:w="70" w:type="dxa"/>
        </w:tblCellMar>
        <w:tblLook w:val="04A0" w:firstRow="1" w:lastRow="0" w:firstColumn="1" w:lastColumn="0" w:noHBand="0" w:noVBand="1"/>
      </w:tblPr>
      <w:tblGrid>
        <w:gridCol w:w="5320"/>
        <w:gridCol w:w="1499"/>
        <w:gridCol w:w="1276"/>
        <w:gridCol w:w="1134"/>
      </w:tblGrid>
      <w:tr w:rsidR="00FE0227" w:rsidRPr="00FE0227" w14:paraId="47AE0D34" w14:textId="77777777" w:rsidTr="00FE0227">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32ADAD96" w14:textId="77777777"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ACTIVIDAD</w:t>
            </w:r>
          </w:p>
        </w:tc>
        <w:tc>
          <w:tcPr>
            <w:tcW w:w="1499" w:type="dxa"/>
            <w:tcBorders>
              <w:top w:val="single" w:sz="4" w:space="0" w:color="auto"/>
              <w:left w:val="nil"/>
              <w:bottom w:val="single" w:sz="4" w:space="0" w:color="auto"/>
              <w:right w:val="single" w:sz="4" w:space="0" w:color="auto"/>
            </w:tcBorders>
            <w:shd w:val="clear" w:color="000000" w:fill="A5A5A5"/>
            <w:vAlign w:val="center"/>
            <w:hideMark/>
          </w:tcPr>
          <w:p w14:paraId="4BE91940" w14:textId="77777777"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UNIDAD DE MEDIDA</w:t>
            </w:r>
          </w:p>
        </w:tc>
        <w:tc>
          <w:tcPr>
            <w:tcW w:w="1276" w:type="dxa"/>
            <w:tcBorders>
              <w:top w:val="single" w:sz="4" w:space="0" w:color="auto"/>
              <w:left w:val="nil"/>
              <w:bottom w:val="single" w:sz="4" w:space="0" w:color="auto"/>
              <w:right w:val="single" w:sz="4" w:space="0" w:color="auto"/>
            </w:tcBorders>
            <w:shd w:val="clear" w:color="000000" w:fill="A5A5A5"/>
            <w:noWrap/>
            <w:vAlign w:val="center"/>
            <w:hideMark/>
          </w:tcPr>
          <w:p w14:paraId="487A8A36" w14:textId="77777777"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META AÑO</w:t>
            </w:r>
          </w:p>
        </w:tc>
        <w:tc>
          <w:tcPr>
            <w:tcW w:w="1134"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0150AEB" w14:textId="77777777" w:rsidR="00FE0227" w:rsidRDefault="00FE0227" w:rsidP="00FE022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Avance</w:t>
            </w:r>
          </w:p>
          <w:p w14:paraId="62508FEB" w14:textId="75B8244E" w:rsidR="00FE0227" w:rsidRPr="00FE0227" w:rsidRDefault="00FE0227" w:rsidP="009C121C">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Pr="00FE0227">
              <w:rPr>
                <w:rFonts w:ascii="Calibri" w:eastAsia="Times New Roman" w:hAnsi="Calibri" w:cs="Calibri"/>
                <w:b/>
                <w:bCs/>
                <w:color w:val="000000"/>
                <w:sz w:val="20"/>
                <w:szCs w:val="20"/>
              </w:rPr>
              <w:t xml:space="preserve"> </w:t>
            </w:r>
            <w:r w:rsidR="00C3699C">
              <w:rPr>
                <w:rFonts w:ascii="Calibri" w:eastAsia="Times New Roman" w:hAnsi="Calibri" w:cs="Calibri"/>
                <w:b/>
                <w:bCs/>
                <w:color w:val="000000"/>
                <w:sz w:val="20"/>
                <w:szCs w:val="20"/>
              </w:rPr>
              <w:t>1</w:t>
            </w:r>
          </w:p>
        </w:tc>
      </w:tr>
      <w:tr w:rsidR="00FE0227" w:rsidRPr="00FE0227" w14:paraId="757A2987" w14:textId="77777777" w:rsidTr="00FE0227">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7B3D4DC4" w14:textId="77777777" w:rsidR="00FE0227" w:rsidRPr="00FE0227" w:rsidRDefault="00FE0227" w:rsidP="00FE0227">
            <w:pPr>
              <w:spacing w:after="0" w:line="240" w:lineRule="auto"/>
              <w:rPr>
                <w:rFonts w:ascii="Calibri" w:eastAsia="Times New Roman" w:hAnsi="Calibri" w:cs="Calibri"/>
                <w:color w:val="000000"/>
                <w:sz w:val="20"/>
                <w:szCs w:val="20"/>
              </w:rPr>
            </w:pPr>
            <w:r w:rsidRPr="00FE0227">
              <w:rPr>
                <w:rFonts w:ascii="Calibri" w:eastAsia="Times New Roman" w:hAnsi="Calibri" w:cs="Calibri"/>
                <w:color w:val="000000"/>
                <w:sz w:val="20"/>
                <w:szCs w:val="20"/>
              </w:rPr>
              <w:t xml:space="preserve">Control de la ejecución presupuestal: </w:t>
            </w:r>
            <w:r w:rsidRPr="00FE0227">
              <w:rPr>
                <w:rFonts w:ascii="Calibri" w:eastAsia="Times New Roman" w:hAnsi="Calibri" w:cs="Calibri"/>
                <w:color w:val="000000"/>
                <w:sz w:val="20"/>
                <w:szCs w:val="20"/>
              </w:rPr>
              <w:br/>
              <w:t xml:space="preserve">- ingresos </w:t>
            </w:r>
            <w:r w:rsidRPr="00FE0227">
              <w:rPr>
                <w:rFonts w:ascii="Calibri" w:eastAsia="Times New Roman" w:hAnsi="Calibri" w:cs="Calibri"/>
                <w:color w:val="000000"/>
                <w:sz w:val="20"/>
                <w:szCs w:val="20"/>
              </w:rPr>
              <w:br/>
              <w:t>- reservas</w:t>
            </w:r>
            <w:r w:rsidRPr="00FE0227">
              <w:rPr>
                <w:rFonts w:ascii="Calibri" w:eastAsia="Times New Roman" w:hAnsi="Calibri" w:cs="Calibri"/>
                <w:color w:val="000000"/>
                <w:sz w:val="20"/>
                <w:szCs w:val="20"/>
              </w:rPr>
              <w:br/>
              <w:t>- Gastos</w:t>
            </w:r>
          </w:p>
        </w:tc>
        <w:tc>
          <w:tcPr>
            <w:tcW w:w="1499" w:type="dxa"/>
            <w:tcBorders>
              <w:top w:val="nil"/>
              <w:left w:val="nil"/>
              <w:bottom w:val="single" w:sz="4" w:space="0" w:color="auto"/>
              <w:right w:val="single" w:sz="4" w:space="0" w:color="auto"/>
            </w:tcBorders>
            <w:shd w:val="clear" w:color="auto" w:fill="auto"/>
            <w:vAlign w:val="center"/>
            <w:hideMark/>
          </w:tcPr>
          <w:p w14:paraId="79DD5C26"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Ejecución</w:t>
            </w:r>
          </w:p>
        </w:tc>
        <w:tc>
          <w:tcPr>
            <w:tcW w:w="1276" w:type="dxa"/>
            <w:tcBorders>
              <w:top w:val="nil"/>
              <w:left w:val="nil"/>
              <w:bottom w:val="single" w:sz="4" w:space="0" w:color="auto"/>
              <w:right w:val="single" w:sz="4" w:space="0" w:color="auto"/>
            </w:tcBorders>
            <w:shd w:val="clear" w:color="auto" w:fill="auto"/>
            <w:noWrap/>
            <w:vAlign w:val="center"/>
            <w:hideMark/>
          </w:tcPr>
          <w:p w14:paraId="3C251910"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63F4D01" w14:textId="5A19AB9A"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75%</w:t>
            </w:r>
          </w:p>
        </w:tc>
      </w:tr>
      <w:tr w:rsidR="00FE0227" w:rsidRPr="00FE0227" w14:paraId="3494BD01" w14:textId="77777777" w:rsidTr="00FE022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6A981E25" w14:textId="77777777" w:rsidR="00FE0227" w:rsidRPr="00FE0227" w:rsidRDefault="00FE0227" w:rsidP="00FE0227">
            <w:pPr>
              <w:spacing w:after="0" w:line="240" w:lineRule="auto"/>
              <w:rPr>
                <w:rFonts w:ascii="Calibri" w:eastAsia="Times New Roman" w:hAnsi="Calibri" w:cs="Calibri"/>
                <w:color w:val="000000"/>
                <w:sz w:val="20"/>
                <w:szCs w:val="20"/>
              </w:rPr>
            </w:pPr>
            <w:r w:rsidRPr="00FE0227">
              <w:rPr>
                <w:rFonts w:ascii="Calibri" w:eastAsia="Times New Roman" w:hAnsi="Calibri" w:cs="Calibri"/>
                <w:color w:val="000000"/>
                <w:sz w:val="20"/>
                <w:szCs w:val="20"/>
              </w:rPr>
              <w:t>Elaboración de Boletines de Tesorería</w:t>
            </w:r>
          </w:p>
        </w:tc>
        <w:tc>
          <w:tcPr>
            <w:tcW w:w="1499" w:type="dxa"/>
            <w:tcBorders>
              <w:top w:val="nil"/>
              <w:left w:val="nil"/>
              <w:bottom w:val="single" w:sz="4" w:space="0" w:color="auto"/>
              <w:right w:val="single" w:sz="4" w:space="0" w:color="auto"/>
            </w:tcBorders>
            <w:shd w:val="clear" w:color="auto" w:fill="auto"/>
            <w:vAlign w:val="center"/>
            <w:hideMark/>
          </w:tcPr>
          <w:p w14:paraId="68C96641"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Boletín</w:t>
            </w:r>
          </w:p>
        </w:tc>
        <w:tc>
          <w:tcPr>
            <w:tcW w:w="1276" w:type="dxa"/>
            <w:tcBorders>
              <w:top w:val="nil"/>
              <w:left w:val="nil"/>
              <w:bottom w:val="single" w:sz="4" w:space="0" w:color="auto"/>
              <w:right w:val="single" w:sz="4" w:space="0" w:color="auto"/>
            </w:tcBorders>
            <w:shd w:val="clear" w:color="auto" w:fill="auto"/>
            <w:noWrap/>
            <w:vAlign w:val="center"/>
            <w:hideMark/>
          </w:tcPr>
          <w:p w14:paraId="1164AC46"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12</w:t>
            </w:r>
          </w:p>
        </w:tc>
        <w:tc>
          <w:tcPr>
            <w:tcW w:w="1134" w:type="dxa"/>
            <w:tcBorders>
              <w:top w:val="nil"/>
              <w:left w:val="nil"/>
              <w:bottom w:val="single" w:sz="4" w:space="0" w:color="auto"/>
              <w:right w:val="single" w:sz="4" w:space="0" w:color="auto"/>
            </w:tcBorders>
            <w:shd w:val="clear" w:color="auto" w:fill="auto"/>
            <w:noWrap/>
            <w:vAlign w:val="center"/>
            <w:hideMark/>
          </w:tcPr>
          <w:p w14:paraId="5E31B90B"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3</w:t>
            </w:r>
          </w:p>
        </w:tc>
      </w:tr>
      <w:tr w:rsidR="00FE0227" w:rsidRPr="00FE0227" w14:paraId="52D5E3CB" w14:textId="77777777" w:rsidTr="00FE022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49239951" w14:textId="4E2F712E"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Cierre mensual y conciliación de cifras</w:t>
            </w:r>
          </w:p>
        </w:tc>
        <w:tc>
          <w:tcPr>
            <w:tcW w:w="1499" w:type="dxa"/>
            <w:tcBorders>
              <w:top w:val="nil"/>
              <w:left w:val="nil"/>
              <w:bottom w:val="single" w:sz="4" w:space="0" w:color="auto"/>
              <w:right w:val="single" w:sz="4" w:space="0" w:color="auto"/>
            </w:tcBorders>
            <w:shd w:val="clear" w:color="auto" w:fill="auto"/>
            <w:vAlign w:val="center"/>
            <w:hideMark/>
          </w:tcPr>
          <w:p w14:paraId="75BD9CFA" w14:textId="192BA684"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Informes</w:t>
            </w:r>
          </w:p>
        </w:tc>
        <w:tc>
          <w:tcPr>
            <w:tcW w:w="1276" w:type="dxa"/>
            <w:tcBorders>
              <w:top w:val="nil"/>
              <w:left w:val="nil"/>
              <w:bottom w:val="single" w:sz="4" w:space="0" w:color="auto"/>
              <w:right w:val="single" w:sz="4" w:space="0" w:color="auto"/>
            </w:tcBorders>
            <w:shd w:val="clear" w:color="auto" w:fill="auto"/>
            <w:noWrap/>
            <w:vAlign w:val="center"/>
            <w:hideMark/>
          </w:tcPr>
          <w:p w14:paraId="063C19E3"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12</w:t>
            </w:r>
          </w:p>
        </w:tc>
        <w:tc>
          <w:tcPr>
            <w:tcW w:w="1134" w:type="dxa"/>
            <w:tcBorders>
              <w:top w:val="nil"/>
              <w:left w:val="nil"/>
              <w:bottom w:val="single" w:sz="4" w:space="0" w:color="auto"/>
              <w:right w:val="single" w:sz="4" w:space="0" w:color="auto"/>
            </w:tcBorders>
            <w:shd w:val="clear" w:color="auto" w:fill="auto"/>
            <w:noWrap/>
            <w:vAlign w:val="center"/>
            <w:hideMark/>
          </w:tcPr>
          <w:p w14:paraId="4AB9BEB4"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3</w:t>
            </w:r>
          </w:p>
        </w:tc>
      </w:tr>
      <w:tr w:rsidR="00FE0227" w:rsidRPr="00FE0227" w14:paraId="76D71236" w14:textId="77777777" w:rsidTr="00FE022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7290CBDE" w14:textId="0601F24F"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Publicación información web</w:t>
            </w:r>
          </w:p>
        </w:tc>
        <w:tc>
          <w:tcPr>
            <w:tcW w:w="1499" w:type="dxa"/>
            <w:tcBorders>
              <w:top w:val="nil"/>
              <w:left w:val="nil"/>
              <w:bottom w:val="single" w:sz="4" w:space="0" w:color="auto"/>
              <w:right w:val="single" w:sz="4" w:space="0" w:color="auto"/>
            </w:tcBorders>
            <w:shd w:val="clear" w:color="auto" w:fill="auto"/>
            <w:vAlign w:val="center"/>
            <w:hideMark/>
          </w:tcPr>
          <w:p w14:paraId="37E9FDC8"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Informes</w:t>
            </w:r>
          </w:p>
        </w:tc>
        <w:tc>
          <w:tcPr>
            <w:tcW w:w="1276" w:type="dxa"/>
            <w:tcBorders>
              <w:top w:val="nil"/>
              <w:left w:val="nil"/>
              <w:bottom w:val="single" w:sz="4" w:space="0" w:color="auto"/>
              <w:right w:val="single" w:sz="4" w:space="0" w:color="auto"/>
            </w:tcBorders>
            <w:shd w:val="clear" w:color="auto" w:fill="auto"/>
            <w:noWrap/>
            <w:vAlign w:val="center"/>
            <w:hideMark/>
          </w:tcPr>
          <w:p w14:paraId="26B9BE7F"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14:paraId="3ECDC3A3"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w:t>
            </w:r>
          </w:p>
        </w:tc>
      </w:tr>
      <w:tr w:rsidR="00FE0227" w:rsidRPr="00FE0227" w14:paraId="63171C73" w14:textId="77777777" w:rsidTr="00F45C8B">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492F0F23" w14:textId="230897B4" w:rsidR="00FE0227" w:rsidRPr="00FE0227" w:rsidRDefault="00FE0227" w:rsidP="00FE0227">
            <w:pPr>
              <w:spacing w:after="0" w:line="240" w:lineRule="auto"/>
              <w:rPr>
                <w:rFonts w:ascii="Calibri" w:eastAsia="Times New Roman" w:hAnsi="Calibri" w:cs="Calibri"/>
                <w:color w:val="000000"/>
                <w:sz w:val="20"/>
                <w:szCs w:val="20"/>
              </w:rPr>
            </w:pPr>
            <w:r w:rsidRPr="00FE0227">
              <w:rPr>
                <w:rFonts w:ascii="Calibri" w:eastAsia="Times New Roman" w:hAnsi="Calibri" w:cs="Calibri"/>
                <w:color w:val="000000"/>
                <w:sz w:val="20"/>
                <w:szCs w:val="20"/>
              </w:rPr>
              <w:t xml:space="preserve">Actualización de la Tabla de Retención Documental a todas las </w:t>
            </w:r>
            <w:r w:rsidR="00CC3514" w:rsidRPr="00FE0227">
              <w:rPr>
                <w:rFonts w:ascii="Calibri" w:eastAsia="Times New Roman" w:hAnsi="Calibri" w:cs="Calibri"/>
                <w:color w:val="000000"/>
                <w:sz w:val="20"/>
                <w:szCs w:val="20"/>
              </w:rPr>
              <w:t>dependencias</w:t>
            </w:r>
          </w:p>
        </w:tc>
        <w:tc>
          <w:tcPr>
            <w:tcW w:w="1499" w:type="dxa"/>
            <w:tcBorders>
              <w:top w:val="nil"/>
              <w:left w:val="nil"/>
              <w:bottom w:val="single" w:sz="4" w:space="0" w:color="auto"/>
              <w:right w:val="single" w:sz="4" w:space="0" w:color="auto"/>
            </w:tcBorders>
            <w:shd w:val="clear" w:color="auto" w:fill="auto"/>
            <w:vAlign w:val="center"/>
            <w:hideMark/>
          </w:tcPr>
          <w:p w14:paraId="2D648842"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TDR</w:t>
            </w:r>
          </w:p>
        </w:tc>
        <w:tc>
          <w:tcPr>
            <w:tcW w:w="1276" w:type="dxa"/>
            <w:tcBorders>
              <w:top w:val="nil"/>
              <w:left w:val="nil"/>
              <w:bottom w:val="single" w:sz="4" w:space="0" w:color="auto"/>
              <w:right w:val="single" w:sz="4" w:space="0" w:color="auto"/>
            </w:tcBorders>
            <w:shd w:val="clear" w:color="auto" w:fill="auto"/>
            <w:noWrap/>
            <w:vAlign w:val="center"/>
            <w:hideMark/>
          </w:tcPr>
          <w:p w14:paraId="04CC1DF4"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25A5C22E" w14:textId="77777777" w:rsidR="00FE0227" w:rsidRPr="00FE0227" w:rsidRDefault="00FE0227" w:rsidP="00F45C8B">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 xml:space="preserve">24,99 </w:t>
            </w:r>
            <w:r w:rsidR="00E43A28">
              <w:rPr>
                <w:rFonts w:ascii="Calibri" w:eastAsia="Times New Roman" w:hAnsi="Calibri" w:cs="Calibri"/>
                <w:color w:val="000000"/>
                <w:sz w:val="20"/>
                <w:szCs w:val="20"/>
              </w:rPr>
              <w:t>%</w:t>
            </w:r>
          </w:p>
        </w:tc>
      </w:tr>
      <w:tr w:rsidR="00FE0227" w:rsidRPr="00FE0227" w14:paraId="566CD9A0" w14:textId="77777777" w:rsidTr="00FE022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08AB5B65" w14:textId="4737D9A6"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Ampliación sede oficinas</w:t>
            </w:r>
          </w:p>
        </w:tc>
        <w:tc>
          <w:tcPr>
            <w:tcW w:w="1499" w:type="dxa"/>
            <w:tcBorders>
              <w:top w:val="nil"/>
              <w:left w:val="nil"/>
              <w:bottom w:val="single" w:sz="4" w:space="0" w:color="auto"/>
              <w:right w:val="single" w:sz="4" w:space="0" w:color="auto"/>
            </w:tcBorders>
            <w:shd w:val="clear" w:color="auto" w:fill="auto"/>
            <w:vAlign w:val="center"/>
            <w:hideMark/>
          </w:tcPr>
          <w:p w14:paraId="30DDEF95" w14:textId="1F90C32F"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sede</w:t>
            </w:r>
          </w:p>
        </w:tc>
        <w:tc>
          <w:tcPr>
            <w:tcW w:w="1276" w:type="dxa"/>
            <w:tcBorders>
              <w:top w:val="nil"/>
              <w:left w:val="nil"/>
              <w:bottom w:val="single" w:sz="4" w:space="0" w:color="auto"/>
              <w:right w:val="single" w:sz="4" w:space="0" w:color="auto"/>
            </w:tcBorders>
            <w:shd w:val="clear" w:color="auto" w:fill="auto"/>
            <w:noWrap/>
            <w:vAlign w:val="center"/>
            <w:hideMark/>
          </w:tcPr>
          <w:p w14:paraId="4D3D0251" w14:textId="0E1AA65A"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14:paraId="388EB970"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0</w:t>
            </w:r>
          </w:p>
        </w:tc>
      </w:tr>
      <w:tr w:rsidR="00FE0227" w:rsidRPr="00FE0227" w14:paraId="7E57F25D" w14:textId="77777777" w:rsidTr="00FE022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28E5A418" w14:textId="10358A6D"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Diseñar PIC de acuerdo con necesidades de la entidad</w:t>
            </w:r>
          </w:p>
        </w:tc>
        <w:tc>
          <w:tcPr>
            <w:tcW w:w="1499" w:type="dxa"/>
            <w:tcBorders>
              <w:top w:val="nil"/>
              <w:left w:val="nil"/>
              <w:bottom w:val="single" w:sz="4" w:space="0" w:color="auto"/>
              <w:right w:val="single" w:sz="4" w:space="0" w:color="auto"/>
            </w:tcBorders>
            <w:shd w:val="clear" w:color="auto" w:fill="auto"/>
            <w:vAlign w:val="center"/>
            <w:hideMark/>
          </w:tcPr>
          <w:p w14:paraId="0CD505D0" w14:textId="2A403DBD" w:rsidR="00FE0227" w:rsidRPr="00FE0227" w:rsidRDefault="00C3699C" w:rsidP="00FE0227">
            <w:pPr>
              <w:spacing w:after="0" w:line="240" w:lineRule="auto"/>
              <w:jc w:val="center"/>
              <w:rPr>
                <w:rFonts w:ascii="Calibri" w:eastAsia="Times New Roman" w:hAnsi="Calibri" w:cs="Calibri"/>
                <w:color w:val="000000"/>
                <w:sz w:val="20"/>
                <w:szCs w:val="20"/>
              </w:rPr>
            </w:pPr>
            <w:r w:rsidRPr="00C3699C">
              <w:rPr>
                <w:rFonts w:ascii="Calibri" w:eastAsia="Times New Roman" w:hAnsi="Calibri" w:cs="Calibri"/>
                <w:color w:val="000000"/>
                <w:sz w:val="20"/>
                <w:szCs w:val="20"/>
              </w:rPr>
              <w:t>PIC diseñado</w:t>
            </w:r>
          </w:p>
        </w:tc>
        <w:tc>
          <w:tcPr>
            <w:tcW w:w="1276" w:type="dxa"/>
            <w:tcBorders>
              <w:top w:val="nil"/>
              <w:left w:val="nil"/>
              <w:bottom w:val="single" w:sz="4" w:space="0" w:color="auto"/>
              <w:right w:val="single" w:sz="4" w:space="0" w:color="auto"/>
            </w:tcBorders>
            <w:shd w:val="clear" w:color="auto" w:fill="auto"/>
            <w:noWrap/>
            <w:vAlign w:val="center"/>
            <w:hideMark/>
          </w:tcPr>
          <w:p w14:paraId="634CAEEA" w14:textId="314F8A19"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14:paraId="0FDF233F" w14:textId="49AD28FB"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FE0227" w:rsidRPr="00FE0227" w14:paraId="65EEE295" w14:textId="77777777" w:rsidTr="00FE022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0EF9C8C2" w14:textId="1117581F"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Optimización Procesos de Selección</w:t>
            </w:r>
          </w:p>
        </w:tc>
        <w:tc>
          <w:tcPr>
            <w:tcW w:w="1499" w:type="dxa"/>
            <w:tcBorders>
              <w:top w:val="nil"/>
              <w:left w:val="nil"/>
              <w:bottom w:val="single" w:sz="4" w:space="0" w:color="auto"/>
              <w:right w:val="single" w:sz="4" w:space="0" w:color="auto"/>
            </w:tcBorders>
            <w:shd w:val="clear" w:color="auto" w:fill="auto"/>
            <w:vAlign w:val="center"/>
            <w:hideMark/>
          </w:tcPr>
          <w:p w14:paraId="1F976E67" w14:textId="55EFE071"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Proceso</w:t>
            </w:r>
          </w:p>
        </w:tc>
        <w:tc>
          <w:tcPr>
            <w:tcW w:w="1276" w:type="dxa"/>
            <w:tcBorders>
              <w:top w:val="nil"/>
              <w:left w:val="nil"/>
              <w:bottom w:val="single" w:sz="4" w:space="0" w:color="auto"/>
              <w:right w:val="single" w:sz="4" w:space="0" w:color="auto"/>
            </w:tcBorders>
            <w:shd w:val="clear" w:color="auto" w:fill="auto"/>
            <w:noWrap/>
            <w:vAlign w:val="center"/>
            <w:hideMark/>
          </w:tcPr>
          <w:p w14:paraId="0F733A8A" w14:textId="21C48407"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14:paraId="529980CC" w14:textId="16C440D3"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FE0227" w:rsidRPr="00FE0227" w14:paraId="690E2DAA" w14:textId="77777777" w:rsidTr="00FE022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18774B1E" w14:textId="02BD98E7"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Afianzar la cultura del servicio al ciudadano al interior de la entidad /Difusión y socializacion</w:t>
            </w:r>
          </w:p>
        </w:tc>
        <w:tc>
          <w:tcPr>
            <w:tcW w:w="1499" w:type="dxa"/>
            <w:tcBorders>
              <w:top w:val="nil"/>
              <w:left w:val="nil"/>
              <w:bottom w:val="single" w:sz="4" w:space="0" w:color="auto"/>
              <w:right w:val="single" w:sz="4" w:space="0" w:color="auto"/>
            </w:tcBorders>
            <w:shd w:val="clear" w:color="auto" w:fill="auto"/>
            <w:vAlign w:val="center"/>
            <w:hideMark/>
          </w:tcPr>
          <w:p w14:paraId="33898156" w14:textId="03B1444A" w:rsidR="00FE0227" w:rsidRPr="00FE0227" w:rsidRDefault="00C3699C" w:rsidP="00FE0227">
            <w:pPr>
              <w:spacing w:after="0" w:line="240" w:lineRule="auto"/>
              <w:jc w:val="center"/>
              <w:rPr>
                <w:rFonts w:ascii="Calibri" w:eastAsia="Times New Roman" w:hAnsi="Calibri" w:cs="Calibri"/>
                <w:color w:val="000000"/>
                <w:sz w:val="20"/>
                <w:szCs w:val="20"/>
              </w:rPr>
            </w:pPr>
            <w:r w:rsidRPr="00C3699C">
              <w:rPr>
                <w:rFonts w:ascii="Calibri" w:eastAsia="Times New Roman" w:hAnsi="Calibri" w:cs="Calibri"/>
                <w:color w:val="000000"/>
                <w:sz w:val="20"/>
                <w:szCs w:val="20"/>
              </w:rPr>
              <w:t>Piezas comunicativas</w:t>
            </w:r>
          </w:p>
        </w:tc>
        <w:tc>
          <w:tcPr>
            <w:tcW w:w="1276" w:type="dxa"/>
            <w:tcBorders>
              <w:top w:val="nil"/>
              <w:left w:val="nil"/>
              <w:bottom w:val="single" w:sz="4" w:space="0" w:color="auto"/>
              <w:right w:val="single" w:sz="4" w:space="0" w:color="auto"/>
            </w:tcBorders>
            <w:shd w:val="clear" w:color="auto" w:fill="auto"/>
            <w:noWrap/>
            <w:vAlign w:val="center"/>
            <w:hideMark/>
          </w:tcPr>
          <w:p w14:paraId="3D338600" w14:textId="7D84B0ED"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c>
          <w:tcPr>
            <w:tcW w:w="1134" w:type="dxa"/>
            <w:tcBorders>
              <w:top w:val="nil"/>
              <w:left w:val="nil"/>
              <w:bottom w:val="single" w:sz="4" w:space="0" w:color="auto"/>
              <w:right w:val="single" w:sz="4" w:space="0" w:color="auto"/>
            </w:tcBorders>
            <w:shd w:val="clear" w:color="auto" w:fill="auto"/>
            <w:noWrap/>
            <w:vAlign w:val="center"/>
            <w:hideMark/>
          </w:tcPr>
          <w:p w14:paraId="7CA88BF5" w14:textId="7FE7BCE4"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w:t>
            </w:r>
          </w:p>
        </w:tc>
      </w:tr>
      <w:tr w:rsidR="00FE0227" w:rsidRPr="00FE0227" w14:paraId="25701C1C" w14:textId="77777777" w:rsidTr="00FE022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5FFAAFBE" w14:textId="6CAAC0BA"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Fortalecimiento de la articulación interinstitucional del Sector</w:t>
            </w:r>
          </w:p>
        </w:tc>
        <w:tc>
          <w:tcPr>
            <w:tcW w:w="1499" w:type="dxa"/>
            <w:tcBorders>
              <w:top w:val="nil"/>
              <w:left w:val="nil"/>
              <w:bottom w:val="single" w:sz="4" w:space="0" w:color="auto"/>
              <w:right w:val="single" w:sz="4" w:space="0" w:color="auto"/>
            </w:tcBorders>
            <w:shd w:val="clear" w:color="auto" w:fill="auto"/>
            <w:vAlign w:val="center"/>
            <w:hideMark/>
          </w:tcPr>
          <w:p w14:paraId="2F34F5D3" w14:textId="2C21FE5A"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Reuniones</w:t>
            </w:r>
          </w:p>
        </w:tc>
        <w:tc>
          <w:tcPr>
            <w:tcW w:w="1276" w:type="dxa"/>
            <w:tcBorders>
              <w:top w:val="nil"/>
              <w:left w:val="nil"/>
              <w:bottom w:val="single" w:sz="4" w:space="0" w:color="auto"/>
              <w:right w:val="single" w:sz="4" w:space="0" w:color="auto"/>
            </w:tcBorders>
            <w:shd w:val="clear" w:color="auto" w:fill="auto"/>
            <w:noWrap/>
            <w:vAlign w:val="center"/>
            <w:hideMark/>
          </w:tcPr>
          <w:p w14:paraId="1DC7656A" w14:textId="194BF7E2"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14:paraId="058A4B1C" w14:textId="7E508E52" w:rsidR="00C3699C" w:rsidRPr="00FE0227" w:rsidRDefault="00C3699C" w:rsidP="00C3699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bl>
    <w:p w14:paraId="58F314B8" w14:textId="243E1FA4" w:rsidR="00EE62A7" w:rsidRDefault="00EE62A7" w:rsidP="00CF0E68">
      <w:pPr>
        <w:jc w:val="both"/>
        <w:rPr>
          <w:rFonts w:ascii="Arial Narrow" w:hAnsi="Arial Narrow"/>
          <w:b/>
        </w:rPr>
      </w:pPr>
    </w:p>
    <w:p w14:paraId="006EB9AE" w14:textId="1BB09CEC" w:rsidR="00CF0E68" w:rsidRDefault="00CF0E68" w:rsidP="00CF0E68">
      <w:pPr>
        <w:jc w:val="both"/>
      </w:pPr>
      <w:r w:rsidRPr="00E4001F">
        <w:t xml:space="preserve">Durante el </w:t>
      </w:r>
      <w:r w:rsidR="0004638B">
        <w:t>primer</w:t>
      </w:r>
      <w:r w:rsidRPr="00E4001F">
        <w:t xml:space="preserve"> trimestre, la </w:t>
      </w:r>
      <w:r w:rsidR="00CC3514">
        <w:t>V</w:t>
      </w:r>
      <w:r w:rsidRPr="00E4001F">
        <w:t>icepresidencia Administrativa y Financiera desarrolló las actividades, planes y programas esta</w:t>
      </w:r>
      <w:r w:rsidR="00F95D7B" w:rsidRPr="00E4001F">
        <w:t>blecidos para esta dependencia; cada uno de los grupos que la componen llevaron a cabo las actividades necesarias pare el cumplimiento de las mismas, a continuación se presenta un resumen por Grupos, así:</w:t>
      </w:r>
    </w:p>
    <w:p w14:paraId="32D5EBBA" w14:textId="77777777" w:rsidR="00FB5B0A" w:rsidRPr="0086211C" w:rsidRDefault="00FB5B0A" w:rsidP="0086211C">
      <w:pPr>
        <w:rPr>
          <w:color w:val="00B0F0"/>
        </w:rPr>
      </w:pPr>
      <w:bookmarkStart w:id="51" w:name="_Toc357434711"/>
      <w:r w:rsidRPr="0086211C">
        <w:rPr>
          <w:b/>
          <w:color w:val="00B0F0"/>
          <w:sz w:val="26"/>
          <w:szCs w:val="26"/>
        </w:rPr>
        <w:t xml:space="preserve">Grupo Interno de Trabajo de </w:t>
      </w:r>
      <w:r w:rsidR="008F227B" w:rsidRPr="0086211C">
        <w:rPr>
          <w:b/>
          <w:color w:val="00B0F0"/>
          <w:sz w:val="26"/>
          <w:szCs w:val="26"/>
        </w:rPr>
        <w:t>Administrativo</w:t>
      </w:r>
      <w:bookmarkEnd w:id="51"/>
    </w:p>
    <w:p w14:paraId="53C11C28" w14:textId="08648F8A" w:rsidR="006D0589" w:rsidRDefault="000C1E26" w:rsidP="007B0993">
      <w:pPr>
        <w:jc w:val="both"/>
      </w:pPr>
      <w:r w:rsidRPr="00E4001F">
        <w:t xml:space="preserve">Durante el </w:t>
      </w:r>
      <w:r w:rsidR="0004638B">
        <w:t>primer</w:t>
      </w:r>
      <w:r w:rsidRPr="00E4001F">
        <w:t xml:space="preserve"> trimestre, </w:t>
      </w:r>
      <w:r w:rsidR="006E2ED9">
        <w:t>el</w:t>
      </w:r>
      <w:r w:rsidRPr="00E4001F">
        <w:t xml:space="preserve"> grupo de trabajo</w:t>
      </w:r>
      <w:r w:rsidR="006E2ED9">
        <w:t xml:space="preserve"> </w:t>
      </w:r>
      <w:r w:rsidR="0004638B">
        <w:t>e</w:t>
      </w:r>
      <w:r w:rsidR="000E4D31" w:rsidRPr="00E4001F">
        <w:t xml:space="preserve">n cuanto a la gestión presupuestal, financiera y de tesorería se </w:t>
      </w:r>
      <w:r w:rsidR="006E2ED9">
        <w:t xml:space="preserve">continuaron </w:t>
      </w:r>
      <w:r w:rsidR="000E4D31" w:rsidRPr="00E4001F">
        <w:t>desarrollando actividades tales como la expedición de Certificados de Disponibilidad Presupuestal, Registro Presupuestales y pagos de los comp</w:t>
      </w:r>
      <w:r w:rsidR="006E2ED9">
        <w:t>romisos.</w:t>
      </w:r>
      <w:r w:rsidR="0004638B">
        <w:t xml:space="preserve"> Así mismo, se han desarrollado las actividades logísticas necesarias para el desarrollo de las audiencias públicas de recepción de propuestas y cierre de los procesos de contratación de los proyectos 4G.</w:t>
      </w:r>
    </w:p>
    <w:p w14:paraId="32620ADA" w14:textId="77777777" w:rsidR="00EF7B3A" w:rsidRPr="0086211C" w:rsidRDefault="00EF7B3A" w:rsidP="0086211C">
      <w:pPr>
        <w:rPr>
          <w:color w:val="00B0F0"/>
        </w:rPr>
      </w:pPr>
      <w:bookmarkStart w:id="52" w:name="_Toc357434712"/>
      <w:r w:rsidRPr="0086211C">
        <w:rPr>
          <w:b/>
          <w:color w:val="00B0F0"/>
          <w:sz w:val="26"/>
          <w:szCs w:val="26"/>
        </w:rPr>
        <w:t>Grupo Interno de Recurso Humano</w:t>
      </w:r>
      <w:bookmarkEnd w:id="52"/>
    </w:p>
    <w:p w14:paraId="764726F5" w14:textId="77777777" w:rsidR="002F1811" w:rsidRPr="002F1811" w:rsidRDefault="002F1811" w:rsidP="002F1811">
      <w:pPr>
        <w:jc w:val="both"/>
        <w:rPr>
          <w:rFonts w:cs="Arial"/>
          <w:bCs/>
          <w:szCs w:val="24"/>
          <w:lang w:val="es-ES_tradnl"/>
        </w:rPr>
      </w:pPr>
      <w:r>
        <w:rPr>
          <w:rFonts w:cs="Arial"/>
          <w:bCs/>
          <w:szCs w:val="24"/>
          <w:lang w:val="es-ES_tradnl"/>
        </w:rPr>
        <w:t>En el periodo de referencia, se realizaron las siguientes actividades:</w:t>
      </w:r>
    </w:p>
    <w:p w14:paraId="4CDD35FA" w14:textId="77777777" w:rsidR="003E7F64" w:rsidRDefault="002F1811" w:rsidP="003E7F64">
      <w:pPr>
        <w:jc w:val="both"/>
        <w:rPr>
          <w:rFonts w:cs="Arial"/>
          <w:bCs/>
          <w:szCs w:val="24"/>
          <w:lang w:val="es-ES_tradnl"/>
        </w:rPr>
      </w:pPr>
      <w:r w:rsidRPr="00110AF2">
        <w:rPr>
          <w:rFonts w:cs="Arial"/>
          <w:b/>
          <w:bCs/>
          <w:szCs w:val="24"/>
          <w:lang w:val="es-ES_tradnl"/>
        </w:rPr>
        <w:t xml:space="preserve">Capacitación: </w:t>
      </w:r>
      <w:r w:rsidRPr="00110AF2">
        <w:rPr>
          <w:rFonts w:cs="Arial"/>
          <w:bCs/>
          <w:szCs w:val="24"/>
          <w:lang w:val="es-ES_tradnl"/>
        </w:rPr>
        <w:t xml:space="preserve">El Plan Institucional de Capacitación fue aprobado en </w:t>
      </w:r>
      <w:r w:rsidR="00AE5EA3">
        <w:rPr>
          <w:rFonts w:cs="Arial"/>
          <w:bCs/>
          <w:szCs w:val="24"/>
          <w:lang w:val="es-ES_tradnl"/>
        </w:rPr>
        <w:t>el mes de marzo</w:t>
      </w:r>
      <w:r w:rsidR="003E7F64">
        <w:rPr>
          <w:rFonts w:cs="Arial"/>
          <w:bCs/>
          <w:szCs w:val="24"/>
          <w:lang w:val="es-ES_tradnl"/>
        </w:rPr>
        <w:t>, para tal fin se desarrollaron las siguientes actividades:</w:t>
      </w:r>
      <w:r w:rsidR="003E7F64" w:rsidRPr="00110AF2">
        <w:rPr>
          <w:rFonts w:cs="Arial"/>
          <w:bCs/>
          <w:szCs w:val="24"/>
          <w:lang w:val="es-ES_tradnl"/>
        </w:rPr>
        <w:t xml:space="preserve"> </w:t>
      </w:r>
    </w:p>
    <w:p w14:paraId="24CFEE8F" w14:textId="479E47EF" w:rsidR="003E7F64" w:rsidRDefault="003E7F64" w:rsidP="003E7F64">
      <w:pPr>
        <w:pStyle w:val="Prrafodelista"/>
        <w:numPr>
          <w:ilvl w:val="0"/>
          <w:numId w:val="131"/>
        </w:numPr>
      </w:pPr>
      <w:r>
        <w:lastRenderedPageBreak/>
        <w:t>Presentación PIC a Facilitadores representantes de las diferentes dependencias a fin de consolidar las necesidades del PAE en cada una de ellas para el diseño del Plan.</w:t>
      </w:r>
    </w:p>
    <w:p w14:paraId="3B430704" w14:textId="57FF9E9E" w:rsidR="003E7F64" w:rsidRDefault="003E7F64" w:rsidP="003E7F64">
      <w:pPr>
        <w:pStyle w:val="Prrafodelista"/>
        <w:ind w:left="1440" w:hanging="360"/>
      </w:pPr>
      <w:r>
        <w:t>b.</w:t>
      </w:r>
      <w:r w:rsidRPr="003E7F64">
        <w:t xml:space="preserve">      </w:t>
      </w:r>
      <w:r>
        <w:t>Recepción de PAES</w:t>
      </w:r>
    </w:p>
    <w:p w14:paraId="1570F681" w14:textId="77777777" w:rsidR="003E7F64" w:rsidRDefault="003E7F64" w:rsidP="003E7F64">
      <w:pPr>
        <w:pStyle w:val="Prrafodelista"/>
        <w:ind w:left="1440" w:hanging="360"/>
      </w:pPr>
      <w:r>
        <w:t>c.</w:t>
      </w:r>
      <w:r>
        <w:rPr>
          <w:rFonts w:ascii="Times New Roman" w:hAnsi="Times New Roman"/>
          <w:sz w:val="14"/>
          <w:szCs w:val="14"/>
        </w:rPr>
        <w:t xml:space="preserve">       </w:t>
      </w:r>
      <w:r>
        <w:t>Definición y elaboración de Fichas</w:t>
      </w:r>
    </w:p>
    <w:p w14:paraId="29E9C1A2" w14:textId="7661DC3D" w:rsidR="00791731" w:rsidRDefault="00791731" w:rsidP="003E358B">
      <w:pPr>
        <w:spacing w:after="0" w:line="240" w:lineRule="auto"/>
        <w:ind w:left="720"/>
        <w:jc w:val="both"/>
        <w:rPr>
          <w:rFonts w:cs="Arial"/>
          <w:bCs/>
          <w:szCs w:val="24"/>
          <w:lang w:val="es-ES_tradnl"/>
        </w:rPr>
      </w:pPr>
    </w:p>
    <w:p w14:paraId="04A5F3EF" w14:textId="77777777" w:rsidR="002F1811" w:rsidRDefault="002F1811" w:rsidP="002F1811">
      <w:pPr>
        <w:jc w:val="both"/>
        <w:rPr>
          <w:rFonts w:cs="Arial"/>
          <w:bCs/>
          <w:szCs w:val="24"/>
          <w:lang w:val="es-ES_tradnl"/>
        </w:rPr>
      </w:pPr>
      <w:r w:rsidRPr="0062441C">
        <w:rPr>
          <w:rFonts w:cs="Arial"/>
          <w:b/>
          <w:bCs/>
          <w:szCs w:val="24"/>
          <w:lang w:val="es-ES_tradnl"/>
        </w:rPr>
        <w:t>Bienestar social</w:t>
      </w:r>
      <w:r>
        <w:rPr>
          <w:rFonts w:cs="Arial"/>
          <w:b/>
          <w:bCs/>
          <w:szCs w:val="24"/>
          <w:lang w:val="es-ES_tradnl"/>
        </w:rPr>
        <w:t xml:space="preserve"> e Incentivos: </w:t>
      </w:r>
      <w:r w:rsidRPr="00110AF2">
        <w:rPr>
          <w:rFonts w:cs="Arial"/>
          <w:bCs/>
          <w:szCs w:val="24"/>
          <w:lang w:val="es-ES_tradnl"/>
        </w:rPr>
        <w:t xml:space="preserve">El plan de bienestar fue elaborado con base </w:t>
      </w:r>
      <w:r>
        <w:rPr>
          <w:rFonts w:cs="Arial"/>
          <w:bCs/>
          <w:szCs w:val="24"/>
          <w:lang w:val="es-ES_tradnl"/>
        </w:rPr>
        <w:t xml:space="preserve">en </w:t>
      </w:r>
      <w:r w:rsidRPr="00110AF2">
        <w:rPr>
          <w:rFonts w:cs="Arial"/>
          <w:bCs/>
          <w:szCs w:val="24"/>
          <w:lang w:val="es-ES_tradnl"/>
        </w:rPr>
        <w:t xml:space="preserve">la encuesta aplicada a los funcionarios de la Entidad y teniendo en cuenta los parámetros normativos establecidos en el Decreto 1227 de 2005. </w:t>
      </w:r>
    </w:p>
    <w:p w14:paraId="6D8BBD83" w14:textId="77777777" w:rsidR="002F1811" w:rsidRDefault="002F1811" w:rsidP="002F1811">
      <w:pPr>
        <w:jc w:val="both"/>
        <w:rPr>
          <w:rFonts w:cs="Arial"/>
          <w:bCs/>
          <w:szCs w:val="24"/>
          <w:lang w:val="es-ES_tradnl"/>
        </w:rPr>
      </w:pPr>
      <w:r>
        <w:rPr>
          <w:rFonts w:cs="Arial"/>
          <w:bCs/>
          <w:szCs w:val="24"/>
          <w:lang w:val="es-ES_tradnl"/>
        </w:rPr>
        <w:t>Las actividades contempladas en el Plan de Bienestar que han sido ejecutadas durante el trimestre son:</w:t>
      </w:r>
    </w:p>
    <w:p w14:paraId="0FFAD74A" w14:textId="20D6072E" w:rsidR="006843D5" w:rsidRDefault="006843D5" w:rsidP="002F1811">
      <w:pPr>
        <w:numPr>
          <w:ilvl w:val="0"/>
          <w:numId w:val="55"/>
        </w:numPr>
        <w:spacing w:after="0" w:line="240" w:lineRule="auto"/>
        <w:jc w:val="both"/>
        <w:rPr>
          <w:rFonts w:cs="Arial"/>
          <w:bCs/>
          <w:szCs w:val="24"/>
          <w:lang w:val="es-ES_tradnl"/>
        </w:rPr>
      </w:pPr>
      <w:r>
        <w:t>Elaboración de encuestas Clima y Bienestar</w:t>
      </w:r>
    </w:p>
    <w:p w14:paraId="7CF507BE" w14:textId="342A51DA" w:rsidR="00E27064" w:rsidRDefault="00E27064" w:rsidP="002F1811">
      <w:pPr>
        <w:numPr>
          <w:ilvl w:val="0"/>
          <w:numId w:val="55"/>
        </w:numPr>
        <w:spacing w:after="0" w:line="240" w:lineRule="auto"/>
        <w:jc w:val="both"/>
        <w:rPr>
          <w:rFonts w:cs="Arial"/>
          <w:bCs/>
          <w:szCs w:val="24"/>
          <w:lang w:val="es-ES_tradnl"/>
        </w:rPr>
      </w:pPr>
      <w:r>
        <w:rPr>
          <w:rFonts w:cs="Arial"/>
          <w:bCs/>
          <w:szCs w:val="24"/>
          <w:lang w:val="es-ES_tradnl"/>
        </w:rPr>
        <w:t>Semana de la Salud</w:t>
      </w:r>
    </w:p>
    <w:p w14:paraId="5692D8EF" w14:textId="3F77A992" w:rsidR="00E27064" w:rsidRDefault="00E27064" w:rsidP="002F1811">
      <w:pPr>
        <w:numPr>
          <w:ilvl w:val="0"/>
          <w:numId w:val="55"/>
        </w:numPr>
        <w:spacing w:after="0" w:line="240" w:lineRule="auto"/>
        <w:jc w:val="both"/>
        <w:rPr>
          <w:rFonts w:cs="Arial"/>
          <w:bCs/>
          <w:szCs w:val="24"/>
          <w:lang w:val="es-ES_tradnl"/>
        </w:rPr>
      </w:pPr>
      <w:r>
        <w:rPr>
          <w:rFonts w:cs="Arial"/>
          <w:bCs/>
          <w:szCs w:val="24"/>
          <w:lang w:val="es-ES_tradnl"/>
        </w:rPr>
        <w:t>Día de la Secretaria</w:t>
      </w:r>
    </w:p>
    <w:p w14:paraId="24F23271" w14:textId="77777777" w:rsidR="002F1811" w:rsidRDefault="002F1811" w:rsidP="002F1811">
      <w:pPr>
        <w:numPr>
          <w:ilvl w:val="0"/>
          <w:numId w:val="55"/>
        </w:numPr>
        <w:spacing w:after="0" w:line="240" w:lineRule="auto"/>
        <w:jc w:val="both"/>
        <w:rPr>
          <w:rFonts w:cs="Arial"/>
          <w:bCs/>
          <w:szCs w:val="24"/>
          <w:lang w:val="es-ES_tradnl"/>
        </w:rPr>
      </w:pPr>
      <w:r>
        <w:rPr>
          <w:rFonts w:cs="Arial"/>
          <w:bCs/>
          <w:szCs w:val="24"/>
          <w:lang w:val="es-ES_tradnl"/>
        </w:rPr>
        <w:t>Disciplinas deportivas: Prácticas deportivas, entrenamiento y escuelas deportivas.</w:t>
      </w:r>
    </w:p>
    <w:p w14:paraId="7E5F7688" w14:textId="73DA87E7" w:rsidR="002F1811" w:rsidRDefault="002F1811" w:rsidP="002F1811">
      <w:pPr>
        <w:numPr>
          <w:ilvl w:val="0"/>
          <w:numId w:val="55"/>
        </w:numPr>
        <w:spacing w:after="0" w:line="240" w:lineRule="auto"/>
        <w:jc w:val="both"/>
        <w:rPr>
          <w:rFonts w:cs="Arial"/>
          <w:bCs/>
          <w:szCs w:val="24"/>
          <w:lang w:val="es-ES_tradnl"/>
        </w:rPr>
      </w:pPr>
      <w:r>
        <w:rPr>
          <w:rFonts w:cs="Arial"/>
          <w:bCs/>
          <w:szCs w:val="24"/>
          <w:lang w:val="es-ES_tradnl"/>
        </w:rPr>
        <w:t>Actividades Recreativas: Actividades lúdicas y dep</w:t>
      </w:r>
      <w:r w:rsidR="003E358B">
        <w:rPr>
          <w:rFonts w:cs="Arial"/>
          <w:bCs/>
          <w:szCs w:val="24"/>
          <w:lang w:val="es-ES_tradnl"/>
        </w:rPr>
        <w:t>ortivas</w:t>
      </w:r>
    </w:p>
    <w:p w14:paraId="298800BA" w14:textId="2477C30B" w:rsidR="002F1811" w:rsidRDefault="002F1811" w:rsidP="002F1811">
      <w:pPr>
        <w:numPr>
          <w:ilvl w:val="0"/>
          <w:numId w:val="55"/>
        </w:numPr>
        <w:spacing w:after="0" w:line="240" w:lineRule="auto"/>
        <w:jc w:val="both"/>
        <w:rPr>
          <w:rFonts w:cs="Arial"/>
          <w:bCs/>
          <w:szCs w:val="24"/>
          <w:lang w:val="es-ES_tradnl"/>
        </w:rPr>
      </w:pPr>
      <w:r>
        <w:rPr>
          <w:rFonts w:cs="Arial"/>
          <w:bCs/>
          <w:szCs w:val="24"/>
          <w:lang w:val="es-ES_tradnl"/>
        </w:rPr>
        <w:t>Visitas de los a</w:t>
      </w:r>
      <w:r w:rsidR="003E358B">
        <w:rPr>
          <w:rFonts w:cs="Arial"/>
          <w:bCs/>
          <w:szCs w:val="24"/>
          <w:lang w:val="es-ES_tradnl"/>
        </w:rPr>
        <w:t>sesores de medicinas prepagadas, caja de compensación y servicios financieros</w:t>
      </w:r>
    </w:p>
    <w:p w14:paraId="6190B8BC" w14:textId="77777777" w:rsidR="002F1811" w:rsidRDefault="002F1811" w:rsidP="002F1811">
      <w:pPr>
        <w:jc w:val="both"/>
        <w:rPr>
          <w:rFonts w:cs="Arial"/>
          <w:bCs/>
          <w:szCs w:val="24"/>
          <w:lang w:val="es-ES_tradnl"/>
        </w:rPr>
      </w:pPr>
    </w:p>
    <w:p w14:paraId="000D5A1B" w14:textId="77777777" w:rsidR="00F63DA0" w:rsidRPr="007D5991" w:rsidRDefault="00F63DA0" w:rsidP="0086211C">
      <w:pPr>
        <w:rPr>
          <w:color w:val="00B0F0"/>
        </w:rPr>
      </w:pPr>
      <w:bookmarkStart w:id="53" w:name="_Toc357434713"/>
      <w:r w:rsidRPr="0086211C">
        <w:rPr>
          <w:b/>
          <w:color w:val="00B0F0"/>
          <w:sz w:val="26"/>
          <w:szCs w:val="26"/>
        </w:rPr>
        <w:t>Grupo Interno de Trabajo de Control Interno Disciplinario y Atención al Ciudadano</w:t>
      </w:r>
      <w:bookmarkEnd w:id="53"/>
    </w:p>
    <w:p w14:paraId="7883DD20" w14:textId="51C5069C" w:rsidR="007C3ED0" w:rsidRPr="007B3729" w:rsidRDefault="007C3ED0" w:rsidP="007C3ED0">
      <w:pPr>
        <w:jc w:val="both"/>
      </w:pPr>
      <w:r w:rsidRPr="007B3729">
        <w:t xml:space="preserve">Durante el periodo en rendición, se continuó con la remisión diaria a cada responsable de diligenciar PQSR de recordatorios sobre el cumplimiento de los tiempos para dar respuesta a los mismos, dicha asignación y verificación de la respuesta es monitoreada a través del Sistema ORFEO. En evaluación realizada por el Grupo se encontró que esta estrategia ha sido eficaz, para reducir el tiempo y número de PQSR respondidas a los interesados. </w:t>
      </w:r>
    </w:p>
    <w:p w14:paraId="75C70431" w14:textId="77777777" w:rsidR="007C3ED0" w:rsidRPr="007B3729" w:rsidRDefault="007C3ED0" w:rsidP="007C3ED0">
      <w:pPr>
        <w:jc w:val="both"/>
      </w:pPr>
      <w:r w:rsidRPr="007B3729">
        <w:t xml:space="preserve">Adicionalmente, y en coordinación con el Grupo de Correspondencia, se realizó un ajuste al sistema ORFEO, con el fin de resaltar en color ROJO, aquellos documentos clasificados como reclamo, queja, petición, solicitud copias, denuncia, sugerencia, entre otros; advirtiendo los días pendientes para respuesta y en caso de haberse dejado vencer el plazo, envía un mensaje diario al correo Outlook del titular con copia al superior </w:t>
      </w:r>
      <w:r>
        <w:t>in</w:t>
      </w:r>
      <w:r w:rsidRPr="007B3729">
        <w:t>mediato, en el que advierte la mora en el agotamiento del trámite, aviso que no se suspende sino hasta que el responsable del proceso adelanta la contestación en forma adecuada y cierra el proceso en el Sistema de manera correcta</w:t>
      </w:r>
      <w:r>
        <w:t>.</w:t>
      </w:r>
    </w:p>
    <w:p w14:paraId="56A3778B" w14:textId="7C8949CD" w:rsidR="007C3ED0" w:rsidRDefault="007C3ED0" w:rsidP="007C3ED0">
      <w:pPr>
        <w:jc w:val="both"/>
      </w:pPr>
      <w:r w:rsidRPr="0066243D">
        <w:t>Así mismo, se ha venido asistiendo a la totalidad de las actividades que el Programa Nacional de Servicio al Ciudadano, ha ofrecido con el fin de fortalecer la gestión de la Agencia y de proveer herramientas para la adecuada atención al ciudadano</w:t>
      </w:r>
      <w:r w:rsidR="00C01907">
        <w:t>.</w:t>
      </w:r>
    </w:p>
    <w:p w14:paraId="57BBDB60" w14:textId="77777777" w:rsidR="00B43330" w:rsidRDefault="00B43330">
      <w:r>
        <w:br w:type="page"/>
      </w:r>
    </w:p>
    <w:p w14:paraId="5CDBD574" w14:textId="77777777" w:rsidR="003D5F89" w:rsidRDefault="003D5F89" w:rsidP="0015543D">
      <w:pPr>
        <w:pStyle w:val="Ttulo1"/>
        <w:numPr>
          <w:ilvl w:val="1"/>
          <w:numId w:val="31"/>
        </w:numPr>
      </w:pPr>
      <w:bookmarkStart w:id="54" w:name="_Toc357434714"/>
      <w:bookmarkStart w:id="55" w:name="_Toc357434977"/>
      <w:bookmarkStart w:id="56" w:name="_Toc360175793"/>
      <w:bookmarkStart w:id="57" w:name="_Toc360176858"/>
      <w:bookmarkStart w:id="58" w:name="_Toc360177566"/>
      <w:bookmarkStart w:id="59" w:name="_Toc390333875"/>
      <w:r>
        <w:lastRenderedPageBreak/>
        <w:t xml:space="preserve">VICEPRESIDENCIA </w:t>
      </w:r>
      <w:r w:rsidR="008D7A06">
        <w:t>JURÍDICA</w:t>
      </w:r>
      <w:bookmarkEnd w:id="54"/>
      <w:bookmarkEnd w:id="55"/>
      <w:bookmarkEnd w:id="56"/>
      <w:bookmarkEnd w:id="57"/>
      <w:bookmarkEnd w:id="58"/>
      <w:bookmarkEnd w:id="59"/>
    </w:p>
    <w:p w14:paraId="0689B3A9" w14:textId="77777777" w:rsidR="00E2180B" w:rsidRDefault="00E2180B" w:rsidP="00E2180B"/>
    <w:p w14:paraId="6BBE06C0" w14:textId="1537D5A4" w:rsidR="00E2180B" w:rsidRPr="00E2180B" w:rsidRDefault="00E2180B" w:rsidP="00E2180B">
      <w:r>
        <w:t>Para el periodo de rendición esta Vicepresidencia no presentó informe de avance de actividades.</w:t>
      </w:r>
    </w:p>
    <w:p w14:paraId="7C312F38" w14:textId="1AB0C79A" w:rsidR="00BD5393" w:rsidRDefault="00BD5393" w:rsidP="0086211C">
      <w:pPr>
        <w:pStyle w:val="Ttulo1"/>
        <w:numPr>
          <w:ilvl w:val="1"/>
          <w:numId w:val="31"/>
        </w:numPr>
      </w:pPr>
      <w:bookmarkStart w:id="60" w:name="_Toc390333876"/>
      <w:bookmarkStart w:id="61" w:name="_Toc357434719"/>
      <w:bookmarkStart w:id="62" w:name="_Toc357434978"/>
      <w:r>
        <w:t>VICEPRESIDENCIA DE GESTIÓN CONTRACTUAL</w:t>
      </w:r>
      <w:r w:rsidR="00D80930">
        <w:t xml:space="preserve"> y EJECUTIVA</w:t>
      </w:r>
      <w:bookmarkEnd w:id="60"/>
    </w:p>
    <w:bookmarkEnd w:id="61"/>
    <w:bookmarkEnd w:id="62"/>
    <w:p w14:paraId="05ED62D5" w14:textId="50526687" w:rsidR="007567EE" w:rsidRPr="00180844" w:rsidRDefault="007567EE" w:rsidP="0086211C"/>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05612C" w:rsidRPr="0005612C" w14:paraId="62A47109" w14:textId="77777777" w:rsidTr="00BF44B4">
        <w:trPr>
          <w:trHeight w:val="480"/>
          <w:jc w:val="center"/>
        </w:trPr>
        <w:tc>
          <w:tcPr>
            <w:tcW w:w="484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7EF53B66" w14:textId="77777777"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ACTIVIDAD</w:t>
            </w:r>
          </w:p>
        </w:tc>
        <w:tc>
          <w:tcPr>
            <w:tcW w:w="1612" w:type="dxa"/>
            <w:tcBorders>
              <w:top w:val="single" w:sz="4" w:space="0" w:color="auto"/>
              <w:left w:val="nil"/>
              <w:bottom w:val="single" w:sz="4" w:space="0" w:color="auto"/>
              <w:right w:val="single" w:sz="4" w:space="0" w:color="auto"/>
            </w:tcBorders>
            <w:shd w:val="clear" w:color="000000" w:fill="A5A5A5"/>
            <w:vAlign w:val="center"/>
            <w:hideMark/>
          </w:tcPr>
          <w:p w14:paraId="20F4B6D6" w14:textId="77777777"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UNIDAD DE MEDIDA</w:t>
            </w:r>
          </w:p>
        </w:tc>
        <w:tc>
          <w:tcPr>
            <w:tcW w:w="1230" w:type="dxa"/>
            <w:tcBorders>
              <w:top w:val="single" w:sz="4" w:space="0" w:color="auto"/>
              <w:left w:val="nil"/>
              <w:bottom w:val="single" w:sz="4" w:space="0" w:color="auto"/>
              <w:right w:val="single" w:sz="4" w:space="0" w:color="auto"/>
            </w:tcBorders>
            <w:shd w:val="clear" w:color="000000" w:fill="A5A5A5"/>
            <w:noWrap/>
            <w:vAlign w:val="center"/>
            <w:hideMark/>
          </w:tcPr>
          <w:p w14:paraId="6716F01B" w14:textId="77777777"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META AÑO</w:t>
            </w:r>
          </w:p>
        </w:tc>
        <w:tc>
          <w:tcPr>
            <w:tcW w:w="1139"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760616C5" w14:textId="414F842D" w:rsidR="0005612C" w:rsidRPr="0005612C" w:rsidRDefault="0005612C" w:rsidP="003C604E">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05612C">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B247A8">
              <w:rPr>
                <w:rFonts w:ascii="Calibri" w:eastAsia="Times New Roman" w:hAnsi="Calibri" w:cs="Calibri"/>
                <w:b/>
                <w:bCs/>
                <w:color w:val="000000"/>
                <w:sz w:val="20"/>
                <w:szCs w:val="20"/>
              </w:rPr>
              <w:t xml:space="preserve"> </w:t>
            </w:r>
            <w:r w:rsidR="003C604E">
              <w:rPr>
                <w:rFonts w:ascii="Calibri" w:eastAsia="Times New Roman" w:hAnsi="Calibri" w:cs="Calibri"/>
                <w:b/>
                <w:bCs/>
                <w:color w:val="000000"/>
                <w:sz w:val="20"/>
                <w:szCs w:val="20"/>
              </w:rPr>
              <w:t>1</w:t>
            </w:r>
          </w:p>
        </w:tc>
      </w:tr>
      <w:tr w:rsidR="0005612C" w:rsidRPr="0005612C" w14:paraId="68181F24" w14:textId="77777777" w:rsidTr="00BF44B4">
        <w:trPr>
          <w:trHeight w:val="240"/>
          <w:jc w:val="center"/>
        </w:trPr>
        <w:tc>
          <w:tcPr>
            <w:tcW w:w="4847" w:type="dxa"/>
            <w:tcBorders>
              <w:top w:val="nil"/>
              <w:left w:val="nil"/>
              <w:bottom w:val="nil"/>
              <w:right w:val="nil"/>
            </w:tcBorders>
            <w:shd w:val="clear" w:color="auto" w:fill="auto"/>
            <w:noWrap/>
            <w:vAlign w:val="center"/>
            <w:hideMark/>
          </w:tcPr>
          <w:p w14:paraId="59914EA5" w14:textId="77777777" w:rsidR="0005612C" w:rsidRPr="0005612C" w:rsidRDefault="0005612C" w:rsidP="0005612C">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CARRETERO</w:t>
            </w:r>
          </w:p>
        </w:tc>
        <w:tc>
          <w:tcPr>
            <w:tcW w:w="1612" w:type="dxa"/>
            <w:tcBorders>
              <w:top w:val="nil"/>
              <w:left w:val="nil"/>
              <w:bottom w:val="nil"/>
              <w:right w:val="nil"/>
            </w:tcBorders>
            <w:shd w:val="clear" w:color="auto" w:fill="auto"/>
            <w:noWrap/>
            <w:vAlign w:val="center"/>
            <w:hideMark/>
          </w:tcPr>
          <w:p w14:paraId="3682EAC1" w14:textId="77777777" w:rsidR="0005612C" w:rsidRPr="0005612C" w:rsidRDefault="0005612C" w:rsidP="0005612C">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5774CDA5" w14:textId="77777777" w:rsidR="0005612C" w:rsidRPr="0005612C" w:rsidRDefault="0005612C" w:rsidP="0005612C">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3702237C" w14:textId="77777777" w:rsidR="0005612C" w:rsidRPr="0005612C" w:rsidRDefault="0005612C" w:rsidP="0005612C">
            <w:pPr>
              <w:spacing w:after="0" w:line="240" w:lineRule="auto"/>
              <w:rPr>
                <w:rFonts w:ascii="Calibri" w:eastAsia="Times New Roman" w:hAnsi="Calibri" w:cs="Calibri"/>
                <w:color w:val="000000"/>
                <w:sz w:val="20"/>
                <w:szCs w:val="20"/>
              </w:rPr>
            </w:pPr>
          </w:p>
        </w:tc>
      </w:tr>
      <w:tr w:rsidR="0005612C" w:rsidRPr="0005612C" w14:paraId="689802F0" w14:textId="77777777" w:rsidTr="00BF44B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F92C8" w14:textId="1F777A00" w:rsidR="0005612C" w:rsidRPr="0005612C" w:rsidRDefault="00384CF4" w:rsidP="0005612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Construcció</w:t>
            </w:r>
            <w:r w:rsidRPr="00384CF4">
              <w:rPr>
                <w:rFonts w:ascii="Calibri" w:eastAsia="Times New Roman" w:hAnsi="Calibri" w:cs="Calibri"/>
                <w:color w:val="000000"/>
                <w:sz w:val="20"/>
                <w:szCs w:val="20"/>
              </w:rPr>
              <w:t>n de nueva calzada que aportan a las Dobles Calzadas</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14:paraId="535EA8F2" w14:textId="77777777" w:rsidR="0005612C" w:rsidRPr="0005612C" w:rsidRDefault="0005612C" w:rsidP="0005612C">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Km</w:t>
            </w:r>
          </w:p>
        </w:tc>
        <w:tc>
          <w:tcPr>
            <w:tcW w:w="1230" w:type="dxa"/>
            <w:tcBorders>
              <w:top w:val="single" w:sz="4" w:space="0" w:color="auto"/>
              <w:left w:val="nil"/>
              <w:bottom w:val="single" w:sz="4" w:space="0" w:color="auto"/>
              <w:right w:val="single" w:sz="4" w:space="0" w:color="auto"/>
            </w:tcBorders>
            <w:shd w:val="clear" w:color="auto" w:fill="auto"/>
            <w:noWrap/>
            <w:vAlign w:val="center"/>
          </w:tcPr>
          <w:p w14:paraId="71841EC9" w14:textId="45901B0E" w:rsidR="0005612C" w:rsidRPr="0005612C" w:rsidRDefault="00384CF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300.62</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749DE646" w14:textId="446AC5BF" w:rsidR="0005612C" w:rsidRPr="0005612C" w:rsidRDefault="00384CF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25.68</w:t>
            </w:r>
          </w:p>
        </w:tc>
      </w:tr>
      <w:tr w:rsidR="0005612C" w:rsidRPr="0005612C" w14:paraId="1D103835"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2AB5A69A" w14:textId="2DADE402" w:rsidR="0005612C" w:rsidRPr="0005612C" w:rsidRDefault="00384CF4" w:rsidP="0005612C">
            <w:pPr>
              <w:spacing w:after="0" w:line="240" w:lineRule="auto"/>
              <w:rPr>
                <w:rFonts w:ascii="Calibri" w:eastAsia="Times New Roman" w:hAnsi="Calibri" w:cs="Calibri"/>
                <w:color w:val="000000"/>
                <w:sz w:val="20"/>
                <w:szCs w:val="20"/>
              </w:rPr>
            </w:pPr>
            <w:r w:rsidRPr="00384CF4">
              <w:rPr>
                <w:rFonts w:ascii="Calibri" w:eastAsia="Times New Roman" w:hAnsi="Calibri" w:cs="Calibri"/>
                <w:color w:val="000000"/>
                <w:sz w:val="20"/>
                <w:szCs w:val="20"/>
              </w:rPr>
              <w:t>Construcción calzada sencilla</w:t>
            </w:r>
          </w:p>
        </w:tc>
        <w:tc>
          <w:tcPr>
            <w:tcW w:w="1612" w:type="dxa"/>
            <w:tcBorders>
              <w:top w:val="nil"/>
              <w:left w:val="nil"/>
              <w:bottom w:val="single" w:sz="4" w:space="0" w:color="auto"/>
              <w:right w:val="single" w:sz="4" w:space="0" w:color="auto"/>
            </w:tcBorders>
            <w:shd w:val="clear" w:color="auto" w:fill="auto"/>
            <w:noWrap/>
            <w:vAlign w:val="center"/>
            <w:hideMark/>
          </w:tcPr>
          <w:p w14:paraId="15C52DA0" w14:textId="77777777" w:rsidR="0005612C" w:rsidRPr="0005612C" w:rsidRDefault="0005612C" w:rsidP="0005612C">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14:paraId="48741822" w14:textId="3913D045" w:rsidR="0005612C" w:rsidRPr="0005612C" w:rsidRDefault="00384CF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122.60</w:t>
            </w:r>
          </w:p>
        </w:tc>
        <w:tc>
          <w:tcPr>
            <w:tcW w:w="1139" w:type="dxa"/>
            <w:tcBorders>
              <w:top w:val="nil"/>
              <w:left w:val="nil"/>
              <w:bottom w:val="single" w:sz="4" w:space="0" w:color="auto"/>
              <w:right w:val="single" w:sz="4" w:space="0" w:color="auto"/>
            </w:tcBorders>
            <w:shd w:val="clear" w:color="auto" w:fill="auto"/>
            <w:noWrap/>
            <w:vAlign w:val="center"/>
          </w:tcPr>
          <w:p w14:paraId="28CEB55B" w14:textId="4829ABED" w:rsidR="0005612C" w:rsidRPr="0005612C" w:rsidRDefault="00384CF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2.95</w:t>
            </w:r>
          </w:p>
        </w:tc>
      </w:tr>
      <w:tr w:rsidR="0005612C" w:rsidRPr="0005612C" w14:paraId="2CD24E0C"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1248FC0F" w14:textId="45377663" w:rsidR="0005612C" w:rsidRPr="0005612C" w:rsidRDefault="00BF44B4" w:rsidP="0005612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Mejoramiento</w:t>
            </w:r>
          </w:p>
        </w:tc>
        <w:tc>
          <w:tcPr>
            <w:tcW w:w="1612" w:type="dxa"/>
            <w:tcBorders>
              <w:top w:val="nil"/>
              <w:left w:val="nil"/>
              <w:bottom w:val="single" w:sz="4" w:space="0" w:color="auto"/>
              <w:right w:val="single" w:sz="4" w:space="0" w:color="auto"/>
            </w:tcBorders>
            <w:shd w:val="clear" w:color="auto" w:fill="auto"/>
            <w:noWrap/>
            <w:vAlign w:val="center"/>
            <w:hideMark/>
          </w:tcPr>
          <w:p w14:paraId="14FA84C6" w14:textId="7F7173EA" w:rsidR="0005612C" w:rsidRPr="0005612C" w:rsidRDefault="00BF44B4" w:rsidP="0005612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14:paraId="69C451AE" w14:textId="68CD7B3A" w:rsidR="0005612C" w:rsidRPr="0005612C" w:rsidRDefault="00BF44B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374.82</w:t>
            </w:r>
          </w:p>
        </w:tc>
        <w:tc>
          <w:tcPr>
            <w:tcW w:w="1139" w:type="dxa"/>
            <w:tcBorders>
              <w:top w:val="nil"/>
              <w:left w:val="nil"/>
              <w:bottom w:val="single" w:sz="4" w:space="0" w:color="auto"/>
              <w:right w:val="single" w:sz="4" w:space="0" w:color="auto"/>
            </w:tcBorders>
            <w:shd w:val="clear" w:color="auto" w:fill="auto"/>
            <w:noWrap/>
            <w:vAlign w:val="center"/>
          </w:tcPr>
          <w:p w14:paraId="2B7E716E" w14:textId="66F9AD6F" w:rsidR="0005612C" w:rsidRPr="0005612C" w:rsidRDefault="00BF44B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74.12</w:t>
            </w:r>
          </w:p>
        </w:tc>
      </w:tr>
      <w:tr w:rsidR="00BF44B4" w:rsidRPr="0005612C" w14:paraId="3A5F93B5"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1B08E7F8" w14:textId="64B5CFAC"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Puentes peatonales</w:t>
            </w:r>
          </w:p>
        </w:tc>
        <w:tc>
          <w:tcPr>
            <w:tcW w:w="1612" w:type="dxa"/>
            <w:tcBorders>
              <w:top w:val="nil"/>
              <w:left w:val="nil"/>
              <w:bottom w:val="single" w:sz="4" w:space="0" w:color="auto"/>
              <w:right w:val="single" w:sz="4" w:space="0" w:color="auto"/>
            </w:tcBorders>
            <w:shd w:val="clear" w:color="auto" w:fill="auto"/>
            <w:noWrap/>
            <w:vAlign w:val="center"/>
            <w:hideMark/>
          </w:tcPr>
          <w:p w14:paraId="3FB7E51E" w14:textId="72EF57C0"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Un</w:t>
            </w:r>
          </w:p>
        </w:tc>
        <w:tc>
          <w:tcPr>
            <w:tcW w:w="1230" w:type="dxa"/>
            <w:tcBorders>
              <w:top w:val="nil"/>
              <w:left w:val="nil"/>
              <w:bottom w:val="single" w:sz="4" w:space="0" w:color="auto"/>
              <w:right w:val="single" w:sz="4" w:space="0" w:color="auto"/>
            </w:tcBorders>
            <w:shd w:val="clear" w:color="auto" w:fill="auto"/>
            <w:noWrap/>
            <w:vAlign w:val="center"/>
          </w:tcPr>
          <w:p w14:paraId="0CDD8971" w14:textId="6306599C"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w:t>
            </w:r>
          </w:p>
        </w:tc>
        <w:tc>
          <w:tcPr>
            <w:tcW w:w="1139" w:type="dxa"/>
            <w:tcBorders>
              <w:top w:val="nil"/>
              <w:left w:val="nil"/>
              <w:bottom w:val="single" w:sz="4" w:space="0" w:color="auto"/>
              <w:right w:val="single" w:sz="4" w:space="0" w:color="auto"/>
            </w:tcBorders>
            <w:shd w:val="clear" w:color="auto" w:fill="auto"/>
            <w:noWrap/>
            <w:vAlign w:val="center"/>
          </w:tcPr>
          <w:p w14:paraId="29EE69DA" w14:textId="05A88F11"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2B28630E"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7FB2537A" w14:textId="77777777"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Puentes vehiculares</w:t>
            </w:r>
          </w:p>
        </w:tc>
        <w:tc>
          <w:tcPr>
            <w:tcW w:w="1612" w:type="dxa"/>
            <w:tcBorders>
              <w:top w:val="nil"/>
              <w:left w:val="nil"/>
              <w:bottom w:val="single" w:sz="4" w:space="0" w:color="auto"/>
              <w:right w:val="single" w:sz="4" w:space="0" w:color="auto"/>
            </w:tcBorders>
            <w:shd w:val="clear" w:color="auto" w:fill="auto"/>
            <w:noWrap/>
            <w:vAlign w:val="center"/>
            <w:hideMark/>
          </w:tcPr>
          <w:p w14:paraId="77396F85" w14:textId="77777777"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14:paraId="7178396C" w14:textId="137F728A"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w:t>
            </w:r>
          </w:p>
        </w:tc>
        <w:tc>
          <w:tcPr>
            <w:tcW w:w="1139" w:type="dxa"/>
            <w:tcBorders>
              <w:top w:val="nil"/>
              <w:left w:val="nil"/>
              <w:bottom w:val="single" w:sz="4" w:space="0" w:color="auto"/>
              <w:right w:val="single" w:sz="4" w:space="0" w:color="auto"/>
            </w:tcBorders>
            <w:shd w:val="clear" w:color="auto" w:fill="auto"/>
            <w:noWrap/>
            <w:vAlign w:val="center"/>
          </w:tcPr>
          <w:p w14:paraId="2C3FEB08" w14:textId="1B59CB3D"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2D0F963F"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74E8475A" w14:textId="77777777"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Obras complementarias</w:t>
            </w:r>
          </w:p>
        </w:tc>
        <w:tc>
          <w:tcPr>
            <w:tcW w:w="1612" w:type="dxa"/>
            <w:tcBorders>
              <w:top w:val="nil"/>
              <w:left w:val="nil"/>
              <w:bottom w:val="single" w:sz="4" w:space="0" w:color="auto"/>
              <w:right w:val="single" w:sz="4" w:space="0" w:color="auto"/>
            </w:tcBorders>
            <w:shd w:val="clear" w:color="auto" w:fill="auto"/>
            <w:noWrap/>
            <w:vAlign w:val="center"/>
            <w:hideMark/>
          </w:tcPr>
          <w:p w14:paraId="0E062B81" w14:textId="77777777"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Un</w:t>
            </w:r>
          </w:p>
        </w:tc>
        <w:tc>
          <w:tcPr>
            <w:tcW w:w="1230" w:type="dxa"/>
            <w:tcBorders>
              <w:top w:val="nil"/>
              <w:left w:val="nil"/>
              <w:bottom w:val="single" w:sz="4" w:space="0" w:color="auto"/>
              <w:right w:val="single" w:sz="4" w:space="0" w:color="auto"/>
            </w:tcBorders>
            <w:shd w:val="clear" w:color="auto" w:fill="auto"/>
            <w:noWrap/>
            <w:vAlign w:val="center"/>
          </w:tcPr>
          <w:p w14:paraId="1DBFA53E" w14:textId="7A81AE01"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p>
        </w:tc>
        <w:tc>
          <w:tcPr>
            <w:tcW w:w="1139" w:type="dxa"/>
            <w:tcBorders>
              <w:top w:val="nil"/>
              <w:left w:val="nil"/>
              <w:bottom w:val="single" w:sz="4" w:space="0" w:color="auto"/>
              <w:right w:val="single" w:sz="4" w:space="0" w:color="auto"/>
            </w:tcBorders>
            <w:shd w:val="clear" w:color="auto" w:fill="auto"/>
            <w:noWrap/>
            <w:vAlign w:val="center"/>
          </w:tcPr>
          <w:p w14:paraId="5C3309E6" w14:textId="5BFD44A9"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1.63</w:t>
            </w:r>
          </w:p>
        </w:tc>
      </w:tr>
      <w:tr w:rsidR="00BF44B4" w:rsidRPr="0005612C" w14:paraId="5415D6B2"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4A03B29F" w14:textId="1B05C417" w:rsidR="00BF44B4" w:rsidRPr="0005612C" w:rsidRDefault="00BF44B4" w:rsidP="00BF44B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Licencias ambientales</w:t>
            </w:r>
          </w:p>
        </w:tc>
        <w:tc>
          <w:tcPr>
            <w:tcW w:w="1612" w:type="dxa"/>
            <w:tcBorders>
              <w:top w:val="nil"/>
              <w:left w:val="nil"/>
              <w:bottom w:val="single" w:sz="4" w:space="0" w:color="auto"/>
              <w:right w:val="single" w:sz="4" w:space="0" w:color="auto"/>
            </w:tcBorders>
            <w:shd w:val="clear" w:color="auto" w:fill="auto"/>
            <w:noWrap/>
            <w:vAlign w:val="center"/>
            <w:hideMark/>
          </w:tcPr>
          <w:p w14:paraId="0AE85F66" w14:textId="5F3B3343"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Un</w:t>
            </w:r>
          </w:p>
        </w:tc>
        <w:tc>
          <w:tcPr>
            <w:tcW w:w="1230" w:type="dxa"/>
            <w:tcBorders>
              <w:top w:val="nil"/>
              <w:left w:val="nil"/>
              <w:bottom w:val="single" w:sz="4" w:space="0" w:color="auto"/>
              <w:right w:val="single" w:sz="4" w:space="0" w:color="auto"/>
            </w:tcBorders>
            <w:shd w:val="clear" w:color="auto" w:fill="auto"/>
            <w:noWrap/>
            <w:vAlign w:val="center"/>
          </w:tcPr>
          <w:p w14:paraId="0FA0732C" w14:textId="08E1D3D3"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w:t>
            </w:r>
          </w:p>
        </w:tc>
        <w:tc>
          <w:tcPr>
            <w:tcW w:w="1139" w:type="dxa"/>
            <w:tcBorders>
              <w:top w:val="nil"/>
              <w:left w:val="nil"/>
              <w:bottom w:val="single" w:sz="4" w:space="0" w:color="auto"/>
              <w:right w:val="single" w:sz="4" w:space="0" w:color="auto"/>
            </w:tcBorders>
            <w:shd w:val="clear" w:color="auto" w:fill="auto"/>
            <w:noWrap/>
            <w:vAlign w:val="center"/>
          </w:tcPr>
          <w:p w14:paraId="196F0B6B" w14:textId="5A87FC6C"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BF44B4" w:rsidRPr="0005612C" w14:paraId="545B2740" w14:textId="77777777" w:rsidTr="00BF44B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A47CC" w14:textId="2F335471"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Informes de seguimiento</w:t>
            </w:r>
          </w:p>
        </w:tc>
        <w:tc>
          <w:tcPr>
            <w:tcW w:w="1612" w:type="dxa"/>
            <w:tcBorders>
              <w:top w:val="nil"/>
              <w:left w:val="nil"/>
              <w:bottom w:val="single" w:sz="4" w:space="0" w:color="auto"/>
              <w:right w:val="single" w:sz="4" w:space="0" w:color="auto"/>
            </w:tcBorders>
            <w:shd w:val="clear" w:color="auto" w:fill="auto"/>
            <w:noWrap/>
            <w:vAlign w:val="center"/>
            <w:hideMark/>
          </w:tcPr>
          <w:p w14:paraId="250154D9" w14:textId="77777777"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tcPr>
          <w:p w14:paraId="3F20C659" w14:textId="2DEBB2F9"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288</w:t>
            </w:r>
          </w:p>
        </w:tc>
        <w:tc>
          <w:tcPr>
            <w:tcW w:w="1139" w:type="dxa"/>
            <w:tcBorders>
              <w:top w:val="nil"/>
              <w:left w:val="nil"/>
              <w:bottom w:val="single" w:sz="4" w:space="0" w:color="auto"/>
              <w:right w:val="single" w:sz="4" w:space="0" w:color="auto"/>
            </w:tcBorders>
            <w:shd w:val="clear" w:color="auto" w:fill="auto"/>
            <w:noWrap/>
            <w:vAlign w:val="center"/>
          </w:tcPr>
          <w:p w14:paraId="6766230A" w14:textId="463DB7F9"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59</w:t>
            </w:r>
          </w:p>
        </w:tc>
      </w:tr>
      <w:tr w:rsidR="00BF44B4" w:rsidRPr="0005612C" w14:paraId="3A708495" w14:textId="77777777" w:rsidTr="00BF44B4">
        <w:trPr>
          <w:trHeight w:val="255"/>
          <w:jc w:val="center"/>
        </w:trPr>
        <w:tc>
          <w:tcPr>
            <w:tcW w:w="4847" w:type="dxa"/>
            <w:tcBorders>
              <w:top w:val="nil"/>
              <w:left w:val="nil"/>
              <w:bottom w:val="nil"/>
              <w:right w:val="nil"/>
            </w:tcBorders>
            <w:shd w:val="clear" w:color="auto" w:fill="auto"/>
            <w:noWrap/>
            <w:vAlign w:val="center"/>
            <w:hideMark/>
          </w:tcPr>
          <w:p w14:paraId="47FD9C50"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14:paraId="67628FA3" w14:textId="77777777" w:rsidR="00BF44B4" w:rsidRPr="0005612C" w:rsidRDefault="00BF44B4" w:rsidP="00BF44B4">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4B2D539B" w14:textId="77777777" w:rsidR="00BF44B4" w:rsidRPr="0005612C" w:rsidRDefault="00BF44B4" w:rsidP="00BF44B4">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24ED30A9" w14:textId="77777777" w:rsidR="00BF44B4" w:rsidRPr="0005612C" w:rsidRDefault="00BF44B4" w:rsidP="00BF44B4">
            <w:pPr>
              <w:spacing w:after="0" w:line="240" w:lineRule="auto"/>
              <w:jc w:val="right"/>
              <w:rPr>
                <w:rFonts w:ascii="Calibri" w:eastAsia="Times New Roman" w:hAnsi="Calibri" w:cs="Calibri"/>
                <w:color w:val="000000"/>
                <w:sz w:val="20"/>
                <w:szCs w:val="20"/>
              </w:rPr>
            </w:pPr>
          </w:p>
        </w:tc>
      </w:tr>
      <w:tr w:rsidR="00BF44B4" w:rsidRPr="0005612C" w14:paraId="3A719955" w14:textId="77777777" w:rsidTr="00BF44B4">
        <w:trPr>
          <w:trHeight w:val="255"/>
          <w:jc w:val="center"/>
        </w:trPr>
        <w:tc>
          <w:tcPr>
            <w:tcW w:w="4847" w:type="dxa"/>
            <w:tcBorders>
              <w:top w:val="nil"/>
              <w:left w:val="nil"/>
              <w:bottom w:val="nil"/>
              <w:right w:val="nil"/>
            </w:tcBorders>
            <w:shd w:val="clear" w:color="auto" w:fill="auto"/>
            <w:noWrap/>
            <w:vAlign w:val="center"/>
            <w:hideMark/>
          </w:tcPr>
          <w:p w14:paraId="099B2305" w14:textId="77777777" w:rsidR="00BF44B4" w:rsidRPr="0005612C" w:rsidRDefault="00BF44B4" w:rsidP="00BF44B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FÉRREO</w:t>
            </w:r>
          </w:p>
        </w:tc>
        <w:tc>
          <w:tcPr>
            <w:tcW w:w="1612" w:type="dxa"/>
            <w:tcBorders>
              <w:top w:val="nil"/>
              <w:left w:val="nil"/>
              <w:bottom w:val="nil"/>
              <w:right w:val="nil"/>
            </w:tcBorders>
            <w:shd w:val="clear" w:color="auto" w:fill="auto"/>
            <w:noWrap/>
            <w:vAlign w:val="center"/>
            <w:hideMark/>
          </w:tcPr>
          <w:p w14:paraId="1F9B36F5"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20981B10"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06530849" w14:textId="77777777" w:rsidR="00BF44B4" w:rsidRPr="0005612C" w:rsidRDefault="00BF44B4" w:rsidP="00BF44B4">
            <w:pPr>
              <w:spacing w:after="0" w:line="240" w:lineRule="auto"/>
              <w:rPr>
                <w:rFonts w:ascii="Calibri" w:eastAsia="Times New Roman" w:hAnsi="Calibri" w:cs="Calibri"/>
                <w:color w:val="000000"/>
                <w:sz w:val="20"/>
                <w:szCs w:val="20"/>
              </w:rPr>
            </w:pPr>
          </w:p>
        </w:tc>
      </w:tr>
      <w:tr w:rsidR="00BF44B4" w:rsidRPr="0005612C" w14:paraId="18B6596E" w14:textId="77777777" w:rsidTr="00BF44B4">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314304A" w14:textId="77777777"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Revisión Informe Mensual interventoria de Pacifico</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14:paraId="288D5BA1"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 xml:space="preserve"> Informe mensual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5200F3AC"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12</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0990F291" w14:textId="36F95E43" w:rsidR="00BF44B4" w:rsidRPr="0005612C" w:rsidRDefault="00897E51"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4734A685" w14:textId="77777777"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14:paraId="26917FA5" w14:textId="77777777"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Revisión Informe Mensual interventoria  de Atlántico</w:t>
            </w:r>
          </w:p>
        </w:tc>
        <w:tc>
          <w:tcPr>
            <w:tcW w:w="1612" w:type="dxa"/>
            <w:tcBorders>
              <w:top w:val="nil"/>
              <w:left w:val="nil"/>
              <w:bottom w:val="single" w:sz="4" w:space="0" w:color="auto"/>
              <w:right w:val="single" w:sz="4" w:space="0" w:color="auto"/>
            </w:tcBorders>
            <w:shd w:val="clear" w:color="auto" w:fill="auto"/>
            <w:vAlign w:val="center"/>
            <w:hideMark/>
          </w:tcPr>
          <w:p w14:paraId="36DA96A3"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 xml:space="preserve"> Informe mensual </w:t>
            </w:r>
          </w:p>
        </w:tc>
        <w:tc>
          <w:tcPr>
            <w:tcW w:w="1230" w:type="dxa"/>
            <w:tcBorders>
              <w:top w:val="nil"/>
              <w:left w:val="nil"/>
              <w:bottom w:val="single" w:sz="4" w:space="0" w:color="auto"/>
              <w:right w:val="single" w:sz="4" w:space="0" w:color="auto"/>
            </w:tcBorders>
            <w:shd w:val="clear" w:color="auto" w:fill="auto"/>
            <w:vAlign w:val="center"/>
            <w:hideMark/>
          </w:tcPr>
          <w:p w14:paraId="7AD1BFCE"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12</w:t>
            </w:r>
          </w:p>
        </w:tc>
        <w:tc>
          <w:tcPr>
            <w:tcW w:w="1139" w:type="dxa"/>
            <w:tcBorders>
              <w:top w:val="nil"/>
              <w:left w:val="nil"/>
              <w:bottom w:val="single" w:sz="4" w:space="0" w:color="auto"/>
              <w:right w:val="single" w:sz="4" w:space="0" w:color="auto"/>
            </w:tcBorders>
            <w:shd w:val="clear" w:color="auto" w:fill="auto"/>
            <w:noWrap/>
            <w:vAlign w:val="center"/>
          </w:tcPr>
          <w:p w14:paraId="5BB844CF" w14:textId="17A20948" w:rsidR="00BF44B4" w:rsidRPr="0005612C" w:rsidRDefault="00897E51"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4A1E2C46" w14:textId="77777777"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14:paraId="34B2AC88" w14:textId="48A19C11" w:rsidR="00BF44B4" w:rsidRPr="0005612C" w:rsidRDefault="00897E51" w:rsidP="00BF44B4">
            <w:pPr>
              <w:spacing w:after="0" w:line="240" w:lineRule="auto"/>
              <w:ind w:firstLineChars="100" w:firstLine="200"/>
              <w:rPr>
                <w:rFonts w:ascii="Calibri" w:eastAsia="Times New Roman" w:hAnsi="Calibri" w:cs="Calibri"/>
                <w:sz w:val="20"/>
                <w:szCs w:val="20"/>
              </w:rPr>
            </w:pPr>
            <w:r w:rsidRPr="00897E51">
              <w:rPr>
                <w:rFonts w:ascii="Calibri" w:eastAsia="Times New Roman" w:hAnsi="Calibri" w:cs="Calibri"/>
                <w:sz w:val="20"/>
                <w:szCs w:val="20"/>
              </w:rPr>
              <w:t>Formulación Planes de Reasentamiento</w:t>
            </w:r>
          </w:p>
        </w:tc>
        <w:tc>
          <w:tcPr>
            <w:tcW w:w="1612" w:type="dxa"/>
            <w:tcBorders>
              <w:top w:val="nil"/>
              <w:left w:val="nil"/>
              <w:bottom w:val="single" w:sz="4" w:space="0" w:color="auto"/>
              <w:right w:val="single" w:sz="4" w:space="0" w:color="auto"/>
            </w:tcBorders>
            <w:shd w:val="clear" w:color="auto" w:fill="auto"/>
            <w:vAlign w:val="center"/>
            <w:hideMark/>
          </w:tcPr>
          <w:p w14:paraId="4591B2F9" w14:textId="725206B6"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Plan</w:t>
            </w:r>
          </w:p>
        </w:tc>
        <w:tc>
          <w:tcPr>
            <w:tcW w:w="1230" w:type="dxa"/>
            <w:tcBorders>
              <w:top w:val="nil"/>
              <w:left w:val="nil"/>
              <w:bottom w:val="single" w:sz="4" w:space="0" w:color="auto"/>
              <w:right w:val="single" w:sz="4" w:space="0" w:color="auto"/>
            </w:tcBorders>
            <w:shd w:val="clear" w:color="auto" w:fill="auto"/>
            <w:vAlign w:val="center"/>
            <w:hideMark/>
          </w:tcPr>
          <w:p w14:paraId="018BE4EF" w14:textId="3BA8D9EB"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139" w:type="dxa"/>
            <w:tcBorders>
              <w:top w:val="nil"/>
              <w:left w:val="nil"/>
              <w:bottom w:val="single" w:sz="4" w:space="0" w:color="auto"/>
              <w:right w:val="single" w:sz="4" w:space="0" w:color="auto"/>
            </w:tcBorders>
            <w:shd w:val="clear" w:color="auto" w:fill="auto"/>
            <w:noWrap/>
            <w:vAlign w:val="center"/>
          </w:tcPr>
          <w:p w14:paraId="6EDA5C91" w14:textId="57BCE96E" w:rsidR="00BF44B4" w:rsidRPr="0005612C" w:rsidRDefault="00897E51"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625FC6E8" w14:textId="77777777"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14:paraId="1CF13710" w14:textId="77777777"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Tramo Norte Red Férrea Atlántico</w:t>
            </w:r>
          </w:p>
        </w:tc>
        <w:tc>
          <w:tcPr>
            <w:tcW w:w="1612" w:type="dxa"/>
            <w:tcBorders>
              <w:top w:val="nil"/>
              <w:left w:val="nil"/>
              <w:bottom w:val="single" w:sz="4" w:space="0" w:color="auto"/>
              <w:right w:val="single" w:sz="4" w:space="0" w:color="auto"/>
            </w:tcBorders>
            <w:shd w:val="clear" w:color="auto" w:fill="auto"/>
            <w:vAlign w:val="center"/>
            <w:hideMark/>
          </w:tcPr>
          <w:p w14:paraId="6CDA108A"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Tn-transportadas</w:t>
            </w:r>
          </w:p>
        </w:tc>
        <w:tc>
          <w:tcPr>
            <w:tcW w:w="1230" w:type="dxa"/>
            <w:tcBorders>
              <w:top w:val="nil"/>
              <w:left w:val="nil"/>
              <w:bottom w:val="single" w:sz="4" w:space="0" w:color="auto"/>
              <w:right w:val="single" w:sz="4" w:space="0" w:color="auto"/>
            </w:tcBorders>
            <w:shd w:val="clear" w:color="auto" w:fill="auto"/>
            <w:vAlign w:val="center"/>
            <w:hideMark/>
          </w:tcPr>
          <w:p w14:paraId="04B97306" w14:textId="0538F493"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44.200.000</w:t>
            </w:r>
          </w:p>
        </w:tc>
        <w:tc>
          <w:tcPr>
            <w:tcW w:w="1139" w:type="dxa"/>
            <w:tcBorders>
              <w:top w:val="nil"/>
              <w:left w:val="nil"/>
              <w:bottom w:val="single" w:sz="4" w:space="0" w:color="auto"/>
              <w:right w:val="single" w:sz="4" w:space="0" w:color="auto"/>
            </w:tcBorders>
            <w:shd w:val="clear" w:color="auto" w:fill="auto"/>
            <w:noWrap/>
            <w:vAlign w:val="center"/>
          </w:tcPr>
          <w:p w14:paraId="597E6E71" w14:textId="750B635F" w:rsidR="00BF44B4" w:rsidRPr="0005612C" w:rsidRDefault="00897E51"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25E51539" w14:textId="77777777"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14:paraId="0F5E94AA" w14:textId="77777777"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Red Férrea Pacifico</w:t>
            </w:r>
          </w:p>
        </w:tc>
        <w:tc>
          <w:tcPr>
            <w:tcW w:w="1612" w:type="dxa"/>
            <w:tcBorders>
              <w:top w:val="nil"/>
              <w:left w:val="nil"/>
              <w:bottom w:val="single" w:sz="4" w:space="0" w:color="auto"/>
              <w:right w:val="single" w:sz="4" w:space="0" w:color="auto"/>
            </w:tcBorders>
            <w:shd w:val="clear" w:color="auto" w:fill="auto"/>
            <w:vAlign w:val="center"/>
            <w:hideMark/>
          </w:tcPr>
          <w:p w14:paraId="3A7A0431"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Tn-transportadas</w:t>
            </w:r>
          </w:p>
        </w:tc>
        <w:tc>
          <w:tcPr>
            <w:tcW w:w="1230" w:type="dxa"/>
            <w:tcBorders>
              <w:top w:val="nil"/>
              <w:left w:val="nil"/>
              <w:bottom w:val="single" w:sz="4" w:space="0" w:color="auto"/>
              <w:right w:val="single" w:sz="4" w:space="0" w:color="auto"/>
            </w:tcBorders>
            <w:shd w:val="clear" w:color="auto" w:fill="auto"/>
            <w:vAlign w:val="center"/>
            <w:hideMark/>
          </w:tcPr>
          <w:p w14:paraId="75FF9BBF" w14:textId="282DFA20"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190.000</w:t>
            </w:r>
          </w:p>
        </w:tc>
        <w:tc>
          <w:tcPr>
            <w:tcW w:w="1139" w:type="dxa"/>
            <w:tcBorders>
              <w:top w:val="nil"/>
              <w:left w:val="nil"/>
              <w:bottom w:val="single" w:sz="4" w:space="0" w:color="auto"/>
              <w:right w:val="single" w:sz="4" w:space="0" w:color="auto"/>
            </w:tcBorders>
            <w:shd w:val="clear" w:color="auto" w:fill="auto"/>
            <w:noWrap/>
            <w:vAlign w:val="center"/>
          </w:tcPr>
          <w:p w14:paraId="6A06E752" w14:textId="06E169E8" w:rsidR="00BF44B4" w:rsidRPr="0005612C" w:rsidRDefault="00897E51"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14B7B691" w14:textId="77777777" w:rsidTr="00BF44B4">
        <w:trPr>
          <w:trHeight w:val="255"/>
          <w:jc w:val="center"/>
        </w:trPr>
        <w:tc>
          <w:tcPr>
            <w:tcW w:w="4847" w:type="dxa"/>
            <w:tcBorders>
              <w:top w:val="nil"/>
              <w:left w:val="nil"/>
              <w:bottom w:val="nil"/>
              <w:right w:val="nil"/>
            </w:tcBorders>
            <w:shd w:val="clear" w:color="auto" w:fill="auto"/>
            <w:noWrap/>
            <w:vAlign w:val="center"/>
            <w:hideMark/>
          </w:tcPr>
          <w:p w14:paraId="2FDB5390"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14:paraId="0C2180D9" w14:textId="77777777" w:rsidR="00BF44B4" w:rsidRPr="0005612C" w:rsidRDefault="00BF44B4" w:rsidP="00BF44B4">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7C58CDE2" w14:textId="77777777" w:rsidR="00BF44B4" w:rsidRPr="0005612C" w:rsidRDefault="00BF44B4" w:rsidP="00BF44B4">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75DF5B1F" w14:textId="77777777" w:rsidR="00BF44B4" w:rsidRPr="0005612C" w:rsidRDefault="00BF44B4" w:rsidP="00897E51">
            <w:pPr>
              <w:spacing w:after="0" w:line="240" w:lineRule="auto"/>
              <w:jc w:val="center"/>
              <w:rPr>
                <w:rFonts w:ascii="Calibri" w:eastAsia="Times New Roman" w:hAnsi="Calibri" w:cs="Calibri"/>
                <w:color w:val="000000"/>
                <w:sz w:val="20"/>
                <w:szCs w:val="20"/>
              </w:rPr>
            </w:pPr>
          </w:p>
        </w:tc>
      </w:tr>
      <w:tr w:rsidR="00BF44B4" w:rsidRPr="0005612C" w14:paraId="45A793EC" w14:textId="77777777" w:rsidTr="00BF44B4">
        <w:trPr>
          <w:trHeight w:val="255"/>
          <w:jc w:val="center"/>
        </w:trPr>
        <w:tc>
          <w:tcPr>
            <w:tcW w:w="4847" w:type="dxa"/>
            <w:tcBorders>
              <w:top w:val="nil"/>
              <w:left w:val="nil"/>
              <w:bottom w:val="nil"/>
              <w:right w:val="nil"/>
            </w:tcBorders>
            <w:shd w:val="clear" w:color="auto" w:fill="auto"/>
            <w:noWrap/>
            <w:vAlign w:val="center"/>
            <w:hideMark/>
          </w:tcPr>
          <w:p w14:paraId="66E3875B" w14:textId="77777777" w:rsidR="00BF44B4" w:rsidRPr="0005612C" w:rsidRDefault="00BF44B4" w:rsidP="00BF44B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PORTUARIO</w:t>
            </w:r>
          </w:p>
        </w:tc>
        <w:tc>
          <w:tcPr>
            <w:tcW w:w="1612" w:type="dxa"/>
            <w:tcBorders>
              <w:top w:val="nil"/>
              <w:left w:val="nil"/>
              <w:bottom w:val="nil"/>
              <w:right w:val="nil"/>
            </w:tcBorders>
            <w:shd w:val="clear" w:color="auto" w:fill="auto"/>
            <w:noWrap/>
            <w:vAlign w:val="center"/>
            <w:hideMark/>
          </w:tcPr>
          <w:p w14:paraId="41CC8E1E"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5F74E97E"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232E6363" w14:textId="77777777" w:rsidR="00BF44B4" w:rsidRPr="0005612C" w:rsidRDefault="00BF44B4" w:rsidP="00BF44B4">
            <w:pPr>
              <w:spacing w:after="0" w:line="240" w:lineRule="auto"/>
              <w:rPr>
                <w:rFonts w:ascii="Calibri" w:eastAsia="Times New Roman" w:hAnsi="Calibri" w:cs="Calibri"/>
                <w:color w:val="000000"/>
                <w:sz w:val="20"/>
                <w:szCs w:val="20"/>
              </w:rPr>
            </w:pPr>
          </w:p>
        </w:tc>
      </w:tr>
      <w:tr w:rsidR="00BF44B4" w:rsidRPr="0005612C" w14:paraId="616ACD4A" w14:textId="77777777" w:rsidTr="00BF44B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29F19" w14:textId="3F1F605D" w:rsidR="00BF44B4" w:rsidRPr="0005612C" w:rsidRDefault="00BB675A" w:rsidP="00BF44B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Informes de interventoria</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14:paraId="38FE5E2B" w14:textId="48C7BED2"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116F7A88" w14:textId="6CC517E8"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w:t>
            </w:r>
            <w:r w:rsidR="00BF44B4" w:rsidRPr="0005612C">
              <w:rPr>
                <w:rFonts w:ascii="Calibri" w:eastAsia="Times New Roman" w:hAnsi="Calibri" w:cs="Calibri"/>
                <w:color w:val="000000"/>
                <w:sz w:val="20"/>
                <w:szCs w:val="20"/>
              </w:rPr>
              <w:t xml:space="preserve"> </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7CBC5DE3" w14:textId="60331A9D"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54C25085"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14:paraId="59528B97" w14:textId="65149F32" w:rsidR="00BF44B4" w:rsidRPr="00BB675A" w:rsidRDefault="00BB675A" w:rsidP="00BB675A">
            <w:pPr>
              <w:rPr>
                <w:rFonts w:ascii="Calibri" w:hAnsi="Calibri"/>
                <w:color w:val="000000"/>
                <w:sz w:val="20"/>
                <w:szCs w:val="20"/>
              </w:rPr>
            </w:pPr>
            <w:r>
              <w:rPr>
                <w:rFonts w:ascii="Calibri" w:hAnsi="Calibri"/>
                <w:color w:val="000000"/>
                <w:sz w:val="20"/>
                <w:szCs w:val="20"/>
              </w:rPr>
              <w:t>Realización estudio de capacidad de puertos</w:t>
            </w:r>
          </w:p>
        </w:tc>
        <w:tc>
          <w:tcPr>
            <w:tcW w:w="1612" w:type="dxa"/>
            <w:tcBorders>
              <w:top w:val="nil"/>
              <w:left w:val="nil"/>
              <w:bottom w:val="single" w:sz="4" w:space="0" w:color="auto"/>
              <w:right w:val="single" w:sz="4" w:space="0" w:color="auto"/>
            </w:tcBorders>
            <w:shd w:val="clear" w:color="auto" w:fill="auto"/>
            <w:noWrap/>
            <w:vAlign w:val="center"/>
            <w:hideMark/>
          </w:tcPr>
          <w:p w14:paraId="4EC1F56C" w14:textId="387B46E7" w:rsidR="00BF44B4" w:rsidRPr="0005612C" w:rsidRDefault="00BB675A" w:rsidP="00BB6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Estudio</w:t>
            </w:r>
          </w:p>
        </w:tc>
        <w:tc>
          <w:tcPr>
            <w:tcW w:w="1230" w:type="dxa"/>
            <w:tcBorders>
              <w:top w:val="nil"/>
              <w:left w:val="nil"/>
              <w:bottom w:val="single" w:sz="4" w:space="0" w:color="auto"/>
              <w:right w:val="single" w:sz="4" w:space="0" w:color="auto"/>
            </w:tcBorders>
            <w:shd w:val="clear" w:color="auto" w:fill="auto"/>
            <w:noWrap/>
            <w:vAlign w:val="center"/>
            <w:hideMark/>
          </w:tcPr>
          <w:p w14:paraId="01F11AB6" w14:textId="76EEA3B4"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00BF44B4" w:rsidRPr="0005612C">
              <w:rPr>
                <w:rFonts w:ascii="Calibri" w:eastAsia="Times New Roman" w:hAnsi="Calibri" w:cs="Calibri"/>
                <w:color w:val="000000"/>
                <w:sz w:val="20"/>
                <w:szCs w:val="20"/>
              </w:rPr>
              <w:t xml:space="preserve"> </w:t>
            </w:r>
          </w:p>
        </w:tc>
        <w:tc>
          <w:tcPr>
            <w:tcW w:w="1139" w:type="dxa"/>
            <w:tcBorders>
              <w:top w:val="nil"/>
              <w:left w:val="nil"/>
              <w:bottom w:val="single" w:sz="4" w:space="0" w:color="auto"/>
              <w:right w:val="single" w:sz="4" w:space="0" w:color="auto"/>
            </w:tcBorders>
            <w:shd w:val="clear" w:color="auto" w:fill="auto"/>
            <w:noWrap/>
            <w:vAlign w:val="center"/>
          </w:tcPr>
          <w:p w14:paraId="199A6FDE" w14:textId="3C0B2E0C"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03CC192E"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14:paraId="3D97E9FD" w14:textId="58FC06FA" w:rsidR="00BF44B4" w:rsidRPr="0005612C" w:rsidRDefault="001E0E14" w:rsidP="001E0E1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Visitas de Supervisión</w:t>
            </w:r>
          </w:p>
        </w:tc>
        <w:tc>
          <w:tcPr>
            <w:tcW w:w="1612" w:type="dxa"/>
            <w:tcBorders>
              <w:top w:val="nil"/>
              <w:left w:val="nil"/>
              <w:bottom w:val="single" w:sz="4" w:space="0" w:color="auto"/>
              <w:right w:val="single" w:sz="4" w:space="0" w:color="auto"/>
            </w:tcBorders>
            <w:shd w:val="clear" w:color="auto" w:fill="auto"/>
            <w:noWrap/>
            <w:vAlign w:val="center"/>
            <w:hideMark/>
          </w:tcPr>
          <w:p w14:paraId="07F8696D" w14:textId="2333FCAD" w:rsidR="00BF44B4" w:rsidRPr="0005612C" w:rsidRDefault="001E0E1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14:paraId="5FF13E42" w14:textId="206A4770" w:rsidR="00BF44B4" w:rsidRPr="0005612C" w:rsidRDefault="001E0E1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r w:rsidR="00BF44B4" w:rsidRPr="0005612C">
              <w:rPr>
                <w:rFonts w:ascii="Calibri" w:eastAsia="Times New Roman" w:hAnsi="Calibri" w:cs="Calibri"/>
                <w:color w:val="000000"/>
                <w:sz w:val="20"/>
                <w:szCs w:val="20"/>
              </w:rPr>
              <w:t xml:space="preserve"> </w:t>
            </w:r>
          </w:p>
        </w:tc>
        <w:tc>
          <w:tcPr>
            <w:tcW w:w="1139" w:type="dxa"/>
            <w:tcBorders>
              <w:top w:val="nil"/>
              <w:left w:val="nil"/>
              <w:bottom w:val="single" w:sz="4" w:space="0" w:color="auto"/>
              <w:right w:val="single" w:sz="4" w:space="0" w:color="auto"/>
            </w:tcBorders>
            <w:shd w:val="clear" w:color="auto" w:fill="auto"/>
            <w:noWrap/>
            <w:vAlign w:val="center"/>
          </w:tcPr>
          <w:p w14:paraId="44EE44A4" w14:textId="284347EA" w:rsidR="00BF44B4" w:rsidRPr="0005612C" w:rsidRDefault="001E0E1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bl>
    <w:p w14:paraId="47EEA5C5" w14:textId="77777777" w:rsidR="0005612C" w:rsidRDefault="0005612C" w:rsidP="00CA0AF4">
      <w:pPr>
        <w:jc w:val="both"/>
      </w:pPr>
    </w:p>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1E0E14" w:rsidRPr="0005612C" w14:paraId="7875C8B2" w14:textId="77777777" w:rsidTr="00525BE7">
        <w:trPr>
          <w:trHeight w:val="255"/>
          <w:jc w:val="center"/>
        </w:trPr>
        <w:tc>
          <w:tcPr>
            <w:tcW w:w="4847" w:type="dxa"/>
            <w:tcBorders>
              <w:top w:val="nil"/>
              <w:left w:val="nil"/>
              <w:bottom w:val="nil"/>
              <w:right w:val="nil"/>
            </w:tcBorders>
            <w:shd w:val="clear" w:color="auto" w:fill="auto"/>
            <w:noWrap/>
            <w:vAlign w:val="center"/>
            <w:hideMark/>
          </w:tcPr>
          <w:p w14:paraId="656CB64C" w14:textId="72133E79" w:rsidR="001E0E14" w:rsidRPr="0005612C" w:rsidRDefault="001E0E14" w:rsidP="001E0E1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 xml:space="preserve">GRUPO INTERNO DE TRABAJO </w:t>
            </w:r>
            <w:r>
              <w:rPr>
                <w:rFonts w:ascii="Calibri" w:eastAsia="Times New Roman" w:hAnsi="Calibri" w:cs="Calibri"/>
                <w:b/>
                <w:bCs/>
                <w:color w:val="000000"/>
                <w:sz w:val="20"/>
                <w:szCs w:val="20"/>
              </w:rPr>
              <w:t>AEROPORTUARIO</w:t>
            </w:r>
          </w:p>
        </w:tc>
        <w:tc>
          <w:tcPr>
            <w:tcW w:w="1612" w:type="dxa"/>
            <w:tcBorders>
              <w:top w:val="nil"/>
              <w:left w:val="nil"/>
              <w:bottom w:val="nil"/>
              <w:right w:val="nil"/>
            </w:tcBorders>
            <w:shd w:val="clear" w:color="auto" w:fill="auto"/>
            <w:noWrap/>
            <w:vAlign w:val="center"/>
            <w:hideMark/>
          </w:tcPr>
          <w:p w14:paraId="169A7D65" w14:textId="77777777" w:rsidR="001E0E14" w:rsidRPr="0005612C" w:rsidRDefault="001E0E14" w:rsidP="0054297D">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3FC941DD" w14:textId="77777777" w:rsidR="001E0E14" w:rsidRPr="0005612C" w:rsidRDefault="001E0E14" w:rsidP="0054297D">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26F0A1A4" w14:textId="77777777" w:rsidR="001E0E14" w:rsidRPr="0005612C" w:rsidRDefault="001E0E14" w:rsidP="0054297D">
            <w:pPr>
              <w:spacing w:after="0" w:line="240" w:lineRule="auto"/>
              <w:rPr>
                <w:rFonts w:ascii="Calibri" w:eastAsia="Times New Roman" w:hAnsi="Calibri" w:cs="Calibri"/>
                <w:color w:val="000000"/>
                <w:sz w:val="20"/>
                <w:szCs w:val="20"/>
              </w:rPr>
            </w:pPr>
          </w:p>
        </w:tc>
      </w:tr>
      <w:tr w:rsidR="001E0E14" w:rsidRPr="0005612C" w14:paraId="36A4F22A" w14:textId="77777777" w:rsidTr="00525BE7">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56BD" w14:textId="035E829C" w:rsidR="001E0E14" w:rsidRPr="0005612C" w:rsidRDefault="00525BE7" w:rsidP="0054297D">
            <w:pPr>
              <w:spacing w:after="0" w:line="240" w:lineRule="auto"/>
              <w:rPr>
                <w:rFonts w:ascii="Calibri" w:eastAsia="Times New Roman" w:hAnsi="Calibri" w:cs="Calibri"/>
                <w:color w:val="000000"/>
                <w:sz w:val="20"/>
                <w:szCs w:val="20"/>
              </w:rPr>
            </w:pPr>
            <w:r w:rsidRPr="00525BE7">
              <w:rPr>
                <w:rFonts w:ascii="Calibri" w:eastAsia="Times New Roman" w:hAnsi="Calibri" w:cs="Calibri"/>
                <w:color w:val="000000"/>
                <w:sz w:val="20"/>
                <w:szCs w:val="20"/>
              </w:rPr>
              <w:t>Interventoría Contrato de Concesión - Nororiente</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14:paraId="1D897717" w14:textId="77777777" w:rsidR="001E0E14" w:rsidRPr="0005612C" w:rsidRDefault="001E0E14"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3DAA6C72" w14:textId="3A8AA288" w:rsidR="001E0E14" w:rsidRPr="0005612C" w:rsidRDefault="00525BE7"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r w:rsidR="001E0E14" w:rsidRPr="0005612C">
              <w:rPr>
                <w:rFonts w:ascii="Calibri" w:eastAsia="Times New Roman" w:hAnsi="Calibri" w:cs="Calibri"/>
                <w:color w:val="000000"/>
                <w:sz w:val="20"/>
                <w:szCs w:val="20"/>
              </w:rPr>
              <w:t xml:space="preserve"> </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4E0F2901" w14:textId="77777777" w:rsidR="001E0E14" w:rsidRPr="0005612C" w:rsidRDefault="001E0E14"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1E0E14" w:rsidRPr="0005612C" w14:paraId="535660BD" w14:textId="77777777" w:rsidTr="00525BE7">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14:paraId="70EB1730" w14:textId="304CAA7A" w:rsidR="001E0E14" w:rsidRPr="00BB675A" w:rsidRDefault="00525BE7" w:rsidP="0054297D">
            <w:pPr>
              <w:rPr>
                <w:rFonts w:ascii="Calibri" w:hAnsi="Calibri"/>
                <w:color w:val="000000"/>
                <w:sz w:val="20"/>
                <w:szCs w:val="20"/>
              </w:rPr>
            </w:pPr>
            <w:r w:rsidRPr="00525BE7">
              <w:rPr>
                <w:rFonts w:ascii="Calibri" w:hAnsi="Calibri"/>
                <w:color w:val="000000"/>
                <w:sz w:val="20"/>
                <w:szCs w:val="20"/>
              </w:rPr>
              <w:t>Interventoría Contrato de Concesión - Centro Norte</w:t>
            </w:r>
          </w:p>
        </w:tc>
        <w:tc>
          <w:tcPr>
            <w:tcW w:w="1612" w:type="dxa"/>
            <w:tcBorders>
              <w:top w:val="nil"/>
              <w:left w:val="nil"/>
              <w:bottom w:val="single" w:sz="4" w:space="0" w:color="auto"/>
              <w:right w:val="single" w:sz="4" w:space="0" w:color="auto"/>
            </w:tcBorders>
            <w:shd w:val="clear" w:color="auto" w:fill="auto"/>
            <w:noWrap/>
            <w:vAlign w:val="center"/>
            <w:hideMark/>
          </w:tcPr>
          <w:p w14:paraId="05E575CA" w14:textId="6D8CA84F" w:rsidR="001E0E14" w:rsidRPr="0005612C" w:rsidRDefault="00525BE7"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14:paraId="4EE488D8" w14:textId="54B0A9D7" w:rsidR="001E0E14" w:rsidRPr="0005612C" w:rsidRDefault="00525BE7"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c>
          <w:tcPr>
            <w:tcW w:w="1139" w:type="dxa"/>
            <w:tcBorders>
              <w:top w:val="nil"/>
              <w:left w:val="nil"/>
              <w:bottom w:val="single" w:sz="4" w:space="0" w:color="auto"/>
              <w:right w:val="single" w:sz="4" w:space="0" w:color="auto"/>
            </w:tcBorders>
            <w:shd w:val="clear" w:color="auto" w:fill="auto"/>
            <w:noWrap/>
            <w:vAlign w:val="center"/>
          </w:tcPr>
          <w:p w14:paraId="3062A4BB" w14:textId="77777777" w:rsidR="001E0E14" w:rsidRPr="0005612C" w:rsidRDefault="001E0E14"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525BE7" w:rsidRPr="0005612C" w14:paraId="228DE8E4" w14:textId="77777777" w:rsidTr="00525BE7">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14:paraId="33CA2574" w14:textId="1166E10B" w:rsidR="00525BE7" w:rsidRPr="0005612C" w:rsidRDefault="00525BE7" w:rsidP="00525BE7">
            <w:pPr>
              <w:spacing w:after="0" w:line="240" w:lineRule="auto"/>
              <w:rPr>
                <w:rFonts w:ascii="Calibri" w:eastAsia="Times New Roman" w:hAnsi="Calibri" w:cs="Calibri"/>
                <w:color w:val="000000"/>
                <w:sz w:val="20"/>
                <w:szCs w:val="20"/>
              </w:rPr>
            </w:pPr>
            <w:r w:rsidRPr="00525BE7">
              <w:rPr>
                <w:rFonts w:ascii="Calibri" w:eastAsia="Times New Roman" w:hAnsi="Calibri" w:cs="Calibri"/>
                <w:color w:val="000000"/>
                <w:sz w:val="20"/>
                <w:szCs w:val="20"/>
              </w:rPr>
              <w:t>Valoración de los deltas de valor de concesión Aeroportuaria - San Andrés y Providencia</w:t>
            </w:r>
          </w:p>
        </w:tc>
        <w:tc>
          <w:tcPr>
            <w:tcW w:w="1612" w:type="dxa"/>
            <w:tcBorders>
              <w:top w:val="nil"/>
              <w:left w:val="nil"/>
              <w:bottom w:val="single" w:sz="4" w:space="0" w:color="auto"/>
              <w:right w:val="single" w:sz="4" w:space="0" w:color="auto"/>
            </w:tcBorders>
            <w:shd w:val="clear" w:color="auto" w:fill="auto"/>
            <w:noWrap/>
            <w:vAlign w:val="center"/>
            <w:hideMark/>
          </w:tcPr>
          <w:p w14:paraId="6D0B911B" w14:textId="77777777" w:rsidR="00525BE7" w:rsidRPr="0005612C" w:rsidRDefault="00525BE7" w:rsidP="00525BE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14:paraId="6FCA9AF6" w14:textId="0DF8EB6D" w:rsidR="00525BE7" w:rsidRPr="0005612C" w:rsidRDefault="00525BE7" w:rsidP="00525BE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c>
          <w:tcPr>
            <w:tcW w:w="1139" w:type="dxa"/>
            <w:tcBorders>
              <w:top w:val="nil"/>
              <w:left w:val="nil"/>
              <w:bottom w:val="single" w:sz="4" w:space="0" w:color="auto"/>
              <w:right w:val="single" w:sz="4" w:space="0" w:color="auto"/>
            </w:tcBorders>
            <w:shd w:val="clear" w:color="auto" w:fill="auto"/>
            <w:noWrap/>
            <w:vAlign w:val="center"/>
          </w:tcPr>
          <w:p w14:paraId="4AA7CDC5" w14:textId="77777777" w:rsidR="00525BE7" w:rsidRPr="0005612C" w:rsidRDefault="00525BE7" w:rsidP="00525BE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bl>
    <w:p w14:paraId="382AA6A3" w14:textId="77777777" w:rsidR="001E0E14" w:rsidRDefault="001E0E14" w:rsidP="00CA0AF4">
      <w:pPr>
        <w:jc w:val="both"/>
      </w:pPr>
    </w:p>
    <w:p w14:paraId="4BC09953" w14:textId="77777777" w:rsidR="0039168D" w:rsidRDefault="0039168D">
      <w:pPr>
        <w:rPr>
          <w:rFonts w:cs="Arial"/>
          <w:b/>
        </w:rPr>
      </w:pPr>
      <w:bookmarkStart w:id="63" w:name="_Toc357434723"/>
      <w:bookmarkStart w:id="64" w:name="_Toc357434979"/>
      <w:bookmarkStart w:id="65" w:name="_Toc360175795"/>
      <w:bookmarkStart w:id="66" w:name="_Toc360176860"/>
      <w:bookmarkStart w:id="67" w:name="_Toc360177568"/>
      <w:r>
        <w:rPr>
          <w:rFonts w:cs="Arial"/>
          <w:b/>
        </w:rPr>
        <w:br w:type="page"/>
      </w:r>
    </w:p>
    <w:p w14:paraId="06ACB9D2" w14:textId="5D02B402" w:rsidR="00224ABF" w:rsidRPr="00224ABF" w:rsidRDefault="00224ABF" w:rsidP="00224ABF">
      <w:pPr>
        <w:jc w:val="center"/>
        <w:rPr>
          <w:rFonts w:cs="Arial"/>
          <w:b/>
        </w:rPr>
      </w:pPr>
      <w:r w:rsidRPr="00224ABF">
        <w:rPr>
          <w:rFonts w:cs="Arial"/>
          <w:b/>
        </w:rPr>
        <w:lastRenderedPageBreak/>
        <w:t>GERENCIA DE PROYECTOS CARRETERO 1</w:t>
      </w:r>
    </w:p>
    <w:p w14:paraId="2B6171ED" w14:textId="77777777" w:rsidR="00224ABF" w:rsidRPr="00224ABF" w:rsidRDefault="00224ABF" w:rsidP="00224ABF">
      <w:pPr>
        <w:jc w:val="both"/>
        <w:rPr>
          <w:rFonts w:eastAsia="Times New Roman" w:cs="Arial"/>
          <w:b/>
          <w:lang w:val="es-ES"/>
        </w:rPr>
      </w:pPr>
    </w:p>
    <w:p w14:paraId="545C5342" w14:textId="77777777" w:rsidR="00224ABF" w:rsidRPr="00224ABF" w:rsidRDefault="00224ABF" w:rsidP="00224ABF">
      <w:pPr>
        <w:pStyle w:val="Prrafodelista"/>
        <w:numPr>
          <w:ilvl w:val="0"/>
          <w:numId w:val="145"/>
        </w:numPr>
        <w:spacing w:after="0"/>
        <w:jc w:val="both"/>
        <w:rPr>
          <w:rFonts w:eastAsia="Times New Roman" w:cs="Arial"/>
          <w:b/>
          <w:lang w:val="es-ES"/>
        </w:rPr>
      </w:pPr>
      <w:r w:rsidRPr="00224ABF">
        <w:rPr>
          <w:rFonts w:eastAsia="Times New Roman" w:cs="Arial"/>
          <w:b/>
          <w:lang w:val="es-ES"/>
        </w:rPr>
        <w:t>INFORME DE GESTION  PROYECTO CARTAGENA-BARRANQUILLA</w:t>
      </w:r>
    </w:p>
    <w:p w14:paraId="74F2F3B9" w14:textId="77777777" w:rsidR="00224ABF" w:rsidRPr="00224ABF" w:rsidRDefault="00224ABF" w:rsidP="00224ABF">
      <w:pPr>
        <w:spacing w:after="0"/>
        <w:ind w:firstLine="360"/>
        <w:jc w:val="both"/>
        <w:rPr>
          <w:rFonts w:eastAsia="Times New Roman" w:cs="Arial"/>
          <w:b/>
          <w:lang w:val="es-ES" w:eastAsia="es-ES_tradnl"/>
        </w:rPr>
      </w:pPr>
      <w:r w:rsidRPr="00224ABF">
        <w:rPr>
          <w:rFonts w:eastAsia="Times New Roman" w:cs="Arial"/>
          <w:b/>
          <w:lang w:val="es-ES" w:eastAsia="es-ES_tradnl"/>
        </w:rPr>
        <w:t>VIA AL MAR</w:t>
      </w:r>
    </w:p>
    <w:p w14:paraId="277CFDDD" w14:textId="77777777" w:rsidR="00224ABF" w:rsidRPr="00224ABF" w:rsidRDefault="00224ABF" w:rsidP="00224ABF">
      <w:pPr>
        <w:tabs>
          <w:tab w:val="left" w:pos="3330"/>
        </w:tabs>
        <w:jc w:val="both"/>
        <w:rPr>
          <w:rFonts w:eastAsiaTheme="minorHAnsi" w:cs="Arial"/>
          <w:b/>
          <w:lang w:val="es-MX"/>
        </w:rPr>
      </w:pPr>
    </w:p>
    <w:p w14:paraId="0123D24B" w14:textId="3F876F22" w:rsidR="00224ABF" w:rsidRPr="00224ABF" w:rsidRDefault="00224ABF" w:rsidP="00224ABF">
      <w:pPr>
        <w:tabs>
          <w:tab w:val="left" w:pos="3330"/>
        </w:tabs>
        <w:jc w:val="both"/>
        <w:rPr>
          <w:rFonts w:eastAsiaTheme="minorHAnsi" w:cs="Arial"/>
          <w:lang w:val="es-MX"/>
        </w:rPr>
      </w:pPr>
      <w:r w:rsidRPr="00224ABF">
        <w:rPr>
          <w:rFonts w:eastAsiaTheme="minorHAnsi" w:cs="Arial"/>
          <w:lang w:val="es-MX"/>
        </w:rPr>
        <w:t xml:space="preserve">Durante el primer </w:t>
      </w:r>
      <w:r w:rsidR="0039168D">
        <w:rPr>
          <w:rFonts w:eastAsiaTheme="minorHAnsi" w:cs="Arial"/>
          <w:lang w:val="es-MX"/>
        </w:rPr>
        <w:t>trimestre</w:t>
      </w:r>
      <w:r w:rsidRPr="00224ABF">
        <w:rPr>
          <w:rFonts w:eastAsiaTheme="minorHAnsi" w:cs="Arial"/>
          <w:lang w:val="es-MX"/>
        </w:rPr>
        <w:t xml:space="preserve"> de 2014, se desarrollaron principalmente las siguientes actividades, cuyos avances han sido reportados por la interventoría en sus informes mensuales: </w:t>
      </w:r>
    </w:p>
    <w:p w14:paraId="564733E7" w14:textId="77777777" w:rsidR="00224ABF" w:rsidRPr="00224ABF" w:rsidRDefault="00224ABF" w:rsidP="00224ABF">
      <w:pPr>
        <w:numPr>
          <w:ilvl w:val="0"/>
          <w:numId w:val="169"/>
        </w:numPr>
        <w:tabs>
          <w:tab w:val="left" w:pos="3330"/>
        </w:tabs>
        <w:spacing w:after="160"/>
        <w:contextualSpacing/>
        <w:jc w:val="both"/>
        <w:rPr>
          <w:rFonts w:eastAsiaTheme="minorHAnsi" w:cs="Arial"/>
          <w:lang w:val="es-MX"/>
        </w:rPr>
      </w:pPr>
      <w:r w:rsidRPr="00224ABF">
        <w:rPr>
          <w:rFonts w:eastAsiaTheme="minorHAnsi" w:cs="Arial"/>
          <w:lang w:val="es-MX"/>
        </w:rPr>
        <w:t xml:space="preserve">Proyecto del Anillo Vial de Crespo, Cartagena. Departamento del Bolívar, construcción aproximada de 2.5 Km , registrando un avance Global a Marzo de 2014 </w:t>
      </w:r>
      <w:r w:rsidRPr="002A346A">
        <w:rPr>
          <w:rFonts w:eastAsiaTheme="minorHAnsi" w:cs="Arial"/>
        </w:rPr>
        <w:t>del</w:t>
      </w:r>
      <w:r w:rsidRPr="00224ABF">
        <w:rPr>
          <w:rFonts w:eastAsiaTheme="minorHAnsi" w:cs="Arial"/>
          <w:lang w:val="es-MX"/>
        </w:rPr>
        <w:t xml:space="preserve"> 59.05 % </w:t>
      </w:r>
    </w:p>
    <w:p w14:paraId="049F08A7" w14:textId="77777777" w:rsidR="00224ABF" w:rsidRPr="00224ABF" w:rsidRDefault="00224ABF" w:rsidP="00224ABF">
      <w:pPr>
        <w:numPr>
          <w:ilvl w:val="0"/>
          <w:numId w:val="168"/>
        </w:numPr>
        <w:tabs>
          <w:tab w:val="left" w:pos="3330"/>
        </w:tabs>
        <w:spacing w:after="160"/>
        <w:contextualSpacing/>
        <w:jc w:val="both"/>
        <w:rPr>
          <w:rFonts w:eastAsiaTheme="minorHAnsi" w:cs="Arial"/>
          <w:lang w:val="es-MX"/>
        </w:rPr>
      </w:pPr>
      <w:r w:rsidRPr="00224ABF">
        <w:rPr>
          <w:rFonts w:eastAsiaTheme="minorHAnsi" w:cs="Arial"/>
          <w:lang w:val="es-MX"/>
        </w:rPr>
        <w:t>Obras Costeras, registrando un avance acumulado del 74.6 %</w:t>
      </w:r>
    </w:p>
    <w:p w14:paraId="641BA48A" w14:textId="77777777" w:rsidR="00224ABF" w:rsidRPr="00224ABF" w:rsidRDefault="00224ABF" w:rsidP="00224ABF">
      <w:pPr>
        <w:numPr>
          <w:ilvl w:val="0"/>
          <w:numId w:val="168"/>
        </w:numPr>
        <w:tabs>
          <w:tab w:val="left" w:pos="3330"/>
        </w:tabs>
        <w:spacing w:after="160"/>
        <w:contextualSpacing/>
        <w:jc w:val="both"/>
        <w:rPr>
          <w:rFonts w:eastAsiaTheme="minorHAnsi" w:cs="Arial"/>
          <w:lang w:val="es-MX"/>
        </w:rPr>
      </w:pPr>
      <w:r w:rsidRPr="00224ABF">
        <w:rPr>
          <w:rFonts w:eastAsiaTheme="minorHAnsi" w:cs="Arial"/>
          <w:lang w:val="es-MX"/>
        </w:rPr>
        <w:t>construcción del túnel sumergido, registrando un avance del 77 %</w:t>
      </w:r>
    </w:p>
    <w:p w14:paraId="138432FA" w14:textId="77777777" w:rsidR="00224ABF" w:rsidRPr="00224ABF" w:rsidRDefault="00224ABF" w:rsidP="00224ABF">
      <w:pPr>
        <w:numPr>
          <w:ilvl w:val="0"/>
          <w:numId w:val="168"/>
        </w:numPr>
        <w:tabs>
          <w:tab w:val="left" w:pos="3330"/>
        </w:tabs>
        <w:spacing w:after="160"/>
        <w:contextualSpacing/>
        <w:jc w:val="both"/>
        <w:rPr>
          <w:rFonts w:eastAsiaTheme="minorHAnsi" w:cs="Arial"/>
          <w:lang w:val="es-MX"/>
        </w:rPr>
      </w:pPr>
      <w:r w:rsidRPr="00224ABF">
        <w:rPr>
          <w:rFonts w:eastAsiaTheme="minorHAnsi" w:cs="Arial"/>
          <w:lang w:val="es-MX"/>
        </w:rPr>
        <w:t>Inició la construcción del empalme de la doble calzada con la Vía al Mar, Ruta 90 A, avance 3.4 %</w:t>
      </w:r>
    </w:p>
    <w:p w14:paraId="51A4696D" w14:textId="77777777" w:rsidR="00224ABF" w:rsidRPr="00224ABF" w:rsidRDefault="00224ABF" w:rsidP="00224ABF">
      <w:pPr>
        <w:numPr>
          <w:ilvl w:val="0"/>
          <w:numId w:val="168"/>
        </w:numPr>
        <w:tabs>
          <w:tab w:val="left" w:pos="3330"/>
        </w:tabs>
        <w:spacing w:after="160"/>
        <w:contextualSpacing/>
        <w:jc w:val="both"/>
        <w:rPr>
          <w:rFonts w:eastAsiaTheme="minorHAnsi" w:cs="Arial"/>
          <w:lang w:val="es-MX"/>
        </w:rPr>
      </w:pPr>
      <w:r w:rsidRPr="00224ABF">
        <w:rPr>
          <w:rFonts w:eastAsiaTheme="minorHAnsi" w:cs="Arial"/>
          <w:lang w:val="es-MX"/>
        </w:rPr>
        <w:t>Continuó con las obras correspondientes al sistema de drenaje, avance 27 %</w:t>
      </w:r>
    </w:p>
    <w:p w14:paraId="2B6D54D0" w14:textId="77777777" w:rsidR="00224ABF" w:rsidRPr="00224ABF" w:rsidRDefault="00224ABF" w:rsidP="00224ABF">
      <w:pPr>
        <w:tabs>
          <w:tab w:val="left" w:pos="3330"/>
        </w:tabs>
        <w:ind w:left="1068"/>
        <w:contextualSpacing/>
        <w:jc w:val="both"/>
        <w:rPr>
          <w:rFonts w:eastAsiaTheme="minorHAnsi" w:cs="Arial"/>
          <w:lang w:val="es-MX"/>
        </w:rPr>
      </w:pPr>
    </w:p>
    <w:p w14:paraId="1C5B7DB7" w14:textId="77777777" w:rsidR="00224ABF" w:rsidRPr="00224ABF" w:rsidRDefault="00224ABF" w:rsidP="00224ABF">
      <w:pPr>
        <w:numPr>
          <w:ilvl w:val="0"/>
          <w:numId w:val="169"/>
        </w:numPr>
        <w:tabs>
          <w:tab w:val="left" w:pos="3330"/>
        </w:tabs>
        <w:spacing w:after="160"/>
        <w:contextualSpacing/>
        <w:jc w:val="both"/>
        <w:rPr>
          <w:rFonts w:eastAsiaTheme="minorHAnsi" w:cs="Arial"/>
          <w:lang w:val="es-MX"/>
        </w:rPr>
      </w:pPr>
      <w:r w:rsidRPr="00224ABF">
        <w:rPr>
          <w:rFonts w:eastAsiaTheme="minorHAnsi" w:cs="Arial"/>
          <w:lang w:val="es-MX"/>
        </w:rPr>
        <w:t>Construcción de la segunda calzada en el sector comprendido entre el K 88+060 al K 98 +60 (Puerto Velero – Puerto Colombia) Departamento del Atlántico, registrando un avance del 96.28 %</w:t>
      </w:r>
    </w:p>
    <w:p w14:paraId="7CF29A43" w14:textId="77777777" w:rsidR="00224ABF" w:rsidRPr="00224ABF" w:rsidRDefault="00224ABF" w:rsidP="00224ABF">
      <w:pPr>
        <w:tabs>
          <w:tab w:val="left" w:pos="3330"/>
        </w:tabs>
        <w:ind w:left="720"/>
        <w:contextualSpacing/>
        <w:jc w:val="both"/>
        <w:rPr>
          <w:rFonts w:eastAsiaTheme="minorHAnsi" w:cs="Arial"/>
          <w:lang w:val="es-MX"/>
        </w:rPr>
      </w:pPr>
    </w:p>
    <w:p w14:paraId="0214F2CE" w14:textId="77777777" w:rsidR="00224ABF" w:rsidRPr="00224ABF" w:rsidRDefault="00224ABF" w:rsidP="00224ABF">
      <w:pPr>
        <w:tabs>
          <w:tab w:val="left" w:pos="3330"/>
        </w:tabs>
        <w:ind w:left="720"/>
        <w:contextualSpacing/>
        <w:jc w:val="both"/>
        <w:rPr>
          <w:rFonts w:eastAsiaTheme="minorHAnsi" w:cs="Arial"/>
          <w:lang w:val="es-MX"/>
        </w:rPr>
      </w:pPr>
      <w:r w:rsidRPr="00224ABF">
        <w:rPr>
          <w:rFonts w:eastAsiaTheme="minorHAnsi" w:cs="Arial"/>
          <w:lang w:val="es-MX"/>
        </w:rPr>
        <w:t xml:space="preserve">Como aspecto relevante en este sector se logró obtener el pronunciamiento de la ANLA mediante Resolución No 0212 del 10 de marzo de 2014, </w:t>
      </w:r>
      <w:r w:rsidRPr="00224ABF">
        <w:rPr>
          <w:rFonts w:eastAsiaTheme="minorHAnsi" w:cs="Arial"/>
          <w:i/>
          <w:lang w:val="es-MX"/>
        </w:rPr>
        <w:t>“Por la cual hacen unos requerimientos y se imponen unas medidas ambientales adicionales</w:t>
      </w:r>
      <w:r w:rsidRPr="00224ABF">
        <w:rPr>
          <w:rFonts w:eastAsiaTheme="minorHAnsi" w:cs="Arial"/>
          <w:lang w:val="es-MX"/>
        </w:rPr>
        <w:t>”, permitiendo que el  Concesionario pudiera continuar con las obras de la segunda calzada que se encontraban interferidas por la presencia de un “ojo de agua”</w:t>
      </w:r>
    </w:p>
    <w:p w14:paraId="78B3830D" w14:textId="77777777" w:rsidR="00224ABF" w:rsidRPr="00224ABF" w:rsidRDefault="00224ABF" w:rsidP="00224ABF">
      <w:pPr>
        <w:tabs>
          <w:tab w:val="left" w:pos="3330"/>
        </w:tabs>
        <w:ind w:left="720"/>
        <w:contextualSpacing/>
        <w:jc w:val="both"/>
        <w:rPr>
          <w:rFonts w:eastAsiaTheme="minorHAnsi" w:cs="Arial"/>
          <w:lang w:val="es-MX"/>
        </w:rPr>
      </w:pPr>
    </w:p>
    <w:p w14:paraId="19B78F1A" w14:textId="77777777" w:rsidR="00224ABF" w:rsidRPr="00224ABF" w:rsidRDefault="00224ABF" w:rsidP="00224ABF">
      <w:pPr>
        <w:spacing w:after="0"/>
        <w:jc w:val="both"/>
        <w:rPr>
          <w:rFonts w:eastAsia="Times New Roman" w:cs="Arial"/>
          <w:lang w:val="es-MX" w:eastAsia="es-MX"/>
        </w:rPr>
      </w:pPr>
      <w:r w:rsidRPr="00224ABF">
        <w:rPr>
          <w:rFonts w:eastAsiaTheme="minorHAnsi" w:cs="Arial"/>
          <w:lang w:val="es-MX"/>
        </w:rPr>
        <w:t>El</w:t>
      </w:r>
      <w:r w:rsidRPr="00224ABF">
        <w:rPr>
          <w:rFonts w:eastAsiaTheme="minorHAnsi" w:cs="Arial"/>
          <w:b/>
          <w:lang w:val="es-MX"/>
        </w:rPr>
        <w:t xml:space="preserve"> </w:t>
      </w:r>
      <w:r w:rsidRPr="00224ABF">
        <w:rPr>
          <w:rFonts w:cs="Arial"/>
          <w:bCs/>
          <w:lang w:val="es-ES"/>
        </w:rPr>
        <w:t>concesionario adelanta la operación y el mantenimiento de acuerdo con el reglamento de operación.</w:t>
      </w:r>
    </w:p>
    <w:p w14:paraId="31F988ED" w14:textId="77777777" w:rsidR="00224ABF" w:rsidRPr="00224ABF" w:rsidRDefault="00224ABF" w:rsidP="00224ABF">
      <w:pPr>
        <w:suppressAutoHyphens/>
        <w:spacing w:after="0"/>
        <w:jc w:val="both"/>
        <w:rPr>
          <w:rFonts w:eastAsia="Times New Roman" w:cs="Arial"/>
          <w:lang w:eastAsia="ar-SA"/>
        </w:rPr>
      </w:pPr>
    </w:p>
    <w:p w14:paraId="4D06B394" w14:textId="77777777" w:rsidR="00224ABF" w:rsidRPr="00224ABF" w:rsidRDefault="00224ABF" w:rsidP="00224ABF">
      <w:pPr>
        <w:suppressAutoHyphens/>
        <w:spacing w:after="0"/>
        <w:ind w:left="402"/>
        <w:jc w:val="both"/>
        <w:rPr>
          <w:rFonts w:eastAsia="Times New Roman" w:cs="Arial"/>
          <w:lang w:eastAsia="ar-SA"/>
        </w:rPr>
      </w:pPr>
    </w:p>
    <w:p w14:paraId="1524198C" w14:textId="77777777" w:rsidR="00224ABF" w:rsidRPr="00224ABF" w:rsidRDefault="00224ABF" w:rsidP="00224ABF">
      <w:pPr>
        <w:spacing w:after="0"/>
        <w:ind w:left="360"/>
        <w:jc w:val="both"/>
        <w:rPr>
          <w:rFonts w:eastAsia="Times New Roman" w:cs="Arial"/>
          <w:b/>
          <w:lang w:val="es-ES"/>
        </w:rPr>
      </w:pPr>
      <w:r w:rsidRPr="00224ABF">
        <w:rPr>
          <w:rFonts w:eastAsia="Times New Roman" w:cs="Arial"/>
          <w:b/>
          <w:lang w:val="es-ES"/>
        </w:rPr>
        <w:t>2. INFORME DE GESTION  PROYECTO RUTA DEL SOL SECTOR 2</w:t>
      </w:r>
    </w:p>
    <w:p w14:paraId="24F4CF1A" w14:textId="77777777" w:rsidR="00224ABF" w:rsidRPr="00224ABF" w:rsidRDefault="00224ABF" w:rsidP="00224ABF">
      <w:pPr>
        <w:pStyle w:val="Prrafodelista"/>
        <w:spacing w:after="0"/>
        <w:jc w:val="both"/>
        <w:rPr>
          <w:rFonts w:eastAsia="Times New Roman" w:cs="Arial"/>
          <w:b/>
          <w:lang w:val="es-ES"/>
        </w:rPr>
      </w:pPr>
    </w:p>
    <w:p w14:paraId="5EB9D79C" w14:textId="77777777" w:rsidR="00224ABF" w:rsidRPr="00224ABF" w:rsidRDefault="00224ABF" w:rsidP="00224ABF">
      <w:pPr>
        <w:spacing w:after="0"/>
        <w:jc w:val="both"/>
        <w:rPr>
          <w:rFonts w:cs="Arial"/>
          <w:b/>
          <w:u w:val="single"/>
        </w:rPr>
      </w:pPr>
      <w:r w:rsidRPr="00224ABF">
        <w:rPr>
          <w:rFonts w:cs="Arial"/>
          <w:b/>
          <w:u w:val="single"/>
        </w:rPr>
        <w:t>Logros:</w:t>
      </w:r>
    </w:p>
    <w:p w14:paraId="1A915A3C" w14:textId="77777777" w:rsidR="00224ABF" w:rsidRPr="00224ABF" w:rsidRDefault="00224ABF" w:rsidP="00224ABF">
      <w:pPr>
        <w:spacing w:after="0"/>
        <w:jc w:val="both"/>
        <w:rPr>
          <w:rFonts w:cs="Arial"/>
        </w:rPr>
      </w:pPr>
    </w:p>
    <w:p w14:paraId="553F6C1D" w14:textId="77777777" w:rsidR="00224ABF" w:rsidRPr="00224ABF" w:rsidRDefault="00224ABF" w:rsidP="00224ABF">
      <w:pPr>
        <w:spacing w:after="0"/>
        <w:jc w:val="both"/>
        <w:rPr>
          <w:rFonts w:cs="Arial"/>
        </w:rPr>
      </w:pPr>
      <w:r w:rsidRPr="00224ABF">
        <w:rPr>
          <w:rFonts w:cs="Arial"/>
        </w:rPr>
        <w:t>Se ha avanzado en la meta en un porcentaje de 26,3 %</w:t>
      </w:r>
    </w:p>
    <w:p w14:paraId="7D2376D6" w14:textId="77777777" w:rsidR="00224ABF" w:rsidRPr="00224ABF" w:rsidRDefault="00224ABF" w:rsidP="00224ABF">
      <w:pPr>
        <w:spacing w:after="0"/>
        <w:jc w:val="both"/>
        <w:rPr>
          <w:rFonts w:cs="Arial"/>
        </w:rPr>
      </w:pPr>
    </w:p>
    <w:p w14:paraId="5492FBEF" w14:textId="77777777" w:rsidR="00224ABF" w:rsidRPr="00224ABF" w:rsidRDefault="00224ABF" w:rsidP="00224ABF">
      <w:pPr>
        <w:spacing w:after="0"/>
        <w:jc w:val="both"/>
        <w:rPr>
          <w:rFonts w:cs="Arial"/>
        </w:rPr>
      </w:pPr>
      <w:r w:rsidRPr="00224ABF">
        <w:rPr>
          <w:rFonts w:cs="Arial"/>
          <w:b/>
        </w:rPr>
        <w:t>Conflicto social comunidad kilómetro 25</w:t>
      </w:r>
      <w:r w:rsidRPr="00224ABF">
        <w:rPr>
          <w:rFonts w:cs="Arial"/>
        </w:rPr>
        <w:t>: Se logró un acuerdo con la comunidad permitiéndole al concesionario  la terminación de las obras de rehabilitación.</w:t>
      </w:r>
    </w:p>
    <w:p w14:paraId="25D7D3F8" w14:textId="77777777" w:rsidR="00224ABF" w:rsidRPr="00224ABF" w:rsidRDefault="00224ABF" w:rsidP="00224ABF">
      <w:pPr>
        <w:spacing w:after="0"/>
        <w:jc w:val="both"/>
        <w:rPr>
          <w:rFonts w:cs="Arial"/>
        </w:rPr>
      </w:pPr>
    </w:p>
    <w:p w14:paraId="63EBAA42" w14:textId="77777777" w:rsidR="00224ABF" w:rsidRPr="00224ABF" w:rsidRDefault="00224ABF" w:rsidP="00224ABF">
      <w:pPr>
        <w:spacing w:after="0"/>
        <w:jc w:val="both"/>
        <w:rPr>
          <w:rFonts w:cs="Arial"/>
        </w:rPr>
      </w:pPr>
      <w:r w:rsidRPr="00224ABF">
        <w:rPr>
          <w:rFonts w:cs="Arial"/>
          <w:b/>
        </w:rPr>
        <w:lastRenderedPageBreak/>
        <w:t>Suscripción de un Otrosí al contrato de concesión No.010</w:t>
      </w:r>
      <w:r w:rsidRPr="00224ABF">
        <w:rPr>
          <w:rFonts w:cs="Arial"/>
        </w:rPr>
        <w:t>: Se suscribe el Otrosí No.6 con el objeto de que el Concesionario por su cuenta y riesgo, elabore los diseños, financie, obtenga las Licencias Ambientales y demás permisos, adquiera predios, rehabilite, construya, mejore, opere y mantenga el Tramo denominado “Transversal Rio de Oro – Aguaclara – Gamarra”, siempre y cuando se dé cumplimento a ciertas condiciones esenciales que establece el Otrosí.</w:t>
      </w:r>
    </w:p>
    <w:p w14:paraId="62EF85A8" w14:textId="77777777" w:rsidR="00224ABF" w:rsidRPr="00224ABF" w:rsidRDefault="00224ABF" w:rsidP="00224ABF">
      <w:pPr>
        <w:spacing w:after="0"/>
        <w:jc w:val="both"/>
        <w:rPr>
          <w:rFonts w:cs="Arial"/>
        </w:rPr>
      </w:pPr>
    </w:p>
    <w:p w14:paraId="19E77C83" w14:textId="77777777" w:rsidR="00224ABF" w:rsidRPr="00224ABF" w:rsidRDefault="00224ABF" w:rsidP="00224ABF">
      <w:pPr>
        <w:spacing w:after="0"/>
        <w:jc w:val="both"/>
        <w:rPr>
          <w:rFonts w:cs="Arial"/>
        </w:rPr>
      </w:pPr>
      <w:r w:rsidRPr="00224ABF">
        <w:rPr>
          <w:rFonts w:cs="Arial"/>
          <w:b/>
        </w:rPr>
        <w:t>Reconocimiento de Hitos:</w:t>
      </w:r>
      <w:r w:rsidRPr="00224ABF">
        <w:rPr>
          <w:rFonts w:cs="Arial"/>
        </w:rPr>
        <w:t xml:space="preserve"> Se logró el pago de los hitos 4E Y 43E</w:t>
      </w:r>
    </w:p>
    <w:p w14:paraId="60A07871" w14:textId="77777777" w:rsidR="00224ABF" w:rsidRPr="00224ABF" w:rsidRDefault="00224ABF" w:rsidP="00224ABF">
      <w:pPr>
        <w:spacing w:after="0"/>
        <w:jc w:val="both"/>
        <w:rPr>
          <w:rFonts w:cs="Arial"/>
        </w:rPr>
      </w:pPr>
    </w:p>
    <w:p w14:paraId="07397280" w14:textId="77777777" w:rsidR="00224ABF" w:rsidRPr="00224ABF" w:rsidRDefault="00224ABF" w:rsidP="00224ABF">
      <w:pPr>
        <w:spacing w:after="0"/>
        <w:jc w:val="both"/>
        <w:rPr>
          <w:rFonts w:cs="Arial"/>
        </w:rPr>
      </w:pPr>
      <w:r w:rsidRPr="00224ABF">
        <w:rPr>
          <w:rFonts w:cs="Arial"/>
          <w:b/>
        </w:rPr>
        <w:t xml:space="preserve">Licencia ambiental de Variantes: </w:t>
      </w:r>
      <w:r w:rsidRPr="00224ABF">
        <w:rPr>
          <w:rFonts w:cs="Arial"/>
        </w:rPr>
        <w:t>Se logra adquirir licencia Ambiental para las variantes de los centros poblados de campo 23 (tramo3), PR 52 y  Puerto Araujo (tramo3)</w:t>
      </w:r>
    </w:p>
    <w:p w14:paraId="41EA5E1C" w14:textId="77777777" w:rsidR="00224ABF" w:rsidRPr="00224ABF" w:rsidRDefault="00224ABF" w:rsidP="00224ABF">
      <w:pPr>
        <w:spacing w:after="0"/>
        <w:jc w:val="both"/>
        <w:rPr>
          <w:rFonts w:cs="Arial"/>
          <w:b/>
        </w:rPr>
      </w:pPr>
    </w:p>
    <w:p w14:paraId="57292832" w14:textId="77777777" w:rsidR="00224ABF" w:rsidRPr="00224ABF" w:rsidRDefault="00224ABF" w:rsidP="00224ABF">
      <w:pPr>
        <w:spacing w:after="0"/>
        <w:jc w:val="both"/>
        <w:rPr>
          <w:rFonts w:cs="Arial"/>
        </w:rPr>
      </w:pPr>
      <w:r w:rsidRPr="00224ABF">
        <w:rPr>
          <w:rFonts w:cs="Arial"/>
          <w:b/>
        </w:rPr>
        <w:t xml:space="preserve">Pago de contingencia Predial: </w:t>
      </w:r>
      <w:r w:rsidRPr="00224ABF">
        <w:rPr>
          <w:rFonts w:cs="Arial"/>
        </w:rPr>
        <w:t>En el mes de enero de 2014 se llevó a cabo un pago por ocurrencia de la contingencia predial por valor de $ 16.513.324.004,92 pago No 4 y 7  y en el mes de marzo por valor $2.675.498.242,15  pago No. 13.</w:t>
      </w:r>
    </w:p>
    <w:p w14:paraId="60F7DFB4" w14:textId="77777777" w:rsidR="00224ABF" w:rsidRPr="00224ABF" w:rsidRDefault="00224ABF" w:rsidP="00224ABF">
      <w:pPr>
        <w:spacing w:after="0"/>
        <w:jc w:val="both"/>
        <w:rPr>
          <w:rFonts w:cs="Arial"/>
        </w:rPr>
      </w:pPr>
    </w:p>
    <w:p w14:paraId="204DD88E" w14:textId="77777777" w:rsidR="00224ABF" w:rsidRPr="00224ABF" w:rsidRDefault="00224ABF" w:rsidP="00224ABF">
      <w:pPr>
        <w:spacing w:after="0"/>
        <w:jc w:val="both"/>
        <w:rPr>
          <w:rFonts w:cs="Arial"/>
        </w:rPr>
      </w:pPr>
    </w:p>
    <w:p w14:paraId="65798318" w14:textId="77777777" w:rsidR="00224ABF" w:rsidRPr="00224ABF" w:rsidRDefault="00224ABF" w:rsidP="00224ABF">
      <w:pPr>
        <w:spacing w:after="0"/>
        <w:jc w:val="both"/>
        <w:rPr>
          <w:rFonts w:cs="Arial"/>
          <w:b/>
          <w:u w:val="single"/>
        </w:rPr>
      </w:pPr>
      <w:r w:rsidRPr="00224ABF">
        <w:rPr>
          <w:rFonts w:cs="Arial"/>
          <w:b/>
          <w:u w:val="single"/>
        </w:rPr>
        <w:t>Dificultades:</w:t>
      </w:r>
    </w:p>
    <w:p w14:paraId="01A722D0" w14:textId="77777777" w:rsidR="00224ABF" w:rsidRPr="00224ABF" w:rsidRDefault="00224ABF" w:rsidP="00224ABF">
      <w:pPr>
        <w:spacing w:after="0"/>
        <w:jc w:val="both"/>
        <w:rPr>
          <w:rFonts w:cs="Arial"/>
          <w:b/>
          <w:u w:val="single"/>
        </w:rPr>
      </w:pPr>
    </w:p>
    <w:p w14:paraId="03EF390B" w14:textId="0C2AAA84" w:rsidR="00224ABF" w:rsidRPr="00224ABF" w:rsidRDefault="001C068A" w:rsidP="00224ABF">
      <w:pPr>
        <w:pStyle w:val="Prrafodelista"/>
        <w:numPr>
          <w:ilvl w:val="0"/>
          <w:numId w:val="179"/>
        </w:numPr>
        <w:autoSpaceDE w:val="0"/>
        <w:autoSpaceDN w:val="0"/>
        <w:adjustRightInd w:val="0"/>
        <w:spacing w:before="120" w:after="120"/>
        <w:jc w:val="both"/>
        <w:rPr>
          <w:rFonts w:eastAsia="Times New Roman" w:cs="Arial"/>
          <w:lang w:val="es-ES"/>
        </w:rPr>
      </w:pPr>
      <w:r>
        <w:rPr>
          <w:rFonts w:eastAsia="Times New Roman" w:cs="Arial"/>
        </w:rPr>
        <w:t>Modificación</w:t>
      </w:r>
      <w:r w:rsidR="00224ABF" w:rsidRPr="00224ABF">
        <w:rPr>
          <w:rFonts w:eastAsia="Times New Roman" w:cs="Arial"/>
          <w:lang w:val="es-ES"/>
        </w:rPr>
        <w:t xml:space="preserve"> contractual de la forma de pago, aceptando hasta (2) pagos por hito. De esta forma se estimula que el Concesionario ejecute obra en los hitos que por diversas razones no se puedan ejecutar completos, y se mantiene el espíritu de la sección 13.04 literal (d) que en concepto de la Interventoría, es realizar el reconcomiendo de obras efectivamente ejecutadas.</w:t>
      </w:r>
    </w:p>
    <w:p w14:paraId="0B6C064F" w14:textId="77777777" w:rsidR="00224ABF" w:rsidRPr="00224ABF" w:rsidRDefault="00224ABF" w:rsidP="00224ABF">
      <w:pPr>
        <w:numPr>
          <w:ilvl w:val="0"/>
          <w:numId w:val="179"/>
        </w:numPr>
        <w:spacing w:after="0"/>
        <w:jc w:val="both"/>
        <w:rPr>
          <w:rFonts w:cs="Arial"/>
          <w:color w:val="000000"/>
        </w:rPr>
      </w:pPr>
      <w:r w:rsidRPr="00224ABF">
        <w:rPr>
          <w:rFonts w:cs="Arial"/>
          <w:color w:val="000000"/>
        </w:rPr>
        <w:t>Traslado de Redes de Servicios Públicos a lo largo de los diferentes tramos.</w:t>
      </w:r>
    </w:p>
    <w:p w14:paraId="4A3AC339" w14:textId="77777777" w:rsidR="00224ABF" w:rsidRPr="00224ABF" w:rsidRDefault="00224ABF" w:rsidP="00224ABF">
      <w:pPr>
        <w:spacing w:after="0"/>
        <w:ind w:left="720"/>
        <w:jc w:val="both"/>
        <w:rPr>
          <w:rFonts w:cs="Arial"/>
          <w:color w:val="000000"/>
        </w:rPr>
      </w:pPr>
    </w:p>
    <w:p w14:paraId="4B6036F5" w14:textId="77777777" w:rsidR="00224ABF" w:rsidRPr="00224ABF" w:rsidRDefault="00224ABF" w:rsidP="00224ABF">
      <w:pPr>
        <w:numPr>
          <w:ilvl w:val="0"/>
          <w:numId w:val="179"/>
        </w:numPr>
        <w:spacing w:after="0"/>
        <w:jc w:val="both"/>
        <w:rPr>
          <w:rFonts w:cs="Arial"/>
          <w:color w:val="000000"/>
        </w:rPr>
      </w:pPr>
      <w:r w:rsidRPr="00224ABF">
        <w:rPr>
          <w:rFonts w:cs="Arial"/>
          <w:color w:val="000000"/>
        </w:rPr>
        <w:t>Suscripción de Otrosí que defina el alcance de las obras a ejecutar entre el PR39+00 al PR 39+860.</w:t>
      </w:r>
    </w:p>
    <w:p w14:paraId="45292B79" w14:textId="77777777" w:rsidR="00224ABF" w:rsidRPr="00224ABF" w:rsidRDefault="00224ABF" w:rsidP="00224ABF">
      <w:pPr>
        <w:numPr>
          <w:ilvl w:val="0"/>
          <w:numId w:val="179"/>
        </w:numPr>
        <w:spacing w:after="0"/>
        <w:jc w:val="both"/>
        <w:rPr>
          <w:rFonts w:cs="Arial"/>
          <w:color w:val="000000"/>
        </w:rPr>
      </w:pPr>
      <w:r w:rsidRPr="00224ABF">
        <w:rPr>
          <w:rFonts w:cs="Arial"/>
          <w:color w:val="000000"/>
        </w:rPr>
        <w:t>Divergencia en cuanto al criterio de instalación de defensas metálicas.</w:t>
      </w:r>
    </w:p>
    <w:p w14:paraId="57758BF6" w14:textId="77777777" w:rsidR="00224ABF" w:rsidRPr="00224ABF" w:rsidRDefault="00224ABF" w:rsidP="00224ABF">
      <w:pPr>
        <w:spacing w:after="0"/>
        <w:ind w:left="720"/>
        <w:jc w:val="both"/>
        <w:rPr>
          <w:rFonts w:cs="Arial"/>
          <w:color w:val="000000"/>
        </w:rPr>
      </w:pPr>
    </w:p>
    <w:p w14:paraId="53872F63" w14:textId="77777777" w:rsidR="00224ABF" w:rsidRPr="00224ABF" w:rsidRDefault="00224ABF" w:rsidP="00224ABF">
      <w:pPr>
        <w:numPr>
          <w:ilvl w:val="0"/>
          <w:numId w:val="179"/>
        </w:numPr>
        <w:spacing w:after="0"/>
        <w:jc w:val="both"/>
        <w:rPr>
          <w:rFonts w:cs="Arial"/>
          <w:color w:val="000000"/>
        </w:rPr>
      </w:pPr>
      <w:r w:rsidRPr="00224ABF">
        <w:rPr>
          <w:rFonts w:cs="Arial"/>
          <w:color w:val="000000"/>
        </w:rPr>
        <w:t>Definición de la cantidad definitiva de Puentes Peatonales por construir y sus ubicaciones.</w:t>
      </w:r>
    </w:p>
    <w:p w14:paraId="0431CCB3" w14:textId="77777777" w:rsidR="00224ABF" w:rsidRPr="00224ABF" w:rsidRDefault="00224ABF" w:rsidP="00224ABF">
      <w:pPr>
        <w:pStyle w:val="Prrafodelista"/>
        <w:numPr>
          <w:ilvl w:val="0"/>
          <w:numId w:val="179"/>
        </w:numPr>
        <w:autoSpaceDE w:val="0"/>
        <w:autoSpaceDN w:val="0"/>
        <w:adjustRightInd w:val="0"/>
        <w:spacing w:before="120" w:after="0"/>
        <w:jc w:val="both"/>
        <w:rPr>
          <w:rFonts w:cs="Arial"/>
          <w:b/>
        </w:rPr>
      </w:pPr>
      <w:r w:rsidRPr="00224ABF">
        <w:rPr>
          <w:rFonts w:eastAsia="Times New Roman" w:cs="Arial"/>
          <w:lang w:val="es-ES"/>
        </w:rPr>
        <w:t>Reconocimiento de aquellos terminados y que a la fecha la Agencia no se lo ha reconocido al Concesionario por presentarse eventos especiales que no están regulados en el Contrato de Concesión.</w:t>
      </w:r>
    </w:p>
    <w:p w14:paraId="05869971" w14:textId="77777777" w:rsidR="00224ABF" w:rsidRPr="00224ABF" w:rsidRDefault="00224ABF" w:rsidP="00224ABF">
      <w:pPr>
        <w:jc w:val="both"/>
        <w:rPr>
          <w:rFonts w:cs="Arial"/>
          <w:b/>
          <w:lang w:val="es-ES"/>
        </w:rPr>
      </w:pPr>
    </w:p>
    <w:p w14:paraId="17B93030" w14:textId="77777777" w:rsidR="00224ABF" w:rsidRPr="00224ABF" w:rsidRDefault="00224ABF" w:rsidP="00224ABF">
      <w:pPr>
        <w:jc w:val="both"/>
        <w:rPr>
          <w:rFonts w:cs="Arial"/>
          <w:b/>
          <w:lang w:val="es-ES"/>
        </w:rPr>
      </w:pPr>
    </w:p>
    <w:p w14:paraId="367A5464" w14:textId="77777777" w:rsidR="00224ABF" w:rsidRPr="00224ABF" w:rsidRDefault="00224ABF" w:rsidP="00224ABF">
      <w:pPr>
        <w:jc w:val="both"/>
        <w:rPr>
          <w:rFonts w:cs="Arial"/>
          <w:lang w:val="es-ES"/>
        </w:rPr>
      </w:pPr>
    </w:p>
    <w:p w14:paraId="0E044797" w14:textId="77777777" w:rsidR="00224ABF" w:rsidRPr="00224ABF" w:rsidRDefault="00224ABF" w:rsidP="00224ABF">
      <w:pPr>
        <w:jc w:val="both"/>
        <w:rPr>
          <w:rFonts w:cs="Arial"/>
          <w:b/>
        </w:rPr>
      </w:pPr>
    </w:p>
    <w:p w14:paraId="553B155D" w14:textId="77777777" w:rsidR="00224ABF" w:rsidRPr="00224ABF" w:rsidRDefault="00224ABF" w:rsidP="00224ABF">
      <w:pPr>
        <w:jc w:val="both"/>
        <w:rPr>
          <w:rFonts w:cs="Arial"/>
          <w:b/>
        </w:rPr>
      </w:pPr>
      <w:r w:rsidRPr="00224ABF">
        <w:rPr>
          <w:rFonts w:cs="Arial"/>
          <w:b/>
        </w:rPr>
        <w:tab/>
      </w:r>
      <w:r w:rsidRPr="00224ABF">
        <w:rPr>
          <w:rFonts w:cs="Arial"/>
          <w:b/>
        </w:rPr>
        <w:tab/>
      </w:r>
      <w:r w:rsidRPr="00224ABF">
        <w:rPr>
          <w:rFonts w:cs="Arial"/>
          <w:b/>
        </w:rPr>
        <w:tab/>
      </w:r>
      <w:r w:rsidRPr="00224ABF">
        <w:rPr>
          <w:rFonts w:cs="Arial"/>
          <w:b/>
        </w:rPr>
        <w:tab/>
      </w:r>
      <w:r w:rsidRPr="00224ABF">
        <w:rPr>
          <w:rFonts w:cs="Arial"/>
          <w:b/>
        </w:rPr>
        <w:tab/>
      </w:r>
      <w:r w:rsidRPr="00224ABF">
        <w:rPr>
          <w:rFonts w:cs="Arial"/>
          <w:b/>
        </w:rPr>
        <w:tab/>
      </w:r>
      <w:r w:rsidRPr="00224ABF">
        <w:rPr>
          <w:rFonts w:cs="Arial"/>
          <w:b/>
        </w:rPr>
        <w:tab/>
      </w:r>
      <w:r w:rsidRPr="00224ABF">
        <w:rPr>
          <w:rFonts w:cs="Arial"/>
          <w:b/>
        </w:rPr>
        <w:tab/>
      </w:r>
    </w:p>
    <w:p w14:paraId="56AF82C0" w14:textId="77777777" w:rsidR="00224ABF" w:rsidRPr="00224ABF" w:rsidRDefault="00224ABF" w:rsidP="00224ABF">
      <w:pPr>
        <w:jc w:val="both"/>
        <w:rPr>
          <w:rFonts w:cs="Arial"/>
        </w:rPr>
      </w:pPr>
    </w:p>
    <w:p w14:paraId="2637E428" w14:textId="77777777" w:rsidR="00224ABF" w:rsidRPr="00224ABF" w:rsidRDefault="00224ABF" w:rsidP="00224ABF">
      <w:pPr>
        <w:pStyle w:val="Textocomentario"/>
        <w:spacing w:before="240" w:after="120" w:line="276" w:lineRule="auto"/>
        <w:rPr>
          <w:rFonts w:cs="Arial"/>
          <w:sz w:val="22"/>
          <w:szCs w:val="22"/>
        </w:rPr>
      </w:pPr>
      <w:r w:rsidRPr="00224ABF">
        <w:rPr>
          <w:rFonts w:cs="Arial"/>
          <w:sz w:val="22"/>
          <w:szCs w:val="22"/>
        </w:rPr>
        <w:tab/>
      </w:r>
    </w:p>
    <w:p w14:paraId="4938954B" w14:textId="77777777" w:rsidR="00224ABF" w:rsidRPr="00224ABF" w:rsidRDefault="00224ABF" w:rsidP="00224ABF">
      <w:pPr>
        <w:jc w:val="both"/>
        <w:rPr>
          <w:rFonts w:cs="Arial"/>
        </w:rPr>
      </w:pPr>
      <w:r w:rsidRPr="00224ABF">
        <w:rPr>
          <w:rFonts w:cs="Arial"/>
        </w:rPr>
        <w:tab/>
      </w:r>
      <w:r w:rsidRPr="00224ABF">
        <w:rPr>
          <w:rFonts w:cs="Arial"/>
        </w:rPr>
        <w:tab/>
      </w:r>
      <w:r w:rsidRPr="00224ABF">
        <w:rPr>
          <w:rFonts w:cs="Arial"/>
        </w:rPr>
        <w:tab/>
      </w:r>
      <w:r w:rsidRPr="00224ABF">
        <w:rPr>
          <w:rFonts w:cs="Arial"/>
        </w:rPr>
        <w:tab/>
      </w:r>
      <w:r w:rsidRPr="00224ABF">
        <w:rPr>
          <w:rFonts w:cs="Arial"/>
        </w:rPr>
        <w:tab/>
      </w:r>
      <w:r w:rsidRPr="00224ABF">
        <w:rPr>
          <w:rFonts w:cs="Arial"/>
        </w:rPr>
        <w:tab/>
      </w:r>
      <w:r w:rsidRPr="00224ABF">
        <w:rPr>
          <w:rFonts w:cs="Arial"/>
        </w:rPr>
        <w:tab/>
      </w:r>
    </w:p>
    <w:p w14:paraId="1AC43205" w14:textId="5770D7B7" w:rsidR="00224ABF" w:rsidRPr="00224ABF" w:rsidRDefault="002C3F95" w:rsidP="00224ABF">
      <w:pPr>
        <w:pStyle w:val="Prrafodelista"/>
        <w:numPr>
          <w:ilvl w:val="0"/>
          <w:numId w:val="135"/>
        </w:numPr>
        <w:jc w:val="both"/>
        <w:rPr>
          <w:rFonts w:eastAsia="Times New Roman" w:cs="Arial"/>
          <w:b/>
          <w:lang w:val="es-ES"/>
        </w:rPr>
      </w:pPr>
      <w:r>
        <w:rPr>
          <w:rFonts w:eastAsia="Times New Roman" w:cs="Arial"/>
          <w:b/>
          <w:lang w:val="es-ES"/>
        </w:rPr>
        <w:t xml:space="preserve">INFORME DE GESTIÓN  PROYECTO </w:t>
      </w:r>
      <w:r w:rsidR="00224ABF" w:rsidRPr="00224ABF">
        <w:rPr>
          <w:rFonts w:eastAsia="Times New Roman" w:cs="Arial"/>
          <w:b/>
          <w:lang w:val="es-ES"/>
        </w:rPr>
        <w:t>SANTA MARTA – RIOHACHA – PARAGUACHON</w:t>
      </w:r>
    </w:p>
    <w:p w14:paraId="73BFA023" w14:textId="77777777" w:rsidR="00224ABF" w:rsidRPr="00224ABF" w:rsidRDefault="00224ABF" w:rsidP="00224ABF">
      <w:pPr>
        <w:pStyle w:val="Prrafodelista"/>
        <w:jc w:val="both"/>
        <w:rPr>
          <w:rStyle w:val="nfasisintenso10"/>
          <w:rFonts w:eastAsia="Times New Roman" w:cs="Arial"/>
          <w:bCs w:val="0"/>
          <w:i w:val="0"/>
          <w:iCs w:val="0"/>
          <w:lang w:val="es-ES"/>
        </w:rPr>
      </w:pPr>
    </w:p>
    <w:p w14:paraId="196F5302" w14:textId="77777777" w:rsidR="00224ABF" w:rsidRPr="00224ABF" w:rsidRDefault="00224ABF" w:rsidP="00224ABF">
      <w:pPr>
        <w:jc w:val="both"/>
        <w:rPr>
          <w:rFonts w:cs="Arial"/>
          <w:b/>
        </w:rPr>
      </w:pPr>
      <w:r w:rsidRPr="00224ABF">
        <w:rPr>
          <w:rFonts w:cs="Arial"/>
          <w:b/>
        </w:rPr>
        <w:t xml:space="preserve">ESTADO ACTUAL DEL PROYECTO </w:t>
      </w:r>
    </w:p>
    <w:p w14:paraId="5ED0239B" w14:textId="77777777" w:rsidR="00224ABF" w:rsidRPr="00224ABF" w:rsidRDefault="00224ABF" w:rsidP="00224ABF">
      <w:pPr>
        <w:jc w:val="both"/>
        <w:rPr>
          <w:rFonts w:cs="Arial"/>
        </w:rPr>
      </w:pPr>
      <w:r w:rsidRPr="00224ABF">
        <w:rPr>
          <w:rFonts w:cs="Arial"/>
        </w:rPr>
        <w:t>Actualmente se desarrolla la fase de Operación y mantenimiento del proyecto, perteneciente a la etapa operativa del contrato.</w:t>
      </w:r>
    </w:p>
    <w:p w14:paraId="0ACCDDF4" w14:textId="77777777" w:rsidR="00224ABF" w:rsidRPr="00224ABF" w:rsidRDefault="00224ABF" w:rsidP="00224ABF">
      <w:pPr>
        <w:spacing w:after="0" w:line="240" w:lineRule="auto"/>
        <w:jc w:val="both"/>
        <w:rPr>
          <w:rFonts w:cs="Arial"/>
          <w:b/>
        </w:rPr>
      </w:pPr>
      <w:r w:rsidRPr="00224ABF">
        <w:rPr>
          <w:rFonts w:cs="Arial"/>
          <w:b/>
        </w:rPr>
        <w:t>ÁREA TÉCNICA</w:t>
      </w:r>
    </w:p>
    <w:p w14:paraId="706B95F5" w14:textId="77777777" w:rsidR="00224ABF" w:rsidRPr="00224ABF" w:rsidRDefault="00224ABF" w:rsidP="00224ABF">
      <w:pPr>
        <w:spacing w:after="0" w:line="240" w:lineRule="auto"/>
        <w:jc w:val="both"/>
        <w:rPr>
          <w:rFonts w:cs="Arial"/>
          <w:b/>
        </w:rPr>
      </w:pPr>
    </w:p>
    <w:p w14:paraId="6A64BA4F" w14:textId="77777777" w:rsidR="00224ABF" w:rsidRPr="00224ABF" w:rsidRDefault="00224ABF" w:rsidP="00224ABF">
      <w:pPr>
        <w:jc w:val="both"/>
        <w:rPr>
          <w:rFonts w:cs="Arial"/>
        </w:rPr>
      </w:pPr>
      <w:r w:rsidRPr="00224ABF">
        <w:rPr>
          <w:rFonts w:cs="Arial"/>
        </w:rPr>
        <w:t>Actualmente se ejecutan las siguientes obras:</w:t>
      </w:r>
    </w:p>
    <w:p w14:paraId="354C4E87" w14:textId="77777777" w:rsidR="00224ABF" w:rsidRPr="00224ABF" w:rsidRDefault="00224ABF" w:rsidP="00224ABF">
      <w:pPr>
        <w:tabs>
          <w:tab w:val="left" w:pos="142"/>
        </w:tabs>
        <w:jc w:val="both"/>
        <w:rPr>
          <w:rFonts w:cs="Arial"/>
        </w:rPr>
      </w:pPr>
      <w:r w:rsidRPr="00224ABF">
        <w:rPr>
          <w:rFonts w:cs="Arial"/>
        </w:rPr>
        <w:t>-</w:t>
      </w:r>
      <w:r w:rsidRPr="00224ABF">
        <w:rPr>
          <w:rFonts w:cs="Arial"/>
        </w:rPr>
        <w:tab/>
        <w:t xml:space="preserve">Construcción de las obras de protección marina en el sector de Los Muchachitos, consistentes en la construcción de tres (3) rompeolas, dos de 180m de longitud y uno de 280m, para un total de 640 metros, y la construcción de 340 metros de muro de contención en tierra armada, con el objeto de disminuir la energía de las olas y evitar que estas golpeen y socaven el talud de la carretera. </w:t>
      </w:r>
    </w:p>
    <w:p w14:paraId="4B6D651D" w14:textId="77777777" w:rsidR="00224ABF" w:rsidRPr="00224ABF" w:rsidRDefault="00224ABF" w:rsidP="00224ABF">
      <w:pPr>
        <w:jc w:val="both"/>
        <w:rPr>
          <w:rFonts w:cs="Arial"/>
        </w:rPr>
      </w:pPr>
      <w:r w:rsidRPr="00224ABF">
        <w:rPr>
          <w:rFonts w:cs="Arial"/>
        </w:rPr>
        <w:t xml:space="preserve">Actualmente, se encuentra en construcción el muro en tierra armada con un porcentaje ejecutado correspondiente al 95%, </w:t>
      </w:r>
    </w:p>
    <w:p w14:paraId="3ECCDBBB" w14:textId="77777777" w:rsidR="00224ABF" w:rsidRPr="00224ABF" w:rsidRDefault="00224ABF" w:rsidP="00224ABF">
      <w:pPr>
        <w:jc w:val="both"/>
        <w:rPr>
          <w:rFonts w:cs="Arial"/>
        </w:rPr>
      </w:pPr>
      <w:r w:rsidRPr="00224ABF">
        <w:rPr>
          <w:rFonts w:cs="Arial"/>
        </w:rPr>
        <w:t xml:space="preserve">La construcción del rompeolas no ha iniciado por no contar con el permiso emitido por la DIMAR. Sin embargo, se espera la emisión del permiso a finales de abril 2014 y la finalización de las obras en septiembre 2014. </w:t>
      </w:r>
    </w:p>
    <w:p w14:paraId="7D22C266" w14:textId="77777777" w:rsidR="00224ABF" w:rsidRPr="00224ABF" w:rsidRDefault="00224ABF" w:rsidP="00224ABF">
      <w:pPr>
        <w:jc w:val="both"/>
        <w:rPr>
          <w:rFonts w:cs="Arial"/>
          <w:b/>
          <w:u w:val="single"/>
        </w:rPr>
      </w:pPr>
      <w:r w:rsidRPr="00224ABF">
        <w:rPr>
          <w:rFonts w:cs="Arial"/>
          <w:b/>
          <w:u w:val="single"/>
        </w:rPr>
        <w:t>Problemas Presentados:</w:t>
      </w:r>
    </w:p>
    <w:p w14:paraId="3988B7CB" w14:textId="77777777" w:rsidR="00224ABF" w:rsidRPr="00224ABF" w:rsidRDefault="00224ABF" w:rsidP="00224ABF">
      <w:pPr>
        <w:pStyle w:val="Prrafodelista"/>
        <w:numPr>
          <w:ilvl w:val="0"/>
          <w:numId w:val="133"/>
        </w:numPr>
        <w:jc w:val="both"/>
        <w:rPr>
          <w:rFonts w:cs="Arial"/>
        </w:rPr>
      </w:pPr>
      <w:r w:rsidRPr="00224ABF">
        <w:rPr>
          <w:rFonts w:cs="Arial"/>
        </w:rPr>
        <w:t xml:space="preserve">La destrucción de los rompeolas inicialmente construidos en geotubos debido a materiales arrastrados por el Rio Palomino. </w:t>
      </w:r>
    </w:p>
    <w:p w14:paraId="4CFFC096" w14:textId="77777777" w:rsidR="00224ABF" w:rsidRPr="00224ABF" w:rsidRDefault="00224ABF" w:rsidP="00224ABF">
      <w:pPr>
        <w:pStyle w:val="Prrafodelista"/>
        <w:numPr>
          <w:ilvl w:val="0"/>
          <w:numId w:val="133"/>
        </w:numPr>
        <w:jc w:val="both"/>
        <w:rPr>
          <w:rFonts w:cs="Arial"/>
        </w:rPr>
      </w:pPr>
      <w:r w:rsidRPr="00224ABF">
        <w:rPr>
          <w:rFonts w:cs="Arial"/>
        </w:rPr>
        <w:t xml:space="preserve">Demoras en la actualización del permiso de ocupación de la DIMAR para la construcción de los nuevos rompeolas, los cuales contemplan un nuevo diseño debido al fallo de los anteriores. Se espera que el permiso sea emitido a finales de abril de 2014, y así poder dar inicio a la construcción del rompeolas. </w:t>
      </w:r>
    </w:p>
    <w:p w14:paraId="0A8C0C2B" w14:textId="77777777" w:rsidR="00224ABF" w:rsidRPr="00224ABF" w:rsidRDefault="00224ABF" w:rsidP="00224ABF">
      <w:pPr>
        <w:spacing w:after="0" w:line="240" w:lineRule="auto"/>
        <w:jc w:val="both"/>
        <w:rPr>
          <w:rFonts w:cs="Arial"/>
          <w:b/>
        </w:rPr>
      </w:pPr>
    </w:p>
    <w:p w14:paraId="39BB80A6" w14:textId="77777777" w:rsidR="00224ABF" w:rsidRPr="00224ABF" w:rsidRDefault="00224ABF" w:rsidP="00224ABF">
      <w:pPr>
        <w:spacing w:after="0" w:line="240" w:lineRule="auto"/>
        <w:jc w:val="both"/>
        <w:rPr>
          <w:rFonts w:cs="Arial"/>
          <w:b/>
        </w:rPr>
      </w:pPr>
      <w:r w:rsidRPr="00224ABF">
        <w:rPr>
          <w:rFonts w:cs="Arial"/>
          <w:b/>
        </w:rPr>
        <w:t>ÁREA SOCIO AMBIENTAL</w:t>
      </w:r>
    </w:p>
    <w:p w14:paraId="69432E87" w14:textId="77777777" w:rsidR="00224ABF" w:rsidRPr="00224ABF" w:rsidRDefault="00224ABF" w:rsidP="00224ABF">
      <w:pPr>
        <w:spacing w:after="0" w:line="240" w:lineRule="auto"/>
        <w:jc w:val="both"/>
        <w:rPr>
          <w:rFonts w:cs="Arial"/>
          <w:b/>
        </w:rPr>
      </w:pPr>
    </w:p>
    <w:p w14:paraId="515CE328" w14:textId="77777777" w:rsidR="00224ABF" w:rsidRPr="00224ABF" w:rsidRDefault="00224ABF" w:rsidP="00224ABF">
      <w:pPr>
        <w:jc w:val="both"/>
        <w:rPr>
          <w:rFonts w:cs="Arial"/>
        </w:rPr>
      </w:pPr>
      <w:r w:rsidRPr="00224ABF">
        <w:rPr>
          <w:rFonts w:cs="Arial"/>
        </w:rPr>
        <w:t>Se cuenta con la mayoría de licencias ambientales para la construcción de las obras de protección marina en el sector de los Muchachitos y otras resoluciones.</w:t>
      </w:r>
    </w:p>
    <w:p w14:paraId="738367DE" w14:textId="77777777" w:rsidR="00224ABF" w:rsidRPr="00224ABF" w:rsidRDefault="00224ABF" w:rsidP="00224ABF">
      <w:pPr>
        <w:contextualSpacing/>
        <w:jc w:val="both"/>
        <w:rPr>
          <w:rFonts w:cs="Arial"/>
        </w:rPr>
      </w:pPr>
    </w:p>
    <w:p w14:paraId="1334B6E6" w14:textId="77777777" w:rsidR="00224ABF" w:rsidRPr="00224ABF" w:rsidRDefault="00224ABF" w:rsidP="00224ABF">
      <w:pPr>
        <w:numPr>
          <w:ilvl w:val="0"/>
          <w:numId w:val="180"/>
        </w:numPr>
        <w:spacing w:after="160" w:line="240" w:lineRule="auto"/>
        <w:contextualSpacing/>
        <w:jc w:val="both"/>
        <w:rPr>
          <w:rFonts w:cs="Arial"/>
        </w:rPr>
      </w:pPr>
      <w:r w:rsidRPr="00224ABF">
        <w:rPr>
          <w:rFonts w:cs="Arial"/>
        </w:rPr>
        <w:lastRenderedPageBreak/>
        <w:t>Mediante radicado ANI No. 20144090001972 del 7 de enero de 2014, el Concesionario remite a la DIMAR información complementaria a la solicitud modificatoria de la Resolución No. 0001 del 03 de Enero de 2011.</w:t>
      </w:r>
    </w:p>
    <w:p w14:paraId="685943C9" w14:textId="77777777" w:rsidR="00224ABF" w:rsidRPr="00224ABF" w:rsidRDefault="00224ABF" w:rsidP="00224ABF">
      <w:pPr>
        <w:contextualSpacing/>
        <w:jc w:val="both"/>
        <w:rPr>
          <w:rFonts w:cs="Arial"/>
        </w:rPr>
      </w:pPr>
    </w:p>
    <w:p w14:paraId="438A52A2" w14:textId="77777777" w:rsidR="00224ABF" w:rsidRPr="00224ABF" w:rsidRDefault="00224ABF" w:rsidP="00224ABF">
      <w:pPr>
        <w:numPr>
          <w:ilvl w:val="0"/>
          <w:numId w:val="180"/>
        </w:numPr>
        <w:spacing w:after="160" w:line="240" w:lineRule="auto"/>
        <w:contextualSpacing/>
        <w:jc w:val="both"/>
        <w:rPr>
          <w:rFonts w:cs="Arial"/>
        </w:rPr>
      </w:pPr>
      <w:r w:rsidRPr="00224ABF">
        <w:rPr>
          <w:rFonts w:cs="Arial"/>
        </w:rPr>
        <w:t>Mediante oficio radicado bajo consecutivo No. 1279 del 28 de Febrero de 2014, el representante legal del consorcio ODINSA-VALORCON, presentó a CORPOMAG nuevamente solicitud de modificación de licencia ambiental otorgada a través de la Resolución No. 2258 del 02 de Octubre de 2013.</w:t>
      </w:r>
    </w:p>
    <w:p w14:paraId="2C90D7CF" w14:textId="77777777" w:rsidR="00224ABF" w:rsidRPr="00224ABF" w:rsidRDefault="00224ABF" w:rsidP="00224ABF">
      <w:pPr>
        <w:contextualSpacing/>
        <w:jc w:val="both"/>
        <w:rPr>
          <w:rFonts w:cs="Arial"/>
        </w:rPr>
      </w:pPr>
    </w:p>
    <w:p w14:paraId="4BB3FA90" w14:textId="77777777" w:rsidR="00224ABF" w:rsidRPr="00224ABF" w:rsidRDefault="00224ABF" w:rsidP="00224ABF">
      <w:pPr>
        <w:numPr>
          <w:ilvl w:val="0"/>
          <w:numId w:val="180"/>
        </w:numPr>
        <w:spacing w:after="160" w:line="240" w:lineRule="auto"/>
        <w:contextualSpacing/>
        <w:jc w:val="both"/>
        <w:rPr>
          <w:rFonts w:cs="Arial"/>
        </w:rPr>
      </w:pPr>
      <w:r w:rsidRPr="00224ABF">
        <w:rPr>
          <w:rFonts w:cs="Arial"/>
        </w:rPr>
        <w:t>Mediante Auto No. 196 del 13 de Marzo de 2014, CORPOMAG, admitió la petición presentada por el consorcio ODINSA-VALORCON, ordenando el trámite administrativo de modificación de licencia ambiental.</w:t>
      </w:r>
    </w:p>
    <w:p w14:paraId="52A04266" w14:textId="77777777" w:rsidR="00224ABF" w:rsidRPr="00224ABF" w:rsidRDefault="00224ABF" w:rsidP="00224ABF">
      <w:pPr>
        <w:numPr>
          <w:ilvl w:val="0"/>
          <w:numId w:val="180"/>
        </w:numPr>
        <w:spacing w:after="160" w:line="240" w:lineRule="auto"/>
        <w:contextualSpacing/>
        <w:jc w:val="both"/>
        <w:rPr>
          <w:rFonts w:cs="Arial"/>
        </w:rPr>
      </w:pPr>
      <w:r w:rsidRPr="00224ABF">
        <w:rPr>
          <w:rFonts w:cs="Arial"/>
        </w:rPr>
        <w:t xml:space="preserve">Mediante Auto No. 235 del 31 de Marzo de 2014, CORPOMAG, declaró reunida toda la información requerida para decidir de fondo el trámite de modificación de licencia ambiental.  </w:t>
      </w:r>
    </w:p>
    <w:p w14:paraId="115D1F38" w14:textId="77777777" w:rsidR="00224ABF" w:rsidRPr="00224ABF" w:rsidRDefault="00224ABF" w:rsidP="00224ABF">
      <w:pPr>
        <w:numPr>
          <w:ilvl w:val="0"/>
          <w:numId w:val="180"/>
        </w:numPr>
        <w:spacing w:after="0" w:line="240" w:lineRule="auto"/>
        <w:jc w:val="both"/>
        <w:rPr>
          <w:rFonts w:cs="Arial"/>
          <w:u w:val="single"/>
        </w:rPr>
      </w:pPr>
      <w:r w:rsidRPr="00224ABF">
        <w:rPr>
          <w:rFonts w:cs="Arial"/>
        </w:rPr>
        <w:t>Pendiente que sea otorgado el permiso de la DIMAR para la construcción de los rompeolas, obra de protección marina en el sector de Los Muchachitos. El Concesionario informó que la DIMAR ya emitió el permiso pero todavía no ha sido publicado, y por consiguiente, comenzaron a gestionar lo necesario para iniciar obras pronto.</w:t>
      </w:r>
    </w:p>
    <w:p w14:paraId="3C835A72" w14:textId="77777777" w:rsidR="00224ABF" w:rsidRPr="00224ABF" w:rsidRDefault="00224ABF" w:rsidP="00224ABF">
      <w:pPr>
        <w:pStyle w:val="Prrafodelista"/>
        <w:jc w:val="both"/>
        <w:rPr>
          <w:rFonts w:cs="Arial"/>
        </w:rPr>
      </w:pPr>
    </w:p>
    <w:p w14:paraId="16319C9C" w14:textId="77777777" w:rsidR="00224ABF" w:rsidRPr="00224ABF" w:rsidRDefault="00224ABF" w:rsidP="00224ABF">
      <w:pPr>
        <w:spacing w:after="0" w:line="240" w:lineRule="auto"/>
        <w:jc w:val="both"/>
        <w:rPr>
          <w:rFonts w:cs="Arial"/>
          <w:u w:val="single"/>
        </w:rPr>
      </w:pPr>
      <w:r w:rsidRPr="00224ABF">
        <w:rPr>
          <w:rFonts w:cs="Arial"/>
        </w:rPr>
        <w:t xml:space="preserve"> </w:t>
      </w:r>
      <w:r w:rsidRPr="00224ABF">
        <w:rPr>
          <w:rFonts w:cs="Arial"/>
          <w:b/>
          <w:u w:val="single"/>
        </w:rPr>
        <w:t>Problemas Sociales</w:t>
      </w:r>
      <w:r w:rsidRPr="00224ABF">
        <w:rPr>
          <w:rFonts w:cs="Arial"/>
          <w:u w:val="single"/>
        </w:rPr>
        <w:t>.</w:t>
      </w:r>
    </w:p>
    <w:p w14:paraId="0851D44F" w14:textId="77777777" w:rsidR="00224ABF" w:rsidRPr="00224ABF" w:rsidRDefault="00224ABF" w:rsidP="00224ABF">
      <w:pPr>
        <w:jc w:val="both"/>
        <w:rPr>
          <w:rFonts w:cs="Arial"/>
        </w:rPr>
      </w:pPr>
    </w:p>
    <w:p w14:paraId="464A80B0" w14:textId="77777777" w:rsidR="00224ABF" w:rsidRPr="00224ABF" w:rsidRDefault="00224ABF" w:rsidP="00224ABF">
      <w:pPr>
        <w:jc w:val="both"/>
        <w:rPr>
          <w:rFonts w:cs="Arial"/>
        </w:rPr>
      </w:pPr>
      <w:r w:rsidRPr="00224ABF">
        <w:rPr>
          <w:rFonts w:cs="Arial"/>
        </w:rPr>
        <w:t>Aún se informa que los principales problemas sociales presentados son los originados por la invasión al derecho de vía, por parte de colonos de la región, caso éste que ha sido notificado a las autoridades correspondientes y a la fecha no han actuado de la forma debida ya que el problema sigue aumentando.</w:t>
      </w:r>
    </w:p>
    <w:p w14:paraId="7C65F2E2" w14:textId="77777777" w:rsidR="00224ABF" w:rsidRPr="00224ABF" w:rsidRDefault="00224ABF" w:rsidP="00224ABF">
      <w:pPr>
        <w:pStyle w:val="Prrafodelista"/>
        <w:ind w:left="0"/>
        <w:jc w:val="both"/>
        <w:rPr>
          <w:rFonts w:cs="Arial"/>
        </w:rPr>
      </w:pPr>
      <w:r w:rsidRPr="00224ABF">
        <w:rPr>
          <w:rFonts w:cs="Arial"/>
        </w:rPr>
        <w:t>El pasado 12 de marzo del año en curso ocurrió un accidente trágico en la vía, el cual cobro la vida de una menor de edad, habitante de la comunidad de Pelechua, acontecimiento preocupante y que causo que la comunidad invasora del sector, construyera ilegalmente 10 resaltos en concreto cada uno ubicado a unos 100 mts de distancia, colocados en el PR 50+175 al PR 51+075 de la margen derecha sentido Santa Marta – Riohacha, los cuales no cumplen con ninguna norma de diseño establecida para tal efecto, de igual manera este es un hecho irregular y catalogado también como invasión al derecho de vía puesto que no hubo permiso alguno por parte de la ANI y el Concesionario respectivamente para ocupación temporal de vía.</w:t>
      </w:r>
    </w:p>
    <w:p w14:paraId="6E23C5FB" w14:textId="77777777" w:rsidR="00224ABF" w:rsidRPr="00224ABF" w:rsidRDefault="00224ABF" w:rsidP="00224ABF">
      <w:pPr>
        <w:pStyle w:val="Prrafodelista"/>
        <w:ind w:left="0"/>
        <w:jc w:val="both"/>
        <w:rPr>
          <w:rFonts w:cs="Arial"/>
        </w:rPr>
      </w:pPr>
    </w:p>
    <w:p w14:paraId="58799594" w14:textId="77777777" w:rsidR="00224ABF" w:rsidRPr="00224ABF" w:rsidRDefault="00224ABF" w:rsidP="00224ABF">
      <w:pPr>
        <w:pStyle w:val="Prrafodelista"/>
        <w:ind w:left="0"/>
        <w:jc w:val="both"/>
        <w:rPr>
          <w:rFonts w:cs="Arial"/>
        </w:rPr>
      </w:pPr>
      <w:r w:rsidRPr="00224ABF">
        <w:rPr>
          <w:rFonts w:cs="Arial"/>
        </w:rPr>
        <w:t xml:space="preserve">Será de igual manera reiterada a la Alcaldía Municipal de La Guajira, la comunicación </w:t>
      </w:r>
      <w:r w:rsidRPr="00224ABF">
        <w:rPr>
          <w:rFonts w:cs="Arial"/>
          <w:b/>
          <w:u w:val="single"/>
        </w:rPr>
        <w:t xml:space="preserve">ANI No.20147060054061 </w:t>
      </w:r>
      <w:r w:rsidRPr="00224ABF">
        <w:rPr>
          <w:rFonts w:cs="Arial"/>
        </w:rPr>
        <w:t>de fecha 19/03/2014, en la cual la ANI solicita informar las actuaciones que se han efectuado por parte de esa entidad a las diferentes denuncias instauradas por el Concesionario Santa Marta Paraguachón S.A, con respecto a la problemática de invasión al derecho de vía. Esto considerando que hasta la fecha no se ha recibido respuesta alguna de su parte en cuanto a las denuncias realizadas con el fin de mejorar dicha problemática y que se mantenga así la protección y recuperación del Espacio Público.</w:t>
      </w:r>
    </w:p>
    <w:p w14:paraId="4B6C3EC8" w14:textId="77777777" w:rsidR="00224ABF" w:rsidRPr="00224ABF" w:rsidRDefault="00224ABF" w:rsidP="00224ABF">
      <w:pPr>
        <w:pStyle w:val="Prrafodelista"/>
        <w:ind w:left="0"/>
        <w:jc w:val="both"/>
        <w:rPr>
          <w:rFonts w:cs="Arial"/>
        </w:rPr>
      </w:pPr>
    </w:p>
    <w:p w14:paraId="12B16DB4" w14:textId="77777777" w:rsidR="00224ABF" w:rsidRPr="00224ABF" w:rsidRDefault="00224ABF" w:rsidP="00224ABF">
      <w:pPr>
        <w:pStyle w:val="Prrafodelista"/>
        <w:ind w:left="0"/>
        <w:jc w:val="both"/>
        <w:rPr>
          <w:rFonts w:cs="Arial"/>
        </w:rPr>
      </w:pPr>
      <w:r w:rsidRPr="00224ABF">
        <w:rPr>
          <w:rFonts w:cs="Arial"/>
        </w:rPr>
        <w:t xml:space="preserve">Se mantiene una situación incómoda con los representantes de las comunidades Wayuu, vecinos del peaje de Alto Pino, debido a la elusión del peaje de Alto Pino, permitida por ellos. Actualmente se están llevando a cabo mesas de verificación de la Acción Popular interpuesta con el Concesionario, con relación al tema de elusión del peaje y otros aspectos. </w:t>
      </w:r>
    </w:p>
    <w:p w14:paraId="4AD0D777" w14:textId="77777777" w:rsidR="00224ABF" w:rsidRPr="00224ABF" w:rsidRDefault="00224ABF" w:rsidP="00224ABF">
      <w:pPr>
        <w:contextualSpacing/>
        <w:jc w:val="both"/>
        <w:rPr>
          <w:rFonts w:cs="Arial"/>
        </w:rPr>
      </w:pPr>
      <w:r w:rsidRPr="00224ABF">
        <w:rPr>
          <w:rFonts w:cs="Arial"/>
        </w:rPr>
        <w:t>Actualmente el equipo de trabajo del Proyecto por parte de la ANI, se encuentra trabajando en el Proyecto de Resolución “</w:t>
      </w:r>
      <w:r w:rsidRPr="00224ABF">
        <w:rPr>
          <w:rFonts w:cs="Arial"/>
          <w:i/>
        </w:rPr>
        <w:t>Por la cual se establece una tarifa especial diferencial para la estación de peaje de Alto Pino”</w:t>
      </w:r>
      <w:r w:rsidRPr="00224ABF">
        <w:rPr>
          <w:rFonts w:cs="Arial"/>
        </w:rPr>
        <w:t>, que será remitido al Ministerio de Transporte durante el  mes de abril.</w:t>
      </w:r>
    </w:p>
    <w:p w14:paraId="48E6BCCF" w14:textId="77777777" w:rsidR="00224ABF" w:rsidRPr="00224ABF" w:rsidRDefault="00224ABF" w:rsidP="00224ABF">
      <w:pPr>
        <w:spacing w:after="0" w:line="240" w:lineRule="auto"/>
        <w:jc w:val="both"/>
        <w:rPr>
          <w:rFonts w:cs="Arial"/>
          <w:color w:val="FF0000"/>
        </w:rPr>
      </w:pPr>
    </w:p>
    <w:p w14:paraId="56E61D1A" w14:textId="77777777" w:rsidR="00224ABF" w:rsidRPr="00224ABF" w:rsidRDefault="00224ABF" w:rsidP="00224ABF">
      <w:pPr>
        <w:spacing w:after="0" w:line="240" w:lineRule="auto"/>
        <w:jc w:val="both"/>
        <w:rPr>
          <w:rFonts w:cs="Arial"/>
          <w:b/>
        </w:rPr>
      </w:pPr>
    </w:p>
    <w:p w14:paraId="54F7485C" w14:textId="77777777" w:rsidR="00224ABF" w:rsidRPr="00224ABF" w:rsidRDefault="00224ABF" w:rsidP="00224ABF">
      <w:pPr>
        <w:jc w:val="both"/>
        <w:rPr>
          <w:rFonts w:cs="Arial"/>
          <w:b/>
        </w:rPr>
      </w:pPr>
      <w:r w:rsidRPr="00224ABF">
        <w:rPr>
          <w:rFonts w:cs="Arial"/>
          <w:b/>
        </w:rPr>
        <w:t>PROBLEMATICA</w:t>
      </w:r>
    </w:p>
    <w:p w14:paraId="66179D14" w14:textId="77777777" w:rsidR="00224ABF" w:rsidRPr="00224ABF" w:rsidRDefault="00224ABF" w:rsidP="00224ABF">
      <w:pPr>
        <w:numPr>
          <w:ilvl w:val="0"/>
          <w:numId w:val="180"/>
        </w:numPr>
        <w:jc w:val="both"/>
        <w:rPr>
          <w:rFonts w:cs="Arial"/>
        </w:rPr>
      </w:pPr>
      <w:r w:rsidRPr="00224ABF">
        <w:rPr>
          <w:rFonts w:cs="Arial"/>
        </w:rPr>
        <w:t xml:space="preserve">La resolución 0146 de 2010 otorgó un diferencial tarifario a varios usuarios del peaje de Paraguachón, sin embargo esta resolución tuvo una vigencia de 1 año, y desde su fecha de vencimiento el Concesionario ha venido otorgando el beneficio basado en una comunicación remitida por el INCO prorrogando temporalmente la tarifa diferencial. Se encuentra en proceso de verificación el monto que el Concesionario indica que le adeudamos, debido a que en el otrosí No 10, se contempló un valor para tarifa diferencial el cual aparentemente no es considerado por el Concesionario. Este cálculo dependerá de lo que se establezca acuerde para el cálculo de la tarifa diferencial a partir de la Resolución 092, de modo que se puedan analizar los pagos realizados por la entidad al Concesionario durante el Ingreso Mínimo Garantizado de los años 2009-2011. Adicionalmente, tanto la Interventoría como la Agencia, indica que en el momento no existe un acto administrativo que haya aprobado el cobro de la tarifa diferencial, tal como indica el Concesionario. La Resolución 092 del 17 de enero de 2014 otorgó la tarifa diferencial a 255 beneficiarios de Paraguachón. </w:t>
      </w:r>
    </w:p>
    <w:p w14:paraId="32F1FD3B" w14:textId="77777777" w:rsidR="00224ABF" w:rsidRPr="00224ABF" w:rsidRDefault="00224ABF" w:rsidP="00224ABF">
      <w:pPr>
        <w:numPr>
          <w:ilvl w:val="0"/>
          <w:numId w:val="180"/>
        </w:numPr>
        <w:jc w:val="both"/>
        <w:rPr>
          <w:rFonts w:cs="Arial"/>
        </w:rPr>
      </w:pPr>
      <w:r w:rsidRPr="00224ABF">
        <w:rPr>
          <w:rFonts w:cs="Arial"/>
        </w:rPr>
        <w:t xml:space="preserve">Consecución de recursos para pago de tarifa diferencial otorgada a 255 beneficiarios de Paraguachón, según la resolución 092 del 17 de enero de 2014. </w:t>
      </w:r>
    </w:p>
    <w:p w14:paraId="088C88AB" w14:textId="77777777" w:rsidR="00224ABF" w:rsidRPr="00224ABF" w:rsidRDefault="00224ABF" w:rsidP="00224ABF">
      <w:pPr>
        <w:numPr>
          <w:ilvl w:val="0"/>
          <w:numId w:val="180"/>
        </w:numPr>
        <w:jc w:val="both"/>
        <w:rPr>
          <w:rFonts w:cs="Arial"/>
        </w:rPr>
      </w:pPr>
      <w:r w:rsidRPr="00224ABF">
        <w:rPr>
          <w:rFonts w:cs="Arial"/>
        </w:rPr>
        <w:t>En la actualidad la vía se encuentra afectada y tiene tráfico restringido a un carril, debido a la ola invernal del 2010, en el PR 23+900, debido a la creciente del rio Piedras. En concepto de enero de 2014 por parte de la interventoría, la responsabilidad en el mantenimiento de los muros existentes y en la reconstrucción de la banca, es del Concesionario, y por lo tanto se tiene pendiente requerirlo para cumplir sus obligaciones. Adicionalmente, se debe evaluar si se inicia un proceso sancionatorio al Concesionario por no haber realizado el mantenimiento de las obras y mantener la correcta operación de la vía.</w:t>
      </w:r>
    </w:p>
    <w:p w14:paraId="1263BF7F" w14:textId="4F00D607" w:rsidR="00224ABF" w:rsidRPr="00224ABF" w:rsidRDefault="00224ABF" w:rsidP="00224ABF">
      <w:pPr>
        <w:numPr>
          <w:ilvl w:val="0"/>
          <w:numId w:val="180"/>
        </w:numPr>
        <w:jc w:val="both"/>
        <w:rPr>
          <w:rFonts w:cs="Arial"/>
        </w:rPr>
      </w:pPr>
      <w:r w:rsidRPr="00224ABF">
        <w:rPr>
          <w:rFonts w:cs="Arial"/>
        </w:rPr>
        <w:t>Se encuentra en proceso de validación y estudio técnico por parte de la Interventoría Consorcio BIC 2014, el presupuesto e informe remitido por el Concesionario Santa Marta Paragu</w:t>
      </w:r>
      <w:r w:rsidR="000C5F64">
        <w:rPr>
          <w:rFonts w:cs="Arial"/>
        </w:rPr>
        <w:t>a</w:t>
      </w:r>
      <w:r w:rsidRPr="00224ABF">
        <w:rPr>
          <w:rFonts w:cs="Arial"/>
        </w:rPr>
        <w:t xml:space="preserve">chón S.A., de las obras necesarias para prorrogar la vida útil de la estructura de pavimento del sector Maicao – Carraipía – Paradero,  para poder dar alcance a la totalidad </w:t>
      </w:r>
      <w:r w:rsidRPr="00224ABF">
        <w:rPr>
          <w:rFonts w:cs="Arial"/>
        </w:rPr>
        <w:lastRenderedPageBreak/>
        <w:t>de la longitud del proyecto. Una vez validada la alternativa, se procederá a evaluar opciones para ejecutar su construcción.</w:t>
      </w:r>
    </w:p>
    <w:p w14:paraId="17B62788" w14:textId="77777777" w:rsidR="00224ABF" w:rsidRPr="00224ABF" w:rsidRDefault="00224ABF" w:rsidP="00224ABF">
      <w:pPr>
        <w:numPr>
          <w:ilvl w:val="0"/>
          <w:numId w:val="181"/>
        </w:numPr>
        <w:jc w:val="both"/>
        <w:rPr>
          <w:rStyle w:val="nfasisintenso10"/>
          <w:rFonts w:cs="Arial"/>
          <w:b w:val="0"/>
          <w:bCs w:val="0"/>
          <w:i w:val="0"/>
          <w:iCs w:val="0"/>
          <w:lang w:val="es-ES"/>
        </w:rPr>
      </w:pPr>
      <w:r w:rsidRPr="00224ABF">
        <w:rPr>
          <w:rFonts w:cs="Arial"/>
        </w:rPr>
        <w:t xml:space="preserve">El concesionario tiene pendiente presentar un estimado de las obras requeridas para llevar a cabo el mantenimiento mayor de la red vial, debido a que ha cumplido su vida útil. La interventoría validará los estudios técnicos, jurídicos y financieros que soporten esta solicitud. </w:t>
      </w:r>
    </w:p>
    <w:p w14:paraId="134AB823" w14:textId="77777777" w:rsidR="00224ABF" w:rsidRPr="00224ABF" w:rsidRDefault="00224ABF" w:rsidP="00224ABF">
      <w:pPr>
        <w:jc w:val="both"/>
        <w:rPr>
          <w:rFonts w:cs="Arial"/>
          <w:b/>
          <w:bCs/>
          <w:iCs/>
        </w:rPr>
      </w:pPr>
      <w:r w:rsidRPr="00224ABF">
        <w:rPr>
          <w:rStyle w:val="nfasisintenso10"/>
          <w:rFonts w:cs="Arial"/>
        </w:rPr>
        <w:t xml:space="preserve">LOGROS </w:t>
      </w:r>
    </w:p>
    <w:p w14:paraId="3486C4CC" w14:textId="77777777" w:rsidR="00224ABF" w:rsidRPr="00224ABF" w:rsidRDefault="00224ABF" w:rsidP="00224ABF">
      <w:pPr>
        <w:jc w:val="both"/>
        <w:rPr>
          <w:rFonts w:cs="Arial"/>
        </w:rPr>
      </w:pPr>
      <w:r w:rsidRPr="00224ABF">
        <w:rPr>
          <w:rFonts w:cs="Arial"/>
        </w:rPr>
        <w:t xml:space="preserve">Se logró formalizar mediante acto administrativo, el cobro de tarifa diferencial de Paraguachón, el cual estaba en la informalidad desde la perdida de vigencia de la resolución del 2010. Esto brinda grandes beneficios para la comunidad de Paraguachón, quienes han visto afectado sus servicios vitales, como por ejemplo la recolección de basuras y suministro de agua, debido a que estos vehículos no pasaban el peaje por el costo del mismo. Adicionalmente, se pudieron incluir nuevos usuarios y se establecieron procedimientos más precisos para el control de cumplimiento y el buen uso del beneficio de tarifa diferencial. </w:t>
      </w:r>
    </w:p>
    <w:p w14:paraId="313894C9" w14:textId="6E1FA97A" w:rsidR="00224ABF" w:rsidRPr="00224ABF" w:rsidRDefault="00224ABF" w:rsidP="00224ABF">
      <w:pPr>
        <w:contextualSpacing/>
        <w:jc w:val="both"/>
        <w:rPr>
          <w:rFonts w:cs="Arial"/>
        </w:rPr>
      </w:pPr>
      <w:r w:rsidRPr="00224ABF">
        <w:rPr>
          <w:rFonts w:cs="Arial"/>
          <w:i/>
          <w:lang w:val="es-MX"/>
        </w:rPr>
        <w:t xml:space="preserve"> </w:t>
      </w:r>
      <w:r w:rsidRPr="00224ABF">
        <w:rPr>
          <w:rFonts w:cs="Arial"/>
        </w:rPr>
        <w:t xml:space="preserve">Actualmente se viene trabajando en la realización del Proyecto de Resolución de Tarifa Diferencial del peaje de Alto Pino.  </w:t>
      </w:r>
    </w:p>
    <w:p w14:paraId="62B0B238" w14:textId="77777777" w:rsidR="00224ABF" w:rsidRPr="00224ABF" w:rsidRDefault="00224ABF" w:rsidP="00224ABF">
      <w:pPr>
        <w:contextualSpacing/>
        <w:jc w:val="both"/>
        <w:rPr>
          <w:rFonts w:cs="Arial"/>
        </w:rPr>
      </w:pPr>
    </w:p>
    <w:p w14:paraId="2FB1E7F6" w14:textId="77777777" w:rsidR="00224ABF" w:rsidRPr="00224ABF" w:rsidRDefault="00224ABF" w:rsidP="00224ABF">
      <w:pPr>
        <w:contextualSpacing/>
        <w:jc w:val="both"/>
        <w:rPr>
          <w:rFonts w:cs="Arial"/>
        </w:rPr>
      </w:pPr>
      <w:r w:rsidRPr="00224ABF">
        <w:rPr>
          <w:rFonts w:cs="Arial"/>
        </w:rPr>
        <w:t>Se está gestionando también la Adición del Contrato de Interventoría No.089 de 2012 de la firma Consorcio BIC 2014, que vence el 02 de junio de 2014, con el fin de que el Proyecto cuente con el Control de seguimiento a todos y cada uno de los procesos que realiza el Concesionario.</w:t>
      </w:r>
    </w:p>
    <w:p w14:paraId="571C8522" w14:textId="77777777" w:rsidR="00224ABF" w:rsidRPr="00224ABF" w:rsidRDefault="00224ABF" w:rsidP="00224ABF">
      <w:pPr>
        <w:jc w:val="both"/>
        <w:rPr>
          <w:rFonts w:cs="Arial"/>
          <w:lang w:val="es-ES"/>
        </w:rPr>
      </w:pPr>
    </w:p>
    <w:p w14:paraId="4AE38BE9" w14:textId="77777777" w:rsidR="00224ABF" w:rsidRPr="00224ABF" w:rsidRDefault="00224ABF" w:rsidP="00224ABF">
      <w:pPr>
        <w:jc w:val="both"/>
        <w:rPr>
          <w:rFonts w:eastAsia="Times New Roman" w:cs="Arial"/>
          <w:b/>
          <w:lang w:val="es-ES"/>
        </w:rPr>
      </w:pPr>
      <w:r w:rsidRPr="00224ABF">
        <w:rPr>
          <w:rFonts w:eastAsia="Times New Roman" w:cs="Arial"/>
          <w:b/>
          <w:lang w:val="es-ES"/>
        </w:rPr>
        <w:t>4. INFORME DE GESTIÓN  PROYECTO CONCESIÓN DESARROLLO VIAL PARA EL NORTE DE BOGOTÁ DEVINORTE</w:t>
      </w:r>
    </w:p>
    <w:p w14:paraId="167B400A" w14:textId="77777777" w:rsidR="00224ABF" w:rsidRPr="00224ABF" w:rsidRDefault="00224ABF" w:rsidP="00224ABF">
      <w:pPr>
        <w:jc w:val="both"/>
        <w:rPr>
          <w:rFonts w:cs="Arial"/>
          <w:b/>
          <w:lang w:val="es-ES"/>
        </w:rPr>
      </w:pPr>
      <w:r w:rsidRPr="00224ABF">
        <w:rPr>
          <w:rFonts w:cs="Arial"/>
          <w:b/>
          <w:lang w:val="es-ES"/>
        </w:rPr>
        <w:t xml:space="preserve">LOGROS  </w:t>
      </w:r>
    </w:p>
    <w:p w14:paraId="115483AC" w14:textId="77777777" w:rsidR="00224ABF" w:rsidRPr="00224ABF" w:rsidRDefault="00224ABF" w:rsidP="00224ABF">
      <w:pPr>
        <w:pStyle w:val="Prrafodelista"/>
        <w:numPr>
          <w:ilvl w:val="0"/>
          <w:numId w:val="162"/>
        </w:numPr>
        <w:tabs>
          <w:tab w:val="left" w:pos="426"/>
        </w:tabs>
        <w:spacing w:after="0"/>
        <w:jc w:val="both"/>
        <w:rPr>
          <w:rFonts w:cs="Arial"/>
          <w:b/>
          <w:lang w:val="es-MX"/>
        </w:rPr>
      </w:pPr>
      <w:r w:rsidRPr="00224ABF">
        <w:rPr>
          <w:rFonts w:cs="Arial"/>
          <w:b/>
        </w:rPr>
        <w:t>Intersección en la T de Portachuelo</w:t>
      </w:r>
    </w:p>
    <w:p w14:paraId="724C0E43" w14:textId="77777777" w:rsidR="00224ABF" w:rsidRPr="00224ABF" w:rsidRDefault="00224ABF" w:rsidP="00224ABF">
      <w:pPr>
        <w:tabs>
          <w:tab w:val="left" w:pos="426"/>
        </w:tabs>
        <w:spacing w:after="0"/>
        <w:jc w:val="both"/>
        <w:rPr>
          <w:rFonts w:cs="Arial"/>
          <w:lang w:val="es-MX"/>
        </w:rPr>
      </w:pPr>
    </w:p>
    <w:p w14:paraId="6ACC03B1" w14:textId="77777777" w:rsidR="00224ABF" w:rsidRPr="00224ABF" w:rsidRDefault="00224ABF" w:rsidP="00224ABF">
      <w:pPr>
        <w:tabs>
          <w:tab w:val="left" w:pos="426"/>
        </w:tabs>
        <w:jc w:val="both"/>
        <w:rPr>
          <w:rFonts w:cs="Arial"/>
          <w:lang w:val="es-MX"/>
        </w:rPr>
      </w:pPr>
      <w:r w:rsidRPr="00224ABF">
        <w:rPr>
          <w:rFonts w:cs="Arial"/>
          <w:lang w:val="es-MX"/>
        </w:rPr>
        <w:t xml:space="preserve">Se entregan por parte del Concesionario los estudios y diseños, según lo establecido en el Otrosí del 31 de Octubre de 2013. A finales de marzo, se aprobaron los estudios y diseños desarrollados por el Concesionario. </w:t>
      </w:r>
    </w:p>
    <w:p w14:paraId="2FB6981C" w14:textId="77777777" w:rsidR="00224ABF" w:rsidRPr="00224ABF" w:rsidRDefault="00224ABF" w:rsidP="00224ABF">
      <w:pPr>
        <w:pStyle w:val="Prrafodelista"/>
        <w:numPr>
          <w:ilvl w:val="0"/>
          <w:numId w:val="162"/>
        </w:numPr>
        <w:tabs>
          <w:tab w:val="left" w:pos="426"/>
        </w:tabs>
        <w:spacing w:after="0"/>
        <w:jc w:val="both"/>
        <w:rPr>
          <w:rFonts w:cs="Arial"/>
          <w:b/>
          <w:lang w:val="es-MX"/>
        </w:rPr>
      </w:pPr>
      <w:r w:rsidRPr="00224ABF">
        <w:rPr>
          <w:rFonts w:cs="Arial"/>
          <w:b/>
          <w:lang w:val="es-MX"/>
        </w:rPr>
        <w:t>Sentencia judicial puente peatonal Briceño</w:t>
      </w:r>
    </w:p>
    <w:p w14:paraId="0AF638ED" w14:textId="77777777" w:rsidR="00224ABF" w:rsidRPr="00224ABF" w:rsidRDefault="00224ABF" w:rsidP="00224ABF">
      <w:pPr>
        <w:tabs>
          <w:tab w:val="left" w:pos="426"/>
        </w:tabs>
        <w:spacing w:after="0"/>
        <w:jc w:val="both"/>
        <w:rPr>
          <w:rFonts w:cs="Arial"/>
          <w:b/>
          <w:lang w:val="es-MX"/>
        </w:rPr>
      </w:pPr>
    </w:p>
    <w:p w14:paraId="22F28BE7" w14:textId="60B57C9C" w:rsidR="00224ABF" w:rsidRPr="00224ABF" w:rsidRDefault="00224ABF" w:rsidP="00224ABF">
      <w:pPr>
        <w:tabs>
          <w:tab w:val="left" w:pos="426"/>
        </w:tabs>
        <w:spacing w:after="0"/>
        <w:jc w:val="both"/>
        <w:rPr>
          <w:rFonts w:cs="Arial"/>
        </w:rPr>
      </w:pPr>
      <w:r w:rsidRPr="00224ABF">
        <w:rPr>
          <w:rFonts w:cs="Arial"/>
          <w:lang w:val="es-MX"/>
        </w:rPr>
        <w:t xml:space="preserve">Se </w:t>
      </w:r>
      <w:r w:rsidRPr="00224ABF">
        <w:rPr>
          <w:rFonts w:cs="Arial"/>
        </w:rPr>
        <w:t xml:space="preserve">suscribió el 13 de Marzo de 2014, el acta de inicio del </w:t>
      </w:r>
      <w:r w:rsidRPr="00224ABF">
        <w:rPr>
          <w:rFonts w:cs="Arial"/>
          <w:bCs/>
        </w:rPr>
        <w:t>Otrosí al Contrato de Concesión No. 664 de 1994</w:t>
      </w:r>
      <w:r w:rsidRPr="00224ABF">
        <w:rPr>
          <w:rFonts w:cs="Arial"/>
        </w:rPr>
        <w:t>,</w:t>
      </w:r>
      <w:r w:rsidRPr="00224ABF">
        <w:rPr>
          <w:rFonts w:cs="Arial"/>
          <w:bCs/>
        </w:rPr>
        <w:t xml:space="preserve"> suscrito el 7 de febrero de 2014, </w:t>
      </w:r>
      <w:r w:rsidRPr="00224ABF">
        <w:rPr>
          <w:rFonts w:cs="Arial"/>
        </w:rPr>
        <w:t>cuyo objeto es:</w:t>
      </w:r>
      <w:r w:rsidR="003D48CB">
        <w:rPr>
          <w:rFonts w:cs="Arial"/>
        </w:rPr>
        <w:t xml:space="preserve"> </w:t>
      </w:r>
      <w:r w:rsidRPr="00224ABF">
        <w:rPr>
          <w:rFonts w:cs="Arial"/>
          <w:i/>
        </w:rPr>
        <w:t xml:space="preserve">“Contratar con la Unión Temporal Concesionaria del Proyecto de Concesión Vial “Desarrollo Vial del Norte de Bogotá”, la ejecución de las actividades de repotenciación y rehabilitación del puente peatonal “Briceño”, localizado en el K19+600 aproximadamente, en la ruta COD INVIAS 55A01, incluyendo su mantenimiento rutinario hasta la terminación del Contrato de Concesión No. 664 de 1994, en cumplimiento del fallo de acción </w:t>
      </w:r>
      <w:r w:rsidRPr="00224ABF">
        <w:rPr>
          <w:rFonts w:cs="Arial"/>
          <w:i/>
        </w:rPr>
        <w:lastRenderedPageBreak/>
        <w:t xml:space="preserve">popular </w:t>
      </w:r>
      <w:r w:rsidRPr="00224ABF">
        <w:rPr>
          <w:rFonts w:cs="Arial"/>
          <w:i/>
          <w:lang w:val="es-ES"/>
        </w:rPr>
        <w:t>del H. Tribunal Administrativo de Cundinamarca, Sección Primera, Subsección “A” del 22 de noviembre de 2012</w:t>
      </w:r>
      <w:r w:rsidRPr="00224ABF">
        <w:rPr>
          <w:rFonts w:cs="Arial"/>
          <w:i/>
        </w:rPr>
        <w:t>”.</w:t>
      </w:r>
    </w:p>
    <w:p w14:paraId="4DEDF269" w14:textId="77777777" w:rsidR="00224ABF" w:rsidRPr="00224ABF" w:rsidRDefault="00224ABF" w:rsidP="00224ABF">
      <w:pPr>
        <w:tabs>
          <w:tab w:val="left" w:pos="426"/>
        </w:tabs>
        <w:jc w:val="both"/>
        <w:rPr>
          <w:rFonts w:cs="Arial"/>
          <w:lang w:val="es-MX"/>
        </w:rPr>
      </w:pPr>
    </w:p>
    <w:p w14:paraId="3C7989A6" w14:textId="77777777" w:rsidR="00224ABF" w:rsidRPr="00224ABF" w:rsidRDefault="00224ABF" w:rsidP="00224ABF">
      <w:pPr>
        <w:tabs>
          <w:tab w:val="left" w:pos="426"/>
        </w:tabs>
        <w:jc w:val="both"/>
        <w:rPr>
          <w:rFonts w:cs="Arial"/>
          <w:b/>
          <w:lang w:val="es-MX"/>
        </w:rPr>
      </w:pPr>
      <w:r w:rsidRPr="00224ABF">
        <w:rPr>
          <w:rFonts w:cs="Arial"/>
          <w:b/>
          <w:lang w:val="es-MX"/>
        </w:rPr>
        <w:t xml:space="preserve">PROBLEMÁTICA Y ACCIONES </w:t>
      </w:r>
    </w:p>
    <w:p w14:paraId="1DA2878A" w14:textId="77777777" w:rsidR="00224ABF" w:rsidRPr="00224ABF" w:rsidRDefault="00224ABF" w:rsidP="00224ABF">
      <w:pPr>
        <w:pStyle w:val="Prrafodelista"/>
        <w:numPr>
          <w:ilvl w:val="0"/>
          <w:numId w:val="164"/>
        </w:numPr>
        <w:tabs>
          <w:tab w:val="left" w:pos="426"/>
        </w:tabs>
        <w:jc w:val="both"/>
        <w:rPr>
          <w:rFonts w:cs="Arial"/>
          <w:b/>
          <w:lang w:val="es-MX"/>
        </w:rPr>
      </w:pPr>
      <w:r w:rsidRPr="00224ABF">
        <w:rPr>
          <w:rFonts w:cs="Arial"/>
          <w:b/>
        </w:rPr>
        <w:t>Indefinición construcción puentes  sobre vía férrea</w:t>
      </w:r>
    </w:p>
    <w:p w14:paraId="7F3671A0" w14:textId="77777777" w:rsidR="00224ABF" w:rsidRPr="00224ABF" w:rsidRDefault="00224ABF" w:rsidP="00224ABF">
      <w:pPr>
        <w:tabs>
          <w:tab w:val="left" w:pos="426"/>
        </w:tabs>
        <w:jc w:val="both"/>
        <w:rPr>
          <w:rFonts w:cs="Arial"/>
          <w:b/>
          <w:lang w:val="es-MX"/>
        </w:rPr>
      </w:pPr>
      <w:r w:rsidRPr="00224ABF">
        <w:rPr>
          <w:rFonts w:cs="Arial"/>
          <w:lang w:val="es-MX"/>
        </w:rPr>
        <w:t>El Concesionario entrego  los prediseños de los puentes vehiculares sobre vía Férrea Santana y Zhué. Se avanza en su revisión por parte de la Interventoría</w:t>
      </w:r>
    </w:p>
    <w:p w14:paraId="66B205AD" w14:textId="77777777" w:rsidR="00224ABF" w:rsidRPr="00224ABF" w:rsidRDefault="00224ABF" w:rsidP="00224ABF">
      <w:pPr>
        <w:pStyle w:val="Prrafodelista"/>
        <w:numPr>
          <w:ilvl w:val="0"/>
          <w:numId w:val="164"/>
        </w:numPr>
        <w:tabs>
          <w:tab w:val="left" w:pos="426"/>
        </w:tabs>
        <w:jc w:val="both"/>
        <w:rPr>
          <w:rFonts w:cs="Arial"/>
          <w:b/>
          <w:lang w:val="es-MX"/>
        </w:rPr>
      </w:pPr>
      <w:r w:rsidRPr="00224ABF">
        <w:rPr>
          <w:rFonts w:cs="Arial"/>
          <w:b/>
        </w:rPr>
        <w:t>Sustitución box peatonal por puente peatonal en sector La Caro – Centro Chía.</w:t>
      </w:r>
    </w:p>
    <w:p w14:paraId="5690B61B" w14:textId="77777777" w:rsidR="00224ABF" w:rsidRPr="00224ABF" w:rsidRDefault="00224ABF" w:rsidP="00224ABF">
      <w:pPr>
        <w:tabs>
          <w:tab w:val="left" w:pos="426"/>
        </w:tabs>
        <w:jc w:val="both"/>
        <w:rPr>
          <w:rFonts w:cs="Arial"/>
          <w:lang w:val="es-MX"/>
        </w:rPr>
      </w:pPr>
      <w:r w:rsidRPr="00224ABF">
        <w:rPr>
          <w:rFonts w:cs="Arial"/>
          <w:lang w:val="es-MX"/>
        </w:rPr>
        <w:t>Se está evaluando jurídicamente las  diferentes alternativas de solución tales como:</w:t>
      </w:r>
    </w:p>
    <w:p w14:paraId="08A7181B" w14:textId="77777777" w:rsidR="00224ABF" w:rsidRPr="00224ABF" w:rsidRDefault="00224ABF" w:rsidP="00224ABF">
      <w:pPr>
        <w:pStyle w:val="Prrafodelista"/>
        <w:numPr>
          <w:ilvl w:val="0"/>
          <w:numId w:val="163"/>
        </w:numPr>
        <w:tabs>
          <w:tab w:val="left" w:pos="426"/>
        </w:tabs>
        <w:jc w:val="both"/>
        <w:rPr>
          <w:rFonts w:cs="Arial"/>
          <w:lang w:val="es-MX"/>
        </w:rPr>
      </w:pPr>
      <w:r w:rsidRPr="00224ABF">
        <w:rPr>
          <w:rFonts w:cs="Arial"/>
          <w:lang w:val="es-MX"/>
        </w:rPr>
        <w:t>Adelantar una adición contractual, ceñidos al procedimiento adelantado con el Otrosí del 31 de Octubre de 2013; en donde la construcción operación y mantenimiento se financian con excedentes de peaje y los riesgos se trasladan en su mayoría al Concesionario.</w:t>
      </w:r>
    </w:p>
    <w:p w14:paraId="0D5485AD" w14:textId="77777777" w:rsidR="00224ABF" w:rsidRPr="00224ABF" w:rsidRDefault="00224ABF" w:rsidP="00224ABF">
      <w:pPr>
        <w:pStyle w:val="Prrafodelista"/>
        <w:numPr>
          <w:ilvl w:val="0"/>
          <w:numId w:val="163"/>
        </w:numPr>
        <w:tabs>
          <w:tab w:val="left" w:pos="426"/>
        </w:tabs>
        <w:jc w:val="both"/>
        <w:rPr>
          <w:rFonts w:cs="Arial"/>
          <w:lang w:val="es-MX"/>
        </w:rPr>
      </w:pPr>
      <w:r w:rsidRPr="00224ABF">
        <w:rPr>
          <w:rFonts w:cs="Arial"/>
          <w:lang w:val="es-MX"/>
        </w:rPr>
        <w:t>Construirlo mediante el Convenio que avanza entre el MT – INVIAS – ICCU en el marco  programa de mejoramiento de la seguridad vial</w:t>
      </w:r>
    </w:p>
    <w:p w14:paraId="7E98E45B" w14:textId="77777777" w:rsidR="00224ABF" w:rsidRPr="00224ABF" w:rsidRDefault="00224ABF" w:rsidP="00224ABF">
      <w:pPr>
        <w:pStyle w:val="Prrafodelista"/>
        <w:tabs>
          <w:tab w:val="left" w:pos="426"/>
        </w:tabs>
        <w:jc w:val="both"/>
        <w:rPr>
          <w:rFonts w:cs="Arial"/>
          <w:lang w:val="es-MX"/>
        </w:rPr>
      </w:pPr>
    </w:p>
    <w:p w14:paraId="4A7D8532" w14:textId="77777777" w:rsidR="00224ABF" w:rsidRPr="00224ABF" w:rsidRDefault="00224ABF" w:rsidP="00224ABF">
      <w:pPr>
        <w:pStyle w:val="Prrafodelista"/>
        <w:numPr>
          <w:ilvl w:val="0"/>
          <w:numId w:val="164"/>
        </w:numPr>
        <w:tabs>
          <w:tab w:val="left" w:pos="426"/>
        </w:tabs>
        <w:jc w:val="both"/>
        <w:rPr>
          <w:rFonts w:cs="Arial"/>
          <w:b/>
          <w:lang w:val="es-MX"/>
        </w:rPr>
      </w:pPr>
      <w:r w:rsidRPr="00224ABF">
        <w:rPr>
          <w:rFonts w:cs="Arial"/>
          <w:b/>
        </w:rPr>
        <w:t>Dificultades en establecer los parámetros de actualización del modelo financiero</w:t>
      </w:r>
    </w:p>
    <w:p w14:paraId="4C6BBF08" w14:textId="77777777" w:rsidR="00224ABF" w:rsidRPr="00224ABF" w:rsidRDefault="00224ABF" w:rsidP="00224ABF">
      <w:pPr>
        <w:tabs>
          <w:tab w:val="left" w:pos="426"/>
        </w:tabs>
        <w:jc w:val="both"/>
        <w:rPr>
          <w:rFonts w:cs="Arial"/>
          <w:lang w:val="es-MX"/>
        </w:rPr>
      </w:pPr>
      <w:r w:rsidRPr="00224ABF">
        <w:rPr>
          <w:rFonts w:cs="Arial"/>
          <w:lang w:val="es-MX"/>
        </w:rPr>
        <w:t xml:space="preserve">Continúa en el tribunal de Arbitramento, en el cual </w:t>
      </w:r>
      <w:r w:rsidRPr="00224ABF">
        <w:rPr>
          <w:rFonts w:cs="Arial"/>
          <w:lang w:val="es-ES"/>
        </w:rPr>
        <w:t>la contestación de la demanda se encuentra en término de traslado al demandante, junto con la demanda de reconvención formulada a su vez por la Agencia</w:t>
      </w:r>
    </w:p>
    <w:p w14:paraId="5C8C7703" w14:textId="2D7A5B0B" w:rsidR="00224ABF" w:rsidRPr="00224ABF" w:rsidRDefault="00224ABF" w:rsidP="00224ABF">
      <w:pPr>
        <w:pStyle w:val="Prrafodelista"/>
        <w:numPr>
          <w:ilvl w:val="0"/>
          <w:numId w:val="164"/>
        </w:numPr>
        <w:tabs>
          <w:tab w:val="left" w:pos="426"/>
        </w:tabs>
        <w:jc w:val="both"/>
        <w:rPr>
          <w:rFonts w:cs="Arial"/>
          <w:b/>
          <w:lang w:val="es-MX"/>
        </w:rPr>
      </w:pPr>
      <w:r w:rsidRPr="00224ABF">
        <w:rPr>
          <w:rFonts w:cs="Arial"/>
          <w:b/>
          <w:lang w:val="es-ES_tradnl"/>
        </w:rPr>
        <w:t xml:space="preserve">Falta soporte distribución del Peaje Teletón y </w:t>
      </w:r>
      <w:r w:rsidRPr="00224ABF">
        <w:rPr>
          <w:rFonts w:cs="Arial"/>
          <w:b/>
        </w:rPr>
        <w:t>deducción unilateral por parte del Concesionario de los gastos de manejo del peaje</w:t>
      </w:r>
    </w:p>
    <w:p w14:paraId="13BE9784" w14:textId="77777777" w:rsidR="00224ABF" w:rsidRPr="00224ABF" w:rsidRDefault="00224ABF" w:rsidP="00224ABF">
      <w:pPr>
        <w:tabs>
          <w:tab w:val="left" w:pos="426"/>
        </w:tabs>
        <w:jc w:val="both"/>
        <w:rPr>
          <w:rFonts w:cs="Arial"/>
          <w:lang w:val="es-MX"/>
        </w:rPr>
      </w:pPr>
      <w:r w:rsidRPr="00224ABF">
        <w:rPr>
          <w:rFonts w:cs="Arial"/>
          <w:lang w:val="es-MX"/>
        </w:rPr>
        <w:t>Continúa en el tribunal de Arbitramento, en el cual la contestación de la demanda se encuentra en término de traslado al demandante, junto con la demanda de reconvención formulada a su vez por la Agencia</w:t>
      </w:r>
    </w:p>
    <w:p w14:paraId="2A900600" w14:textId="77777777" w:rsidR="00224ABF" w:rsidRPr="00224ABF" w:rsidRDefault="00224ABF" w:rsidP="00224ABF">
      <w:pPr>
        <w:jc w:val="both"/>
        <w:rPr>
          <w:rFonts w:eastAsia="Times New Roman" w:cs="Arial"/>
          <w:lang w:val="es-ES" w:eastAsia="es-ES_tradnl"/>
        </w:rPr>
      </w:pPr>
      <w:r w:rsidRPr="00224ABF">
        <w:rPr>
          <w:rFonts w:eastAsia="Times New Roman" w:cs="Arial"/>
          <w:b/>
          <w:lang w:val="es-ES"/>
        </w:rPr>
        <w:t xml:space="preserve">5. INFORME DE GESTIÓN  PROYECTO DESARROLLO VIAL ARMENIA – PEREIRA- MANIZALES Y LA PAILA – CALARCA </w:t>
      </w:r>
    </w:p>
    <w:p w14:paraId="0F0106C2" w14:textId="77777777" w:rsidR="00224ABF" w:rsidRPr="00224ABF" w:rsidRDefault="00224ABF" w:rsidP="00224ABF">
      <w:pPr>
        <w:jc w:val="both"/>
        <w:rPr>
          <w:rFonts w:cs="Arial"/>
          <w:b/>
        </w:rPr>
      </w:pPr>
      <w:r w:rsidRPr="00224ABF">
        <w:rPr>
          <w:rFonts w:cs="Arial"/>
          <w:b/>
        </w:rPr>
        <w:t>ESTADO ACTUAL DEL PROYECTO</w:t>
      </w:r>
    </w:p>
    <w:p w14:paraId="356CF0F5" w14:textId="77777777" w:rsidR="00224ABF" w:rsidRPr="00224ABF" w:rsidRDefault="00224ABF" w:rsidP="00224ABF">
      <w:pPr>
        <w:jc w:val="both"/>
        <w:rPr>
          <w:rFonts w:cs="Arial"/>
        </w:rPr>
      </w:pPr>
      <w:r w:rsidRPr="00224ABF">
        <w:rPr>
          <w:rFonts w:cs="Arial"/>
          <w:b/>
          <w:bCs/>
        </w:rPr>
        <w:t>Tramo 1:</w:t>
      </w:r>
      <w:r w:rsidRPr="00224ABF">
        <w:rPr>
          <w:rFonts w:cs="Arial"/>
        </w:rPr>
        <w:t xml:space="preserve"> </w:t>
      </w:r>
      <w:r w:rsidRPr="00224ABF">
        <w:rPr>
          <w:rFonts w:cs="Arial"/>
          <w:b/>
          <w:bCs/>
        </w:rPr>
        <w:t>Chinchiná – Manizales</w:t>
      </w:r>
      <w:r w:rsidRPr="00224ABF">
        <w:rPr>
          <w:rFonts w:cs="Arial"/>
        </w:rPr>
        <w:t xml:space="preserve">: El tramo se encuentra en servicio y operando a la fecha. Adicionalmente se presentan problemas de inestabilidad en el K14+000 del sector Chila. </w:t>
      </w:r>
    </w:p>
    <w:p w14:paraId="2F64AE7D" w14:textId="77777777" w:rsidR="00224ABF" w:rsidRPr="00224ABF" w:rsidRDefault="00224ABF" w:rsidP="00224ABF">
      <w:pPr>
        <w:jc w:val="both"/>
        <w:rPr>
          <w:rFonts w:cs="Arial"/>
        </w:rPr>
      </w:pPr>
      <w:r w:rsidRPr="00224ABF">
        <w:rPr>
          <w:rFonts w:cs="Arial"/>
          <w:b/>
          <w:bCs/>
        </w:rPr>
        <w:t>Tramo 2:</w:t>
      </w:r>
      <w:r w:rsidRPr="00224ABF">
        <w:rPr>
          <w:rFonts w:cs="Arial"/>
        </w:rPr>
        <w:t xml:space="preserve"> </w:t>
      </w:r>
      <w:r w:rsidRPr="00224ABF">
        <w:rPr>
          <w:rFonts w:cs="Arial"/>
          <w:b/>
          <w:bCs/>
        </w:rPr>
        <w:t>Armenia - Club de Tiro</w:t>
      </w:r>
      <w:r w:rsidRPr="00224ABF">
        <w:rPr>
          <w:rFonts w:cs="Arial"/>
        </w:rPr>
        <w:t xml:space="preserve">: El tramo se encuentra en servicio y operando a la fecha. </w:t>
      </w:r>
    </w:p>
    <w:p w14:paraId="4486AFD3" w14:textId="77777777" w:rsidR="00224ABF" w:rsidRPr="00224ABF" w:rsidRDefault="00224ABF" w:rsidP="00224ABF">
      <w:pPr>
        <w:jc w:val="both"/>
        <w:rPr>
          <w:rFonts w:cs="Arial"/>
        </w:rPr>
      </w:pPr>
      <w:r w:rsidRPr="00224ABF">
        <w:rPr>
          <w:rFonts w:cs="Arial"/>
          <w:b/>
          <w:bCs/>
        </w:rPr>
        <w:t>Tramo 5:</w:t>
      </w:r>
      <w:r w:rsidRPr="00224ABF">
        <w:rPr>
          <w:rFonts w:cs="Arial"/>
        </w:rPr>
        <w:t xml:space="preserve"> </w:t>
      </w:r>
      <w:r w:rsidRPr="00224ABF">
        <w:rPr>
          <w:rFonts w:cs="Arial"/>
          <w:b/>
          <w:bCs/>
        </w:rPr>
        <w:t>Club de Tiro – Chinchiná:</w:t>
      </w:r>
      <w:r w:rsidRPr="00224ABF">
        <w:rPr>
          <w:rFonts w:cs="Arial"/>
        </w:rPr>
        <w:t xml:space="preserve"> El tramo se encuentra en servicio y operando. </w:t>
      </w:r>
    </w:p>
    <w:p w14:paraId="7E141740" w14:textId="77777777" w:rsidR="00224ABF" w:rsidRPr="00224ABF" w:rsidRDefault="00224ABF" w:rsidP="00224ABF">
      <w:pPr>
        <w:jc w:val="both"/>
        <w:rPr>
          <w:rFonts w:cs="Arial"/>
        </w:rPr>
      </w:pPr>
      <w:r w:rsidRPr="00224ABF">
        <w:rPr>
          <w:rFonts w:cs="Arial"/>
          <w:b/>
          <w:bCs/>
        </w:rPr>
        <w:lastRenderedPageBreak/>
        <w:t>Tramo 6:</w:t>
      </w:r>
      <w:r w:rsidRPr="00224ABF">
        <w:rPr>
          <w:rFonts w:cs="Arial"/>
        </w:rPr>
        <w:t xml:space="preserve"> </w:t>
      </w:r>
      <w:r w:rsidRPr="00224ABF">
        <w:rPr>
          <w:rFonts w:cs="Arial"/>
          <w:b/>
          <w:bCs/>
        </w:rPr>
        <w:t xml:space="preserve">Solución vial Mandarino – Estadio Santa Rosa: </w:t>
      </w:r>
      <w:r w:rsidRPr="00224ABF">
        <w:rPr>
          <w:rFonts w:cs="Arial"/>
        </w:rPr>
        <w:t xml:space="preserve">Esta obra está conformada por un Par vial que incluye el Puente Helicodal y el Túnel Dosquebradas. A la fecha este tramo se encuentra en operación luego de incluirse la  obra dentro del Otrosí modificatorio y adicional Nº7 al contrato de Concesión. Actualmente presenta problemas de inestabilidad en el K10+450 y en el retorno Boquerón. </w:t>
      </w:r>
      <w:r w:rsidRPr="00224ABF">
        <w:rPr>
          <w:rFonts w:cs="Arial"/>
          <w:b/>
          <w:bCs/>
        </w:rPr>
        <w:t xml:space="preserve">  </w:t>
      </w:r>
    </w:p>
    <w:p w14:paraId="63CCFE24" w14:textId="77777777" w:rsidR="00224ABF" w:rsidRPr="00224ABF" w:rsidRDefault="00224ABF" w:rsidP="00224ABF">
      <w:pPr>
        <w:jc w:val="both"/>
        <w:rPr>
          <w:rFonts w:cs="Arial"/>
        </w:rPr>
      </w:pPr>
      <w:r w:rsidRPr="00224ABF">
        <w:rPr>
          <w:rFonts w:cs="Arial"/>
          <w:b/>
          <w:bCs/>
        </w:rPr>
        <w:t>Tramo 8:</w:t>
      </w:r>
      <w:r w:rsidRPr="00224ABF">
        <w:rPr>
          <w:rFonts w:cs="Arial"/>
          <w:b/>
        </w:rPr>
        <w:t xml:space="preserve"> Variante Troncal de Occidente:</w:t>
      </w:r>
      <w:r w:rsidRPr="00224ABF">
        <w:rPr>
          <w:rFonts w:cs="Arial"/>
        </w:rPr>
        <w:t xml:space="preserve"> Actualmente se encuentra en operación. Este corredor vial ha presentado en el PR31+500 problemas generados principalmente por terrenos geológicamente inestables causados por el Lahar que abarca 250 mt.</w:t>
      </w:r>
    </w:p>
    <w:p w14:paraId="5C35F4C4" w14:textId="77777777" w:rsidR="00224ABF" w:rsidRPr="00224ABF" w:rsidRDefault="00224ABF" w:rsidP="00224ABF">
      <w:pPr>
        <w:jc w:val="both"/>
        <w:rPr>
          <w:rFonts w:cs="Arial"/>
          <w:b/>
        </w:rPr>
      </w:pPr>
      <w:r w:rsidRPr="00224ABF">
        <w:rPr>
          <w:rFonts w:cs="Arial"/>
          <w:b/>
        </w:rPr>
        <w:t xml:space="preserve">GESTIONES REALIZADAS </w:t>
      </w:r>
    </w:p>
    <w:p w14:paraId="1CFBE164" w14:textId="3BED3769" w:rsidR="00224ABF" w:rsidRPr="00224ABF" w:rsidRDefault="00224ABF" w:rsidP="00224ABF">
      <w:pPr>
        <w:numPr>
          <w:ilvl w:val="0"/>
          <w:numId w:val="132"/>
        </w:numPr>
        <w:spacing w:after="0"/>
        <w:jc w:val="both"/>
        <w:rPr>
          <w:rFonts w:cs="Arial"/>
        </w:rPr>
      </w:pPr>
      <w:r w:rsidRPr="00224ABF">
        <w:rPr>
          <w:rFonts w:cs="Arial"/>
        </w:rPr>
        <w:t xml:space="preserve">Seguimiento al avance en las gestiones del contrato suscrito entre el </w:t>
      </w:r>
      <w:r w:rsidR="00D62679">
        <w:rPr>
          <w:rFonts w:cs="Arial"/>
        </w:rPr>
        <w:t>F</w:t>
      </w:r>
      <w:r w:rsidRPr="00224ABF">
        <w:rPr>
          <w:rFonts w:cs="Arial"/>
        </w:rPr>
        <w:t xml:space="preserve">ondo </w:t>
      </w:r>
      <w:r w:rsidR="00D62679">
        <w:rPr>
          <w:rFonts w:cs="Arial"/>
        </w:rPr>
        <w:t>A</w:t>
      </w:r>
      <w:r w:rsidR="000E06F3">
        <w:rPr>
          <w:rFonts w:cs="Arial"/>
        </w:rPr>
        <w:t>daptación y Autopistas del C</w:t>
      </w:r>
      <w:r w:rsidRPr="00224ABF">
        <w:rPr>
          <w:rFonts w:cs="Arial"/>
        </w:rPr>
        <w:t>afé SA para realizar obras de estabilización y una variante en el tramo correspondiente al Departamento de Caldas por valor de: $44.533.706.430 y un plazo de 22 meses.</w:t>
      </w:r>
    </w:p>
    <w:p w14:paraId="0602792C" w14:textId="77777777" w:rsidR="00224ABF" w:rsidRPr="00224ABF" w:rsidRDefault="00224ABF" w:rsidP="00224ABF">
      <w:pPr>
        <w:numPr>
          <w:ilvl w:val="0"/>
          <w:numId w:val="132"/>
        </w:numPr>
        <w:spacing w:after="0"/>
        <w:jc w:val="both"/>
        <w:rPr>
          <w:rFonts w:cs="Arial"/>
        </w:rPr>
      </w:pPr>
      <w:r w:rsidRPr="00224ABF">
        <w:rPr>
          <w:rFonts w:cs="Arial"/>
        </w:rPr>
        <w:t>El 4 de marzo se realizó entrega por parte del concesionario de los diseños para la construcción de la intersección Circasia 1 ½ y Glorieta calle 52 en Dosquebradas. Se encuentra en etapa de revisión por parte de la interventoría del proyecto para la posterior contratación de las obras</w:t>
      </w:r>
    </w:p>
    <w:p w14:paraId="27EF372C" w14:textId="77777777" w:rsidR="00224ABF" w:rsidRPr="00224ABF" w:rsidRDefault="00224ABF" w:rsidP="00224ABF">
      <w:pPr>
        <w:numPr>
          <w:ilvl w:val="0"/>
          <w:numId w:val="132"/>
        </w:numPr>
        <w:spacing w:after="0"/>
        <w:jc w:val="both"/>
        <w:rPr>
          <w:rFonts w:cs="Arial"/>
        </w:rPr>
      </w:pPr>
      <w:r w:rsidRPr="00224ABF">
        <w:rPr>
          <w:rFonts w:cs="Arial"/>
        </w:rPr>
        <w:t>Gestiones con Secretaría de Planeación Municipal de Dosquebradas</w:t>
      </w:r>
    </w:p>
    <w:p w14:paraId="1F245094" w14:textId="3E2C527C" w:rsidR="00224ABF" w:rsidRPr="00224ABF" w:rsidRDefault="00224ABF" w:rsidP="00224ABF">
      <w:pPr>
        <w:numPr>
          <w:ilvl w:val="0"/>
          <w:numId w:val="132"/>
        </w:numPr>
        <w:spacing w:after="0"/>
        <w:jc w:val="both"/>
        <w:rPr>
          <w:rFonts w:cs="Arial"/>
        </w:rPr>
      </w:pPr>
      <w:r w:rsidRPr="00224ABF">
        <w:rPr>
          <w:rFonts w:cs="Arial"/>
        </w:rPr>
        <w:t xml:space="preserve">Se revisó el convenio interadministrativo suscrito entre el Invías y el Municipio </w:t>
      </w:r>
      <w:r w:rsidR="001B06F9">
        <w:rPr>
          <w:rFonts w:cs="Arial"/>
        </w:rPr>
        <w:t>d</w:t>
      </w:r>
      <w:r w:rsidRPr="00224ABF">
        <w:rPr>
          <w:rFonts w:cs="Arial"/>
        </w:rPr>
        <w:t>e Dosquebradas del 1 de junio de 2003 para el recibo por parte del Invias de la avenida del ferrocarril para su rehabilitación y administración, se acordó la revisión jurídica para la posterior liquidación del mismo, una vez se legalice el cambio de categoría de la citada vía</w:t>
      </w:r>
    </w:p>
    <w:p w14:paraId="4F33FD14" w14:textId="77777777" w:rsidR="00224ABF" w:rsidRPr="00224ABF" w:rsidRDefault="00224ABF" w:rsidP="00224ABF">
      <w:pPr>
        <w:pStyle w:val="Prrafodelista"/>
        <w:numPr>
          <w:ilvl w:val="0"/>
          <w:numId w:val="161"/>
        </w:numPr>
        <w:spacing w:after="160"/>
        <w:jc w:val="both"/>
        <w:rPr>
          <w:rFonts w:cs="Arial"/>
        </w:rPr>
      </w:pPr>
      <w:r w:rsidRPr="00224ABF">
        <w:rPr>
          <w:rFonts w:cs="Arial"/>
        </w:rPr>
        <w:t>Se consultó el tema del predio del Municipio, que hace parte de la solución vial Glorieta calle 52 en Dosquebradas y que es necesario para la construcción de la misma. Se revisará la vigencia del convenio suscrito con el Municipio de Dosquebradas para el aporte predial al corredor concesionado.</w:t>
      </w:r>
    </w:p>
    <w:p w14:paraId="216F1748" w14:textId="77777777" w:rsidR="00224ABF" w:rsidRPr="00224ABF" w:rsidRDefault="00224ABF" w:rsidP="00224ABF">
      <w:pPr>
        <w:spacing w:after="0"/>
        <w:jc w:val="both"/>
        <w:rPr>
          <w:rFonts w:cs="Arial"/>
          <w:color w:val="000000"/>
        </w:rPr>
      </w:pPr>
    </w:p>
    <w:p w14:paraId="3DDCE1D9" w14:textId="77777777" w:rsidR="00224ABF" w:rsidRPr="00224ABF" w:rsidRDefault="00224ABF" w:rsidP="00224ABF">
      <w:pPr>
        <w:spacing w:after="0"/>
        <w:jc w:val="both"/>
        <w:rPr>
          <w:rFonts w:cs="Arial"/>
          <w:b/>
          <w:color w:val="000000"/>
        </w:rPr>
      </w:pPr>
      <w:r w:rsidRPr="00224ABF">
        <w:rPr>
          <w:rFonts w:cs="Arial"/>
          <w:b/>
          <w:color w:val="000000"/>
        </w:rPr>
        <w:t xml:space="preserve">PROBLEMÁTICA POR RESOLVER </w:t>
      </w:r>
    </w:p>
    <w:p w14:paraId="5DD1209D" w14:textId="77777777" w:rsidR="00224ABF" w:rsidRPr="00224ABF" w:rsidRDefault="00224ABF" w:rsidP="00224ABF">
      <w:pPr>
        <w:spacing w:after="0"/>
        <w:jc w:val="both"/>
        <w:rPr>
          <w:rFonts w:cs="Arial"/>
          <w:color w:val="000000"/>
        </w:rPr>
      </w:pPr>
      <w:r w:rsidRPr="00224ABF">
        <w:rPr>
          <w:rFonts w:cs="Arial"/>
          <w:color w:val="000000"/>
        </w:rPr>
        <w:t xml:space="preserve">   </w:t>
      </w:r>
    </w:p>
    <w:p w14:paraId="3ADD1E9F" w14:textId="77777777" w:rsidR="00224ABF" w:rsidRPr="007B2042" w:rsidRDefault="00224ABF" w:rsidP="007B2042">
      <w:pPr>
        <w:rPr>
          <w:b/>
        </w:rPr>
      </w:pPr>
      <w:r w:rsidRPr="007B2042">
        <w:rPr>
          <w:b/>
        </w:rPr>
        <w:t>Inconvenientes Técnicos</w:t>
      </w:r>
    </w:p>
    <w:p w14:paraId="4FEC8FB4" w14:textId="0CBDDD74" w:rsidR="00224ABF" w:rsidRPr="00224ABF" w:rsidRDefault="00224ABF" w:rsidP="00224ABF">
      <w:pPr>
        <w:jc w:val="both"/>
        <w:rPr>
          <w:rFonts w:cs="Arial"/>
        </w:rPr>
      </w:pPr>
      <w:r w:rsidRPr="00224ABF">
        <w:rPr>
          <w:rFonts w:cs="Arial"/>
        </w:rPr>
        <w:t xml:space="preserve">Actualmente se tienen identificados los siguientes sitios inestables en el proyecto, que requieren </w:t>
      </w:r>
      <w:r w:rsidR="007B2042">
        <w:rPr>
          <w:rFonts w:cs="Arial"/>
        </w:rPr>
        <w:t>|</w:t>
      </w:r>
      <w:r w:rsidRPr="00224ABF">
        <w:rPr>
          <w:rFonts w:cs="Arial"/>
        </w:rPr>
        <w:t>Occidente, K14+000 de la Trinidad – La Uribe (Sector Chila), K31+000 de la Variante Troncal (Lahar Sector Chinchiná), Sitios inestables La Paila – Calarcá en el sector la Paila Club - Campestre se tienen identificados los siguientes puntos: K21+300, K20+750, K16+200, K12+670, K12+320, K12+180, K10+800, K11+640, K18+900, K14+200.</w:t>
      </w:r>
    </w:p>
    <w:p w14:paraId="4151D358" w14:textId="77777777" w:rsidR="00224ABF" w:rsidRPr="00224ABF" w:rsidRDefault="00224ABF" w:rsidP="00224ABF">
      <w:pPr>
        <w:pStyle w:val="Ttulo2"/>
        <w:numPr>
          <w:ilvl w:val="3"/>
          <w:numId w:val="0"/>
        </w:numPr>
        <w:spacing w:before="0"/>
        <w:ind w:left="1080" w:hanging="1080"/>
        <w:jc w:val="both"/>
        <w:rPr>
          <w:rFonts w:asciiTheme="minorHAnsi" w:hAnsiTheme="minorHAnsi" w:cs="Arial"/>
          <w:sz w:val="22"/>
          <w:szCs w:val="22"/>
        </w:rPr>
      </w:pPr>
      <w:bookmarkStart w:id="68" w:name="_Toc345571079"/>
    </w:p>
    <w:p w14:paraId="7B25A078" w14:textId="77777777" w:rsidR="00224ABF" w:rsidRPr="007B2042" w:rsidRDefault="00224ABF" w:rsidP="007B2042">
      <w:pPr>
        <w:rPr>
          <w:b/>
        </w:rPr>
      </w:pPr>
      <w:r w:rsidRPr="007B2042">
        <w:rPr>
          <w:b/>
        </w:rPr>
        <w:t>Inconvenientes Prediales</w:t>
      </w:r>
      <w:bookmarkEnd w:id="68"/>
    </w:p>
    <w:p w14:paraId="6D8A2310" w14:textId="77777777" w:rsidR="00224ABF" w:rsidRPr="00224ABF" w:rsidRDefault="00224ABF" w:rsidP="00224ABF">
      <w:pPr>
        <w:jc w:val="both"/>
        <w:rPr>
          <w:rFonts w:cs="Arial"/>
        </w:rPr>
      </w:pPr>
      <w:r w:rsidRPr="00224ABF">
        <w:rPr>
          <w:rFonts w:cs="Arial"/>
        </w:rPr>
        <w:lastRenderedPageBreak/>
        <w:t>Pendiente la entrega por parte del municipio de Dosquebradas el predio en el sector de Postobón.</w:t>
      </w:r>
    </w:p>
    <w:p w14:paraId="6770063C" w14:textId="77777777" w:rsidR="00224ABF" w:rsidRPr="00224ABF" w:rsidRDefault="00224ABF" w:rsidP="00224ABF">
      <w:pPr>
        <w:jc w:val="both"/>
        <w:rPr>
          <w:rFonts w:cs="Arial"/>
        </w:rPr>
      </w:pPr>
      <w:r w:rsidRPr="00224ABF">
        <w:rPr>
          <w:rFonts w:cs="Arial"/>
        </w:rPr>
        <w:t>Pendiente de suscribir oferta formal de compra del predio “el Caimo” para la posterior CAU (centro de atención al usuario) “Maravelez”.</w:t>
      </w:r>
    </w:p>
    <w:p w14:paraId="4FAC1B84" w14:textId="77777777" w:rsidR="00224ABF" w:rsidRPr="00224ABF" w:rsidRDefault="00224ABF" w:rsidP="00224ABF">
      <w:pPr>
        <w:jc w:val="both"/>
        <w:rPr>
          <w:rFonts w:cs="Arial"/>
        </w:rPr>
      </w:pPr>
      <w:r w:rsidRPr="00224ABF">
        <w:rPr>
          <w:rFonts w:cs="Arial"/>
        </w:rPr>
        <w:t>Se debe suscribir la resolución de expropiación de un predio y la oferta formal de compra de tres predios para terminar el acceso a Alcalá en la variante sur de Pereira</w:t>
      </w:r>
    </w:p>
    <w:p w14:paraId="18A86A20" w14:textId="77777777" w:rsidR="00224ABF" w:rsidRPr="00224ABF" w:rsidRDefault="00224ABF" w:rsidP="00224ABF">
      <w:pPr>
        <w:pStyle w:val="Ttulo2"/>
        <w:numPr>
          <w:ilvl w:val="3"/>
          <w:numId w:val="0"/>
        </w:numPr>
        <w:spacing w:before="0"/>
        <w:ind w:left="1080" w:hanging="1080"/>
        <w:jc w:val="both"/>
        <w:rPr>
          <w:rFonts w:asciiTheme="minorHAnsi" w:hAnsiTheme="minorHAnsi" w:cs="Arial"/>
          <w:sz w:val="22"/>
          <w:szCs w:val="22"/>
        </w:rPr>
      </w:pPr>
      <w:bookmarkStart w:id="69" w:name="_Toc345571081"/>
    </w:p>
    <w:p w14:paraId="0FFC18EE" w14:textId="77777777" w:rsidR="00224ABF" w:rsidRPr="007B2042" w:rsidRDefault="00224ABF" w:rsidP="007B2042">
      <w:pPr>
        <w:rPr>
          <w:b/>
        </w:rPr>
      </w:pPr>
      <w:r w:rsidRPr="007B2042">
        <w:rPr>
          <w:b/>
        </w:rPr>
        <w:t>Inconvenientes Presupuestales</w:t>
      </w:r>
      <w:bookmarkEnd w:id="69"/>
    </w:p>
    <w:p w14:paraId="55552AFE" w14:textId="77777777" w:rsidR="00224ABF" w:rsidRPr="00224ABF" w:rsidRDefault="00224ABF" w:rsidP="00224ABF">
      <w:pPr>
        <w:jc w:val="both"/>
        <w:rPr>
          <w:rFonts w:cs="Arial"/>
        </w:rPr>
      </w:pPr>
      <w:r w:rsidRPr="00224ABF">
        <w:rPr>
          <w:rFonts w:cs="Arial"/>
        </w:rPr>
        <w:t xml:space="preserve">Se requieren recursos económicos para la ejecución de las siguientes actividades: rehabilitación 9,5 km tramo La Paila - Calarcá, Obras especiales de estabilización geotécnica sector de “Arme” en la intersección Chinchiná. </w:t>
      </w:r>
    </w:p>
    <w:p w14:paraId="402F3197" w14:textId="77777777" w:rsidR="00224ABF" w:rsidRPr="00224ABF" w:rsidRDefault="00224ABF" w:rsidP="00224ABF">
      <w:pPr>
        <w:jc w:val="both"/>
        <w:rPr>
          <w:rFonts w:cs="Arial"/>
          <w:noProof/>
        </w:rPr>
      </w:pPr>
    </w:p>
    <w:p w14:paraId="6D8E3243" w14:textId="77777777" w:rsidR="00224ABF" w:rsidRPr="00224ABF" w:rsidRDefault="00224ABF" w:rsidP="00224ABF">
      <w:pPr>
        <w:jc w:val="both"/>
        <w:rPr>
          <w:rFonts w:eastAsia="Times New Roman" w:cs="Arial"/>
          <w:lang w:val="es-ES" w:eastAsia="es-ES_tradnl"/>
        </w:rPr>
      </w:pPr>
      <w:r w:rsidRPr="00224ABF">
        <w:rPr>
          <w:rFonts w:eastAsia="Times New Roman" w:cs="Arial"/>
          <w:b/>
          <w:lang w:val="es-ES"/>
        </w:rPr>
        <w:t>6. INFORME DE GESTIÓN  PROYECTO PEREIRA – LA VICTORIA</w:t>
      </w:r>
    </w:p>
    <w:p w14:paraId="032B2E54" w14:textId="77777777" w:rsidR="00224ABF" w:rsidRPr="00224ABF" w:rsidRDefault="00224ABF" w:rsidP="00224ABF">
      <w:pPr>
        <w:spacing w:after="0"/>
        <w:jc w:val="both"/>
        <w:rPr>
          <w:rFonts w:cs="Arial"/>
          <w:color w:val="000000"/>
          <w:lang w:val="es-ES"/>
        </w:rPr>
      </w:pPr>
    </w:p>
    <w:p w14:paraId="2A9CF4E7" w14:textId="77777777" w:rsidR="00224ABF" w:rsidRPr="00224ABF" w:rsidRDefault="00224ABF" w:rsidP="00224ABF">
      <w:pPr>
        <w:spacing w:after="0"/>
        <w:jc w:val="both"/>
        <w:rPr>
          <w:rFonts w:cs="Arial"/>
          <w:color w:val="000000"/>
          <w:lang w:val="es-ES"/>
        </w:rPr>
      </w:pPr>
      <w:r w:rsidRPr="00224ABF">
        <w:rPr>
          <w:rFonts w:cs="Arial"/>
          <w:color w:val="000000"/>
          <w:lang w:val="es-ES"/>
        </w:rPr>
        <w:t>El porcentaje de obra ejecutada básica es del 100% y obra básica incluyendo adicionales es de 97%, presentándose inconvenientes en el proceso de negociación y entrega de predios para la ejecución del Mirador de Cerritos. El avance de las obras faltantes depende en su mayoría de la adquisición predial (predios en expropiación).</w:t>
      </w:r>
    </w:p>
    <w:p w14:paraId="626C1816" w14:textId="77777777" w:rsidR="00224ABF" w:rsidRPr="00224ABF" w:rsidRDefault="00224ABF" w:rsidP="00224ABF">
      <w:pPr>
        <w:spacing w:after="0"/>
        <w:jc w:val="both"/>
        <w:rPr>
          <w:rFonts w:cs="Arial"/>
          <w:color w:val="000000"/>
          <w:lang w:val="es-ES"/>
        </w:rPr>
      </w:pPr>
    </w:p>
    <w:p w14:paraId="67E4F07C" w14:textId="77777777" w:rsidR="00224ABF" w:rsidRPr="00224ABF" w:rsidRDefault="00224ABF" w:rsidP="00224ABF">
      <w:pPr>
        <w:spacing w:after="0"/>
        <w:jc w:val="both"/>
        <w:rPr>
          <w:rFonts w:cs="Arial"/>
          <w:color w:val="000000"/>
          <w:lang w:val="es-ES"/>
        </w:rPr>
      </w:pPr>
    </w:p>
    <w:p w14:paraId="54EAC5D9" w14:textId="77777777" w:rsidR="00224ABF" w:rsidRPr="00224ABF" w:rsidRDefault="00224ABF" w:rsidP="00224ABF">
      <w:pPr>
        <w:jc w:val="both"/>
        <w:rPr>
          <w:rFonts w:eastAsia="Times New Roman" w:cs="Arial"/>
          <w:b/>
          <w:lang w:val="es-ES"/>
        </w:rPr>
      </w:pPr>
      <w:r w:rsidRPr="00224ABF">
        <w:rPr>
          <w:rFonts w:eastAsia="Times New Roman" w:cs="Arial"/>
          <w:b/>
          <w:lang w:val="es-ES"/>
        </w:rPr>
        <w:t xml:space="preserve">7. INFORME DE GESTIÓN  PROYECTO ZIPAQUIRA- BUCARAMANGA (PALENQUE) </w:t>
      </w:r>
    </w:p>
    <w:p w14:paraId="4DB4F8E3" w14:textId="77777777" w:rsidR="00224ABF" w:rsidRPr="00224ABF" w:rsidRDefault="00224ABF" w:rsidP="00224ABF">
      <w:pPr>
        <w:widowControl w:val="0"/>
        <w:spacing w:after="0"/>
        <w:contextualSpacing/>
        <w:jc w:val="both"/>
        <w:rPr>
          <w:rFonts w:eastAsiaTheme="minorHAnsi" w:cs="Arial"/>
        </w:rPr>
      </w:pPr>
      <w:r w:rsidRPr="00224ABF">
        <w:rPr>
          <w:rFonts w:eastAsiaTheme="minorHAnsi" w:cs="Arial"/>
          <w:b/>
        </w:rPr>
        <w:t xml:space="preserve">           LOGROS PROYECTO </w:t>
      </w:r>
    </w:p>
    <w:p w14:paraId="32BCFB40" w14:textId="77777777" w:rsidR="00224ABF" w:rsidRPr="00224ABF" w:rsidRDefault="00224ABF" w:rsidP="00224ABF">
      <w:pPr>
        <w:widowControl w:val="0"/>
        <w:spacing w:after="0"/>
        <w:ind w:left="720"/>
        <w:contextualSpacing/>
        <w:jc w:val="both"/>
        <w:rPr>
          <w:rFonts w:eastAsiaTheme="minorHAnsi" w:cs="Arial"/>
        </w:rPr>
      </w:pPr>
    </w:p>
    <w:p w14:paraId="16FF977A" w14:textId="77777777" w:rsidR="00224ABF" w:rsidRPr="00224ABF" w:rsidRDefault="00224ABF" w:rsidP="00224ABF">
      <w:pPr>
        <w:widowControl w:val="0"/>
        <w:spacing w:after="0"/>
        <w:ind w:left="720"/>
        <w:contextualSpacing/>
        <w:jc w:val="both"/>
        <w:rPr>
          <w:rFonts w:eastAsiaTheme="minorHAnsi" w:cs="Arial"/>
        </w:rPr>
      </w:pPr>
      <w:r w:rsidRPr="00224ABF">
        <w:rPr>
          <w:rFonts w:eastAsiaTheme="minorHAnsi" w:cs="Arial"/>
        </w:rPr>
        <w:t>De manera general las actividades del mantenimiento rutinario tuvieron un avance significativo en el primer trimestre del año pues el contraste entre la vía ya concesionada y la vía al momento de la entrega son impactantes en todos los temas, rocería, limpieza de obras de drenaje, limpieza de señales.</w:t>
      </w:r>
    </w:p>
    <w:p w14:paraId="6662D2E6" w14:textId="77777777" w:rsidR="00224ABF" w:rsidRPr="00224ABF" w:rsidRDefault="00224ABF" w:rsidP="00224ABF">
      <w:pPr>
        <w:ind w:left="720"/>
        <w:contextualSpacing/>
        <w:jc w:val="both"/>
        <w:rPr>
          <w:rFonts w:eastAsiaTheme="minorHAnsi" w:cs="Arial"/>
        </w:rPr>
      </w:pPr>
    </w:p>
    <w:p w14:paraId="7841A881" w14:textId="77777777" w:rsidR="00224ABF" w:rsidRPr="00224ABF" w:rsidRDefault="00224ABF" w:rsidP="00224ABF">
      <w:pPr>
        <w:widowControl w:val="0"/>
        <w:numPr>
          <w:ilvl w:val="0"/>
          <w:numId w:val="157"/>
        </w:numPr>
        <w:spacing w:after="0"/>
        <w:contextualSpacing/>
        <w:jc w:val="both"/>
        <w:rPr>
          <w:rFonts w:eastAsiaTheme="minorHAnsi" w:cs="Arial"/>
        </w:rPr>
      </w:pPr>
      <w:r w:rsidRPr="00224ABF">
        <w:rPr>
          <w:rFonts w:eastAsiaTheme="minorHAnsi" w:cs="Arial"/>
        </w:rPr>
        <w:t>Referente al mantenimiento de la vía se cuenta como logro la terminación de las actividades de parcheo inicial en la totalidad del corredor, que si bien es una actividad continua a medida que se requiere, se considera importante por el estado regular en el que se recibió la vía, lo que demandó un esfuerzo importante por parte del Concesionario.</w:t>
      </w:r>
    </w:p>
    <w:p w14:paraId="09EA4CBC" w14:textId="77777777" w:rsidR="00224ABF" w:rsidRPr="00224ABF" w:rsidRDefault="00224ABF" w:rsidP="00224ABF">
      <w:pPr>
        <w:ind w:left="720"/>
        <w:contextualSpacing/>
        <w:jc w:val="both"/>
        <w:rPr>
          <w:rFonts w:eastAsiaTheme="minorHAnsi" w:cs="Arial"/>
        </w:rPr>
      </w:pPr>
    </w:p>
    <w:p w14:paraId="7C8E831D" w14:textId="77777777" w:rsidR="00224ABF" w:rsidRPr="00224ABF" w:rsidRDefault="00224ABF" w:rsidP="00224ABF">
      <w:pPr>
        <w:widowControl w:val="0"/>
        <w:numPr>
          <w:ilvl w:val="0"/>
          <w:numId w:val="157"/>
        </w:numPr>
        <w:spacing w:after="0"/>
        <w:contextualSpacing/>
        <w:jc w:val="both"/>
        <w:rPr>
          <w:rFonts w:eastAsiaTheme="minorHAnsi" w:cs="Arial"/>
        </w:rPr>
      </w:pPr>
      <w:r w:rsidRPr="00224ABF">
        <w:rPr>
          <w:rFonts w:eastAsiaTheme="minorHAnsi" w:cs="Arial"/>
        </w:rPr>
        <w:t xml:space="preserve">De la misma manera como logro se constituye el avance importante en la demarcación de la vía como actividad fundamental del mantenimiento, pues el deterioro y falta de mantenimiento referente a este aspecto, también era notablemente deficiente. Para esta actividad aún se debe complementar la demarcación en general, sin embargo el avance </w:t>
      </w:r>
      <w:r w:rsidRPr="00224ABF">
        <w:rPr>
          <w:rFonts w:eastAsiaTheme="minorHAnsi" w:cs="Arial"/>
        </w:rPr>
        <w:lastRenderedPageBreak/>
        <w:t>logrado generó unas condiciones más seguras para el tránsito de los usuarios de la vía.</w:t>
      </w:r>
    </w:p>
    <w:p w14:paraId="0248DFEF" w14:textId="77777777" w:rsidR="00224ABF" w:rsidRPr="00224ABF" w:rsidRDefault="00224ABF" w:rsidP="00224ABF">
      <w:pPr>
        <w:ind w:left="720"/>
        <w:contextualSpacing/>
        <w:jc w:val="both"/>
        <w:rPr>
          <w:rFonts w:eastAsiaTheme="minorHAnsi" w:cs="Arial"/>
        </w:rPr>
      </w:pPr>
    </w:p>
    <w:p w14:paraId="40C3729F" w14:textId="77777777" w:rsidR="00224ABF" w:rsidRPr="00224ABF" w:rsidRDefault="00224ABF" w:rsidP="00224ABF">
      <w:pPr>
        <w:widowControl w:val="0"/>
        <w:numPr>
          <w:ilvl w:val="0"/>
          <w:numId w:val="157"/>
        </w:numPr>
        <w:spacing w:after="0"/>
        <w:contextualSpacing/>
        <w:jc w:val="both"/>
        <w:rPr>
          <w:rFonts w:eastAsiaTheme="minorHAnsi" w:cs="Arial"/>
        </w:rPr>
      </w:pPr>
      <w:r w:rsidRPr="00224ABF">
        <w:rPr>
          <w:rFonts w:eastAsiaTheme="minorHAnsi" w:cs="Arial"/>
        </w:rPr>
        <w:t>En el aspecto social poco a poco se va consolidando la difusión del proyecto gracias a la implementación de las condiciones establecidas en el Contrato como lo son los puntos de atención al usuario principales, ubicados en los CCO del proyecto, así como los puntos móviles de atención al usuario.</w:t>
      </w:r>
    </w:p>
    <w:p w14:paraId="25110A58" w14:textId="77777777" w:rsidR="00224ABF" w:rsidRPr="00224ABF" w:rsidRDefault="00224ABF" w:rsidP="00224ABF">
      <w:pPr>
        <w:ind w:left="720"/>
        <w:contextualSpacing/>
        <w:jc w:val="both"/>
        <w:rPr>
          <w:rFonts w:eastAsiaTheme="minorHAnsi" w:cs="Arial"/>
        </w:rPr>
      </w:pPr>
    </w:p>
    <w:p w14:paraId="19C68E83" w14:textId="77777777" w:rsidR="00224ABF" w:rsidRPr="00224ABF" w:rsidRDefault="00224ABF" w:rsidP="00224ABF">
      <w:pPr>
        <w:widowControl w:val="0"/>
        <w:numPr>
          <w:ilvl w:val="0"/>
          <w:numId w:val="157"/>
        </w:numPr>
        <w:spacing w:after="0"/>
        <w:contextualSpacing/>
        <w:jc w:val="both"/>
        <w:rPr>
          <w:rFonts w:eastAsiaTheme="minorHAnsi" w:cs="Arial"/>
        </w:rPr>
      </w:pPr>
      <w:r w:rsidRPr="00224ABF">
        <w:rPr>
          <w:rFonts w:eastAsiaTheme="minorHAnsi" w:cs="Arial"/>
        </w:rPr>
        <w:t>Como punto de especial atención está la correcta intervención del Concesionario en la zona urbana y rural de San Gil donde se reforzó de manera importante la demarcación vial y la señalización vertical en las intersecciones de los primeros 4 kilómetros de la 45A07, donde es común la ocurrencia de accidentes.</w:t>
      </w:r>
    </w:p>
    <w:p w14:paraId="7156086F" w14:textId="77777777" w:rsidR="00224ABF" w:rsidRPr="00224ABF" w:rsidRDefault="00224ABF" w:rsidP="00224ABF">
      <w:pPr>
        <w:widowControl w:val="0"/>
        <w:spacing w:after="0"/>
        <w:jc w:val="both"/>
        <w:rPr>
          <w:rFonts w:eastAsia="Times New Roman" w:cs="Arial"/>
          <w:lang w:eastAsia="es-ES"/>
        </w:rPr>
      </w:pPr>
    </w:p>
    <w:p w14:paraId="0C8E8A28" w14:textId="77777777" w:rsidR="00224ABF" w:rsidRPr="00224ABF" w:rsidRDefault="00224ABF" w:rsidP="00224ABF">
      <w:pPr>
        <w:widowControl w:val="0"/>
        <w:spacing w:after="0"/>
        <w:ind w:left="720"/>
        <w:contextualSpacing/>
        <w:jc w:val="both"/>
        <w:rPr>
          <w:rFonts w:eastAsiaTheme="minorHAnsi" w:cs="Arial"/>
          <w:b/>
          <w:u w:val="single"/>
        </w:rPr>
      </w:pPr>
      <w:r w:rsidRPr="00224ABF">
        <w:rPr>
          <w:rFonts w:eastAsiaTheme="minorHAnsi" w:cs="Arial"/>
          <w:b/>
        </w:rPr>
        <w:t>DIFICULTADES PRESENTADAS</w:t>
      </w:r>
      <w:r w:rsidRPr="00224ABF">
        <w:rPr>
          <w:rFonts w:eastAsiaTheme="minorHAnsi" w:cs="Arial"/>
          <w:b/>
          <w:u w:val="single"/>
        </w:rPr>
        <w:t>:</w:t>
      </w:r>
    </w:p>
    <w:p w14:paraId="5356CF83" w14:textId="77777777" w:rsidR="00224ABF" w:rsidRPr="00224ABF" w:rsidRDefault="00224ABF" w:rsidP="00224ABF">
      <w:pPr>
        <w:widowControl w:val="0"/>
        <w:spacing w:after="0"/>
        <w:jc w:val="both"/>
        <w:rPr>
          <w:rFonts w:eastAsia="Times New Roman" w:cs="Arial"/>
          <w:lang w:eastAsia="es-ES"/>
        </w:rPr>
      </w:pPr>
    </w:p>
    <w:p w14:paraId="4463AA28" w14:textId="77777777" w:rsidR="00224ABF" w:rsidRPr="00224ABF" w:rsidRDefault="00224ABF" w:rsidP="00224ABF">
      <w:pPr>
        <w:widowControl w:val="0"/>
        <w:numPr>
          <w:ilvl w:val="0"/>
          <w:numId w:val="158"/>
        </w:numPr>
        <w:spacing w:after="0"/>
        <w:contextualSpacing/>
        <w:jc w:val="both"/>
        <w:rPr>
          <w:rFonts w:eastAsiaTheme="minorHAnsi" w:cs="Arial"/>
        </w:rPr>
      </w:pPr>
      <w:r w:rsidRPr="00224ABF">
        <w:rPr>
          <w:rFonts w:eastAsiaTheme="minorHAnsi" w:cs="Arial"/>
        </w:rPr>
        <w:t>Como dificultad al inicio del contrato se tuvo la implementación de los servicios al usuario pues durante el primer mes el Concesionario adelantó convenios y contratos necesarios para contar con unos equipos de apoyo iniciales en esta tarea, tema que al finalizar el trimestre ya se ha consolidado obteniendo un cubrimiento bueno, ligado a una difusión de los servicios que va cada vez más en aumento en contraste con los dos primeros meses en que aún se percibía el desconocimiento de los usuarios de la presencia de un concesionario en la vía.</w:t>
      </w:r>
    </w:p>
    <w:p w14:paraId="3E83AB01" w14:textId="77777777" w:rsidR="00224ABF" w:rsidRPr="00224ABF" w:rsidRDefault="00224ABF" w:rsidP="00224ABF">
      <w:pPr>
        <w:ind w:left="720"/>
        <w:contextualSpacing/>
        <w:jc w:val="both"/>
        <w:rPr>
          <w:rFonts w:eastAsiaTheme="minorHAnsi" w:cs="Arial"/>
        </w:rPr>
      </w:pPr>
    </w:p>
    <w:p w14:paraId="5C442379" w14:textId="03F53195" w:rsidR="00224ABF" w:rsidRPr="00224ABF" w:rsidRDefault="00224ABF" w:rsidP="00224ABF">
      <w:pPr>
        <w:widowControl w:val="0"/>
        <w:numPr>
          <w:ilvl w:val="0"/>
          <w:numId w:val="158"/>
        </w:numPr>
        <w:spacing w:after="0"/>
        <w:contextualSpacing/>
        <w:jc w:val="both"/>
        <w:rPr>
          <w:rFonts w:eastAsiaTheme="minorHAnsi" w:cs="Arial"/>
        </w:rPr>
      </w:pPr>
      <w:r w:rsidRPr="00224ABF">
        <w:rPr>
          <w:rFonts w:eastAsiaTheme="minorHAnsi" w:cs="Arial"/>
        </w:rPr>
        <w:t>Para el caso de la operación de las estaciones de peaje y pesaje, los equipos existentes de control de tráfico y sistemas en general, se encontraban en situación de desatención estando la totalidad de estos sistemas desactivados requiriéndose hasta la fecha la operación manual. No obstante el Concesionario ya adelantó un diagnóstico y a la fecha se encuentra consolidando la contratación del restablecimiento (reparación, adecuación, mantenimiento) de los sistemas de forma que el control de tráfico y la sistematización del recaudo puedan probablemente reestablecerse para mediados del año en curso. Ligado a este aspecto, la estación de peaje de Saboyá presenta una afectación por tema de geología y geotecnia que hace imposible su utilización por lo que en el primer trimestre no hubo pesaje en esta estación, la cual se supli</w:t>
      </w:r>
      <w:r w:rsidR="00B40667">
        <w:rPr>
          <w:rFonts w:eastAsiaTheme="minorHAnsi" w:cs="Arial"/>
        </w:rPr>
        <w:t>rá</w:t>
      </w:r>
      <w:r w:rsidRPr="00224ABF">
        <w:rPr>
          <w:rFonts w:eastAsiaTheme="minorHAnsi" w:cs="Arial"/>
        </w:rPr>
        <w:t xml:space="preserve"> con la instalación de una báscula móvil desde la primera semana de abril de 2014 y se está buscando el sitio adecuado para la reubicación de la báscula fija.</w:t>
      </w:r>
    </w:p>
    <w:p w14:paraId="3D11B831" w14:textId="77777777" w:rsidR="00224ABF" w:rsidRPr="00224ABF" w:rsidRDefault="00224ABF" w:rsidP="00224ABF">
      <w:pPr>
        <w:ind w:left="720"/>
        <w:contextualSpacing/>
        <w:jc w:val="both"/>
        <w:rPr>
          <w:rFonts w:eastAsiaTheme="minorHAnsi" w:cs="Arial"/>
        </w:rPr>
      </w:pPr>
    </w:p>
    <w:p w14:paraId="6BD40478" w14:textId="77777777" w:rsidR="00224ABF" w:rsidRPr="00224ABF" w:rsidRDefault="00224ABF" w:rsidP="00224ABF">
      <w:pPr>
        <w:widowControl w:val="0"/>
        <w:numPr>
          <w:ilvl w:val="0"/>
          <w:numId w:val="158"/>
        </w:numPr>
        <w:spacing w:after="0"/>
        <w:contextualSpacing/>
        <w:jc w:val="both"/>
        <w:rPr>
          <w:rFonts w:eastAsiaTheme="minorHAnsi" w:cs="Arial"/>
        </w:rPr>
      </w:pPr>
      <w:r w:rsidRPr="00224ABF">
        <w:rPr>
          <w:rFonts w:eastAsiaTheme="minorHAnsi" w:cs="Arial"/>
        </w:rPr>
        <w:t>En cuanto a la parte contractual que repercute en el aspecto técnico, se encuentran los contratos que adelantó el INVIAS y que aún están por adelantarse los cuales han ocasionado confusión en los alcances propios del Concesionario debido a que aún no se tiene claridad, a pesar de los requerimientos realizados por la Agencia, sobre los alcances y garantías de estos contratos que son anteriores al inicio de la concesión.</w:t>
      </w:r>
    </w:p>
    <w:p w14:paraId="3FBC532C" w14:textId="77777777" w:rsidR="00224ABF" w:rsidRPr="00224ABF" w:rsidRDefault="00224ABF" w:rsidP="00224ABF">
      <w:pPr>
        <w:ind w:left="720"/>
        <w:contextualSpacing/>
        <w:jc w:val="both"/>
        <w:rPr>
          <w:rFonts w:eastAsiaTheme="minorHAnsi" w:cs="Arial"/>
        </w:rPr>
      </w:pPr>
    </w:p>
    <w:p w14:paraId="36CFA842" w14:textId="77777777" w:rsidR="00224ABF" w:rsidRPr="00224ABF" w:rsidRDefault="00224ABF" w:rsidP="00224ABF">
      <w:pPr>
        <w:widowControl w:val="0"/>
        <w:numPr>
          <w:ilvl w:val="0"/>
          <w:numId w:val="158"/>
        </w:numPr>
        <w:spacing w:after="0"/>
        <w:contextualSpacing/>
        <w:jc w:val="both"/>
        <w:rPr>
          <w:rFonts w:eastAsiaTheme="minorHAnsi" w:cs="Arial"/>
        </w:rPr>
      </w:pPr>
      <w:r w:rsidRPr="00224ABF">
        <w:rPr>
          <w:rFonts w:eastAsiaTheme="minorHAnsi" w:cs="Arial"/>
        </w:rPr>
        <w:t xml:space="preserve">Otro aspecto no menos importante y que actualmente se constituye en un aspecto crítico </w:t>
      </w:r>
      <w:r w:rsidRPr="00224ABF">
        <w:rPr>
          <w:rFonts w:eastAsiaTheme="minorHAnsi" w:cs="Arial"/>
        </w:rPr>
        <w:lastRenderedPageBreak/>
        <w:t xml:space="preserve">del Contrato, es el relacionado con la suscripción del Convenio con la Dirección de Tránsito y Transporte de la Policía </w:t>
      </w:r>
    </w:p>
    <w:p w14:paraId="5776CDAF" w14:textId="77777777" w:rsidR="00224ABF" w:rsidRPr="00224ABF" w:rsidRDefault="00224ABF" w:rsidP="00224ABF">
      <w:pPr>
        <w:ind w:left="720"/>
        <w:contextualSpacing/>
        <w:jc w:val="both"/>
        <w:rPr>
          <w:rFonts w:eastAsiaTheme="minorHAnsi" w:cs="Arial"/>
        </w:rPr>
      </w:pPr>
    </w:p>
    <w:p w14:paraId="03BD8706" w14:textId="5C41359D" w:rsidR="00224ABF" w:rsidRPr="00224ABF" w:rsidRDefault="00224ABF" w:rsidP="00224ABF">
      <w:pPr>
        <w:widowControl w:val="0"/>
        <w:numPr>
          <w:ilvl w:val="0"/>
          <w:numId w:val="158"/>
        </w:numPr>
        <w:spacing w:after="0"/>
        <w:contextualSpacing/>
        <w:jc w:val="both"/>
        <w:rPr>
          <w:rFonts w:eastAsiaTheme="minorHAnsi" w:cs="Arial"/>
        </w:rPr>
      </w:pPr>
      <w:r w:rsidRPr="00224ABF">
        <w:rPr>
          <w:rFonts w:eastAsiaTheme="minorHAnsi" w:cs="Arial"/>
        </w:rPr>
        <w:t>En el aspecto operativo se encuentra activo el problema presentado en la vía de elusión del peaje Casablanca, en este caso el problema radica en que una vía paralela de aproximadamente 5</w:t>
      </w:r>
      <w:r w:rsidR="001A152C">
        <w:rPr>
          <w:rFonts w:eastAsiaTheme="minorHAnsi" w:cs="Arial"/>
        </w:rPr>
        <w:t xml:space="preserve"> </w:t>
      </w:r>
      <w:r w:rsidRPr="00224ABF">
        <w:rPr>
          <w:rFonts w:eastAsiaTheme="minorHAnsi" w:cs="Arial"/>
        </w:rPr>
        <w:t>km de longitud es empleada por vehículos pesados lo que ocasiona el deterioro de la misma y por ende la comunidad que habita el sector ha manifestado la necesidad de resolver la situación. Como solución a corto plazo se planteó la instalación de un marco para evitar el paso de vehículos grandes pues la solución a largo plazo, casetas adicionales o reubicación del peaje, requiere una serie de procesos que no permitirían en menos de uno o dos años contar con esas soluciones. Todo esto se ha discutido en mesas de trabajo con representantes de los municipios de Cogua y Nemocón, INVIAS, ANI, Concesionario e Interventoría. En el mes de abril, en reunión sostenida en el despacho del municipio de Cogua, la Ministra de Transporte dio instrucciones para iniciar las actividades pertinentes para que de manera definitiva se dé la reubicación del peaje de Casablanca. Como medida provisional el INVIAS expidió una resolución en la que restringe el tráfico pesado por esta vía de elusión y el cumplimiento de la misma está a cargo de la policía de carreteras, sin embargo es imposible para la policía tener personal permanente en este punto por lo que ocasionalmente se puede presentar el tránsito indebido de los vehículos de carga.</w:t>
      </w:r>
    </w:p>
    <w:p w14:paraId="18F1997E" w14:textId="77777777" w:rsidR="00224ABF" w:rsidRPr="00224ABF" w:rsidRDefault="00224ABF" w:rsidP="00224ABF">
      <w:pPr>
        <w:widowControl w:val="0"/>
        <w:spacing w:after="0"/>
        <w:jc w:val="both"/>
        <w:rPr>
          <w:rFonts w:eastAsia="Times New Roman" w:cs="Arial"/>
          <w:lang w:eastAsia="es-ES"/>
        </w:rPr>
      </w:pPr>
    </w:p>
    <w:p w14:paraId="079A45FA" w14:textId="77777777" w:rsidR="00224ABF" w:rsidRPr="00224ABF" w:rsidRDefault="00224ABF" w:rsidP="00224ABF">
      <w:pPr>
        <w:widowControl w:val="0"/>
        <w:spacing w:after="0"/>
        <w:jc w:val="both"/>
        <w:rPr>
          <w:rFonts w:eastAsia="Times New Roman" w:cs="Arial"/>
          <w:lang w:eastAsia="es-ES"/>
        </w:rPr>
      </w:pPr>
    </w:p>
    <w:p w14:paraId="447B3B12" w14:textId="77777777" w:rsidR="00224ABF" w:rsidRPr="00224ABF" w:rsidRDefault="00224ABF" w:rsidP="00224ABF">
      <w:pPr>
        <w:widowControl w:val="0"/>
        <w:spacing w:after="0"/>
        <w:contextualSpacing/>
        <w:jc w:val="both"/>
        <w:rPr>
          <w:rFonts w:eastAsia="Times New Roman" w:cs="Arial"/>
          <w:u w:val="single"/>
          <w:lang w:eastAsia="es-ES"/>
        </w:rPr>
      </w:pPr>
      <w:r w:rsidRPr="00224ABF">
        <w:rPr>
          <w:rFonts w:eastAsiaTheme="minorHAnsi" w:cs="Arial"/>
          <w:b/>
          <w:u w:val="single"/>
        </w:rPr>
        <w:t>ACTIVIDADES REALIZADAS PRIMER TRIMESTRE:</w:t>
      </w:r>
    </w:p>
    <w:p w14:paraId="469604AB" w14:textId="77777777" w:rsidR="00224ABF" w:rsidRPr="00224ABF" w:rsidRDefault="00224ABF" w:rsidP="00224ABF">
      <w:pPr>
        <w:widowControl w:val="0"/>
        <w:spacing w:after="0"/>
        <w:ind w:left="720"/>
        <w:contextualSpacing/>
        <w:jc w:val="both"/>
        <w:rPr>
          <w:rFonts w:eastAsia="Times New Roman" w:cs="Arial"/>
          <w:u w:val="single"/>
          <w:lang w:eastAsia="es-ES"/>
        </w:rPr>
      </w:pPr>
    </w:p>
    <w:p w14:paraId="043DF9E1" w14:textId="77777777" w:rsidR="00224ABF" w:rsidRPr="007B2042" w:rsidRDefault="00224ABF" w:rsidP="007B2042">
      <w:pPr>
        <w:rPr>
          <w:b/>
          <w:caps/>
          <w:lang w:eastAsia="es-ES"/>
        </w:rPr>
      </w:pPr>
      <w:bookmarkStart w:id="70" w:name="_Toc385238444"/>
      <w:r w:rsidRPr="007B2042">
        <w:rPr>
          <w:b/>
          <w:lang w:eastAsia="es-ES"/>
        </w:rPr>
        <w:t>Actividades de mantenimiento rutinario</w:t>
      </w:r>
      <w:bookmarkEnd w:id="70"/>
    </w:p>
    <w:p w14:paraId="58A7D37A" w14:textId="77777777" w:rsidR="00224ABF" w:rsidRPr="00224ABF" w:rsidRDefault="00224ABF" w:rsidP="00224ABF">
      <w:pPr>
        <w:widowControl w:val="0"/>
        <w:spacing w:after="0"/>
        <w:ind w:left="936"/>
        <w:jc w:val="both"/>
        <w:rPr>
          <w:rFonts w:eastAsia="Times New Roman" w:cs="Arial"/>
          <w:lang w:eastAsia="es-ES"/>
        </w:rPr>
      </w:pPr>
    </w:p>
    <w:p w14:paraId="3968C5A3" w14:textId="77777777" w:rsidR="00224ABF" w:rsidRPr="00224ABF" w:rsidRDefault="00224ABF" w:rsidP="00224ABF">
      <w:pPr>
        <w:widowControl w:val="0"/>
        <w:spacing w:after="0"/>
        <w:jc w:val="both"/>
        <w:rPr>
          <w:rFonts w:eastAsia="Times New Roman" w:cs="Arial"/>
          <w:lang w:eastAsia="es-ES"/>
        </w:rPr>
      </w:pPr>
      <w:r w:rsidRPr="00224ABF">
        <w:rPr>
          <w:rFonts w:eastAsia="Times New Roman" w:cs="Arial"/>
          <w:lang w:eastAsia="es-ES"/>
        </w:rPr>
        <w:t>El Concesionario continuó actividades de mantenimiento rutinario a través de contratos con cooperativas a lo largo de todo el trazado de la vía, estas actividades son:</w:t>
      </w:r>
    </w:p>
    <w:p w14:paraId="0372E1A6" w14:textId="77777777" w:rsidR="00224ABF" w:rsidRPr="00224ABF" w:rsidRDefault="00224ABF" w:rsidP="00224ABF">
      <w:pPr>
        <w:widowControl w:val="0"/>
        <w:spacing w:after="0"/>
        <w:jc w:val="both"/>
        <w:rPr>
          <w:rFonts w:eastAsia="Times New Roman" w:cs="Arial"/>
          <w:lang w:eastAsia="es-ES"/>
        </w:rPr>
      </w:pPr>
    </w:p>
    <w:tbl>
      <w:tblPr>
        <w:tblStyle w:val="Tablaconcuadrcula1"/>
        <w:tblW w:w="0" w:type="auto"/>
        <w:jc w:val="center"/>
        <w:tblLook w:val="04A0" w:firstRow="1" w:lastRow="0" w:firstColumn="1" w:lastColumn="0" w:noHBand="0" w:noVBand="1"/>
      </w:tblPr>
      <w:tblGrid>
        <w:gridCol w:w="2577"/>
        <w:gridCol w:w="1278"/>
        <w:gridCol w:w="1178"/>
        <w:gridCol w:w="1178"/>
        <w:gridCol w:w="1339"/>
      </w:tblGrid>
      <w:tr w:rsidR="00224ABF" w:rsidRPr="00224ABF" w14:paraId="433BAC63" w14:textId="77777777" w:rsidTr="0054297D">
        <w:trPr>
          <w:trHeight w:val="255"/>
          <w:jc w:val="center"/>
        </w:trPr>
        <w:tc>
          <w:tcPr>
            <w:tcW w:w="2577" w:type="dxa"/>
            <w:noWrap/>
            <w:hideMark/>
          </w:tcPr>
          <w:p w14:paraId="69475234"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ACTIVIDAD</w:t>
            </w:r>
          </w:p>
        </w:tc>
        <w:tc>
          <w:tcPr>
            <w:tcW w:w="1278" w:type="dxa"/>
            <w:noWrap/>
            <w:hideMark/>
          </w:tcPr>
          <w:p w14:paraId="702977DE"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LONG</w:t>
            </w:r>
          </w:p>
        </w:tc>
        <w:tc>
          <w:tcPr>
            <w:tcW w:w="1178" w:type="dxa"/>
            <w:noWrap/>
            <w:hideMark/>
          </w:tcPr>
          <w:p w14:paraId="01E87DD5"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TRAMO 1</w:t>
            </w:r>
          </w:p>
        </w:tc>
        <w:tc>
          <w:tcPr>
            <w:tcW w:w="1178" w:type="dxa"/>
            <w:noWrap/>
            <w:hideMark/>
          </w:tcPr>
          <w:p w14:paraId="4F30035C"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TRAMO 2</w:t>
            </w:r>
          </w:p>
        </w:tc>
        <w:tc>
          <w:tcPr>
            <w:tcW w:w="1339" w:type="dxa"/>
            <w:noWrap/>
            <w:hideMark/>
          </w:tcPr>
          <w:p w14:paraId="7FFDB5FD"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TRAMO 3</w:t>
            </w:r>
          </w:p>
        </w:tc>
      </w:tr>
      <w:tr w:rsidR="00224ABF" w:rsidRPr="00224ABF" w14:paraId="662010B4" w14:textId="77777777" w:rsidTr="0054297D">
        <w:trPr>
          <w:trHeight w:val="255"/>
          <w:jc w:val="center"/>
        </w:trPr>
        <w:tc>
          <w:tcPr>
            <w:tcW w:w="2577" w:type="dxa"/>
            <w:noWrap/>
            <w:hideMark/>
          </w:tcPr>
          <w:p w14:paraId="63512702"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Limpieza Zona de Vía (Km)</w:t>
            </w:r>
          </w:p>
        </w:tc>
        <w:tc>
          <w:tcPr>
            <w:tcW w:w="1278" w:type="dxa"/>
            <w:noWrap/>
            <w:hideMark/>
          </w:tcPr>
          <w:p w14:paraId="3B5257C9"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370.00</w:t>
            </w:r>
          </w:p>
        </w:tc>
        <w:tc>
          <w:tcPr>
            <w:tcW w:w="1178" w:type="dxa"/>
            <w:noWrap/>
            <w:hideMark/>
          </w:tcPr>
          <w:p w14:paraId="60FE8E9D"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127.00</w:t>
            </w:r>
          </w:p>
        </w:tc>
        <w:tc>
          <w:tcPr>
            <w:tcW w:w="1178" w:type="dxa"/>
            <w:noWrap/>
            <w:hideMark/>
          </w:tcPr>
          <w:p w14:paraId="20B1F9A6"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36.00</w:t>
            </w:r>
          </w:p>
        </w:tc>
        <w:tc>
          <w:tcPr>
            <w:tcW w:w="1339" w:type="dxa"/>
            <w:noWrap/>
            <w:hideMark/>
          </w:tcPr>
          <w:p w14:paraId="66C31C42"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0.00</w:t>
            </w:r>
          </w:p>
        </w:tc>
      </w:tr>
      <w:tr w:rsidR="00224ABF" w:rsidRPr="00224ABF" w14:paraId="1F96FD91" w14:textId="77777777" w:rsidTr="0054297D">
        <w:trPr>
          <w:trHeight w:val="255"/>
          <w:jc w:val="center"/>
        </w:trPr>
        <w:tc>
          <w:tcPr>
            <w:tcW w:w="2577" w:type="dxa"/>
            <w:noWrap/>
            <w:hideMark/>
          </w:tcPr>
          <w:p w14:paraId="772DA579"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Rocería (Km)</w:t>
            </w:r>
          </w:p>
        </w:tc>
        <w:tc>
          <w:tcPr>
            <w:tcW w:w="1278" w:type="dxa"/>
            <w:noWrap/>
            <w:hideMark/>
          </w:tcPr>
          <w:p w14:paraId="2D321C3A"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370.00</w:t>
            </w:r>
          </w:p>
        </w:tc>
        <w:tc>
          <w:tcPr>
            <w:tcW w:w="1178" w:type="dxa"/>
            <w:noWrap/>
            <w:hideMark/>
          </w:tcPr>
          <w:p w14:paraId="7671ADEA"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122.50</w:t>
            </w:r>
          </w:p>
        </w:tc>
        <w:tc>
          <w:tcPr>
            <w:tcW w:w="1178" w:type="dxa"/>
            <w:noWrap/>
            <w:hideMark/>
          </w:tcPr>
          <w:p w14:paraId="0229E9D7"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85.00</w:t>
            </w:r>
          </w:p>
        </w:tc>
        <w:tc>
          <w:tcPr>
            <w:tcW w:w="1339" w:type="dxa"/>
            <w:noWrap/>
            <w:hideMark/>
          </w:tcPr>
          <w:p w14:paraId="1CFC8C17" w14:textId="77777777" w:rsidR="00224ABF" w:rsidRPr="00224ABF" w:rsidRDefault="00224ABF" w:rsidP="0054297D">
            <w:pPr>
              <w:widowControl w:val="0"/>
              <w:spacing w:line="276" w:lineRule="auto"/>
              <w:jc w:val="both"/>
              <w:rPr>
                <w:rFonts w:cs="Arial"/>
                <w:b/>
                <w:bCs/>
                <w:lang w:eastAsia="es-ES"/>
              </w:rPr>
            </w:pPr>
            <w:r w:rsidRPr="00224ABF">
              <w:rPr>
                <w:rFonts w:cs="Arial"/>
                <w:b/>
                <w:bCs/>
                <w:lang w:eastAsia="es-ES"/>
              </w:rPr>
              <w:t>152.00</w:t>
            </w:r>
          </w:p>
        </w:tc>
      </w:tr>
    </w:tbl>
    <w:p w14:paraId="7E8A586C" w14:textId="77777777" w:rsidR="00224ABF" w:rsidRPr="00224ABF" w:rsidRDefault="00224ABF" w:rsidP="00224ABF">
      <w:pPr>
        <w:widowControl w:val="0"/>
        <w:tabs>
          <w:tab w:val="left" w:pos="720"/>
        </w:tabs>
        <w:spacing w:after="0"/>
        <w:ind w:left="576"/>
        <w:jc w:val="both"/>
        <w:outlineLvl w:val="1"/>
        <w:rPr>
          <w:rFonts w:cs="Arial"/>
          <w:b/>
          <w:caps/>
          <w:u w:val="single"/>
          <w:lang w:eastAsia="es-ES"/>
        </w:rPr>
      </w:pPr>
      <w:bookmarkStart w:id="71" w:name="_Toc385238445"/>
    </w:p>
    <w:p w14:paraId="1C6F22A5" w14:textId="77777777" w:rsidR="00224ABF" w:rsidRPr="007B2042" w:rsidRDefault="00224ABF" w:rsidP="007B2042">
      <w:pPr>
        <w:rPr>
          <w:b/>
          <w:caps/>
          <w:lang w:eastAsia="es-ES"/>
        </w:rPr>
      </w:pPr>
      <w:r w:rsidRPr="007B2042">
        <w:rPr>
          <w:b/>
          <w:lang w:eastAsia="es-ES"/>
        </w:rPr>
        <w:t xml:space="preserve">Mantenimiento de la carpeta </w:t>
      </w:r>
      <w:bookmarkEnd w:id="71"/>
      <w:r w:rsidRPr="007B2042">
        <w:rPr>
          <w:b/>
          <w:lang w:eastAsia="es-ES"/>
        </w:rPr>
        <w:t>asfáltica</w:t>
      </w:r>
    </w:p>
    <w:p w14:paraId="6E90CDB5" w14:textId="77777777" w:rsidR="00224ABF" w:rsidRPr="00224ABF" w:rsidRDefault="00224ABF" w:rsidP="00224ABF">
      <w:pPr>
        <w:widowControl w:val="0"/>
        <w:spacing w:after="0"/>
        <w:jc w:val="both"/>
        <w:rPr>
          <w:rFonts w:eastAsia="Times New Roman" w:cs="Arial"/>
          <w:lang w:eastAsia="es-ES"/>
        </w:rPr>
      </w:pPr>
    </w:p>
    <w:p w14:paraId="44309AAE" w14:textId="77777777" w:rsidR="00224ABF" w:rsidRPr="00224ABF" w:rsidRDefault="00224ABF" w:rsidP="00224ABF">
      <w:pPr>
        <w:widowControl w:val="0"/>
        <w:spacing w:after="0"/>
        <w:jc w:val="both"/>
        <w:rPr>
          <w:rFonts w:eastAsia="Times New Roman" w:cs="Arial"/>
          <w:lang w:eastAsia="es-ES"/>
        </w:rPr>
      </w:pPr>
      <w:r w:rsidRPr="00224ABF">
        <w:rPr>
          <w:rFonts w:eastAsia="Times New Roman" w:cs="Arial"/>
          <w:lang w:eastAsia="es-ES"/>
        </w:rPr>
        <w:t xml:space="preserve">El concesionario realiza actividades de parcheo con el fin de mejorar la transitabilidad y la seguridad vial del sector del PR 68+277 RUTA 45A 05 al PR 63+050 RUTA 45A 06, del trayecto 1 entre Saboya y puente Guillermo, como también el sector del PR 74+000 RUTA 45A 06 hasta el Municipio de San Gil PR 125+700 RUTA 45A 06, y en la zona del peaje de Curos del trayecto 3 PR 53+800 45A 07. Para </w:t>
      </w:r>
      <w:r w:rsidRPr="00224ABF">
        <w:rPr>
          <w:rFonts w:eastAsia="Times New Roman" w:cs="Arial"/>
          <w:lang w:eastAsia="es-ES"/>
        </w:rPr>
        <w:lastRenderedPageBreak/>
        <w:t xml:space="preserve">la realización del parcheo se utilizó mezcla densa en caliente MDC-2, el volumen de mezcla empleado para el parcheo fue de </w:t>
      </w:r>
      <w:r w:rsidRPr="00224ABF">
        <w:rPr>
          <w:rFonts w:eastAsia="Times New Roman" w:cs="Arial"/>
          <w:b/>
          <w:u w:val="single"/>
          <w:lang w:eastAsia="es-ES"/>
        </w:rPr>
        <w:t>305,29</w:t>
      </w:r>
      <w:r w:rsidRPr="00224ABF">
        <w:rPr>
          <w:rFonts w:eastAsia="Times New Roman" w:cs="Arial"/>
          <w:lang w:eastAsia="es-ES"/>
        </w:rPr>
        <w:t xml:space="preserve"> m3.</w:t>
      </w:r>
    </w:p>
    <w:p w14:paraId="17AADDDB" w14:textId="77777777" w:rsidR="00224ABF" w:rsidRPr="00224ABF" w:rsidRDefault="00224ABF" w:rsidP="00224ABF">
      <w:pPr>
        <w:widowControl w:val="0"/>
        <w:spacing w:after="0"/>
        <w:jc w:val="both"/>
        <w:rPr>
          <w:rFonts w:eastAsia="Times New Roman" w:cs="Arial"/>
          <w:lang w:eastAsia="es-ES"/>
        </w:rPr>
      </w:pPr>
    </w:p>
    <w:p w14:paraId="110DC978" w14:textId="77777777" w:rsidR="00224ABF" w:rsidRPr="00BC4256" w:rsidRDefault="00224ABF" w:rsidP="00BC4256">
      <w:pPr>
        <w:rPr>
          <w:b/>
          <w:caps/>
          <w:lang w:eastAsia="es-ES"/>
        </w:rPr>
      </w:pPr>
      <w:r w:rsidRPr="00BC4256">
        <w:rPr>
          <w:b/>
          <w:lang w:eastAsia="es-ES"/>
        </w:rPr>
        <w:t>Señalización: demarcación horizontal</w:t>
      </w:r>
    </w:p>
    <w:p w14:paraId="58F6A8D4" w14:textId="77777777" w:rsidR="00224ABF" w:rsidRPr="00224ABF" w:rsidRDefault="00224ABF" w:rsidP="00224ABF">
      <w:pPr>
        <w:widowControl w:val="0"/>
        <w:spacing w:after="0"/>
        <w:jc w:val="both"/>
        <w:rPr>
          <w:rFonts w:eastAsia="Times New Roman" w:cs="Arial"/>
          <w:lang w:eastAsia="es-ES"/>
        </w:rPr>
      </w:pPr>
    </w:p>
    <w:p w14:paraId="09B7BB9D" w14:textId="77777777" w:rsidR="00224ABF" w:rsidRPr="00224ABF" w:rsidRDefault="00224ABF" w:rsidP="00224ABF">
      <w:pPr>
        <w:widowControl w:val="0"/>
        <w:spacing w:after="0"/>
        <w:jc w:val="both"/>
        <w:rPr>
          <w:rFonts w:eastAsia="Times New Roman" w:cs="Arial"/>
          <w:lang w:eastAsia="es-ES"/>
        </w:rPr>
      </w:pPr>
      <w:r w:rsidRPr="00224ABF">
        <w:rPr>
          <w:rFonts w:eastAsia="Times New Roman" w:cs="Arial"/>
          <w:lang w:eastAsia="es-ES"/>
        </w:rPr>
        <w:t>El concesionario también realiza actividades de señalización con el fin de mejorar la transitabilidad y la seguridad vial  a lo largo del proyecto.</w:t>
      </w:r>
    </w:p>
    <w:p w14:paraId="68A52D68" w14:textId="77777777" w:rsidR="00224ABF" w:rsidRPr="00224ABF" w:rsidRDefault="00224ABF" w:rsidP="00224ABF">
      <w:pPr>
        <w:widowControl w:val="0"/>
        <w:spacing w:after="0"/>
        <w:jc w:val="both"/>
        <w:rPr>
          <w:rFonts w:eastAsia="Times New Roman" w:cs="Arial"/>
          <w:lang w:eastAsia="es-ES"/>
        </w:rPr>
      </w:pPr>
    </w:p>
    <w:p w14:paraId="5D325E0B" w14:textId="77777777" w:rsidR="00224ABF" w:rsidRPr="00224ABF" w:rsidRDefault="00224ABF" w:rsidP="00224ABF">
      <w:pPr>
        <w:jc w:val="both"/>
        <w:rPr>
          <w:rFonts w:eastAsia="Times New Roman" w:cs="Arial"/>
          <w:lang w:val="es-ES" w:eastAsia="es-ES_tradnl"/>
        </w:rPr>
      </w:pPr>
    </w:p>
    <w:p w14:paraId="156AA6D6" w14:textId="77777777" w:rsidR="00224ABF" w:rsidRPr="00224ABF" w:rsidRDefault="00224ABF" w:rsidP="00224ABF">
      <w:pPr>
        <w:jc w:val="center"/>
        <w:rPr>
          <w:rFonts w:cs="Arial"/>
          <w:b/>
        </w:rPr>
      </w:pPr>
      <w:r w:rsidRPr="00224ABF">
        <w:rPr>
          <w:rFonts w:cs="Arial"/>
          <w:b/>
        </w:rPr>
        <w:t>GERENCIA DE PROYECTOS CARRETERO 2</w:t>
      </w:r>
    </w:p>
    <w:p w14:paraId="378F2E7E" w14:textId="77777777" w:rsidR="00224ABF" w:rsidRPr="00224ABF" w:rsidRDefault="00224ABF" w:rsidP="00224ABF">
      <w:pPr>
        <w:spacing w:after="0"/>
        <w:jc w:val="both"/>
        <w:rPr>
          <w:rFonts w:cs="Arial"/>
          <w:b/>
          <w:lang w:val="es-MX"/>
        </w:rPr>
      </w:pPr>
    </w:p>
    <w:p w14:paraId="0AF76DF2" w14:textId="77777777" w:rsidR="00224ABF" w:rsidRPr="00224ABF" w:rsidRDefault="00224ABF" w:rsidP="00224ABF">
      <w:pPr>
        <w:jc w:val="both"/>
        <w:rPr>
          <w:rFonts w:eastAsia="Times New Roman" w:cs="Arial"/>
          <w:b/>
          <w:lang w:val="es-ES"/>
        </w:rPr>
      </w:pPr>
      <w:r w:rsidRPr="00224ABF">
        <w:rPr>
          <w:rFonts w:eastAsia="Times New Roman" w:cs="Arial"/>
          <w:b/>
          <w:lang w:val="es-ES"/>
        </w:rPr>
        <w:t>8. INFORME DE GESTIÓN  PROYECTO BOGOTÁ VILLAVICENCIO</w:t>
      </w:r>
    </w:p>
    <w:p w14:paraId="51418C0B" w14:textId="77777777" w:rsidR="00224ABF" w:rsidRPr="00224ABF" w:rsidRDefault="00224ABF" w:rsidP="00224ABF">
      <w:pPr>
        <w:spacing w:after="0" w:line="240" w:lineRule="auto"/>
        <w:jc w:val="both"/>
        <w:rPr>
          <w:rFonts w:eastAsiaTheme="minorHAnsi" w:cs="Calibri"/>
          <w:sz w:val="24"/>
          <w:szCs w:val="24"/>
        </w:rPr>
      </w:pPr>
    </w:p>
    <w:p w14:paraId="5AA66580" w14:textId="77777777" w:rsidR="00224ABF" w:rsidRPr="00BC4256" w:rsidRDefault="00224ABF" w:rsidP="00BC4256">
      <w:pPr>
        <w:rPr>
          <w:rFonts w:eastAsiaTheme="minorHAnsi"/>
          <w:b/>
        </w:rPr>
      </w:pPr>
      <w:r w:rsidRPr="00BC4256">
        <w:rPr>
          <w:rFonts w:eastAsiaTheme="minorHAnsi"/>
          <w:b/>
        </w:rPr>
        <w:t xml:space="preserve"> ESTADO ACTUAL DEL PROYECTO</w:t>
      </w:r>
    </w:p>
    <w:p w14:paraId="3C90C1BB" w14:textId="77777777" w:rsidR="00224ABF" w:rsidRPr="00224ABF" w:rsidRDefault="00224ABF" w:rsidP="00224ABF">
      <w:pPr>
        <w:spacing w:after="0" w:line="240" w:lineRule="auto"/>
        <w:jc w:val="both"/>
        <w:rPr>
          <w:rFonts w:eastAsiaTheme="minorHAnsi" w:cs="Arial"/>
        </w:rPr>
      </w:pPr>
      <w:r w:rsidRPr="00224ABF">
        <w:rPr>
          <w:rFonts w:eastAsiaTheme="minorHAnsi" w:cs="Arial"/>
        </w:rPr>
        <w:tab/>
      </w:r>
    </w:p>
    <w:p w14:paraId="186501CC" w14:textId="77777777" w:rsidR="00224ABF" w:rsidRPr="00224ABF" w:rsidRDefault="00224ABF" w:rsidP="00224ABF">
      <w:pPr>
        <w:autoSpaceDE w:val="0"/>
        <w:autoSpaceDN w:val="0"/>
        <w:adjustRightInd w:val="0"/>
        <w:spacing w:after="0" w:line="240" w:lineRule="auto"/>
        <w:jc w:val="both"/>
        <w:rPr>
          <w:rFonts w:eastAsiaTheme="minorHAnsi" w:cs="Arial"/>
        </w:rPr>
      </w:pPr>
      <w:r w:rsidRPr="00224ABF">
        <w:rPr>
          <w:rFonts w:eastAsiaTheme="minorHAnsi" w:cs="Arial"/>
        </w:rPr>
        <w:t>El proyecto doble calzada del Adicional N°1 está dividido en 15 etapas:</w:t>
      </w:r>
    </w:p>
    <w:p w14:paraId="7602A0EF" w14:textId="77777777" w:rsidR="00224ABF" w:rsidRPr="00224ABF" w:rsidRDefault="00224ABF" w:rsidP="00224ABF">
      <w:pPr>
        <w:autoSpaceDE w:val="0"/>
        <w:autoSpaceDN w:val="0"/>
        <w:adjustRightInd w:val="0"/>
        <w:spacing w:after="0" w:line="240" w:lineRule="auto"/>
        <w:jc w:val="both"/>
        <w:rPr>
          <w:rFonts w:eastAsiaTheme="minorHAnsi" w:cs="Arial"/>
        </w:rPr>
      </w:pPr>
    </w:p>
    <w:p w14:paraId="5DE4E902" w14:textId="77777777" w:rsidR="00224ABF" w:rsidRPr="00224ABF" w:rsidRDefault="00224ABF" w:rsidP="00224ABF">
      <w:pPr>
        <w:autoSpaceDE w:val="0"/>
        <w:autoSpaceDN w:val="0"/>
        <w:adjustRightInd w:val="0"/>
        <w:spacing w:after="0" w:line="240" w:lineRule="auto"/>
        <w:jc w:val="both"/>
        <w:rPr>
          <w:rFonts w:eastAsiaTheme="minorHAnsi" w:cs="Arial"/>
        </w:rPr>
      </w:pPr>
      <w:r w:rsidRPr="00224ABF">
        <w:rPr>
          <w:rFonts w:eastAsiaTheme="minorHAnsi" w:cs="Arial"/>
        </w:rPr>
        <w:t xml:space="preserve">Las etapas correspondientes de la No. 1 a la 10 hacen parte de la construcción del Par Vial para llevar el sector 2 a doble calzada </w:t>
      </w:r>
    </w:p>
    <w:p w14:paraId="31CBD90E" w14:textId="77777777" w:rsidR="00224ABF" w:rsidRPr="00224ABF" w:rsidRDefault="00224ABF" w:rsidP="00224ABF">
      <w:pPr>
        <w:autoSpaceDE w:val="0"/>
        <w:autoSpaceDN w:val="0"/>
        <w:adjustRightInd w:val="0"/>
        <w:spacing w:after="0" w:line="240" w:lineRule="auto"/>
        <w:jc w:val="both"/>
        <w:rPr>
          <w:rFonts w:eastAsiaTheme="minorHAnsi" w:cs="Arial"/>
        </w:rPr>
      </w:pPr>
      <w:r w:rsidRPr="00224ABF">
        <w:rPr>
          <w:rFonts w:eastAsiaTheme="minorHAnsi" w:cs="Arial"/>
        </w:rPr>
        <w:t>Las etapas de la No. 11 hasta la 15 son obras de la calzada existente.</w:t>
      </w:r>
    </w:p>
    <w:p w14:paraId="7452B411" w14:textId="77777777" w:rsidR="00224ABF" w:rsidRPr="00224ABF" w:rsidRDefault="00224ABF" w:rsidP="00224ABF">
      <w:pPr>
        <w:autoSpaceDE w:val="0"/>
        <w:autoSpaceDN w:val="0"/>
        <w:adjustRightInd w:val="0"/>
        <w:spacing w:after="0" w:line="240" w:lineRule="auto"/>
        <w:jc w:val="both"/>
        <w:rPr>
          <w:rFonts w:eastAsiaTheme="minorHAnsi" w:cs="Arial"/>
        </w:rPr>
      </w:pPr>
      <w:r w:rsidRPr="00224ABF">
        <w:rPr>
          <w:rFonts w:eastAsiaTheme="minorHAnsi" w:cs="Arial"/>
        </w:rPr>
        <w:t>El porcentaje de avance de cada una de las etapas para el mes de marzo de 2014 se relaciona a continuación:</w:t>
      </w:r>
    </w:p>
    <w:p w14:paraId="23D2E30B" w14:textId="77777777" w:rsidR="00224ABF" w:rsidRPr="00224ABF" w:rsidRDefault="00224ABF" w:rsidP="00224ABF">
      <w:pPr>
        <w:autoSpaceDE w:val="0"/>
        <w:autoSpaceDN w:val="0"/>
        <w:adjustRightInd w:val="0"/>
        <w:spacing w:after="0" w:line="240" w:lineRule="auto"/>
        <w:jc w:val="both"/>
        <w:rPr>
          <w:rFonts w:eastAsiaTheme="minorHAnsi" w:cs="Arial"/>
        </w:rPr>
      </w:pPr>
    </w:p>
    <w:p w14:paraId="6C5CE201" w14:textId="77777777" w:rsidR="00224ABF" w:rsidRPr="00224ABF" w:rsidRDefault="00224ABF" w:rsidP="00224ABF">
      <w:pPr>
        <w:autoSpaceDE w:val="0"/>
        <w:autoSpaceDN w:val="0"/>
        <w:adjustRightInd w:val="0"/>
        <w:spacing w:after="0" w:line="240" w:lineRule="auto"/>
        <w:jc w:val="both"/>
        <w:rPr>
          <w:rFonts w:eastAsiaTheme="minorHAnsi" w:cs="Arial"/>
        </w:rPr>
      </w:pPr>
      <w:r w:rsidRPr="00224ABF">
        <w:rPr>
          <w:rFonts w:eastAsiaTheme="minorHAnsi" w:cs="Arial"/>
          <w:noProof/>
        </w:rPr>
        <w:lastRenderedPageBreak/>
        <w:drawing>
          <wp:inline distT="0" distB="0" distL="0" distR="0" wp14:anchorId="2370779D" wp14:editId="2CA97F1A">
            <wp:extent cx="5286375" cy="592455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60372" cy="6007480"/>
                    </a:xfrm>
                    <a:prstGeom prst="rect">
                      <a:avLst/>
                    </a:prstGeom>
                  </pic:spPr>
                </pic:pic>
              </a:graphicData>
            </a:graphic>
          </wp:inline>
        </w:drawing>
      </w:r>
    </w:p>
    <w:p w14:paraId="4257255E" w14:textId="77777777" w:rsidR="00224ABF" w:rsidRPr="00224ABF" w:rsidRDefault="00224ABF" w:rsidP="00224ABF">
      <w:pPr>
        <w:autoSpaceDE w:val="0"/>
        <w:autoSpaceDN w:val="0"/>
        <w:adjustRightInd w:val="0"/>
        <w:spacing w:after="0" w:line="240" w:lineRule="auto"/>
        <w:jc w:val="center"/>
        <w:rPr>
          <w:rFonts w:eastAsiaTheme="minorHAnsi" w:cs="Arial"/>
          <w:b/>
          <w:sz w:val="18"/>
          <w:szCs w:val="18"/>
        </w:rPr>
      </w:pPr>
      <w:r w:rsidRPr="00224ABF">
        <w:rPr>
          <w:rFonts w:eastAsiaTheme="minorHAnsi" w:cs="Arial"/>
          <w:b/>
          <w:sz w:val="18"/>
          <w:szCs w:val="18"/>
        </w:rPr>
        <w:t>Cuadro No. 1-Fuente Supervisión del Proyecto</w:t>
      </w:r>
    </w:p>
    <w:p w14:paraId="24415B4C" w14:textId="77777777" w:rsidR="00224ABF" w:rsidRPr="00224ABF" w:rsidRDefault="00224ABF" w:rsidP="00224ABF">
      <w:pPr>
        <w:autoSpaceDE w:val="0"/>
        <w:autoSpaceDN w:val="0"/>
        <w:adjustRightInd w:val="0"/>
        <w:spacing w:after="0" w:line="240" w:lineRule="auto"/>
        <w:jc w:val="center"/>
        <w:rPr>
          <w:rFonts w:eastAsiaTheme="minorHAnsi" w:cs="Arial"/>
          <w:sz w:val="18"/>
          <w:szCs w:val="18"/>
        </w:rPr>
      </w:pPr>
    </w:p>
    <w:p w14:paraId="7A582568" w14:textId="77777777" w:rsidR="00224ABF" w:rsidRPr="00224ABF" w:rsidRDefault="00224ABF" w:rsidP="00224ABF">
      <w:pPr>
        <w:autoSpaceDE w:val="0"/>
        <w:autoSpaceDN w:val="0"/>
        <w:adjustRightInd w:val="0"/>
        <w:spacing w:after="0" w:line="240" w:lineRule="auto"/>
        <w:jc w:val="both"/>
        <w:rPr>
          <w:rFonts w:eastAsiaTheme="minorHAnsi" w:cs="Arial"/>
        </w:rPr>
      </w:pPr>
    </w:p>
    <w:p w14:paraId="22A00CD5" w14:textId="77777777" w:rsidR="00224ABF" w:rsidRPr="00224ABF" w:rsidRDefault="00224ABF" w:rsidP="00224ABF">
      <w:pPr>
        <w:autoSpaceDE w:val="0"/>
        <w:autoSpaceDN w:val="0"/>
        <w:adjustRightInd w:val="0"/>
        <w:spacing w:after="0" w:line="240" w:lineRule="auto"/>
        <w:jc w:val="both"/>
        <w:rPr>
          <w:rFonts w:eastAsiaTheme="minorHAnsi" w:cs="Arial"/>
        </w:rPr>
      </w:pPr>
      <w:r w:rsidRPr="00224ABF">
        <w:rPr>
          <w:rFonts w:eastAsiaTheme="minorHAnsi" w:cs="Arial"/>
        </w:rPr>
        <w:t xml:space="preserve">A continuación relacionamos el seguimiento de inversión acumulado a marzo de 2014, de las 15 etapas en las cuales fue dividido el Adicional No. 1 al Contrato 444 de 1994. Ver Cuadro No. 2. </w:t>
      </w:r>
    </w:p>
    <w:p w14:paraId="7118F934" w14:textId="77777777" w:rsidR="00224ABF" w:rsidRPr="00224ABF" w:rsidRDefault="00224ABF" w:rsidP="00224ABF">
      <w:pPr>
        <w:autoSpaceDE w:val="0"/>
        <w:autoSpaceDN w:val="0"/>
        <w:adjustRightInd w:val="0"/>
        <w:spacing w:after="0" w:line="240" w:lineRule="auto"/>
        <w:jc w:val="both"/>
        <w:rPr>
          <w:rFonts w:eastAsiaTheme="minorHAnsi" w:cs="Arial"/>
        </w:rPr>
      </w:pPr>
    </w:p>
    <w:p w14:paraId="661D3813" w14:textId="77777777" w:rsidR="00224ABF" w:rsidRPr="00224ABF" w:rsidRDefault="00224ABF" w:rsidP="00224ABF">
      <w:pPr>
        <w:autoSpaceDE w:val="0"/>
        <w:autoSpaceDN w:val="0"/>
        <w:adjustRightInd w:val="0"/>
        <w:spacing w:after="0" w:line="240" w:lineRule="auto"/>
        <w:jc w:val="both"/>
        <w:rPr>
          <w:rFonts w:eastAsiaTheme="minorHAnsi" w:cs="Arial"/>
        </w:rPr>
      </w:pPr>
      <w:r w:rsidRPr="00224ABF">
        <w:rPr>
          <w:rFonts w:eastAsiaTheme="minorHAnsi" w:cs="Arial"/>
          <w:noProof/>
        </w:rPr>
        <w:lastRenderedPageBreak/>
        <w:drawing>
          <wp:inline distT="0" distB="0" distL="0" distR="0" wp14:anchorId="7D7DE3B4" wp14:editId="619579BC">
            <wp:extent cx="5724525" cy="711517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8462" cy="7132498"/>
                    </a:xfrm>
                    <a:prstGeom prst="rect">
                      <a:avLst/>
                    </a:prstGeom>
                  </pic:spPr>
                </pic:pic>
              </a:graphicData>
            </a:graphic>
          </wp:inline>
        </w:drawing>
      </w:r>
    </w:p>
    <w:p w14:paraId="09FD183B" w14:textId="77777777" w:rsidR="00224ABF" w:rsidRPr="00224ABF" w:rsidRDefault="00224ABF" w:rsidP="00224ABF">
      <w:pPr>
        <w:autoSpaceDE w:val="0"/>
        <w:autoSpaceDN w:val="0"/>
        <w:adjustRightInd w:val="0"/>
        <w:spacing w:after="0" w:line="240" w:lineRule="auto"/>
        <w:jc w:val="center"/>
        <w:rPr>
          <w:rFonts w:eastAsiaTheme="minorHAnsi" w:cs="Arial"/>
          <w:b/>
          <w:sz w:val="18"/>
          <w:szCs w:val="18"/>
        </w:rPr>
      </w:pPr>
      <w:r w:rsidRPr="00224ABF">
        <w:rPr>
          <w:rFonts w:eastAsiaTheme="minorHAnsi" w:cs="Arial"/>
          <w:b/>
          <w:sz w:val="18"/>
          <w:szCs w:val="18"/>
        </w:rPr>
        <w:t>Cuadro No. 2.- Fuente Supervisión del Proyecto</w:t>
      </w:r>
    </w:p>
    <w:p w14:paraId="4D97556B" w14:textId="77777777" w:rsidR="00224ABF" w:rsidRPr="00224ABF" w:rsidRDefault="00224ABF" w:rsidP="00224ABF">
      <w:pPr>
        <w:autoSpaceDE w:val="0"/>
        <w:autoSpaceDN w:val="0"/>
        <w:adjustRightInd w:val="0"/>
        <w:spacing w:after="0" w:line="240" w:lineRule="auto"/>
        <w:jc w:val="both"/>
        <w:rPr>
          <w:rFonts w:eastAsiaTheme="minorHAnsi" w:cs="Arial"/>
        </w:rPr>
      </w:pPr>
    </w:p>
    <w:p w14:paraId="41B4B660" w14:textId="77777777" w:rsidR="00224ABF" w:rsidRPr="00224ABF" w:rsidRDefault="00224ABF" w:rsidP="00224ABF">
      <w:pPr>
        <w:autoSpaceDE w:val="0"/>
        <w:autoSpaceDN w:val="0"/>
        <w:adjustRightInd w:val="0"/>
        <w:jc w:val="both"/>
        <w:rPr>
          <w:rFonts w:eastAsiaTheme="minorHAnsi" w:cs="Arial"/>
        </w:rPr>
      </w:pPr>
      <w:r w:rsidRPr="00224ABF">
        <w:rPr>
          <w:rFonts w:eastAsiaTheme="minorHAnsi" w:cs="Arial"/>
        </w:rPr>
        <w:t xml:space="preserve">El alcance del Adicional No. 1 consiste, entre otros, en la ejecución de las obras civiles, eléctricas, electromecánicas, ambientales, sociales y prediales necesarias para la construcción de una vía nueva, las conectantes, retornos y, accesos veredales necesarios, así como el mejoramiento de algunos tramos de la vía existente; para la conformación de un par vial (Doble Calzada) entre el Km </w:t>
      </w:r>
      <w:r w:rsidRPr="00224ABF">
        <w:rPr>
          <w:rFonts w:eastAsiaTheme="minorHAnsi" w:cs="Arial"/>
        </w:rPr>
        <w:lastRenderedPageBreak/>
        <w:t xml:space="preserve">34+100 y el Km 63+000 (28,9 Km), de la Carretera Bogotá Villavicencio, sector: El Tablón -Chirajara, con base en los diseños definitivos aprobados por la Interventoría de diseño Consorcio BILCES para los sectores 1, 2, 3, 3A, 4 y 4A, 1 A y 2A. </w:t>
      </w:r>
    </w:p>
    <w:p w14:paraId="4CC545CF" w14:textId="77777777" w:rsidR="00224ABF" w:rsidRPr="00224ABF" w:rsidRDefault="00224ABF" w:rsidP="00224ABF">
      <w:pPr>
        <w:autoSpaceDE w:val="0"/>
        <w:autoSpaceDN w:val="0"/>
        <w:adjustRightInd w:val="0"/>
        <w:jc w:val="both"/>
        <w:rPr>
          <w:rFonts w:eastAsiaTheme="minorHAnsi" w:cs="Arial"/>
        </w:rPr>
      </w:pPr>
      <w:r w:rsidRPr="00224ABF">
        <w:rPr>
          <w:rFonts w:eastAsiaTheme="minorHAnsi" w:cs="Arial"/>
        </w:rPr>
        <w:t>A continuación relaciono las obras a construir, ver cuadro No 3:</w:t>
      </w:r>
    </w:p>
    <w:p w14:paraId="4713F43C" w14:textId="77777777" w:rsidR="00224ABF" w:rsidRPr="00224ABF" w:rsidRDefault="00224ABF" w:rsidP="00224ABF">
      <w:pPr>
        <w:autoSpaceDE w:val="0"/>
        <w:autoSpaceDN w:val="0"/>
        <w:adjustRightInd w:val="0"/>
        <w:spacing w:after="0" w:line="240" w:lineRule="auto"/>
        <w:jc w:val="center"/>
        <w:rPr>
          <w:rFonts w:eastAsiaTheme="minorHAnsi" w:cs="Arial"/>
        </w:rPr>
      </w:pPr>
      <w:r w:rsidRPr="00224ABF">
        <w:rPr>
          <w:rFonts w:eastAsiaTheme="minorHAnsi" w:cs="Arial"/>
          <w:noProof/>
        </w:rPr>
        <w:drawing>
          <wp:inline distT="0" distB="0" distL="0" distR="0" wp14:anchorId="3E6BF930" wp14:editId="4F4382C0">
            <wp:extent cx="3438095" cy="2504762"/>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38095" cy="2504762"/>
                    </a:xfrm>
                    <a:prstGeom prst="rect">
                      <a:avLst/>
                    </a:prstGeom>
                  </pic:spPr>
                </pic:pic>
              </a:graphicData>
            </a:graphic>
          </wp:inline>
        </w:drawing>
      </w:r>
    </w:p>
    <w:p w14:paraId="638D7A10" w14:textId="77777777" w:rsidR="00224ABF" w:rsidRPr="00224ABF" w:rsidRDefault="00224ABF" w:rsidP="00224ABF">
      <w:pPr>
        <w:autoSpaceDE w:val="0"/>
        <w:autoSpaceDN w:val="0"/>
        <w:adjustRightInd w:val="0"/>
        <w:spacing w:after="0" w:line="240" w:lineRule="auto"/>
        <w:jc w:val="center"/>
        <w:rPr>
          <w:rFonts w:eastAsiaTheme="minorHAnsi" w:cs="Arial"/>
          <w:b/>
          <w:sz w:val="18"/>
          <w:szCs w:val="18"/>
        </w:rPr>
      </w:pPr>
      <w:r w:rsidRPr="00224ABF">
        <w:rPr>
          <w:rFonts w:eastAsiaTheme="minorHAnsi" w:cs="Arial"/>
          <w:b/>
          <w:sz w:val="18"/>
          <w:szCs w:val="18"/>
        </w:rPr>
        <w:t>Cuadro No. 3 - Fuente Supervisión del Proyecto</w:t>
      </w:r>
    </w:p>
    <w:p w14:paraId="4590909A" w14:textId="77777777" w:rsidR="00224ABF" w:rsidRPr="00224ABF" w:rsidRDefault="00224ABF" w:rsidP="00224ABF">
      <w:pPr>
        <w:autoSpaceDE w:val="0"/>
        <w:autoSpaceDN w:val="0"/>
        <w:adjustRightInd w:val="0"/>
        <w:spacing w:after="0" w:line="240" w:lineRule="auto"/>
        <w:jc w:val="center"/>
        <w:rPr>
          <w:rFonts w:eastAsiaTheme="minorHAnsi" w:cs="Arial"/>
          <w:sz w:val="18"/>
          <w:szCs w:val="18"/>
        </w:rPr>
      </w:pPr>
    </w:p>
    <w:p w14:paraId="56084726" w14:textId="77777777" w:rsidR="00224ABF" w:rsidRPr="00224ABF" w:rsidRDefault="00224ABF" w:rsidP="00224ABF">
      <w:pPr>
        <w:autoSpaceDE w:val="0"/>
        <w:autoSpaceDN w:val="0"/>
        <w:adjustRightInd w:val="0"/>
        <w:spacing w:after="0" w:line="240" w:lineRule="auto"/>
        <w:jc w:val="both"/>
        <w:rPr>
          <w:rFonts w:eastAsiaTheme="minorHAnsi" w:cs="Arial"/>
        </w:rPr>
      </w:pPr>
    </w:p>
    <w:p w14:paraId="169E6987" w14:textId="77777777" w:rsidR="00224ABF" w:rsidRPr="00224ABF" w:rsidRDefault="00224ABF" w:rsidP="00224ABF">
      <w:pPr>
        <w:autoSpaceDE w:val="0"/>
        <w:autoSpaceDN w:val="0"/>
        <w:adjustRightInd w:val="0"/>
        <w:spacing w:after="0" w:line="240" w:lineRule="auto"/>
        <w:jc w:val="both"/>
        <w:rPr>
          <w:rFonts w:eastAsiaTheme="minorHAnsi" w:cs="Arial"/>
        </w:rPr>
      </w:pPr>
      <w:r w:rsidRPr="00224ABF">
        <w:rPr>
          <w:rFonts w:eastAsiaTheme="minorHAnsi" w:cs="Arial"/>
        </w:rPr>
        <w:t>A continuación se relaciona el avance en porcentaje a marzo de 2014, correspondiente a Vía en superficie, puentes y túneles de los ocho sectores a construir:</w:t>
      </w:r>
    </w:p>
    <w:p w14:paraId="56432906" w14:textId="77777777" w:rsidR="00224ABF" w:rsidRPr="00224ABF" w:rsidRDefault="00224ABF" w:rsidP="00224ABF">
      <w:pPr>
        <w:autoSpaceDE w:val="0"/>
        <w:autoSpaceDN w:val="0"/>
        <w:adjustRightInd w:val="0"/>
        <w:spacing w:after="0" w:line="240" w:lineRule="auto"/>
        <w:jc w:val="both"/>
        <w:rPr>
          <w:rFonts w:eastAsiaTheme="minorHAnsi" w:cs="Arial"/>
        </w:rPr>
      </w:pPr>
      <w:r w:rsidRPr="00224ABF">
        <w:rPr>
          <w:rFonts w:eastAsiaTheme="minorHAnsi" w:cs="Arial"/>
        </w:rPr>
        <w:t xml:space="preserve"> </w:t>
      </w:r>
    </w:p>
    <w:p w14:paraId="6989A1DF" w14:textId="77777777" w:rsidR="00224ABF" w:rsidRPr="00224ABF" w:rsidRDefault="00224ABF" w:rsidP="00224ABF">
      <w:pPr>
        <w:autoSpaceDE w:val="0"/>
        <w:autoSpaceDN w:val="0"/>
        <w:adjustRightInd w:val="0"/>
        <w:spacing w:after="0" w:line="240" w:lineRule="auto"/>
        <w:jc w:val="center"/>
        <w:rPr>
          <w:rFonts w:eastAsiaTheme="minorHAnsi" w:cs="Arial"/>
        </w:rPr>
      </w:pPr>
      <w:r w:rsidRPr="00224ABF">
        <w:rPr>
          <w:rFonts w:eastAsiaTheme="minorHAnsi" w:cs="Arial"/>
          <w:noProof/>
        </w:rPr>
        <w:drawing>
          <wp:inline distT="0" distB="0" distL="0" distR="0" wp14:anchorId="6BFBD132" wp14:editId="36955603">
            <wp:extent cx="3474225" cy="2855344"/>
            <wp:effectExtent l="0" t="0" r="0" b="254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00313" cy="2876785"/>
                    </a:xfrm>
                    <a:prstGeom prst="rect">
                      <a:avLst/>
                    </a:prstGeom>
                  </pic:spPr>
                </pic:pic>
              </a:graphicData>
            </a:graphic>
          </wp:inline>
        </w:drawing>
      </w:r>
    </w:p>
    <w:p w14:paraId="6013C7EB" w14:textId="77777777" w:rsidR="00224ABF" w:rsidRPr="00224ABF" w:rsidRDefault="00224ABF" w:rsidP="00224ABF">
      <w:pPr>
        <w:autoSpaceDE w:val="0"/>
        <w:autoSpaceDN w:val="0"/>
        <w:adjustRightInd w:val="0"/>
        <w:spacing w:after="0" w:line="240" w:lineRule="auto"/>
        <w:jc w:val="center"/>
        <w:rPr>
          <w:rFonts w:eastAsiaTheme="minorHAnsi" w:cs="Arial"/>
          <w:b/>
          <w:sz w:val="18"/>
          <w:szCs w:val="18"/>
        </w:rPr>
      </w:pPr>
      <w:r w:rsidRPr="00224ABF">
        <w:rPr>
          <w:rFonts w:eastAsiaTheme="minorHAnsi" w:cs="Arial"/>
          <w:b/>
          <w:sz w:val="18"/>
          <w:szCs w:val="18"/>
        </w:rPr>
        <w:t>Cuadro No. 4 - Fuente Supervisión del Proyecto</w:t>
      </w:r>
    </w:p>
    <w:p w14:paraId="71E96F64" w14:textId="77777777" w:rsidR="00224ABF" w:rsidRPr="00224ABF" w:rsidRDefault="00224ABF" w:rsidP="00224ABF">
      <w:pPr>
        <w:spacing w:after="0" w:line="240" w:lineRule="auto"/>
        <w:jc w:val="both"/>
        <w:rPr>
          <w:rFonts w:eastAsiaTheme="minorHAnsi" w:cs="Arial"/>
          <w:b/>
        </w:rPr>
      </w:pPr>
    </w:p>
    <w:p w14:paraId="2363342F" w14:textId="77777777" w:rsidR="00224ABF" w:rsidRPr="00224ABF" w:rsidRDefault="00224ABF" w:rsidP="00224ABF">
      <w:pPr>
        <w:spacing w:after="0" w:line="240" w:lineRule="auto"/>
        <w:jc w:val="both"/>
        <w:rPr>
          <w:rFonts w:eastAsiaTheme="minorHAnsi" w:cs="Arial"/>
          <w:b/>
        </w:rPr>
      </w:pPr>
    </w:p>
    <w:p w14:paraId="2FD5B56F" w14:textId="77777777" w:rsidR="00224ABF" w:rsidRPr="00224ABF" w:rsidRDefault="00224ABF" w:rsidP="00224ABF">
      <w:pPr>
        <w:spacing w:after="0" w:line="240" w:lineRule="auto"/>
        <w:jc w:val="both"/>
        <w:rPr>
          <w:rFonts w:eastAsiaTheme="minorHAnsi" w:cs="Arial"/>
          <w:b/>
        </w:rPr>
      </w:pPr>
    </w:p>
    <w:p w14:paraId="349E2C4E" w14:textId="77777777" w:rsidR="00224ABF" w:rsidRPr="00224ABF" w:rsidRDefault="00224ABF" w:rsidP="00224ABF">
      <w:pPr>
        <w:spacing w:after="0" w:line="240" w:lineRule="auto"/>
        <w:jc w:val="both"/>
        <w:rPr>
          <w:rFonts w:eastAsiaTheme="minorHAnsi" w:cs="Arial"/>
          <w:b/>
        </w:rPr>
      </w:pPr>
    </w:p>
    <w:p w14:paraId="33168307" w14:textId="77777777" w:rsidR="00224ABF" w:rsidRPr="00224ABF" w:rsidRDefault="00224ABF" w:rsidP="00224ABF">
      <w:pPr>
        <w:spacing w:after="0" w:line="240" w:lineRule="auto"/>
        <w:jc w:val="both"/>
        <w:rPr>
          <w:rFonts w:eastAsiaTheme="minorHAnsi" w:cs="Arial"/>
          <w:b/>
        </w:rPr>
      </w:pPr>
      <w:r w:rsidRPr="00224ABF">
        <w:rPr>
          <w:rFonts w:eastAsiaTheme="minorHAnsi" w:cs="Arial"/>
          <w:b/>
        </w:rPr>
        <w:lastRenderedPageBreak/>
        <w:t>Actividades / Hechos sobresalientes en las concesiones:</w:t>
      </w:r>
    </w:p>
    <w:p w14:paraId="01AD8375" w14:textId="77777777" w:rsidR="00224ABF" w:rsidRPr="00224ABF" w:rsidRDefault="00224ABF" w:rsidP="00224ABF">
      <w:pPr>
        <w:spacing w:after="0" w:line="240" w:lineRule="auto"/>
        <w:jc w:val="both"/>
        <w:rPr>
          <w:rFonts w:eastAsiaTheme="minorHAnsi" w:cs="Arial"/>
          <w:b/>
        </w:rPr>
      </w:pPr>
    </w:p>
    <w:p w14:paraId="7898BFCB" w14:textId="77777777" w:rsidR="00224ABF" w:rsidRPr="00224ABF" w:rsidRDefault="00224ABF" w:rsidP="00224ABF">
      <w:pPr>
        <w:numPr>
          <w:ilvl w:val="0"/>
          <w:numId w:val="190"/>
        </w:numPr>
        <w:spacing w:after="0" w:line="240" w:lineRule="auto"/>
        <w:contextualSpacing/>
        <w:jc w:val="both"/>
        <w:rPr>
          <w:rFonts w:eastAsia="Times New Roman" w:cs="Arial"/>
          <w:lang w:val="es-ES" w:eastAsia="es-ES"/>
        </w:rPr>
      </w:pPr>
      <w:r w:rsidRPr="00224ABF">
        <w:rPr>
          <w:rFonts w:eastAsia="Times New Roman" w:cs="Arial"/>
          <w:u w:val="single"/>
          <w:lang w:val="es-MX" w:eastAsia="es-ES"/>
        </w:rPr>
        <w:t>ENERO</w:t>
      </w:r>
      <w:r w:rsidRPr="00224ABF">
        <w:rPr>
          <w:rFonts w:eastAsia="Times New Roman" w:cs="Arial"/>
          <w:u w:val="single"/>
          <w:lang w:val="es-ES" w:eastAsia="es-ES"/>
        </w:rPr>
        <w:t xml:space="preserve"> 17 DE 2014 – </w:t>
      </w:r>
      <w:r w:rsidRPr="00224ABF">
        <w:rPr>
          <w:rFonts w:eastAsia="Times New Roman" w:cs="Arial"/>
          <w:lang w:val="es-ES" w:eastAsia="es-ES"/>
        </w:rPr>
        <w:t>Suscripción Acta de Acuerdo, para el reconocimiento de valores correspondientes al Restablecimiento del equilibrio contractual según acta de Acuerdo N°51 de 2008.</w:t>
      </w:r>
    </w:p>
    <w:p w14:paraId="1702D9F8" w14:textId="77777777" w:rsidR="00224ABF" w:rsidRPr="00224ABF" w:rsidRDefault="00224ABF" w:rsidP="00224ABF">
      <w:pPr>
        <w:spacing w:after="0" w:line="240" w:lineRule="auto"/>
        <w:ind w:left="720"/>
        <w:contextualSpacing/>
        <w:jc w:val="both"/>
        <w:rPr>
          <w:rFonts w:eastAsia="Times New Roman" w:cs="Arial"/>
          <w:lang w:val="es-ES" w:eastAsia="es-ES"/>
        </w:rPr>
      </w:pPr>
    </w:p>
    <w:p w14:paraId="6370B604" w14:textId="77777777" w:rsidR="00224ABF" w:rsidRPr="00224ABF" w:rsidRDefault="00224ABF" w:rsidP="00224ABF">
      <w:pPr>
        <w:numPr>
          <w:ilvl w:val="0"/>
          <w:numId w:val="190"/>
        </w:numPr>
        <w:spacing w:after="0" w:line="240" w:lineRule="auto"/>
        <w:contextualSpacing/>
        <w:jc w:val="both"/>
        <w:rPr>
          <w:rFonts w:eastAsia="Times New Roman" w:cs="Arial"/>
          <w:lang w:val="es-ES" w:eastAsia="es-ES"/>
        </w:rPr>
      </w:pPr>
      <w:r w:rsidRPr="00224ABF">
        <w:rPr>
          <w:rFonts w:eastAsia="Times New Roman" w:cs="Arial"/>
          <w:u w:val="single"/>
          <w:lang w:val="es-MX" w:eastAsia="es-ES"/>
        </w:rPr>
        <w:t>MARZO 31 DE 2014 –</w:t>
      </w:r>
      <w:r w:rsidRPr="00224ABF">
        <w:rPr>
          <w:rFonts w:eastAsia="Times New Roman" w:cs="Arial"/>
          <w:lang w:val="es-ES" w:eastAsia="es-ES"/>
        </w:rPr>
        <w:t xml:space="preserve"> Suscripción Acta de Acuerdo, para el Ajuste del ingreso real, conforme la regla establecida en la Cláusula Quinta del Adicional N°1 de 2010 proyecto “Bogotá-Villavicencio”.</w:t>
      </w:r>
    </w:p>
    <w:p w14:paraId="760396C2" w14:textId="77777777" w:rsidR="00224ABF" w:rsidRPr="00224ABF" w:rsidRDefault="00224ABF" w:rsidP="00224ABF">
      <w:pPr>
        <w:spacing w:after="0" w:line="240" w:lineRule="auto"/>
        <w:ind w:left="720"/>
        <w:contextualSpacing/>
        <w:jc w:val="both"/>
        <w:rPr>
          <w:rFonts w:eastAsia="Times New Roman" w:cs="Arial"/>
          <w:lang w:val="es-ES" w:eastAsia="es-ES"/>
        </w:rPr>
      </w:pPr>
    </w:p>
    <w:p w14:paraId="02BB927B" w14:textId="77777777" w:rsidR="00224ABF" w:rsidRPr="00224ABF" w:rsidRDefault="00224ABF" w:rsidP="00224ABF">
      <w:pPr>
        <w:numPr>
          <w:ilvl w:val="0"/>
          <w:numId w:val="190"/>
        </w:numPr>
        <w:spacing w:after="0" w:line="240" w:lineRule="auto"/>
        <w:contextualSpacing/>
        <w:jc w:val="both"/>
        <w:rPr>
          <w:rFonts w:eastAsia="Times New Roman" w:cs="Arial"/>
          <w:lang w:val="es-ES" w:eastAsia="es-ES"/>
        </w:rPr>
      </w:pPr>
      <w:r w:rsidRPr="00224ABF">
        <w:rPr>
          <w:rFonts w:eastAsia="Times New Roman" w:cs="Arial"/>
          <w:u w:val="single"/>
          <w:lang w:val="es-ES" w:eastAsia="es-ES"/>
        </w:rPr>
        <w:t>MARZO 31 DE 2014 –</w:t>
      </w:r>
      <w:r w:rsidRPr="00224ABF">
        <w:rPr>
          <w:rFonts w:eastAsia="Times New Roman" w:cs="Arial"/>
          <w:lang w:val="es-ES" w:eastAsia="es-ES"/>
        </w:rPr>
        <w:t xml:space="preserve"> Suscripción del Acta de Acuerdo, para el reconocimiento de valores correspondientes al restablecimiento del equilibrio contractual para reducción de plazo y se efectúa el cruce de deudas recíprocas.</w:t>
      </w:r>
    </w:p>
    <w:p w14:paraId="70EF31DA" w14:textId="77777777" w:rsidR="00224ABF" w:rsidRPr="00224ABF" w:rsidRDefault="00224ABF" w:rsidP="00224ABF">
      <w:pPr>
        <w:spacing w:after="0" w:line="240" w:lineRule="auto"/>
        <w:ind w:left="720"/>
        <w:contextualSpacing/>
        <w:jc w:val="both"/>
        <w:rPr>
          <w:rFonts w:eastAsia="Times New Roman" w:cs="Arial"/>
          <w:lang w:val="es-ES" w:eastAsia="es-ES"/>
        </w:rPr>
      </w:pPr>
    </w:p>
    <w:p w14:paraId="235868BE" w14:textId="77777777" w:rsidR="00224ABF" w:rsidRPr="00224ABF" w:rsidRDefault="00224ABF" w:rsidP="00224ABF">
      <w:pPr>
        <w:numPr>
          <w:ilvl w:val="0"/>
          <w:numId w:val="191"/>
        </w:numPr>
        <w:spacing w:after="0" w:line="240" w:lineRule="auto"/>
        <w:jc w:val="both"/>
        <w:rPr>
          <w:rFonts w:eastAsia="Times New Roman" w:cs="Arial"/>
          <w:lang w:val="es-MX" w:eastAsia="es-ES"/>
        </w:rPr>
      </w:pPr>
      <w:r w:rsidRPr="00224ABF">
        <w:rPr>
          <w:rFonts w:eastAsia="Times New Roman" w:cs="Arial"/>
          <w:lang w:val="es-ES" w:eastAsia="es-ES"/>
        </w:rPr>
        <w:t xml:space="preserve">Proyección de la Resolución pagos Sitios Inestables Tramos 2 y 3, por un valor de 679.721.322 a marzo de 2014. </w:t>
      </w:r>
    </w:p>
    <w:p w14:paraId="11B704D6" w14:textId="77777777" w:rsidR="00224ABF" w:rsidRPr="00224ABF" w:rsidRDefault="00224ABF" w:rsidP="00224ABF">
      <w:pPr>
        <w:spacing w:after="0" w:line="240" w:lineRule="auto"/>
        <w:contextualSpacing/>
        <w:jc w:val="both"/>
        <w:rPr>
          <w:rFonts w:eastAsia="Times New Roman" w:cs="Arial"/>
          <w:lang w:val="es-ES" w:eastAsia="es-ES"/>
        </w:rPr>
      </w:pPr>
      <w:r w:rsidRPr="00224ABF">
        <w:rPr>
          <w:rFonts w:eastAsia="Times New Roman" w:cs="Arial"/>
          <w:lang w:val="es-ES" w:eastAsia="es-ES"/>
        </w:rPr>
        <w:t xml:space="preserve">   </w:t>
      </w:r>
    </w:p>
    <w:p w14:paraId="354147FB" w14:textId="77777777" w:rsidR="00224ABF" w:rsidRPr="00224ABF" w:rsidRDefault="00224ABF" w:rsidP="00224ABF">
      <w:pPr>
        <w:spacing w:after="0"/>
        <w:jc w:val="both"/>
        <w:rPr>
          <w:rFonts w:cs="Arial"/>
          <w:lang w:val="es-MX"/>
        </w:rPr>
      </w:pPr>
      <w:r w:rsidRPr="00224ABF">
        <w:rPr>
          <w:rFonts w:cs="Arial"/>
          <w:lang w:val="es-MX"/>
        </w:rPr>
        <w:t>Se continúa según programación de obra con la construcción para entregar 9 puentes y 4 túneles en el transcurso del año</w:t>
      </w:r>
    </w:p>
    <w:p w14:paraId="2473318A" w14:textId="77777777" w:rsidR="00224ABF" w:rsidRPr="00224ABF" w:rsidRDefault="00224ABF" w:rsidP="00224ABF">
      <w:pPr>
        <w:spacing w:after="0"/>
        <w:jc w:val="both"/>
        <w:rPr>
          <w:rFonts w:cs="Arial"/>
          <w:lang w:val="es-MX"/>
        </w:rPr>
      </w:pPr>
    </w:p>
    <w:p w14:paraId="2808D1A4" w14:textId="77777777" w:rsidR="00224ABF" w:rsidRPr="00224ABF" w:rsidRDefault="00224ABF" w:rsidP="00224ABF">
      <w:pPr>
        <w:ind w:left="720"/>
        <w:contextualSpacing/>
        <w:jc w:val="both"/>
        <w:rPr>
          <w:rFonts w:cs="Arial"/>
        </w:rPr>
      </w:pPr>
    </w:p>
    <w:p w14:paraId="755F492E" w14:textId="77777777" w:rsidR="00224ABF" w:rsidRPr="00224ABF" w:rsidRDefault="00224ABF" w:rsidP="00224ABF">
      <w:pPr>
        <w:jc w:val="both"/>
        <w:rPr>
          <w:rFonts w:eastAsia="Times New Roman" w:cs="Arial"/>
          <w:b/>
          <w:lang w:val="es-ES"/>
        </w:rPr>
      </w:pPr>
      <w:r w:rsidRPr="00224ABF">
        <w:rPr>
          <w:rFonts w:eastAsia="Times New Roman" w:cs="Arial"/>
          <w:b/>
          <w:lang w:val="es-ES"/>
        </w:rPr>
        <w:t>9.  INFORME DE GESTIÓN  PROYECTO DESARROLLO VIAL DEL ORIENTE DE MEDELLIN- DEVIMED S.A.</w:t>
      </w:r>
    </w:p>
    <w:p w14:paraId="63876A49" w14:textId="77777777" w:rsidR="00224ABF" w:rsidRPr="00224ABF" w:rsidRDefault="00224ABF" w:rsidP="00224ABF">
      <w:pPr>
        <w:ind w:left="720"/>
        <w:contextualSpacing/>
        <w:jc w:val="both"/>
        <w:rPr>
          <w:rFonts w:eastAsia="Times New Roman" w:cs="Arial"/>
          <w:lang w:val="es-ES" w:eastAsia="es-ES"/>
        </w:rPr>
      </w:pPr>
    </w:p>
    <w:p w14:paraId="5D056708" w14:textId="4CB2C1DE" w:rsidR="00224ABF" w:rsidRPr="00224ABF" w:rsidRDefault="00224ABF" w:rsidP="00224ABF">
      <w:pPr>
        <w:numPr>
          <w:ilvl w:val="0"/>
          <w:numId w:val="137"/>
        </w:numPr>
        <w:autoSpaceDE w:val="0"/>
        <w:autoSpaceDN w:val="0"/>
        <w:adjustRightInd w:val="0"/>
        <w:spacing w:after="0"/>
        <w:contextualSpacing/>
        <w:jc w:val="both"/>
        <w:rPr>
          <w:rFonts w:eastAsia="Times New Roman" w:cs="Arial"/>
          <w:lang w:val="es-ES" w:eastAsia="es-ES"/>
        </w:rPr>
      </w:pPr>
      <w:r w:rsidRPr="00224ABF">
        <w:rPr>
          <w:rFonts w:eastAsia="Times New Roman" w:cs="Arial"/>
          <w:lang w:val="es-ES" w:eastAsia="es-ES"/>
        </w:rPr>
        <w:t>Se realiza la intervención y atención de doce (12) puntos críticos en los tramos 5 y 6 acontecidos durante la ola inverna ocurrida en los año</w:t>
      </w:r>
      <w:r w:rsidR="001A152C">
        <w:rPr>
          <w:rFonts w:eastAsia="Times New Roman" w:cs="Arial"/>
          <w:lang w:val="es-ES" w:eastAsia="es-ES"/>
        </w:rPr>
        <w:t>s</w:t>
      </w:r>
      <w:r w:rsidRPr="00224ABF">
        <w:rPr>
          <w:rFonts w:eastAsia="Times New Roman" w:cs="Arial"/>
          <w:lang w:val="es-ES" w:eastAsia="es-ES"/>
        </w:rPr>
        <w:t xml:space="preserve"> 2010 y 2011, los recursos proviene del Fondo de Adaptación y son intervenidos por el concesionario.</w:t>
      </w:r>
    </w:p>
    <w:p w14:paraId="334E890E" w14:textId="77777777" w:rsidR="00224ABF" w:rsidRPr="00224ABF" w:rsidRDefault="00224ABF" w:rsidP="00224ABF">
      <w:pPr>
        <w:autoSpaceDE w:val="0"/>
        <w:autoSpaceDN w:val="0"/>
        <w:adjustRightInd w:val="0"/>
        <w:spacing w:after="0"/>
        <w:jc w:val="both"/>
        <w:rPr>
          <w:rFonts w:eastAsia="Times New Roman" w:cs="Arial"/>
          <w:lang w:val="es-ES" w:eastAsia="es-ES"/>
        </w:rPr>
      </w:pPr>
    </w:p>
    <w:p w14:paraId="66ECAE2F" w14:textId="052AA511" w:rsidR="00224ABF" w:rsidRPr="00224ABF" w:rsidRDefault="00224ABF" w:rsidP="00224ABF">
      <w:pPr>
        <w:numPr>
          <w:ilvl w:val="0"/>
          <w:numId w:val="137"/>
        </w:numPr>
        <w:autoSpaceDE w:val="0"/>
        <w:autoSpaceDN w:val="0"/>
        <w:adjustRightInd w:val="0"/>
        <w:spacing w:after="0"/>
        <w:contextualSpacing/>
        <w:jc w:val="both"/>
        <w:rPr>
          <w:rFonts w:eastAsia="Times New Roman" w:cs="Arial"/>
          <w:lang w:val="es-ES" w:eastAsia="es-ES"/>
        </w:rPr>
      </w:pPr>
      <w:r w:rsidRPr="00224ABF">
        <w:rPr>
          <w:rFonts w:eastAsia="Times New Roman" w:cs="Arial"/>
          <w:lang w:val="es-ES" w:eastAsia="es-ES"/>
        </w:rPr>
        <w:t>Se encuentra elaborando los estudios y diseños según lo establecido en el  Adicional No. 14</w:t>
      </w:r>
      <w:r w:rsidRPr="00224ABF">
        <w:rPr>
          <w:rFonts w:eastAsia="Times New Roman" w:cs="Arial"/>
          <w:b/>
          <w:lang w:val="es-ES" w:eastAsia="es-ES"/>
        </w:rPr>
        <w:t xml:space="preserve"> </w:t>
      </w:r>
      <w:r w:rsidRPr="00224ABF">
        <w:rPr>
          <w:rFonts w:eastAsia="Times New Roman" w:cs="Arial"/>
          <w:lang w:val="es-ES" w:eastAsia="es-ES"/>
        </w:rPr>
        <w:t xml:space="preserve"> tendientes a la culminación  de la doble calzada entre Marinilla y Santuario con una longitud de 9.4 kilómetros aproximadamente. El plazo de ejecución de las obras es 15 meses. Se realizara la intervención a nivel de Mejoramiento de la calzada actual en una longitud de 9.2 kilómetros (Ley 105) entre Marinilla y Santuario y la construcción de la segunda calzada en una longitud de 9.4 kilómetros incluyendo la iluminación y ampliación de las estructuras que se requieran. </w:t>
      </w:r>
    </w:p>
    <w:p w14:paraId="20E32196" w14:textId="77777777" w:rsidR="00224ABF" w:rsidRPr="00224ABF" w:rsidRDefault="00224ABF" w:rsidP="00224ABF">
      <w:pPr>
        <w:contextualSpacing/>
        <w:jc w:val="both"/>
        <w:rPr>
          <w:rFonts w:eastAsia="Times New Roman" w:cs="Arial"/>
          <w:lang w:val="es-ES" w:eastAsia="es-ES"/>
        </w:rPr>
      </w:pPr>
    </w:p>
    <w:p w14:paraId="448C292B" w14:textId="77777777" w:rsidR="00224ABF" w:rsidRPr="00224ABF" w:rsidRDefault="00224ABF" w:rsidP="00224ABF">
      <w:pPr>
        <w:contextualSpacing/>
        <w:jc w:val="both"/>
        <w:rPr>
          <w:rFonts w:eastAsia="Times New Roman" w:cs="Arial"/>
          <w:lang w:val="es-ES" w:eastAsia="es-ES"/>
        </w:rPr>
      </w:pPr>
    </w:p>
    <w:p w14:paraId="501440DE" w14:textId="77777777" w:rsidR="00224ABF" w:rsidRPr="00224ABF" w:rsidRDefault="00224ABF" w:rsidP="00224ABF">
      <w:pPr>
        <w:contextualSpacing/>
        <w:jc w:val="both"/>
        <w:rPr>
          <w:rFonts w:eastAsia="Times New Roman" w:cs="Arial"/>
          <w:lang w:val="es-ES" w:eastAsia="es-ES"/>
        </w:rPr>
      </w:pPr>
    </w:p>
    <w:p w14:paraId="34097438" w14:textId="77777777" w:rsidR="00224ABF" w:rsidRPr="00224ABF" w:rsidRDefault="00224ABF" w:rsidP="00224ABF">
      <w:pPr>
        <w:contextualSpacing/>
        <w:jc w:val="both"/>
        <w:rPr>
          <w:rFonts w:eastAsia="Times New Roman" w:cs="Arial"/>
          <w:lang w:val="es-ES" w:eastAsia="es-ES"/>
        </w:rPr>
      </w:pPr>
    </w:p>
    <w:p w14:paraId="69BC4D93" w14:textId="77777777" w:rsidR="00224ABF" w:rsidRPr="00224ABF" w:rsidRDefault="00224ABF" w:rsidP="00224ABF">
      <w:pPr>
        <w:contextualSpacing/>
        <w:jc w:val="both"/>
        <w:rPr>
          <w:rFonts w:eastAsia="Times New Roman" w:cs="Arial"/>
          <w:lang w:val="es-ES" w:eastAsia="es-ES"/>
        </w:rPr>
      </w:pPr>
    </w:p>
    <w:p w14:paraId="77F8FA4F" w14:textId="77777777" w:rsidR="00224ABF" w:rsidRPr="00224ABF" w:rsidRDefault="00224ABF" w:rsidP="00224ABF">
      <w:pPr>
        <w:contextualSpacing/>
        <w:jc w:val="both"/>
        <w:rPr>
          <w:rFonts w:eastAsia="Times New Roman" w:cs="Arial"/>
          <w:lang w:val="es-ES" w:eastAsia="es-ES"/>
        </w:rPr>
      </w:pPr>
    </w:p>
    <w:p w14:paraId="25A796D9" w14:textId="77777777" w:rsidR="00224ABF" w:rsidRPr="00224ABF" w:rsidRDefault="00224ABF" w:rsidP="00224ABF">
      <w:pPr>
        <w:contextualSpacing/>
        <w:jc w:val="both"/>
        <w:rPr>
          <w:rFonts w:eastAsia="Times New Roman" w:cs="Arial"/>
          <w:lang w:val="es-ES" w:eastAsia="es-ES"/>
        </w:rPr>
      </w:pPr>
    </w:p>
    <w:p w14:paraId="2952B6E9" w14:textId="77777777" w:rsidR="00224ABF" w:rsidRPr="00224ABF" w:rsidRDefault="00224ABF" w:rsidP="00224ABF">
      <w:pPr>
        <w:ind w:left="720"/>
        <w:contextualSpacing/>
        <w:jc w:val="both"/>
        <w:rPr>
          <w:rFonts w:eastAsia="Times New Roman" w:cs="Arial"/>
          <w:lang w:val="es-ES" w:eastAsia="es-ES"/>
        </w:rPr>
      </w:pPr>
    </w:p>
    <w:p w14:paraId="653FC556" w14:textId="500B2B8F" w:rsidR="00224ABF" w:rsidRPr="00224ABF" w:rsidRDefault="00224ABF" w:rsidP="00224ABF">
      <w:pPr>
        <w:jc w:val="both"/>
        <w:rPr>
          <w:rFonts w:cs="Arial"/>
          <w:b/>
          <w:lang w:val="es-MX"/>
        </w:rPr>
      </w:pPr>
      <w:r w:rsidRPr="00224ABF">
        <w:rPr>
          <w:rFonts w:eastAsia="Times New Roman" w:cs="Arial"/>
          <w:b/>
          <w:lang w:val="es-ES"/>
        </w:rPr>
        <w:lastRenderedPageBreak/>
        <w:t>10.  INFORME DE GESTIÓN  PROYECTO CONCESIÓN BOGOTÁ SIBERIA LA PUNTA EL VINO VILLETA (</w:t>
      </w:r>
      <w:r w:rsidRPr="00224ABF">
        <w:rPr>
          <w:rFonts w:cs="Arial"/>
          <w:b/>
        </w:rPr>
        <w:t>CONCESION BOGOTA – LA VEGA – VILLETA)</w:t>
      </w:r>
    </w:p>
    <w:p w14:paraId="54B804C4" w14:textId="77777777" w:rsidR="00224ABF" w:rsidRPr="00224ABF" w:rsidRDefault="00224ABF" w:rsidP="00224ABF">
      <w:pPr>
        <w:jc w:val="both"/>
        <w:rPr>
          <w:rFonts w:cs="Arial"/>
          <w:b/>
        </w:rPr>
      </w:pPr>
      <w:r w:rsidRPr="00224ABF">
        <w:rPr>
          <w:rFonts w:cs="Arial"/>
          <w:b/>
        </w:rPr>
        <w:t>RESUMEN DE AVANCE EN CONSTRUCCION DEL PRIMER TRIMESTRE DE 2014</w:t>
      </w:r>
    </w:p>
    <w:p w14:paraId="329BA926" w14:textId="77777777" w:rsidR="00224ABF" w:rsidRPr="00224ABF" w:rsidRDefault="00224ABF" w:rsidP="00224ABF">
      <w:pPr>
        <w:pStyle w:val="Prrafodelista"/>
        <w:numPr>
          <w:ilvl w:val="0"/>
          <w:numId w:val="152"/>
        </w:numPr>
        <w:spacing w:after="0"/>
        <w:jc w:val="both"/>
        <w:rPr>
          <w:rFonts w:cs="Arial"/>
          <w:b/>
        </w:rPr>
      </w:pPr>
      <w:r w:rsidRPr="00224ABF">
        <w:rPr>
          <w:rFonts w:cs="Arial"/>
          <w:b/>
        </w:rPr>
        <w:t>Tramo 2: La Vega (Km 56+700) – Cruce a Utica (Km 78+750)</w:t>
      </w:r>
    </w:p>
    <w:p w14:paraId="6CB80732" w14:textId="77777777" w:rsidR="00224ABF" w:rsidRPr="00224ABF" w:rsidRDefault="00224ABF" w:rsidP="00224ABF">
      <w:pPr>
        <w:numPr>
          <w:ilvl w:val="0"/>
          <w:numId w:val="149"/>
        </w:numPr>
        <w:spacing w:after="0"/>
        <w:jc w:val="both"/>
        <w:rPr>
          <w:rFonts w:cs="Arial"/>
        </w:rPr>
      </w:pPr>
      <w:r w:rsidRPr="00224ABF">
        <w:rPr>
          <w:rFonts w:cs="Arial"/>
        </w:rPr>
        <w:t xml:space="preserve">Se llevan 19,3 Km de vía en doble calzada, reconstruida y ampliada, a nivel de capa MDC2 (avance de 3,85 Km pavimentados durante el trimestre), se construyen filtros y cunetas faltantes; se ha avanzado en la construcción del separador (16,5 Km construidos, la gran mayoría tipo New Jersey), se construyeron los puentes vehiculares proyectados, también se trabaja en la construcción de estructuras en concreto reforzado para soporte de calzada voladora, en algunos sectores.  En el mes de febrero de 2014 se terminó la construcción del puente vehicular El Zancudo, de doble calzada, en el Km 66+740, se conformaron los empalmes para la calzada sur y a fines del mes de febrero de 2014 se dio al servicio vehicular para los dos sentidos de circulación.    </w:t>
      </w:r>
    </w:p>
    <w:p w14:paraId="6AF8EA45" w14:textId="77777777" w:rsidR="00224ABF" w:rsidRPr="00224ABF" w:rsidRDefault="00224ABF" w:rsidP="00224ABF">
      <w:pPr>
        <w:ind w:left="720"/>
        <w:jc w:val="both"/>
        <w:rPr>
          <w:rFonts w:cs="Arial"/>
        </w:rPr>
      </w:pPr>
    </w:p>
    <w:p w14:paraId="6A40427D" w14:textId="77777777" w:rsidR="00224ABF" w:rsidRPr="00224ABF" w:rsidRDefault="00224ABF" w:rsidP="00224ABF">
      <w:pPr>
        <w:numPr>
          <w:ilvl w:val="0"/>
          <w:numId w:val="149"/>
        </w:numPr>
        <w:spacing w:after="0"/>
        <w:jc w:val="both"/>
        <w:rPr>
          <w:rFonts w:cs="Arial"/>
        </w:rPr>
      </w:pPr>
      <w:r w:rsidRPr="00224ABF">
        <w:rPr>
          <w:rFonts w:cs="Arial"/>
        </w:rPr>
        <w:t>Desde el mes de febrero de 2014 se iniciaron los trabajos para la construcción del retorno vehicular proyectado en el Km 75+200.</w:t>
      </w:r>
    </w:p>
    <w:p w14:paraId="3E43A521" w14:textId="77777777" w:rsidR="00224ABF" w:rsidRPr="00224ABF" w:rsidRDefault="00224ABF" w:rsidP="00224ABF">
      <w:pPr>
        <w:pStyle w:val="Prrafodelista"/>
        <w:jc w:val="both"/>
        <w:rPr>
          <w:rFonts w:cs="Arial"/>
        </w:rPr>
      </w:pPr>
    </w:p>
    <w:p w14:paraId="4422B629" w14:textId="0197169D" w:rsidR="00224ABF" w:rsidRPr="00224ABF" w:rsidRDefault="00224ABF" w:rsidP="00224ABF">
      <w:pPr>
        <w:numPr>
          <w:ilvl w:val="0"/>
          <w:numId w:val="149"/>
        </w:numPr>
        <w:spacing w:after="0"/>
        <w:jc w:val="both"/>
        <w:rPr>
          <w:rFonts w:cs="Arial"/>
        </w:rPr>
      </w:pPr>
      <w:r w:rsidRPr="00224ABF">
        <w:rPr>
          <w:rFonts w:cs="Arial"/>
        </w:rPr>
        <w:t xml:space="preserve">Al cierre del período se tienen 26 predios adquiridos de los 50 predios requeridos, 10 predios en negociación por parte del Concesionario,  además de 14 predios en proceso de expropiación, distribuidos entre el Km 61+426 y el Km 68+135 los 9 predios que más interferencia causan, situación que además de los sectores afectados por las obras en ejecución con el Fondo adaptación, no han permitido la continuidad de la vía doble calzada con separador en la totalidad del Tramo 2.  </w:t>
      </w:r>
    </w:p>
    <w:p w14:paraId="02B30E34" w14:textId="77777777" w:rsidR="00224ABF" w:rsidRPr="00224ABF" w:rsidRDefault="00224ABF" w:rsidP="00224ABF">
      <w:pPr>
        <w:jc w:val="both"/>
        <w:rPr>
          <w:rFonts w:cs="Arial"/>
        </w:rPr>
      </w:pPr>
    </w:p>
    <w:p w14:paraId="2A34830F" w14:textId="77777777" w:rsidR="00224ABF" w:rsidRPr="00224ABF" w:rsidRDefault="00224ABF" w:rsidP="00224ABF">
      <w:pPr>
        <w:pStyle w:val="Prrafodelista"/>
        <w:numPr>
          <w:ilvl w:val="0"/>
          <w:numId w:val="151"/>
        </w:numPr>
        <w:spacing w:after="0"/>
        <w:jc w:val="both"/>
        <w:rPr>
          <w:rFonts w:cs="Arial"/>
          <w:b/>
        </w:rPr>
      </w:pPr>
      <w:r w:rsidRPr="00224ABF">
        <w:rPr>
          <w:rFonts w:cs="Arial"/>
          <w:b/>
        </w:rPr>
        <w:t>Tramo 3: El Chuscal (Km 37+900) – La Vega (Km 56+700), que incluye el Tramo 3.1</w:t>
      </w:r>
    </w:p>
    <w:p w14:paraId="3B94A9B3" w14:textId="77777777" w:rsidR="00224ABF" w:rsidRPr="00224ABF" w:rsidRDefault="00224ABF" w:rsidP="00224ABF">
      <w:pPr>
        <w:ind w:left="720"/>
        <w:jc w:val="both"/>
        <w:rPr>
          <w:rFonts w:cs="Arial"/>
        </w:rPr>
      </w:pPr>
    </w:p>
    <w:p w14:paraId="513EFAF0" w14:textId="77777777" w:rsidR="00224ABF" w:rsidRPr="00224ABF" w:rsidRDefault="00224ABF" w:rsidP="00224ABF">
      <w:pPr>
        <w:numPr>
          <w:ilvl w:val="0"/>
          <w:numId w:val="149"/>
        </w:numPr>
        <w:spacing w:after="0"/>
        <w:jc w:val="both"/>
        <w:rPr>
          <w:rFonts w:cs="Arial"/>
        </w:rPr>
      </w:pPr>
      <w:r w:rsidRPr="00224ABF">
        <w:rPr>
          <w:rFonts w:cs="Arial"/>
        </w:rPr>
        <w:t xml:space="preserve">Se tienen construidos 7,2 Km de calzada adicional, a nivel de capa MDC2 (avance de 0,75 Km pavimentados durante el trimestre), se  construyen filtros, cunetas y se conforma separador, se tiene un avance representativo en la construcción de muros de contención, puentes vehiculares, en explanación y en colocación de concreto lanzado para protección de taludes.  Desde el 21 de diciembre de 2013 se tiene al servicio vehicular la vía doble calzada del Km 38+000 al Km 43+300, que incluye los puentes vehiculares construidos, El Chuscal (construido para doble calzada), el puente No. 6 (construido para la calzada norte) y el puente No. 8 (construido para la calzada norte).  </w:t>
      </w:r>
    </w:p>
    <w:p w14:paraId="782DAAE4" w14:textId="77777777" w:rsidR="00224ABF" w:rsidRPr="00224ABF" w:rsidRDefault="00224ABF" w:rsidP="00224ABF">
      <w:pPr>
        <w:ind w:left="720"/>
        <w:jc w:val="both"/>
        <w:rPr>
          <w:rFonts w:cs="Arial"/>
        </w:rPr>
      </w:pPr>
    </w:p>
    <w:p w14:paraId="0B01E7A4" w14:textId="41C0BEDD" w:rsidR="00224ABF" w:rsidRPr="00224ABF" w:rsidRDefault="00224ABF" w:rsidP="00224ABF">
      <w:pPr>
        <w:numPr>
          <w:ilvl w:val="0"/>
          <w:numId w:val="149"/>
        </w:numPr>
        <w:spacing w:after="0"/>
        <w:jc w:val="both"/>
        <w:rPr>
          <w:rFonts w:cs="Arial"/>
        </w:rPr>
      </w:pPr>
      <w:r w:rsidRPr="00224ABF">
        <w:rPr>
          <w:rFonts w:cs="Arial"/>
        </w:rPr>
        <w:lastRenderedPageBreak/>
        <w:t>Se construye el puente vehicular No. 12 para la calzada norte, del  Km 45+200 al Km 45+226, además de diferentes muros de contención proyectados entre el Km 45+230 y el Km 53+360.</w:t>
      </w:r>
    </w:p>
    <w:p w14:paraId="632026F6" w14:textId="77777777" w:rsidR="00224ABF" w:rsidRPr="00224ABF" w:rsidRDefault="00224ABF" w:rsidP="00224ABF">
      <w:pPr>
        <w:pStyle w:val="Prrafodelista"/>
        <w:jc w:val="both"/>
        <w:rPr>
          <w:rFonts w:cs="Arial"/>
        </w:rPr>
      </w:pPr>
    </w:p>
    <w:p w14:paraId="6383A7E5" w14:textId="77777777" w:rsidR="00224ABF" w:rsidRPr="00224ABF" w:rsidRDefault="00224ABF" w:rsidP="00224ABF">
      <w:pPr>
        <w:numPr>
          <w:ilvl w:val="0"/>
          <w:numId w:val="149"/>
        </w:numPr>
        <w:spacing w:after="0"/>
        <w:jc w:val="both"/>
        <w:rPr>
          <w:rFonts w:cs="Arial"/>
        </w:rPr>
      </w:pPr>
      <w:r w:rsidRPr="00224ABF">
        <w:rPr>
          <w:rFonts w:cs="Arial"/>
        </w:rPr>
        <w:t>Al cierre del período se tienen 235 predios adquiridos de los 283 predios requeridos, 33 predios en negociación por parte del Concesionario,  además de 15 predios en proceso de expropiación (5 entregados en forma anticipada por el Juez correspondiente, durante este trimestre, lo que ha permitido iniciar trabajos en las áreas requeridas), situación que no ha permitido la continuidad de los trabajos para la construcción de las franjas de calzada adicional requeridas para la totalidad de los sectores por intervenir  del Tramo 3.</w:t>
      </w:r>
    </w:p>
    <w:p w14:paraId="4CCCF80C" w14:textId="77777777" w:rsidR="00224ABF" w:rsidRPr="00224ABF" w:rsidRDefault="00224ABF" w:rsidP="00224ABF">
      <w:pPr>
        <w:ind w:left="720"/>
        <w:jc w:val="both"/>
        <w:rPr>
          <w:rFonts w:cs="Arial"/>
        </w:rPr>
      </w:pPr>
    </w:p>
    <w:p w14:paraId="6E54C7DD" w14:textId="77777777" w:rsidR="00224ABF" w:rsidRPr="00224ABF" w:rsidRDefault="00224ABF" w:rsidP="00224ABF">
      <w:pPr>
        <w:numPr>
          <w:ilvl w:val="0"/>
          <w:numId w:val="149"/>
        </w:numPr>
        <w:spacing w:after="0"/>
        <w:jc w:val="both"/>
        <w:rPr>
          <w:rFonts w:cs="Arial"/>
        </w:rPr>
      </w:pPr>
      <w:r w:rsidRPr="00224ABF">
        <w:rPr>
          <w:rFonts w:cs="Arial"/>
        </w:rPr>
        <w:t>El Concesionario no ha intervenido el Tramo 3.1 Paso Urbano de La Vega, sector entre el Km 53+200 y el Km 56+700, debido a que no se ha otorgado la licencia ambiental por parte de la ANLA, realizados trámites previos por parte del Concesionario.</w:t>
      </w:r>
    </w:p>
    <w:p w14:paraId="45844B84" w14:textId="77777777" w:rsidR="00224ABF" w:rsidRPr="00224ABF" w:rsidRDefault="00224ABF" w:rsidP="00224ABF">
      <w:pPr>
        <w:jc w:val="both"/>
        <w:rPr>
          <w:rFonts w:cs="Arial"/>
        </w:rPr>
      </w:pPr>
    </w:p>
    <w:p w14:paraId="7F51E5E2" w14:textId="77777777" w:rsidR="00224ABF" w:rsidRPr="00224ABF" w:rsidRDefault="00224ABF" w:rsidP="00224ABF">
      <w:pPr>
        <w:pStyle w:val="Prrafodelista"/>
        <w:numPr>
          <w:ilvl w:val="0"/>
          <w:numId w:val="150"/>
        </w:numPr>
        <w:spacing w:after="0"/>
        <w:jc w:val="both"/>
        <w:rPr>
          <w:rFonts w:cs="Arial"/>
          <w:b/>
        </w:rPr>
      </w:pPr>
      <w:r w:rsidRPr="00224ABF">
        <w:rPr>
          <w:rFonts w:cs="Arial"/>
          <w:b/>
        </w:rPr>
        <w:t>Tramo 4: El Vino (Km 31+200) – El Chuscal (Km 53+200)</w:t>
      </w:r>
    </w:p>
    <w:p w14:paraId="03ED14A1" w14:textId="77777777" w:rsidR="00224ABF" w:rsidRPr="00224ABF" w:rsidRDefault="00224ABF" w:rsidP="00224ABF">
      <w:pPr>
        <w:ind w:left="720"/>
        <w:jc w:val="both"/>
        <w:rPr>
          <w:rFonts w:cs="Arial"/>
        </w:rPr>
      </w:pPr>
    </w:p>
    <w:p w14:paraId="393D0BFA" w14:textId="77777777" w:rsidR="00224ABF" w:rsidRPr="00224ABF" w:rsidRDefault="00224ABF" w:rsidP="00224ABF">
      <w:pPr>
        <w:numPr>
          <w:ilvl w:val="0"/>
          <w:numId w:val="149"/>
        </w:numPr>
        <w:spacing w:after="0"/>
        <w:jc w:val="both"/>
        <w:rPr>
          <w:rFonts w:cs="Arial"/>
        </w:rPr>
      </w:pPr>
      <w:r w:rsidRPr="00224ABF">
        <w:rPr>
          <w:rFonts w:cs="Arial"/>
        </w:rPr>
        <w:t>El día 22 de Julio de 2013 se suscribió por las partes el Acta de inicio de construcción del Tramo 4B El Vino (Km 31+200) – Sabaneta (Km 32+350), el Concesionario ha adelantado trámites de compra de los predios requeridos en el Caserío El Vino y realizó la demolición de los predios que ya adquirió en esta zona, además del retiro de los escombros, para ampliar el ancho del corredor de la vía y para construir la calzada del costado norte. Se ejecutaron trabajos de cortes de taludes y explanación, se conforman las capas granulares para la estructura del pavimento de la calzada izquierda (nueva) del Km 31+200 hacia el      Km 31+550, además de construir muros en gaviones y recubrir taludes.</w:t>
      </w:r>
    </w:p>
    <w:p w14:paraId="76014517" w14:textId="77777777" w:rsidR="00224ABF" w:rsidRPr="00224ABF" w:rsidRDefault="00224ABF" w:rsidP="00224ABF">
      <w:pPr>
        <w:ind w:left="720"/>
        <w:jc w:val="both"/>
        <w:rPr>
          <w:rFonts w:cs="Arial"/>
        </w:rPr>
      </w:pPr>
    </w:p>
    <w:p w14:paraId="29C48A4E" w14:textId="77777777" w:rsidR="00224ABF" w:rsidRPr="00224ABF" w:rsidRDefault="00224ABF" w:rsidP="00224ABF">
      <w:pPr>
        <w:numPr>
          <w:ilvl w:val="0"/>
          <w:numId w:val="149"/>
        </w:numPr>
        <w:spacing w:after="0"/>
        <w:jc w:val="both"/>
        <w:rPr>
          <w:rFonts w:cs="Arial"/>
        </w:rPr>
      </w:pPr>
      <w:r w:rsidRPr="00224ABF">
        <w:rPr>
          <w:rFonts w:cs="Arial"/>
        </w:rPr>
        <w:t xml:space="preserve">Al cierre del período se tienen 26 predios adquiridos de los 40 predios requeridos, 13 predios en negociación por parte del Concesionario,  además de 1 predio en proceso de expropiación.  </w:t>
      </w:r>
    </w:p>
    <w:p w14:paraId="73FA8B0E" w14:textId="77777777" w:rsidR="00224ABF" w:rsidRPr="00224ABF" w:rsidRDefault="00224ABF" w:rsidP="00224ABF">
      <w:pPr>
        <w:pStyle w:val="Prrafodelista"/>
        <w:jc w:val="both"/>
        <w:rPr>
          <w:rFonts w:cs="Arial"/>
        </w:rPr>
      </w:pPr>
    </w:p>
    <w:p w14:paraId="6DB5852E" w14:textId="77777777" w:rsidR="00224ABF" w:rsidRPr="00224ABF" w:rsidRDefault="00224ABF" w:rsidP="00224ABF">
      <w:pPr>
        <w:numPr>
          <w:ilvl w:val="0"/>
          <w:numId w:val="149"/>
        </w:numPr>
        <w:spacing w:after="0"/>
        <w:jc w:val="both"/>
        <w:rPr>
          <w:rFonts w:cs="Arial"/>
        </w:rPr>
      </w:pPr>
      <w:r w:rsidRPr="00224ABF">
        <w:rPr>
          <w:rFonts w:cs="Arial"/>
        </w:rPr>
        <w:t xml:space="preserve">El día 3 de Diciembre de 2013 se expidió la Resolución No. 1212  por parte de  la ANLA que otorgó la licencia ambiental para la construcción del Tramo 4A Sabaneta (Km 32+350) – El Chuscal (Km 37+900), el Concesionario realiza las gestiones para la compra de los predios requeridos y demás actividades preliminares, previo al inicio de los trabajos de construcción.  </w:t>
      </w:r>
    </w:p>
    <w:p w14:paraId="67C32188" w14:textId="77777777" w:rsidR="00224ABF" w:rsidRPr="00224ABF" w:rsidRDefault="00224ABF" w:rsidP="00224ABF">
      <w:pPr>
        <w:spacing w:after="0"/>
        <w:jc w:val="both"/>
        <w:rPr>
          <w:rFonts w:cs="Arial"/>
        </w:rPr>
      </w:pPr>
    </w:p>
    <w:p w14:paraId="43EA46EE" w14:textId="77777777" w:rsidR="00224ABF" w:rsidRPr="00224ABF" w:rsidRDefault="00224ABF" w:rsidP="00224ABF">
      <w:pPr>
        <w:pStyle w:val="Prrafodelista"/>
        <w:numPr>
          <w:ilvl w:val="0"/>
          <w:numId w:val="150"/>
        </w:numPr>
        <w:spacing w:after="0"/>
        <w:jc w:val="both"/>
        <w:rPr>
          <w:rFonts w:cs="Arial"/>
          <w:b/>
        </w:rPr>
      </w:pPr>
      <w:r w:rsidRPr="00224ABF">
        <w:rPr>
          <w:rFonts w:cs="Arial"/>
          <w:b/>
        </w:rPr>
        <w:t>Tramo 7.2  Construcción del nuevo puente vehicular sobre el río Bogotá, para la calzada norte, en cercanías del Km 0+000 del proyecto.</w:t>
      </w:r>
    </w:p>
    <w:p w14:paraId="0DB00137" w14:textId="77777777" w:rsidR="00224ABF" w:rsidRPr="00224ABF" w:rsidRDefault="00224ABF" w:rsidP="00224ABF">
      <w:pPr>
        <w:ind w:left="720"/>
        <w:jc w:val="both"/>
        <w:rPr>
          <w:rFonts w:cs="Arial"/>
        </w:rPr>
      </w:pPr>
    </w:p>
    <w:p w14:paraId="342B4BE9" w14:textId="77777777" w:rsidR="00224ABF" w:rsidRPr="00224ABF" w:rsidRDefault="00224ABF" w:rsidP="00224ABF">
      <w:pPr>
        <w:numPr>
          <w:ilvl w:val="0"/>
          <w:numId w:val="149"/>
        </w:numPr>
        <w:spacing w:after="120"/>
        <w:ind w:left="714" w:hanging="357"/>
        <w:jc w:val="both"/>
        <w:rPr>
          <w:rFonts w:cs="Arial"/>
        </w:rPr>
      </w:pPr>
      <w:r w:rsidRPr="00224ABF">
        <w:rPr>
          <w:rFonts w:cs="Arial"/>
        </w:rPr>
        <w:t xml:space="preserve">No se ha iniciado la construcción del nuevo puente vehicular sobre el río Bogotá, al no haberse otorgado la licencia de ocupación del cauce del río Bogotá por parte de la CAR.  </w:t>
      </w:r>
    </w:p>
    <w:p w14:paraId="7C0BF492" w14:textId="77777777" w:rsidR="00224ABF" w:rsidRPr="00224ABF" w:rsidRDefault="00224ABF" w:rsidP="00224ABF">
      <w:pPr>
        <w:ind w:left="720"/>
        <w:jc w:val="both"/>
        <w:rPr>
          <w:rFonts w:cs="Arial"/>
        </w:rPr>
      </w:pPr>
      <w:r w:rsidRPr="00224ABF">
        <w:rPr>
          <w:rFonts w:cs="Arial"/>
        </w:rPr>
        <w:t>A fines del mes de Noviembre de 2013 el Concesionario recibió pronunciamiento de la CAR solicitando la ampliación de la luz  que quedará sobre el cauce del río Bogotá, para el puente vehicular a construir en la calzada norte; el Concesionario realizó los ajustes de los diseños estructurales y los presentó para la revisión de la Interventoría y la ANI. El 12-12-2013 el Concesionario radicó documentación preliminar para conocimiento de la ANI, sobre la modificación de los diseños, ampliando la luz del puente, previo a la remisión oficial de la documentación ante la CAR.  Una vez revisada esta información por parte de la Interventoría y de la ANI, el Concesionario mediante comunicación del 31 de Enero de 2014 radicó los diseños ajustados del puente vehicular ante la CAR, atendiendo la solicitud de ampliar la luz central del puente vehicular, ante lo cual se espera obtener de parte de la CAR la licencia de intervención del cauce del río Bogotá.</w:t>
      </w:r>
    </w:p>
    <w:p w14:paraId="71B27774" w14:textId="77777777" w:rsidR="00224ABF" w:rsidRPr="00224ABF" w:rsidRDefault="00224ABF" w:rsidP="00224ABF">
      <w:pPr>
        <w:jc w:val="both"/>
        <w:rPr>
          <w:rFonts w:cs="Arial"/>
          <w:lang w:val="es-MX"/>
        </w:rPr>
      </w:pPr>
    </w:p>
    <w:p w14:paraId="669D8510" w14:textId="77777777" w:rsidR="00224ABF" w:rsidRPr="00224ABF" w:rsidRDefault="00224ABF" w:rsidP="00224ABF">
      <w:pPr>
        <w:jc w:val="both"/>
        <w:rPr>
          <w:rFonts w:cs="Arial"/>
          <w:b/>
          <w:lang w:val="es-MX"/>
        </w:rPr>
      </w:pPr>
      <w:r w:rsidRPr="00224ABF">
        <w:rPr>
          <w:rFonts w:eastAsia="Times New Roman" w:cs="Arial"/>
          <w:b/>
          <w:lang w:val="es-ES"/>
        </w:rPr>
        <w:t xml:space="preserve">11.  INFORME DE GESTIÓN  PROYECTO ÁREA METROPOLITANA DE CÚCUTA Y NORTE DE SANTANDER </w:t>
      </w:r>
    </w:p>
    <w:p w14:paraId="4406B49E" w14:textId="77777777" w:rsidR="00224ABF" w:rsidRPr="00224ABF" w:rsidRDefault="00224ABF" w:rsidP="00224ABF">
      <w:pPr>
        <w:jc w:val="both"/>
        <w:rPr>
          <w:rFonts w:cs="Arial"/>
          <w:b/>
          <w:lang w:val="es-MX"/>
        </w:rPr>
      </w:pPr>
      <w:r w:rsidRPr="00224ABF">
        <w:rPr>
          <w:rFonts w:cs="Arial"/>
          <w:lang w:val="es-MX"/>
        </w:rPr>
        <w:t xml:space="preserve">Mantenimiento rutinario </w:t>
      </w:r>
      <w:r w:rsidRPr="00224ABF">
        <w:rPr>
          <w:rFonts w:cs="Arial"/>
        </w:rPr>
        <w:t xml:space="preserve">esta actividad se realizó a los </w:t>
      </w:r>
      <w:r w:rsidRPr="00224ABF">
        <w:rPr>
          <w:rFonts w:cs="Arial"/>
          <w:lang w:val="es-MX"/>
        </w:rPr>
        <w:t xml:space="preserve">80.43 Km del Alcance Básico y 70Km Cúcuta – Pamplona. </w:t>
      </w:r>
    </w:p>
    <w:p w14:paraId="504BEA43" w14:textId="77777777" w:rsidR="00224ABF" w:rsidRPr="00224ABF" w:rsidRDefault="00224ABF" w:rsidP="00224ABF">
      <w:pPr>
        <w:pStyle w:val="Prrafodelista"/>
        <w:numPr>
          <w:ilvl w:val="0"/>
          <w:numId w:val="139"/>
        </w:numPr>
        <w:spacing w:after="0"/>
        <w:contextualSpacing w:val="0"/>
        <w:jc w:val="both"/>
        <w:rPr>
          <w:rFonts w:cs="Arial"/>
          <w:lang w:val="es-MX"/>
        </w:rPr>
      </w:pPr>
      <w:r w:rsidRPr="00224ABF">
        <w:rPr>
          <w:rFonts w:cs="Arial"/>
          <w:lang w:val="es-MX"/>
        </w:rPr>
        <w:t>Las obras o actividades que el Concesionario va a ejecutar con los recursos disponibles, conforme a la prioridad que señale la Agencia Nacional de Infraestructura - ANI, incluyendo el valor del beneficio financiero, son las siguientes:</w:t>
      </w:r>
    </w:p>
    <w:p w14:paraId="0B66F684" w14:textId="77777777" w:rsidR="00224ABF" w:rsidRPr="00224ABF" w:rsidRDefault="00224ABF" w:rsidP="00224ABF">
      <w:pPr>
        <w:jc w:val="both"/>
        <w:rPr>
          <w:rFonts w:cs="Arial"/>
          <w:lang w:val="es-MX"/>
        </w:rPr>
      </w:pPr>
    </w:p>
    <w:tbl>
      <w:tblPr>
        <w:tblW w:w="4694" w:type="pct"/>
        <w:tblInd w:w="779" w:type="dxa"/>
        <w:tblLayout w:type="fixed"/>
        <w:tblCellMar>
          <w:left w:w="70" w:type="dxa"/>
          <w:right w:w="70" w:type="dxa"/>
        </w:tblCellMar>
        <w:tblLook w:val="04A0" w:firstRow="1" w:lastRow="0" w:firstColumn="1" w:lastColumn="0" w:noHBand="0" w:noVBand="1"/>
      </w:tblPr>
      <w:tblGrid>
        <w:gridCol w:w="976"/>
        <w:gridCol w:w="4340"/>
        <w:gridCol w:w="1435"/>
        <w:gridCol w:w="1537"/>
      </w:tblGrid>
      <w:tr w:rsidR="00224ABF" w:rsidRPr="00224ABF" w14:paraId="4501CF32" w14:textId="77777777" w:rsidTr="0054297D">
        <w:trPr>
          <w:trHeight w:val="567"/>
          <w:tblHeader/>
        </w:trPr>
        <w:tc>
          <w:tcPr>
            <w:tcW w:w="589" w:type="pct"/>
            <w:tcBorders>
              <w:top w:val="single" w:sz="4" w:space="0" w:color="auto"/>
              <w:left w:val="single" w:sz="4" w:space="0" w:color="auto"/>
              <w:bottom w:val="single" w:sz="4" w:space="0" w:color="auto"/>
              <w:right w:val="single" w:sz="4" w:space="0" w:color="auto"/>
            </w:tcBorders>
            <w:shd w:val="clear" w:color="000000" w:fill="16365C"/>
            <w:noWrap/>
            <w:vAlign w:val="bottom"/>
            <w:hideMark/>
          </w:tcPr>
          <w:p w14:paraId="080BE832" w14:textId="77777777" w:rsidR="00224ABF" w:rsidRPr="00224ABF" w:rsidRDefault="00224ABF" w:rsidP="0054297D">
            <w:pPr>
              <w:jc w:val="both"/>
              <w:rPr>
                <w:rFonts w:cs="Arial"/>
                <w:b/>
                <w:bCs/>
                <w:color w:val="FFFFFF"/>
                <w:lang w:eastAsia="es-MX"/>
              </w:rPr>
            </w:pPr>
            <w:r w:rsidRPr="00224ABF">
              <w:rPr>
                <w:rFonts w:cs="Arial"/>
                <w:b/>
                <w:bCs/>
                <w:color w:val="FFFFFF"/>
                <w:lang w:eastAsia="es-MX"/>
              </w:rPr>
              <w:t>No.</w:t>
            </w:r>
          </w:p>
        </w:tc>
        <w:tc>
          <w:tcPr>
            <w:tcW w:w="2618" w:type="pct"/>
            <w:tcBorders>
              <w:top w:val="single" w:sz="4" w:space="0" w:color="auto"/>
              <w:left w:val="nil"/>
              <w:bottom w:val="single" w:sz="4" w:space="0" w:color="auto"/>
              <w:right w:val="single" w:sz="4" w:space="0" w:color="auto"/>
            </w:tcBorders>
            <w:shd w:val="clear" w:color="000000" w:fill="16365C"/>
            <w:noWrap/>
            <w:vAlign w:val="bottom"/>
            <w:hideMark/>
          </w:tcPr>
          <w:p w14:paraId="4BD76928" w14:textId="77777777" w:rsidR="00224ABF" w:rsidRPr="00224ABF" w:rsidRDefault="00224ABF" w:rsidP="0054297D">
            <w:pPr>
              <w:jc w:val="both"/>
              <w:rPr>
                <w:rFonts w:cs="Arial"/>
                <w:b/>
                <w:bCs/>
                <w:color w:val="FFFFFF"/>
                <w:lang w:eastAsia="es-MX"/>
              </w:rPr>
            </w:pPr>
            <w:r w:rsidRPr="00224ABF">
              <w:rPr>
                <w:rFonts w:cs="Arial"/>
                <w:b/>
                <w:bCs/>
                <w:color w:val="FFFFFF"/>
                <w:lang w:eastAsia="es-MX"/>
              </w:rPr>
              <w:t xml:space="preserve">Obras a Ejecutar </w:t>
            </w:r>
            <w:r w:rsidRPr="00224ABF">
              <w:rPr>
                <w:rFonts w:cs="Arial"/>
                <w:b/>
                <w:bCs/>
                <w:color w:val="FFFFFF"/>
                <w:lang w:val="es-MX" w:eastAsia="es-MX"/>
              </w:rPr>
              <w:t>Cifras en COP Millones</w:t>
            </w:r>
          </w:p>
        </w:tc>
        <w:tc>
          <w:tcPr>
            <w:tcW w:w="866" w:type="pct"/>
            <w:tcBorders>
              <w:top w:val="single" w:sz="4" w:space="0" w:color="auto"/>
              <w:left w:val="nil"/>
              <w:bottom w:val="single" w:sz="4" w:space="0" w:color="auto"/>
              <w:right w:val="single" w:sz="4" w:space="0" w:color="auto"/>
            </w:tcBorders>
            <w:shd w:val="clear" w:color="000000" w:fill="16365C"/>
            <w:noWrap/>
            <w:vAlign w:val="bottom"/>
            <w:hideMark/>
          </w:tcPr>
          <w:p w14:paraId="21E9F6B4" w14:textId="77777777" w:rsidR="00224ABF" w:rsidRPr="00224ABF" w:rsidRDefault="00224ABF" w:rsidP="0054297D">
            <w:pPr>
              <w:jc w:val="both"/>
              <w:rPr>
                <w:rFonts w:cs="Arial"/>
                <w:b/>
                <w:bCs/>
                <w:color w:val="FFFFFF"/>
                <w:lang w:eastAsia="es-MX"/>
              </w:rPr>
            </w:pPr>
            <w:r w:rsidRPr="00224ABF">
              <w:rPr>
                <w:rFonts w:cs="Arial"/>
                <w:b/>
                <w:bCs/>
                <w:color w:val="FFFFFF"/>
                <w:lang w:eastAsia="es-MX"/>
              </w:rPr>
              <w:t>$ Dic-05</w:t>
            </w:r>
          </w:p>
        </w:tc>
        <w:tc>
          <w:tcPr>
            <w:tcW w:w="927" w:type="pct"/>
            <w:tcBorders>
              <w:top w:val="single" w:sz="4" w:space="0" w:color="auto"/>
              <w:left w:val="nil"/>
              <w:bottom w:val="single" w:sz="4" w:space="0" w:color="auto"/>
              <w:right w:val="single" w:sz="4" w:space="0" w:color="auto"/>
            </w:tcBorders>
            <w:shd w:val="clear" w:color="000000" w:fill="16365C"/>
            <w:noWrap/>
            <w:vAlign w:val="bottom"/>
            <w:hideMark/>
          </w:tcPr>
          <w:p w14:paraId="27AA22B2" w14:textId="77777777" w:rsidR="00224ABF" w:rsidRPr="00224ABF" w:rsidRDefault="00224ABF" w:rsidP="0054297D">
            <w:pPr>
              <w:jc w:val="both"/>
              <w:rPr>
                <w:rFonts w:cs="Arial"/>
                <w:b/>
                <w:bCs/>
                <w:color w:val="FFFFFF"/>
                <w:lang w:eastAsia="es-MX"/>
              </w:rPr>
            </w:pPr>
            <w:r w:rsidRPr="00224ABF">
              <w:rPr>
                <w:rFonts w:cs="Arial"/>
                <w:b/>
                <w:bCs/>
                <w:color w:val="FFFFFF"/>
                <w:lang w:eastAsia="es-MX"/>
              </w:rPr>
              <w:t>Descripción</w:t>
            </w:r>
          </w:p>
        </w:tc>
      </w:tr>
      <w:tr w:rsidR="00224ABF" w:rsidRPr="00224ABF" w14:paraId="01EBFCD4" w14:textId="77777777" w:rsidTr="0054297D">
        <w:trPr>
          <w:trHeight w:val="595"/>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71768468" w14:textId="77777777" w:rsidR="00224ABF" w:rsidRPr="00224ABF" w:rsidRDefault="00224ABF" w:rsidP="0054297D">
            <w:pPr>
              <w:jc w:val="both"/>
              <w:rPr>
                <w:rFonts w:cs="Arial"/>
                <w:color w:val="000000"/>
                <w:lang w:eastAsia="es-MX"/>
              </w:rPr>
            </w:pPr>
            <w:r w:rsidRPr="00224ABF">
              <w:rPr>
                <w:rFonts w:cs="Arial"/>
                <w:color w:val="000000"/>
                <w:lang w:eastAsia="es-MX"/>
              </w:rPr>
              <w:t>1</w:t>
            </w:r>
          </w:p>
        </w:tc>
        <w:tc>
          <w:tcPr>
            <w:tcW w:w="2618" w:type="pct"/>
            <w:tcBorders>
              <w:top w:val="nil"/>
              <w:left w:val="nil"/>
              <w:bottom w:val="single" w:sz="4" w:space="0" w:color="auto"/>
              <w:right w:val="single" w:sz="4" w:space="0" w:color="auto"/>
            </w:tcBorders>
            <w:shd w:val="clear" w:color="auto" w:fill="auto"/>
            <w:noWrap/>
            <w:vAlign w:val="center"/>
            <w:hideMark/>
          </w:tcPr>
          <w:p w14:paraId="6AC2826A" w14:textId="77777777" w:rsidR="00224ABF" w:rsidRPr="00224ABF" w:rsidRDefault="00224ABF" w:rsidP="0054297D">
            <w:pPr>
              <w:jc w:val="both"/>
              <w:rPr>
                <w:rFonts w:cs="Arial"/>
                <w:color w:val="000000"/>
                <w:lang w:eastAsia="es-MX"/>
              </w:rPr>
            </w:pPr>
            <w:r w:rsidRPr="00224ABF">
              <w:rPr>
                <w:rFonts w:cs="Arial"/>
                <w:color w:val="000000"/>
                <w:lang w:eastAsia="es-MX"/>
              </w:rPr>
              <w:t>Fondeo Interventoría (Puente, obras adicionales y Etapa de Operación por 2 años)</w:t>
            </w:r>
          </w:p>
        </w:tc>
        <w:tc>
          <w:tcPr>
            <w:tcW w:w="866" w:type="pct"/>
            <w:tcBorders>
              <w:top w:val="nil"/>
              <w:left w:val="nil"/>
              <w:bottom w:val="single" w:sz="4" w:space="0" w:color="auto"/>
              <w:right w:val="single" w:sz="4" w:space="0" w:color="auto"/>
            </w:tcBorders>
            <w:shd w:val="clear" w:color="auto" w:fill="auto"/>
            <w:noWrap/>
            <w:vAlign w:val="center"/>
            <w:hideMark/>
          </w:tcPr>
          <w:p w14:paraId="4312076E" w14:textId="77777777" w:rsidR="00224ABF" w:rsidRPr="00224ABF" w:rsidRDefault="00224ABF" w:rsidP="0054297D">
            <w:pPr>
              <w:jc w:val="both"/>
              <w:rPr>
                <w:rFonts w:cs="Arial"/>
                <w:color w:val="000000"/>
                <w:lang w:eastAsia="es-MX"/>
              </w:rPr>
            </w:pPr>
            <w:r w:rsidRPr="00224ABF">
              <w:rPr>
                <w:rFonts w:cs="Arial"/>
                <w:color w:val="000000"/>
                <w:lang w:eastAsia="es-MX"/>
              </w:rPr>
              <w:t xml:space="preserve">                 2,840</w:t>
            </w:r>
          </w:p>
        </w:tc>
        <w:tc>
          <w:tcPr>
            <w:tcW w:w="927" w:type="pct"/>
            <w:tcBorders>
              <w:top w:val="nil"/>
              <w:left w:val="nil"/>
              <w:bottom w:val="single" w:sz="4" w:space="0" w:color="auto"/>
              <w:right w:val="single" w:sz="4" w:space="0" w:color="auto"/>
            </w:tcBorders>
            <w:shd w:val="clear" w:color="auto" w:fill="auto"/>
            <w:noWrap/>
            <w:vAlign w:val="center"/>
            <w:hideMark/>
          </w:tcPr>
          <w:p w14:paraId="25B3E885" w14:textId="77777777" w:rsidR="00224ABF" w:rsidRPr="00224ABF" w:rsidRDefault="00224ABF" w:rsidP="0054297D">
            <w:pPr>
              <w:jc w:val="both"/>
              <w:rPr>
                <w:rFonts w:cs="Arial"/>
                <w:color w:val="000000"/>
                <w:lang w:eastAsia="es-MX"/>
              </w:rPr>
            </w:pPr>
            <w:r w:rsidRPr="00224ABF">
              <w:rPr>
                <w:rFonts w:cs="Arial"/>
                <w:color w:val="000000"/>
                <w:lang w:eastAsia="es-MX"/>
              </w:rPr>
              <w:t>Sustitución</w:t>
            </w:r>
          </w:p>
        </w:tc>
      </w:tr>
      <w:tr w:rsidR="00224ABF" w:rsidRPr="00224ABF" w14:paraId="6B55D89B" w14:textId="77777777" w:rsidTr="0054297D">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554F0191" w14:textId="77777777" w:rsidR="00224ABF" w:rsidRPr="00224ABF" w:rsidRDefault="00224ABF" w:rsidP="0054297D">
            <w:pPr>
              <w:jc w:val="both"/>
              <w:rPr>
                <w:rFonts w:cs="Arial"/>
                <w:color w:val="000000"/>
                <w:lang w:eastAsia="es-MX"/>
              </w:rPr>
            </w:pPr>
            <w:r w:rsidRPr="00224ABF">
              <w:rPr>
                <w:rFonts w:cs="Arial"/>
                <w:color w:val="000000"/>
                <w:lang w:eastAsia="es-MX"/>
              </w:rPr>
              <w:t>2</w:t>
            </w:r>
          </w:p>
        </w:tc>
        <w:tc>
          <w:tcPr>
            <w:tcW w:w="2618" w:type="pct"/>
            <w:tcBorders>
              <w:top w:val="nil"/>
              <w:left w:val="nil"/>
              <w:bottom w:val="single" w:sz="4" w:space="0" w:color="auto"/>
              <w:right w:val="single" w:sz="4" w:space="0" w:color="auto"/>
            </w:tcBorders>
            <w:shd w:val="clear" w:color="auto" w:fill="auto"/>
            <w:noWrap/>
            <w:vAlign w:val="center"/>
            <w:hideMark/>
          </w:tcPr>
          <w:p w14:paraId="52FC0C7E" w14:textId="77777777" w:rsidR="00224ABF" w:rsidRPr="00224ABF" w:rsidRDefault="00224ABF" w:rsidP="0054297D">
            <w:pPr>
              <w:jc w:val="both"/>
              <w:rPr>
                <w:rFonts w:cs="Arial"/>
                <w:color w:val="000000"/>
                <w:lang w:eastAsia="es-MX"/>
              </w:rPr>
            </w:pPr>
            <w:r w:rsidRPr="00224ABF">
              <w:rPr>
                <w:rFonts w:cs="Arial"/>
                <w:color w:val="000000"/>
                <w:lang w:eastAsia="es-MX"/>
              </w:rPr>
              <w:t>Área de Servicio</w:t>
            </w:r>
          </w:p>
        </w:tc>
        <w:tc>
          <w:tcPr>
            <w:tcW w:w="866" w:type="pct"/>
            <w:tcBorders>
              <w:top w:val="nil"/>
              <w:left w:val="nil"/>
              <w:bottom w:val="single" w:sz="4" w:space="0" w:color="auto"/>
              <w:right w:val="single" w:sz="4" w:space="0" w:color="auto"/>
            </w:tcBorders>
            <w:shd w:val="clear" w:color="auto" w:fill="auto"/>
            <w:noWrap/>
            <w:vAlign w:val="center"/>
            <w:hideMark/>
          </w:tcPr>
          <w:p w14:paraId="2A780F13" w14:textId="77777777" w:rsidR="00224ABF" w:rsidRPr="00224ABF" w:rsidRDefault="00224ABF" w:rsidP="0054297D">
            <w:pPr>
              <w:jc w:val="both"/>
              <w:rPr>
                <w:rFonts w:cs="Arial"/>
                <w:color w:val="000000"/>
                <w:lang w:eastAsia="es-MX"/>
              </w:rPr>
            </w:pPr>
            <w:r w:rsidRPr="00224ABF">
              <w:rPr>
                <w:rFonts w:cs="Arial"/>
                <w:color w:val="000000"/>
                <w:lang w:eastAsia="es-MX"/>
              </w:rPr>
              <w:t xml:space="preserve">                     721 </w:t>
            </w:r>
          </w:p>
        </w:tc>
        <w:tc>
          <w:tcPr>
            <w:tcW w:w="927" w:type="pct"/>
            <w:tcBorders>
              <w:top w:val="nil"/>
              <w:left w:val="nil"/>
              <w:bottom w:val="single" w:sz="4" w:space="0" w:color="auto"/>
              <w:right w:val="single" w:sz="4" w:space="0" w:color="auto"/>
            </w:tcBorders>
            <w:shd w:val="clear" w:color="auto" w:fill="auto"/>
            <w:noWrap/>
            <w:vAlign w:val="center"/>
            <w:hideMark/>
          </w:tcPr>
          <w:p w14:paraId="5AE70273" w14:textId="77777777" w:rsidR="00224ABF" w:rsidRPr="00224ABF" w:rsidRDefault="00224ABF" w:rsidP="0054297D">
            <w:pPr>
              <w:jc w:val="both"/>
              <w:rPr>
                <w:rFonts w:cs="Arial"/>
                <w:color w:val="000000"/>
                <w:lang w:eastAsia="es-MX"/>
              </w:rPr>
            </w:pPr>
            <w:r w:rsidRPr="00224ABF">
              <w:rPr>
                <w:rFonts w:cs="Arial"/>
                <w:color w:val="000000"/>
                <w:lang w:eastAsia="es-MX"/>
              </w:rPr>
              <w:t>Reactivación</w:t>
            </w:r>
          </w:p>
        </w:tc>
      </w:tr>
      <w:tr w:rsidR="00224ABF" w:rsidRPr="00224ABF" w14:paraId="72312F74" w14:textId="77777777" w:rsidTr="0054297D">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5763A28D" w14:textId="77777777" w:rsidR="00224ABF" w:rsidRPr="00224ABF" w:rsidRDefault="00224ABF" w:rsidP="0054297D">
            <w:pPr>
              <w:jc w:val="both"/>
              <w:rPr>
                <w:rFonts w:cs="Arial"/>
                <w:color w:val="000000"/>
                <w:lang w:eastAsia="es-MX"/>
              </w:rPr>
            </w:pPr>
            <w:r w:rsidRPr="00224ABF">
              <w:rPr>
                <w:rFonts w:cs="Arial"/>
                <w:color w:val="000000"/>
                <w:lang w:eastAsia="es-MX"/>
              </w:rPr>
              <w:t>3</w:t>
            </w:r>
          </w:p>
        </w:tc>
        <w:tc>
          <w:tcPr>
            <w:tcW w:w="2618" w:type="pct"/>
            <w:tcBorders>
              <w:top w:val="nil"/>
              <w:left w:val="nil"/>
              <w:bottom w:val="single" w:sz="4" w:space="0" w:color="auto"/>
              <w:right w:val="single" w:sz="4" w:space="0" w:color="auto"/>
            </w:tcBorders>
            <w:shd w:val="clear" w:color="auto" w:fill="auto"/>
            <w:noWrap/>
            <w:vAlign w:val="center"/>
            <w:hideMark/>
          </w:tcPr>
          <w:p w14:paraId="245FD8F6" w14:textId="77777777" w:rsidR="00224ABF" w:rsidRPr="00224ABF" w:rsidRDefault="00224ABF" w:rsidP="0054297D">
            <w:pPr>
              <w:jc w:val="both"/>
              <w:rPr>
                <w:rFonts w:cs="Arial"/>
                <w:color w:val="000000"/>
                <w:lang w:eastAsia="es-MX"/>
              </w:rPr>
            </w:pPr>
            <w:r w:rsidRPr="00224ABF">
              <w:rPr>
                <w:rFonts w:cs="Arial"/>
                <w:color w:val="000000"/>
                <w:lang w:eastAsia="es-MX"/>
              </w:rPr>
              <w:t>Estudios y Diseños 3 fallos Judiciales</w:t>
            </w:r>
          </w:p>
        </w:tc>
        <w:tc>
          <w:tcPr>
            <w:tcW w:w="866" w:type="pct"/>
            <w:tcBorders>
              <w:top w:val="nil"/>
              <w:left w:val="nil"/>
              <w:bottom w:val="single" w:sz="4" w:space="0" w:color="auto"/>
              <w:right w:val="single" w:sz="4" w:space="0" w:color="auto"/>
            </w:tcBorders>
            <w:shd w:val="clear" w:color="auto" w:fill="auto"/>
            <w:noWrap/>
            <w:vAlign w:val="center"/>
            <w:hideMark/>
          </w:tcPr>
          <w:p w14:paraId="0C1311C3" w14:textId="77777777" w:rsidR="00224ABF" w:rsidRPr="00224ABF" w:rsidRDefault="00224ABF" w:rsidP="0054297D">
            <w:pPr>
              <w:jc w:val="both"/>
              <w:rPr>
                <w:rFonts w:cs="Arial"/>
                <w:color w:val="000000"/>
                <w:lang w:eastAsia="es-MX"/>
              </w:rPr>
            </w:pPr>
            <w:r w:rsidRPr="00224ABF">
              <w:rPr>
                <w:rFonts w:cs="Arial"/>
                <w:color w:val="000000"/>
                <w:lang w:eastAsia="es-MX"/>
              </w:rPr>
              <w:t xml:space="preserve">                     186 </w:t>
            </w:r>
          </w:p>
        </w:tc>
        <w:tc>
          <w:tcPr>
            <w:tcW w:w="927" w:type="pct"/>
            <w:tcBorders>
              <w:top w:val="nil"/>
              <w:left w:val="nil"/>
              <w:bottom w:val="single" w:sz="4" w:space="0" w:color="auto"/>
              <w:right w:val="single" w:sz="4" w:space="0" w:color="auto"/>
            </w:tcBorders>
            <w:shd w:val="clear" w:color="auto" w:fill="auto"/>
            <w:noWrap/>
            <w:vAlign w:val="center"/>
            <w:hideMark/>
          </w:tcPr>
          <w:p w14:paraId="529D28C0" w14:textId="77777777" w:rsidR="00224ABF" w:rsidRPr="00224ABF" w:rsidRDefault="00224ABF" w:rsidP="0054297D">
            <w:pPr>
              <w:jc w:val="both"/>
              <w:rPr>
                <w:rFonts w:cs="Arial"/>
                <w:color w:val="000000"/>
                <w:lang w:eastAsia="es-MX"/>
              </w:rPr>
            </w:pPr>
            <w:r w:rsidRPr="00224ABF">
              <w:rPr>
                <w:rFonts w:cs="Arial"/>
                <w:color w:val="000000"/>
                <w:lang w:eastAsia="es-MX"/>
              </w:rPr>
              <w:t>Sustitución*</w:t>
            </w:r>
          </w:p>
        </w:tc>
      </w:tr>
      <w:tr w:rsidR="00224ABF" w:rsidRPr="00224ABF" w14:paraId="22D04F8E" w14:textId="77777777" w:rsidTr="0054297D">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63F66FF2" w14:textId="77777777" w:rsidR="00224ABF" w:rsidRPr="00224ABF" w:rsidRDefault="00224ABF" w:rsidP="0054297D">
            <w:pPr>
              <w:jc w:val="both"/>
              <w:rPr>
                <w:rFonts w:cs="Arial"/>
                <w:color w:val="000000"/>
                <w:lang w:eastAsia="es-MX"/>
              </w:rPr>
            </w:pPr>
            <w:r w:rsidRPr="00224ABF">
              <w:rPr>
                <w:rFonts w:cs="Arial"/>
                <w:color w:val="000000"/>
                <w:lang w:eastAsia="es-MX"/>
              </w:rPr>
              <w:t>4</w:t>
            </w:r>
          </w:p>
        </w:tc>
        <w:tc>
          <w:tcPr>
            <w:tcW w:w="2618" w:type="pct"/>
            <w:tcBorders>
              <w:top w:val="nil"/>
              <w:left w:val="nil"/>
              <w:bottom w:val="single" w:sz="4" w:space="0" w:color="auto"/>
              <w:right w:val="single" w:sz="4" w:space="0" w:color="auto"/>
            </w:tcBorders>
            <w:shd w:val="clear" w:color="auto" w:fill="auto"/>
            <w:noWrap/>
            <w:vAlign w:val="center"/>
            <w:hideMark/>
          </w:tcPr>
          <w:p w14:paraId="00318C08" w14:textId="77777777" w:rsidR="00224ABF" w:rsidRPr="00224ABF" w:rsidRDefault="00224ABF" w:rsidP="0054297D">
            <w:pPr>
              <w:jc w:val="both"/>
              <w:rPr>
                <w:rFonts w:cs="Arial"/>
                <w:color w:val="000000"/>
                <w:lang w:eastAsia="es-MX"/>
              </w:rPr>
            </w:pPr>
            <w:r w:rsidRPr="00224ABF">
              <w:rPr>
                <w:rFonts w:cs="Arial"/>
                <w:color w:val="000000"/>
                <w:lang w:eastAsia="es-MX"/>
              </w:rPr>
              <w:t>Puente Río Pamplonita</w:t>
            </w:r>
          </w:p>
        </w:tc>
        <w:tc>
          <w:tcPr>
            <w:tcW w:w="866" w:type="pct"/>
            <w:tcBorders>
              <w:top w:val="nil"/>
              <w:left w:val="nil"/>
              <w:bottom w:val="single" w:sz="4" w:space="0" w:color="auto"/>
              <w:right w:val="single" w:sz="4" w:space="0" w:color="auto"/>
            </w:tcBorders>
            <w:shd w:val="clear" w:color="auto" w:fill="auto"/>
            <w:noWrap/>
            <w:vAlign w:val="center"/>
            <w:hideMark/>
          </w:tcPr>
          <w:p w14:paraId="07D5BEB7" w14:textId="77777777" w:rsidR="00224ABF" w:rsidRPr="00224ABF" w:rsidRDefault="00224ABF" w:rsidP="0054297D">
            <w:pPr>
              <w:jc w:val="both"/>
              <w:rPr>
                <w:rFonts w:cs="Arial"/>
                <w:color w:val="000000"/>
                <w:lang w:eastAsia="es-MX"/>
              </w:rPr>
            </w:pPr>
            <w:r w:rsidRPr="00224ABF">
              <w:rPr>
                <w:rFonts w:cs="Arial"/>
                <w:color w:val="000000"/>
                <w:lang w:eastAsia="es-MX"/>
              </w:rPr>
              <w:t xml:space="preserve">               12,493 </w:t>
            </w:r>
          </w:p>
        </w:tc>
        <w:tc>
          <w:tcPr>
            <w:tcW w:w="927" w:type="pct"/>
            <w:tcBorders>
              <w:top w:val="nil"/>
              <w:left w:val="nil"/>
              <w:bottom w:val="single" w:sz="4" w:space="0" w:color="auto"/>
              <w:right w:val="single" w:sz="4" w:space="0" w:color="auto"/>
            </w:tcBorders>
            <w:shd w:val="clear" w:color="auto" w:fill="auto"/>
            <w:noWrap/>
            <w:vAlign w:val="center"/>
            <w:hideMark/>
          </w:tcPr>
          <w:p w14:paraId="2E02219D" w14:textId="77777777" w:rsidR="00224ABF" w:rsidRPr="00224ABF" w:rsidRDefault="00224ABF" w:rsidP="0054297D">
            <w:pPr>
              <w:jc w:val="both"/>
              <w:rPr>
                <w:rFonts w:cs="Arial"/>
                <w:color w:val="000000"/>
                <w:lang w:eastAsia="es-MX"/>
              </w:rPr>
            </w:pPr>
            <w:r w:rsidRPr="00224ABF">
              <w:rPr>
                <w:rFonts w:cs="Arial"/>
                <w:color w:val="000000"/>
                <w:lang w:eastAsia="es-MX"/>
              </w:rPr>
              <w:t>Sustitución*</w:t>
            </w:r>
          </w:p>
        </w:tc>
      </w:tr>
      <w:tr w:rsidR="00224ABF" w:rsidRPr="00224ABF" w14:paraId="7EEEC4EB" w14:textId="77777777" w:rsidTr="0054297D">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2C88C8C6" w14:textId="77777777" w:rsidR="00224ABF" w:rsidRPr="00224ABF" w:rsidRDefault="00224ABF" w:rsidP="0054297D">
            <w:pPr>
              <w:jc w:val="both"/>
              <w:rPr>
                <w:rFonts w:cs="Arial"/>
                <w:color w:val="000000"/>
                <w:lang w:eastAsia="es-MX"/>
              </w:rPr>
            </w:pPr>
            <w:r w:rsidRPr="00224ABF">
              <w:rPr>
                <w:rFonts w:cs="Arial"/>
                <w:color w:val="000000"/>
                <w:lang w:eastAsia="es-MX"/>
              </w:rPr>
              <w:lastRenderedPageBreak/>
              <w:t>5</w:t>
            </w:r>
          </w:p>
        </w:tc>
        <w:tc>
          <w:tcPr>
            <w:tcW w:w="2618" w:type="pct"/>
            <w:tcBorders>
              <w:top w:val="nil"/>
              <w:left w:val="nil"/>
              <w:bottom w:val="single" w:sz="4" w:space="0" w:color="auto"/>
              <w:right w:val="single" w:sz="4" w:space="0" w:color="auto"/>
            </w:tcBorders>
            <w:shd w:val="clear" w:color="auto" w:fill="auto"/>
            <w:noWrap/>
            <w:vAlign w:val="center"/>
            <w:hideMark/>
          </w:tcPr>
          <w:p w14:paraId="168B2F62" w14:textId="77777777" w:rsidR="00224ABF" w:rsidRPr="00224ABF" w:rsidRDefault="00224ABF" w:rsidP="0054297D">
            <w:pPr>
              <w:jc w:val="both"/>
              <w:rPr>
                <w:rFonts w:cs="Arial"/>
                <w:color w:val="000000"/>
                <w:lang w:eastAsia="es-MX"/>
              </w:rPr>
            </w:pPr>
            <w:r w:rsidRPr="00224ABF">
              <w:rPr>
                <w:rFonts w:cs="Arial"/>
                <w:color w:val="000000"/>
                <w:lang w:eastAsia="es-MX"/>
              </w:rPr>
              <w:t>Intersección a Desnivel Rumichaca</w:t>
            </w:r>
          </w:p>
        </w:tc>
        <w:tc>
          <w:tcPr>
            <w:tcW w:w="866" w:type="pct"/>
            <w:tcBorders>
              <w:top w:val="nil"/>
              <w:left w:val="nil"/>
              <w:bottom w:val="single" w:sz="4" w:space="0" w:color="auto"/>
              <w:right w:val="single" w:sz="4" w:space="0" w:color="auto"/>
            </w:tcBorders>
            <w:shd w:val="clear" w:color="auto" w:fill="auto"/>
            <w:noWrap/>
            <w:vAlign w:val="center"/>
            <w:hideMark/>
          </w:tcPr>
          <w:p w14:paraId="74A57D74" w14:textId="77777777" w:rsidR="00224ABF" w:rsidRPr="00224ABF" w:rsidRDefault="00224ABF" w:rsidP="0054297D">
            <w:pPr>
              <w:jc w:val="both"/>
              <w:rPr>
                <w:rFonts w:cs="Arial"/>
                <w:color w:val="000000"/>
                <w:lang w:eastAsia="es-MX"/>
              </w:rPr>
            </w:pPr>
            <w:r w:rsidRPr="00224ABF">
              <w:rPr>
                <w:rFonts w:cs="Arial"/>
                <w:color w:val="000000"/>
                <w:lang w:eastAsia="es-MX"/>
              </w:rPr>
              <w:t xml:space="preserve">                 4,545 </w:t>
            </w:r>
          </w:p>
        </w:tc>
        <w:tc>
          <w:tcPr>
            <w:tcW w:w="927" w:type="pct"/>
            <w:tcBorders>
              <w:top w:val="nil"/>
              <w:left w:val="nil"/>
              <w:bottom w:val="single" w:sz="4" w:space="0" w:color="auto"/>
              <w:right w:val="single" w:sz="4" w:space="0" w:color="auto"/>
            </w:tcBorders>
            <w:shd w:val="clear" w:color="auto" w:fill="auto"/>
            <w:noWrap/>
            <w:vAlign w:val="center"/>
            <w:hideMark/>
          </w:tcPr>
          <w:p w14:paraId="0BCAD234" w14:textId="77777777" w:rsidR="00224ABF" w:rsidRPr="00224ABF" w:rsidRDefault="00224ABF" w:rsidP="0054297D">
            <w:pPr>
              <w:jc w:val="both"/>
              <w:rPr>
                <w:rFonts w:cs="Arial"/>
                <w:color w:val="000000"/>
                <w:lang w:eastAsia="es-MX"/>
              </w:rPr>
            </w:pPr>
            <w:r w:rsidRPr="00224ABF">
              <w:rPr>
                <w:rFonts w:cs="Arial"/>
                <w:color w:val="000000"/>
                <w:lang w:eastAsia="es-MX"/>
              </w:rPr>
              <w:t>Reactivación</w:t>
            </w:r>
          </w:p>
        </w:tc>
      </w:tr>
      <w:tr w:rsidR="00224ABF" w:rsidRPr="00224ABF" w14:paraId="47147655" w14:textId="77777777" w:rsidTr="0054297D">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290555C5" w14:textId="77777777" w:rsidR="00224ABF" w:rsidRPr="00224ABF" w:rsidRDefault="00224ABF" w:rsidP="0054297D">
            <w:pPr>
              <w:jc w:val="both"/>
              <w:rPr>
                <w:rFonts w:cs="Arial"/>
                <w:color w:val="000000"/>
                <w:lang w:eastAsia="es-MX"/>
              </w:rPr>
            </w:pPr>
            <w:r w:rsidRPr="00224ABF">
              <w:rPr>
                <w:rFonts w:cs="Arial"/>
                <w:color w:val="000000"/>
                <w:lang w:eastAsia="es-MX"/>
              </w:rPr>
              <w:t>6</w:t>
            </w:r>
          </w:p>
        </w:tc>
        <w:tc>
          <w:tcPr>
            <w:tcW w:w="2618" w:type="pct"/>
            <w:tcBorders>
              <w:top w:val="nil"/>
              <w:left w:val="nil"/>
              <w:bottom w:val="single" w:sz="4" w:space="0" w:color="auto"/>
              <w:right w:val="single" w:sz="4" w:space="0" w:color="auto"/>
            </w:tcBorders>
            <w:shd w:val="clear" w:color="auto" w:fill="auto"/>
            <w:noWrap/>
            <w:vAlign w:val="center"/>
            <w:hideMark/>
          </w:tcPr>
          <w:p w14:paraId="4CB83DB5" w14:textId="77777777" w:rsidR="00224ABF" w:rsidRPr="00224ABF" w:rsidRDefault="00224ABF" w:rsidP="0054297D">
            <w:pPr>
              <w:jc w:val="both"/>
              <w:rPr>
                <w:rFonts w:cs="Arial"/>
                <w:color w:val="000000"/>
                <w:lang w:eastAsia="es-MX"/>
              </w:rPr>
            </w:pPr>
            <w:r w:rsidRPr="00224ABF">
              <w:rPr>
                <w:rFonts w:cs="Arial"/>
                <w:color w:val="000000"/>
                <w:lang w:eastAsia="es-MX"/>
              </w:rPr>
              <w:t>Construcción Nueva Calzada Puente Benito Hernández</w:t>
            </w:r>
          </w:p>
        </w:tc>
        <w:tc>
          <w:tcPr>
            <w:tcW w:w="866" w:type="pct"/>
            <w:tcBorders>
              <w:top w:val="nil"/>
              <w:left w:val="nil"/>
              <w:bottom w:val="single" w:sz="4" w:space="0" w:color="auto"/>
              <w:right w:val="single" w:sz="4" w:space="0" w:color="auto"/>
            </w:tcBorders>
            <w:shd w:val="clear" w:color="auto" w:fill="auto"/>
            <w:noWrap/>
            <w:vAlign w:val="center"/>
            <w:hideMark/>
          </w:tcPr>
          <w:p w14:paraId="53242C1C" w14:textId="77777777" w:rsidR="00224ABF" w:rsidRPr="00224ABF" w:rsidRDefault="00224ABF" w:rsidP="0054297D">
            <w:pPr>
              <w:jc w:val="both"/>
              <w:rPr>
                <w:rFonts w:cs="Arial"/>
                <w:color w:val="000000"/>
                <w:lang w:eastAsia="es-MX"/>
              </w:rPr>
            </w:pPr>
            <w:r w:rsidRPr="00224ABF">
              <w:rPr>
                <w:rFonts w:cs="Arial"/>
                <w:color w:val="000000"/>
                <w:lang w:eastAsia="es-MX"/>
              </w:rPr>
              <w:t xml:space="preserve">                 5,983 </w:t>
            </w:r>
          </w:p>
        </w:tc>
        <w:tc>
          <w:tcPr>
            <w:tcW w:w="927" w:type="pct"/>
            <w:tcBorders>
              <w:top w:val="nil"/>
              <w:left w:val="nil"/>
              <w:bottom w:val="single" w:sz="4" w:space="0" w:color="auto"/>
              <w:right w:val="single" w:sz="4" w:space="0" w:color="auto"/>
            </w:tcBorders>
            <w:shd w:val="clear" w:color="auto" w:fill="auto"/>
            <w:noWrap/>
            <w:vAlign w:val="center"/>
            <w:hideMark/>
          </w:tcPr>
          <w:p w14:paraId="2DBD0278" w14:textId="77777777" w:rsidR="00224ABF" w:rsidRPr="00224ABF" w:rsidRDefault="00224ABF" w:rsidP="0054297D">
            <w:pPr>
              <w:jc w:val="both"/>
              <w:rPr>
                <w:rFonts w:cs="Arial"/>
                <w:color w:val="000000"/>
                <w:lang w:eastAsia="es-MX"/>
              </w:rPr>
            </w:pPr>
            <w:r w:rsidRPr="00224ABF">
              <w:rPr>
                <w:rFonts w:cs="Arial"/>
                <w:color w:val="000000"/>
                <w:lang w:eastAsia="es-MX"/>
              </w:rPr>
              <w:t>Reactivación</w:t>
            </w:r>
          </w:p>
        </w:tc>
      </w:tr>
      <w:tr w:rsidR="00224ABF" w:rsidRPr="00224ABF" w14:paraId="0FE788E5" w14:textId="77777777" w:rsidTr="0054297D">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770C7251" w14:textId="77777777" w:rsidR="00224ABF" w:rsidRPr="00224ABF" w:rsidRDefault="00224ABF" w:rsidP="0054297D">
            <w:pPr>
              <w:jc w:val="both"/>
              <w:rPr>
                <w:rFonts w:cs="Arial"/>
                <w:color w:val="000000"/>
                <w:lang w:eastAsia="es-MX"/>
              </w:rPr>
            </w:pPr>
            <w:r w:rsidRPr="00224ABF">
              <w:rPr>
                <w:rFonts w:cs="Arial"/>
                <w:color w:val="000000"/>
                <w:lang w:eastAsia="es-MX"/>
              </w:rPr>
              <w:t>7</w:t>
            </w:r>
          </w:p>
        </w:tc>
        <w:tc>
          <w:tcPr>
            <w:tcW w:w="2618" w:type="pct"/>
            <w:tcBorders>
              <w:top w:val="nil"/>
              <w:left w:val="nil"/>
              <w:bottom w:val="single" w:sz="4" w:space="0" w:color="auto"/>
              <w:right w:val="single" w:sz="4" w:space="0" w:color="auto"/>
            </w:tcBorders>
            <w:shd w:val="clear" w:color="auto" w:fill="auto"/>
            <w:noWrap/>
            <w:vAlign w:val="center"/>
            <w:hideMark/>
          </w:tcPr>
          <w:p w14:paraId="338A8CA8" w14:textId="77777777" w:rsidR="00224ABF" w:rsidRPr="00224ABF" w:rsidRDefault="00224ABF" w:rsidP="0054297D">
            <w:pPr>
              <w:jc w:val="both"/>
              <w:rPr>
                <w:rFonts w:cs="Arial"/>
                <w:color w:val="000000"/>
                <w:lang w:eastAsia="es-MX"/>
              </w:rPr>
            </w:pPr>
            <w:r w:rsidRPr="00224ABF">
              <w:rPr>
                <w:rFonts w:cs="Arial"/>
                <w:color w:val="000000"/>
                <w:lang w:eastAsia="es-MX"/>
              </w:rPr>
              <w:t>Otras obras y/o actividades requeridas por el proyecto a definir por la ANI</w:t>
            </w:r>
          </w:p>
        </w:tc>
        <w:tc>
          <w:tcPr>
            <w:tcW w:w="866" w:type="pct"/>
            <w:tcBorders>
              <w:top w:val="nil"/>
              <w:left w:val="nil"/>
              <w:bottom w:val="single" w:sz="4" w:space="0" w:color="auto"/>
              <w:right w:val="single" w:sz="4" w:space="0" w:color="auto"/>
            </w:tcBorders>
            <w:shd w:val="clear" w:color="auto" w:fill="auto"/>
            <w:noWrap/>
            <w:vAlign w:val="center"/>
            <w:hideMark/>
          </w:tcPr>
          <w:p w14:paraId="6542CCFD" w14:textId="77777777" w:rsidR="00224ABF" w:rsidRPr="00224ABF" w:rsidRDefault="00224ABF" w:rsidP="0054297D">
            <w:pPr>
              <w:jc w:val="both"/>
              <w:rPr>
                <w:rFonts w:cs="Arial"/>
                <w:color w:val="000000"/>
                <w:lang w:eastAsia="es-MX"/>
              </w:rPr>
            </w:pPr>
            <w:r w:rsidRPr="00224ABF">
              <w:rPr>
                <w:rFonts w:cs="Arial"/>
                <w:color w:val="000000"/>
                <w:lang w:eastAsia="es-MX"/>
              </w:rPr>
              <w:t xml:space="preserve">                 7,548 </w:t>
            </w:r>
          </w:p>
        </w:tc>
        <w:tc>
          <w:tcPr>
            <w:tcW w:w="927" w:type="pct"/>
            <w:tcBorders>
              <w:top w:val="nil"/>
              <w:left w:val="nil"/>
              <w:bottom w:val="single" w:sz="4" w:space="0" w:color="auto"/>
              <w:right w:val="single" w:sz="4" w:space="0" w:color="auto"/>
            </w:tcBorders>
            <w:shd w:val="clear" w:color="auto" w:fill="auto"/>
            <w:noWrap/>
            <w:vAlign w:val="center"/>
            <w:hideMark/>
          </w:tcPr>
          <w:p w14:paraId="4EBEFC72" w14:textId="77777777" w:rsidR="00224ABF" w:rsidRPr="00224ABF" w:rsidRDefault="00224ABF" w:rsidP="0054297D">
            <w:pPr>
              <w:jc w:val="both"/>
              <w:rPr>
                <w:rFonts w:cs="Arial"/>
                <w:color w:val="000000"/>
                <w:lang w:eastAsia="es-MX"/>
              </w:rPr>
            </w:pPr>
            <w:r w:rsidRPr="00224ABF">
              <w:rPr>
                <w:rFonts w:cs="Arial"/>
                <w:color w:val="000000"/>
                <w:lang w:eastAsia="es-MX"/>
              </w:rPr>
              <w:t>Sustitución*</w:t>
            </w:r>
          </w:p>
        </w:tc>
      </w:tr>
      <w:tr w:rsidR="00224ABF" w:rsidRPr="00224ABF" w14:paraId="550E5D3A" w14:textId="77777777" w:rsidTr="0054297D">
        <w:trPr>
          <w:trHeight w:val="311"/>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407B66C0" w14:textId="77777777" w:rsidR="00224ABF" w:rsidRPr="00224ABF" w:rsidRDefault="00224ABF" w:rsidP="0054297D">
            <w:pPr>
              <w:jc w:val="both"/>
              <w:rPr>
                <w:rFonts w:cs="Arial"/>
                <w:color w:val="000000"/>
                <w:lang w:eastAsia="es-MX"/>
              </w:rPr>
            </w:pPr>
            <w:r w:rsidRPr="00224ABF">
              <w:rPr>
                <w:rFonts w:cs="Arial"/>
                <w:color w:val="000000"/>
                <w:lang w:eastAsia="es-MX"/>
              </w:rPr>
              <w:t> </w:t>
            </w:r>
          </w:p>
        </w:tc>
        <w:tc>
          <w:tcPr>
            <w:tcW w:w="2618" w:type="pct"/>
            <w:tcBorders>
              <w:top w:val="nil"/>
              <w:left w:val="nil"/>
              <w:bottom w:val="single" w:sz="4" w:space="0" w:color="auto"/>
              <w:right w:val="single" w:sz="4" w:space="0" w:color="auto"/>
            </w:tcBorders>
            <w:shd w:val="clear" w:color="auto" w:fill="auto"/>
            <w:noWrap/>
            <w:vAlign w:val="center"/>
            <w:hideMark/>
          </w:tcPr>
          <w:p w14:paraId="59219802" w14:textId="77777777" w:rsidR="00224ABF" w:rsidRPr="00224ABF" w:rsidRDefault="00224ABF" w:rsidP="0054297D">
            <w:pPr>
              <w:jc w:val="both"/>
              <w:rPr>
                <w:rFonts w:cs="Arial"/>
                <w:b/>
                <w:bCs/>
                <w:color w:val="000000"/>
                <w:lang w:eastAsia="es-MX"/>
              </w:rPr>
            </w:pPr>
            <w:r w:rsidRPr="00224ABF">
              <w:rPr>
                <w:rFonts w:cs="Arial"/>
                <w:b/>
                <w:bCs/>
                <w:color w:val="000000"/>
                <w:lang w:eastAsia="es-MX"/>
              </w:rPr>
              <w:t xml:space="preserve">Total Obras  </w:t>
            </w:r>
          </w:p>
        </w:tc>
        <w:tc>
          <w:tcPr>
            <w:tcW w:w="866" w:type="pct"/>
            <w:tcBorders>
              <w:top w:val="nil"/>
              <w:left w:val="nil"/>
              <w:bottom w:val="single" w:sz="4" w:space="0" w:color="auto"/>
              <w:right w:val="single" w:sz="4" w:space="0" w:color="auto"/>
            </w:tcBorders>
            <w:shd w:val="clear" w:color="auto" w:fill="auto"/>
            <w:noWrap/>
            <w:vAlign w:val="center"/>
            <w:hideMark/>
          </w:tcPr>
          <w:p w14:paraId="78D170C5" w14:textId="77777777" w:rsidR="00224ABF" w:rsidRPr="00224ABF" w:rsidRDefault="00224ABF" w:rsidP="0054297D">
            <w:pPr>
              <w:jc w:val="both"/>
              <w:rPr>
                <w:rFonts w:cs="Arial"/>
                <w:b/>
                <w:bCs/>
                <w:color w:val="000000"/>
                <w:lang w:eastAsia="es-MX"/>
              </w:rPr>
            </w:pPr>
            <w:r w:rsidRPr="00224ABF">
              <w:rPr>
                <w:rFonts w:cs="Arial"/>
                <w:b/>
                <w:bCs/>
                <w:color w:val="000000"/>
                <w:lang w:eastAsia="es-MX"/>
              </w:rPr>
              <w:t xml:space="preserve">               34,316 </w:t>
            </w:r>
          </w:p>
        </w:tc>
        <w:tc>
          <w:tcPr>
            <w:tcW w:w="927" w:type="pct"/>
            <w:tcBorders>
              <w:top w:val="nil"/>
              <w:left w:val="nil"/>
              <w:bottom w:val="nil"/>
              <w:right w:val="nil"/>
            </w:tcBorders>
            <w:shd w:val="clear" w:color="auto" w:fill="auto"/>
            <w:noWrap/>
            <w:vAlign w:val="center"/>
            <w:hideMark/>
          </w:tcPr>
          <w:p w14:paraId="15E032ED" w14:textId="77777777" w:rsidR="00224ABF" w:rsidRPr="00224ABF" w:rsidRDefault="00224ABF" w:rsidP="0054297D">
            <w:pPr>
              <w:jc w:val="both"/>
              <w:rPr>
                <w:rFonts w:cs="Arial"/>
                <w:b/>
                <w:bCs/>
                <w:color w:val="000000"/>
                <w:lang w:eastAsia="es-MX"/>
              </w:rPr>
            </w:pPr>
          </w:p>
        </w:tc>
      </w:tr>
    </w:tbl>
    <w:p w14:paraId="231B5D94" w14:textId="77777777" w:rsidR="00224ABF" w:rsidRPr="00224ABF" w:rsidRDefault="00224ABF" w:rsidP="00224ABF">
      <w:pPr>
        <w:pStyle w:val="Prrafodelista"/>
        <w:spacing w:after="0"/>
        <w:contextualSpacing w:val="0"/>
        <w:jc w:val="both"/>
        <w:rPr>
          <w:rFonts w:cs="Arial"/>
        </w:rPr>
      </w:pPr>
    </w:p>
    <w:p w14:paraId="6BE1B2A2" w14:textId="08C825A4" w:rsidR="00224ABF" w:rsidRPr="00224ABF" w:rsidRDefault="00224ABF" w:rsidP="00224ABF">
      <w:pPr>
        <w:pStyle w:val="Prrafodelista"/>
        <w:numPr>
          <w:ilvl w:val="0"/>
          <w:numId w:val="139"/>
        </w:numPr>
        <w:spacing w:after="0"/>
        <w:contextualSpacing w:val="0"/>
        <w:jc w:val="both"/>
        <w:rPr>
          <w:rFonts w:cs="Arial"/>
        </w:rPr>
      </w:pPr>
      <w:r w:rsidRPr="00224ABF">
        <w:rPr>
          <w:rFonts w:cs="Arial"/>
        </w:rPr>
        <w:t>La Concesionaria San Simón S.A. está realizando el fondeo mensual por concepto de Interventoría a la subcuenta de Interventoría desde febrero de 2014 dentro de los primeros cinco días hábiles del mes y durante 24 meses. Este valor se actualizará al año con el Índice de Precios al Consumidor del año 2014.</w:t>
      </w:r>
    </w:p>
    <w:p w14:paraId="4C8ECFB6" w14:textId="77777777" w:rsidR="00224ABF" w:rsidRPr="00224ABF" w:rsidRDefault="00224ABF" w:rsidP="00224ABF">
      <w:pPr>
        <w:jc w:val="both"/>
        <w:rPr>
          <w:rFonts w:cs="Arial"/>
          <w:lang w:val="es-MX"/>
        </w:rPr>
      </w:pPr>
    </w:p>
    <w:p w14:paraId="1DC35176" w14:textId="77777777" w:rsidR="00224ABF" w:rsidRPr="00224ABF" w:rsidRDefault="00224ABF" w:rsidP="00224ABF">
      <w:pPr>
        <w:pStyle w:val="Prrafodelista"/>
        <w:numPr>
          <w:ilvl w:val="0"/>
          <w:numId w:val="138"/>
        </w:numPr>
        <w:spacing w:after="0"/>
        <w:ind w:left="405"/>
        <w:contextualSpacing w:val="0"/>
        <w:jc w:val="both"/>
        <w:rPr>
          <w:rFonts w:cs="Arial"/>
          <w:b/>
          <w:lang w:val="es-MX"/>
        </w:rPr>
      </w:pPr>
      <w:r w:rsidRPr="00224ABF">
        <w:rPr>
          <w:rFonts w:cs="Arial"/>
          <w:b/>
        </w:rPr>
        <w:t>Actividades / Hechos sobresalientes realizados</w:t>
      </w:r>
    </w:p>
    <w:p w14:paraId="6918D543" w14:textId="77777777" w:rsidR="00224ABF" w:rsidRPr="00224ABF" w:rsidRDefault="00224ABF" w:rsidP="00224ABF">
      <w:pPr>
        <w:pStyle w:val="Prrafodelista"/>
        <w:ind w:left="405"/>
        <w:jc w:val="both"/>
        <w:rPr>
          <w:rFonts w:cs="Arial"/>
          <w:b/>
          <w:lang w:val="es-MX"/>
        </w:rPr>
      </w:pPr>
    </w:p>
    <w:p w14:paraId="78BA4A6C" w14:textId="77777777" w:rsidR="00224ABF" w:rsidRPr="00224ABF" w:rsidRDefault="00224ABF" w:rsidP="00224ABF">
      <w:pPr>
        <w:jc w:val="both"/>
        <w:rPr>
          <w:rFonts w:cs="Arial"/>
          <w:lang w:val="es-MX" w:eastAsia="es-MX"/>
        </w:rPr>
      </w:pPr>
      <w:r w:rsidRPr="00224ABF">
        <w:rPr>
          <w:rFonts w:cs="Arial"/>
        </w:rPr>
        <w:t>Se suscribió</w:t>
      </w:r>
      <w:r w:rsidRPr="00224ABF">
        <w:rPr>
          <w:rFonts w:cs="Arial"/>
          <w:b/>
        </w:rPr>
        <w:t xml:space="preserve"> otrosí 1 al Adicional No 2, </w:t>
      </w:r>
      <w:r w:rsidRPr="00224ABF">
        <w:rPr>
          <w:rFonts w:cs="Arial"/>
        </w:rPr>
        <w:t>el 28 de febrero de 2014, para adelantar la Construcción del Puente sobre el Rio Tarra, tramo Tibu –El Tarra</w:t>
      </w:r>
    </w:p>
    <w:p w14:paraId="1DC5FE55" w14:textId="77777777" w:rsidR="00224ABF" w:rsidRPr="00224ABF" w:rsidRDefault="00224ABF" w:rsidP="00224ABF">
      <w:pPr>
        <w:jc w:val="both"/>
        <w:rPr>
          <w:rFonts w:cs="Arial"/>
          <w:b/>
          <w:lang w:val="es-MX"/>
        </w:rPr>
      </w:pPr>
    </w:p>
    <w:p w14:paraId="4FBAC856" w14:textId="77777777" w:rsidR="00224ABF" w:rsidRPr="00224ABF" w:rsidRDefault="00224ABF" w:rsidP="00224ABF">
      <w:pPr>
        <w:jc w:val="both"/>
        <w:rPr>
          <w:rFonts w:cs="Arial"/>
          <w:b/>
          <w:lang w:val="es-MX"/>
        </w:rPr>
      </w:pPr>
      <w:r w:rsidRPr="00224ABF">
        <w:rPr>
          <w:rFonts w:eastAsia="Times New Roman" w:cs="Arial"/>
          <w:b/>
          <w:lang w:val="es-ES"/>
        </w:rPr>
        <w:t xml:space="preserve">12.  INFORME DE GESTIÓN  PROYECTO GIRARDOT IBAGUE CAJAMARCA </w:t>
      </w:r>
    </w:p>
    <w:p w14:paraId="4BA473B1" w14:textId="77777777" w:rsidR="00224ABF" w:rsidRPr="00224ABF" w:rsidRDefault="00224ABF" w:rsidP="00224ABF">
      <w:pPr>
        <w:spacing w:after="0"/>
        <w:jc w:val="both"/>
        <w:rPr>
          <w:rFonts w:eastAsia="Times New Roman" w:cs="Arial"/>
          <w:lang w:val="es-ES" w:eastAsia="es-ES"/>
        </w:rPr>
      </w:pPr>
      <w:r w:rsidRPr="00224ABF">
        <w:rPr>
          <w:rFonts w:eastAsia="Times New Roman" w:cs="Arial"/>
          <w:lang w:val="es-ES" w:eastAsia="es-ES"/>
        </w:rPr>
        <w:t>Todos los tramos del proyecto a la fecha se encuentran en operación salvo el Tramo 2, el cual debe ser finalizado el 30 de noviembre del presente año, para lo cual y según lo informado por la Interventoría para el primer trimestre del año 2014 las obras correspondientes al túnel y el viaducto de Gualanday tiene el siguiente avance de ejecución según cronograma de obra presentado por el Concesionario:</w:t>
      </w:r>
    </w:p>
    <w:p w14:paraId="7EF72F14" w14:textId="77777777" w:rsidR="00224ABF" w:rsidRPr="00224ABF" w:rsidRDefault="00224ABF" w:rsidP="00224ABF">
      <w:pPr>
        <w:spacing w:after="0"/>
        <w:jc w:val="both"/>
        <w:rPr>
          <w:rFonts w:eastAsia="Times New Roman" w:cs="Arial"/>
          <w:lang w:val="es-ES" w:eastAsia="es-ES"/>
        </w:rPr>
      </w:pPr>
    </w:p>
    <w:p w14:paraId="6BD6140A" w14:textId="77777777" w:rsidR="00224ABF" w:rsidRPr="00224ABF" w:rsidRDefault="00224ABF" w:rsidP="00224ABF">
      <w:pPr>
        <w:numPr>
          <w:ilvl w:val="0"/>
          <w:numId w:val="146"/>
        </w:numPr>
        <w:spacing w:after="0"/>
        <w:contextualSpacing/>
        <w:jc w:val="both"/>
        <w:rPr>
          <w:rFonts w:eastAsia="Times New Roman" w:cs="Arial"/>
          <w:b/>
          <w:lang w:val="es-ES" w:eastAsia="es-ES"/>
        </w:rPr>
      </w:pPr>
      <w:r w:rsidRPr="00224ABF">
        <w:rPr>
          <w:rFonts w:eastAsia="Times New Roman" w:cs="Arial"/>
          <w:b/>
          <w:lang w:val="es-ES" w:eastAsia="es-ES"/>
        </w:rPr>
        <w:t>Viaducto de Gualanday</w:t>
      </w:r>
    </w:p>
    <w:p w14:paraId="0ECBB48E" w14:textId="77777777" w:rsidR="00224ABF" w:rsidRPr="00224ABF" w:rsidRDefault="00224ABF" w:rsidP="00224ABF">
      <w:pPr>
        <w:numPr>
          <w:ilvl w:val="1"/>
          <w:numId w:val="146"/>
        </w:numPr>
        <w:spacing w:after="0"/>
        <w:contextualSpacing/>
        <w:jc w:val="both"/>
        <w:rPr>
          <w:rFonts w:eastAsia="Times New Roman" w:cs="Arial"/>
          <w:lang w:val="es-ES" w:eastAsia="es-ES"/>
        </w:rPr>
      </w:pPr>
      <w:r w:rsidRPr="00224ABF">
        <w:rPr>
          <w:rFonts w:eastAsia="Times New Roman" w:cs="Arial"/>
          <w:lang w:val="es-ES" w:eastAsia="es-ES"/>
        </w:rPr>
        <w:t>Porcentaje de avance programado: 74%</w:t>
      </w:r>
    </w:p>
    <w:p w14:paraId="37DA54DF" w14:textId="77777777" w:rsidR="00224ABF" w:rsidRPr="00224ABF" w:rsidRDefault="00224ABF" w:rsidP="00224ABF">
      <w:pPr>
        <w:numPr>
          <w:ilvl w:val="1"/>
          <w:numId w:val="146"/>
        </w:numPr>
        <w:spacing w:after="0"/>
        <w:contextualSpacing/>
        <w:jc w:val="both"/>
        <w:rPr>
          <w:rFonts w:eastAsia="Times New Roman" w:cs="Arial"/>
          <w:lang w:val="es-ES" w:eastAsia="es-ES"/>
        </w:rPr>
      </w:pPr>
      <w:r w:rsidRPr="00224ABF">
        <w:rPr>
          <w:rFonts w:eastAsia="Times New Roman" w:cs="Arial"/>
          <w:lang w:val="es-ES" w:eastAsia="es-ES"/>
        </w:rPr>
        <w:t>Porcentaje de avance real ejecutado: 69%</w:t>
      </w:r>
    </w:p>
    <w:p w14:paraId="4DF6CC12" w14:textId="77777777" w:rsidR="00224ABF" w:rsidRPr="00224ABF" w:rsidRDefault="00224ABF" w:rsidP="00224ABF">
      <w:pPr>
        <w:spacing w:after="0"/>
        <w:jc w:val="both"/>
        <w:rPr>
          <w:rFonts w:eastAsia="Times New Roman" w:cs="Arial"/>
          <w:lang w:val="es-ES" w:eastAsia="es-ES"/>
        </w:rPr>
      </w:pPr>
    </w:p>
    <w:p w14:paraId="0FFFBF4F" w14:textId="77777777" w:rsidR="00224ABF" w:rsidRPr="00224ABF" w:rsidRDefault="00224ABF" w:rsidP="00224ABF">
      <w:pPr>
        <w:numPr>
          <w:ilvl w:val="0"/>
          <w:numId w:val="146"/>
        </w:numPr>
        <w:spacing w:after="0"/>
        <w:contextualSpacing/>
        <w:jc w:val="both"/>
        <w:rPr>
          <w:rFonts w:eastAsia="Times New Roman" w:cs="Arial"/>
          <w:b/>
          <w:lang w:val="es-ES" w:eastAsia="es-ES"/>
        </w:rPr>
      </w:pPr>
      <w:r w:rsidRPr="00224ABF">
        <w:rPr>
          <w:rFonts w:eastAsia="Times New Roman" w:cs="Arial"/>
          <w:b/>
          <w:lang w:val="es-ES" w:eastAsia="es-ES"/>
        </w:rPr>
        <w:t>Túnel Gualanday</w:t>
      </w:r>
    </w:p>
    <w:p w14:paraId="615AFB56" w14:textId="77777777" w:rsidR="00224ABF" w:rsidRPr="00224ABF" w:rsidRDefault="00224ABF" w:rsidP="00224ABF">
      <w:pPr>
        <w:numPr>
          <w:ilvl w:val="1"/>
          <w:numId w:val="146"/>
        </w:numPr>
        <w:spacing w:after="0"/>
        <w:contextualSpacing/>
        <w:jc w:val="both"/>
        <w:rPr>
          <w:rFonts w:eastAsia="Times New Roman" w:cs="Arial"/>
          <w:lang w:val="es-ES" w:eastAsia="es-ES"/>
        </w:rPr>
      </w:pPr>
      <w:r w:rsidRPr="00224ABF">
        <w:rPr>
          <w:rFonts w:eastAsia="Times New Roman" w:cs="Arial"/>
          <w:lang w:val="es-ES" w:eastAsia="es-ES"/>
        </w:rPr>
        <w:t>Porcentaje de avance programado: 58%</w:t>
      </w:r>
    </w:p>
    <w:p w14:paraId="7A68F093" w14:textId="77777777" w:rsidR="00224ABF" w:rsidRPr="00224ABF" w:rsidRDefault="00224ABF" w:rsidP="00224ABF">
      <w:pPr>
        <w:numPr>
          <w:ilvl w:val="1"/>
          <w:numId w:val="146"/>
        </w:numPr>
        <w:spacing w:after="0"/>
        <w:contextualSpacing/>
        <w:jc w:val="both"/>
        <w:rPr>
          <w:rFonts w:eastAsia="Times New Roman" w:cs="Arial"/>
          <w:lang w:val="es-ES" w:eastAsia="es-ES"/>
        </w:rPr>
      </w:pPr>
      <w:r w:rsidRPr="00224ABF">
        <w:rPr>
          <w:rFonts w:eastAsia="Times New Roman" w:cs="Arial"/>
          <w:lang w:val="es-ES" w:eastAsia="es-ES"/>
        </w:rPr>
        <w:t>Porcentaje de avance real ejecutado: 62%</w:t>
      </w:r>
    </w:p>
    <w:p w14:paraId="26E22B8B" w14:textId="77777777" w:rsidR="00224ABF" w:rsidRPr="00224ABF" w:rsidRDefault="00224ABF" w:rsidP="00224ABF">
      <w:pPr>
        <w:spacing w:after="0"/>
        <w:ind w:left="1440"/>
        <w:contextualSpacing/>
        <w:jc w:val="both"/>
        <w:rPr>
          <w:rFonts w:eastAsia="Times New Roman" w:cs="Arial"/>
          <w:lang w:val="es-ES" w:eastAsia="es-ES"/>
        </w:rPr>
      </w:pPr>
    </w:p>
    <w:p w14:paraId="4DAD3BF4" w14:textId="77777777" w:rsidR="00224ABF" w:rsidRPr="00224ABF" w:rsidRDefault="00224ABF" w:rsidP="00224ABF">
      <w:pPr>
        <w:numPr>
          <w:ilvl w:val="0"/>
          <w:numId w:val="146"/>
        </w:numPr>
        <w:spacing w:after="0"/>
        <w:contextualSpacing/>
        <w:jc w:val="both"/>
        <w:rPr>
          <w:rFonts w:eastAsia="Times New Roman" w:cs="Arial"/>
          <w:b/>
          <w:lang w:val="es-ES" w:eastAsia="es-ES"/>
        </w:rPr>
      </w:pPr>
      <w:r w:rsidRPr="00224ABF">
        <w:rPr>
          <w:rFonts w:eastAsia="Times New Roman" w:cs="Arial"/>
          <w:b/>
          <w:lang w:val="es-ES" w:eastAsia="es-ES"/>
        </w:rPr>
        <w:lastRenderedPageBreak/>
        <w:t>Porcentaje de avance de Obras ponderado</w:t>
      </w:r>
    </w:p>
    <w:p w14:paraId="09E1CBEC" w14:textId="77777777" w:rsidR="00224ABF" w:rsidRPr="00224ABF" w:rsidRDefault="00224ABF" w:rsidP="00224ABF">
      <w:pPr>
        <w:numPr>
          <w:ilvl w:val="1"/>
          <w:numId w:val="146"/>
        </w:numPr>
        <w:spacing w:after="0"/>
        <w:contextualSpacing/>
        <w:jc w:val="both"/>
        <w:rPr>
          <w:rFonts w:eastAsia="Times New Roman" w:cs="Arial"/>
          <w:lang w:val="es-ES" w:eastAsia="es-ES"/>
        </w:rPr>
      </w:pPr>
      <w:r w:rsidRPr="00224ABF">
        <w:rPr>
          <w:rFonts w:eastAsia="Times New Roman" w:cs="Arial"/>
          <w:lang w:val="es-ES" w:eastAsia="es-ES"/>
        </w:rPr>
        <w:t>Porcentaje ponderado programado: 66%</w:t>
      </w:r>
    </w:p>
    <w:p w14:paraId="3658CCC4" w14:textId="77777777" w:rsidR="00224ABF" w:rsidRPr="00224ABF" w:rsidRDefault="00224ABF" w:rsidP="00224ABF">
      <w:pPr>
        <w:numPr>
          <w:ilvl w:val="1"/>
          <w:numId w:val="146"/>
        </w:numPr>
        <w:spacing w:after="0"/>
        <w:contextualSpacing/>
        <w:jc w:val="both"/>
        <w:rPr>
          <w:rFonts w:eastAsia="Times New Roman" w:cs="Arial"/>
          <w:lang w:val="es-ES" w:eastAsia="es-ES"/>
        </w:rPr>
      </w:pPr>
      <w:r w:rsidRPr="00224ABF">
        <w:rPr>
          <w:rFonts w:eastAsia="Times New Roman" w:cs="Arial"/>
          <w:lang w:val="es-ES" w:eastAsia="es-ES"/>
        </w:rPr>
        <w:t xml:space="preserve"> Porcentaje ponderado ejecutado: 65%</w:t>
      </w:r>
    </w:p>
    <w:p w14:paraId="07B43F3E" w14:textId="77777777" w:rsidR="00224ABF" w:rsidRPr="00224ABF" w:rsidRDefault="00224ABF" w:rsidP="00224ABF">
      <w:pPr>
        <w:spacing w:after="0"/>
        <w:jc w:val="both"/>
        <w:rPr>
          <w:rFonts w:eastAsia="Times New Roman" w:cs="Arial"/>
          <w:lang w:val="es-ES" w:eastAsia="es-ES"/>
        </w:rPr>
      </w:pPr>
    </w:p>
    <w:p w14:paraId="28EADE4E" w14:textId="352C7E7E" w:rsidR="00224ABF" w:rsidRPr="00224ABF" w:rsidRDefault="00224ABF" w:rsidP="00224ABF">
      <w:pPr>
        <w:spacing w:after="0"/>
        <w:jc w:val="both"/>
        <w:rPr>
          <w:rFonts w:eastAsia="Times New Roman" w:cs="Arial"/>
          <w:lang w:val="es-ES" w:eastAsia="es-ES"/>
        </w:rPr>
      </w:pPr>
      <w:r w:rsidRPr="00224ABF">
        <w:rPr>
          <w:rFonts w:eastAsia="Times New Roman" w:cs="Arial"/>
          <w:lang w:val="es-ES" w:eastAsia="es-ES"/>
        </w:rPr>
        <w:t>De otro lado, es preciso señalar que dentro de las otras actividades realizadas en el proyecto de Concesión, se encuentra la medición de la Reflectividad de toda la señalización horizontal y vertical del proyecto</w:t>
      </w:r>
      <w:r w:rsidR="008B7DA2">
        <w:rPr>
          <w:rFonts w:eastAsia="Times New Roman" w:cs="Arial"/>
          <w:lang w:val="es-ES" w:eastAsia="es-ES"/>
        </w:rPr>
        <w:t>,</w:t>
      </w:r>
      <w:r w:rsidRPr="00224ABF">
        <w:rPr>
          <w:rFonts w:eastAsia="Times New Roman" w:cs="Arial"/>
          <w:lang w:val="es-ES" w:eastAsia="es-ES"/>
        </w:rPr>
        <w:t xml:space="preserve"> presentando algunas observaciones que ya están siendo atendidas por el Concesionario, las actividades de rehabilitación y mantenimiento que está realizando el concesionario con un avance en el primer trimestre de 89,60% y la entrega de las obras correspondientes a la rehabilitación de la doble calzada exíste</w:t>
      </w:r>
      <w:r w:rsidR="009255E0">
        <w:rPr>
          <w:rFonts w:eastAsia="Times New Roman" w:cs="Arial"/>
          <w:lang w:val="es-ES" w:eastAsia="es-ES"/>
        </w:rPr>
        <w:t>n</w:t>
      </w:r>
      <w:r w:rsidRPr="00224ABF">
        <w:rPr>
          <w:rFonts w:eastAsia="Times New Roman" w:cs="Arial"/>
          <w:lang w:val="es-ES" w:eastAsia="es-ES"/>
        </w:rPr>
        <w:t xml:space="preserve">te entre la glorieta Mirolindo y la glorieta del Monumento a la música correspondiente a la Avenida Pedro Tafur, que hace parte del convenio interadministrativo No. 002 de 2006, firmado entre la Alcaldía de Ibagué y la Agencia Nacional de Infraestructura, las actividades que se desarrollaron fueron entregadas a satisfacción a la Alcaldía de Ibagué, </w:t>
      </w:r>
    </w:p>
    <w:p w14:paraId="555F1354" w14:textId="77777777" w:rsidR="00224ABF" w:rsidRPr="00224ABF" w:rsidRDefault="00224ABF" w:rsidP="00224ABF">
      <w:pPr>
        <w:spacing w:after="0"/>
        <w:jc w:val="both"/>
        <w:rPr>
          <w:rFonts w:eastAsia="Times New Roman" w:cs="Arial"/>
          <w:lang w:val="es-ES" w:eastAsia="es-ES"/>
        </w:rPr>
      </w:pPr>
    </w:p>
    <w:p w14:paraId="1ED0594E" w14:textId="77777777" w:rsidR="00224ABF" w:rsidRPr="00224ABF" w:rsidRDefault="00224ABF" w:rsidP="00224ABF">
      <w:pPr>
        <w:spacing w:after="0"/>
        <w:jc w:val="both"/>
        <w:rPr>
          <w:rFonts w:eastAsia="Times New Roman" w:cs="Arial"/>
          <w:lang w:val="es-ES" w:eastAsia="es-ES"/>
        </w:rPr>
      </w:pPr>
      <w:r w:rsidRPr="00224ABF">
        <w:rPr>
          <w:rFonts w:eastAsia="Times New Roman" w:cs="Arial"/>
          <w:lang w:val="es-ES" w:eastAsia="es-ES"/>
        </w:rPr>
        <w:t>Adicionalmente, se viene gestionando la modificación a la cláusula correspondiente al Amigable componedor.</w:t>
      </w:r>
    </w:p>
    <w:p w14:paraId="39FEB66A" w14:textId="77777777" w:rsidR="00224ABF" w:rsidRPr="00224ABF" w:rsidRDefault="00224ABF" w:rsidP="00224ABF">
      <w:pPr>
        <w:spacing w:after="0"/>
        <w:jc w:val="both"/>
        <w:rPr>
          <w:rFonts w:eastAsia="Times New Roman" w:cs="Arial"/>
          <w:lang w:val="es-ES" w:eastAsia="es-ES"/>
        </w:rPr>
      </w:pPr>
    </w:p>
    <w:p w14:paraId="7BA8D95F" w14:textId="77777777" w:rsidR="00224ABF" w:rsidRPr="00224ABF" w:rsidRDefault="00224ABF" w:rsidP="00224ABF">
      <w:pPr>
        <w:spacing w:after="0"/>
        <w:jc w:val="both"/>
        <w:rPr>
          <w:rFonts w:eastAsia="Times New Roman" w:cs="Arial"/>
          <w:lang w:val="es-ES" w:eastAsia="es-ES"/>
        </w:rPr>
      </w:pPr>
      <w:r w:rsidRPr="00224ABF">
        <w:rPr>
          <w:rFonts w:eastAsia="Times New Roman" w:cs="Arial"/>
          <w:lang w:val="es-ES" w:eastAsia="es-ES"/>
        </w:rPr>
        <w:t>Temas a definir:</w:t>
      </w:r>
    </w:p>
    <w:p w14:paraId="17A7FBB0" w14:textId="77777777" w:rsidR="00224ABF" w:rsidRPr="00224ABF" w:rsidRDefault="00224ABF" w:rsidP="00224ABF">
      <w:pPr>
        <w:spacing w:after="0"/>
        <w:jc w:val="both"/>
        <w:rPr>
          <w:rFonts w:eastAsia="Times New Roman" w:cs="Arial"/>
          <w:lang w:val="es-ES" w:eastAsia="es-ES"/>
        </w:rPr>
      </w:pPr>
    </w:p>
    <w:p w14:paraId="226F5140" w14:textId="77777777" w:rsidR="00224ABF" w:rsidRPr="00224ABF" w:rsidRDefault="00224ABF" w:rsidP="00224ABF">
      <w:pPr>
        <w:numPr>
          <w:ilvl w:val="0"/>
          <w:numId w:val="147"/>
        </w:numPr>
        <w:spacing w:after="0"/>
        <w:contextualSpacing/>
        <w:jc w:val="both"/>
        <w:rPr>
          <w:rFonts w:eastAsia="Times New Roman" w:cs="Arial"/>
          <w:lang w:val="es-ES" w:eastAsia="es-ES"/>
        </w:rPr>
      </w:pPr>
      <w:r w:rsidRPr="00224ABF">
        <w:rPr>
          <w:rFonts w:eastAsia="Times New Roman" w:cs="Arial"/>
          <w:lang w:val="es-ES" w:eastAsia="es-ES"/>
        </w:rPr>
        <w:t>Interferencia Línea férrea en el proyecto: se ha realizado algunas consultas con el INVIAS, sin embargo está pendiente realizar mesas de trabajo para definir las actividades a realizar teniendo en cuenta las interferencias ya realizadas en varios puntos del proyecto.</w:t>
      </w:r>
    </w:p>
    <w:p w14:paraId="238CD493" w14:textId="77777777" w:rsidR="00224ABF" w:rsidRPr="00224ABF" w:rsidRDefault="00224ABF" w:rsidP="00224ABF">
      <w:pPr>
        <w:numPr>
          <w:ilvl w:val="0"/>
          <w:numId w:val="147"/>
        </w:numPr>
        <w:spacing w:after="0"/>
        <w:contextualSpacing/>
        <w:jc w:val="both"/>
        <w:rPr>
          <w:rFonts w:eastAsia="Times New Roman" w:cs="Arial"/>
          <w:lang w:val="es-ES" w:eastAsia="es-ES"/>
        </w:rPr>
      </w:pPr>
      <w:r w:rsidRPr="00224ABF">
        <w:rPr>
          <w:rFonts w:eastAsia="Times New Roman" w:cs="Arial"/>
          <w:lang w:val="es-ES" w:eastAsia="es-ES"/>
        </w:rPr>
        <w:t xml:space="preserve">Predios remanentes </w:t>
      </w:r>
    </w:p>
    <w:p w14:paraId="6CC3DA73" w14:textId="77777777" w:rsidR="00224ABF" w:rsidRPr="00224ABF" w:rsidRDefault="00224ABF" w:rsidP="00224ABF">
      <w:pPr>
        <w:numPr>
          <w:ilvl w:val="0"/>
          <w:numId w:val="147"/>
        </w:numPr>
        <w:spacing w:after="0"/>
        <w:contextualSpacing/>
        <w:jc w:val="both"/>
        <w:rPr>
          <w:rFonts w:eastAsia="Times New Roman" w:cs="Arial"/>
          <w:lang w:val="es-ES" w:eastAsia="es-ES"/>
        </w:rPr>
      </w:pPr>
      <w:r w:rsidRPr="00224ABF">
        <w:rPr>
          <w:rFonts w:eastAsia="Times New Roman" w:cs="Arial"/>
          <w:lang w:val="es-ES" w:eastAsia="es-ES"/>
        </w:rPr>
        <w:t xml:space="preserve">Compensación forestal </w:t>
      </w:r>
    </w:p>
    <w:p w14:paraId="30A05FD2" w14:textId="77777777" w:rsidR="00224ABF" w:rsidRPr="00224ABF" w:rsidRDefault="00224ABF" w:rsidP="00224ABF">
      <w:pPr>
        <w:numPr>
          <w:ilvl w:val="0"/>
          <w:numId w:val="147"/>
        </w:numPr>
        <w:spacing w:after="0"/>
        <w:contextualSpacing/>
        <w:jc w:val="both"/>
        <w:rPr>
          <w:rFonts w:eastAsia="Times New Roman" w:cs="Arial"/>
          <w:lang w:val="es-ES" w:eastAsia="es-ES"/>
        </w:rPr>
      </w:pPr>
      <w:r w:rsidRPr="00224ABF">
        <w:rPr>
          <w:rFonts w:eastAsia="Times New Roman" w:cs="Arial"/>
          <w:lang w:val="es-ES" w:eastAsia="es-ES"/>
        </w:rPr>
        <w:t>Regularización de la instalación del CCO en el área de servicio de Gualanday.</w:t>
      </w:r>
    </w:p>
    <w:p w14:paraId="1388C073" w14:textId="77777777" w:rsidR="00224ABF" w:rsidRPr="00224ABF" w:rsidRDefault="00224ABF" w:rsidP="00224ABF">
      <w:pPr>
        <w:jc w:val="both"/>
        <w:rPr>
          <w:rFonts w:cs="Arial"/>
          <w:lang w:val="es-MX"/>
        </w:rPr>
      </w:pPr>
    </w:p>
    <w:p w14:paraId="765216F5" w14:textId="77777777" w:rsidR="00224ABF" w:rsidRPr="00224ABF" w:rsidRDefault="00224ABF" w:rsidP="00224ABF">
      <w:pPr>
        <w:jc w:val="both"/>
        <w:rPr>
          <w:rFonts w:cs="Arial"/>
          <w:b/>
          <w:lang w:val="es-MX"/>
        </w:rPr>
      </w:pPr>
      <w:r w:rsidRPr="00224ABF">
        <w:rPr>
          <w:rFonts w:eastAsia="Times New Roman" w:cs="Arial"/>
          <w:b/>
          <w:lang w:val="es-ES"/>
        </w:rPr>
        <w:t xml:space="preserve">13.  INFORME DE GESTIÓN  PROYECTO FONTIBÓN – FACATATIVA – LOS ALPES </w:t>
      </w:r>
    </w:p>
    <w:p w14:paraId="4647B548" w14:textId="77777777" w:rsidR="00224ABF" w:rsidRPr="00224ABF" w:rsidRDefault="00224ABF" w:rsidP="00224ABF">
      <w:pPr>
        <w:pStyle w:val="Prrafodelista"/>
        <w:numPr>
          <w:ilvl w:val="0"/>
          <w:numId w:val="138"/>
        </w:numPr>
        <w:spacing w:after="0"/>
        <w:ind w:left="405"/>
        <w:contextualSpacing w:val="0"/>
        <w:jc w:val="both"/>
        <w:rPr>
          <w:rFonts w:cs="Arial"/>
          <w:b/>
          <w:lang w:val="es-MX"/>
        </w:rPr>
      </w:pPr>
      <w:r w:rsidRPr="00224ABF">
        <w:rPr>
          <w:rFonts w:cs="Arial"/>
          <w:b/>
        </w:rPr>
        <w:t xml:space="preserve">Actividades / Hechos sobresalientes </w:t>
      </w:r>
    </w:p>
    <w:p w14:paraId="4802722F" w14:textId="77777777" w:rsidR="00224ABF" w:rsidRPr="00224ABF" w:rsidRDefault="00224ABF" w:rsidP="00224ABF">
      <w:pPr>
        <w:spacing w:after="0"/>
        <w:contextualSpacing/>
        <w:jc w:val="both"/>
        <w:rPr>
          <w:rFonts w:cs="Arial"/>
          <w:lang w:val="es-MX"/>
        </w:rPr>
      </w:pPr>
    </w:p>
    <w:p w14:paraId="20E3458D" w14:textId="77777777" w:rsidR="00224ABF" w:rsidRPr="00224ABF" w:rsidRDefault="00224ABF" w:rsidP="00224ABF">
      <w:pPr>
        <w:spacing w:after="0"/>
        <w:contextualSpacing/>
        <w:jc w:val="both"/>
        <w:rPr>
          <w:rFonts w:cs="Arial"/>
        </w:rPr>
      </w:pPr>
      <w:r w:rsidRPr="00224ABF">
        <w:rPr>
          <w:rFonts w:cs="Arial"/>
          <w:u w:val="single"/>
        </w:rPr>
        <w:t>FEBRERO 2 DE 2014 -</w:t>
      </w:r>
      <w:r w:rsidRPr="00224ABF">
        <w:rPr>
          <w:rFonts w:cs="Arial"/>
        </w:rPr>
        <w:t xml:space="preserve"> Asistencia a la sesión informativa al Concejo Municipal de Funza y habitantes del municipio acerca de la intersección Tres Esquinas. </w:t>
      </w:r>
    </w:p>
    <w:p w14:paraId="49EFE8D8" w14:textId="77777777" w:rsidR="00224ABF" w:rsidRPr="00224ABF" w:rsidRDefault="00224ABF" w:rsidP="00224ABF">
      <w:pPr>
        <w:spacing w:after="0"/>
        <w:contextualSpacing/>
        <w:jc w:val="both"/>
        <w:rPr>
          <w:rFonts w:cs="Arial"/>
        </w:rPr>
      </w:pPr>
    </w:p>
    <w:p w14:paraId="13C49045" w14:textId="77777777" w:rsidR="00224ABF" w:rsidRPr="00224ABF" w:rsidRDefault="00224ABF" w:rsidP="00224ABF">
      <w:pPr>
        <w:spacing w:after="0"/>
        <w:contextualSpacing/>
        <w:jc w:val="both"/>
        <w:rPr>
          <w:rFonts w:cs="Arial"/>
        </w:rPr>
      </w:pPr>
      <w:r w:rsidRPr="00224ABF">
        <w:rPr>
          <w:rFonts w:cs="Arial"/>
          <w:u w:val="single"/>
        </w:rPr>
        <w:t>MARZO 12 DE 2014</w:t>
      </w:r>
      <w:r w:rsidRPr="00224ABF">
        <w:rPr>
          <w:rFonts w:cs="Arial"/>
        </w:rPr>
        <w:t xml:space="preserve"> - Programación y asistencia a la Mesa de Trabajo Predial (Interventoría-ANI-Concesionario) para la reactivación de Obras de Fase II. </w:t>
      </w:r>
    </w:p>
    <w:p w14:paraId="76DF6CD2" w14:textId="77777777" w:rsidR="00224ABF" w:rsidRPr="00224ABF" w:rsidRDefault="00224ABF" w:rsidP="00224ABF">
      <w:pPr>
        <w:spacing w:after="0"/>
        <w:contextualSpacing/>
        <w:jc w:val="both"/>
        <w:rPr>
          <w:rFonts w:cs="Arial"/>
        </w:rPr>
      </w:pPr>
    </w:p>
    <w:p w14:paraId="745EB89C" w14:textId="77777777" w:rsidR="00224ABF" w:rsidRPr="00224ABF" w:rsidRDefault="00224ABF" w:rsidP="00224ABF">
      <w:pPr>
        <w:spacing w:after="0"/>
        <w:contextualSpacing/>
        <w:jc w:val="both"/>
        <w:rPr>
          <w:rFonts w:cs="Arial"/>
        </w:rPr>
      </w:pPr>
      <w:r w:rsidRPr="00224ABF">
        <w:rPr>
          <w:rFonts w:cs="Arial"/>
          <w:u w:val="single"/>
        </w:rPr>
        <w:t>MARZO 28 DE 2014</w:t>
      </w:r>
      <w:r w:rsidRPr="00224ABF">
        <w:rPr>
          <w:rFonts w:cs="Arial"/>
        </w:rPr>
        <w:t xml:space="preserve"> – Se adelantó mesa financiera entre el Concesionario y el apoyo financiero de la Agencia con el fin de llegar a un acuerdo acerca del modelo financiero a incluir en el documento contractual que reactive las obras de Fase II.</w:t>
      </w:r>
    </w:p>
    <w:p w14:paraId="70DD307B" w14:textId="77777777" w:rsidR="00224ABF" w:rsidRPr="00224ABF" w:rsidRDefault="00224ABF" w:rsidP="00224ABF">
      <w:pPr>
        <w:pStyle w:val="Prrafodelista"/>
        <w:jc w:val="both"/>
        <w:rPr>
          <w:rFonts w:cs="Arial"/>
        </w:rPr>
      </w:pPr>
    </w:p>
    <w:p w14:paraId="7099C99B" w14:textId="77777777" w:rsidR="00224ABF" w:rsidRPr="00224ABF" w:rsidRDefault="00224ABF" w:rsidP="00224ABF">
      <w:pPr>
        <w:spacing w:after="0"/>
        <w:jc w:val="both"/>
        <w:rPr>
          <w:rFonts w:cs="Arial"/>
          <w:lang w:val="es-MX"/>
        </w:rPr>
      </w:pPr>
    </w:p>
    <w:p w14:paraId="56D820F0" w14:textId="77777777" w:rsidR="00224ABF" w:rsidRPr="00224ABF" w:rsidRDefault="00224ABF" w:rsidP="00224ABF">
      <w:pPr>
        <w:pStyle w:val="Prrafodelista"/>
        <w:numPr>
          <w:ilvl w:val="0"/>
          <w:numId w:val="138"/>
        </w:numPr>
        <w:spacing w:after="0"/>
        <w:ind w:left="405"/>
        <w:contextualSpacing w:val="0"/>
        <w:jc w:val="both"/>
        <w:rPr>
          <w:rFonts w:cs="Arial"/>
          <w:b/>
          <w:lang w:val="es-MX"/>
        </w:rPr>
      </w:pPr>
      <w:r w:rsidRPr="00224ABF">
        <w:rPr>
          <w:rFonts w:cs="Arial"/>
          <w:b/>
        </w:rPr>
        <w:t>Actividades pendientes por realizar</w:t>
      </w:r>
    </w:p>
    <w:p w14:paraId="3C748B1A" w14:textId="77777777" w:rsidR="00224ABF" w:rsidRPr="00224ABF" w:rsidRDefault="00224ABF" w:rsidP="00224ABF">
      <w:pPr>
        <w:pStyle w:val="Prrafodelista"/>
        <w:ind w:left="405"/>
        <w:jc w:val="both"/>
        <w:rPr>
          <w:rFonts w:cs="Arial"/>
          <w:b/>
          <w:lang w:val="es-MX"/>
        </w:rPr>
      </w:pPr>
    </w:p>
    <w:p w14:paraId="5E093E35" w14:textId="77777777" w:rsidR="00224ABF" w:rsidRPr="00224ABF" w:rsidRDefault="00224ABF" w:rsidP="00224ABF">
      <w:pPr>
        <w:pStyle w:val="Prrafodelista"/>
        <w:numPr>
          <w:ilvl w:val="0"/>
          <w:numId w:val="140"/>
        </w:numPr>
        <w:spacing w:after="0"/>
        <w:jc w:val="both"/>
        <w:rPr>
          <w:rFonts w:cs="Arial"/>
        </w:rPr>
      </w:pPr>
      <w:r w:rsidRPr="00224ABF">
        <w:rPr>
          <w:rFonts w:cs="Arial"/>
          <w:lang w:val="es-MX"/>
        </w:rPr>
        <w:t xml:space="preserve">Aprobación y entrada en vigencia </w:t>
      </w:r>
      <w:r w:rsidRPr="00224ABF">
        <w:rPr>
          <w:rFonts w:cs="Arial"/>
        </w:rPr>
        <w:t>de la resolución por la cual se establece la Categoría Uno (1) y Categoría Dos (II) Especial para algunos vehículos particulares y oficiales, buses y microbuses por parte de la Ministra de Transporte.</w:t>
      </w:r>
    </w:p>
    <w:p w14:paraId="23A46853" w14:textId="77777777" w:rsidR="00224ABF" w:rsidRPr="00224ABF" w:rsidRDefault="00224ABF" w:rsidP="00224ABF">
      <w:pPr>
        <w:pStyle w:val="Prrafodelista"/>
        <w:numPr>
          <w:ilvl w:val="0"/>
          <w:numId w:val="140"/>
        </w:numPr>
        <w:spacing w:after="0"/>
        <w:jc w:val="both"/>
        <w:rPr>
          <w:rFonts w:cs="Arial"/>
          <w:u w:val="single"/>
          <w:lang w:val="es-MX"/>
        </w:rPr>
      </w:pPr>
      <w:r w:rsidRPr="00224ABF">
        <w:rPr>
          <w:rFonts w:cs="Arial"/>
        </w:rPr>
        <w:t>Firma del Otrosí que reactivará obras de Fase II para el proyecto de Concesión.</w:t>
      </w:r>
    </w:p>
    <w:p w14:paraId="7542EF4C" w14:textId="77777777" w:rsidR="00224ABF" w:rsidRPr="00224ABF" w:rsidRDefault="00224ABF" w:rsidP="00224ABF">
      <w:pPr>
        <w:pStyle w:val="Prrafodelista"/>
        <w:numPr>
          <w:ilvl w:val="0"/>
          <w:numId w:val="140"/>
        </w:numPr>
        <w:spacing w:after="0"/>
        <w:jc w:val="both"/>
        <w:rPr>
          <w:rFonts w:cs="Arial"/>
          <w:lang w:val="es-MX"/>
        </w:rPr>
      </w:pPr>
      <w:r w:rsidRPr="00224ABF">
        <w:rPr>
          <w:rFonts w:cs="Arial"/>
        </w:rPr>
        <w:t xml:space="preserve">Entrega de Boxcoulvert para operación y mantenimiento o al Municipio o a los propietarios. </w:t>
      </w:r>
    </w:p>
    <w:p w14:paraId="23E32AD3" w14:textId="77777777" w:rsidR="00224ABF" w:rsidRPr="00224ABF" w:rsidRDefault="00224ABF" w:rsidP="00224ABF">
      <w:pPr>
        <w:spacing w:after="0"/>
        <w:jc w:val="both"/>
        <w:rPr>
          <w:rFonts w:cs="Arial"/>
        </w:rPr>
      </w:pPr>
    </w:p>
    <w:p w14:paraId="5CEEB000" w14:textId="77777777" w:rsidR="00224ABF" w:rsidRPr="00224ABF" w:rsidRDefault="00224ABF" w:rsidP="00224ABF">
      <w:pPr>
        <w:spacing w:after="0"/>
        <w:jc w:val="both"/>
        <w:rPr>
          <w:rFonts w:cs="Arial"/>
          <w:lang w:val="es-MX"/>
        </w:rPr>
      </w:pPr>
    </w:p>
    <w:p w14:paraId="4BE2D78D" w14:textId="77777777" w:rsidR="00224ABF" w:rsidRPr="00224ABF" w:rsidRDefault="00224ABF" w:rsidP="00224ABF">
      <w:pPr>
        <w:spacing w:after="0"/>
        <w:jc w:val="both"/>
        <w:rPr>
          <w:rFonts w:cs="Arial"/>
          <w:lang w:val="es-MX"/>
        </w:rPr>
      </w:pPr>
    </w:p>
    <w:p w14:paraId="5874171C" w14:textId="77777777" w:rsidR="00224ABF" w:rsidRPr="00224ABF" w:rsidRDefault="00224ABF" w:rsidP="00224ABF">
      <w:pPr>
        <w:jc w:val="center"/>
        <w:rPr>
          <w:rFonts w:cs="Arial"/>
          <w:b/>
        </w:rPr>
      </w:pPr>
      <w:r w:rsidRPr="00224ABF">
        <w:rPr>
          <w:rFonts w:cs="Arial"/>
          <w:b/>
        </w:rPr>
        <w:t>INFORME DE GESTIÓN</w:t>
      </w:r>
    </w:p>
    <w:p w14:paraId="78A773AC" w14:textId="77777777" w:rsidR="00224ABF" w:rsidRPr="00224ABF" w:rsidRDefault="00224ABF" w:rsidP="00224ABF">
      <w:pPr>
        <w:jc w:val="center"/>
        <w:rPr>
          <w:rFonts w:cs="Arial"/>
          <w:b/>
        </w:rPr>
      </w:pPr>
      <w:r w:rsidRPr="00224ABF">
        <w:rPr>
          <w:rFonts w:cs="Arial"/>
          <w:b/>
        </w:rPr>
        <w:t>GERENCIA DE PROYECTOS CARRETERO 3</w:t>
      </w:r>
    </w:p>
    <w:p w14:paraId="4B0D79E8" w14:textId="77777777" w:rsidR="00224ABF" w:rsidRPr="00224ABF" w:rsidRDefault="00224ABF" w:rsidP="00224ABF">
      <w:pPr>
        <w:jc w:val="both"/>
        <w:rPr>
          <w:rFonts w:cs="Arial"/>
        </w:rPr>
      </w:pPr>
    </w:p>
    <w:p w14:paraId="5F0A8CD3" w14:textId="77777777" w:rsidR="00224ABF" w:rsidRPr="00224ABF" w:rsidRDefault="00224ABF" w:rsidP="00224ABF">
      <w:pPr>
        <w:jc w:val="both"/>
        <w:rPr>
          <w:rFonts w:cs="Arial"/>
          <w:b/>
          <w:lang w:val="es-MX"/>
        </w:rPr>
      </w:pPr>
      <w:r w:rsidRPr="00224ABF">
        <w:rPr>
          <w:rFonts w:eastAsia="Times New Roman" w:cs="Arial"/>
          <w:b/>
          <w:lang w:val="es-ES"/>
        </w:rPr>
        <w:t xml:space="preserve">14.  INFORME DE GESTIÓN  PROYECTO MALLA VIAL DEL META </w:t>
      </w:r>
    </w:p>
    <w:p w14:paraId="32C968CC" w14:textId="77777777" w:rsidR="00224ABF" w:rsidRPr="00224ABF" w:rsidRDefault="00224ABF" w:rsidP="00224ABF">
      <w:pPr>
        <w:suppressAutoHyphens/>
        <w:jc w:val="both"/>
        <w:rPr>
          <w:rFonts w:cs="Arial"/>
        </w:rPr>
      </w:pPr>
      <w:r w:rsidRPr="00224ABF">
        <w:rPr>
          <w:rFonts w:cs="Arial"/>
          <w:b/>
          <w:color w:val="000000"/>
        </w:rPr>
        <w:t>Informe de Avance</w:t>
      </w:r>
      <w:r w:rsidRPr="00224ABF">
        <w:rPr>
          <w:rFonts w:cs="Arial"/>
        </w:rPr>
        <w:t xml:space="preserve"> </w:t>
      </w:r>
    </w:p>
    <w:p w14:paraId="73C63465" w14:textId="77777777" w:rsidR="00224ABF" w:rsidRPr="00224ABF" w:rsidRDefault="00224ABF" w:rsidP="00224ABF">
      <w:pPr>
        <w:suppressAutoHyphens/>
        <w:jc w:val="both"/>
        <w:rPr>
          <w:rFonts w:cs="Arial"/>
        </w:rPr>
      </w:pPr>
      <w:r w:rsidRPr="00224ABF">
        <w:rPr>
          <w:rFonts w:cs="Arial"/>
        </w:rPr>
        <w:t>Actualmente, el contrato de concesión Malla Vial del Meta se encuentra en su totalidad en la etapa de Operación y Mantenimiento y en proceso de Reversión.</w:t>
      </w:r>
    </w:p>
    <w:p w14:paraId="15D5022D" w14:textId="77777777" w:rsidR="00224ABF" w:rsidRPr="00224ABF" w:rsidRDefault="00224ABF" w:rsidP="00224ABF">
      <w:pPr>
        <w:jc w:val="both"/>
        <w:rPr>
          <w:rFonts w:cs="Arial"/>
          <w:color w:val="000000"/>
        </w:rPr>
      </w:pPr>
      <w:r w:rsidRPr="00224ABF">
        <w:rPr>
          <w:rFonts w:cs="Arial"/>
          <w:color w:val="000000"/>
        </w:rPr>
        <w:t>En el primer trimestre del año, en la concesión se han realizado labores de operación a los peajes y mantenimiento a la malla vial.</w:t>
      </w:r>
    </w:p>
    <w:p w14:paraId="3AB4F890" w14:textId="77777777" w:rsidR="00224ABF" w:rsidRPr="00224ABF" w:rsidRDefault="00224ABF" w:rsidP="00224ABF">
      <w:pPr>
        <w:jc w:val="both"/>
        <w:rPr>
          <w:rFonts w:cs="Arial"/>
          <w:color w:val="000000"/>
        </w:rPr>
      </w:pPr>
      <w:r w:rsidRPr="00224ABF">
        <w:rPr>
          <w:rFonts w:cs="Arial"/>
          <w:color w:val="000000"/>
        </w:rPr>
        <w:t>A través de lo concertado en el otrosí No.9, con los recursos recaudados en las estaciones de peaje del proyecto se ha reducido lo condenado a pagar en el laudo del tribunal y las deudas adquiridas durante el desarrollo del proyecto.</w:t>
      </w:r>
    </w:p>
    <w:p w14:paraId="4BB0894C" w14:textId="77777777" w:rsidR="00224ABF" w:rsidRPr="00224ABF" w:rsidRDefault="00224ABF" w:rsidP="00224ABF">
      <w:pPr>
        <w:jc w:val="both"/>
        <w:rPr>
          <w:rFonts w:cs="Arial"/>
          <w:b/>
          <w:color w:val="000000"/>
        </w:rPr>
      </w:pPr>
      <w:r w:rsidRPr="00224ABF">
        <w:rPr>
          <w:rFonts w:cs="Arial"/>
          <w:b/>
          <w:color w:val="000000"/>
        </w:rPr>
        <w:t xml:space="preserve">Problemas </w:t>
      </w:r>
    </w:p>
    <w:p w14:paraId="4E901268" w14:textId="77777777" w:rsidR="00224ABF" w:rsidRPr="00224ABF" w:rsidRDefault="00224ABF" w:rsidP="00224ABF">
      <w:pPr>
        <w:jc w:val="both"/>
        <w:rPr>
          <w:rFonts w:cs="Arial"/>
          <w:color w:val="000000"/>
        </w:rPr>
      </w:pPr>
      <w:r w:rsidRPr="00224ABF">
        <w:rPr>
          <w:rFonts w:cs="Arial"/>
          <w:color w:val="000000"/>
        </w:rPr>
        <w:t xml:space="preserve">Entre las dificultades presentadas a pesar de las medidas adoptadas por el concesionario, se continúa con el represamiento de vehículos durante el paso del peaje y pesaje La Libertad. </w:t>
      </w:r>
    </w:p>
    <w:p w14:paraId="081F0BE8" w14:textId="77777777" w:rsidR="00224ABF" w:rsidRPr="00224ABF" w:rsidRDefault="00224ABF" w:rsidP="00224ABF">
      <w:pPr>
        <w:jc w:val="both"/>
        <w:rPr>
          <w:rFonts w:cs="Arial"/>
          <w:color w:val="000000"/>
        </w:rPr>
      </w:pPr>
      <w:r w:rsidRPr="00224ABF">
        <w:rPr>
          <w:rFonts w:cs="Arial"/>
          <w:color w:val="000000"/>
        </w:rPr>
        <w:t>Persisten las quejas de la comunidad por el alto costo del peaje Ocoa ubicado en cercanías al municipio de Acacias.</w:t>
      </w:r>
    </w:p>
    <w:p w14:paraId="082EDB0A" w14:textId="77777777" w:rsidR="00224ABF" w:rsidRPr="00224ABF" w:rsidRDefault="00224ABF" w:rsidP="00224ABF">
      <w:pPr>
        <w:suppressAutoHyphens/>
        <w:spacing w:after="0"/>
        <w:jc w:val="both"/>
        <w:rPr>
          <w:rFonts w:eastAsia="Times New Roman" w:cs="Arial"/>
          <w:lang w:eastAsia="ar-SA"/>
        </w:rPr>
      </w:pPr>
    </w:p>
    <w:p w14:paraId="0895C52F" w14:textId="77777777" w:rsidR="00224ABF" w:rsidRPr="00224ABF" w:rsidRDefault="00224ABF" w:rsidP="00224ABF">
      <w:pPr>
        <w:jc w:val="both"/>
        <w:rPr>
          <w:rFonts w:cs="Arial"/>
          <w:b/>
          <w:lang w:val="es-MX"/>
        </w:rPr>
      </w:pPr>
      <w:r w:rsidRPr="00224ABF">
        <w:rPr>
          <w:rFonts w:eastAsia="Times New Roman" w:cs="Arial"/>
          <w:b/>
          <w:lang w:val="es-ES"/>
        </w:rPr>
        <w:t xml:space="preserve">15.  INFORME DE GESTIÓN  PROYECTO NEIVA ESPINAL GIRARDOT </w:t>
      </w:r>
    </w:p>
    <w:p w14:paraId="74BA588A" w14:textId="7FBC3A25" w:rsidR="00224ABF" w:rsidRPr="00224ABF" w:rsidRDefault="009D4D5F" w:rsidP="009D4D5F">
      <w:pPr>
        <w:rPr>
          <w:lang w:val="es-ES"/>
        </w:rPr>
      </w:pPr>
      <w:bookmarkStart w:id="72" w:name="_Toc346013794"/>
      <w:bookmarkStart w:id="73" w:name="_Toc346013788"/>
      <w:r>
        <w:rPr>
          <w:rStyle w:val="nfasisintenso10"/>
          <w:rFonts w:cs="Arial"/>
          <w:color w:val="auto"/>
          <w:lang w:val="es-ES"/>
        </w:rPr>
        <w:t xml:space="preserve">1. </w:t>
      </w:r>
      <w:r w:rsidR="00224ABF" w:rsidRPr="00224ABF">
        <w:rPr>
          <w:rStyle w:val="nfasisintenso10"/>
          <w:rFonts w:cs="Arial"/>
          <w:color w:val="auto"/>
          <w:lang w:val="es-ES"/>
        </w:rPr>
        <w:t>ESTADO ACTUAL DEL PROYECTO</w:t>
      </w:r>
      <w:bookmarkEnd w:id="72"/>
    </w:p>
    <w:p w14:paraId="2BE39661" w14:textId="77777777" w:rsidR="00224ABF" w:rsidRPr="00224ABF" w:rsidRDefault="00224ABF" w:rsidP="00224ABF">
      <w:pPr>
        <w:jc w:val="both"/>
        <w:rPr>
          <w:rFonts w:cs="Arial"/>
        </w:rPr>
      </w:pPr>
      <w:r w:rsidRPr="00224ABF">
        <w:rPr>
          <w:rFonts w:cs="Arial"/>
        </w:rPr>
        <w:t>Actualmente se ejecutan las obras relacionadas con la construcción de las variantes de Guamo y Espinal.</w:t>
      </w:r>
    </w:p>
    <w:p w14:paraId="550CBE9C" w14:textId="77777777" w:rsidR="00224ABF" w:rsidRPr="00224ABF" w:rsidRDefault="00224ABF" w:rsidP="00224ABF">
      <w:pPr>
        <w:numPr>
          <w:ilvl w:val="1"/>
          <w:numId w:val="165"/>
        </w:numPr>
        <w:spacing w:after="0"/>
        <w:ind w:left="426"/>
        <w:jc w:val="both"/>
        <w:rPr>
          <w:rFonts w:cs="Arial"/>
          <w:b/>
        </w:rPr>
      </w:pPr>
      <w:r w:rsidRPr="00224ABF">
        <w:rPr>
          <w:rFonts w:cs="Arial"/>
          <w:b/>
        </w:rPr>
        <w:lastRenderedPageBreak/>
        <w:t xml:space="preserve">VARIANTE GUAMO </w:t>
      </w:r>
    </w:p>
    <w:p w14:paraId="64F9496D" w14:textId="77777777" w:rsidR="00224ABF" w:rsidRPr="00224ABF" w:rsidRDefault="00224ABF" w:rsidP="00224ABF">
      <w:pPr>
        <w:jc w:val="both"/>
        <w:rPr>
          <w:rFonts w:cs="Arial"/>
        </w:rPr>
      </w:pPr>
      <w:r w:rsidRPr="00224ABF">
        <w:rPr>
          <w:rFonts w:cs="Arial"/>
        </w:rPr>
        <w:t>Avance: 94%</w:t>
      </w:r>
    </w:p>
    <w:p w14:paraId="4A82C3DF" w14:textId="77777777" w:rsidR="00224ABF" w:rsidRPr="00224ABF" w:rsidRDefault="00224ABF" w:rsidP="00224ABF">
      <w:pPr>
        <w:jc w:val="both"/>
        <w:rPr>
          <w:rFonts w:cs="Arial"/>
          <w:b/>
          <w:u w:val="single"/>
        </w:rPr>
      </w:pPr>
      <w:r w:rsidRPr="00224ABF">
        <w:rPr>
          <w:rFonts w:cs="Arial"/>
          <w:b/>
        </w:rPr>
        <w:t>Actividades ejecutadas:</w:t>
      </w:r>
    </w:p>
    <w:p w14:paraId="15A123B9" w14:textId="77777777" w:rsidR="00224ABF" w:rsidRPr="00224ABF" w:rsidRDefault="00224ABF" w:rsidP="00224ABF">
      <w:pPr>
        <w:numPr>
          <w:ilvl w:val="0"/>
          <w:numId w:val="166"/>
        </w:numPr>
        <w:spacing w:before="240" w:after="0"/>
        <w:jc w:val="both"/>
        <w:rPr>
          <w:rFonts w:cs="Arial"/>
        </w:rPr>
      </w:pPr>
      <w:r w:rsidRPr="00224ABF">
        <w:rPr>
          <w:rFonts w:cs="Arial"/>
        </w:rPr>
        <w:t>Colocación de base y sub-base para conformación de terraplenes a lo largo de la variante.</w:t>
      </w:r>
    </w:p>
    <w:p w14:paraId="61E41E49" w14:textId="77777777" w:rsidR="00224ABF" w:rsidRPr="00224ABF" w:rsidRDefault="00224ABF" w:rsidP="00224ABF">
      <w:pPr>
        <w:numPr>
          <w:ilvl w:val="0"/>
          <w:numId w:val="166"/>
        </w:numPr>
        <w:spacing w:before="240" w:after="0"/>
        <w:jc w:val="both"/>
        <w:rPr>
          <w:rFonts w:cs="Arial"/>
        </w:rPr>
      </w:pPr>
      <w:r w:rsidRPr="00224ABF">
        <w:rPr>
          <w:rFonts w:cs="Arial"/>
        </w:rPr>
        <w:t>La totalidad de la variante se encuentra imprimada y lista para la colocación de la capa de concreto asfaltico y su respectiva señalización horizontal y vertical definitiva.</w:t>
      </w:r>
    </w:p>
    <w:p w14:paraId="076ACB90" w14:textId="77777777" w:rsidR="00224ABF" w:rsidRPr="00224ABF" w:rsidRDefault="00224ABF" w:rsidP="00224ABF">
      <w:pPr>
        <w:numPr>
          <w:ilvl w:val="0"/>
          <w:numId w:val="166"/>
        </w:numPr>
        <w:spacing w:before="240" w:after="0"/>
        <w:jc w:val="both"/>
        <w:rPr>
          <w:rFonts w:cs="Arial"/>
        </w:rPr>
      </w:pPr>
      <w:r w:rsidRPr="00224ABF">
        <w:rPr>
          <w:rFonts w:cs="Arial"/>
        </w:rPr>
        <w:t>Se construyó adicionalmente el retorno de la Variante del Guamo en el K0+280 costado izquierdo (imprimado a la fecha) en una longitud de 53 m y un ancho de 6.0 m.</w:t>
      </w:r>
    </w:p>
    <w:p w14:paraId="270FFC26" w14:textId="77777777" w:rsidR="00224ABF" w:rsidRPr="00224ABF" w:rsidRDefault="00224ABF" w:rsidP="00224ABF">
      <w:pPr>
        <w:numPr>
          <w:ilvl w:val="0"/>
          <w:numId w:val="166"/>
        </w:numPr>
        <w:spacing w:before="240" w:after="0"/>
        <w:jc w:val="both"/>
        <w:rPr>
          <w:rFonts w:cs="Arial"/>
        </w:rPr>
      </w:pPr>
      <w:r w:rsidRPr="00224ABF">
        <w:rPr>
          <w:rFonts w:cs="Arial"/>
        </w:rPr>
        <w:t>A la fecha de corte de este informe se ha realizado empradización entre el K4+600 y K5+700 en un área de 8.700 m</w:t>
      </w:r>
      <w:r w:rsidRPr="00224ABF">
        <w:rPr>
          <w:rFonts w:cs="Arial"/>
          <w:vertAlign w:val="superscript"/>
        </w:rPr>
        <w:t>2</w:t>
      </w:r>
      <w:r w:rsidRPr="00224ABF">
        <w:rPr>
          <w:rFonts w:cs="Arial"/>
        </w:rPr>
        <w:t>; adicionalmente se ha terminado la construcción de  los  cinco (5)  puentes a construir y se han construido todas las obras de arte.</w:t>
      </w:r>
    </w:p>
    <w:p w14:paraId="2B49176C" w14:textId="77777777" w:rsidR="00224ABF" w:rsidRPr="00224ABF" w:rsidRDefault="00224ABF" w:rsidP="00224ABF">
      <w:pPr>
        <w:jc w:val="both"/>
        <w:rPr>
          <w:rFonts w:cs="Arial"/>
          <w:b/>
          <w:u w:val="single"/>
        </w:rPr>
      </w:pPr>
    </w:p>
    <w:p w14:paraId="2E144701" w14:textId="77777777" w:rsidR="00224ABF" w:rsidRPr="00224ABF" w:rsidRDefault="00224ABF" w:rsidP="00224ABF">
      <w:pPr>
        <w:numPr>
          <w:ilvl w:val="1"/>
          <w:numId w:val="165"/>
        </w:numPr>
        <w:spacing w:after="0"/>
        <w:ind w:left="426"/>
        <w:jc w:val="both"/>
        <w:rPr>
          <w:rFonts w:cs="Arial"/>
          <w:b/>
        </w:rPr>
      </w:pPr>
      <w:r w:rsidRPr="00224ABF">
        <w:rPr>
          <w:rFonts w:cs="Arial"/>
          <w:b/>
        </w:rPr>
        <w:t xml:space="preserve">VARIANTE ESPINAL </w:t>
      </w:r>
    </w:p>
    <w:p w14:paraId="5AF4B0C0" w14:textId="77777777" w:rsidR="00224ABF" w:rsidRPr="00224ABF" w:rsidRDefault="00224ABF" w:rsidP="00224ABF">
      <w:pPr>
        <w:jc w:val="both"/>
        <w:rPr>
          <w:rFonts w:cs="Arial"/>
        </w:rPr>
      </w:pPr>
      <w:r w:rsidRPr="00224ABF">
        <w:rPr>
          <w:rFonts w:cs="Arial"/>
        </w:rPr>
        <w:t>Avance: 45%</w:t>
      </w:r>
    </w:p>
    <w:p w14:paraId="782DA936" w14:textId="77777777" w:rsidR="00224ABF" w:rsidRPr="00224ABF" w:rsidRDefault="00224ABF" w:rsidP="00224ABF">
      <w:pPr>
        <w:jc w:val="both"/>
        <w:rPr>
          <w:rFonts w:cs="Arial"/>
          <w:b/>
        </w:rPr>
      </w:pPr>
      <w:r w:rsidRPr="00224ABF">
        <w:rPr>
          <w:rFonts w:cs="Arial"/>
          <w:b/>
        </w:rPr>
        <w:t>Actividades ejecutadas:</w:t>
      </w:r>
    </w:p>
    <w:p w14:paraId="0AC1794D" w14:textId="77777777" w:rsidR="00224ABF" w:rsidRPr="00224ABF" w:rsidRDefault="00224ABF" w:rsidP="00224ABF">
      <w:pPr>
        <w:numPr>
          <w:ilvl w:val="0"/>
          <w:numId w:val="167"/>
        </w:numPr>
        <w:spacing w:after="0"/>
        <w:jc w:val="both"/>
        <w:rPr>
          <w:rFonts w:cs="Arial"/>
        </w:rPr>
      </w:pPr>
      <w:r w:rsidRPr="00224ABF">
        <w:rPr>
          <w:rFonts w:cs="Arial"/>
        </w:rPr>
        <w:t>Se comenzó a intervenir el sector comprendido entre el drenaje Fatol y El Tesoro, realizando obras de drenaje y riego.</w:t>
      </w:r>
    </w:p>
    <w:p w14:paraId="3B573C0A" w14:textId="77777777" w:rsidR="00224ABF" w:rsidRPr="00224ABF" w:rsidRDefault="00224ABF" w:rsidP="00224ABF">
      <w:pPr>
        <w:numPr>
          <w:ilvl w:val="0"/>
          <w:numId w:val="167"/>
        </w:numPr>
        <w:spacing w:after="0"/>
        <w:jc w:val="both"/>
        <w:rPr>
          <w:rFonts w:cs="Arial"/>
        </w:rPr>
      </w:pPr>
      <w:r w:rsidRPr="00224ABF">
        <w:rPr>
          <w:rFonts w:cs="Arial"/>
        </w:rPr>
        <w:t>Explotación transporte y colocación del material de terraplén, en el sector comprendido entre el k0+020 al k0+300 y del k 0+760 al k 1+050.</w:t>
      </w:r>
    </w:p>
    <w:p w14:paraId="1CA726E6" w14:textId="77777777" w:rsidR="00224ABF" w:rsidRPr="00224ABF" w:rsidRDefault="00224ABF" w:rsidP="00224ABF">
      <w:pPr>
        <w:numPr>
          <w:ilvl w:val="0"/>
          <w:numId w:val="167"/>
        </w:numPr>
        <w:spacing w:after="0"/>
        <w:jc w:val="both"/>
        <w:rPr>
          <w:rFonts w:cs="Arial"/>
        </w:rPr>
      </w:pPr>
      <w:r w:rsidRPr="00224ABF">
        <w:rPr>
          <w:rFonts w:cs="Arial"/>
        </w:rPr>
        <w:t>Conformación de terraplén y colocación de la capa de sub-base granular entre el k1+050 al k 2+620.</w:t>
      </w:r>
    </w:p>
    <w:p w14:paraId="538C022C" w14:textId="77777777" w:rsidR="00224ABF" w:rsidRPr="00224ABF" w:rsidRDefault="00224ABF" w:rsidP="00224ABF">
      <w:pPr>
        <w:numPr>
          <w:ilvl w:val="0"/>
          <w:numId w:val="167"/>
        </w:numPr>
        <w:spacing w:after="0"/>
        <w:jc w:val="both"/>
        <w:rPr>
          <w:rFonts w:cs="Arial"/>
        </w:rPr>
      </w:pPr>
      <w:r w:rsidRPr="00224ABF">
        <w:rPr>
          <w:rFonts w:cs="Arial"/>
        </w:rPr>
        <w:t xml:space="preserve">Las actividades básicamente se han localizado así: </w:t>
      </w:r>
    </w:p>
    <w:p w14:paraId="3D3C29CD" w14:textId="77777777" w:rsidR="00224ABF" w:rsidRPr="00224ABF" w:rsidRDefault="00224ABF" w:rsidP="00224ABF">
      <w:pPr>
        <w:numPr>
          <w:ilvl w:val="0"/>
          <w:numId w:val="167"/>
        </w:numPr>
        <w:spacing w:after="0"/>
        <w:jc w:val="both"/>
        <w:rPr>
          <w:rFonts w:cs="Arial"/>
        </w:rPr>
      </w:pPr>
      <w:r w:rsidRPr="00224ABF">
        <w:rPr>
          <w:rFonts w:cs="Arial"/>
        </w:rPr>
        <w:t>Desde k1+760 al k 2+100 solo se ha realizado la conformación de terraplén.</w:t>
      </w:r>
    </w:p>
    <w:p w14:paraId="481C72D1" w14:textId="77777777" w:rsidR="00224ABF" w:rsidRPr="00224ABF" w:rsidRDefault="00224ABF" w:rsidP="00224ABF">
      <w:pPr>
        <w:numPr>
          <w:ilvl w:val="0"/>
          <w:numId w:val="167"/>
        </w:numPr>
        <w:spacing w:after="0"/>
        <w:jc w:val="both"/>
        <w:rPr>
          <w:rFonts w:cs="Arial"/>
        </w:rPr>
      </w:pPr>
      <w:r w:rsidRPr="00224ABF">
        <w:rPr>
          <w:rFonts w:cs="Arial"/>
        </w:rPr>
        <w:t>Del k 2+640 al k 3+240 se han colocado dos capas de terraplén.</w:t>
      </w:r>
    </w:p>
    <w:p w14:paraId="066D917F" w14:textId="77777777" w:rsidR="00224ABF" w:rsidRPr="00224ABF" w:rsidRDefault="00224ABF" w:rsidP="00224ABF">
      <w:pPr>
        <w:numPr>
          <w:ilvl w:val="0"/>
          <w:numId w:val="167"/>
        </w:numPr>
        <w:spacing w:after="0"/>
        <w:jc w:val="both"/>
        <w:rPr>
          <w:rFonts w:cs="Arial"/>
        </w:rPr>
      </w:pPr>
      <w:r w:rsidRPr="00224ABF">
        <w:rPr>
          <w:rFonts w:cs="Arial"/>
        </w:rPr>
        <w:t>Del k 3+260 al k 3+390 se inició la colocación de la primera capa de terraplén;</w:t>
      </w:r>
    </w:p>
    <w:p w14:paraId="3473793F" w14:textId="40BC7313" w:rsidR="00224ABF" w:rsidRPr="00224ABF" w:rsidRDefault="00224ABF" w:rsidP="00224ABF">
      <w:pPr>
        <w:numPr>
          <w:ilvl w:val="0"/>
          <w:numId w:val="167"/>
        </w:numPr>
        <w:spacing w:after="0"/>
        <w:jc w:val="both"/>
        <w:rPr>
          <w:rFonts w:cs="Arial"/>
        </w:rPr>
      </w:pPr>
      <w:r w:rsidRPr="00224ABF">
        <w:rPr>
          <w:rFonts w:cs="Arial"/>
        </w:rPr>
        <w:t>En el k 3+</w:t>
      </w:r>
      <w:r w:rsidR="00122DC6">
        <w:rPr>
          <w:rFonts w:cs="Arial"/>
        </w:rPr>
        <w:t xml:space="preserve">390 está en construcción un Box </w:t>
      </w:r>
      <w:r w:rsidRPr="00224ABF">
        <w:rPr>
          <w:rFonts w:cs="Arial"/>
        </w:rPr>
        <w:t>culvert doble.</w:t>
      </w:r>
    </w:p>
    <w:p w14:paraId="4CFF43FF" w14:textId="77777777" w:rsidR="00224ABF" w:rsidRPr="00224ABF" w:rsidRDefault="00224ABF" w:rsidP="00224ABF">
      <w:pPr>
        <w:numPr>
          <w:ilvl w:val="0"/>
          <w:numId w:val="167"/>
        </w:numPr>
        <w:spacing w:after="0"/>
        <w:jc w:val="both"/>
        <w:rPr>
          <w:rFonts w:cs="Arial"/>
        </w:rPr>
      </w:pPr>
      <w:r w:rsidRPr="00224ABF">
        <w:rPr>
          <w:rFonts w:cs="Arial"/>
        </w:rPr>
        <w:t>Del k 3+500 al k 3+950 se ha colocado la primera capa de material de terraplén;</w:t>
      </w:r>
    </w:p>
    <w:p w14:paraId="77E06CDE" w14:textId="77777777" w:rsidR="00224ABF" w:rsidRPr="00224ABF" w:rsidRDefault="00224ABF" w:rsidP="00224ABF">
      <w:pPr>
        <w:numPr>
          <w:ilvl w:val="0"/>
          <w:numId w:val="167"/>
        </w:numPr>
        <w:spacing w:after="0"/>
        <w:jc w:val="both"/>
        <w:rPr>
          <w:rFonts w:cs="Arial"/>
        </w:rPr>
      </w:pPr>
      <w:r w:rsidRPr="00224ABF">
        <w:rPr>
          <w:rFonts w:cs="Arial"/>
        </w:rPr>
        <w:t>Hasta la fecha  se han construido 42 de 53 obras de arte diseñadas, y se han construido los tres puentes diseñados  K3+255 y K 2+620- K 1+720.</w:t>
      </w:r>
    </w:p>
    <w:p w14:paraId="77BD7BAD" w14:textId="18978535" w:rsidR="00224ABF" w:rsidRPr="00224ABF" w:rsidRDefault="00224ABF" w:rsidP="00224ABF">
      <w:pPr>
        <w:numPr>
          <w:ilvl w:val="0"/>
          <w:numId w:val="167"/>
        </w:numPr>
        <w:spacing w:before="60" w:after="0"/>
        <w:jc w:val="both"/>
        <w:rPr>
          <w:rFonts w:cs="Arial"/>
        </w:rPr>
      </w:pPr>
      <w:r w:rsidRPr="00224ABF">
        <w:rPr>
          <w:rFonts w:cs="Arial"/>
        </w:rPr>
        <w:t>Los diseños del Box</w:t>
      </w:r>
      <w:r w:rsidR="00122DC6">
        <w:rPr>
          <w:rFonts w:cs="Arial"/>
        </w:rPr>
        <w:t xml:space="preserve"> </w:t>
      </w:r>
      <w:r w:rsidRPr="00224ABF">
        <w:rPr>
          <w:rFonts w:cs="Arial"/>
        </w:rPr>
        <w:t>coulvert a construir en el K2+620 en la intersección de la variante con la vía Chicoral y el diseño de la intersección de entrada a la variante ya cuentan con el aval de la Interventoría y se enviarán a la ANLA para la actualización de la licencia ambiental correspondiente. Una vez se cuente con la aprobación por parte de la ANLA se comenzará la construcción.</w:t>
      </w:r>
    </w:p>
    <w:p w14:paraId="3B3EA5F1" w14:textId="77777777" w:rsidR="00224ABF" w:rsidRPr="00224ABF" w:rsidRDefault="00224ABF" w:rsidP="00224ABF">
      <w:pPr>
        <w:jc w:val="both"/>
        <w:rPr>
          <w:rFonts w:cs="Arial"/>
        </w:rPr>
      </w:pPr>
    </w:p>
    <w:p w14:paraId="6D70DF65" w14:textId="77777777" w:rsidR="00224ABF" w:rsidRPr="00224ABF" w:rsidRDefault="00224ABF" w:rsidP="00224ABF">
      <w:pPr>
        <w:jc w:val="both"/>
        <w:rPr>
          <w:rFonts w:cs="Arial"/>
          <w:b/>
        </w:rPr>
      </w:pPr>
      <w:r w:rsidRPr="00224ABF">
        <w:rPr>
          <w:rFonts w:cs="Arial"/>
          <w:b/>
        </w:rPr>
        <w:lastRenderedPageBreak/>
        <w:t>Inconvenientes Presentados:</w:t>
      </w:r>
    </w:p>
    <w:p w14:paraId="1E372585" w14:textId="77777777" w:rsidR="00224ABF" w:rsidRPr="00224ABF" w:rsidRDefault="00224ABF" w:rsidP="00224ABF">
      <w:pPr>
        <w:numPr>
          <w:ilvl w:val="0"/>
          <w:numId w:val="133"/>
        </w:numPr>
        <w:spacing w:after="0"/>
        <w:jc w:val="both"/>
        <w:rPr>
          <w:rFonts w:cs="Arial"/>
        </w:rPr>
      </w:pPr>
      <w:r w:rsidRPr="00224ABF">
        <w:rPr>
          <w:rFonts w:cs="Arial"/>
        </w:rPr>
        <w:t>En la variante de Espinal aún no se cuentan con los predios requeridos del Barrio La Nacional, pese a que éste es un predio público se encuentra invadido desde hace más de 20 años y obstaculizan la construcción de la variante desde el K0+000 al K0+020.</w:t>
      </w:r>
    </w:p>
    <w:p w14:paraId="44A734A9" w14:textId="77777777" w:rsidR="00224ABF" w:rsidRPr="00224ABF" w:rsidRDefault="00224ABF" w:rsidP="00224ABF">
      <w:pPr>
        <w:spacing w:after="0"/>
        <w:ind w:left="720"/>
        <w:jc w:val="both"/>
        <w:rPr>
          <w:rFonts w:cs="Arial"/>
        </w:rPr>
      </w:pPr>
    </w:p>
    <w:p w14:paraId="5D9C0CF6" w14:textId="77777777" w:rsidR="00224ABF" w:rsidRPr="00224ABF" w:rsidRDefault="00224ABF" w:rsidP="00224ABF">
      <w:pPr>
        <w:jc w:val="both"/>
        <w:rPr>
          <w:rFonts w:cs="Arial"/>
          <w:b/>
        </w:rPr>
      </w:pPr>
      <w:r w:rsidRPr="00224ABF">
        <w:rPr>
          <w:rFonts w:cs="Arial"/>
          <w:b/>
        </w:rPr>
        <w:t xml:space="preserve">Alternativas de Solución: </w:t>
      </w:r>
    </w:p>
    <w:p w14:paraId="46AA23D7" w14:textId="77777777" w:rsidR="00224ABF" w:rsidRPr="00224ABF" w:rsidRDefault="00224ABF" w:rsidP="00224ABF">
      <w:pPr>
        <w:numPr>
          <w:ilvl w:val="0"/>
          <w:numId w:val="133"/>
        </w:numPr>
        <w:spacing w:before="60" w:after="0"/>
        <w:jc w:val="both"/>
        <w:rPr>
          <w:rFonts w:cs="Arial"/>
        </w:rPr>
      </w:pPr>
      <w:r w:rsidRPr="00224ABF">
        <w:rPr>
          <w:rFonts w:cs="Arial"/>
        </w:rPr>
        <w:t>El 10 de febrero de envió derecho de petición a la Alcaldía de Espinal, el cual no ha sido contestado a la fecha, en conversaciones con el Secretario de gobierno informó que se están adelantando las acciones pertinentes para desalojar estos predios.</w:t>
      </w:r>
    </w:p>
    <w:p w14:paraId="082DCD38" w14:textId="77777777" w:rsidR="00224ABF" w:rsidRPr="00224ABF" w:rsidRDefault="00224ABF" w:rsidP="00224ABF">
      <w:pPr>
        <w:pStyle w:val="Prrafodelista"/>
        <w:jc w:val="both"/>
        <w:rPr>
          <w:rFonts w:cs="Arial"/>
        </w:rPr>
      </w:pPr>
    </w:p>
    <w:p w14:paraId="60269636" w14:textId="77777777" w:rsidR="00224ABF" w:rsidRPr="00224ABF" w:rsidRDefault="00224ABF" w:rsidP="00224ABF">
      <w:pPr>
        <w:numPr>
          <w:ilvl w:val="1"/>
          <w:numId w:val="165"/>
        </w:numPr>
        <w:spacing w:after="0"/>
        <w:ind w:left="426"/>
        <w:jc w:val="both"/>
        <w:rPr>
          <w:rFonts w:cs="Arial"/>
          <w:b/>
        </w:rPr>
      </w:pPr>
      <w:r w:rsidRPr="00224ABF">
        <w:rPr>
          <w:rFonts w:cs="Arial"/>
          <w:b/>
        </w:rPr>
        <w:t>ÁREA  AMBIENTAL</w:t>
      </w:r>
    </w:p>
    <w:p w14:paraId="435D90A6" w14:textId="77777777" w:rsidR="00224ABF" w:rsidRPr="00224ABF" w:rsidRDefault="00224ABF" w:rsidP="00224ABF">
      <w:pPr>
        <w:jc w:val="both"/>
        <w:rPr>
          <w:rFonts w:cs="Arial"/>
        </w:rPr>
      </w:pPr>
      <w:r w:rsidRPr="00224ABF">
        <w:rPr>
          <w:rFonts w:cs="Arial"/>
        </w:rPr>
        <w:t>En el Otrosí firmado el 30 de enero de 2014 se incluyeron las actividades de reforestación pendientes por compensación por parte de la ANI, para que fueran ejecutadas por el Concesionario, al igual que los compromisos de los acuerdos de protocolización de la Consulta previa con las comunidades indígenas de Natagaima.</w:t>
      </w:r>
    </w:p>
    <w:p w14:paraId="778313E2" w14:textId="77777777" w:rsidR="00224ABF" w:rsidRPr="00224ABF" w:rsidRDefault="00224ABF" w:rsidP="00224ABF">
      <w:pPr>
        <w:jc w:val="both"/>
        <w:rPr>
          <w:rFonts w:cs="Arial"/>
        </w:rPr>
      </w:pPr>
      <w:r w:rsidRPr="00224ABF">
        <w:rPr>
          <w:rFonts w:cs="Arial"/>
        </w:rPr>
        <w:t>Actualmente el Concesionario se encuentra adelantando el Plan para las reforestaciones e identificando los predios donde se realizarán. Ya se encuentran identificados los predios para las reforestaciones en Guamo y Natagaima, está pendiente por definir los predios de El Espinal.</w:t>
      </w:r>
    </w:p>
    <w:p w14:paraId="7A9EAE4C" w14:textId="77777777" w:rsidR="00224ABF" w:rsidRPr="00224ABF" w:rsidRDefault="00224ABF" w:rsidP="00224ABF">
      <w:pPr>
        <w:jc w:val="both"/>
        <w:rPr>
          <w:rFonts w:cs="Arial"/>
          <w:b/>
        </w:rPr>
      </w:pPr>
    </w:p>
    <w:p w14:paraId="34919AB6" w14:textId="77777777" w:rsidR="00224ABF" w:rsidRPr="00224ABF" w:rsidRDefault="00224ABF" w:rsidP="00224ABF">
      <w:pPr>
        <w:numPr>
          <w:ilvl w:val="1"/>
          <w:numId w:val="165"/>
        </w:numPr>
        <w:spacing w:after="0"/>
        <w:ind w:left="426"/>
        <w:jc w:val="both"/>
        <w:rPr>
          <w:rFonts w:cs="Arial"/>
          <w:b/>
        </w:rPr>
      </w:pPr>
      <w:r w:rsidRPr="00224ABF">
        <w:rPr>
          <w:rFonts w:cs="Arial"/>
          <w:b/>
        </w:rPr>
        <w:t>ÁREA FINANCIERA</w:t>
      </w:r>
    </w:p>
    <w:p w14:paraId="50E910C2" w14:textId="77777777" w:rsidR="00224ABF" w:rsidRPr="00224ABF" w:rsidRDefault="00224ABF" w:rsidP="00224ABF">
      <w:pPr>
        <w:spacing w:before="240"/>
        <w:jc w:val="both"/>
        <w:rPr>
          <w:rFonts w:cs="Arial"/>
        </w:rPr>
      </w:pPr>
      <w:r w:rsidRPr="00224ABF">
        <w:rPr>
          <w:rFonts w:cs="Arial"/>
        </w:rPr>
        <w:t>Según lo establecido en el Otrosí modificatorio del 30 de enero de 2014, se ha venido haciendo seguimiento al modelo financiero para la obtención de la TIR contractual, para los meses de enero, febrero y marzo se firmaron las Actas correspondiente por parte del Concesionario, Interventoría y ANI, se recibió certificación de la Fiduciaria de los ingresos recibidos por peajes en la Concesión Neiva – Espinal – Girardot y de los fondeos realizados a la subcuenta de Interventoría.</w:t>
      </w:r>
    </w:p>
    <w:p w14:paraId="1834B7BF" w14:textId="77777777" w:rsidR="00224ABF" w:rsidRPr="00224ABF" w:rsidRDefault="00224ABF" w:rsidP="00224ABF">
      <w:pPr>
        <w:spacing w:before="240"/>
        <w:jc w:val="both"/>
        <w:rPr>
          <w:rFonts w:cs="Arial"/>
        </w:rPr>
      </w:pPr>
      <w:r w:rsidRPr="00224ABF">
        <w:rPr>
          <w:rFonts w:cs="Arial"/>
        </w:rPr>
        <w:t>Se realizó la liquidación de la deuda predial con corte a 28 de febrero de 2014 y se realizó el cruce de cuentas respectivo con los excedentes de peajes generados durante el año 2013.</w:t>
      </w:r>
    </w:p>
    <w:p w14:paraId="3979E8FD" w14:textId="77777777" w:rsidR="00224ABF" w:rsidRPr="00224ABF" w:rsidRDefault="00224ABF" w:rsidP="00224ABF">
      <w:pPr>
        <w:spacing w:before="240"/>
        <w:jc w:val="both"/>
        <w:rPr>
          <w:rFonts w:cs="Arial"/>
        </w:rPr>
      </w:pPr>
      <w:r w:rsidRPr="00224ABF">
        <w:rPr>
          <w:rFonts w:cs="Arial"/>
        </w:rPr>
        <w:t>Se fondeo la subcuenta de “Excedentes” por parte del Concesionario, el valor a fondear luego del cruce de cuentas para el pago de la deuda predial asciende a la suma de CUATROCIENTOS CINCUENTA MILLONES SEISCIENTOS TREINTA Y CUATRO MIL SETECIENTOS SETENTA Y DOS PESOS ($450.634.772) de diciembre de 2013.</w:t>
      </w:r>
    </w:p>
    <w:p w14:paraId="14EBFA25" w14:textId="77777777" w:rsidR="00224ABF" w:rsidRPr="00224ABF" w:rsidRDefault="00224ABF" w:rsidP="00224ABF">
      <w:pPr>
        <w:spacing w:before="240"/>
        <w:jc w:val="both"/>
        <w:rPr>
          <w:rFonts w:cs="Arial"/>
        </w:rPr>
      </w:pPr>
      <w:r w:rsidRPr="00224ABF">
        <w:rPr>
          <w:rFonts w:cs="Arial"/>
        </w:rPr>
        <w:t xml:space="preserve">Se canceló el saldo del cruce de cuentas del Otrosí modificatorio del 30 de enero de 2014, en cumplimiento de lo establecido en las Cláusulas 2.3 y 2.4 se solicitó a la Fiduciaria efectuar el pago con cargo al Encargo No.015-107246-052 (antes 015-14139) - Obras y costos no previstos en el </w:t>
      </w:r>
      <w:r w:rsidRPr="00224ABF">
        <w:rPr>
          <w:rFonts w:cs="Arial"/>
        </w:rPr>
        <w:lastRenderedPageBreak/>
        <w:t>contrato de concesión N°0849/95 la suma de OCHENTA Y SEIS MILLONES DOSCIENTOS SETENTA Y CINCO MIL QUINIENTOS OCHENTA Y UN PESOS MC/TE ($86.275.581)</w:t>
      </w:r>
      <w:bookmarkEnd w:id="73"/>
    </w:p>
    <w:p w14:paraId="3BE814D0" w14:textId="77777777" w:rsidR="00224ABF" w:rsidRPr="00224ABF" w:rsidRDefault="00224ABF" w:rsidP="00224ABF">
      <w:pPr>
        <w:jc w:val="both"/>
        <w:rPr>
          <w:rFonts w:cs="Arial"/>
          <w:b/>
        </w:rPr>
      </w:pPr>
    </w:p>
    <w:p w14:paraId="51735251" w14:textId="77777777" w:rsidR="00224ABF" w:rsidRPr="00224ABF" w:rsidRDefault="00224ABF" w:rsidP="00224ABF">
      <w:pPr>
        <w:jc w:val="both"/>
        <w:rPr>
          <w:rFonts w:cs="Arial"/>
          <w:b/>
          <w:lang w:val="es-MX"/>
        </w:rPr>
      </w:pPr>
      <w:r w:rsidRPr="00224ABF">
        <w:rPr>
          <w:rFonts w:eastAsia="Times New Roman" w:cs="Arial"/>
          <w:b/>
          <w:lang w:val="es-ES"/>
        </w:rPr>
        <w:t>16.  INFORME DE GESTIÓN  PROYECTO ZIPAQUIRA PALENQUE 1</w:t>
      </w:r>
    </w:p>
    <w:p w14:paraId="701E72BB" w14:textId="77777777" w:rsidR="00224ABF" w:rsidRPr="00224ABF" w:rsidRDefault="00224ABF" w:rsidP="00224ABF">
      <w:pPr>
        <w:jc w:val="both"/>
        <w:rPr>
          <w:rFonts w:cs="Arial"/>
        </w:rPr>
      </w:pPr>
      <w:r w:rsidRPr="00224ABF">
        <w:rPr>
          <w:rFonts w:cs="Arial"/>
        </w:rPr>
        <w:t xml:space="preserve">El proyecto tiene una extensión de </w:t>
      </w:r>
      <w:smartTag w:uri="urn:schemas-microsoft-com:office:smarttags" w:element="metricconverter">
        <w:smartTagPr>
          <w:attr w:name="ProductID" w:val="370 Km"/>
        </w:smartTagPr>
        <w:r w:rsidRPr="00224ABF">
          <w:rPr>
            <w:rFonts w:cs="Arial"/>
          </w:rPr>
          <w:t>370 Km</w:t>
        </w:r>
      </w:smartTag>
      <w:r w:rsidRPr="00224ABF">
        <w:rPr>
          <w:rFonts w:cs="Arial"/>
        </w:rPr>
        <w:t xml:space="preserve"> de rehabilitación entre la T de Portachuelo en Zipaquirá y el Puente Palenque en el anillo vial de Bucaramanga.</w:t>
      </w:r>
    </w:p>
    <w:p w14:paraId="5B246ABD" w14:textId="77777777" w:rsidR="00224ABF" w:rsidRPr="00224ABF" w:rsidRDefault="00224ABF" w:rsidP="00224ABF">
      <w:pPr>
        <w:jc w:val="both"/>
        <w:rPr>
          <w:rFonts w:cs="Arial"/>
        </w:rPr>
      </w:pPr>
      <w:r w:rsidRPr="00224ABF">
        <w:rPr>
          <w:rFonts w:cs="Arial"/>
        </w:rPr>
        <w:t>El proyecto beneficio a los departamentos de Cundinamarca, Boyacá y Santander y se divide en tres tramos Zipaquirá – Puente Otero (</w:t>
      </w:r>
      <w:smartTag w:uri="urn:schemas-microsoft-com:office:smarttags" w:element="metricconverter">
        <w:smartTagPr>
          <w:attr w:name="ProductID" w:val="130 km"/>
        </w:smartTagPr>
        <w:r w:rsidRPr="00224ABF">
          <w:rPr>
            <w:rFonts w:cs="Arial"/>
          </w:rPr>
          <w:t>130 km</w:t>
        </w:r>
      </w:smartTag>
      <w:r w:rsidRPr="00224ABF">
        <w:rPr>
          <w:rFonts w:cs="Arial"/>
        </w:rPr>
        <w:t>), Puente Otero - Oiba (84km), Oiba – Palenque (</w:t>
      </w:r>
      <w:smartTag w:uri="urn:schemas-microsoft-com:office:smarttags" w:element="metricconverter">
        <w:smartTagPr>
          <w:attr w:name="ProductID" w:val="156 km"/>
        </w:smartTagPr>
        <w:r w:rsidRPr="00224ABF">
          <w:rPr>
            <w:rFonts w:cs="Arial"/>
          </w:rPr>
          <w:t>156 km</w:t>
        </w:r>
      </w:smartTag>
      <w:r w:rsidRPr="00224ABF">
        <w:rPr>
          <w:rFonts w:cs="Arial"/>
        </w:rPr>
        <w:t>), los dos segundos tramos ubicados en el departamento de Santander.</w:t>
      </w:r>
    </w:p>
    <w:p w14:paraId="1F1FC9C7" w14:textId="77777777" w:rsidR="00224ABF" w:rsidRPr="00224ABF" w:rsidRDefault="00224ABF" w:rsidP="00224ABF">
      <w:pPr>
        <w:tabs>
          <w:tab w:val="left" w:pos="1795"/>
        </w:tabs>
        <w:jc w:val="both"/>
        <w:rPr>
          <w:rFonts w:cs="Arial"/>
        </w:rPr>
      </w:pPr>
      <w:r w:rsidRPr="00224ABF">
        <w:rPr>
          <w:rFonts w:cs="Arial"/>
        </w:rPr>
        <w:tab/>
      </w:r>
    </w:p>
    <w:p w14:paraId="218C8719" w14:textId="77777777" w:rsidR="00224ABF" w:rsidRPr="00224ABF" w:rsidRDefault="00224ABF" w:rsidP="00224ABF">
      <w:pPr>
        <w:jc w:val="both"/>
        <w:rPr>
          <w:rFonts w:cs="Arial"/>
          <w:b/>
        </w:rPr>
      </w:pPr>
      <w:r w:rsidRPr="00224ABF">
        <w:rPr>
          <w:rFonts w:cs="Arial"/>
          <w:b/>
        </w:rPr>
        <w:t>ACTIVIDADES RELEVANTES</w:t>
      </w:r>
    </w:p>
    <w:p w14:paraId="3621ADE8" w14:textId="77777777" w:rsidR="00224ABF" w:rsidRPr="00224ABF" w:rsidRDefault="00224ABF" w:rsidP="00224ABF">
      <w:pPr>
        <w:numPr>
          <w:ilvl w:val="0"/>
          <w:numId w:val="141"/>
        </w:numPr>
        <w:spacing w:after="0"/>
        <w:jc w:val="both"/>
        <w:rPr>
          <w:rFonts w:cs="Arial"/>
        </w:rPr>
      </w:pPr>
      <w:r w:rsidRPr="00224ABF">
        <w:rPr>
          <w:rFonts w:cs="Arial"/>
        </w:rPr>
        <w:t>Se terminó con recursos del otrosí 15 la calzada derecha de la Variante de Zipaquirá y los retornos entre Cogua y el Peaje de Casablanca faltando únicamente el empalme con DEVINORTE.</w:t>
      </w:r>
    </w:p>
    <w:p w14:paraId="7E3DA372" w14:textId="77777777" w:rsidR="00224ABF" w:rsidRPr="00224ABF" w:rsidRDefault="00224ABF" w:rsidP="00224ABF">
      <w:pPr>
        <w:numPr>
          <w:ilvl w:val="0"/>
          <w:numId w:val="141"/>
        </w:numPr>
        <w:spacing w:after="0"/>
        <w:jc w:val="both"/>
        <w:rPr>
          <w:rFonts w:cs="Arial"/>
        </w:rPr>
      </w:pPr>
      <w:r w:rsidRPr="00224ABF">
        <w:rPr>
          <w:rFonts w:cs="Arial"/>
        </w:rPr>
        <w:t>En relación al sector Papi Quiero Piña (Floridablanca)– Estación el Molino Piedecuesta, se realizaron obras por el 97 % de las programadas en atención a que el Área Metropolitana de Bucaramanga no entrego el 100% de los predios y de Metrolinea S.A. tampoco realizo el traslado de la totalidad de las Redes del Sector, de acuerdo a los compromisos adquiridos mediante Convenio Interadministrativo.</w:t>
      </w:r>
    </w:p>
    <w:p w14:paraId="1DB44AF8" w14:textId="77777777" w:rsidR="00224ABF" w:rsidRPr="00224ABF" w:rsidRDefault="00224ABF" w:rsidP="00224ABF">
      <w:pPr>
        <w:ind w:left="720"/>
        <w:contextualSpacing/>
        <w:jc w:val="both"/>
        <w:rPr>
          <w:rFonts w:cs="Arial"/>
        </w:rPr>
      </w:pPr>
    </w:p>
    <w:p w14:paraId="28ACDDFE" w14:textId="18160DF6" w:rsidR="00224ABF" w:rsidRPr="00224ABF" w:rsidRDefault="00224ABF" w:rsidP="00224ABF">
      <w:pPr>
        <w:numPr>
          <w:ilvl w:val="0"/>
          <w:numId w:val="141"/>
        </w:numPr>
        <w:spacing w:after="0"/>
        <w:jc w:val="both"/>
        <w:rPr>
          <w:rFonts w:cs="Arial"/>
        </w:rPr>
      </w:pPr>
      <w:r w:rsidRPr="00224ABF">
        <w:rPr>
          <w:rFonts w:cs="Arial"/>
        </w:rPr>
        <w:t>Se reestableció la transitabilidad normal sobre la Quebrada</w:t>
      </w:r>
      <w:r w:rsidR="00DE1E61">
        <w:rPr>
          <w:rFonts w:cs="Arial"/>
        </w:rPr>
        <w:t xml:space="preserve"> </w:t>
      </w:r>
      <w:r w:rsidRPr="00224ABF">
        <w:rPr>
          <w:rFonts w:cs="Arial"/>
        </w:rPr>
        <w:t>seca con la instalación de un nuevo puente en concreto de 26 m de luz</w:t>
      </w:r>
    </w:p>
    <w:p w14:paraId="0ACD2135" w14:textId="77777777" w:rsidR="00224ABF" w:rsidRPr="00224ABF" w:rsidRDefault="00224ABF" w:rsidP="00224ABF">
      <w:pPr>
        <w:jc w:val="both"/>
        <w:rPr>
          <w:rFonts w:cs="Arial"/>
        </w:rPr>
      </w:pPr>
    </w:p>
    <w:p w14:paraId="7A7FB01D" w14:textId="77777777" w:rsidR="00224ABF" w:rsidRPr="00224ABF" w:rsidRDefault="00224ABF" w:rsidP="00224ABF">
      <w:pPr>
        <w:jc w:val="both"/>
        <w:rPr>
          <w:rFonts w:cs="Arial"/>
        </w:rPr>
      </w:pPr>
      <w:r w:rsidRPr="00224ABF">
        <w:rPr>
          <w:rFonts w:cs="Arial"/>
        </w:rPr>
        <w:t>La ejecución del proyecto fue la siguiente:</w:t>
      </w:r>
    </w:p>
    <w:p w14:paraId="0F943BC7" w14:textId="77777777" w:rsidR="00224ABF" w:rsidRPr="00224ABF" w:rsidRDefault="00224ABF" w:rsidP="00224ABF">
      <w:pPr>
        <w:jc w:val="both"/>
        <w:rPr>
          <w:rFonts w:cs="Arial"/>
        </w:rPr>
      </w:pPr>
      <w:r w:rsidRPr="00224ABF">
        <w:rPr>
          <w:rFonts w:cs="Arial"/>
        </w:rPr>
        <w:t xml:space="preserve">Alcance Básico </w:t>
      </w:r>
    </w:p>
    <w:p w14:paraId="44C602DB" w14:textId="77777777" w:rsidR="00224ABF" w:rsidRPr="00224ABF" w:rsidRDefault="00224ABF" w:rsidP="00224ABF">
      <w:pPr>
        <w:numPr>
          <w:ilvl w:val="0"/>
          <w:numId w:val="142"/>
        </w:numPr>
        <w:spacing w:after="0"/>
        <w:jc w:val="both"/>
        <w:rPr>
          <w:rFonts w:cs="Arial"/>
        </w:rPr>
      </w:pPr>
      <w:r w:rsidRPr="00224ABF">
        <w:rPr>
          <w:rFonts w:cs="Arial"/>
        </w:rPr>
        <w:t xml:space="preserve">370 km de rehabilitación </w:t>
      </w:r>
      <w:r w:rsidRPr="00224ABF">
        <w:rPr>
          <w:rFonts w:cs="Arial"/>
        </w:rPr>
        <w:tab/>
        <w:t>100%  Zipaquirá – Chiquinquirá - Palenque</w:t>
      </w:r>
    </w:p>
    <w:p w14:paraId="7B6862EC" w14:textId="77777777" w:rsidR="00224ABF" w:rsidRPr="00224ABF" w:rsidRDefault="00224ABF" w:rsidP="00224ABF">
      <w:pPr>
        <w:numPr>
          <w:ilvl w:val="0"/>
          <w:numId w:val="142"/>
        </w:numPr>
        <w:spacing w:after="0"/>
        <w:jc w:val="both"/>
        <w:rPr>
          <w:rFonts w:cs="Arial"/>
        </w:rPr>
      </w:pPr>
      <w:r w:rsidRPr="00224ABF">
        <w:rPr>
          <w:rFonts w:cs="Arial"/>
        </w:rPr>
        <w:t xml:space="preserve">6.9 km de construcción  </w:t>
      </w:r>
      <w:r w:rsidRPr="00224ABF">
        <w:rPr>
          <w:rFonts w:cs="Arial"/>
        </w:rPr>
        <w:tab/>
        <w:t>100%  Circunvalar de Chiquinquirá</w:t>
      </w:r>
    </w:p>
    <w:p w14:paraId="6EA7EFFE" w14:textId="77777777" w:rsidR="00224ABF" w:rsidRPr="00224ABF" w:rsidRDefault="00224ABF" w:rsidP="00224ABF">
      <w:pPr>
        <w:jc w:val="both"/>
        <w:rPr>
          <w:rFonts w:cs="Arial"/>
        </w:rPr>
      </w:pPr>
    </w:p>
    <w:p w14:paraId="3BAED1A5" w14:textId="77777777" w:rsidR="00224ABF" w:rsidRPr="00224ABF" w:rsidRDefault="00224ABF" w:rsidP="00224ABF">
      <w:pPr>
        <w:jc w:val="both"/>
        <w:rPr>
          <w:rFonts w:cs="Arial"/>
        </w:rPr>
      </w:pPr>
    </w:p>
    <w:p w14:paraId="3CAD6FD9" w14:textId="77777777" w:rsidR="00224ABF" w:rsidRPr="00224ABF" w:rsidRDefault="00224ABF" w:rsidP="00224ABF">
      <w:pPr>
        <w:jc w:val="both"/>
        <w:rPr>
          <w:rFonts w:cs="Arial"/>
        </w:rPr>
      </w:pPr>
      <w:r w:rsidRPr="00224ABF">
        <w:rPr>
          <w:rFonts w:cs="Arial"/>
        </w:rPr>
        <w:t>Alcance Adicional</w:t>
      </w:r>
    </w:p>
    <w:p w14:paraId="64A8A78E" w14:textId="77777777" w:rsidR="00224ABF" w:rsidRPr="00224ABF" w:rsidRDefault="00224ABF" w:rsidP="00224ABF">
      <w:pPr>
        <w:numPr>
          <w:ilvl w:val="0"/>
          <w:numId w:val="142"/>
        </w:numPr>
        <w:spacing w:after="0"/>
        <w:jc w:val="both"/>
        <w:rPr>
          <w:rFonts w:cs="Arial"/>
        </w:rPr>
      </w:pPr>
      <w:r w:rsidRPr="00224ABF">
        <w:rPr>
          <w:rFonts w:cs="Arial"/>
        </w:rPr>
        <w:t xml:space="preserve">3.1 km de construcción  </w:t>
      </w:r>
      <w:r w:rsidRPr="00224ABF">
        <w:rPr>
          <w:rFonts w:cs="Arial"/>
        </w:rPr>
        <w:tab/>
        <w:t>100%  Perimetral de Ubaté Doble Calzada</w:t>
      </w:r>
    </w:p>
    <w:p w14:paraId="3530D69E" w14:textId="77777777" w:rsidR="00224ABF" w:rsidRPr="00224ABF" w:rsidRDefault="00224ABF" w:rsidP="00224ABF">
      <w:pPr>
        <w:numPr>
          <w:ilvl w:val="0"/>
          <w:numId w:val="143"/>
        </w:numPr>
        <w:spacing w:after="0"/>
        <w:jc w:val="both"/>
        <w:rPr>
          <w:rFonts w:cs="Arial"/>
        </w:rPr>
      </w:pPr>
      <w:r w:rsidRPr="00224ABF">
        <w:rPr>
          <w:rFonts w:cs="Arial"/>
        </w:rPr>
        <w:t>Puente San Gil</w:t>
      </w:r>
      <w:r w:rsidRPr="00224ABF">
        <w:rPr>
          <w:rFonts w:cs="Arial"/>
        </w:rPr>
        <w:tab/>
      </w:r>
      <w:r w:rsidRPr="00224ABF">
        <w:rPr>
          <w:rFonts w:cs="Arial"/>
        </w:rPr>
        <w:tab/>
        <w:t>100%</w:t>
      </w:r>
    </w:p>
    <w:p w14:paraId="2DA631AF" w14:textId="77777777" w:rsidR="00224ABF" w:rsidRPr="00224ABF" w:rsidRDefault="00224ABF" w:rsidP="00224ABF">
      <w:pPr>
        <w:numPr>
          <w:ilvl w:val="0"/>
          <w:numId w:val="143"/>
        </w:numPr>
        <w:spacing w:after="0"/>
        <w:jc w:val="both"/>
        <w:rPr>
          <w:rFonts w:cs="Arial"/>
        </w:rPr>
      </w:pPr>
      <w:r w:rsidRPr="00224ABF">
        <w:rPr>
          <w:rFonts w:cs="Arial"/>
        </w:rPr>
        <w:t>Puente Cala</w:t>
      </w:r>
      <w:r w:rsidRPr="00224ABF">
        <w:rPr>
          <w:rFonts w:cs="Arial"/>
        </w:rPr>
        <w:tab/>
      </w:r>
      <w:r w:rsidRPr="00224ABF">
        <w:rPr>
          <w:rFonts w:cs="Arial"/>
        </w:rPr>
        <w:tab/>
        <w:t>100%</w:t>
      </w:r>
    </w:p>
    <w:p w14:paraId="5BCCC896" w14:textId="77777777" w:rsidR="00224ABF" w:rsidRPr="00224ABF" w:rsidRDefault="00224ABF" w:rsidP="00224ABF">
      <w:pPr>
        <w:numPr>
          <w:ilvl w:val="0"/>
          <w:numId w:val="143"/>
        </w:numPr>
        <w:spacing w:after="0"/>
        <w:jc w:val="both"/>
        <w:rPr>
          <w:rFonts w:cs="Arial"/>
        </w:rPr>
      </w:pPr>
      <w:r w:rsidRPr="00224ABF">
        <w:rPr>
          <w:rFonts w:cs="Arial"/>
        </w:rPr>
        <w:lastRenderedPageBreak/>
        <w:t xml:space="preserve">Atención de Sitios Críticos </w:t>
      </w:r>
      <w:r w:rsidRPr="00224ABF">
        <w:rPr>
          <w:rFonts w:cs="Arial"/>
        </w:rPr>
        <w:tab/>
        <w:t>100%</w:t>
      </w:r>
    </w:p>
    <w:p w14:paraId="5A37FD4E" w14:textId="77777777" w:rsidR="00224ABF" w:rsidRPr="00224ABF" w:rsidRDefault="00224ABF" w:rsidP="00224ABF">
      <w:pPr>
        <w:numPr>
          <w:ilvl w:val="0"/>
          <w:numId w:val="143"/>
        </w:numPr>
        <w:spacing w:after="0"/>
        <w:jc w:val="both"/>
        <w:rPr>
          <w:rFonts w:cs="Arial"/>
        </w:rPr>
      </w:pPr>
      <w:r w:rsidRPr="00224ABF">
        <w:rPr>
          <w:rFonts w:cs="Arial"/>
        </w:rPr>
        <w:t>10.8 km de construcción</w:t>
      </w:r>
      <w:r w:rsidRPr="00224ABF">
        <w:rPr>
          <w:rFonts w:cs="Arial"/>
        </w:rPr>
        <w:tab/>
        <w:t>97% Ampliación Floridablanca – Piedecuesta</w:t>
      </w:r>
    </w:p>
    <w:p w14:paraId="30FD78DF" w14:textId="77777777" w:rsidR="00224ABF" w:rsidRPr="00224ABF" w:rsidRDefault="00224ABF" w:rsidP="00224ABF">
      <w:pPr>
        <w:numPr>
          <w:ilvl w:val="0"/>
          <w:numId w:val="143"/>
        </w:numPr>
        <w:spacing w:after="0"/>
        <w:jc w:val="both"/>
        <w:rPr>
          <w:rFonts w:cs="Arial"/>
        </w:rPr>
      </w:pPr>
      <w:r w:rsidRPr="00224ABF">
        <w:rPr>
          <w:rFonts w:cs="Arial"/>
        </w:rPr>
        <w:t>Ampliación de la calzada existente, para doble calzada sector Peaje de Casablanca hacia Zipaquira km 33. 100%</w:t>
      </w:r>
    </w:p>
    <w:p w14:paraId="0712CD32" w14:textId="77777777" w:rsidR="00224ABF" w:rsidRPr="00224ABF" w:rsidRDefault="00224ABF" w:rsidP="00224ABF">
      <w:pPr>
        <w:numPr>
          <w:ilvl w:val="0"/>
          <w:numId w:val="143"/>
        </w:numPr>
        <w:spacing w:after="0"/>
        <w:jc w:val="both"/>
        <w:rPr>
          <w:rFonts w:cs="Arial"/>
        </w:rPr>
      </w:pPr>
      <w:r w:rsidRPr="00224ABF">
        <w:rPr>
          <w:rFonts w:cs="Arial"/>
        </w:rPr>
        <w:t>Calzada derecha entre la T de Portachuelo y km 33 diseñada como variante 100%</w:t>
      </w:r>
    </w:p>
    <w:p w14:paraId="7756A3E5" w14:textId="77777777" w:rsidR="00224ABF" w:rsidRPr="00224ABF" w:rsidRDefault="00224ABF" w:rsidP="00224ABF">
      <w:pPr>
        <w:jc w:val="both"/>
        <w:rPr>
          <w:rFonts w:cs="Arial"/>
        </w:rPr>
      </w:pPr>
    </w:p>
    <w:p w14:paraId="4476617B" w14:textId="77777777" w:rsidR="00224ABF" w:rsidRPr="00224ABF" w:rsidRDefault="00224ABF" w:rsidP="00224ABF">
      <w:pPr>
        <w:spacing w:after="0"/>
        <w:ind w:left="-6"/>
        <w:jc w:val="both"/>
        <w:rPr>
          <w:rFonts w:cs="Arial"/>
          <w:b/>
        </w:rPr>
      </w:pPr>
      <w:r w:rsidRPr="00224ABF">
        <w:rPr>
          <w:rFonts w:cs="Arial"/>
          <w:b/>
        </w:rPr>
        <w:t>ACTIVIDADES PENDIENTES</w:t>
      </w:r>
    </w:p>
    <w:p w14:paraId="0C867E8F" w14:textId="77777777" w:rsidR="00224ABF" w:rsidRPr="00224ABF" w:rsidRDefault="00224ABF" w:rsidP="00224ABF">
      <w:pPr>
        <w:spacing w:after="0"/>
        <w:ind w:left="-6"/>
        <w:jc w:val="both"/>
        <w:rPr>
          <w:rFonts w:cs="Arial"/>
          <w:b/>
        </w:rPr>
      </w:pPr>
    </w:p>
    <w:p w14:paraId="1EB1E362" w14:textId="77777777" w:rsidR="00224ABF" w:rsidRPr="00224ABF" w:rsidRDefault="00224ABF" w:rsidP="00224ABF">
      <w:pPr>
        <w:numPr>
          <w:ilvl w:val="0"/>
          <w:numId w:val="144"/>
        </w:numPr>
        <w:spacing w:after="0"/>
        <w:contextualSpacing/>
        <w:jc w:val="both"/>
        <w:rPr>
          <w:rFonts w:cs="Arial"/>
        </w:rPr>
      </w:pPr>
      <w:r w:rsidRPr="00224ABF">
        <w:rPr>
          <w:rFonts w:cs="Arial"/>
        </w:rPr>
        <w:t>Liquidación del Contrato.</w:t>
      </w:r>
    </w:p>
    <w:p w14:paraId="296CD941" w14:textId="77777777" w:rsidR="00224ABF" w:rsidRPr="00224ABF" w:rsidRDefault="00224ABF" w:rsidP="00224ABF">
      <w:pPr>
        <w:spacing w:after="0"/>
        <w:jc w:val="both"/>
        <w:rPr>
          <w:rFonts w:cs="Arial"/>
        </w:rPr>
      </w:pPr>
    </w:p>
    <w:p w14:paraId="4FD7645C" w14:textId="77777777" w:rsidR="00224ABF" w:rsidRDefault="00224ABF" w:rsidP="00224ABF">
      <w:pPr>
        <w:jc w:val="both"/>
        <w:rPr>
          <w:rFonts w:cs="Arial"/>
        </w:rPr>
      </w:pPr>
      <w:r w:rsidRPr="00224ABF">
        <w:rPr>
          <w:rFonts w:cs="Arial"/>
        </w:rPr>
        <w:t>Cerrar el Hallazgo 88 único pendiente dentro de la Concesión, a través de la búsqueda de los Modelos realizados por la Agencia para las modificaciones suscritas, analizando desplazamientos de Inversión o errores en la Modelación, resulta importante aclara que dichos modelos no son contractuales</w:t>
      </w:r>
    </w:p>
    <w:p w14:paraId="5EA47091" w14:textId="77777777" w:rsidR="00CD78D2" w:rsidRPr="00224ABF" w:rsidRDefault="00CD78D2" w:rsidP="00224ABF">
      <w:pPr>
        <w:jc w:val="both"/>
        <w:rPr>
          <w:rFonts w:cs="Arial"/>
        </w:rPr>
      </w:pPr>
    </w:p>
    <w:p w14:paraId="5B7DCEE4" w14:textId="77777777" w:rsidR="00224ABF" w:rsidRPr="00224ABF" w:rsidRDefault="00224ABF" w:rsidP="00224ABF">
      <w:pPr>
        <w:jc w:val="both"/>
        <w:rPr>
          <w:rFonts w:eastAsia="Times New Roman" w:cs="Arial"/>
          <w:b/>
          <w:lang w:val="es-ES"/>
        </w:rPr>
      </w:pPr>
      <w:r w:rsidRPr="00224ABF">
        <w:rPr>
          <w:rFonts w:eastAsia="Times New Roman" w:cs="Arial"/>
          <w:b/>
          <w:lang w:val="es-ES"/>
        </w:rPr>
        <w:t>17. INFORME DE GESTIÓN  PROYECTO TRANSVERSAL AMÉRICAS</w:t>
      </w:r>
    </w:p>
    <w:p w14:paraId="0476EB3B" w14:textId="77777777" w:rsidR="00224ABF" w:rsidRPr="00224ABF" w:rsidRDefault="00224ABF" w:rsidP="00224ABF">
      <w:pPr>
        <w:spacing w:after="0"/>
        <w:jc w:val="both"/>
        <w:rPr>
          <w:rFonts w:eastAsia="Times New Roman" w:cs="Arial"/>
          <w:b/>
          <w:bCs/>
          <w:lang w:val="es-ES"/>
        </w:rPr>
      </w:pPr>
      <w:r w:rsidRPr="00224ABF">
        <w:rPr>
          <w:rFonts w:eastAsia="Times New Roman" w:cs="Arial"/>
          <w:b/>
          <w:bCs/>
          <w:lang w:val="es-ES"/>
        </w:rPr>
        <w:t xml:space="preserve">Logros en el trimestre </w:t>
      </w:r>
    </w:p>
    <w:p w14:paraId="612AE736" w14:textId="64F983D3" w:rsidR="00224ABF" w:rsidRPr="00224ABF" w:rsidRDefault="00224ABF" w:rsidP="00224ABF">
      <w:pPr>
        <w:spacing w:after="0"/>
        <w:jc w:val="both"/>
        <w:rPr>
          <w:rFonts w:eastAsia="Times New Roman" w:cs="Arial"/>
          <w:lang w:val="es-ES" w:eastAsia="es-ES"/>
        </w:rPr>
      </w:pPr>
      <w:r w:rsidRPr="00224ABF">
        <w:rPr>
          <w:rFonts w:eastAsia="Times New Roman" w:cs="Arial"/>
          <w:lang w:val="es-ES"/>
        </w:rPr>
        <w:t>Se suscribió el Otrosí N°3, donde las parte</w:t>
      </w:r>
      <w:r w:rsidR="00296ECD">
        <w:rPr>
          <w:rFonts w:eastAsia="Times New Roman" w:cs="Arial"/>
          <w:lang w:val="es-ES"/>
        </w:rPr>
        <w:t>s acuerdan que simultáneame</w:t>
      </w:r>
      <w:r w:rsidR="005034FF">
        <w:rPr>
          <w:rFonts w:eastAsia="Times New Roman" w:cs="Arial"/>
          <w:lang w:val="es-ES"/>
        </w:rPr>
        <w:t>nte a</w:t>
      </w:r>
      <w:r w:rsidRPr="00224ABF">
        <w:rPr>
          <w:rFonts w:eastAsia="Times New Roman" w:cs="Arial"/>
          <w:lang w:val="es-ES"/>
        </w:rPr>
        <w:t>l desarrollo y activación del mecanismo de solución de controversias, el concesionario procederá con la ejecución de estudios y diseños del tramo Turbo  Chigorodo; una vez sean entregado los diseños y aprobados por la interventoría, se procederá de inmediato con la intervención señalada. Durante la ejecución de la obra, el Concesionario y la Interventoría realizaran la medición y cuantificación mes a mes, con el fin de establecer los costos al momento del fallo del acatamiento del mecanismo de solución de controversias</w:t>
      </w:r>
    </w:p>
    <w:p w14:paraId="45F4E5F9" w14:textId="77777777" w:rsidR="00224ABF" w:rsidRPr="00224ABF" w:rsidRDefault="00224ABF" w:rsidP="00224ABF">
      <w:pPr>
        <w:spacing w:after="0"/>
        <w:jc w:val="both"/>
        <w:rPr>
          <w:rFonts w:eastAsia="Times New Roman" w:cs="Arial"/>
          <w:b/>
          <w:bCs/>
          <w:lang w:val="es-ES"/>
        </w:rPr>
      </w:pPr>
    </w:p>
    <w:p w14:paraId="4CDA3515" w14:textId="77777777" w:rsidR="00224ABF" w:rsidRPr="00224ABF" w:rsidRDefault="00224ABF" w:rsidP="00224ABF">
      <w:pPr>
        <w:spacing w:after="0"/>
        <w:jc w:val="both"/>
        <w:rPr>
          <w:rFonts w:eastAsia="Times New Roman" w:cs="Arial"/>
          <w:b/>
          <w:bCs/>
          <w:lang w:val="es-ES"/>
        </w:rPr>
      </w:pPr>
      <w:r w:rsidRPr="00224ABF">
        <w:rPr>
          <w:rFonts w:eastAsia="Times New Roman" w:cs="Arial"/>
          <w:b/>
          <w:bCs/>
          <w:lang w:val="es-ES"/>
        </w:rPr>
        <w:t>Dificultades presentadas:</w:t>
      </w:r>
    </w:p>
    <w:p w14:paraId="6A334171" w14:textId="77777777" w:rsidR="00224ABF" w:rsidRPr="00224ABF" w:rsidRDefault="00224ABF" w:rsidP="00224ABF">
      <w:pPr>
        <w:spacing w:after="0"/>
        <w:jc w:val="both"/>
        <w:rPr>
          <w:rFonts w:eastAsia="Times New Roman" w:cs="Arial"/>
          <w:b/>
          <w:bCs/>
          <w:lang w:val="es-ES"/>
        </w:rPr>
      </w:pPr>
    </w:p>
    <w:p w14:paraId="4B626B95" w14:textId="77777777" w:rsidR="00224ABF" w:rsidRPr="00224ABF" w:rsidRDefault="00224ABF" w:rsidP="00224ABF">
      <w:pPr>
        <w:numPr>
          <w:ilvl w:val="0"/>
          <w:numId w:val="148"/>
        </w:numPr>
        <w:spacing w:after="0"/>
        <w:ind w:left="284" w:hanging="284"/>
        <w:contextualSpacing/>
        <w:jc w:val="both"/>
        <w:rPr>
          <w:rFonts w:eastAsia="Times New Roman" w:cs="Arial"/>
          <w:i/>
          <w:lang w:val="es-ES"/>
        </w:rPr>
      </w:pPr>
      <w:r w:rsidRPr="00224ABF">
        <w:rPr>
          <w:rFonts w:eastAsia="Times New Roman" w:cs="Arial"/>
          <w:i/>
          <w:lang w:val="es-ES"/>
        </w:rPr>
        <w:t>Ampliación de la sección transversal del tramo de calzada actual entre Turbo y Chigorodó cuyo alcance es de rehabilitación requiere la construcción de berma externa de 2,50 metros e interna de 1.00 metro.  El concesionario desconoce esta obligación contractual y convoco unilateralmente el Panel de expertos</w:t>
      </w:r>
    </w:p>
    <w:p w14:paraId="19C623AD" w14:textId="77777777" w:rsidR="00224ABF" w:rsidRPr="00224ABF" w:rsidRDefault="00224ABF" w:rsidP="00224ABF">
      <w:pPr>
        <w:spacing w:after="0"/>
        <w:ind w:left="284"/>
        <w:contextualSpacing/>
        <w:jc w:val="both"/>
        <w:rPr>
          <w:rFonts w:eastAsia="Times New Roman" w:cs="Arial"/>
          <w:i/>
          <w:lang w:val="es-ES"/>
        </w:rPr>
      </w:pPr>
    </w:p>
    <w:p w14:paraId="61535094" w14:textId="77777777" w:rsidR="00224ABF" w:rsidRPr="00224ABF" w:rsidRDefault="00224ABF" w:rsidP="00224ABF">
      <w:pPr>
        <w:spacing w:after="0"/>
        <w:jc w:val="both"/>
        <w:rPr>
          <w:rFonts w:eastAsia="Times New Roman" w:cs="Arial"/>
          <w:lang w:val="es-ES"/>
        </w:rPr>
      </w:pPr>
      <w:r w:rsidRPr="00224ABF">
        <w:rPr>
          <w:rFonts w:eastAsia="Times New Roman" w:cs="Arial"/>
          <w:lang w:val="es-ES"/>
        </w:rPr>
        <w:t>Se le comunico al concesionario a través de oficio su obligación contractual y la posición de la Agencia en el sentido de que no hay duda respecto a las condiciones en que debe realizarse la rehabilitación de la calzada actual.</w:t>
      </w:r>
    </w:p>
    <w:p w14:paraId="54472876" w14:textId="77777777" w:rsidR="00224ABF" w:rsidRPr="00224ABF" w:rsidRDefault="00224ABF" w:rsidP="00224ABF">
      <w:pPr>
        <w:spacing w:after="0"/>
        <w:jc w:val="both"/>
        <w:rPr>
          <w:rFonts w:eastAsia="Times New Roman" w:cs="Arial"/>
          <w:lang w:val="es-ES" w:eastAsia="es-ES"/>
        </w:rPr>
      </w:pPr>
    </w:p>
    <w:p w14:paraId="48E829E2" w14:textId="77777777" w:rsidR="00224ABF" w:rsidRPr="00224ABF" w:rsidRDefault="00224ABF" w:rsidP="00224ABF">
      <w:pPr>
        <w:numPr>
          <w:ilvl w:val="0"/>
          <w:numId w:val="148"/>
        </w:numPr>
        <w:spacing w:after="0"/>
        <w:ind w:left="284" w:hanging="284"/>
        <w:contextualSpacing/>
        <w:jc w:val="both"/>
        <w:rPr>
          <w:rFonts w:eastAsia="Times New Roman" w:cs="Arial"/>
          <w:lang w:val="es-ES" w:eastAsia="es-ES"/>
        </w:rPr>
      </w:pPr>
      <w:r w:rsidRPr="00224ABF">
        <w:rPr>
          <w:rFonts w:eastAsia="Times New Roman" w:cs="Arial"/>
          <w:i/>
          <w:lang w:val="es-ES"/>
        </w:rPr>
        <w:t>No está definido dentro del alcance del Apéndice Técnico Contractual la construcción de las variantes en los municipios de la Zona de Urabá, tramo Turbo - Chigorodó</w:t>
      </w:r>
      <w:r w:rsidRPr="00224ABF">
        <w:rPr>
          <w:rFonts w:eastAsia="Times New Roman" w:cs="Arial"/>
          <w:lang w:val="es-ES"/>
        </w:rPr>
        <w:t>.</w:t>
      </w:r>
    </w:p>
    <w:p w14:paraId="0D9B95FA" w14:textId="77777777" w:rsidR="00224ABF" w:rsidRPr="00224ABF" w:rsidRDefault="00224ABF" w:rsidP="00224ABF">
      <w:pPr>
        <w:spacing w:after="0"/>
        <w:ind w:left="284"/>
        <w:contextualSpacing/>
        <w:jc w:val="both"/>
        <w:rPr>
          <w:rFonts w:eastAsia="Times New Roman" w:cs="Arial"/>
          <w:lang w:val="es-ES" w:eastAsia="es-ES"/>
        </w:rPr>
      </w:pPr>
    </w:p>
    <w:p w14:paraId="24D54740" w14:textId="77777777" w:rsidR="00224ABF" w:rsidRPr="00224ABF" w:rsidRDefault="00224ABF" w:rsidP="00224ABF">
      <w:pPr>
        <w:spacing w:after="0"/>
        <w:jc w:val="both"/>
        <w:rPr>
          <w:rFonts w:eastAsia="Times New Roman" w:cs="Arial"/>
          <w:b/>
          <w:bCs/>
          <w:u w:val="single"/>
          <w:lang w:val="es-ES"/>
        </w:rPr>
      </w:pPr>
      <w:r w:rsidRPr="00224ABF">
        <w:rPr>
          <w:rFonts w:eastAsia="Times New Roman" w:cs="Arial"/>
          <w:lang w:val="es-ES"/>
        </w:rPr>
        <w:lastRenderedPageBreak/>
        <w:t xml:space="preserve">La ANLA exigió el Concesionario que para los fines de licenciamiento para la doble calzada comprendida entre los municipios de Turbo – Chigorodó,  debía presentar DAAs para los pasos por los centros poblados de: </w:t>
      </w:r>
      <w:r w:rsidRPr="00224ABF">
        <w:rPr>
          <w:rFonts w:eastAsia="Times New Roman" w:cs="Arial"/>
          <w:i/>
          <w:lang w:val="es-ES"/>
        </w:rPr>
        <w:t xml:space="preserve">Currulao, Apartado, El Reposo, Carepa, Casa Verde. </w:t>
      </w:r>
      <w:r w:rsidRPr="00224ABF">
        <w:rPr>
          <w:rFonts w:eastAsia="Times New Roman" w:cs="Arial"/>
          <w:lang w:val="es-ES"/>
        </w:rPr>
        <w:t xml:space="preserve">En caso de que la ANLA defina que se requiere construir variante para cualquiera de los pasos por los centros poblados para los que requirió de DAA </w:t>
      </w:r>
    </w:p>
    <w:p w14:paraId="251B3B44" w14:textId="77777777" w:rsidR="00224ABF" w:rsidRPr="00224ABF" w:rsidRDefault="00224ABF" w:rsidP="00224ABF">
      <w:pPr>
        <w:spacing w:after="0"/>
        <w:jc w:val="both"/>
        <w:rPr>
          <w:rFonts w:eastAsia="Times New Roman" w:cs="Arial"/>
          <w:lang w:val="es-ES"/>
        </w:rPr>
      </w:pPr>
    </w:p>
    <w:p w14:paraId="20BD7174" w14:textId="77777777" w:rsidR="00224ABF" w:rsidRPr="00224ABF" w:rsidRDefault="00224ABF" w:rsidP="00224ABF">
      <w:pPr>
        <w:numPr>
          <w:ilvl w:val="0"/>
          <w:numId w:val="148"/>
        </w:numPr>
        <w:spacing w:after="0"/>
        <w:ind w:left="284" w:hanging="284"/>
        <w:contextualSpacing/>
        <w:jc w:val="both"/>
        <w:rPr>
          <w:rFonts w:eastAsia="Times New Roman" w:cs="Arial"/>
          <w:i/>
          <w:lang w:val="es-ES"/>
        </w:rPr>
      </w:pPr>
      <w:r w:rsidRPr="00224ABF">
        <w:rPr>
          <w:rFonts w:eastAsia="Times New Roman" w:cs="Arial"/>
          <w:i/>
          <w:lang w:val="es-ES"/>
        </w:rPr>
        <w:t>Definición de la destinación de los recursos  del Puente Cacarica.</w:t>
      </w:r>
    </w:p>
    <w:p w14:paraId="1EB62923" w14:textId="77777777" w:rsidR="00224ABF" w:rsidRPr="00224ABF" w:rsidRDefault="00224ABF" w:rsidP="00224ABF">
      <w:pPr>
        <w:spacing w:after="0"/>
        <w:contextualSpacing/>
        <w:jc w:val="both"/>
        <w:rPr>
          <w:rFonts w:eastAsia="Times New Roman" w:cs="Arial"/>
          <w:i/>
          <w:lang w:val="es-ES"/>
        </w:rPr>
      </w:pPr>
    </w:p>
    <w:p w14:paraId="4D54EDD2" w14:textId="77777777" w:rsidR="00224ABF" w:rsidRPr="00224ABF" w:rsidRDefault="00224ABF" w:rsidP="00224ABF">
      <w:pPr>
        <w:spacing w:after="0"/>
        <w:contextualSpacing/>
        <w:jc w:val="both"/>
        <w:rPr>
          <w:rFonts w:eastAsia="Times New Roman" w:cs="Arial"/>
          <w:lang w:val="es-ES"/>
        </w:rPr>
      </w:pPr>
      <w:r w:rsidRPr="00224ABF">
        <w:rPr>
          <w:rFonts w:eastAsia="Times New Roman" w:cs="Arial"/>
          <w:lang w:val="es-ES"/>
        </w:rPr>
        <w:t>La ANI, cumpliendo con los lineamientos del acta de entendimiento N°1, anexo al Contrato de concesión informa a la Contraloría General de la República a la Procuraduría General de la República y al Ministerio de Transporte, las necesidades actuales del proyecto Transversal de las Américas que podrían ser financiadas con recursos de la subcuenta construcción puente Cacarica.</w:t>
      </w:r>
    </w:p>
    <w:p w14:paraId="4E345D6A" w14:textId="77777777" w:rsidR="00224ABF" w:rsidRPr="00224ABF" w:rsidRDefault="00224ABF" w:rsidP="00224ABF">
      <w:pPr>
        <w:spacing w:after="0"/>
        <w:jc w:val="both"/>
        <w:rPr>
          <w:rFonts w:eastAsia="Times New Roman" w:cs="Arial"/>
          <w:i/>
          <w:lang w:val="es-ES"/>
        </w:rPr>
      </w:pPr>
      <w:r w:rsidRPr="00224ABF">
        <w:rPr>
          <w:rFonts w:eastAsia="Times New Roman" w:cs="Arial"/>
          <w:i/>
          <w:lang w:val="es-ES"/>
        </w:rPr>
        <w:t xml:space="preserve"> </w:t>
      </w:r>
    </w:p>
    <w:p w14:paraId="49F09A54" w14:textId="77777777" w:rsidR="00224ABF" w:rsidRPr="00224ABF" w:rsidRDefault="00224ABF" w:rsidP="00224ABF">
      <w:pPr>
        <w:numPr>
          <w:ilvl w:val="0"/>
          <w:numId w:val="148"/>
        </w:numPr>
        <w:spacing w:after="0"/>
        <w:ind w:left="284" w:hanging="284"/>
        <w:contextualSpacing/>
        <w:jc w:val="both"/>
        <w:rPr>
          <w:rFonts w:eastAsia="Times New Roman" w:cs="Arial"/>
          <w:i/>
          <w:lang w:val="es-ES"/>
        </w:rPr>
      </w:pPr>
      <w:r w:rsidRPr="00224ABF">
        <w:rPr>
          <w:rFonts w:eastAsia="Times New Roman" w:cs="Arial"/>
          <w:i/>
          <w:lang w:val="es-ES"/>
        </w:rPr>
        <w:t>Se requieren $207.000  millones de pesos adicionales, a lo estipulado en el Contrato de Concesión, para adquisición predial sin tener en cuenta compensaciones socio-económicas.</w:t>
      </w:r>
    </w:p>
    <w:p w14:paraId="2E5D54CB" w14:textId="77777777" w:rsidR="00224ABF" w:rsidRPr="00224ABF" w:rsidRDefault="00224ABF" w:rsidP="00224ABF">
      <w:pPr>
        <w:spacing w:after="0"/>
        <w:ind w:left="284"/>
        <w:contextualSpacing/>
        <w:jc w:val="both"/>
        <w:rPr>
          <w:rFonts w:eastAsia="Times New Roman" w:cs="Arial"/>
          <w:i/>
          <w:lang w:val="es-ES"/>
        </w:rPr>
      </w:pPr>
    </w:p>
    <w:p w14:paraId="4D8AC623" w14:textId="77777777" w:rsidR="00224ABF" w:rsidRPr="00224ABF" w:rsidRDefault="00224ABF" w:rsidP="00224ABF">
      <w:pPr>
        <w:spacing w:after="0"/>
        <w:jc w:val="both"/>
        <w:rPr>
          <w:rFonts w:eastAsia="Times New Roman" w:cs="Arial"/>
          <w:b/>
          <w:u w:val="single"/>
          <w:lang w:val="es-ES"/>
        </w:rPr>
      </w:pPr>
      <w:r w:rsidRPr="00224ABF">
        <w:rPr>
          <w:rFonts w:eastAsia="Times New Roman" w:cs="Arial"/>
          <w:lang w:val="es-ES"/>
        </w:rPr>
        <w:t xml:space="preserve">Se solicitaron los recursos para vigencia del 2014 y 2015. Igualmente se adelanta el trámite de traslado de los recursos existentes en la contingencia político social hacia la contingencia predial en el MHCP, el cual se encuentra actualmente en revisión por el Ministerio. </w:t>
      </w:r>
    </w:p>
    <w:p w14:paraId="5FE0171D" w14:textId="77777777" w:rsidR="00224ABF" w:rsidRPr="00224ABF" w:rsidRDefault="00224ABF" w:rsidP="00224ABF">
      <w:pPr>
        <w:spacing w:after="0"/>
        <w:jc w:val="both"/>
        <w:rPr>
          <w:rFonts w:eastAsia="Times New Roman" w:cs="Arial"/>
          <w:lang w:val="es-ES"/>
        </w:rPr>
      </w:pPr>
      <w:r w:rsidRPr="00224ABF">
        <w:rPr>
          <w:rFonts w:eastAsia="Times New Roman" w:cs="Arial"/>
          <w:lang w:val="es-ES"/>
        </w:rPr>
        <w:t xml:space="preserve">Al igual que el traslado de los recursos liberados de la Concesión Ruta del Sol III. </w:t>
      </w:r>
    </w:p>
    <w:p w14:paraId="32E38AAE" w14:textId="77777777" w:rsidR="00224ABF" w:rsidRPr="00224ABF" w:rsidRDefault="00224ABF" w:rsidP="00224ABF">
      <w:pPr>
        <w:spacing w:after="0"/>
        <w:jc w:val="both"/>
        <w:rPr>
          <w:rFonts w:eastAsia="Times New Roman" w:cs="Arial"/>
          <w:i/>
          <w:lang w:val="es-ES"/>
        </w:rPr>
      </w:pPr>
    </w:p>
    <w:p w14:paraId="5E4BF233" w14:textId="77777777" w:rsidR="00224ABF" w:rsidRPr="00224ABF" w:rsidRDefault="00224ABF" w:rsidP="00224ABF">
      <w:pPr>
        <w:numPr>
          <w:ilvl w:val="0"/>
          <w:numId w:val="148"/>
        </w:numPr>
        <w:spacing w:after="0"/>
        <w:ind w:left="284" w:hanging="284"/>
        <w:contextualSpacing/>
        <w:jc w:val="both"/>
        <w:rPr>
          <w:rFonts w:eastAsia="Times New Roman" w:cs="Arial"/>
          <w:i/>
          <w:lang w:val="es-ES"/>
        </w:rPr>
      </w:pPr>
      <w:r w:rsidRPr="00224ABF">
        <w:rPr>
          <w:rFonts w:eastAsia="Times New Roman" w:cs="Arial"/>
          <w:i/>
          <w:lang w:val="es-ES"/>
        </w:rPr>
        <w:t>Existe controversia con la ejecución de los puentes San Marcos – Majagual – Achi – Guaranda debido a que el concesionario argumenta que no es su deber realizar la intervención de dichos puentes ya que la ejecución contratada en este tramo es de rehabilitación y mantenimiento</w:t>
      </w:r>
    </w:p>
    <w:p w14:paraId="22978930" w14:textId="77777777" w:rsidR="00224ABF" w:rsidRPr="00224ABF" w:rsidRDefault="00224ABF" w:rsidP="00224ABF">
      <w:pPr>
        <w:spacing w:after="0"/>
        <w:ind w:left="284"/>
        <w:contextualSpacing/>
        <w:jc w:val="both"/>
        <w:rPr>
          <w:rFonts w:eastAsia="Times New Roman" w:cs="Arial"/>
          <w:i/>
          <w:lang w:val="es-ES"/>
        </w:rPr>
      </w:pPr>
    </w:p>
    <w:p w14:paraId="2A76B72D" w14:textId="77777777" w:rsidR="00224ABF" w:rsidRPr="00224ABF" w:rsidRDefault="00224ABF" w:rsidP="00224ABF">
      <w:pPr>
        <w:numPr>
          <w:ilvl w:val="0"/>
          <w:numId w:val="148"/>
        </w:numPr>
        <w:spacing w:after="0"/>
        <w:ind w:left="284" w:hanging="284"/>
        <w:contextualSpacing/>
        <w:jc w:val="both"/>
        <w:rPr>
          <w:rFonts w:eastAsia="Times New Roman" w:cs="Arial"/>
          <w:i/>
          <w:lang w:val="es-ES"/>
        </w:rPr>
      </w:pPr>
      <w:r w:rsidRPr="00224ABF">
        <w:rPr>
          <w:rFonts w:eastAsia="Times New Roman" w:cs="Arial"/>
          <w:i/>
          <w:lang w:val="es-ES"/>
        </w:rPr>
        <w:t>Se requiere diferentes variantes para el proyecto como son las de San Marcos, Majagual, El Banco, Guamal, San Pablo, San Pelayo, Mompox, El Mellito.</w:t>
      </w:r>
    </w:p>
    <w:p w14:paraId="275E10CA" w14:textId="77777777" w:rsidR="00224ABF" w:rsidRPr="00224ABF" w:rsidRDefault="00224ABF" w:rsidP="00224ABF">
      <w:pPr>
        <w:jc w:val="both"/>
        <w:rPr>
          <w:rFonts w:eastAsia="Times New Roman" w:cs="Arial"/>
          <w:i/>
          <w:lang w:val="es-ES"/>
        </w:rPr>
      </w:pPr>
    </w:p>
    <w:p w14:paraId="5EB6EE3F" w14:textId="77777777" w:rsidR="00224ABF" w:rsidRPr="00224ABF" w:rsidRDefault="00224ABF" w:rsidP="00224ABF">
      <w:pPr>
        <w:spacing w:after="0"/>
        <w:jc w:val="both"/>
        <w:rPr>
          <w:rFonts w:eastAsia="Times New Roman" w:cs="Arial"/>
          <w:lang w:val="es-ES"/>
        </w:rPr>
      </w:pPr>
      <w:r w:rsidRPr="00224ABF">
        <w:rPr>
          <w:rFonts w:eastAsia="Times New Roman" w:cs="Arial"/>
          <w:lang w:val="es-ES"/>
        </w:rPr>
        <w:t>La construcción de las variantes no se encuentra definida dentro del alcance del Apéndice Técnico Contractual, a excepción de la Variante del Municipio de Arboletes. Se hace necesaria la consecución de recursos adicionales para completar el monto necesario para la construcción de la totalidad de las variantes, se está en la espera de aprobación de traslado de los recursos del Puente Cacarica.</w:t>
      </w:r>
    </w:p>
    <w:p w14:paraId="2ADED110" w14:textId="77777777" w:rsidR="00224ABF" w:rsidRPr="00224ABF" w:rsidRDefault="00224ABF" w:rsidP="00224ABF">
      <w:pPr>
        <w:jc w:val="both"/>
        <w:rPr>
          <w:rFonts w:eastAsia="Times New Roman" w:cs="Arial"/>
          <w:i/>
          <w:lang w:val="es-ES"/>
        </w:rPr>
      </w:pPr>
    </w:p>
    <w:p w14:paraId="4107150D" w14:textId="7261F1A7" w:rsidR="00224ABF" w:rsidRPr="00224ABF" w:rsidRDefault="00224ABF" w:rsidP="00224ABF">
      <w:pPr>
        <w:numPr>
          <w:ilvl w:val="0"/>
          <w:numId w:val="148"/>
        </w:numPr>
        <w:spacing w:after="0"/>
        <w:ind w:left="284" w:hanging="284"/>
        <w:contextualSpacing/>
        <w:jc w:val="both"/>
        <w:rPr>
          <w:rFonts w:eastAsia="Times New Roman" w:cs="Arial"/>
          <w:i/>
          <w:lang w:val="es-ES"/>
        </w:rPr>
      </w:pPr>
      <w:r w:rsidRPr="00224ABF">
        <w:rPr>
          <w:rFonts w:eastAsia="Times New Roman" w:cs="Arial"/>
          <w:i/>
          <w:lang w:val="es-ES"/>
        </w:rPr>
        <w:t>Problemática por pólizas y siniestros en los tramos entregados por el INVIAS</w:t>
      </w:r>
      <w:r w:rsidR="000631D5">
        <w:rPr>
          <w:rFonts w:eastAsia="Times New Roman" w:cs="Arial"/>
          <w:i/>
          <w:lang w:val="es-ES"/>
        </w:rPr>
        <w:t>,</w:t>
      </w:r>
      <w:r w:rsidRPr="00224ABF">
        <w:rPr>
          <w:rFonts w:eastAsia="Times New Roman" w:cs="Arial"/>
          <w:i/>
          <w:lang w:val="es-ES"/>
        </w:rPr>
        <w:t xml:space="preserve"> </w:t>
      </w:r>
      <w:r w:rsidR="000631D5">
        <w:rPr>
          <w:rFonts w:eastAsia="Times New Roman" w:cs="Arial"/>
          <w:i/>
          <w:lang w:val="es-ES"/>
        </w:rPr>
        <w:t>e</w:t>
      </w:r>
      <w:r w:rsidRPr="00224ABF">
        <w:rPr>
          <w:rFonts w:eastAsia="Times New Roman" w:cs="Arial"/>
          <w:i/>
          <w:lang w:val="es-ES"/>
        </w:rPr>
        <w:t>l Concesionario no quiere intervenir debido a que las garantías se encuentran aún vigentes por los constructores por el plan 2500 de INVIAS.</w:t>
      </w:r>
    </w:p>
    <w:p w14:paraId="47BF5D14" w14:textId="77777777" w:rsidR="00224ABF" w:rsidRPr="00224ABF" w:rsidRDefault="00224ABF" w:rsidP="00224ABF">
      <w:pPr>
        <w:spacing w:after="0"/>
        <w:ind w:left="284"/>
        <w:contextualSpacing/>
        <w:jc w:val="both"/>
        <w:rPr>
          <w:rFonts w:eastAsia="Times New Roman" w:cs="Arial"/>
          <w:i/>
          <w:lang w:val="es-ES"/>
        </w:rPr>
      </w:pPr>
    </w:p>
    <w:p w14:paraId="13629B70" w14:textId="77777777" w:rsidR="00224ABF" w:rsidRPr="00224ABF" w:rsidRDefault="00224ABF" w:rsidP="00224ABF">
      <w:pPr>
        <w:numPr>
          <w:ilvl w:val="0"/>
          <w:numId w:val="148"/>
        </w:numPr>
        <w:spacing w:after="0"/>
        <w:ind w:left="284" w:hanging="284"/>
        <w:contextualSpacing/>
        <w:jc w:val="both"/>
        <w:rPr>
          <w:rFonts w:eastAsia="Times New Roman" w:cs="Arial"/>
          <w:i/>
          <w:lang w:val="es-ES"/>
        </w:rPr>
      </w:pPr>
      <w:r w:rsidRPr="00224ABF">
        <w:rPr>
          <w:rFonts w:eastAsia="Times New Roman" w:cs="Arial"/>
          <w:i/>
          <w:lang w:val="es-ES"/>
        </w:rPr>
        <w:t xml:space="preserve">Es necesario realizar el otrosí de rebalanceo  o compensación de longitudes para garantizar la especificación técnica de corredores continuos pavimentados en todo el proyecto. </w:t>
      </w:r>
      <w:r w:rsidRPr="00224ABF">
        <w:rPr>
          <w:rFonts w:eastAsia="Times New Roman" w:cs="Arial"/>
          <w:lang w:val="es-ES"/>
        </w:rPr>
        <w:t>Se encuentra en análisis por parte de Concesionario, Interventoría y ANI.</w:t>
      </w:r>
    </w:p>
    <w:p w14:paraId="00789C16" w14:textId="77777777" w:rsidR="00224ABF" w:rsidRPr="00224ABF" w:rsidRDefault="00224ABF" w:rsidP="00224ABF">
      <w:pPr>
        <w:jc w:val="both"/>
        <w:rPr>
          <w:rFonts w:eastAsia="Times New Roman" w:cs="Arial"/>
          <w:b/>
          <w:lang w:val="es-ES"/>
        </w:rPr>
      </w:pPr>
      <w:r w:rsidRPr="00224ABF">
        <w:rPr>
          <w:rFonts w:eastAsia="Times New Roman" w:cs="Arial"/>
          <w:b/>
          <w:lang w:val="es-ES"/>
        </w:rPr>
        <w:lastRenderedPageBreak/>
        <w:t xml:space="preserve">18. INFORME DE GESTIÓN  CONCESIÓN LOBOGUERRERO  BUGA </w:t>
      </w:r>
    </w:p>
    <w:p w14:paraId="2E08A3E7" w14:textId="77777777" w:rsidR="00224ABF" w:rsidRPr="00224ABF" w:rsidRDefault="00224ABF" w:rsidP="00224ABF">
      <w:pPr>
        <w:spacing w:after="0"/>
        <w:jc w:val="both"/>
        <w:rPr>
          <w:rFonts w:eastAsiaTheme="minorHAnsi" w:cs="Arial"/>
          <w:noProof/>
        </w:rPr>
      </w:pPr>
    </w:p>
    <w:p w14:paraId="1C84B054" w14:textId="77777777" w:rsidR="00224ABF" w:rsidRPr="00224ABF" w:rsidRDefault="00224ABF" w:rsidP="00224ABF">
      <w:pPr>
        <w:spacing w:after="0"/>
        <w:jc w:val="both"/>
        <w:rPr>
          <w:rFonts w:eastAsiaTheme="minorHAnsi" w:cs="Arial"/>
          <w:noProof/>
        </w:rPr>
      </w:pPr>
      <w:r w:rsidRPr="00224ABF">
        <w:rPr>
          <w:rFonts w:eastAsiaTheme="minorHAnsi" w:cs="Arial"/>
          <w:b/>
          <w:noProof/>
        </w:rPr>
        <w:t>Etapa Actual:</w:t>
      </w:r>
      <w:r w:rsidRPr="00224ABF">
        <w:rPr>
          <w:rFonts w:eastAsiaTheme="minorHAnsi" w:cs="Arial"/>
          <w:noProof/>
        </w:rPr>
        <w:t xml:space="preserve">     </w:t>
      </w:r>
      <w:r w:rsidRPr="00224ABF">
        <w:rPr>
          <w:rFonts w:eastAsiaTheme="minorHAnsi" w:cs="Arial"/>
          <w:b/>
          <w:noProof/>
        </w:rPr>
        <w:t>CONSTRUCCION</w:t>
      </w:r>
    </w:p>
    <w:p w14:paraId="296D3DED" w14:textId="77777777" w:rsidR="00224ABF" w:rsidRPr="00224ABF" w:rsidRDefault="00224ABF" w:rsidP="00224ABF">
      <w:pPr>
        <w:spacing w:after="0"/>
        <w:jc w:val="both"/>
        <w:rPr>
          <w:rFonts w:eastAsiaTheme="minorHAnsi" w:cs="Arial"/>
          <w:noProof/>
        </w:rPr>
      </w:pPr>
    </w:p>
    <w:p w14:paraId="5EED8027" w14:textId="77777777" w:rsidR="00224ABF" w:rsidRPr="00224ABF" w:rsidRDefault="00224ABF" w:rsidP="00224ABF">
      <w:pPr>
        <w:spacing w:after="0"/>
        <w:jc w:val="both"/>
        <w:rPr>
          <w:rFonts w:eastAsiaTheme="minorHAnsi" w:cs="Arial"/>
          <w:b/>
          <w:noProof/>
        </w:rPr>
      </w:pPr>
      <w:r w:rsidRPr="00224ABF">
        <w:rPr>
          <w:rFonts w:eastAsiaTheme="minorHAnsi" w:cs="Arial"/>
          <w:b/>
          <w:noProof/>
        </w:rPr>
        <w:t>AVANCES:</w:t>
      </w:r>
    </w:p>
    <w:p w14:paraId="585A5290" w14:textId="77777777" w:rsidR="00224ABF" w:rsidRPr="00224ABF" w:rsidRDefault="00224ABF" w:rsidP="00224ABF">
      <w:pPr>
        <w:spacing w:after="0"/>
        <w:jc w:val="both"/>
        <w:rPr>
          <w:rFonts w:eastAsiaTheme="minorHAnsi" w:cs="Arial"/>
          <w:b/>
          <w:noProof/>
        </w:rPr>
      </w:pPr>
      <w:r w:rsidRPr="00224ABF">
        <w:rPr>
          <w:rFonts w:eastAsiaTheme="minorHAnsi" w:cs="Arial"/>
          <w:b/>
          <w:noProof/>
        </w:rPr>
        <w:t>Etapa de Preconstrucción:</w:t>
      </w:r>
    </w:p>
    <w:p w14:paraId="1C1E402C" w14:textId="77777777" w:rsidR="00224ABF" w:rsidRPr="00224ABF" w:rsidRDefault="00224ABF" w:rsidP="00224ABF">
      <w:pPr>
        <w:pStyle w:val="Prrafodelista"/>
        <w:numPr>
          <w:ilvl w:val="0"/>
          <w:numId w:val="154"/>
        </w:numPr>
        <w:spacing w:after="0"/>
        <w:jc w:val="both"/>
        <w:rPr>
          <w:rFonts w:eastAsiaTheme="minorHAnsi" w:cs="Arial"/>
          <w:b/>
          <w:noProof/>
        </w:rPr>
      </w:pPr>
      <w:r w:rsidRPr="00224ABF">
        <w:rPr>
          <w:rFonts w:eastAsiaTheme="minorHAnsi" w:cs="Arial"/>
          <w:b/>
          <w:noProof/>
        </w:rPr>
        <w:t>meses, del 11 octubre de 2013 al  11 de febrero de 2014</w:t>
      </w:r>
    </w:p>
    <w:p w14:paraId="4F909400" w14:textId="77777777" w:rsidR="00224ABF" w:rsidRPr="00224ABF" w:rsidRDefault="00224ABF" w:rsidP="00224ABF">
      <w:pPr>
        <w:pStyle w:val="Prrafodelista"/>
        <w:numPr>
          <w:ilvl w:val="0"/>
          <w:numId w:val="155"/>
        </w:numPr>
        <w:spacing w:after="0"/>
        <w:jc w:val="both"/>
        <w:rPr>
          <w:rFonts w:eastAsiaTheme="minorHAnsi" w:cs="Arial"/>
          <w:noProof/>
        </w:rPr>
      </w:pPr>
      <w:r w:rsidRPr="00224ABF">
        <w:rPr>
          <w:rFonts w:eastAsiaTheme="minorHAnsi" w:cs="Arial"/>
          <w:noProof/>
        </w:rPr>
        <w:t>El dia 13 de Diciembre se realizo entrega de la estacion de Peaje Loboguerrro al Concesionario para la correspondiente administracion y  recaudo.</w:t>
      </w:r>
    </w:p>
    <w:p w14:paraId="788AB0CB" w14:textId="77777777" w:rsidR="00224ABF" w:rsidRPr="00224ABF" w:rsidRDefault="00224ABF" w:rsidP="00224ABF">
      <w:pPr>
        <w:pStyle w:val="Prrafodelista"/>
        <w:numPr>
          <w:ilvl w:val="0"/>
          <w:numId w:val="156"/>
        </w:numPr>
        <w:spacing w:after="0"/>
        <w:jc w:val="both"/>
        <w:rPr>
          <w:rFonts w:eastAsiaTheme="minorHAnsi" w:cs="Arial"/>
          <w:noProof/>
        </w:rPr>
      </w:pPr>
      <w:r w:rsidRPr="00224ABF">
        <w:rPr>
          <w:rFonts w:eastAsiaTheme="minorHAnsi" w:cs="Arial"/>
          <w:noProof/>
        </w:rPr>
        <w:t xml:space="preserve">A la fecha el Concesionario ha adelantado actividades de mantenimiento rutinario inicial, entre las que se resaltan actividades de parcheo rapido a lo largo de la via y cuneteo, </w:t>
      </w:r>
    </w:p>
    <w:p w14:paraId="7BAD520E" w14:textId="77777777" w:rsidR="00224ABF" w:rsidRPr="00224ABF" w:rsidRDefault="00224ABF" w:rsidP="00224ABF">
      <w:pPr>
        <w:pStyle w:val="Prrafodelista"/>
        <w:numPr>
          <w:ilvl w:val="0"/>
          <w:numId w:val="136"/>
        </w:numPr>
        <w:spacing w:after="0"/>
        <w:jc w:val="both"/>
        <w:rPr>
          <w:rFonts w:eastAsiaTheme="minorHAnsi" w:cs="Arial"/>
          <w:noProof/>
        </w:rPr>
      </w:pPr>
      <w:r w:rsidRPr="00224ABF">
        <w:rPr>
          <w:rFonts w:eastAsiaTheme="minorHAnsi" w:cs="Arial"/>
          <w:noProof/>
        </w:rPr>
        <w:t>Entrega  de los Estudios y Diseños de los 54.5 km y 12 sitios Vulnerables, documentos que han sido revisados  y de los cuales se han generado sugerencias y recomendaciones por parte de la firma Interventora.</w:t>
      </w:r>
    </w:p>
    <w:p w14:paraId="4331DC18" w14:textId="77777777" w:rsidR="00224ABF" w:rsidRPr="00224ABF" w:rsidRDefault="00224ABF" w:rsidP="00224ABF">
      <w:pPr>
        <w:numPr>
          <w:ilvl w:val="0"/>
          <w:numId w:val="136"/>
        </w:numPr>
        <w:spacing w:after="0"/>
        <w:contextualSpacing/>
        <w:jc w:val="both"/>
        <w:rPr>
          <w:rFonts w:eastAsiaTheme="minorHAnsi" w:cs="Arial"/>
          <w:noProof/>
        </w:rPr>
      </w:pPr>
      <w:r w:rsidRPr="00224ABF">
        <w:rPr>
          <w:rFonts w:eastAsiaTheme="minorHAnsi" w:cs="Arial"/>
          <w:noProof/>
        </w:rPr>
        <w:t>En el mes de enero de 2014 se actualizaron mediante resolucion del Minsiterio de Transporte las Tarifas de peaje en la estacion Loboguerrero.</w:t>
      </w:r>
    </w:p>
    <w:p w14:paraId="6AD56C0B" w14:textId="4B1F19F2" w:rsidR="00224ABF" w:rsidRPr="00224ABF" w:rsidRDefault="00224ABF" w:rsidP="00224ABF">
      <w:pPr>
        <w:numPr>
          <w:ilvl w:val="0"/>
          <w:numId w:val="136"/>
        </w:numPr>
        <w:spacing w:after="0"/>
        <w:contextualSpacing/>
        <w:jc w:val="both"/>
        <w:rPr>
          <w:rFonts w:eastAsiaTheme="minorHAnsi" w:cs="Arial"/>
          <w:noProof/>
        </w:rPr>
      </w:pPr>
      <w:r w:rsidRPr="00224ABF">
        <w:rPr>
          <w:rFonts w:eastAsiaTheme="minorHAnsi" w:cs="Arial"/>
        </w:rPr>
        <w:t>En la vía Concesionada se han Implementado los servicios de operación los cuales consisten en servicios de Grúa, Moto taller, ambulancia, inspección Vial, Policía de Carreteras, administrador vial y unidad móvil de atención social.</w:t>
      </w:r>
    </w:p>
    <w:p w14:paraId="189ECE58" w14:textId="77777777" w:rsidR="00224ABF" w:rsidRPr="00224ABF" w:rsidRDefault="00224ABF" w:rsidP="00224ABF">
      <w:pPr>
        <w:spacing w:after="0"/>
        <w:ind w:left="720"/>
        <w:contextualSpacing/>
        <w:jc w:val="both"/>
        <w:rPr>
          <w:rFonts w:eastAsiaTheme="minorHAnsi" w:cs="Arial"/>
          <w:noProof/>
        </w:rPr>
      </w:pPr>
    </w:p>
    <w:p w14:paraId="1F5ED29F" w14:textId="77777777" w:rsidR="00224ABF" w:rsidRPr="00224ABF" w:rsidRDefault="00224ABF" w:rsidP="00224ABF">
      <w:pPr>
        <w:spacing w:after="0"/>
        <w:jc w:val="both"/>
        <w:rPr>
          <w:rFonts w:eastAsiaTheme="minorHAnsi" w:cs="Arial"/>
          <w:b/>
          <w:noProof/>
        </w:rPr>
      </w:pPr>
      <w:r w:rsidRPr="00224ABF">
        <w:rPr>
          <w:rFonts w:eastAsiaTheme="minorHAnsi" w:cs="Arial"/>
          <w:b/>
          <w:noProof/>
        </w:rPr>
        <w:t>Etapa de Construcción:</w:t>
      </w:r>
    </w:p>
    <w:p w14:paraId="13C2F0A3" w14:textId="77777777" w:rsidR="00224ABF" w:rsidRPr="00224ABF" w:rsidRDefault="00224ABF" w:rsidP="00224ABF">
      <w:pPr>
        <w:spacing w:after="0"/>
        <w:jc w:val="both"/>
        <w:rPr>
          <w:rFonts w:eastAsiaTheme="minorHAnsi" w:cs="Arial"/>
          <w:b/>
          <w:noProof/>
        </w:rPr>
      </w:pPr>
      <w:r w:rsidRPr="00224ABF">
        <w:rPr>
          <w:rFonts w:eastAsiaTheme="minorHAnsi" w:cs="Arial"/>
          <w:b/>
          <w:noProof/>
        </w:rPr>
        <w:t>36 meses, inicio el 11 de febrero de 2014</w:t>
      </w:r>
    </w:p>
    <w:p w14:paraId="38964CA5" w14:textId="77777777" w:rsidR="00224ABF" w:rsidRPr="00224ABF" w:rsidRDefault="00224ABF" w:rsidP="00224ABF">
      <w:pPr>
        <w:numPr>
          <w:ilvl w:val="0"/>
          <w:numId w:val="153"/>
        </w:numPr>
        <w:spacing w:after="0"/>
        <w:contextualSpacing/>
        <w:jc w:val="both"/>
        <w:rPr>
          <w:rFonts w:eastAsiaTheme="minorHAnsi" w:cs="Arial"/>
          <w:noProof/>
        </w:rPr>
      </w:pPr>
      <w:r w:rsidRPr="00224ABF">
        <w:rPr>
          <w:rFonts w:eastAsiaTheme="minorHAnsi" w:cs="Arial"/>
          <w:noProof/>
        </w:rPr>
        <w:t>Se desarrollan constantes actividades de mantenimiento al corredor concesionado.</w:t>
      </w:r>
    </w:p>
    <w:p w14:paraId="79072EF4" w14:textId="77777777" w:rsidR="00224ABF" w:rsidRPr="00224ABF" w:rsidRDefault="00224ABF" w:rsidP="00224ABF">
      <w:pPr>
        <w:numPr>
          <w:ilvl w:val="0"/>
          <w:numId w:val="153"/>
        </w:numPr>
        <w:spacing w:after="0"/>
        <w:contextualSpacing/>
        <w:jc w:val="both"/>
        <w:rPr>
          <w:rFonts w:eastAsiaTheme="minorHAnsi" w:cs="Arial"/>
          <w:noProof/>
        </w:rPr>
      </w:pPr>
      <w:r w:rsidRPr="00224ABF">
        <w:rPr>
          <w:rFonts w:eastAsiaTheme="minorHAnsi" w:cs="Arial"/>
          <w:noProof/>
        </w:rPr>
        <w:t>Se han realizado reuniones de socializacion con las comunidades de los sectores Buga 5 febrero,  Yotoco  5 febrero  y comunidad Sabaletas 6 febrero.</w:t>
      </w:r>
    </w:p>
    <w:p w14:paraId="23A13EC1" w14:textId="77777777" w:rsidR="00224ABF" w:rsidRPr="00224ABF" w:rsidRDefault="00224ABF" w:rsidP="00224ABF">
      <w:pPr>
        <w:numPr>
          <w:ilvl w:val="0"/>
          <w:numId w:val="153"/>
        </w:numPr>
        <w:spacing w:after="0"/>
        <w:contextualSpacing/>
        <w:jc w:val="both"/>
        <w:rPr>
          <w:rFonts w:eastAsiaTheme="minorHAnsi" w:cs="Arial"/>
        </w:rPr>
      </w:pPr>
      <w:r w:rsidRPr="00224ABF">
        <w:rPr>
          <w:rFonts w:eastAsiaTheme="minorHAnsi" w:cs="Arial"/>
        </w:rPr>
        <w:t>Se ha realizado la Rehabilitación de aproximadamente 2.05 km de la calzada existente. En el sector 4, Buga Media Canoa se recuperaron sectores donde se presentaban bajas condiciones de confort para los usuarios de la vía concesionada</w:t>
      </w:r>
    </w:p>
    <w:p w14:paraId="7BF12C2E" w14:textId="77777777" w:rsidR="00224ABF" w:rsidRPr="00224ABF" w:rsidRDefault="00224ABF" w:rsidP="00224ABF">
      <w:pPr>
        <w:numPr>
          <w:ilvl w:val="0"/>
          <w:numId w:val="153"/>
        </w:numPr>
        <w:spacing w:after="0"/>
        <w:contextualSpacing/>
        <w:jc w:val="both"/>
        <w:rPr>
          <w:rFonts w:eastAsiaTheme="minorHAnsi" w:cs="Arial"/>
        </w:rPr>
      </w:pPr>
      <w:r w:rsidRPr="00224ABF">
        <w:rPr>
          <w:rFonts w:eastAsiaTheme="minorHAnsi" w:cs="Arial"/>
        </w:rPr>
        <w:t xml:space="preserve">Interventoría desarrollo la primera toma de Información para la medición de Indicadores, </w:t>
      </w:r>
    </w:p>
    <w:p w14:paraId="6E38D825" w14:textId="78F75D4E" w:rsidR="00224ABF" w:rsidRPr="00224ABF" w:rsidRDefault="00224ABF" w:rsidP="00224ABF">
      <w:pPr>
        <w:numPr>
          <w:ilvl w:val="0"/>
          <w:numId w:val="153"/>
        </w:numPr>
        <w:spacing w:after="0"/>
        <w:contextualSpacing/>
        <w:jc w:val="both"/>
        <w:rPr>
          <w:rFonts w:eastAsiaTheme="minorHAnsi" w:cs="Arial"/>
        </w:rPr>
      </w:pPr>
      <w:r w:rsidRPr="00224ABF">
        <w:rPr>
          <w:rFonts w:eastAsiaTheme="minorHAnsi" w:cs="Arial"/>
        </w:rPr>
        <w:t>Se han desarrollado reunión de socialización con la Super</w:t>
      </w:r>
      <w:r w:rsidR="00631F80">
        <w:rPr>
          <w:rFonts w:eastAsiaTheme="minorHAnsi" w:cs="Arial"/>
        </w:rPr>
        <w:t>i</w:t>
      </w:r>
      <w:r w:rsidRPr="00224ABF">
        <w:rPr>
          <w:rFonts w:eastAsiaTheme="minorHAnsi" w:cs="Arial"/>
        </w:rPr>
        <w:t>ntendencia de Transporte.</w:t>
      </w:r>
    </w:p>
    <w:p w14:paraId="15C8F1F7" w14:textId="77777777" w:rsidR="00224ABF" w:rsidRPr="00224ABF" w:rsidRDefault="00224ABF" w:rsidP="00224ABF">
      <w:pPr>
        <w:numPr>
          <w:ilvl w:val="0"/>
          <w:numId w:val="153"/>
        </w:numPr>
        <w:spacing w:after="0"/>
        <w:contextualSpacing/>
        <w:jc w:val="both"/>
        <w:rPr>
          <w:rFonts w:eastAsiaTheme="minorHAnsi" w:cs="Arial"/>
        </w:rPr>
      </w:pPr>
      <w:r w:rsidRPr="00224ABF">
        <w:rPr>
          <w:rFonts w:eastAsiaTheme="minorHAnsi" w:cs="Arial"/>
        </w:rPr>
        <w:t xml:space="preserve">Se desarrollado auditoria al proyecto por la oficina de Control Interno de la Entidad (27 y 28 de marzo). </w:t>
      </w:r>
    </w:p>
    <w:p w14:paraId="58F74135" w14:textId="77777777" w:rsidR="00224ABF" w:rsidRPr="00224ABF" w:rsidRDefault="00224ABF" w:rsidP="00224ABF">
      <w:pPr>
        <w:numPr>
          <w:ilvl w:val="0"/>
          <w:numId w:val="153"/>
        </w:numPr>
        <w:spacing w:after="0"/>
        <w:contextualSpacing/>
        <w:jc w:val="both"/>
        <w:rPr>
          <w:rFonts w:eastAsiaTheme="minorHAnsi" w:cs="Arial"/>
          <w:noProof/>
        </w:rPr>
      </w:pPr>
      <w:r w:rsidRPr="00224ABF">
        <w:rPr>
          <w:rFonts w:eastAsiaTheme="minorHAnsi" w:cs="Arial"/>
          <w:noProof/>
        </w:rPr>
        <w:t>Se han generado sugerencias y recomendaciones por parte de la firma Interventora a los Estudios y Doseños del Concesionario, LA entidad solicito al complementacion del Plan Basico Social y el PAGA.</w:t>
      </w:r>
    </w:p>
    <w:p w14:paraId="208D7C1A" w14:textId="77777777" w:rsidR="00224ABF" w:rsidRPr="00224ABF" w:rsidRDefault="00224ABF" w:rsidP="00224ABF">
      <w:pPr>
        <w:numPr>
          <w:ilvl w:val="0"/>
          <w:numId w:val="153"/>
        </w:numPr>
        <w:spacing w:after="0"/>
        <w:contextualSpacing/>
        <w:jc w:val="both"/>
        <w:rPr>
          <w:rFonts w:eastAsiaTheme="minorHAnsi" w:cs="Arial"/>
        </w:rPr>
      </w:pPr>
      <w:r w:rsidRPr="00224ABF">
        <w:rPr>
          <w:rFonts w:eastAsiaTheme="minorHAnsi" w:cs="Arial"/>
        </w:rPr>
        <w:t>El día 31 de marzo de 2014 finalizo el recaudo de la estación de peaje Loboguerrero con destino a la subcuenta de excedentes de la Entidad.</w:t>
      </w:r>
    </w:p>
    <w:p w14:paraId="6EDEAFDC" w14:textId="77777777" w:rsidR="00224ABF" w:rsidRPr="00224ABF" w:rsidRDefault="00224ABF" w:rsidP="00224ABF">
      <w:pPr>
        <w:numPr>
          <w:ilvl w:val="0"/>
          <w:numId w:val="153"/>
        </w:numPr>
        <w:spacing w:after="0"/>
        <w:contextualSpacing/>
        <w:jc w:val="both"/>
        <w:rPr>
          <w:rFonts w:eastAsiaTheme="minorHAnsi" w:cs="Arial"/>
        </w:rPr>
      </w:pPr>
      <w:r w:rsidRPr="00224ABF">
        <w:rPr>
          <w:rFonts w:eastAsiaTheme="minorHAnsi" w:cs="Arial"/>
        </w:rPr>
        <w:t>A partir del 1 de abril se inició el recaudo del peaje Loboguerrero con destino a la cuenta de recaudo de peajes de la Fiducia.</w:t>
      </w:r>
    </w:p>
    <w:p w14:paraId="516891E3" w14:textId="77777777" w:rsidR="00224ABF" w:rsidRPr="00224ABF" w:rsidRDefault="00224ABF" w:rsidP="00224ABF">
      <w:pPr>
        <w:numPr>
          <w:ilvl w:val="0"/>
          <w:numId w:val="153"/>
        </w:numPr>
        <w:spacing w:after="0"/>
        <w:contextualSpacing/>
        <w:jc w:val="both"/>
        <w:rPr>
          <w:rFonts w:eastAsiaTheme="minorHAnsi" w:cs="Arial"/>
        </w:rPr>
      </w:pPr>
      <w:r w:rsidRPr="00224ABF">
        <w:rPr>
          <w:rFonts w:eastAsiaTheme="minorHAnsi" w:cs="Arial"/>
        </w:rPr>
        <w:t>Avance discriminado por sectores e ítems, información conciliada con Interventoría:</w:t>
      </w:r>
    </w:p>
    <w:p w14:paraId="33B19B1D" w14:textId="77777777" w:rsidR="00224ABF" w:rsidRPr="00224ABF" w:rsidRDefault="00224ABF" w:rsidP="00224ABF">
      <w:pPr>
        <w:spacing w:after="0"/>
        <w:ind w:left="720"/>
        <w:contextualSpacing/>
        <w:jc w:val="both"/>
        <w:rPr>
          <w:rFonts w:eastAsiaTheme="minorHAnsi" w:cs="Arial"/>
        </w:rPr>
      </w:pPr>
    </w:p>
    <w:tbl>
      <w:tblPr>
        <w:tblW w:w="6680" w:type="dxa"/>
        <w:jc w:val="center"/>
        <w:tblCellMar>
          <w:left w:w="70" w:type="dxa"/>
          <w:right w:w="70" w:type="dxa"/>
        </w:tblCellMar>
        <w:tblLook w:val="04A0" w:firstRow="1" w:lastRow="0" w:firstColumn="1" w:lastColumn="0" w:noHBand="0" w:noVBand="1"/>
      </w:tblPr>
      <w:tblGrid>
        <w:gridCol w:w="972"/>
        <w:gridCol w:w="1601"/>
        <w:gridCol w:w="1513"/>
        <w:gridCol w:w="1554"/>
        <w:gridCol w:w="1040"/>
      </w:tblGrid>
      <w:tr w:rsidR="00224ABF" w:rsidRPr="00224ABF" w14:paraId="594ECA0B" w14:textId="77777777" w:rsidTr="0054297D">
        <w:trPr>
          <w:trHeight w:val="315"/>
          <w:jc w:val="center"/>
        </w:trPr>
        <w:tc>
          <w:tcPr>
            <w:tcW w:w="6680" w:type="dxa"/>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3F9885B8"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lastRenderedPageBreak/>
              <w:t>INTERVENCIONES REHABILITACION BUGA - LOBOGUERRERO</w:t>
            </w:r>
          </w:p>
        </w:tc>
      </w:tr>
      <w:tr w:rsidR="00224ABF" w:rsidRPr="00224ABF" w14:paraId="32EC97E6" w14:textId="77777777" w:rsidTr="0054297D">
        <w:trPr>
          <w:trHeight w:val="315"/>
          <w:jc w:val="center"/>
        </w:trPr>
        <w:tc>
          <w:tcPr>
            <w:tcW w:w="972" w:type="dxa"/>
            <w:tcBorders>
              <w:top w:val="nil"/>
              <w:left w:val="single" w:sz="8" w:space="0" w:color="auto"/>
              <w:bottom w:val="single" w:sz="8" w:space="0" w:color="auto"/>
              <w:right w:val="single" w:sz="4" w:space="0" w:color="auto"/>
            </w:tcBorders>
            <w:shd w:val="clear" w:color="000000" w:fill="D9D9D9"/>
            <w:noWrap/>
            <w:vAlign w:val="bottom"/>
            <w:hideMark/>
          </w:tcPr>
          <w:p w14:paraId="3EA9FEE8"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t>Carril</w:t>
            </w:r>
          </w:p>
        </w:tc>
        <w:tc>
          <w:tcPr>
            <w:tcW w:w="1601" w:type="dxa"/>
            <w:tcBorders>
              <w:top w:val="nil"/>
              <w:left w:val="nil"/>
              <w:bottom w:val="single" w:sz="8" w:space="0" w:color="auto"/>
              <w:right w:val="single" w:sz="4" w:space="0" w:color="auto"/>
            </w:tcBorders>
            <w:shd w:val="clear" w:color="000000" w:fill="D9D9D9"/>
            <w:noWrap/>
            <w:vAlign w:val="bottom"/>
            <w:hideMark/>
          </w:tcPr>
          <w:p w14:paraId="1AA4EE3D"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t>PR inicial</w:t>
            </w:r>
          </w:p>
        </w:tc>
        <w:tc>
          <w:tcPr>
            <w:tcW w:w="1513" w:type="dxa"/>
            <w:tcBorders>
              <w:top w:val="nil"/>
              <w:left w:val="nil"/>
              <w:bottom w:val="single" w:sz="8" w:space="0" w:color="auto"/>
              <w:right w:val="single" w:sz="4" w:space="0" w:color="auto"/>
            </w:tcBorders>
            <w:shd w:val="clear" w:color="000000" w:fill="D9D9D9"/>
            <w:noWrap/>
            <w:vAlign w:val="bottom"/>
            <w:hideMark/>
          </w:tcPr>
          <w:p w14:paraId="4454597A"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t>PR final</w:t>
            </w:r>
          </w:p>
        </w:tc>
        <w:tc>
          <w:tcPr>
            <w:tcW w:w="1554" w:type="dxa"/>
            <w:tcBorders>
              <w:top w:val="nil"/>
              <w:left w:val="nil"/>
              <w:bottom w:val="single" w:sz="8" w:space="0" w:color="auto"/>
              <w:right w:val="single" w:sz="4" w:space="0" w:color="auto"/>
            </w:tcBorders>
            <w:shd w:val="clear" w:color="000000" w:fill="D9D9D9"/>
            <w:noWrap/>
            <w:vAlign w:val="bottom"/>
            <w:hideMark/>
          </w:tcPr>
          <w:p w14:paraId="72F96373"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t>Longitud</w:t>
            </w:r>
          </w:p>
        </w:tc>
        <w:tc>
          <w:tcPr>
            <w:tcW w:w="1040" w:type="dxa"/>
            <w:tcBorders>
              <w:top w:val="nil"/>
              <w:left w:val="nil"/>
              <w:bottom w:val="single" w:sz="8" w:space="0" w:color="auto"/>
              <w:right w:val="single" w:sz="8" w:space="0" w:color="auto"/>
            </w:tcBorders>
            <w:shd w:val="clear" w:color="000000" w:fill="D9D9D9"/>
            <w:noWrap/>
            <w:vAlign w:val="bottom"/>
            <w:hideMark/>
          </w:tcPr>
          <w:p w14:paraId="64693394"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t>Mes</w:t>
            </w:r>
          </w:p>
        </w:tc>
      </w:tr>
      <w:tr w:rsidR="00224ABF" w:rsidRPr="00224ABF" w14:paraId="115EF88A" w14:textId="77777777" w:rsidTr="0054297D">
        <w:trPr>
          <w:trHeight w:val="300"/>
          <w:jc w:val="center"/>
        </w:trPr>
        <w:tc>
          <w:tcPr>
            <w:tcW w:w="972" w:type="dxa"/>
            <w:tcBorders>
              <w:top w:val="nil"/>
              <w:left w:val="single" w:sz="8" w:space="0" w:color="auto"/>
              <w:bottom w:val="single" w:sz="4" w:space="0" w:color="auto"/>
              <w:right w:val="single" w:sz="4" w:space="0" w:color="auto"/>
            </w:tcBorders>
            <w:shd w:val="clear" w:color="auto" w:fill="auto"/>
            <w:noWrap/>
            <w:vAlign w:val="bottom"/>
            <w:hideMark/>
          </w:tcPr>
          <w:p w14:paraId="398C11F2"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Der</w:t>
            </w:r>
          </w:p>
        </w:tc>
        <w:tc>
          <w:tcPr>
            <w:tcW w:w="1601" w:type="dxa"/>
            <w:tcBorders>
              <w:top w:val="nil"/>
              <w:left w:val="nil"/>
              <w:bottom w:val="single" w:sz="4" w:space="0" w:color="auto"/>
              <w:right w:val="single" w:sz="4" w:space="0" w:color="auto"/>
            </w:tcBorders>
            <w:shd w:val="clear" w:color="auto" w:fill="auto"/>
            <w:noWrap/>
            <w:vAlign w:val="bottom"/>
            <w:hideMark/>
          </w:tcPr>
          <w:p w14:paraId="4D993E04"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114+550</w:t>
            </w:r>
          </w:p>
        </w:tc>
        <w:tc>
          <w:tcPr>
            <w:tcW w:w="1513" w:type="dxa"/>
            <w:tcBorders>
              <w:top w:val="nil"/>
              <w:left w:val="nil"/>
              <w:bottom w:val="single" w:sz="4" w:space="0" w:color="auto"/>
              <w:right w:val="single" w:sz="4" w:space="0" w:color="auto"/>
            </w:tcBorders>
            <w:shd w:val="clear" w:color="auto" w:fill="auto"/>
            <w:noWrap/>
            <w:vAlign w:val="bottom"/>
            <w:hideMark/>
          </w:tcPr>
          <w:p w14:paraId="0AECF5C6"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115+440</w:t>
            </w:r>
          </w:p>
        </w:tc>
        <w:tc>
          <w:tcPr>
            <w:tcW w:w="1554" w:type="dxa"/>
            <w:tcBorders>
              <w:top w:val="nil"/>
              <w:left w:val="nil"/>
              <w:bottom w:val="single" w:sz="4" w:space="0" w:color="auto"/>
              <w:right w:val="single" w:sz="4" w:space="0" w:color="auto"/>
            </w:tcBorders>
            <w:shd w:val="clear" w:color="auto" w:fill="auto"/>
            <w:noWrap/>
            <w:vAlign w:val="bottom"/>
            <w:hideMark/>
          </w:tcPr>
          <w:p w14:paraId="3F9D69FF"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890</w:t>
            </w:r>
          </w:p>
        </w:tc>
        <w:tc>
          <w:tcPr>
            <w:tcW w:w="1040" w:type="dxa"/>
            <w:tcBorders>
              <w:top w:val="nil"/>
              <w:left w:val="nil"/>
              <w:bottom w:val="single" w:sz="4" w:space="0" w:color="auto"/>
              <w:right w:val="single" w:sz="8" w:space="0" w:color="auto"/>
            </w:tcBorders>
            <w:shd w:val="clear" w:color="auto" w:fill="auto"/>
            <w:noWrap/>
            <w:vAlign w:val="bottom"/>
            <w:hideMark/>
          </w:tcPr>
          <w:p w14:paraId="14F836E7"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Enero</w:t>
            </w:r>
          </w:p>
        </w:tc>
      </w:tr>
      <w:tr w:rsidR="00224ABF" w:rsidRPr="00224ABF" w14:paraId="03F9EBD4" w14:textId="77777777" w:rsidTr="0054297D">
        <w:trPr>
          <w:trHeight w:val="315"/>
          <w:jc w:val="center"/>
        </w:trPr>
        <w:tc>
          <w:tcPr>
            <w:tcW w:w="972" w:type="dxa"/>
            <w:tcBorders>
              <w:top w:val="nil"/>
              <w:left w:val="single" w:sz="8" w:space="0" w:color="auto"/>
              <w:bottom w:val="single" w:sz="8" w:space="0" w:color="auto"/>
              <w:right w:val="single" w:sz="4" w:space="0" w:color="auto"/>
            </w:tcBorders>
            <w:shd w:val="clear" w:color="auto" w:fill="auto"/>
            <w:noWrap/>
            <w:vAlign w:val="bottom"/>
            <w:hideMark/>
          </w:tcPr>
          <w:p w14:paraId="03717797"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Izq</w:t>
            </w:r>
          </w:p>
        </w:tc>
        <w:tc>
          <w:tcPr>
            <w:tcW w:w="1601" w:type="dxa"/>
            <w:tcBorders>
              <w:top w:val="nil"/>
              <w:left w:val="nil"/>
              <w:bottom w:val="single" w:sz="8" w:space="0" w:color="auto"/>
              <w:right w:val="single" w:sz="4" w:space="0" w:color="auto"/>
            </w:tcBorders>
            <w:shd w:val="clear" w:color="auto" w:fill="auto"/>
            <w:noWrap/>
            <w:vAlign w:val="bottom"/>
            <w:hideMark/>
          </w:tcPr>
          <w:p w14:paraId="33058AD6"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114+550</w:t>
            </w:r>
          </w:p>
        </w:tc>
        <w:tc>
          <w:tcPr>
            <w:tcW w:w="1513" w:type="dxa"/>
            <w:tcBorders>
              <w:top w:val="nil"/>
              <w:left w:val="nil"/>
              <w:bottom w:val="single" w:sz="8" w:space="0" w:color="auto"/>
              <w:right w:val="single" w:sz="4" w:space="0" w:color="auto"/>
            </w:tcBorders>
            <w:shd w:val="clear" w:color="auto" w:fill="auto"/>
            <w:noWrap/>
            <w:vAlign w:val="bottom"/>
            <w:hideMark/>
          </w:tcPr>
          <w:p w14:paraId="76AC094F"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115+440</w:t>
            </w:r>
          </w:p>
        </w:tc>
        <w:tc>
          <w:tcPr>
            <w:tcW w:w="1554" w:type="dxa"/>
            <w:tcBorders>
              <w:top w:val="nil"/>
              <w:left w:val="nil"/>
              <w:bottom w:val="single" w:sz="8" w:space="0" w:color="auto"/>
              <w:right w:val="single" w:sz="4" w:space="0" w:color="auto"/>
            </w:tcBorders>
            <w:shd w:val="clear" w:color="auto" w:fill="auto"/>
            <w:noWrap/>
            <w:vAlign w:val="bottom"/>
            <w:hideMark/>
          </w:tcPr>
          <w:p w14:paraId="40EE062C"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890</w:t>
            </w:r>
          </w:p>
        </w:tc>
        <w:tc>
          <w:tcPr>
            <w:tcW w:w="1040" w:type="dxa"/>
            <w:tcBorders>
              <w:top w:val="nil"/>
              <w:left w:val="nil"/>
              <w:bottom w:val="single" w:sz="8" w:space="0" w:color="auto"/>
              <w:right w:val="single" w:sz="8" w:space="0" w:color="auto"/>
            </w:tcBorders>
            <w:shd w:val="clear" w:color="auto" w:fill="auto"/>
            <w:noWrap/>
            <w:vAlign w:val="bottom"/>
            <w:hideMark/>
          </w:tcPr>
          <w:p w14:paraId="066FA42C"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Enero</w:t>
            </w:r>
          </w:p>
        </w:tc>
      </w:tr>
      <w:tr w:rsidR="00224ABF" w:rsidRPr="00224ABF" w14:paraId="09779442" w14:textId="77777777" w:rsidTr="0054297D">
        <w:trPr>
          <w:trHeight w:val="300"/>
          <w:jc w:val="center"/>
        </w:trPr>
        <w:tc>
          <w:tcPr>
            <w:tcW w:w="972" w:type="dxa"/>
            <w:tcBorders>
              <w:top w:val="nil"/>
              <w:left w:val="single" w:sz="8" w:space="0" w:color="auto"/>
              <w:bottom w:val="single" w:sz="4" w:space="0" w:color="auto"/>
              <w:right w:val="single" w:sz="4" w:space="0" w:color="auto"/>
            </w:tcBorders>
            <w:shd w:val="clear" w:color="auto" w:fill="auto"/>
            <w:noWrap/>
            <w:vAlign w:val="bottom"/>
            <w:hideMark/>
          </w:tcPr>
          <w:p w14:paraId="25D8CE34"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Der</w:t>
            </w:r>
          </w:p>
        </w:tc>
        <w:tc>
          <w:tcPr>
            <w:tcW w:w="1601" w:type="dxa"/>
            <w:tcBorders>
              <w:top w:val="nil"/>
              <w:left w:val="nil"/>
              <w:bottom w:val="single" w:sz="4" w:space="0" w:color="auto"/>
              <w:right w:val="single" w:sz="4" w:space="0" w:color="auto"/>
            </w:tcBorders>
            <w:shd w:val="clear" w:color="auto" w:fill="auto"/>
            <w:noWrap/>
            <w:vAlign w:val="bottom"/>
            <w:hideMark/>
          </w:tcPr>
          <w:p w14:paraId="096B5E7C"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114+210</w:t>
            </w:r>
          </w:p>
        </w:tc>
        <w:tc>
          <w:tcPr>
            <w:tcW w:w="1513" w:type="dxa"/>
            <w:tcBorders>
              <w:top w:val="nil"/>
              <w:left w:val="nil"/>
              <w:bottom w:val="single" w:sz="4" w:space="0" w:color="auto"/>
              <w:right w:val="single" w:sz="4" w:space="0" w:color="auto"/>
            </w:tcBorders>
            <w:shd w:val="clear" w:color="auto" w:fill="auto"/>
            <w:noWrap/>
            <w:vAlign w:val="bottom"/>
            <w:hideMark/>
          </w:tcPr>
          <w:p w14:paraId="77147A5C"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114+550</w:t>
            </w:r>
          </w:p>
        </w:tc>
        <w:tc>
          <w:tcPr>
            <w:tcW w:w="1554" w:type="dxa"/>
            <w:tcBorders>
              <w:top w:val="nil"/>
              <w:left w:val="nil"/>
              <w:bottom w:val="single" w:sz="4" w:space="0" w:color="auto"/>
              <w:right w:val="single" w:sz="4" w:space="0" w:color="auto"/>
            </w:tcBorders>
            <w:shd w:val="clear" w:color="auto" w:fill="auto"/>
            <w:noWrap/>
            <w:vAlign w:val="bottom"/>
            <w:hideMark/>
          </w:tcPr>
          <w:p w14:paraId="67A707EA"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340</w:t>
            </w:r>
          </w:p>
        </w:tc>
        <w:tc>
          <w:tcPr>
            <w:tcW w:w="1040" w:type="dxa"/>
            <w:tcBorders>
              <w:top w:val="nil"/>
              <w:left w:val="nil"/>
              <w:bottom w:val="single" w:sz="4" w:space="0" w:color="auto"/>
              <w:right w:val="single" w:sz="8" w:space="0" w:color="auto"/>
            </w:tcBorders>
            <w:shd w:val="clear" w:color="auto" w:fill="auto"/>
            <w:noWrap/>
            <w:vAlign w:val="bottom"/>
            <w:hideMark/>
          </w:tcPr>
          <w:p w14:paraId="0DE79CD0"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Abril</w:t>
            </w:r>
          </w:p>
        </w:tc>
      </w:tr>
      <w:tr w:rsidR="00224ABF" w:rsidRPr="00224ABF" w14:paraId="7EE87942" w14:textId="77777777" w:rsidTr="0054297D">
        <w:trPr>
          <w:trHeight w:val="315"/>
          <w:jc w:val="center"/>
        </w:trPr>
        <w:tc>
          <w:tcPr>
            <w:tcW w:w="972" w:type="dxa"/>
            <w:tcBorders>
              <w:top w:val="nil"/>
              <w:left w:val="single" w:sz="8" w:space="0" w:color="auto"/>
              <w:bottom w:val="single" w:sz="8" w:space="0" w:color="auto"/>
              <w:right w:val="single" w:sz="4" w:space="0" w:color="auto"/>
            </w:tcBorders>
            <w:shd w:val="clear" w:color="auto" w:fill="auto"/>
            <w:noWrap/>
            <w:vAlign w:val="bottom"/>
            <w:hideMark/>
          </w:tcPr>
          <w:p w14:paraId="4B7F6066"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Izq</w:t>
            </w:r>
          </w:p>
        </w:tc>
        <w:tc>
          <w:tcPr>
            <w:tcW w:w="1601" w:type="dxa"/>
            <w:tcBorders>
              <w:top w:val="nil"/>
              <w:left w:val="nil"/>
              <w:bottom w:val="single" w:sz="8" w:space="0" w:color="auto"/>
              <w:right w:val="single" w:sz="4" w:space="0" w:color="auto"/>
            </w:tcBorders>
            <w:shd w:val="clear" w:color="auto" w:fill="auto"/>
            <w:noWrap/>
            <w:vAlign w:val="bottom"/>
            <w:hideMark/>
          </w:tcPr>
          <w:p w14:paraId="70A1FA46"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114+340</w:t>
            </w:r>
          </w:p>
        </w:tc>
        <w:tc>
          <w:tcPr>
            <w:tcW w:w="1513" w:type="dxa"/>
            <w:tcBorders>
              <w:top w:val="nil"/>
              <w:left w:val="nil"/>
              <w:bottom w:val="single" w:sz="8" w:space="0" w:color="auto"/>
              <w:right w:val="single" w:sz="4" w:space="0" w:color="auto"/>
            </w:tcBorders>
            <w:shd w:val="clear" w:color="auto" w:fill="auto"/>
            <w:noWrap/>
            <w:vAlign w:val="bottom"/>
            <w:hideMark/>
          </w:tcPr>
          <w:p w14:paraId="110B4BBD"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114+550</w:t>
            </w:r>
          </w:p>
        </w:tc>
        <w:tc>
          <w:tcPr>
            <w:tcW w:w="1554" w:type="dxa"/>
            <w:tcBorders>
              <w:top w:val="nil"/>
              <w:left w:val="nil"/>
              <w:bottom w:val="single" w:sz="8" w:space="0" w:color="auto"/>
              <w:right w:val="single" w:sz="4" w:space="0" w:color="auto"/>
            </w:tcBorders>
            <w:shd w:val="clear" w:color="auto" w:fill="auto"/>
            <w:noWrap/>
            <w:vAlign w:val="bottom"/>
            <w:hideMark/>
          </w:tcPr>
          <w:p w14:paraId="79655252"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210</w:t>
            </w:r>
          </w:p>
        </w:tc>
        <w:tc>
          <w:tcPr>
            <w:tcW w:w="1040" w:type="dxa"/>
            <w:tcBorders>
              <w:top w:val="nil"/>
              <w:left w:val="nil"/>
              <w:bottom w:val="single" w:sz="8" w:space="0" w:color="auto"/>
              <w:right w:val="single" w:sz="8" w:space="0" w:color="auto"/>
            </w:tcBorders>
            <w:shd w:val="clear" w:color="auto" w:fill="auto"/>
            <w:noWrap/>
            <w:vAlign w:val="bottom"/>
            <w:hideMark/>
          </w:tcPr>
          <w:p w14:paraId="3F140AA0"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Abril</w:t>
            </w:r>
          </w:p>
        </w:tc>
      </w:tr>
      <w:tr w:rsidR="00224ABF" w:rsidRPr="00224ABF" w14:paraId="4284F2E7" w14:textId="77777777" w:rsidTr="0054297D">
        <w:trPr>
          <w:trHeight w:val="300"/>
          <w:jc w:val="center"/>
        </w:trPr>
        <w:tc>
          <w:tcPr>
            <w:tcW w:w="972" w:type="dxa"/>
            <w:tcBorders>
              <w:top w:val="nil"/>
              <w:left w:val="single" w:sz="8" w:space="0" w:color="auto"/>
              <w:bottom w:val="single" w:sz="4" w:space="0" w:color="auto"/>
              <w:right w:val="single" w:sz="4" w:space="0" w:color="auto"/>
            </w:tcBorders>
            <w:shd w:val="clear" w:color="auto" w:fill="auto"/>
            <w:noWrap/>
            <w:vAlign w:val="bottom"/>
            <w:hideMark/>
          </w:tcPr>
          <w:p w14:paraId="3780D0B6"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Der</w:t>
            </w:r>
          </w:p>
        </w:tc>
        <w:tc>
          <w:tcPr>
            <w:tcW w:w="1601" w:type="dxa"/>
            <w:tcBorders>
              <w:top w:val="nil"/>
              <w:left w:val="nil"/>
              <w:bottom w:val="single" w:sz="4" w:space="0" w:color="auto"/>
              <w:right w:val="single" w:sz="4" w:space="0" w:color="auto"/>
            </w:tcBorders>
            <w:shd w:val="clear" w:color="auto" w:fill="auto"/>
            <w:noWrap/>
            <w:vAlign w:val="bottom"/>
            <w:hideMark/>
          </w:tcPr>
          <w:p w14:paraId="63D3BA25"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111+000</w:t>
            </w:r>
          </w:p>
        </w:tc>
        <w:tc>
          <w:tcPr>
            <w:tcW w:w="1513" w:type="dxa"/>
            <w:tcBorders>
              <w:top w:val="nil"/>
              <w:left w:val="nil"/>
              <w:bottom w:val="single" w:sz="4" w:space="0" w:color="auto"/>
              <w:right w:val="single" w:sz="4" w:space="0" w:color="auto"/>
            </w:tcBorders>
            <w:shd w:val="clear" w:color="auto" w:fill="auto"/>
            <w:noWrap/>
            <w:vAlign w:val="bottom"/>
            <w:hideMark/>
          </w:tcPr>
          <w:p w14:paraId="4C990A16"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111+425</w:t>
            </w:r>
          </w:p>
        </w:tc>
        <w:tc>
          <w:tcPr>
            <w:tcW w:w="1554" w:type="dxa"/>
            <w:tcBorders>
              <w:top w:val="nil"/>
              <w:left w:val="nil"/>
              <w:bottom w:val="single" w:sz="4" w:space="0" w:color="auto"/>
              <w:right w:val="single" w:sz="4" w:space="0" w:color="auto"/>
            </w:tcBorders>
            <w:shd w:val="clear" w:color="auto" w:fill="auto"/>
            <w:noWrap/>
            <w:vAlign w:val="bottom"/>
            <w:hideMark/>
          </w:tcPr>
          <w:p w14:paraId="2624D65F"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425</w:t>
            </w:r>
          </w:p>
        </w:tc>
        <w:tc>
          <w:tcPr>
            <w:tcW w:w="1040" w:type="dxa"/>
            <w:tcBorders>
              <w:top w:val="nil"/>
              <w:left w:val="nil"/>
              <w:bottom w:val="single" w:sz="4" w:space="0" w:color="auto"/>
              <w:right w:val="single" w:sz="8" w:space="0" w:color="auto"/>
            </w:tcBorders>
            <w:shd w:val="clear" w:color="auto" w:fill="auto"/>
            <w:noWrap/>
            <w:vAlign w:val="bottom"/>
            <w:hideMark/>
          </w:tcPr>
          <w:p w14:paraId="6E40AEF6"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Abril</w:t>
            </w:r>
          </w:p>
        </w:tc>
      </w:tr>
      <w:tr w:rsidR="00224ABF" w:rsidRPr="00224ABF" w14:paraId="3B43AE1F" w14:textId="77777777" w:rsidTr="0054297D">
        <w:trPr>
          <w:trHeight w:val="315"/>
          <w:jc w:val="center"/>
        </w:trPr>
        <w:tc>
          <w:tcPr>
            <w:tcW w:w="972" w:type="dxa"/>
            <w:tcBorders>
              <w:top w:val="nil"/>
              <w:left w:val="single" w:sz="8" w:space="0" w:color="auto"/>
              <w:bottom w:val="single" w:sz="8" w:space="0" w:color="auto"/>
              <w:right w:val="single" w:sz="4" w:space="0" w:color="auto"/>
            </w:tcBorders>
            <w:shd w:val="clear" w:color="auto" w:fill="auto"/>
            <w:noWrap/>
            <w:vAlign w:val="bottom"/>
            <w:hideMark/>
          </w:tcPr>
          <w:p w14:paraId="0167522D"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Izq</w:t>
            </w:r>
          </w:p>
        </w:tc>
        <w:tc>
          <w:tcPr>
            <w:tcW w:w="1601" w:type="dxa"/>
            <w:tcBorders>
              <w:top w:val="nil"/>
              <w:left w:val="nil"/>
              <w:bottom w:val="single" w:sz="8" w:space="0" w:color="auto"/>
              <w:right w:val="single" w:sz="4" w:space="0" w:color="auto"/>
            </w:tcBorders>
            <w:shd w:val="clear" w:color="auto" w:fill="auto"/>
            <w:noWrap/>
            <w:vAlign w:val="bottom"/>
            <w:hideMark/>
          </w:tcPr>
          <w:p w14:paraId="73C83C0C"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111+000</w:t>
            </w:r>
          </w:p>
        </w:tc>
        <w:tc>
          <w:tcPr>
            <w:tcW w:w="1513" w:type="dxa"/>
            <w:tcBorders>
              <w:top w:val="nil"/>
              <w:left w:val="nil"/>
              <w:bottom w:val="single" w:sz="8" w:space="0" w:color="auto"/>
              <w:right w:val="single" w:sz="4" w:space="0" w:color="auto"/>
            </w:tcBorders>
            <w:shd w:val="clear" w:color="auto" w:fill="auto"/>
            <w:noWrap/>
            <w:vAlign w:val="bottom"/>
            <w:hideMark/>
          </w:tcPr>
          <w:p w14:paraId="63B47EEF"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111+425</w:t>
            </w:r>
          </w:p>
        </w:tc>
        <w:tc>
          <w:tcPr>
            <w:tcW w:w="1554" w:type="dxa"/>
            <w:tcBorders>
              <w:top w:val="nil"/>
              <w:left w:val="nil"/>
              <w:bottom w:val="single" w:sz="8" w:space="0" w:color="auto"/>
              <w:right w:val="single" w:sz="4" w:space="0" w:color="auto"/>
            </w:tcBorders>
            <w:shd w:val="clear" w:color="auto" w:fill="auto"/>
            <w:noWrap/>
            <w:vAlign w:val="bottom"/>
            <w:hideMark/>
          </w:tcPr>
          <w:p w14:paraId="1E7695D4"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425</w:t>
            </w:r>
          </w:p>
        </w:tc>
        <w:tc>
          <w:tcPr>
            <w:tcW w:w="1040" w:type="dxa"/>
            <w:tcBorders>
              <w:top w:val="nil"/>
              <w:left w:val="nil"/>
              <w:bottom w:val="single" w:sz="8" w:space="0" w:color="auto"/>
              <w:right w:val="single" w:sz="8" w:space="0" w:color="auto"/>
            </w:tcBorders>
            <w:shd w:val="clear" w:color="auto" w:fill="auto"/>
            <w:noWrap/>
            <w:vAlign w:val="bottom"/>
            <w:hideMark/>
          </w:tcPr>
          <w:p w14:paraId="465EBB49"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Abril</w:t>
            </w:r>
          </w:p>
        </w:tc>
      </w:tr>
      <w:tr w:rsidR="00224ABF" w:rsidRPr="00224ABF" w14:paraId="63CAEB35" w14:textId="77777777" w:rsidTr="0054297D">
        <w:trPr>
          <w:trHeight w:val="300"/>
          <w:jc w:val="center"/>
        </w:trPr>
        <w:tc>
          <w:tcPr>
            <w:tcW w:w="972" w:type="dxa"/>
            <w:tcBorders>
              <w:top w:val="nil"/>
              <w:left w:val="single" w:sz="8" w:space="0" w:color="auto"/>
              <w:bottom w:val="single" w:sz="4" w:space="0" w:color="auto"/>
              <w:right w:val="single" w:sz="4" w:space="0" w:color="auto"/>
            </w:tcBorders>
            <w:shd w:val="clear" w:color="auto" w:fill="auto"/>
            <w:noWrap/>
            <w:vAlign w:val="bottom"/>
            <w:hideMark/>
          </w:tcPr>
          <w:p w14:paraId="2E7BA37E"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Der</w:t>
            </w:r>
          </w:p>
        </w:tc>
        <w:tc>
          <w:tcPr>
            <w:tcW w:w="3114" w:type="dxa"/>
            <w:gridSpan w:val="2"/>
            <w:vMerge w:val="restart"/>
            <w:tcBorders>
              <w:top w:val="single" w:sz="8" w:space="0" w:color="auto"/>
              <w:left w:val="single" w:sz="4" w:space="0" w:color="auto"/>
              <w:bottom w:val="single" w:sz="8" w:space="0" w:color="000000"/>
              <w:right w:val="single" w:sz="4" w:space="0" w:color="000000"/>
            </w:tcBorders>
            <w:shd w:val="clear" w:color="auto" w:fill="auto"/>
            <w:vAlign w:val="center"/>
            <w:hideMark/>
          </w:tcPr>
          <w:p w14:paraId="583BF682"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Glorieta Media Canoa PR 111+425</w:t>
            </w:r>
          </w:p>
        </w:tc>
        <w:tc>
          <w:tcPr>
            <w:tcW w:w="1554" w:type="dxa"/>
            <w:tcBorders>
              <w:top w:val="nil"/>
              <w:left w:val="nil"/>
              <w:bottom w:val="single" w:sz="4" w:space="0" w:color="auto"/>
              <w:right w:val="single" w:sz="4" w:space="0" w:color="auto"/>
            </w:tcBorders>
            <w:shd w:val="clear" w:color="auto" w:fill="auto"/>
            <w:noWrap/>
            <w:vAlign w:val="bottom"/>
            <w:hideMark/>
          </w:tcPr>
          <w:p w14:paraId="0F6CBBFC"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230</w:t>
            </w:r>
          </w:p>
        </w:tc>
        <w:tc>
          <w:tcPr>
            <w:tcW w:w="1040" w:type="dxa"/>
            <w:tcBorders>
              <w:top w:val="nil"/>
              <w:left w:val="nil"/>
              <w:bottom w:val="single" w:sz="4" w:space="0" w:color="auto"/>
              <w:right w:val="single" w:sz="8" w:space="0" w:color="auto"/>
            </w:tcBorders>
            <w:shd w:val="clear" w:color="auto" w:fill="auto"/>
            <w:noWrap/>
            <w:vAlign w:val="bottom"/>
            <w:hideMark/>
          </w:tcPr>
          <w:p w14:paraId="59747575"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Abril</w:t>
            </w:r>
          </w:p>
        </w:tc>
      </w:tr>
      <w:tr w:rsidR="00224ABF" w:rsidRPr="00224ABF" w14:paraId="2B73526F" w14:textId="77777777" w:rsidTr="0054297D">
        <w:trPr>
          <w:trHeight w:val="315"/>
          <w:jc w:val="center"/>
        </w:trPr>
        <w:tc>
          <w:tcPr>
            <w:tcW w:w="972" w:type="dxa"/>
            <w:tcBorders>
              <w:top w:val="nil"/>
              <w:left w:val="single" w:sz="8" w:space="0" w:color="auto"/>
              <w:bottom w:val="single" w:sz="8" w:space="0" w:color="auto"/>
              <w:right w:val="single" w:sz="4" w:space="0" w:color="auto"/>
            </w:tcBorders>
            <w:shd w:val="clear" w:color="auto" w:fill="auto"/>
            <w:noWrap/>
            <w:vAlign w:val="bottom"/>
            <w:hideMark/>
          </w:tcPr>
          <w:p w14:paraId="7AAE4B0F"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Izq</w:t>
            </w:r>
          </w:p>
        </w:tc>
        <w:tc>
          <w:tcPr>
            <w:tcW w:w="3114" w:type="dxa"/>
            <w:gridSpan w:val="2"/>
            <w:vMerge/>
            <w:tcBorders>
              <w:top w:val="nil"/>
              <w:left w:val="single" w:sz="8" w:space="0" w:color="auto"/>
              <w:bottom w:val="single" w:sz="8" w:space="0" w:color="auto"/>
              <w:right w:val="single" w:sz="4" w:space="0" w:color="auto"/>
            </w:tcBorders>
            <w:vAlign w:val="center"/>
            <w:hideMark/>
          </w:tcPr>
          <w:p w14:paraId="0B82737E" w14:textId="77777777" w:rsidR="00224ABF" w:rsidRPr="00224ABF" w:rsidRDefault="00224ABF" w:rsidP="0054297D">
            <w:pPr>
              <w:spacing w:after="0"/>
              <w:jc w:val="both"/>
              <w:rPr>
                <w:rFonts w:eastAsia="Times New Roman" w:cs="Arial"/>
                <w:color w:val="000000"/>
              </w:rPr>
            </w:pPr>
          </w:p>
        </w:tc>
        <w:tc>
          <w:tcPr>
            <w:tcW w:w="1554" w:type="dxa"/>
            <w:tcBorders>
              <w:top w:val="nil"/>
              <w:left w:val="nil"/>
              <w:bottom w:val="single" w:sz="8" w:space="0" w:color="auto"/>
              <w:right w:val="single" w:sz="4" w:space="0" w:color="auto"/>
            </w:tcBorders>
            <w:shd w:val="clear" w:color="auto" w:fill="auto"/>
            <w:noWrap/>
            <w:vAlign w:val="bottom"/>
            <w:hideMark/>
          </w:tcPr>
          <w:p w14:paraId="269551C3"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230</w:t>
            </w:r>
          </w:p>
        </w:tc>
        <w:tc>
          <w:tcPr>
            <w:tcW w:w="1040" w:type="dxa"/>
            <w:tcBorders>
              <w:top w:val="nil"/>
              <w:left w:val="nil"/>
              <w:bottom w:val="single" w:sz="8" w:space="0" w:color="auto"/>
              <w:right w:val="single" w:sz="8" w:space="0" w:color="auto"/>
            </w:tcBorders>
            <w:shd w:val="clear" w:color="auto" w:fill="auto"/>
            <w:noWrap/>
            <w:vAlign w:val="bottom"/>
            <w:hideMark/>
          </w:tcPr>
          <w:p w14:paraId="496E6707"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Abril</w:t>
            </w:r>
          </w:p>
        </w:tc>
      </w:tr>
      <w:tr w:rsidR="00224ABF" w:rsidRPr="00224ABF" w14:paraId="20F4C55C" w14:textId="77777777" w:rsidTr="0054297D">
        <w:trPr>
          <w:trHeight w:val="315"/>
          <w:jc w:val="center"/>
        </w:trPr>
        <w:tc>
          <w:tcPr>
            <w:tcW w:w="5640" w:type="dxa"/>
            <w:gridSpan w:val="4"/>
            <w:tcBorders>
              <w:top w:val="single" w:sz="8" w:space="0" w:color="auto"/>
              <w:left w:val="single" w:sz="8" w:space="0" w:color="auto"/>
              <w:bottom w:val="single" w:sz="8" w:space="0" w:color="auto"/>
              <w:right w:val="nil"/>
            </w:tcBorders>
            <w:shd w:val="clear" w:color="auto" w:fill="auto"/>
            <w:noWrap/>
            <w:vAlign w:val="bottom"/>
            <w:hideMark/>
          </w:tcPr>
          <w:p w14:paraId="022E2C78"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t>TOTAL KM EN CALZADA SENCILLA REHABILITADOS</w:t>
            </w:r>
          </w:p>
        </w:tc>
        <w:tc>
          <w:tcPr>
            <w:tcW w:w="1040" w:type="dxa"/>
            <w:tcBorders>
              <w:top w:val="nil"/>
              <w:left w:val="single" w:sz="8" w:space="0" w:color="auto"/>
              <w:bottom w:val="single" w:sz="8" w:space="0" w:color="auto"/>
              <w:right w:val="single" w:sz="8" w:space="0" w:color="auto"/>
            </w:tcBorders>
            <w:shd w:val="clear" w:color="auto" w:fill="auto"/>
            <w:noWrap/>
            <w:vAlign w:val="bottom"/>
            <w:hideMark/>
          </w:tcPr>
          <w:p w14:paraId="406C974A"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t>2,05</w:t>
            </w:r>
          </w:p>
        </w:tc>
      </w:tr>
    </w:tbl>
    <w:p w14:paraId="69440BDF" w14:textId="77777777" w:rsidR="00224ABF" w:rsidRPr="00224ABF" w:rsidRDefault="00224ABF" w:rsidP="00224ABF">
      <w:pPr>
        <w:spacing w:after="0"/>
        <w:jc w:val="both"/>
        <w:rPr>
          <w:rFonts w:eastAsiaTheme="minorHAnsi" w:cs="Arial"/>
        </w:rPr>
      </w:pPr>
    </w:p>
    <w:tbl>
      <w:tblPr>
        <w:tblW w:w="6681" w:type="dxa"/>
        <w:jc w:val="center"/>
        <w:tblCellMar>
          <w:left w:w="70" w:type="dxa"/>
          <w:right w:w="70" w:type="dxa"/>
        </w:tblCellMar>
        <w:tblLook w:val="04A0" w:firstRow="1" w:lastRow="0" w:firstColumn="1" w:lastColumn="0" w:noHBand="0" w:noVBand="1"/>
      </w:tblPr>
      <w:tblGrid>
        <w:gridCol w:w="574"/>
        <w:gridCol w:w="1392"/>
        <w:gridCol w:w="1392"/>
        <w:gridCol w:w="820"/>
        <w:gridCol w:w="2503"/>
      </w:tblGrid>
      <w:tr w:rsidR="00224ABF" w:rsidRPr="00224ABF" w14:paraId="75B31969" w14:textId="77777777" w:rsidTr="0054297D">
        <w:trPr>
          <w:trHeight w:val="315"/>
          <w:jc w:val="center"/>
        </w:trPr>
        <w:tc>
          <w:tcPr>
            <w:tcW w:w="6681" w:type="dxa"/>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728865B7"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t>INTERVENCIONES MUROS</w:t>
            </w:r>
          </w:p>
        </w:tc>
      </w:tr>
      <w:tr w:rsidR="00224ABF" w:rsidRPr="00224ABF" w14:paraId="33BB6CCF" w14:textId="77777777" w:rsidTr="0054297D">
        <w:trPr>
          <w:trHeight w:val="315"/>
          <w:jc w:val="center"/>
        </w:trPr>
        <w:tc>
          <w:tcPr>
            <w:tcW w:w="57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2E2BBC4"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Izq</w:t>
            </w:r>
          </w:p>
        </w:tc>
        <w:tc>
          <w:tcPr>
            <w:tcW w:w="1392" w:type="dxa"/>
            <w:tcBorders>
              <w:top w:val="single" w:sz="4" w:space="0" w:color="auto"/>
              <w:left w:val="nil"/>
              <w:bottom w:val="single" w:sz="8" w:space="0" w:color="auto"/>
              <w:right w:val="single" w:sz="4" w:space="0" w:color="auto"/>
            </w:tcBorders>
            <w:shd w:val="clear" w:color="auto" w:fill="auto"/>
            <w:noWrap/>
            <w:vAlign w:val="bottom"/>
            <w:hideMark/>
          </w:tcPr>
          <w:p w14:paraId="7F4A3A52"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81+335</w:t>
            </w:r>
          </w:p>
        </w:tc>
        <w:tc>
          <w:tcPr>
            <w:tcW w:w="1392" w:type="dxa"/>
            <w:tcBorders>
              <w:top w:val="single" w:sz="4" w:space="0" w:color="auto"/>
              <w:left w:val="nil"/>
              <w:bottom w:val="single" w:sz="8" w:space="0" w:color="auto"/>
              <w:right w:val="single" w:sz="4" w:space="0" w:color="auto"/>
            </w:tcBorders>
            <w:shd w:val="clear" w:color="auto" w:fill="auto"/>
            <w:noWrap/>
            <w:vAlign w:val="bottom"/>
            <w:hideMark/>
          </w:tcPr>
          <w:p w14:paraId="5DAC6030"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81+355</w:t>
            </w:r>
          </w:p>
        </w:tc>
        <w:tc>
          <w:tcPr>
            <w:tcW w:w="820" w:type="dxa"/>
            <w:tcBorders>
              <w:top w:val="single" w:sz="4" w:space="0" w:color="auto"/>
              <w:left w:val="nil"/>
              <w:bottom w:val="single" w:sz="8" w:space="0" w:color="auto"/>
              <w:right w:val="single" w:sz="4" w:space="0" w:color="auto"/>
            </w:tcBorders>
            <w:shd w:val="clear" w:color="auto" w:fill="auto"/>
            <w:noWrap/>
            <w:vAlign w:val="bottom"/>
            <w:hideMark/>
          </w:tcPr>
          <w:p w14:paraId="38F2E9C7"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0%</w:t>
            </w:r>
          </w:p>
        </w:tc>
        <w:tc>
          <w:tcPr>
            <w:tcW w:w="2503" w:type="dxa"/>
            <w:tcBorders>
              <w:top w:val="single" w:sz="4" w:space="0" w:color="auto"/>
              <w:left w:val="nil"/>
              <w:bottom w:val="single" w:sz="8" w:space="0" w:color="auto"/>
              <w:right w:val="single" w:sz="8" w:space="0" w:color="auto"/>
            </w:tcBorders>
            <w:shd w:val="clear" w:color="auto" w:fill="auto"/>
            <w:noWrap/>
            <w:vAlign w:val="bottom"/>
            <w:hideMark/>
          </w:tcPr>
          <w:p w14:paraId="59FF570D"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 xml:space="preserve">Inicio 23 Abril </w:t>
            </w:r>
          </w:p>
        </w:tc>
      </w:tr>
      <w:tr w:rsidR="00224ABF" w:rsidRPr="00224ABF" w14:paraId="32C1B01F" w14:textId="77777777" w:rsidTr="0054297D">
        <w:trPr>
          <w:trHeight w:val="105"/>
          <w:jc w:val="center"/>
        </w:trPr>
        <w:tc>
          <w:tcPr>
            <w:tcW w:w="574" w:type="dxa"/>
            <w:tcBorders>
              <w:top w:val="nil"/>
              <w:left w:val="nil"/>
              <w:bottom w:val="nil"/>
              <w:right w:val="nil"/>
            </w:tcBorders>
            <w:shd w:val="clear" w:color="auto" w:fill="auto"/>
            <w:noWrap/>
            <w:vAlign w:val="bottom"/>
            <w:hideMark/>
          </w:tcPr>
          <w:p w14:paraId="384A07EF" w14:textId="77777777" w:rsidR="00224ABF" w:rsidRPr="00224ABF" w:rsidRDefault="00224ABF" w:rsidP="0054297D">
            <w:pPr>
              <w:spacing w:after="0"/>
              <w:jc w:val="both"/>
              <w:rPr>
                <w:rFonts w:eastAsia="Times New Roman" w:cs="Arial"/>
                <w:color w:val="000000"/>
              </w:rPr>
            </w:pPr>
          </w:p>
        </w:tc>
        <w:tc>
          <w:tcPr>
            <w:tcW w:w="1392" w:type="dxa"/>
            <w:tcBorders>
              <w:top w:val="nil"/>
              <w:left w:val="nil"/>
              <w:bottom w:val="nil"/>
              <w:right w:val="nil"/>
            </w:tcBorders>
            <w:shd w:val="clear" w:color="auto" w:fill="auto"/>
            <w:noWrap/>
            <w:vAlign w:val="bottom"/>
            <w:hideMark/>
          </w:tcPr>
          <w:p w14:paraId="0B1F2149" w14:textId="77777777" w:rsidR="00224ABF" w:rsidRPr="00224ABF" w:rsidRDefault="00224ABF" w:rsidP="0054297D">
            <w:pPr>
              <w:spacing w:after="0"/>
              <w:jc w:val="both"/>
              <w:rPr>
                <w:rFonts w:eastAsia="Times New Roman" w:cs="Arial"/>
              </w:rPr>
            </w:pPr>
          </w:p>
        </w:tc>
        <w:tc>
          <w:tcPr>
            <w:tcW w:w="1392" w:type="dxa"/>
            <w:tcBorders>
              <w:top w:val="nil"/>
              <w:left w:val="nil"/>
              <w:bottom w:val="nil"/>
              <w:right w:val="nil"/>
            </w:tcBorders>
            <w:shd w:val="clear" w:color="auto" w:fill="auto"/>
            <w:noWrap/>
            <w:vAlign w:val="bottom"/>
            <w:hideMark/>
          </w:tcPr>
          <w:p w14:paraId="444CAF9B" w14:textId="77777777" w:rsidR="00224ABF" w:rsidRPr="00224ABF" w:rsidRDefault="00224ABF" w:rsidP="0054297D">
            <w:pPr>
              <w:spacing w:after="0"/>
              <w:jc w:val="both"/>
              <w:rPr>
                <w:rFonts w:eastAsia="Times New Roman" w:cs="Arial"/>
              </w:rPr>
            </w:pPr>
          </w:p>
        </w:tc>
        <w:tc>
          <w:tcPr>
            <w:tcW w:w="820" w:type="dxa"/>
            <w:tcBorders>
              <w:top w:val="nil"/>
              <w:left w:val="nil"/>
              <w:bottom w:val="nil"/>
              <w:right w:val="nil"/>
            </w:tcBorders>
            <w:shd w:val="clear" w:color="auto" w:fill="auto"/>
            <w:noWrap/>
            <w:vAlign w:val="bottom"/>
            <w:hideMark/>
          </w:tcPr>
          <w:p w14:paraId="4CF9AF17" w14:textId="77777777" w:rsidR="00224ABF" w:rsidRPr="00224ABF" w:rsidRDefault="00224ABF" w:rsidP="0054297D">
            <w:pPr>
              <w:spacing w:after="0"/>
              <w:jc w:val="both"/>
              <w:rPr>
                <w:rFonts w:eastAsia="Times New Roman" w:cs="Arial"/>
              </w:rPr>
            </w:pPr>
          </w:p>
        </w:tc>
        <w:tc>
          <w:tcPr>
            <w:tcW w:w="2503" w:type="dxa"/>
            <w:tcBorders>
              <w:top w:val="nil"/>
              <w:left w:val="nil"/>
              <w:bottom w:val="nil"/>
              <w:right w:val="nil"/>
            </w:tcBorders>
            <w:shd w:val="clear" w:color="auto" w:fill="auto"/>
            <w:noWrap/>
            <w:vAlign w:val="bottom"/>
            <w:hideMark/>
          </w:tcPr>
          <w:p w14:paraId="21BEE0C5" w14:textId="77777777" w:rsidR="00224ABF" w:rsidRPr="00224ABF" w:rsidRDefault="00224ABF" w:rsidP="0054297D">
            <w:pPr>
              <w:spacing w:after="0"/>
              <w:jc w:val="both"/>
              <w:rPr>
                <w:rFonts w:eastAsia="Times New Roman" w:cs="Arial"/>
              </w:rPr>
            </w:pPr>
          </w:p>
        </w:tc>
      </w:tr>
      <w:tr w:rsidR="00224ABF" w:rsidRPr="00224ABF" w14:paraId="30BF3BD6" w14:textId="77777777" w:rsidTr="0054297D">
        <w:trPr>
          <w:trHeight w:val="315"/>
          <w:jc w:val="center"/>
        </w:trPr>
        <w:tc>
          <w:tcPr>
            <w:tcW w:w="6681" w:type="dxa"/>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4B8E64D6" w14:textId="77777777" w:rsidR="00224ABF" w:rsidRPr="00224ABF" w:rsidRDefault="00224ABF" w:rsidP="0054297D">
            <w:pPr>
              <w:spacing w:after="0"/>
              <w:jc w:val="both"/>
              <w:rPr>
                <w:rFonts w:eastAsia="Times New Roman" w:cs="Arial"/>
                <w:b/>
                <w:bCs/>
                <w:color w:val="000000"/>
              </w:rPr>
            </w:pPr>
            <w:r w:rsidRPr="00224ABF">
              <w:rPr>
                <w:rFonts w:eastAsia="Times New Roman" w:cs="Arial"/>
                <w:b/>
                <w:bCs/>
                <w:color w:val="000000"/>
              </w:rPr>
              <w:t>INTERVENCIONES CCO</w:t>
            </w:r>
          </w:p>
        </w:tc>
      </w:tr>
      <w:tr w:rsidR="00224ABF" w:rsidRPr="00224ABF" w14:paraId="0C87A5F3" w14:textId="77777777" w:rsidTr="0054297D">
        <w:trPr>
          <w:trHeight w:val="300"/>
          <w:jc w:val="center"/>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74F45"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 </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14:paraId="1D58CB55"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96+040</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14:paraId="727D375F"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8C219E4"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95%</w:t>
            </w:r>
          </w:p>
        </w:tc>
        <w:tc>
          <w:tcPr>
            <w:tcW w:w="2503" w:type="dxa"/>
            <w:tcBorders>
              <w:top w:val="single" w:sz="4" w:space="0" w:color="auto"/>
              <w:left w:val="nil"/>
              <w:bottom w:val="single" w:sz="4" w:space="0" w:color="auto"/>
              <w:right w:val="single" w:sz="4" w:space="0" w:color="auto"/>
            </w:tcBorders>
            <w:shd w:val="clear" w:color="auto" w:fill="auto"/>
            <w:noWrap/>
            <w:vAlign w:val="bottom"/>
            <w:hideMark/>
          </w:tcPr>
          <w:p w14:paraId="59682CB3" w14:textId="77777777" w:rsidR="00224ABF" w:rsidRPr="00224ABF" w:rsidRDefault="00224ABF" w:rsidP="0054297D">
            <w:pPr>
              <w:spacing w:after="0"/>
              <w:jc w:val="both"/>
              <w:rPr>
                <w:rFonts w:eastAsia="Times New Roman" w:cs="Arial"/>
                <w:color w:val="000000"/>
              </w:rPr>
            </w:pPr>
            <w:r w:rsidRPr="00224ABF">
              <w:rPr>
                <w:rFonts w:eastAsia="Times New Roman" w:cs="Arial"/>
                <w:color w:val="000000"/>
              </w:rPr>
              <w:t> </w:t>
            </w:r>
          </w:p>
        </w:tc>
      </w:tr>
    </w:tbl>
    <w:p w14:paraId="4AF6035D" w14:textId="77777777" w:rsidR="00224ABF" w:rsidRPr="00224ABF" w:rsidRDefault="00224ABF" w:rsidP="00224ABF">
      <w:pPr>
        <w:jc w:val="both"/>
        <w:rPr>
          <w:rFonts w:cs="Arial"/>
        </w:rPr>
      </w:pPr>
    </w:p>
    <w:p w14:paraId="271AC008" w14:textId="77777777" w:rsidR="00224ABF" w:rsidRPr="00224ABF" w:rsidRDefault="00224ABF" w:rsidP="00224ABF">
      <w:pPr>
        <w:spacing w:after="0"/>
        <w:jc w:val="both"/>
        <w:rPr>
          <w:rFonts w:eastAsiaTheme="minorHAnsi" w:cs="Arial"/>
          <w:noProof/>
        </w:rPr>
      </w:pPr>
      <w:r w:rsidRPr="00224ABF">
        <w:rPr>
          <w:rFonts w:eastAsiaTheme="minorHAnsi" w:cs="Arial"/>
          <w:b/>
          <w:noProof/>
        </w:rPr>
        <w:t>Posibles problemas:</w:t>
      </w:r>
      <w:r w:rsidRPr="00224ABF">
        <w:rPr>
          <w:rFonts w:eastAsiaTheme="minorHAnsi" w:cs="Arial"/>
          <w:noProof/>
        </w:rPr>
        <w:t xml:space="preserve"> Se puede presentar oposicion de las comunidades residentes en el sector 1 ( Loboguerrro – Zabaletas ), exigiendo el desarrollo de procesos de consulta previa para ejecutar las obras contractuales, actualmente y según concepto del Ministerio del Interior dado el alcance del proyecto “ Reahabilitacion” no es suceptible de consulta, con mencionado argumento hasta la fecha se ha manejado  la comunidad.</w:t>
      </w:r>
    </w:p>
    <w:p w14:paraId="4845AE8D" w14:textId="77777777" w:rsidR="00224ABF" w:rsidRPr="00224ABF" w:rsidRDefault="00224ABF" w:rsidP="00224ABF">
      <w:pPr>
        <w:spacing w:after="0"/>
        <w:jc w:val="both"/>
        <w:rPr>
          <w:rFonts w:eastAsiaTheme="minorHAnsi" w:cs="Arial"/>
          <w:noProof/>
        </w:rPr>
      </w:pPr>
    </w:p>
    <w:p w14:paraId="3446212E" w14:textId="77777777" w:rsidR="00224ABF" w:rsidRPr="00224ABF" w:rsidRDefault="00224ABF" w:rsidP="00224ABF">
      <w:pPr>
        <w:jc w:val="both"/>
        <w:rPr>
          <w:rFonts w:cs="Arial"/>
        </w:rPr>
      </w:pPr>
    </w:p>
    <w:p w14:paraId="26DE45EE" w14:textId="77777777" w:rsidR="00224ABF" w:rsidRPr="00224ABF" w:rsidRDefault="00224ABF" w:rsidP="00224ABF">
      <w:pPr>
        <w:jc w:val="center"/>
        <w:rPr>
          <w:rFonts w:cs="Arial"/>
          <w:b/>
        </w:rPr>
      </w:pPr>
      <w:r w:rsidRPr="00224ABF">
        <w:rPr>
          <w:rFonts w:cs="Arial"/>
          <w:b/>
        </w:rPr>
        <w:t>GERENCIA AEROPUERTOS</w:t>
      </w:r>
    </w:p>
    <w:p w14:paraId="382D7E00" w14:textId="77777777" w:rsidR="00224ABF" w:rsidRPr="00224ABF" w:rsidRDefault="00224ABF" w:rsidP="00224ABF">
      <w:pPr>
        <w:jc w:val="both"/>
        <w:rPr>
          <w:rFonts w:cs="Arial"/>
          <w:b/>
        </w:rPr>
      </w:pPr>
    </w:p>
    <w:p w14:paraId="444784DD" w14:textId="77777777" w:rsidR="00224ABF" w:rsidRPr="00224ABF" w:rsidRDefault="00224ABF" w:rsidP="00224ABF">
      <w:pPr>
        <w:jc w:val="both"/>
        <w:rPr>
          <w:rFonts w:cs="Arial"/>
          <w:b/>
        </w:rPr>
      </w:pPr>
      <w:bookmarkStart w:id="74" w:name="_Toc386548629"/>
      <w:r w:rsidRPr="00224ABF">
        <w:rPr>
          <w:rFonts w:cs="Arial"/>
          <w:b/>
        </w:rPr>
        <w:t>1. CONCESIÓN NORORIENTE</w:t>
      </w:r>
      <w:bookmarkEnd w:id="74"/>
    </w:p>
    <w:p w14:paraId="06C0FB57" w14:textId="77777777" w:rsidR="00224ABF" w:rsidRPr="00224ABF" w:rsidRDefault="00224ABF" w:rsidP="00224ABF">
      <w:pPr>
        <w:jc w:val="both"/>
        <w:rPr>
          <w:rFonts w:eastAsiaTheme="minorHAnsi" w:cs="Arial"/>
          <w:b/>
          <w:lang w:val="es-MX"/>
        </w:rPr>
      </w:pPr>
    </w:p>
    <w:p w14:paraId="3476DF0B" w14:textId="77777777" w:rsidR="00224ABF" w:rsidRPr="00224ABF" w:rsidRDefault="00224ABF" w:rsidP="00224ABF">
      <w:pPr>
        <w:jc w:val="both"/>
        <w:rPr>
          <w:rFonts w:eastAsiaTheme="minorHAnsi" w:cs="Arial"/>
          <w:lang w:val="es-MX"/>
        </w:rPr>
      </w:pPr>
      <w:r w:rsidRPr="00224ABF">
        <w:rPr>
          <w:rFonts w:eastAsiaTheme="minorHAnsi" w:cs="Arial"/>
          <w:b/>
          <w:lang w:val="es-MX"/>
        </w:rPr>
        <w:t>CONTRATO:</w:t>
      </w:r>
      <w:r w:rsidRPr="00224ABF">
        <w:rPr>
          <w:rFonts w:eastAsiaTheme="minorHAnsi" w:cs="Arial"/>
          <w:b/>
          <w:lang w:val="es-MX"/>
        </w:rPr>
        <w:tab/>
      </w:r>
      <w:r w:rsidRPr="00224ABF">
        <w:rPr>
          <w:rFonts w:eastAsiaTheme="minorHAnsi" w:cs="Arial"/>
          <w:lang w:val="es-MX"/>
        </w:rPr>
        <w:tab/>
        <w:t>1000078 - OK DE 2007</w:t>
      </w:r>
    </w:p>
    <w:p w14:paraId="4F5789CE"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CONCESIONARIO:</w:t>
      </w:r>
      <w:r w:rsidRPr="00224ABF">
        <w:rPr>
          <w:rFonts w:eastAsia="Times New Roman" w:cs="Arial"/>
          <w:bCs/>
          <w:lang w:val="es-MX" w:eastAsia="es-MX"/>
        </w:rPr>
        <w:tab/>
        <w:t>Sociedad Concesionaria Aeropuertos de Oriente SAS</w:t>
      </w:r>
    </w:p>
    <w:p w14:paraId="6C4E7162"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OBJETO CONTRATO:</w:t>
      </w:r>
      <w:r w:rsidRPr="00224ABF">
        <w:rPr>
          <w:rFonts w:eastAsia="Times New Roman" w:cs="Arial"/>
          <w:bCs/>
          <w:lang w:val="es-MX" w:eastAsia="es-MX"/>
        </w:rPr>
        <w:tab/>
        <w:t>Concesión de las terminales aeroportuarias de nororiente: aeropuertos camilo daza de Cúcuta, Palonegro de Bucaramanga, Yarigüíes de Barrancabermeja, Alfonso López de Valledupar, Simón Bolívar de Santa Marta y Almirante Padilla de Riohacha.</w:t>
      </w:r>
    </w:p>
    <w:p w14:paraId="1860BCBB" w14:textId="77777777" w:rsidR="00224ABF" w:rsidRPr="00224ABF" w:rsidRDefault="00224ABF" w:rsidP="00224ABF">
      <w:pPr>
        <w:ind w:left="2832" w:hanging="2832"/>
        <w:jc w:val="both"/>
        <w:rPr>
          <w:rFonts w:eastAsia="Times New Roman" w:cs="Arial"/>
          <w:bCs/>
          <w:lang w:val="es-MX" w:eastAsia="es-MX"/>
        </w:rPr>
      </w:pPr>
    </w:p>
    <w:p w14:paraId="52351CC9" w14:textId="77777777" w:rsidR="00224ABF" w:rsidRPr="00224ABF" w:rsidRDefault="00224ABF" w:rsidP="00224ABF">
      <w:pPr>
        <w:jc w:val="both"/>
        <w:rPr>
          <w:rFonts w:eastAsia="Times New Roman" w:cs="Arial"/>
          <w:b/>
          <w:bCs/>
          <w:lang w:val="es-MX" w:eastAsia="es-MX"/>
        </w:rPr>
      </w:pPr>
    </w:p>
    <w:p w14:paraId="5A9E3677" w14:textId="77777777" w:rsidR="00224ABF" w:rsidRPr="00224ABF" w:rsidRDefault="00224ABF" w:rsidP="00224ABF">
      <w:pPr>
        <w:jc w:val="both"/>
        <w:rPr>
          <w:rFonts w:eastAsia="Times New Roman" w:cs="Arial"/>
          <w:b/>
          <w:bCs/>
          <w:lang w:val="es-MX" w:eastAsia="es-MX"/>
        </w:rPr>
      </w:pPr>
    </w:p>
    <w:p w14:paraId="029C5F35"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GESTIÓN PRIMER TRIMESTRE (obras)</w:t>
      </w:r>
    </w:p>
    <w:p w14:paraId="43FD1DEA"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Actividades finales del hito 1: Obras de Modernización Aeropuertos Palonegro de Bucaramanga y Camilo Daza de Cúcuta.</w:t>
      </w:r>
    </w:p>
    <w:p w14:paraId="6071738C"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En ejecución del hito 2 de obras de modernización de los Aeropuertos Alfonso López de Valledupar y Almirante Padilla de Riohacha.</w:t>
      </w:r>
    </w:p>
    <w:p w14:paraId="7B6AB505"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Actividades de mantenimiento del terminal de Simón Bolívar de Santa Marta.</w:t>
      </w:r>
    </w:p>
    <w:p w14:paraId="47AF87FD" w14:textId="77777777" w:rsidR="00224ABF" w:rsidRPr="00224ABF" w:rsidRDefault="00224ABF" w:rsidP="00224ABF">
      <w:pPr>
        <w:jc w:val="both"/>
        <w:rPr>
          <w:rFonts w:eastAsia="Times New Roman" w:cs="Arial"/>
          <w:b/>
          <w:bCs/>
          <w:lang w:val="es-MX" w:eastAsia="es-MX"/>
        </w:rPr>
      </w:pPr>
    </w:p>
    <w:p w14:paraId="3400C276"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PRINCIPALES LOGROS (actividades)</w:t>
      </w:r>
    </w:p>
    <w:p w14:paraId="1C3102A2" w14:textId="16042CD7" w:rsidR="00224ABF" w:rsidRPr="00224ABF" w:rsidRDefault="00224ABF" w:rsidP="00224ABF">
      <w:pPr>
        <w:numPr>
          <w:ilvl w:val="0"/>
          <w:numId w:val="159"/>
        </w:numPr>
        <w:spacing w:after="0"/>
        <w:contextualSpacing/>
        <w:jc w:val="both"/>
        <w:rPr>
          <w:rFonts w:eastAsia="Times New Roman" w:cs="Arial"/>
          <w:bCs/>
          <w:lang w:val="es-MX" w:eastAsia="es-MX"/>
        </w:rPr>
      </w:pPr>
      <w:r w:rsidRPr="00224ABF">
        <w:rPr>
          <w:rFonts w:eastAsia="Times New Roman" w:cs="Arial"/>
          <w:bCs/>
          <w:lang w:val="es-MX" w:eastAsia="es-MX"/>
        </w:rPr>
        <w:t>Avance en el proceso de aprobación por parte de l</w:t>
      </w:r>
      <w:r w:rsidR="00D42851">
        <w:rPr>
          <w:rFonts w:eastAsia="Times New Roman" w:cs="Arial"/>
          <w:bCs/>
          <w:lang w:val="es-MX" w:eastAsia="es-MX"/>
        </w:rPr>
        <w:t xml:space="preserve">a Autoridad Aeronáutica de las </w:t>
      </w:r>
      <w:r w:rsidRPr="00224ABF">
        <w:rPr>
          <w:rFonts w:eastAsia="Times New Roman" w:cs="Arial"/>
          <w:bCs/>
          <w:lang w:val="es-MX" w:eastAsia="es-MX"/>
        </w:rPr>
        <w:t>obras complementarias propuestas por la Sociedad Concesionaria para los aeropuertos Palo Negro y Simón Bolívar.</w:t>
      </w:r>
    </w:p>
    <w:p w14:paraId="1F3ECB8F" w14:textId="77777777" w:rsidR="00224ABF" w:rsidRPr="00224ABF" w:rsidRDefault="00224ABF" w:rsidP="00224ABF">
      <w:pPr>
        <w:spacing w:after="0"/>
        <w:ind w:left="360"/>
        <w:jc w:val="both"/>
        <w:rPr>
          <w:rFonts w:eastAsia="Times New Roman" w:cs="Arial"/>
          <w:bCs/>
          <w:lang w:val="es-MX" w:eastAsia="es-MX"/>
        </w:rPr>
      </w:pPr>
    </w:p>
    <w:p w14:paraId="4713E419" w14:textId="77777777" w:rsidR="00224ABF" w:rsidRPr="00224ABF" w:rsidRDefault="00224ABF" w:rsidP="00224ABF">
      <w:pPr>
        <w:numPr>
          <w:ilvl w:val="0"/>
          <w:numId w:val="159"/>
        </w:numPr>
        <w:spacing w:after="0"/>
        <w:contextualSpacing/>
        <w:jc w:val="both"/>
        <w:rPr>
          <w:rFonts w:eastAsia="Times New Roman" w:cs="Arial"/>
          <w:bCs/>
          <w:lang w:val="es-MX" w:eastAsia="es-MX"/>
        </w:rPr>
      </w:pPr>
      <w:r w:rsidRPr="00224ABF">
        <w:rPr>
          <w:rFonts w:eastAsia="Times New Roman" w:cs="Arial"/>
          <w:bCs/>
          <w:lang w:val="es-MX" w:eastAsia="es-MX"/>
        </w:rPr>
        <w:t>Definición de los responsables de la ejecución de la obras complementarias propuestas por la Sociedad Concesionaria:</w:t>
      </w:r>
    </w:p>
    <w:p w14:paraId="612260EE" w14:textId="77777777" w:rsidR="00224ABF" w:rsidRPr="00224ABF" w:rsidRDefault="00224ABF" w:rsidP="00224ABF">
      <w:pPr>
        <w:spacing w:after="0"/>
        <w:jc w:val="both"/>
        <w:rPr>
          <w:rFonts w:eastAsia="Times New Roman" w:cs="Arial"/>
          <w:bCs/>
          <w:lang w:val="es-MX" w:eastAsia="es-MX"/>
        </w:rPr>
      </w:pPr>
    </w:p>
    <w:p w14:paraId="7EED8018" w14:textId="77777777" w:rsidR="00224ABF" w:rsidRPr="00224ABF" w:rsidRDefault="00224ABF" w:rsidP="00224ABF">
      <w:pPr>
        <w:numPr>
          <w:ilvl w:val="0"/>
          <w:numId w:val="160"/>
        </w:numPr>
        <w:spacing w:after="0"/>
        <w:contextualSpacing/>
        <w:jc w:val="both"/>
        <w:rPr>
          <w:rFonts w:eastAsia="Times New Roman" w:cs="Arial"/>
          <w:bCs/>
          <w:lang w:val="es-MX" w:eastAsia="es-MX"/>
        </w:rPr>
      </w:pPr>
      <w:r w:rsidRPr="00224ABF">
        <w:rPr>
          <w:rFonts w:eastAsia="Times New Roman" w:cs="Arial"/>
          <w:bCs/>
          <w:lang w:val="es-MX" w:eastAsia="es-MX"/>
        </w:rPr>
        <w:t>Palo Negro: Se adelantaran obras públicas por la AEROCIVIL, excluyendo las áreas a intervenir de las áreas concesionadas.</w:t>
      </w:r>
    </w:p>
    <w:p w14:paraId="78581FA9" w14:textId="77777777" w:rsidR="00224ABF" w:rsidRPr="00224ABF" w:rsidRDefault="00224ABF" w:rsidP="00224ABF">
      <w:pPr>
        <w:numPr>
          <w:ilvl w:val="0"/>
          <w:numId w:val="160"/>
        </w:numPr>
        <w:spacing w:after="0"/>
        <w:contextualSpacing/>
        <w:jc w:val="both"/>
        <w:rPr>
          <w:rFonts w:eastAsia="Times New Roman" w:cs="Arial"/>
          <w:bCs/>
          <w:lang w:val="es-MX" w:eastAsia="es-MX"/>
        </w:rPr>
      </w:pPr>
      <w:r w:rsidRPr="00224ABF">
        <w:rPr>
          <w:rFonts w:eastAsia="Times New Roman" w:cs="Arial"/>
          <w:bCs/>
          <w:lang w:val="es-MX" w:eastAsia="es-MX"/>
        </w:rPr>
        <w:t>Simón Bolívar: Se adelantaran por la ANI con adición al contrato de Concesión 1000078OK.</w:t>
      </w:r>
    </w:p>
    <w:p w14:paraId="67C39BD7" w14:textId="77777777" w:rsidR="00224ABF" w:rsidRPr="00224ABF" w:rsidRDefault="00224ABF" w:rsidP="00224ABF">
      <w:pPr>
        <w:spacing w:after="0"/>
        <w:ind w:left="1080"/>
        <w:jc w:val="both"/>
        <w:rPr>
          <w:rFonts w:eastAsia="Times New Roman" w:cs="Arial"/>
          <w:bCs/>
          <w:lang w:val="es-MX" w:eastAsia="es-MX"/>
        </w:rPr>
      </w:pPr>
    </w:p>
    <w:p w14:paraId="563E7446" w14:textId="77777777" w:rsidR="00224ABF" w:rsidRPr="00224ABF" w:rsidRDefault="00224ABF" w:rsidP="00224ABF">
      <w:pPr>
        <w:numPr>
          <w:ilvl w:val="0"/>
          <w:numId w:val="159"/>
        </w:numPr>
        <w:spacing w:after="0"/>
        <w:contextualSpacing/>
        <w:jc w:val="both"/>
        <w:rPr>
          <w:rFonts w:eastAsia="Times New Roman" w:cs="Arial"/>
          <w:bCs/>
          <w:lang w:val="es-MX" w:eastAsia="es-MX"/>
        </w:rPr>
      </w:pPr>
      <w:r w:rsidRPr="00224ABF">
        <w:rPr>
          <w:rFonts w:eastAsia="Times New Roman" w:cs="Arial"/>
          <w:bCs/>
          <w:lang w:val="es-MX" w:eastAsia="es-MX"/>
        </w:rPr>
        <w:t>Definición por parte de la Agencia que el valor de las obras a ejecutarse en el Aeropuerto Simón Bolívar se obtendrá del proceso de licitación privada que adelantara la concesionaria con el acompañamiento de la ANI.</w:t>
      </w:r>
    </w:p>
    <w:p w14:paraId="34FF9439" w14:textId="77777777" w:rsidR="00224ABF" w:rsidRPr="00224ABF" w:rsidRDefault="00224ABF" w:rsidP="00224ABF">
      <w:pPr>
        <w:spacing w:after="0"/>
        <w:ind w:left="720"/>
        <w:contextualSpacing/>
        <w:jc w:val="both"/>
        <w:rPr>
          <w:rFonts w:eastAsia="Times New Roman" w:cs="Arial"/>
          <w:bCs/>
          <w:lang w:val="es-MX" w:eastAsia="es-MX"/>
        </w:rPr>
      </w:pPr>
    </w:p>
    <w:p w14:paraId="4BE60CAC" w14:textId="77777777" w:rsidR="00224ABF" w:rsidRPr="00224ABF" w:rsidRDefault="00224ABF" w:rsidP="00224ABF">
      <w:pPr>
        <w:numPr>
          <w:ilvl w:val="0"/>
          <w:numId w:val="159"/>
        </w:numPr>
        <w:spacing w:after="0"/>
        <w:contextualSpacing/>
        <w:jc w:val="both"/>
        <w:rPr>
          <w:rFonts w:eastAsia="Times New Roman" w:cs="Arial"/>
          <w:bCs/>
          <w:lang w:val="es-MX" w:eastAsia="es-MX"/>
        </w:rPr>
      </w:pPr>
      <w:r w:rsidRPr="00224ABF">
        <w:rPr>
          <w:rFonts w:eastAsia="Times New Roman" w:cs="Arial"/>
          <w:bCs/>
          <w:lang w:val="es-MX" w:eastAsia="es-MX"/>
        </w:rPr>
        <w:t>Cumplimiento del concesionario con el aporte  a los fondos de seguridad y convivencia según la ley 1106 de diciembre de 2006.</w:t>
      </w:r>
      <w:r w:rsidRPr="00224ABF">
        <w:rPr>
          <w:rFonts w:eastAsia="Times New Roman" w:cs="Arial"/>
          <w:bCs/>
          <w:lang w:val="es-MX" w:eastAsia="es-MX"/>
        </w:rPr>
        <w:tab/>
      </w:r>
      <w:bookmarkStart w:id="75" w:name="_Toc386548630"/>
    </w:p>
    <w:p w14:paraId="179BDF79" w14:textId="77777777" w:rsidR="00224ABF" w:rsidRPr="00224ABF" w:rsidRDefault="00224ABF" w:rsidP="00224ABF">
      <w:pPr>
        <w:spacing w:after="0"/>
        <w:contextualSpacing/>
        <w:jc w:val="both"/>
        <w:rPr>
          <w:rFonts w:eastAsiaTheme="majorEastAsia" w:cs="Arial"/>
          <w:b/>
          <w:lang w:val="es-MX"/>
        </w:rPr>
      </w:pPr>
    </w:p>
    <w:p w14:paraId="51D8DAE8" w14:textId="77777777" w:rsidR="00224ABF" w:rsidRPr="00224ABF" w:rsidRDefault="00224ABF" w:rsidP="00224ABF">
      <w:pPr>
        <w:spacing w:after="0"/>
        <w:contextualSpacing/>
        <w:jc w:val="both"/>
        <w:rPr>
          <w:rFonts w:eastAsia="Times New Roman" w:cs="Arial"/>
          <w:bCs/>
          <w:lang w:val="es-MX" w:eastAsia="es-MX"/>
        </w:rPr>
      </w:pPr>
      <w:r w:rsidRPr="00224ABF">
        <w:rPr>
          <w:rFonts w:eastAsiaTheme="majorEastAsia" w:cs="Arial"/>
          <w:b/>
          <w:lang w:val="es-MX"/>
        </w:rPr>
        <w:t>2. SAN ANDRES Y PROVIDENCIA</w:t>
      </w:r>
      <w:bookmarkEnd w:id="75"/>
    </w:p>
    <w:p w14:paraId="0752C7BB" w14:textId="77777777" w:rsidR="00224ABF" w:rsidRPr="00224ABF" w:rsidRDefault="00224ABF" w:rsidP="00224ABF">
      <w:pPr>
        <w:jc w:val="both"/>
        <w:rPr>
          <w:rFonts w:eastAsiaTheme="minorHAnsi" w:cs="Arial"/>
          <w:b/>
          <w:lang w:val="es-MX"/>
        </w:rPr>
      </w:pPr>
    </w:p>
    <w:p w14:paraId="0DC5156C" w14:textId="77777777" w:rsidR="00224ABF" w:rsidRPr="00224ABF" w:rsidRDefault="00224ABF" w:rsidP="00224ABF">
      <w:pPr>
        <w:jc w:val="both"/>
        <w:rPr>
          <w:rFonts w:eastAsiaTheme="minorHAnsi" w:cs="Arial"/>
          <w:lang w:val="es-MX"/>
        </w:rPr>
      </w:pPr>
      <w:r w:rsidRPr="00224ABF">
        <w:rPr>
          <w:rFonts w:eastAsiaTheme="minorHAnsi" w:cs="Arial"/>
          <w:b/>
          <w:lang w:val="es-MX"/>
        </w:rPr>
        <w:t>CONTRATO:</w:t>
      </w:r>
      <w:r w:rsidRPr="00224ABF">
        <w:rPr>
          <w:rFonts w:eastAsiaTheme="minorHAnsi" w:cs="Arial"/>
          <w:b/>
          <w:lang w:val="es-MX"/>
        </w:rPr>
        <w:tab/>
      </w:r>
      <w:r w:rsidRPr="00224ABF">
        <w:rPr>
          <w:rFonts w:eastAsiaTheme="minorHAnsi" w:cs="Arial"/>
          <w:lang w:val="es-MX"/>
        </w:rPr>
        <w:tab/>
        <w:t>7000002-OK DE 2007</w:t>
      </w:r>
    </w:p>
    <w:p w14:paraId="5CD38475"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CONCESIONARIO:</w:t>
      </w:r>
      <w:r w:rsidRPr="00224ABF">
        <w:rPr>
          <w:rFonts w:eastAsia="Times New Roman" w:cs="Arial"/>
          <w:bCs/>
          <w:lang w:val="es-MX" w:eastAsia="es-MX"/>
        </w:rPr>
        <w:tab/>
        <w:t>Concesión Aeropuertos San Andrés y Providencia S.A. CASYP S.A</w:t>
      </w:r>
    </w:p>
    <w:p w14:paraId="398D6D7F"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OBJETO CONTRATO:</w:t>
      </w:r>
      <w:r w:rsidRPr="00224ABF">
        <w:rPr>
          <w:rFonts w:eastAsia="Times New Roman" w:cs="Arial"/>
          <w:bCs/>
          <w:lang w:val="es-MX" w:eastAsia="es-MX"/>
        </w:rPr>
        <w:tab/>
        <w:t xml:space="preserve">Contrato de  Concesión  para la Administración, Operación, Explotación Comercial,  Inversión,  Modernización  y Mantenimiento </w:t>
      </w:r>
      <w:r w:rsidRPr="00224ABF">
        <w:rPr>
          <w:rFonts w:eastAsia="Times New Roman" w:cs="Arial"/>
          <w:bCs/>
          <w:lang w:val="es-MX" w:eastAsia="es-MX"/>
        </w:rPr>
        <w:lastRenderedPageBreak/>
        <w:t>del  Aeropuerto Internacional Gustavo Rojas  Pinilla de San Andrés y  del  Aeropuerto El Embrujo de Providencia.</w:t>
      </w:r>
    </w:p>
    <w:p w14:paraId="01AE77AF" w14:textId="77777777" w:rsidR="00224ABF" w:rsidRPr="00224ABF" w:rsidRDefault="00224ABF" w:rsidP="00224ABF">
      <w:pPr>
        <w:jc w:val="both"/>
        <w:rPr>
          <w:rFonts w:eastAsia="Times New Roman" w:cs="Arial"/>
          <w:b/>
          <w:bCs/>
          <w:lang w:val="es-MX" w:eastAsia="es-MX"/>
        </w:rPr>
      </w:pPr>
    </w:p>
    <w:p w14:paraId="1D32202F"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GESTIÓN PRIMER TRIMESTRE (obras)</w:t>
      </w:r>
    </w:p>
    <w:p w14:paraId="270979FA"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Actividades de mantenimiento del terminal para garantizar un mejor servicio al usuario</w:t>
      </w:r>
    </w:p>
    <w:p w14:paraId="31994091" w14:textId="77777777" w:rsidR="00224ABF" w:rsidRPr="00224ABF" w:rsidRDefault="00224ABF" w:rsidP="00224ABF">
      <w:pPr>
        <w:ind w:left="720"/>
        <w:contextualSpacing/>
        <w:jc w:val="both"/>
        <w:rPr>
          <w:rFonts w:eastAsia="Times New Roman" w:cs="Arial"/>
          <w:bCs/>
          <w:lang w:val="es-MX" w:eastAsia="es-MX"/>
        </w:rPr>
      </w:pPr>
    </w:p>
    <w:p w14:paraId="5F4EBEDC"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Actividades de mantenimiento de pista para garantizar la seguridad operacional de los Aeropuertos.</w:t>
      </w:r>
    </w:p>
    <w:p w14:paraId="6AFCE2FF" w14:textId="77777777" w:rsidR="00224ABF" w:rsidRPr="00224ABF" w:rsidRDefault="00224ABF" w:rsidP="00224ABF">
      <w:pPr>
        <w:jc w:val="both"/>
        <w:rPr>
          <w:rFonts w:eastAsia="Times New Roman" w:cs="Arial"/>
          <w:b/>
          <w:bCs/>
          <w:lang w:val="es-MX" w:eastAsia="es-MX"/>
        </w:rPr>
      </w:pPr>
    </w:p>
    <w:p w14:paraId="029D521E"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PRINCIPALES LOGROS (actividades)</w:t>
      </w:r>
    </w:p>
    <w:p w14:paraId="6863F794" w14:textId="775220BB"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 xml:space="preserve">Inicio de la Consulta </w:t>
      </w:r>
      <w:r w:rsidR="00B7401D">
        <w:rPr>
          <w:rFonts w:eastAsia="Times New Roman" w:cs="Arial"/>
          <w:bCs/>
          <w:lang w:val="es-MX" w:eastAsia="es-MX"/>
        </w:rPr>
        <w:t>Previa en cumplimiento del fallo</w:t>
      </w:r>
      <w:r w:rsidRPr="00224ABF">
        <w:rPr>
          <w:rFonts w:eastAsia="Times New Roman" w:cs="Arial"/>
          <w:bCs/>
          <w:lang w:val="es-MX" w:eastAsia="es-MX"/>
        </w:rPr>
        <w:t xml:space="preserve"> a la acción popular interpuesta por la comunidad raizal de San Andrés frente a la modernización del Aeropuerto Gustavo Rojas Pinilla</w:t>
      </w:r>
    </w:p>
    <w:p w14:paraId="5E1DC8D3" w14:textId="77777777" w:rsidR="00224ABF" w:rsidRPr="00224ABF" w:rsidRDefault="00224ABF" w:rsidP="00224ABF">
      <w:pPr>
        <w:ind w:left="720"/>
        <w:contextualSpacing/>
        <w:jc w:val="both"/>
        <w:rPr>
          <w:rFonts w:eastAsia="Times New Roman" w:cs="Arial"/>
          <w:bCs/>
          <w:lang w:val="es-MX" w:eastAsia="es-MX"/>
        </w:rPr>
      </w:pPr>
    </w:p>
    <w:p w14:paraId="37AE3240"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Elaboración de posibles escenarios técnicos para la repavimentación de la pista de San Andrés y modificación contractual.</w:t>
      </w:r>
    </w:p>
    <w:p w14:paraId="30CA94CC" w14:textId="77777777" w:rsidR="00224ABF" w:rsidRPr="00224ABF" w:rsidRDefault="00224ABF" w:rsidP="00224ABF">
      <w:pPr>
        <w:ind w:left="720"/>
        <w:contextualSpacing/>
        <w:jc w:val="both"/>
        <w:rPr>
          <w:rFonts w:eastAsia="Times New Roman" w:cs="Arial"/>
          <w:bCs/>
          <w:lang w:val="es-MX" w:eastAsia="es-MX"/>
        </w:rPr>
      </w:pPr>
    </w:p>
    <w:p w14:paraId="66BB1DE3" w14:textId="77777777" w:rsidR="00224ABF" w:rsidRPr="00224ABF" w:rsidRDefault="00224ABF" w:rsidP="00224ABF">
      <w:pPr>
        <w:jc w:val="both"/>
        <w:rPr>
          <w:rFonts w:eastAsiaTheme="minorHAnsi" w:cs="Arial"/>
          <w:b/>
          <w:lang w:val="es-MX"/>
        </w:rPr>
      </w:pPr>
      <w:bookmarkStart w:id="76" w:name="_Toc386548631"/>
    </w:p>
    <w:p w14:paraId="33768E1E" w14:textId="77777777" w:rsidR="00224ABF" w:rsidRPr="00224ABF" w:rsidRDefault="00224ABF" w:rsidP="00224ABF">
      <w:pPr>
        <w:jc w:val="both"/>
        <w:rPr>
          <w:rFonts w:eastAsiaTheme="minorHAnsi" w:cs="Arial"/>
          <w:b/>
          <w:iCs/>
          <w:lang w:val="es-MX"/>
        </w:rPr>
      </w:pPr>
      <w:r w:rsidRPr="00224ABF">
        <w:rPr>
          <w:rFonts w:eastAsiaTheme="majorEastAsia" w:cs="Arial"/>
          <w:b/>
          <w:lang w:val="es-MX"/>
        </w:rPr>
        <w:t>3. CENTRO NORTE</w:t>
      </w:r>
      <w:bookmarkEnd w:id="76"/>
    </w:p>
    <w:p w14:paraId="6636EA04" w14:textId="77777777" w:rsidR="00224ABF" w:rsidRPr="00224ABF" w:rsidRDefault="00224ABF" w:rsidP="00224ABF">
      <w:pPr>
        <w:jc w:val="both"/>
        <w:rPr>
          <w:rFonts w:eastAsiaTheme="minorHAnsi" w:cs="Arial"/>
          <w:lang w:val="es-MX"/>
        </w:rPr>
      </w:pPr>
      <w:r w:rsidRPr="00224ABF">
        <w:rPr>
          <w:rFonts w:eastAsiaTheme="minorHAnsi" w:cs="Arial"/>
          <w:b/>
          <w:lang w:val="es-MX"/>
        </w:rPr>
        <w:t>CONTRATO:</w:t>
      </w:r>
      <w:r w:rsidRPr="00224ABF">
        <w:rPr>
          <w:rFonts w:eastAsiaTheme="minorHAnsi" w:cs="Arial"/>
          <w:b/>
          <w:lang w:val="es-MX"/>
        </w:rPr>
        <w:tab/>
      </w:r>
      <w:r w:rsidRPr="00224ABF">
        <w:rPr>
          <w:rFonts w:eastAsiaTheme="minorHAnsi" w:cs="Arial"/>
          <w:lang w:val="es-MX"/>
        </w:rPr>
        <w:tab/>
        <w:t>8000011-OK DE 2008</w:t>
      </w:r>
    </w:p>
    <w:p w14:paraId="63BC827A"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CONCESIONARIO:</w:t>
      </w:r>
      <w:r w:rsidRPr="00224ABF">
        <w:rPr>
          <w:rFonts w:eastAsia="Times New Roman" w:cs="Arial"/>
          <w:bCs/>
          <w:lang w:val="es-MX" w:eastAsia="es-MX"/>
        </w:rPr>
        <w:tab/>
        <w:t>Sociedad Operadora de Aeropuertos Centro Norte S.A. – OACN S.A.</w:t>
      </w:r>
    </w:p>
    <w:p w14:paraId="51E67928"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OBJETO CONTRATO:</w:t>
      </w:r>
      <w:r w:rsidRPr="00224ABF">
        <w:rPr>
          <w:rFonts w:eastAsia="Times New Roman" w:cs="Arial"/>
          <w:bCs/>
          <w:lang w:val="es-MX" w:eastAsia="es-MX"/>
        </w:rPr>
        <w:tab/>
        <w:t>Concesión para la administración, operación, explotación comercial, adecuación, modernización y mantenimiento de los aeropuertos Olaya Herrera (Medellín), José María Córdova (Rionegro), El Caraño (Quibdó), Los Garzones (Montería), Antonio Roldán Betancourt (Carepa) y Las Brujas (Corozal).</w:t>
      </w:r>
    </w:p>
    <w:p w14:paraId="11C2D085" w14:textId="77777777" w:rsidR="00224ABF" w:rsidRPr="00224ABF" w:rsidRDefault="00224ABF" w:rsidP="00224ABF">
      <w:pPr>
        <w:jc w:val="both"/>
        <w:rPr>
          <w:rFonts w:eastAsia="Times New Roman" w:cs="Arial"/>
          <w:b/>
          <w:bCs/>
          <w:lang w:val="es-MX" w:eastAsia="es-MX"/>
        </w:rPr>
      </w:pPr>
    </w:p>
    <w:p w14:paraId="79C641C0"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GESTIÓN PRIMER TRIMESTRE (obras)</w:t>
      </w:r>
    </w:p>
    <w:p w14:paraId="45D54EDF"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Verificación por parte del Supervisor del Contrato a través de su grupo de apoyo del estado de las obras en los seis aeropuertos debido a la fecha de finalización de la etapa de modernización estipulada contractualmente como 15 de marzo de 2014.</w:t>
      </w:r>
    </w:p>
    <w:p w14:paraId="233F9F0C" w14:textId="77777777" w:rsidR="00224ABF" w:rsidRPr="00224ABF" w:rsidRDefault="00224ABF" w:rsidP="00224ABF">
      <w:pPr>
        <w:jc w:val="both"/>
        <w:rPr>
          <w:rFonts w:eastAsia="Times New Roman" w:cs="Arial"/>
          <w:b/>
          <w:bCs/>
          <w:lang w:val="es-MX" w:eastAsia="es-MX"/>
        </w:rPr>
      </w:pPr>
    </w:p>
    <w:p w14:paraId="5AC567A0"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PRINCIPALES LOGROS (actividades)</w:t>
      </w:r>
    </w:p>
    <w:p w14:paraId="62253DEA" w14:textId="77777777" w:rsidR="00224ABF" w:rsidRPr="00224ABF" w:rsidRDefault="00224ABF" w:rsidP="00224ABF">
      <w:pPr>
        <w:autoSpaceDE w:val="0"/>
        <w:autoSpaceDN w:val="0"/>
        <w:adjustRightInd w:val="0"/>
        <w:spacing w:after="0"/>
        <w:jc w:val="both"/>
        <w:rPr>
          <w:rFonts w:eastAsiaTheme="minorHAnsi" w:cs="Arial"/>
          <w:color w:val="000000"/>
          <w:lang w:val="es-MX"/>
        </w:rPr>
      </w:pPr>
    </w:p>
    <w:p w14:paraId="49C51D36" w14:textId="5BD2ACDF" w:rsidR="00224ABF" w:rsidRPr="00224ABF" w:rsidRDefault="009779E4" w:rsidP="00224ABF">
      <w:pPr>
        <w:numPr>
          <w:ilvl w:val="0"/>
          <w:numId w:val="159"/>
        </w:numPr>
        <w:autoSpaceDE w:val="0"/>
        <w:autoSpaceDN w:val="0"/>
        <w:adjustRightInd w:val="0"/>
        <w:spacing w:after="0"/>
        <w:jc w:val="both"/>
        <w:rPr>
          <w:rFonts w:eastAsiaTheme="minorHAnsi" w:cs="Arial"/>
          <w:color w:val="000000"/>
          <w:lang w:val="es-MX"/>
        </w:rPr>
      </w:pPr>
      <w:r>
        <w:rPr>
          <w:rFonts w:eastAsiaTheme="minorHAnsi" w:cs="Arial"/>
          <w:color w:val="000000"/>
          <w:lang w:val="es-MX"/>
        </w:rPr>
        <w:t>Publicación del prepliego p</w:t>
      </w:r>
      <w:r w:rsidR="00224ABF" w:rsidRPr="00224ABF">
        <w:rPr>
          <w:rFonts w:eastAsiaTheme="minorHAnsi" w:cs="Arial"/>
          <w:color w:val="000000"/>
          <w:lang w:val="es-MX"/>
        </w:rPr>
        <w:t xml:space="preserve">roceso de selección en la modalidad de Concurso de Méritos </w:t>
      </w:r>
      <w:r w:rsidR="00224ABF" w:rsidRPr="00224ABF">
        <w:rPr>
          <w:rFonts w:eastAsiaTheme="minorHAnsi" w:cs="Arial"/>
          <w:b/>
          <w:bCs/>
          <w:color w:val="000000"/>
          <w:lang w:val="es-MX"/>
        </w:rPr>
        <w:t xml:space="preserve">No. VJ-VGC-CM-001-2014 </w:t>
      </w:r>
      <w:r w:rsidR="00224ABF" w:rsidRPr="00224ABF">
        <w:rPr>
          <w:rFonts w:eastAsiaTheme="minorHAnsi" w:cs="Arial"/>
          <w:color w:val="000000"/>
          <w:lang w:val="es-MX"/>
        </w:rPr>
        <w:t xml:space="preserve">que tiene por objeto: </w:t>
      </w:r>
      <w:r w:rsidR="00224ABF" w:rsidRPr="00224ABF">
        <w:rPr>
          <w:rFonts w:eastAsiaTheme="minorHAnsi" w:cs="Arial"/>
          <w:i/>
          <w:iCs/>
          <w:color w:val="000000"/>
          <w:lang w:val="es-MX"/>
        </w:rPr>
        <w:t>“Contratar la interventoría integral del Contrato de Concesión, que incluye pero no se limita a la interventoría financiera, administrativa, técnica, legal, operativa, ambiental y de seguridad, del contrato no. 8000011OK-2008, cuyo objeto es “La Concesión para la administración, operación, explotación comercial, adecuación, modernización y mantenimiento de los aeropuertos Olaya Herrera (Medellín), José María Córdova (Rionegro), El Caraño (Quibdó), Los Garzones (Montería), Antonio Roldán Betancourt (Carepa) y las Brujas (Corozal)”</w:t>
      </w:r>
    </w:p>
    <w:p w14:paraId="29FE8D57" w14:textId="77777777" w:rsidR="00224ABF" w:rsidRPr="00224ABF" w:rsidRDefault="00224ABF" w:rsidP="00224ABF">
      <w:pPr>
        <w:keepNext/>
        <w:keepLines/>
        <w:spacing w:before="240" w:after="0"/>
        <w:jc w:val="both"/>
        <w:outlineLvl w:val="0"/>
        <w:rPr>
          <w:rFonts w:eastAsiaTheme="majorEastAsia" w:cs="Arial"/>
          <w:b/>
          <w:i/>
          <w:color w:val="365F91" w:themeColor="accent1" w:themeShade="BF"/>
          <w:lang w:val="es-MX"/>
        </w:rPr>
      </w:pPr>
    </w:p>
    <w:p w14:paraId="25810B96" w14:textId="77777777" w:rsidR="00224ABF" w:rsidRPr="00224ABF" w:rsidRDefault="00224ABF" w:rsidP="00224ABF">
      <w:pPr>
        <w:jc w:val="both"/>
        <w:rPr>
          <w:rFonts w:eastAsiaTheme="majorEastAsia" w:cs="Arial"/>
          <w:b/>
          <w:lang w:val="es-MX"/>
        </w:rPr>
      </w:pPr>
      <w:r w:rsidRPr="00224ABF">
        <w:rPr>
          <w:rFonts w:eastAsiaTheme="majorEastAsia" w:cs="Arial"/>
          <w:b/>
          <w:lang w:val="es-MX"/>
        </w:rPr>
        <w:t xml:space="preserve">4. </w:t>
      </w:r>
      <w:bookmarkStart w:id="77" w:name="_Toc386548632"/>
      <w:r w:rsidRPr="00224ABF">
        <w:rPr>
          <w:rFonts w:eastAsiaTheme="majorEastAsia" w:cs="Arial"/>
          <w:b/>
          <w:lang w:val="es-MX"/>
        </w:rPr>
        <w:t>CALI</w:t>
      </w:r>
      <w:bookmarkEnd w:id="77"/>
    </w:p>
    <w:p w14:paraId="62A6502F" w14:textId="77777777" w:rsidR="00224ABF" w:rsidRPr="00224ABF" w:rsidRDefault="00224ABF" w:rsidP="00224ABF">
      <w:pPr>
        <w:jc w:val="both"/>
        <w:rPr>
          <w:rFonts w:eastAsiaTheme="minorHAnsi" w:cs="Arial"/>
          <w:b/>
          <w:lang w:val="es-MX"/>
        </w:rPr>
      </w:pPr>
    </w:p>
    <w:p w14:paraId="215EFAFC" w14:textId="77777777" w:rsidR="00224ABF" w:rsidRPr="00224ABF" w:rsidRDefault="00224ABF" w:rsidP="00224ABF">
      <w:pPr>
        <w:jc w:val="both"/>
        <w:rPr>
          <w:rFonts w:eastAsiaTheme="minorHAnsi" w:cs="Arial"/>
          <w:lang w:val="es-MX"/>
        </w:rPr>
      </w:pPr>
      <w:r w:rsidRPr="00224ABF">
        <w:rPr>
          <w:rFonts w:eastAsiaTheme="minorHAnsi" w:cs="Arial"/>
          <w:b/>
          <w:lang w:val="es-MX"/>
        </w:rPr>
        <w:t>CONTRATO:</w:t>
      </w:r>
      <w:r w:rsidRPr="00224ABF">
        <w:rPr>
          <w:rFonts w:eastAsiaTheme="minorHAnsi" w:cs="Arial"/>
          <w:b/>
          <w:lang w:val="es-MX"/>
        </w:rPr>
        <w:tab/>
      </w:r>
      <w:r w:rsidRPr="00224ABF">
        <w:rPr>
          <w:rFonts w:eastAsiaTheme="minorHAnsi" w:cs="Arial"/>
          <w:lang w:val="es-MX"/>
        </w:rPr>
        <w:tab/>
        <w:t>058-CON-2000</w:t>
      </w:r>
    </w:p>
    <w:p w14:paraId="53CF5C34"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CONCESIONARIO:</w:t>
      </w:r>
      <w:r w:rsidRPr="00224ABF">
        <w:rPr>
          <w:rFonts w:eastAsia="Times New Roman" w:cs="Arial"/>
          <w:bCs/>
          <w:lang w:val="es-MX" w:eastAsia="es-MX"/>
        </w:rPr>
        <w:tab/>
        <w:t>AEROCALI S.A.</w:t>
      </w:r>
    </w:p>
    <w:p w14:paraId="55111BBE"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OBJETO CONTRATO:</w:t>
      </w:r>
      <w:r w:rsidRPr="00224ABF">
        <w:rPr>
          <w:rFonts w:eastAsia="Times New Roman" w:cs="Arial"/>
          <w:bCs/>
          <w:lang w:val="es-MX" w:eastAsia="es-MX"/>
        </w:rPr>
        <w:tab/>
        <w:t xml:space="preserve">Contrato de  Concesión  para la Administración, Operación, Explotación y Ampliación del Área Concesionada del Aeropuerto Alfonso Bonilla Aragón de Palmira que sirve a la ciudad de Cali y el recaudo de los Ingresos Regulados y No Regulados.  </w:t>
      </w:r>
    </w:p>
    <w:p w14:paraId="2E888CA0"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GESTIÓN PRIMER TRIMESTRE (Obras)</w:t>
      </w:r>
    </w:p>
    <w:p w14:paraId="4787B50F"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Actividades de mantenimiento en el aeropuerto acorde al Plan de Mantenimiento y Mejoras entregado por el Concesionario para el año 2014.</w:t>
      </w:r>
    </w:p>
    <w:p w14:paraId="3C39DF9C" w14:textId="77777777" w:rsidR="00224ABF" w:rsidRPr="00224ABF" w:rsidRDefault="00224ABF" w:rsidP="00224ABF">
      <w:pPr>
        <w:jc w:val="both"/>
        <w:rPr>
          <w:rFonts w:eastAsia="Times New Roman" w:cs="Arial"/>
          <w:b/>
          <w:bCs/>
          <w:lang w:val="es-MX" w:eastAsia="es-MX"/>
        </w:rPr>
      </w:pPr>
    </w:p>
    <w:p w14:paraId="13443160"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PRINCIPALES LOGROS (actividades)</w:t>
      </w:r>
    </w:p>
    <w:p w14:paraId="3A26F137" w14:textId="5E59EF8A"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Se autorizó la prórroga por un año al Contrato suscrito entre la Fiducia FIDUBOGOTA y la firma Price Water</w:t>
      </w:r>
      <w:r w:rsidR="00346823">
        <w:rPr>
          <w:rFonts w:eastAsia="Times New Roman" w:cs="Arial"/>
          <w:bCs/>
          <w:lang w:val="es-MX" w:eastAsia="es-MX"/>
        </w:rPr>
        <w:t xml:space="preserve"> </w:t>
      </w:r>
      <w:r w:rsidRPr="00224ABF">
        <w:rPr>
          <w:rFonts w:eastAsia="Times New Roman" w:cs="Arial"/>
          <w:bCs/>
          <w:lang w:val="es-MX" w:eastAsia="es-MX"/>
        </w:rPr>
        <w:t xml:space="preserve">Coopers para que esta última continúe realizando las funciones de la Firma Auditora. </w:t>
      </w:r>
    </w:p>
    <w:p w14:paraId="03008D72"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 xml:space="preserve">Elaboración de borrador de los documentos para la Contratación de la Interventoría para las Obras derivadas del Otrosí No. 1 del Contrato de Concesión. En la actualidad se está a la espera de presentar los documentos al Comité de Contratación.  </w:t>
      </w:r>
    </w:p>
    <w:p w14:paraId="473F064F"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 xml:space="preserve">Se autorizó el Otrosí para modificar el contrato Suscrito entre el Concesionario y la Fiducia donde se establece que la ANI se convierte en beneficiario de este contrato. </w:t>
      </w:r>
    </w:p>
    <w:p w14:paraId="57E1F1DF"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 xml:space="preserve">Se han venido realizando mesas de trabajo entre Concesionario y la ANI para la elaboración de un Otrosí al contrato de Concesión.  </w:t>
      </w:r>
    </w:p>
    <w:p w14:paraId="1208DB72" w14:textId="77777777" w:rsidR="00224ABF" w:rsidRPr="00224ABF" w:rsidRDefault="00224ABF" w:rsidP="00224ABF">
      <w:pPr>
        <w:numPr>
          <w:ilvl w:val="0"/>
          <w:numId w:val="159"/>
        </w:numPr>
        <w:spacing w:after="160"/>
        <w:contextualSpacing/>
        <w:jc w:val="both"/>
        <w:rPr>
          <w:rFonts w:eastAsiaTheme="minorHAnsi" w:cs="Arial"/>
          <w:lang w:val="es-MX"/>
        </w:rPr>
      </w:pPr>
      <w:r w:rsidRPr="00224ABF">
        <w:rPr>
          <w:rFonts w:eastAsia="Times New Roman" w:cs="Arial"/>
          <w:bCs/>
          <w:lang w:val="es-MX" w:eastAsia="es-MX"/>
        </w:rPr>
        <w:t xml:space="preserve">Se han venido realizando todos los trámites necesarios para garantizar el inicio de las obras de inversión Obligatorias, inversión Voluntarias, Adicionales y de Certificación derivadas del Otrosí No. 1 de Contrato de Concesión. </w:t>
      </w:r>
    </w:p>
    <w:p w14:paraId="788A350A" w14:textId="77777777" w:rsidR="00224ABF" w:rsidRPr="00224ABF" w:rsidRDefault="00224ABF" w:rsidP="00224ABF">
      <w:pPr>
        <w:jc w:val="both"/>
        <w:rPr>
          <w:rFonts w:eastAsiaTheme="majorEastAsia" w:cs="Arial"/>
          <w:b/>
          <w:lang w:val="es-MX"/>
        </w:rPr>
      </w:pPr>
      <w:bookmarkStart w:id="78" w:name="_Toc386548633"/>
    </w:p>
    <w:p w14:paraId="6921BEE3" w14:textId="77777777" w:rsidR="00224ABF" w:rsidRPr="00224ABF" w:rsidRDefault="00224ABF" w:rsidP="00224ABF">
      <w:pPr>
        <w:jc w:val="both"/>
        <w:rPr>
          <w:rFonts w:eastAsiaTheme="minorHAnsi" w:cs="Arial"/>
          <w:lang w:val="es-MX"/>
        </w:rPr>
      </w:pPr>
      <w:r w:rsidRPr="00224ABF">
        <w:rPr>
          <w:rFonts w:eastAsiaTheme="majorEastAsia" w:cs="Arial"/>
          <w:b/>
          <w:lang w:val="es-MX"/>
        </w:rPr>
        <w:t>5. CARTAGENA</w:t>
      </w:r>
      <w:bookmarkEnd w:id="78"/>
      <w:r w:rsidRPr="00224ABF">
        <w:rPr>
          <w:rFonts w:eastAsiaTheme="majorEastAsia" w:cs="Arial"/>
          <w:b/>
          <w:lang w:val="es-MX"/>
        </w:rPr>
        <w:t xml:space="preserve"> </w:t>
      </w:r>
    </w:p>
    <w:p w14:paraId="4EA4E6DA" w14:textId="77777777" w:rsidR="00224ABF" w:rsidRPr="00224ABF" w:rsidRDefault="00224ABF" w:rsidP="00224ABF">
      <w:pPr>
        <w:jc w:val="both"/>
        <w:rPr>
          <w:rFonts w:eastAsiaTheme="minorHAnsi" w:cs="Arial"/>
          <w:lang w:val="es-MX"/>
        </w:rPr>
      </w:pPr>
      <w:r w:rsidRPr="00224ABF">
        <w:rPr>
          <w:rFonts w:eastAsiaTheme="minorHAnsi" w:cs="Arial"/>
          <w:b/>
          <w:lang w:val="es-MX"/>
        </w:rPr>
        <w:t>CONTRATO:</w:t>
      </w:r>
      <w:r w:rsidRPr="00224ABF">
        <w:rPr>
          <w:rFonts w:eastAsiaTheme="minorHAnsi" w:cs="Arial"/>
          <w:b/>
          <w:lang w:val="es-MX"/>
        </w:rPr>
        <w:tab/>
      </w:r>
      <w:r w:rsidRPr="00224ABF">
        <w:rPr>
          <w:rFonts w:eastAsiaTheme="minorHAnsi" w:cs="Arial"/>
          <w:lang w:val="es-MX"/>
        </w:rPr>
        <w:tab/>
        <w:t xml:space="preserve">0186 DE 1996 </w:t>
      </w:r>
    </w:p>
    <w:p w14:paraId="2739119D"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CONCESIONARIO:</w:t>
      </w:r>
      <w:r w:rsidRPr="00224ABF">
        <w:rPr>
          <w:rFonts w:eastAsia="Times New Roman" w:cs="Arial"/>
          <w:bCs/>
          <w:lang w:val="es-MX" w:eastAsia="es-MX"/>
        </w:rPr>
        <w:tab/>
        <w:t xml:space="preserve">Sociedad Aeroportuaria de la Costa </w:t>
      </w:r>
    </w:p>
    <w:p w14:paraId="53657466"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OBJETO CONTRATO:</w:t>
      </w:r>
      <w:r w:rsidRPr="00224ABF">
        <w:rPr>
          <w:rFonts w:eastAsia="Times New Roman" w:cs="Arial"/>
          <w:bCs/>
          <w:lang w:val="es-MX" w:eastAsia="es-MX"/>
        </w:rPr>
        <w:tab/>
        <w:t>El objeto de este Contrato de Concesión es la administración y explotación económica por el sistema de concesión del Aeropuerto Rafael Núñez, ubicado en el Distrito Especial de Cartagena de Indias, el cual presta servicio principalmente a la ciudad de Cartagena. La administración y explotación económica incluyen el manejo y mantenimiento directo del terminal, pista, rampa, instalaciones aeroportuarias, ayudas visuales de aproximación, zonas accesorias y las Obras del Plan de Modernización y Expansión. La Aerocivil se reserva el manejo y la responsabilidad de las funciones de control y vigilancia del tráfico aéreo en ruta y el correcto funcionamiento y mantenimiento de las radio ayudas aéreas, incluyendo las radio ayudas de aproximación, y las comunicaciones y demás equipo destinado y necesario para el debido control aéreo establecidos por OACI.</w:t>
      </w:r>
    </w:p>
    <w:p w14:paraId="762F4804" w14:textId="77777777" w:rsidR="00224ABF" w:rsidRPr="00224ABF" w:rsidRDefault="00224ABF" w:rsidP="00224ABF">
      <w:pPr>
        <w:ind w:left="2832" w:hanging="2832"/>
        <w:jc w:val="both"/>
        <w:rPr>
          <w:rFonts w:eastAsia="Times New Roman" w:cs="Arial"/>
          <w:bCs/>
          <w:lang w:val="es-MX" w:eastAsia="es-MX"/>
        </w:rPr>
      </w:pPr>
    </w:p>
    <w:p w14:paraId="0EEAAEED"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GESTIÓN PRIMER TRIMESTRE (obras)</w:t>
      </w:r>
    </w:p>
    <w:p w14:paraId="5C457C1C"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Actividades de construcción de la vía perimetral, para permitir el ingreso a la plataforma ECO desde la vía externa y al edificio FBO de aviación General.</w:t>
      </w:r>
    </w:p>
    <w:p w14:paraId="70B718FB"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 xml:space="preserve">Inicio de las obras de construcción del edificio de aviación general FBO. </w:t>
      </w:r>
    </w:p>
    <w:p w14:paraId="3B465B15" w14:textId="77777777" w:rsidR="00224ABF" w:rsidRPr="00224ABF" w:rsidRDefault="00224ABF" w:rsidP="00224ABF">
      <w:pPr>
        <w:jc w:val="both"/>
        <w:rPr>
          <w:rFonts w:eastAsia="Times New Roman" w:cs="Arial"/>
          <w:b/>
          <w:bCs/>
          <w:lang w:val="es-MX" w:eastAsia="es-MX"/>
        </w:rPr>
      </w:pPr>
    </w:p>
    <w:p w14:paraId="1520FEE3"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PRINCIPALES LOGROS (actividades)</w:t>
      </w:r>
    </w:p>
    <w:p w14:paraId="2DDEFE2B"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Inicio de las labores de la nueva interventoría; Unión temporal Aeropuerto Cartagena.</w:t>
      </w:r>
    </w:p>
    <w:p w14:paraId="5EC977D5"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 xml:space="preserve">Elaboración de los estudios y diseños para la rehabilitación de la plataforma principal. </w:t>
      </w:r>
    </w:p>
    <w:p w14:paraId="720719C4" w14:textId="77777777" w:rsidR="00224ABF" w:rsidRPr="00224ABF" w:rsidRDefault="00224ABF" w:rsidP="00224ABF">
      <w:pPr>
        <w:numPr>
          <w:ilvl w:val="0"/>
          <w:numId w:val="159"/>
        </w:numPr>
        <w:spacing w:after="160"/>
        <w:contextualSpacing/>
        <w:jc w:val="both"/>
        <w:rPr>
          <w:rFonts w:eastAsiaTheme="minorHAnsi" w:cs="Arial"/>
          <w:lang w:val="es-MX"/>
        </w:rPr>
      </w:pPr>
      <w:r w:rsidRPr="00224ABF">
        <w:rPr>
          <w:rFonts w:eastAsia="Times New Roman" w:cs="Arial"/>
          <w:bCs/>
          <w:lang w:val="es-MX" w:eastAsia="es-MX"/>
        </w:rPr>
        <w:t xml:space="preserve">Revisión del plan de mantenimiento, garantizando la inclusión de las actividades acordadas en el acta de verificación del terminal suscrito por la Aeronáutica Civil. De acuerdo a este plan se han realizado actividades de mantenimiento del lado tierra y lado aire para garantizar un mejor servicio al usuario y la seguridad operacional del Aeropuerto. </w:t>
      </w:r>
      <w:bookmarkStart w:id="79" w:name="_Toc386548634"/>
    </w:p>
    <w:p w14:paraId="157469EB" w14:textId="77777777" w:rsidR="00224ABF" w:rsidRPr="00224ABF" w:rsidRDefault="00224ABF" w:rsidP="00224ABF">
      <w:pPr>
        <w:ind w:left="720"/>
        <w:contextualSpacing/>
        <w:jc w:val="both"/>
        <w:rPr>
          <w:rFonts w:eastAsia="Times New Roman" w:cs="Arial"/>
          <w:bCs/>
          <w:lang w:val="es-MX" w:eastAsia="es-MX"/>
        </w:rPr>
      </w:pPr>
    </w:p>
    <w:p w14:paraId="2E101DA3" w14:textId="77777777" w:rsidR="00224ABF" w:rsidRPr="00224ABF" w:rsidRDefault="00224ABF" w:rsidP="00224ABF">
      <w:pPr>
        <w:ind w:left="720"/>
        <w:contextualSpacing/>
        <w:jc w:val="both"/>
        <w:rPr>
          <w:rFonts w:eastAsia="Times New Roman" w:cs="Arial"/>
          <w:bCs/>
          <w:lang w:val="es-MX" w:eastAsia="es-MX"/>
        </w:rPr>
      </w:pPr>
    </w:p>
    <w:p w14:paraId="3B4DB1B5" w14:textId="77777777" w:rsidR="00224ABF" w:rsidRPr="00224ABF" w:rsidRDefault="00224ABF" w:rsidP="00224ABF">
      <w:pPr>
        <w:contextualSpacing/>
        <w:jc w:val="both"/>
        <w:rPr>
          <w:rFonts w:eastAsiaTheme="majorEastAsia" w:cs="Arial"/>
          <w:b/>
          <w:lang w:val="es-MX"/>
        </w:rPr>
      </w:pPr>
    </w:p>
    <w:p w14:paraId="2EA74F23" w14:textId="77777777" w:rsidR="00224ABF" w:rsidRPr="00224ABF" w:rsidRDefault="00224ABF" w:rsidP="00224ABF">
      <w:pPr>
        <w:contextualSpacing/>
        <w:jc w:val="both"/>
        <w:rPr>
          <w:rFonts w:eastAsiaTheme="majorEastAsia" w:cs="Arial"/>
          <w:b/>
          <w:lang w:val="es-MX"/>
        </w:rPr>
      </w:pPr>
    </w:p>
    <w:p w14:paraId="6393B825" w14:textId="77777777" w:rsidR="00224ABF" w:rsidRPr="00224ABF" w:rsidRDefault="00224ABF" w:rsidP="00224ABF">
      <w:pPr>
        <w:contextualSpacing/>
        <w:jc w:val="both"/>
        <w:rPr>
          <w:rFonts w:eastAsiaTheme="majorEastAsia" w:cs="Arial"/>
          <w:b/>
          <w:lang w:val="es-MX"/>
        </w:rPr>
      </w:pPr>
    </w:p>
    <w:p w14:paraId="350C59C1" w14:textId="77777777" w:rsidR="00224ABF" w:rsidRPr="00224ABF" w:rsidRDefault="00224ABF" w:rsidP="00224ABF">
      <w:pPr>
        <w:contextualSpacing/>
        <w:jc w:val="both"/>
        <w:rPr>
          <w:rFonts w:eastAsiaTheme="minorHAnsi" w:cs="Arial"/>
          <w:lang w:val="es-MX"/>
        </w:rPr>
      </w:pPr>
      <w:r w:rsidRPr="00224ABF">
        <w:rPr>
          <w:rFonts w:eastAsiaTheme="majorEastAsia" w:cs="Arial"/>
          <w:b/>
          <w:lang w:val="es-MX"/>
        </w:rPr>
        <w:lastRenderedPageBreak/>
        <w:t>6. ELDORADO</w:t>
      </w:r>
      <w:bookmarkEnd w:id="79"/>
      <w:r w:rsidRPr="00224ABF">
        <w:rPr>
          <w:rFonts w:eastAsiaTheme="majorEastAsia" w:cs="Arial"/>
          <w:b/>
          <w:lang w:val="es-MX"/>
        </w:rPr>
        <w:t xml:space="preserve"> </w:t>
      </w:r>
    </w:p>
    <w:p w14:paraId="35DC13AF" w14:textId="77777777" w:rsidR="00224ABF" w:rsidRPr="00224ABF" w:rsidRDefault="00224ABF" w:rsidP="00224ABF">
      <w:pPr>
        <w:jc w:val="both"/>
        <w:rPr>
          <w:rFonts w:eastAsiaTheme="minorHAnsi" w:cs="Arial"/>
          <w:b/>
          <w:lang w:val="es-MX"/>
        </w:rPr>
      </w:pPr>
    </w:p>
    <w:p w14:paraId="56EC00DB" w14:textId="77777777" w:rsidR="00224ABF" w:rsidRPr="00224ABF" w:rsidRDefault="00224ABF" w:rsidP="00224ABF">
      <w:pPr>
        <w:jc w:val="both"/>
        <w:rPr>
          <w:rFonts w:eastAsiaTheme="minorHAnsi" w:cs="Arial"/>
          <w:lang w:val="es-MX"/>
        </w:rPr>
      </w:pPr>
      <w:r w:rsidRPr="00224ABF">
        <w:rPr>
          <w:rFonts w:eastAsiaTheme="minorHAnsi" w:cs="Arial"/>
          <w:b/>
          <w:lang w:val="es-MX"/>
        </w:rPr>
        <w:t>CONTRATO:</w:t>
      </w:r>
      <w:r w:rsidRPr="00224ABF">
        <w:rPr>
          <w:rFonts w:eastAsiaTheme="minorHAnsi" w:cs="Arial"/>
          <w:b/>
          <w:lang w:val="es-MX"/>
        </w:rPr>
        <w:tab/>
      </w:r>
      <w:r w:rsidRPr="00224ABF">
        <w:rPr>
          <w:rFonts w:eastAsiaTheme="minorHAnsi" w:cs="Arial"/>
          <w:lang w:val="es-MX"/>
        </w:rPr>
        <w:tab/>
        <w:t>6000169-OK DE 2006</w:t>
      </w:r>
    </w:p>
    <w:p w14:paraId="36E9BB0F"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CONCESIONARIO:</w:t>
      </w:r>
      <w:r w:rsidRPr="00224ABF">
        <w:rPr>
          <w:rFonts w:eastAsia="Times New Roman" w:cs="Arial"/>
          <w:bCs/>
          <w:lang w:val="es-MX" w:eastAsia="es-MX"/>
        </w:rPr>
        <w:tab/>
        <w:t>Consorcio Aeropuerto Internacional El Dorado OPAIN S.A</w:t>
      </w:r>
    </w:p>
    <w:p w14:paraId="3FB9FEB3"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OBJETO CONTRATO:</w:t>
      </w:r>
      <w:r w:rsidRPr="00224ABF">
        <w:rPr>
          <w:rFonts w:eastAsia="Times New Roman" w:cs="Arial"/>
          <w:bCs/>
          <w:lang w:val="es-MX" w:eastAsia="es-MX"/>
        </w:rPr>
        <w:tab/>
        <w:t>Contrato de  Concesión  para la Administración, Operación, Explotación Comercial, Mantenimiento y Modernización y Expansión del  Aeropuerto Internacional El Dorado de la ciudad de Bogotá D.C.</w:t>
      </w:r>
    </w:p>
    <w:p w14:paraId="5D6CE11B" w14:textId="77777777" w:rsidR="00224ABF" w:rsidRPr="00224ABF" w:rsidRDefault="00224ABF" w:rsidP="00224ABF">
      <w:pPr>
        <w:jc w:val="both"/>
        <w:rPr>
          <w:rFonts w:eastAsia="Times New Roman" w:cs="Arial"/>
          <w:b/>
          <w:bCs/>
          <w:lang w:val="es-MX" w:eastAsia="es-MX"/>
        </w:rPr>
      </w:pPr>
    </w:p>
    <w:p w14:paraId="3504BEF9"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GESTIÓN PRIMER TRIMESTRE (obras)</w:t>
      </w:r>
    </w:p>
    <w:p w14:paraId="121F1B18"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Revisión en detalle de Informes de Interventoría Técnica, Interventoría Financiera e Interventoría Operativa después de efectuada la cesión por parte de la Aerocivil;</w:t>
      </w:r>
    </w:p>
    <w:p w14:paraId="4E5F29E1" w14:textId="77777777" w:rsidR="00224ABF" w:rsidRPr="00224ABF" w:rsidRDefault="00224ABF" w:rsidP="00224ABF">
      <w:pPr>
        <w:ind w:left="720"/>
        <w:contextualSpacing/>
        <w:jc w:val="both"/>
        <w:rPr>
          <w:rFonts w:eastAsia="Times New Roman" w:cs="Arial"/>
          <w:bCs/>
          <w:lang w:val="es-MX" w:eastAsia="es-MX"/>
        </w:rPr>
      </w:pPr>
    </w:p>
    <w:p w14:paraId="33D6857D"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Reuniones periódicas con la Interventoría técnica y OPAIN de verificación, control y avance de los hitos faltantes en el proceso de Modernización y Expansión del  Aeropuerto Internacional El Dorado de la ciudad de Bogotá D.C.</w:t>
      </w:r>
    </w:p>
    <w:p w14:paraId="47CBE3B4" w14:textId="77777777" w:rsidR="00224ABF" w:rsidRPr="00224ABF" w:rsidRDefault="00224ABF" w:rsidP="00224ABF">
      <w:pPr>
        <w:ind w:left="720"/>
        <w:contextualSpacing/>
        <w:jc w:val="both"/>
        <w:rPr>
          <w:rFonts w:eastAsia="Times New Roman" w:cs="Arial"/>
          <w:bCs/>
          <w:lang w:val="es-MX" w:eastAsia="es-MX"/>
        </w:rPr>
      </w:pPr>
    </w:p>
    <w:p w14:paraId="73EB3B51"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 xml:space="preserve">Desarrollo de actividades tendientes a la modificación del contrato de concesión </w:t>
      </w:r>
      <w:r w:rsidRPr="00224ABF">
        <w:rPr>
          <w:rFonts w:eastAsiaTheme="minorHAnsi" w:cs="Arial"/>
          <w:lang w:val="es-MX"/>
        </w:rPr>
        <w:t xml:space="preserve">6000169-OK de 2006 </w:t>
      </w:r>
      <w:r w:rsidRPr="00224ABF">
        <w:rPr>
          <w:rFonts w:eastAsia="Times New Roman" w:cs="Arial"/>
          <w:bCs/>
          <w:lang w:val="es-MX" w:eastAsia="es-MX"/>
        </w:rPr>
        <w:t>para i) la ejecución de las obras complementarias reconocidas por la AEROCIVIL relacionadas con el subproyecto denominado “suministro, instalación y puesta en funcionamiento del banco de ductos, cableado para la nueva subestación de la nueva torre de control” y, ii) desafectación del área concesionada.</w:t>
      </w:r>
    </w:p>
    <w:p w14:paraId="224F84D8"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Análisis de información y reuniones de aclaración con funcionarios de la Aerocivil;</w:t>
      </w:r>
    </w:p>
    <w:p w14:paraId="5FA81408"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Solicitud de conceptos técnico, financiero y Jurídico para la adición del contrato de concesión.</w:t>
      </w:r>
    </w:p>
    <w:p w14:paraId="4E154E46"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Estudio de necesidad y conveniencia;</w:t>
      </w:r>
    </w:p>
    <w:p w14:paraId="2268A554"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Preparación del borrador Otrosí;</w:t>
      </w:r>
    </w:p>
    <w:p w14:paraId="239B4F73" w14:textId="77777777" w:rsidR="00224ABF" w:rsidRPr="00224ABF" w:rsidRDefault="00224ABF" w:rsidP="00224ABF">
      <w:pPr>
        <w:ind w:left="1440"/>
        <w:contextualSpacing/>
        <w:jc w:val="both"/>
        <w:rPr>
          <w:rFonts w:eastAsia="Times New Roman" w:cs="Arial"/>
          <w:bCs/>
          <w:lang w:val="es-MX" w:eastAsia="es-MX"/>
        </w:rPr>
      </w:pPr>
    </w:p>
    <w:p w14:paraId="1843B0A4"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Actividades de mantenimiento del terminal para garantizar un mejor servicio al usuario.</w:t>
      </w:r>
    </w:p>
    <w:p w14:paraId="77DC5074" w14:textId="77777777" w:rsidR="00224ABF" w:rsidRPr="00224ABF" w:rsidRDefault="00224ABF" w:rsidP="00224ABF">
      <w:pPr>
        <w:ind w:left="720"/>
        <w:contextualSpacing/>
        <w:jc w:val="both"/>
        <w:rPr>
          <w:rFonts w:eastAsia="Times New Roman" w:cs="Arial"/>
          <w:bCs/>
          <w:lang w:val="es-MX" w:eastAsia="es-MX"/>
        </w:rPr>
      </w:pPr>
    </w:p>
    <w:p w14:paraId="5A0759EA"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 xml:space="preserve">Desarrollo de las obras contractuales del hito 8 – Plataforma Interior, jet ducto, Vías – Redes – Parqueaderos Buses Regionales – Separación Redes REAN/REAP/RTAN/RTAP y Demolición Secretaria de Sistemas Operacionales.  </w:t>
      </w:r>
    </w:p>
    <w:p w14:paraId="671155E0" w14:textId="77777777" w:rsidR="00224ABF" w:rsidRPr="00224ABF" w:rsidRDefault="00224ABF" w:rsidP="00224ABF">
      <w:pPr>
        <w:ind w:left="720"/>
        <w:contextualSpacing/>
        <w:jc w:val="both"/>
        <w:rPr>
          <w:rFonts w:eastAsia="Times New Roman" w:cs="Arial"/>
          <w:bCs/>
          <w:lang w:val="es-MX" w:eastAsia="es-MX"/>
        </w:rPr>
      </w:pPr>
    </w:p>
    <w:p w14:paraId="1F18537C"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Reforzamiento Estructural Complementario y Sistemas Terminal Puente Aéreo TPA fase II.</w:t>
      </w:r>
    </w:p>
    <w:p w14:paraId="03477F1D" w14:textId="77777777" w:rsidR="00224ABF" w:rsidRPr="00224ABF" w:rsidRDefault="00224ABF" w:rsidP="00224ABF">
      <w:pPr>
        <w:ind w:left="720"/>
        <w:contextualSpacing/>
        <w:jc w:val="both"/>
        <w:rPr>
          <w:rFonts w:eastAsia="Times New Roman" w:cs="Arial"/>
          <w:bCs/>
          <w:lang w:val="es-MX" w:eastAsia="es-MX"/>
        </w:rPr>
      </w:pPr>
    </w:p>
    <w:p w14:paraId="68E41E73"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 xml:space="preserve">Demolición Espigones Norte y Sur Antiguo Aeropuerto. </w:t>
      </w:r>
    </w:p>
    <w:p w14:paraId="12711459" w14:textId="77777777" w:rsidR="00224ABF" w:rsidRPr="00224ABF" w:rsidRDefault="00224ABF" w:rsidP="00224ABF">
      <w:pPr>
        <w:jc w:val="both"/>
        <w:rPr>
          <w:rFonts w:eastAsia="Times New Roman" w:cs="Arial"/>
          <w:b/>
          <w:bCs/>
          <w:lang w:val="es-MX" w:eastAsia="es-MX"/>
        </w:rPr>
      </w:pPr>
    </w:p>
    <w:p w14:paraId="17265A66"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lastRenderedPageBreak/>
        <w:t>PRINCIPALES LOGROS (actividades)</w:t>
      </w:r>
    </w:p>
    <w:p w14:paraId="3566BA25" w14:textId="77777777" w:rsidR="00224ABF" w:rsidRPr="00224ABF" w:rsidRDefault="00224ABF" w:rsidP="00224ABF">
      <w:pPr>
        <w:ind w:left="720"/>
        <w:contextualSpacing/>
        <w:jc w:val="both"/>
        <w:rPr>
          <w:rFonts w:eastAsia="Times New Roman" w:cs="Arial"/>
          <w:bCs/>
          <w:lang w:val="es-MX" w:eastAsia="es-MX"/>
        </w:rPr>
      </w:pPr>
    </w:p>
    <w:p w14:paraId="40FFF508"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Aprobaciones a diseños de detalle en virtud de lo contenido en el numeral 21.2 de la Cláusula 21 del Contrato de Concesión No. 6000169OK-2006.</w:t>
      </w:r>
    </w:p>
    <w:p w14:paraId="36681AB5" w14:textId="77777777" w:rsidR="00224ABF" w:rsidRPr="00224ABF" w:rsidRDefault="00224ABF" w:rsidP="00224ABF">
      <w:pPr>
        <w:ind w:left="720"/>
        <w:contextualSpacing/>
        <w:jc w:val="both"/>
        <w:rPr>
          <w:rFonts w:eastAsia="Times New Roman" w:cs="Arial"/>
          <w:bCs/>
          <w:lang w:val="es-MX" w:eastAsia="es-MX"/>
        </w:rPr>
      </w:pPr>
    </w:p>
    <w:p w14:paraId="52D573AF"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El Concesionario está implementando un sistema de seguridad perimetral a través de paneles solares y con equipos de seguridad de alta tecnología los cuales son monitoreados desde el Centro de Control de Operaciones.</w:t>
      </w:r>
    </w:p>
    <w:p w14:paraId="61C3E9EC" w14:textId="77777777" w:rsidR="00224ABF" w:rsidRPr="00224ABF" w:rsidRDefault="00224ABF" w:rsidP="00224ABF">
      <w:pPr>
        <w:ind w:left="720"/>
        <w:contextualSpacing/>
        <w:jc w:val="both"/>
        <w:rPr>
          <w:rFonts w:eastAsia="Times New Roman" w:cs="Arial"/>
          <w:bCs/>
          <w:lang w:val="es-MX" w:eastAsia="es-MX"/>
        </w:rPr>
      </w:pPr>
    </w:p>
    <w:p w14:paraId="33F1EB69"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Se desarrolló un plan estratégico para el traslado inicial de la Aerolínea Avianca al nuevo terminal de pasajeros.</w:t>
      </w:r>
    </w:p>
    <w:p w14:paraId="62E0EB77" w14:textId="77777777" w:rsidR="00224ABF" w:rsidRPr="00224ABF" w:rsidRDefault="00224ABF" w:rsidP="00224ABF">
      <w:pPr>
        <w:ind w:left="720"/>
        <w:contextualSpacing/>
        <w:jc w:val="both"/>
        <w:rPr>
          <w:rFonts w:eastAsia="Times New Roman" w:cs="Arial"/>
          <w:bCs/>
          <w:lang w:val="es-MX" w:eastAsia="es-MX"/>
        </w:rPr>
      </w:pPr>
    </w:p>
    <w:p w14:paraId="69B629A4" w14:textId="77777777" w:rsidR="00224ABF" w:rsidRPr="00224ABF" w:rsidRDefault="00224ABF" w:rsidP="00224ABF">
      <w:pPr>
        <w:numPr>
          <w:ilvl w:val="0"/>
          <w:numId w:val="159"/>
        </w:numPr>
        <w:spacing w:after="160"/>
        <w:contextualSpacing/>
        <w:jc w:val="both"/>
        <w:rPr>
          <w:rFonts w:eastAsiaTheme="minorHAnsi" w:cs="Arial"/>
          <w:lang w:val="es-MX"/>
        </w:rPr>
      </w:pPr>
      <w:r w:rsidRPr="00224ABF">
        <w:rPr>
          <w:rFonts w:eastAsia="Times New Roman" w:cs="Arial"/>
          <w:bCs/>
          <w:lang w:val="es-MX" w:eastAsia="es-MX"/>
        </w:rPr>
        <w:t>El concesionario adquirió e instalo un sistema de reconciliación de equipaje RBS (por sus siglas en inglés) para complementar el BHS actual.</w:t>
      </w:r>
    </w:p>
    <w:p w14:paraId="0C686A9F" w14:textId="77777777" w:rsidR="00224ABF" w:rsidRPr="00224ABF" w:rsidRDefault="00224ABF" w:rsidP="00224ABF">
      <w:pPr>
        <w:ind w:left="720"/>
        <w:contextualSpacing/>
        <w:jc w:val="both"/>
        <w:rPr>
          <w:rFonts w:eastAsiaTheme="minorHAnsi" w:cs="Arial"/>
          <w:lang w:val="es-MX"/>
        </w:rPr>
      </w:pPr>
    </w:p>
    <w:p w14:paraId="5042DC92" w14:textId="77777777" w:rsidR="00224ABF" w:rsidRPr="00224ABF" w:rsidRDefault="00224ABF" w:rsidP="00224ABF">
      <w:pPr>
        <w:jc w:val="both"/>
        <w:rPr>
          <w:rFonts w:eastAsiaTheme="majorEastAsia" w:cs="Arial"/>
          <w:b/>
          <w:lang w:val="es-MX"/>
        </w:rPr>
      </w:pPr>
    </w:p>
    <w:p w14:paraId="3014A12F" w14:textId="77777777" w:rsidR="00224ABF" w:rsidRPr="00224ABF" w:rsidRDefault="00224ABF" w:rsidP="00224ABF">
      <w:pPr>
        <w:jc w:val="both"/>
        <w:rPr>
          <w:rFonts w:eastAsiaTheme="minorHAnsi" w:cs="Arial"/>
          <w:lang w:val="es-MX"/>
        </w:rPr>
      </w:pPr>
      <w:r w:rsidRPr="00224ABF">
        <w:rPr>
          <w:rFonts w:eastAsiaTheme="majorEastAsia" w:cs="Arial"/>
          <w:b/>
          <w:lang w:val="es-MX"/>
        </w:rPr>
        <w:t xml:space="preserve">7. </w:t>
      </w:r>
      <w:bookmarkStart w:id="80" w:name="_Toc386548635"/>
      <w:r w:rsidRPr="00224ABF">
        <w:rPr>
          <w:rFonts w:eastAsiaTheme="majorEastAsia" w:cs="Arial"/>
          <w:b/>
          <w:lang w:val="es-MX"/>
        </w:rPr>
        <w:t>CODAD S.A.</w:t>
      </w:r>
      <w:bookmarkEnd w:id="80"/>
    </w:p>
    <w:p w14:paraId="2278613E" w14:textId="77777777" w:rsidR="00224ABF" w:rsidRPr="00224ABF" w:rsidRDefault="00224ABF" w:rsidP="00224ABF">
      <w:pPr>
        <w:jc w:val="both"/>
        <w:rPr>
          <w:rFonts w:eastAsiaTheme="minorHAnsi" w:cs="Arial"/>
          <w:lang w:val="es-MX"/>
        </w:rPr>
      </w:pPr>
      <w:r w:rsidRPr="00224ABF">
        <w:rPr>
          <w:rFonts w:eastAsiaTheme="minorHAnsi" w:cs="Arial"/>
          <w:b/>
          <w:lang w:val="es-MX"/>
        </w:rPr>
        <w:t>CONTRATO:</w:t>
      </w:r>
      <w:r w:rsidRPr="00224ABF">
        <w:rPr>
          <w:rFonts w:eastAsiaTheme="minorHAnsi" w:cs="Arial"/>
          <w:b/>
          <w:lang w:val="es-MX"/>
        </w:rPr>
        <w:tab/>
      </w:r>
      <w:r w:rsidRPr="00224ABF">
        <w:rPr>
          <w:rFonts w:eastAsiaTheme="minorHAnsi" w:cs="Arial"/>
          <w:lang w:val="es-MX"/>
        </w:rPr>
        <w:tab/>
        <w:t>0110-O.P. del 18 de julio de 1995</w:t>
      </w:r>
    </w:p>
    <w:p w14:paraId="7F3740D7"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CONCESIONARIO:</w:t>
      </w:r>
      <w:r w:rsidRPr="00224ABF">
        <w:rPr>
          <w:rFonts w:eastAsia="Times New Roman" w:cs="Arial"/>
          <w:bCs/>
          <w:lang w:val="es-MX" w:eastAsia="es-MX"/>
        </w:rPr>
        <w:tab/>
        <w:t>Compañía de Desarrollo Aeropuerto Eldorado S.A. – CODAD S.A.</w:t>
      </w:r>
    </w:p>
    <w:p w14:paraId="05BF7697" w14:textId="77777777" w:rsidR="00224ABF" w:rsidRPr="00224ABF" w:rsidRDefault="00224ABF" w:rsidP="00224ABF">
      <w:pPr>
        <w:ind w:left="2832" w:hanging="2832"/>
        <w:jc w:val="both"/>
        <w:rPr>
          <w:rFonts w:eastAsia="Times New Roman" w:cs="Arial"/>
          <w:bCs/>
          <w:lang w:val="es-MX" w:eastAsia="es-MX"/>
        </w:rPr>
      </w:pPr>
      <w:r w:rsidRPr="00224ABF">
        <w:rPr>
          <w:rFonts w:eastAsia="Times New Roman" w:cs="Arial"/>
          <w:b/>
          <w:bCs/>
          <w:lang w:val="es-MX" w:eastAsia="es-MX"/>
        </w:rPr>
        <w:t>OBJETO CONTRATO:</w:t>
      </w:r>
      <w:r w:rsidRPr="00224ABF">
        <w:rPr>
          <w:rFonts w:eastAsia="Times New Roman" w:cs="Arial"/>
          <w:bCs/>
          <w:lang w:val="es-MX" w:eastAsia="es-MX"/>
        </w:rPr>
        <w:tab/>
        <w:t>Contrato de Concesión para la construcción de la segunda pista del aeropuerto Eldorado y obras complementarias, incluyendo el suministro, instalación y prueba de equipos, y el mantenimiento de la segunda pista, de las obras complementarias y de la pista existente.</w:t>
      </w:r>
    </w:p>
    <w:p w14:paraId="1A99D26B" w14:textId="77777777" w:rsidR="00224ABF" w:rsidRPr="00224ABF" w:rsidRDefault="00224ABF" w:rsidP="00224ABF">
      <w:pPr>
        <w:jc w:val="both"/>
        <w:rPr>
          <w:rFonts w:eastAsia="Times New Roman" w:cs="Arial"/>
          <w:b/>
          <w:bCs/>
          <w:lang w:val="es-MX" w:eastAsia="es-MX"/>
        </w:rPr>
      </w:pPr>
      <w:r w:rsidRPr="00224ABF">
        <w:rPr>
          <w:rFonts w:eastAsia="Times New Roman" w:cs="Arial"/>
          <w:b/>
          <w:bCs/>
          <w:lang w:val="es-MX" w:eastAsia="es-MX"/>
        </w:rPr>
        <w:t>GESTIÓN PRIMER TRIMESTRE</w:t>
      </w:r>
    </w:p>
    <w:p w14:paraId="1A2A187B"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Actividades de mantenimiento en el lado aire del aeropuerto El Dorado, concerniente con la Segunda Pista y la Pista Existente;</w:t>
      </w:r>
    </w:p>
    <w:p w14:paraId="5BF9F6B5" w14:textId="77777777" w:rsidR="00224ABF" w:rsidRPr="00224ABF" w:rsidRDefault="00224ABF" w:rsidP="00224ABF">
      <w:pPr>
        <w:numPr>
          <w:ilvl w:val="0"/>
          <w:numId w:val="159"/>
        </w:numPr>
        <w:spacing w:after="160"/>
        <w:contextualSpacing/>
        <w:jc w:val="both"/>
        <w:rPr>
          <w:rFonts w:eastAsia="Times New Roman" w:cs="Arial"/>
          <w:bCs/>
          <w:lang w:val="es-MX" w:eastAsia="es-MX"/>
        </w:rPr>
      </w:pPr>
      <w:r w:rsidRPr="00224ABF">
        <w:rPr>
          <w:rFonts w:eastAsia="Times New Roman" w:cs="Arial"/>
          <w:bCs/>
          <w:lang w:val="es-MX" w:eastAsia="es-MX"/>
        </w:rPr>
        <w:t>Desarrollo de actividades tendientes a la adición del contrato de concesión No. 0110 – O.P. del 18 de julio de 1995 para los estudios y diseños para la construcción de nuevas calles de salida rápida:</w:t>
      </w:r>
    </w:p>
    <w:p w14:paraId="1F7A574C"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Análisis de Plan Maestro y reuniones de aclaración con la Aerocivil;</w:t>
      </w:r>
    </w:p>
    <w:p w14:paraId="3373B469"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Estudio de necesidad y conveniencia;</w:t>
      </w:r>
    </w:p>
    <w:p w14:paraId="78DCE3A7"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Preparación del Otrosí de diseños;</w:t>
      </w:r>
    </w:p>
    <w:p w14:paraId="4D1670C2"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Matriz de Riesgos;</w:t>
      </w:r>
    </w:p>
    <w:p w14:paraId="70F09C50"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Anexo Técnico No. 1 - Especificaciones Técnicas;</w:t>
      </w:r>
    </w:p>
    <w:p w14:paraId="59A9A119"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t>Anexo Técnico No. 2 - Requisitos de Personal Profesional y del Asesor experto aeroportuario;</w:t>
      </w:r>
    </w:p>
    <w:p w14:paraId="5B96159F" w14:textId="77777777" w:rsidR="00224ABF" w:rsidRPr="00224ABF" w:rsidRDefault="00224ABF" w:rsidP="00224ABF">
      <w:pPr>
        <w:numPr>
          <w:ilvl w:val="1"/>
          <w:numId w:val="159"/>
        </w:numPr>
        <w:spacing w:after="160"/>
        <w:contextualSpacing/>
        <w:jc w:val="both"/>
        <w:rPr>
          <w:rFonts w:eastAsia="Times New Roman" w:cs="Arial"/>
          <w:bCs/>
          <w:lang w:val="es-MX" w:eastAsia="es-MX"/>
        </w:rPr>
      </w:pPr>
      <w:r w:rsidRPr="00224ABF">
        <w:rPr>
          <w:rFonts w:eastAsia="Times New Roman" w:cs="Arial"/>
          <w:bCs/>
          <w:lang w:val="es-MX" w:eastAsia="es-MX"/>
        </w:rPr>
        <w:lastRenderedPageBreak/>
        <w:t>Estudio de mercado sobre Asesor experto aeroportuario;</w:t>
      </w:r>
    </w:p>
    <w:p w14:paraId="27C850ED" w14:textId="77777777" w:rsidR="00224ABF" w:rsidRPr="00224ABF" w:rsidRDefault="00224ABF" w:rsidP="00224ABF">
      <w:pPr>
        <w:jc w:val="both"/>
        <w:rPr>
          <w:rFonts w:eastAsia="Times New Roman" w:cs="Arial"/>
          <w:b/>
          <w:bCs/>
          <w:lang w:val="es-MX" w:eastAsia="es-MX"/>
        </w:rPr>
      </w:pPr>
    </w:p>
    <w:p w14:paraId="01AACAE6" w14:textId="77777777" w:rsidR="00224ABF" w:rsidRPr="00224ABF" w:rsidRDefault="00224ABF" w:rsidP="00224ABF">
      <w:pPr>
        <w:pStyle w:val="Prrafodelista"/>
        <w:ind w:left="3540" w:hanging="3540"/>
        <w:jc w:val="both"/>
        <w:rPr>
          <w:rFonts w:cs="Arial"/>
          <w:b/>
          <w:bCs/>
          <w:color w:val="282828"/>
          <w:lang w:val="es-ES"/>
        </w:rPr>
      </w:pPr>
    </w:p>
    <w:p w14:paraId="320B9AF8" w14:textId="77777777" w:rsidR="00224ABF" w:rsidRPr="00224ABF" w:rsidRDefault="00224ABF" w:rsidP="00224ABF">
      <w:pPr>
        <w:jc w:val="center"/>
        <w:rPr>
          <w:rFonts w:cs="Arial"/>
          <w:b/>
        </w:rPr>
      </w:pPr>
      <w:r w:rsidRPr="00224ABF">
        <w:rPr>
          <w:rFonts w:cs="Arial"/>
          <w:b/>
        </w:rPr>
        <w:t>GERENCIA PUERTOS Y FÉRREO</w:t>
      </w:r>
    </w:p>
    <w:p w14:paraId="0244DF29" w14:textId="77777777" w:rsidR="00224ABF" w:rsidRPr="00224ABF" w:rsidRDefault="00224ABF" w:rsidP="00224ABF">
      <w:pPr>
        <w:jc w:val="both"/>
        <w:rPr>
          <w:rFonts w:cs="Arial"/>
          <w:b/>
        </w:rPr>
      </w:pPr>
    </w:p>
    <w:p w14:paraId="2731CAD0" w14:textId="77777777" w:rsidR="00224ABF" w:rsidRPr="00224ABF" w:rsidRDefault="00224ABF" w:rsidP="00224ABF">
      <w:pPr>
        <w:jc w:val="both"/>
        <w:rPr>
          <w:rFonts w:cs="Arial"/>
          <w:b/>
        </w:rPr>
      </w:pPr>
      <w:r w:rsidRPr="00224ABF">
        <w:rPr>
          <w:rFonts w:cs="Arial"/>
          <w:b/>
        </w:rPr>
        <w:t>1. PUERTOS</w:t>
      </w:r>
    </w:p>
    <w:p w14:paraId="3C3E59C4" w14:textId="77777777" w:rsidR="00224ABF" w:rsidRPr="00224ABF" w:rsidRDefault="00224ABF" w:rsidP="00224ABF">
      <w:pPr>
        <w:shd w:val="clear" w:color="auto" w:fill="FFFFFF"/>
        <w:spacing w:after="0"/>
        <w:jc w:val="both"/>
        <w:rPr>
          <w:rFonts w:eastAsia="Times New Roman" w:cs="Arial"/>
          <w:color w:val="000000"/>
          <w:shd w:val="clear" w:color="auto" w:fill="FFFFFF"/>
        </w:rPr>
      </w:pPr>
    </w:p>
    <w:p w14:paraId="3F069AA1" w14:textId="77777777" w:rsidR="00224ABF" w:rsidRPr="00224ABF" w:rsidRDefault="00224ABF" w:rsidP="00224ABF">
      <w:pPr>
        <w:shd w:val="clear" w:color="auto" w:fill="FFFFFF"/>
        <w:spacing w:after="0"/>
        <w:jc w:val="both"/>
        <w:rPr>
          <w:rFonts w:eastAsia="Times New Roman" w:cs="Arial"/>
          <w:color w:val="000000"/>
          <w:shd w:val="clear" w:color="auto" w:fill="FFFFFF"/>
        </w:rPr>
      </w:pPr>
      <w:r w:rsidRPr="00224ABF">
        <w:rPr>
          <w:rFonts w:eastAsia="Times New Roman" w:cs="Arial"/>
          <w:b/>
          <w:bCs/>
          <w:color w:val="000000"/>
          <w:shd w:val="clear" w:color="auto" w:fill="FFFFFF"/>
        </w:rPr>
        <w:t>Sociedad Portuaria Regional de Tumaco:</w:t>
      </w:r>
    </w:p>
    <w:p w14:paraId="7B66F7F0" w14:textId="77777777" w:rsidR="00224ABF" w:rsidRPr="00224ABF" w:rsidRDefault="00224ABF" w:rsidP="00224ABF">
      <w:pPr>
        <w:numPr>
          <w:ilvl w:val="0"/>
          <w:numId w:val="170"/>
        </w:numPr>
        <w:shd w:val="clear" w:color="auto" w:fill="FFFFFF"/>
        <w:spacing w:before="100" w:beforeAutospacing="1" w:after="100" w:afterAutospacing="1"/>
        <w:jc w:val="both"/>
        <w:rPr>
          <w:rFonts w:eastAsia="Times New Roman" w:cs="Arial"/>
          <w:color w:val="000000"/>
          <w:shd w:val="clear" w:color="auto" w:fill="FFFFFF"/>
        </w:rPr>
      </w:pPr>
      <w:r w:rsidRPr="00224ABF">
        <w:rPr>
          <w:rFonts w:eastAsia="Times New Roman" w:cs="Arial"/>
          <w:color w:val="000000"/>
          <w:shd w:val="clear" w:color="auto" w:fill="FFFFFF"/>
        </w:rPr>
        <w:t>Mediante resolución No. 593 del 22/04/2014 se niega la resolución de modificación presentada por la SPRT y se aprueba prorrogar por tres años el contrato de concesión No. 012/94.</w:t>
      </w:r>
    </w:p>
    <w:p w14:paraId="3842B025" w14:textId="77777777" w:rsidR="00224ABF" w:rsidRPr="00224ABF" w:rsidRDefault="00224ABF" w:rsidP="00224ABF">
      <w:pPr>
        <w:numPr>
          <w:ilvl w:val="0"/>
          <w:numId w:val="171"/>
        </w:numPr>
        <w:shd w:val="clear" w:color="auto" w:fill="FFFFFF"/>
        <w:spacing w:before="100" w:beforeAutospacing="1" w:after="100" w:afterAutospacing="1"/>
        <w:jc w:val="both"/>
        <w:rPr>
          <w:rFonts w:eastAsia="Times New Roman" w:cs="Arial"/>
          <w:color w:val="000000"/>
          <w:shd w:val="clear" w:color="auto" w:fill="FFFFFF"/>
        </w:rPr>
      </w:pPr>
      <w:r w:rsidRPr="00224ABF">
        <w:rPr>
          <w:rFonts w:eastAsia="Times New Roman" w:cs="Arial"/>
          <w:color w:val="000000"/>
          <w:shd w:val="clear" w:color="auto" w:fill="FFFFFF"/>
        </w:rPr>
        <w:t>Mediante otrosí No. 2 del 23/04/2014 se prorroga el plazo de la concesión en los términos establecidos en el artículo 8 de la ley 1 de 1991, por el termino de tres años adicionales al plazo inicial otorgado.</w:t>
      </w:r>
    </w:p>
    <w:p w14:paraId="716C3BF4" w14:textId="77777777" w:rsidR="00224ABF" w:rsidRPr="00224ABF" w:rsidRDefault="00224ABF" w:rsidP="00224ABF">
      <w:pPr>
        <w:shd w:val="clear" w:color="auto" w:fill="FFFFFF"/>
        <w:spacing w:after="0"/>
        <w:jc w:val="both"/>
        <w:rPr>
          <w:rFonts w:eastAsia="Times New Roman" w:cs="Arial"/>
          <w:color w:val="000000"/>
          <w:shd w:val="clear" w:color="auto" w:fill="FFFFFF"/>
        </w:rPr>
      </w:pPr>
      <w:r w:rsidRPr="00224ABF">
        <w:rPr>
          <w:rFonts w:eastAsia="Times New Roman" w:cs="Arial"/>
          <w:color w:val="000000"/>
          <w:shd w:val="clear" w:color="auto" w:fill="FFFFFF"/>
        </w:rPr>
        <w:t> </w:t>
      </w:r>
    </w:p>
    <w:p w14:paraId="6044E88A" w14:textId="77777777" w:rsidR="00224ABF" w:rsidRPr="00224ABF" w:rsidRDefault="00224ABF" w:rsidP="00224ABF">
      <w:pPr>
        <w:shd w:val="clear" w:color="auto" w:fill="FFFFFF"/>
        <w:spacing w:after="0"/>
        <w:jc w:val="both"/>
        <w:rPr>
          <w:rFonts w:eastAsia="Times New Roman" w:cs="Arial"/>
          <w:color w:val="000000"/>
          <w:shd w:val="clear" w:color="auto" w:fill="FFFFFF"/>
        </w:rPr>
      </w:pPr>
      <w:r w:rsidRPr="00224ABF">
        <w:rPr>
          <w:rFonts w:eastAsia="Times New Roman" w:cs="Arial"/>
          <w:b/>
          <w:bCs/>
          <w:color w:val="000000"/>
          <w:shd w:val="clear" w:color="auto" w:fill="FFFFFF"/>
        </w:rPr>
        <w:t>Sociedad Portuaria Ecopetrol Néstor Pineda, Ecopetrol ExxonMobil planta de combustibles y Ecopetrol Terminal de Refinería:</w:t>
      </w:r>
    </w:p>
    <w:p w14:paraId="4E99DB5C" w14:textId="77777777" w:rsidR="00224ABF" w:rsidRPr="00224ABF" w:rsidRDefault="00224ABF" w:rsidP="00224ABF">
      <w:pPr>
        <w:numPr>
          <w:ilvl w:val="0"/>
          <w:numId w:val="172"/>
        </w:numPr>
        <w:shd w:val="clear" w:color="auto" w:fill="FFFFFF"/>
        <w:spacing w:before="100" w:beforeAutospacing="1" w:after="100" w:afterAutospacing="1"/>
        <w:jc w:val="both"/>
        <w:rPr>
          <w:rFonts w:eastAsia="Times New Roman" w:cs="Arial"/>
          <w:color w:val="000000"/>
          <w:shd w:val="clear" w:color="auto" w:fill="FFFFFF"/>
        </w:rPr>
      </w:pPr>
      <w:r w:rsidRPr="00224ABF">
        <w:rPr>
          <w:rFonts w:eastAsia="Times New Roman" w:cs="Arial"/>
          <w:color w:val="000000"/>
          <w:shd w:val="clear" w:color="auto" w:fill="FFFFFF"/>
        </w:rPr>
        <w:t>Se realiza visita de reversión y actualmente se están gestionando las actas de reversión.</w:t>
      </w:r>
    </w:p>
    <w:p w14:paraId="7F814178" w14:textId="77777777" w:rsidR="00224ABF" w:rsidRPr="00224ABF" w:rsidRDefault="00224ABF" w:rsidP="00224ABF">
      <w:pPr>
        <w:numPr>
          <w:ilvl w:val="0"/>
          <w:numId w:val="173"/>
        </w:numPr>
        <w:shd w:val="clear" w:color="auto" w:fill="FFFFFF"/>
        <w:spacing w:before="100" w:beforeAutospacing="1" w:after="100" w:afterAutospacing="1"/>
        <w:jc w:val="both"/>
        <w:rPr>
          <w:rFonts w:eastAsia="Times New Roman" w:cs="Arial"/>
          <w:color w:val="000000"/>
          <w:shd w:val="clear" w:color="auto" w:fill="FFFFFF"/>
        </w:rPr>
      </w:pPr>
      <w:r w:rsidRPr="00224ABF">
        <w:rPr>
          <w:rFonts w:eastAsia="Times New Roman" w:cs="Arial"/>
          <w:color w:val="000000"/>
          <w:shd w:val="clear" w:color="auto" w:fill="FFFFFF"/>
        </w:rPr>
        <w:t>Para Ecopetrol Terminal Refinería y Ecopetrol Néstor Pineda, se otorgaron en autorización temporal mientras surte el trámite de modificación al contrato de concesión de la Sociedad portuaria REFICAR.</w:t>
      </w:r>
    </w:p>
    <w:p w14:paraId="1CB98BC3" w14:textId="77777777" w:rsidR="00224ABF" w:rsidRPr="00224ABF" w:rsidRDefault="00224ABF" w:rsidP="00224ABF">
      <w:pPr>
        <w:shd w:val="clear" w:color="auto" w:fill="FFFFFF"/>
        <w:spacing w:after="0"/>
        <w:jc w:val="both"/>
        <w:rPr>
          <w:rFonts w:eastAsia="Times New Roman" w:cs="Arial"/>
          <w:color w:val="000000"/>
          <w:shd w:val="clear" w:color="auto" w:fill="FFFFFF"/>
        </w:rPr>
      </w:pPr>
      <w:r w:rsidRPr="00224ABF">
        <w:rPr>
          <w:rFonts w:eastAsia="Times New Roman" w:cs="Arial"/>
          <w:b/>
          <w:bCs/>
          <w:color w:val="000000"/>
          <w:shd w:val="clear" w:color="auto" w:fill="FFFFFF"/>
        </w:rPr>
        <w:t>Sociedad Portuaria Puerto Nuevo y Sociedad Portuaria American Port Company:</w:t>
      </w:r>
    </w:p>
    <w:p w14:paraId="1533725D" w14:textId="77777777" w:rsidR="00224ABF" w:rsidRPr="00224ABF" w:rsidRDefault="00224ABF" w:rsidP="00224ABF">
      <w:pPr>
        <w:numPr>
          <w:ilvl w:val="0"/>
          <w:numId w:val="174"/>
        </w:numPr>
        <w:shd w:val="clear" w:color="auto" w:fill="FFFFFF"/>
        <w:spacing w:before="100" w:beforeAutospacing="1" w:after="100" w:afterAutospacing="1"/>
        <w:jc w:val="both"/>
        <w:rPr>
          <w:rFonts w:eastAsia="Times New Roman" w:cs="Arial"/>
          <w:color w:val="000000"/>
          <w:shd w:val="clear" w:color="auto" w:fill="FFFFFF"/>
        </w:rPr>
      </w:pPr>
      <w:r w:rsidRPr="00224ABF">
        <w:rPr>
          <w:rFonts w:eastAsia="Times New Roman" w:cs="Arial"/>
          <w:color w:val="000000"/>
          <w:shd w:val="clear" w:color="auto" w:fill="FFFFFF"/>
        </w:rPr>
        <w:t>Aclaración política del acceso al canal</w:t>
      </w:r>
    </w:p>
    <w:p w14:paraId="71B707F0" w14:textId="77777777" w:rsidR="00224ABF" w:rsidRPr="00224ABF" w:rsidRDefault="00224ABF" w:rsidP="00224ABF">
      <w:pPr>
        <w:shd w:val="clear" w:color="auto" w:fill="FFFFFF"/>
        <w:spacing w:after="0"/>
        <w:jc w:val="both"/>
        <w:rPr>
          <w:rFonts w:eastAsia="Times New Roman" w:cs="Arial"/>
          <w:color w:val="000000"/>
          <w:shd w:val="clear" w:color="auto" w:fill="FFFFFF"/>
        </w:rPr>
      </w:pPr>
      <w:r w:rsidRPr="00224ABF">
        <w:rPr>
          <w:rFonts w:eastAsia="Times New Roman" w:cs="Arial"/>
          <w:b/>
          <w:bCs/>
          <w:color w:val="000000"/>
          <w:shd w:val="clear" w:color="auto" w:fill="FFFFFF"/>
        </w:rPr>
        <w:t>Sociedad Portuaria Río Córdoba</w:t>
      </w:r>
    </w:p>
    <w:p w14:paraId="15B87E32" w14:textId="77777777" w:rsidR="00224ABF" w:rsidRPr="00224ABF" w:rsidRDefault="00224ABF" w:rsidP="00224ABF">
      <w:pPr>
        <w:numPr>
          <w:ilvl w:val="0"/>
          <w:numId w:val="175"/>
        </w:numPr>
        <w:shd w:val="clear" w:color="auto" w:fill="FFFFFF"/>
        <w:spacing w:before="100" w:beforeAutospacing="1" w:after="100" w:afterAutospacing="1"/>
        <w:jc w:val="both"/>
        <w:rPr>
          <w:rFonts w:eastAsia="Times New Roman" w:cs="Arial"/>
          <w:color w:val="000000"/>
          <w:shd w:val="clear" w:color="auto" w:fill="FFFFFF"/>
        </w:rPr>
      </w:pPr>
      <w:r w:rsidRPr="00224ABF">
        <w:rPr>
          <w:rFonts w:eastAsia="Times New Roman" w:cs="Arial"/>
          <w:color w:val="000000"/>
          <w:shd w:val="clear" w:color="auto" w:fill="FFFFFF"/>
        </w:rPr>
        <w:t xml:space="preserve">El Concesionario presento recurso de reposición a la Resolución que modifica su contrato para dar cumplimiento al Dto. 3083 de 2007 (cargue directo), pendiente para los próximos días la respuesta por parte de la entidad </w:t>
      </w:r>
    </w:p>
    <w:p w14:paraId="61CE0F51" w14:textId="77777777" w:rsidR="00224ABF" w:rsidRPr="00224ABF" w:rsidRDefault="00224ABF" w:rsidP="00224ABF">
      <w:pPr>
        <w:shd w:val="clear" w:color="auto" w:fill="FFFFFF"/>
        <w:spacing w:after="0"/>
        <w:jc w:val="both"/>
        <w:rPr>
          <w:rFonts w:eastAsia="Times New Roman" w:cs="Arial"/>
          <w:color w:val="000000"/>
          <w:shd w:val="clear" w:color="auto" w:fill="FFFFFF"/>
        </w:rPr>
      </w:pPr>
      <w:r w:rsidRPr="00224ABF">
        <w:rPr>
          <w:rFonts w:eastAsia="Times New Roman" w:cs="Arial"/>
          <w:b/>
          <w:bCs/>
          <w:color w:val="000000"/>
          <w:shd w:val="clear" w:color="auto" w:fill="FFFFFF"/>
        </w:rPr>
        <w:t>Sociedad Portuaria REFICAR</w:t>
      </w:r>
    </w:p>
    <w:p w14:paraId="392E7762" w14:textId="77777777" w:rsidR="00224ABF" w:rsidRPr="00224ABF" w:rsidRDefault="00224ABF" w:rsidP="00224ABF">
      <w:pPr>
        <w:numPr>
          <w:ilvl w:val="0"/>
          <w:numId w:val="176"/>
        </w:numPr>
        <w:shd w:val="clear" w:color="auto" w:fill="FFFFFF"/>
        <w:spacing w:before="100" w:beforeAutospacing="1" w:after="0" w:afterAutospacing="1"/>
        <w:jc w:val="both"/>
        <w:rPr>
          <w:rFonts w:eastAsia="Times New Roman" w:cs="Arial"/>
          <w:color w:val="000000"/>
          <w:shd w:val="clear" w:color="auto" w:fill="FFFFFF"/>
        </w:rPr>
      </w:pPr>
      <w:r w:rsidRPr="00224ABF">
        <w:rPr>
          <w:rFonts w:eastAsia="Times New Roman" w:cs="Arial"/>
          <w:color w:val="000000"/>
          <w:shd w:val="clear" w:color="auto" w:fill="FFFFFF"/>
        </w:rPr>
        <w:lastRenderedPageBreak/>
        <w:t xml:space="preserve">Se adelanta modificación contractual para incorporar los Terminales Refinería y Néstor Pineda (Ecopetrol). </w:t>
      </w:r>
    </w:p>
    <w:p w14:paraId="46A6C617" w14:textId="77777777" w:rsidR="00224ABF" w:rsidRPr="00224ABF" w:rsidRDefault="00224ABF" w:rsidP="00224ABF">
      <w:pPr>
        <w:shd w:val="clear" w:color="auto" w:fill="FFFFFF"/>
        <w:spacing w:before="100" w:beforeAutospacing="1" w:after="0" w:afterAutospacing="1"/>
        <w:jc w:val="both"/>
        <w:rPr>
          <w:rFonts w:eastAsia="Times New Roman" w:cs="Arial"/>
          <w:color w:val="000000"/>
          <w:shd w:val="clear" w:color="auto" w:fill="FFFFFF"/>
        </w:rPr>
      </w:pPr>
      <w:r w:rsidRPr="00224ABF">
        <w:rPr>
          <w:rFonts w:eastAsia="Times New Roman" w:cs="Arial"/>
          <w:b/>
          <w:bCs/>
          <w:color w:val="000000"/>
          <w:shd w:val="clear" w:color="auto" w:fill="FFFFFF"/>
        </w:rPr>
        <w:t>Cerrejón Zona Norte:</w:t>
      </w:r>
    </w:p>
    <w:p w14:paraId="070A31E2" w14:textId="77777777" w:rsidR="00224ABF" w:rsidRPr="00224ABF" w:rsidRDefault="00224ABF" w:rsidP="00224ABF">
      <w:pPr>
        <w:numPr>
          <w:ilvl w:val="0"/>
          <w:numId w:val="177"/>
        </w:numPr>
        <w:shd w:val="clear" w:color="auto" w:fill="FFFFFF"/>
        <w:spacing w:before="100" w:beforeAutospacing="1" w:after="100" w:afterAutospacing="1"/>
        <w:jc w:val="both"/>
        <w:rPr>
          <w:rFonts w:eastAsia="Times New Roman" w:cs="Arial"/>
          <w:color w:val="000000"/>
          <w:shd w:val="clear" w:color="auto" w:fill="FFFFFF"/>
        </w:rPr>
      </w:pPr>
      <w:r w:rsidRPr="00224ABF">
        <w:rPr>
          <w:rFonts w:eastAsia="Times New Roman" w:cs="Arial"/>
          <w:color w:val="000000"/>
          <w:shd w:val="clear" w:color="auto" w:fill="FFFFFF"/>
        </w:rPr>
        <w:t>Actualmente se adelanta el proceso de prórroga de la homologación de la concesión Cerrejón Zona Norte.</w:t>
      </w:r>
    </w:p>
    <w:p w14:paraId="2D285031" w14:textId="77777777" w:rsidR="00224ABF" w:rsidRPr="00224ABF" w:rsidRDefault="00224ABF" w:rsidP="00224ABF">
      <w:pPr>
        <w:shd w:val="clear" w:color="auto" w:fill="FFFFFF"/>
        <w:spacing w:after="0"/>
        <w:jc w:val="both"/>
        <w:rPr>
          <w:rFonts w:eastAsia="Times New Roman" w:cs="Arial"/>
          <w:color w:val="000000"/>
          <w:shd w:val="clear" w:color="auto" w:fill="FFFFFF"/>
        </w:rPr>
      </w:pPr>
      <w:r w:rsidRPr="00224ABF">
        <w:rPr>
          <w:rFonts w:eastAsia="Times New Roman" w:cs="Arial"/>
          <w:b/>
          <w:bCs/>
          <w:color w:val="000000"/>
          <w:shd w:val="clear" w:color="auto" w:fill="FFFFFF"/>
        </w:rPr>
        <w:t>Argos Zona Franca:</w:t>
      </w:r>
    </w:p>
    <w:p w14:paraId="7E993E44" w14:textId="77777777" w:rsidR="00224ABF" w:rsidRPr="00224ABF" w:rsidRDefault="00224ABF" w:rsidP="00224ABF">
      <w:pPr>
        <w:numPr>
          <w:ilvl w:val="0"/>
          <w:numId w:val="178"/>
        </w:numPr>
        <w:shd w:val="clear" w:color="auto" w:fill="FFFFFF"/>
        <w:spacing w:before="100" w:beforeAutospacing="1" w:after="100" w:afterAutospacing="1"/>
        <w:jc w:val="both"/>
        <w:rPr>
          <w:rFonts w:eastAsia="Times New Roman" w:cs="Arial"/>
          <w:color w:val="000000"/>
          <w:shd w:val="clear" w:color="auto" w:fill="FFFFFF"/>
        </w:rPr>
      </w:pPr>
      <w:r w:rsidRPr="00224ABF">
        <w:rPr>
          <w:rFonts w:eastAsia="Times New Roman" w:cs="Arial"/>
          <w:color w:val="000000"/>
          <w:shd w:val="clear" w:color="auto" w:fill="FFFFFF"/>
        </w:rPr>
        <w:t>Actualmente se adelanta el proceso de modificación del cronograma de inversiones de la concesión Argos Zona Franca. </w:t>
      </w:r>
    </w:p>
    <w:p w14:paraId="57F6A812" w14:textId="77777777" w:rsidR="00224ABF" w:rsidRPr="00224ABF" w:rsidRDefault="00224ABF" w:rsidP="00224ABF">
      <w:pPr>
        <w:shd w:val="clear" w:color="auto" w:fill="FFFFFF"/>
        <w:spacing w:after="0"/>
        <w:jc w:val="both"/>
        <w:rPr>
          <w:rFonts w:eastAsia="Times New Roman" w:cs="Arial"/>
          <w:color w:val="000000"/>
          <w:shd w:val="clear" w:color="auto" w:fill="FFFFFF"/>
        </w:rPr>
      </w:pPr>
      <w:r w:rsidRPr="00224ABF">
        <w:rPr>
          <w:rFonts w:eastAsia="Times New Roman" w:cs="Arial"/>
          <w:color w:val="000000"/>
          <w:shd w:val="clear" w:color="auto" w:fill="FFFFFF"/>
        </w:rPr>
        <w:t> </w:t>
      </w:r>
    </w:p>
    <w:p w14:paraId="2C9A8DA3" w14:textId="77777777" w:rsidR="00224ABF" w:rsidRPr="00224ABF" w:rsidRDefault="00224ABF" w:rsidP="00224ABF">
      <w:pPr>
        <w:shd w:val="clear" w:color="auto" w:fill="FFFFFF"/>
        <w:spacing w:after="0"/>
        <w:jc w:val="both"/>
        <w:rPr>
          <w:rFonts w:eastAsia="Times New Roman" w:cs="Arial"/>
          <w:color w:val="000000"/>
          <w:shd w:val="clear" w:color="auto" w:fill="FFFFFF"/>
        </w:rPr>
      </w:pPr>
    </w:p>
    <w:tbl>
      <w:tblPr>
        <w:tblW w:w="9351" w:type="dxa"/>
        <w:tblCellMar>
          <w:left w:w="0" w:type="dxa"/>
          <w:right w:w="0" w:type="dxa"/>
        </w:tblCellMar>
        <w:tblLook w:val="04A0" w:firstRow="1" w:lastRow="0" w:firstColumn="1" w:lastColumn="0" w:noHBand="0" w:noVBand="1"/>
      </w:tblPr>
      <w:tblGrid>
        <w:gridCol w:w="1272"/>
        <w:gridCol w:w="1061"/>
        <w:gridCol w:w="2643"/>
        <w:gridCol w:w="4375"/>
      </w:tblGrid>
      <w:tr w:rsidR="00224ABF" w:rsidRPr="00224ABF" w14:paraId="3469093A" w14:textId="77777777" w:rsidTr="0054297D">
        <w:trPr>
          <w:trHeight w:val="675"/>
        </w:trPr>
        <w:tc>
          <w:tcPr>
            <w:tcW w:w="1200" w:type="dxa"/>
            <w:tcBorders>
              <w:top w:val="single" w:sz="4" w:space="0" w:color="auto"/>
              <w:left w:val="single" w:sz="4" w:space="0" w:color="auto"/>
              <w:bottom w:val="single" w:sz="4" w:space="0" w:color="auto"/>
              <w:right w:val="single" w:sz="4" w:space="0" w:color="auto"/>
            </w:tcBorders>
            <w:shd w:val="clear" w:color="auto" w:fill="595959"/>
            <w:vAlign w:val="center"/>
            <w:hideMark/>
          </w:tcPr>
          <w:p w14:paraId="40386A8D" w14:textId="77777777" w:rsidR="00224ABF" w:rsidRPr="00224ABF" w:rsidRDefault="00224ABF" w:rsidP="0054297D">
            <w:pPr>
              <w:spacing w:after="0"/>
              <w:jc w:val="both"/>
              <w:rPr>
                <w:rFonts w:eastAsia="Times New Roman" w:cs="Arial"/>
              </w:rPr>
            </w:pPr>
            <w:r w:rsidRPr="00224ABF">
              <w:rPr>
                <w:rFonts w:eastAsia="Times New Roman" w:cs="Arial"/>
                <w:b/>
                <w:bCs/>
                <w:color w:val="FFFFFF"/>
                <w:shd w:val="clear" w:color="auto" w:fill="595959"/>
              </w:rPr>
              <w:t>Zona Portuaria</w:t>
            </w:r>
          </w:p>
        </w:tc>
        <w:tc>
          <w:tcPr>
            <w:tcW w:w="1063" w:type="dxa"/>
            <w:tcBorders>
              <w:top w:val="single" w:sz="4" w:space="0" w:color="auto"/>
              <w:left w:val="nil"/>
              <w:bottom w:val="single" w:sz="4" w:space="0" w:color="auto"/>
              <w:right w:val="single" w:sz="4" w:space="0" w:color="auto"/>
            </w:tcBorders>
            <w:shd w:val="clear" w:color="auto" w:fill="595959"/>
            <w:vAlign w:val="center"/>
            <w:hideMark/>
          </w:tcPr>
          <w:p w14:paraId="4F5C6FE0" w14:textId="77777777" w:rsidR="00224ABF" w:rsidRPr="00224ABF" w:rsidRDefault="00224ABF" w:rsidP="0054297D">
            <w:pPr>
              <w:spacing w:after="0"/>
              <w:jc w:val="both"/>
              <w:rPr>
                <w:rFonts w:eastAsia="Times New Roman" w:cs="Arial"/>
              </w:rPr>
            </w:pPr>
            <w:r w:rsidRPr="00224ABF">
              <w:rPr>
                <w:rFonts w:eastAsia="Times New Roman" w:cs="Arial"/>
                <w:b/>
                <w:bCs/>
                <w:color w:val="FFFFFF"/>
                <w:shd w:val="clear" w:color="auto" w:fill="595959"/>
              </w:rPr>
              <w:t>Contrato o Resolución No</w:t>
            </w:r>
          </w:p>
        </w:tc>
        <w:tc>
          <w:tcPr>
            <w:tcW w:w="2694" w:type="dxa"/>
            <w:tcBorders>
              <w:top w:val="single" w:sz="4" w:space="0" w:color="auto"/>
              <w:left w:val="nil"/>
              <w:bottom w:val="single" w:sz="4" w:space="0" w:color="auto"/>
              <w:right w:val="single" w:sz="4" w:space="0" w:color="auto"/>
            </w:tcBorders>
            <w:shd w:val="clear" w:color="auto" w:fill="595959"/>
            <w:vAlign w:val="center"/>
            <w:hideMark/>
          </w:tcPr>
          <w:p w14:paraId="283CB73F" w14:textId="77777777" w:rsidR="00224ABF" w:rsidRPr="00224ABF" w:rsidRDefault="00224ABF" w:rsidP="0054297D">
            <w:pPr>
              <w:spacing w:after="0"/>
              <w:jc w:val="both"/>
              <w:rPr>
                <w:rFonts w:eastAsia="Times New Roman" w:cs="Arial"/>
              </w:rPr>
            </w:pPr>
            <w:r w:rsidRPr="00224ABF">
              <w:rPr>
                <w:rFonts w:eastAsia="Times New Roman" w:cs="Arial"/>
                <w:b/>
                <w:bCs/>
                <w:color w:val="FFFFFF"/>
                <w:shd w:val="clear" w:color="auto" w:fill="595959"/>
              </w:rPr>
              <w:t>Nombre Concesionario o beneficiario</w:t>
            </w:r>
          </w:p>
        </w:tc>
        <w:tc>
          <w:tcPr>
            <w:tcW w:w="4394" w:type="dxa"/>
            <w:tcBorders>
              <w:top w:val="single" w:sz="4" w:space="0" w:color="auto"/>
              <w:left w:val="nil"/>
              <w:bottom w:val="single" w:sz="4" w:space="0" w:color="auto"/>
              <w:right w:val="single" w:sz="4" w:space="0" w:color="auto"/>
            </w:tcBorders>
            <w:shd w:val="clear" w:color="auto" w:fill="595959"/>
            <w:vAlign w:val="center"/>
            <w:hideMark/>
          </w:tcPr>
          <w:p w14:paraId="3C4EC1AE" w14:textId="77777777" w:rsidR="00224ABF" w:rsidRPr="00224ABF" w:rsidRDefault="00224ABF" w:rsidP="0054297D">
            <w:pPr>
              <w:spacing w:after="0"/>
              <w:ind w:right="2533"/>
              <w:jc w:val="both"/>
              <w:rPr>
                <w:rFonts w:eastAsia="Times New Roman" w:cs="Arial"/>
              </w:rPr>
            </w:pPr>
            <w:r w:rsidRPr="00224ABF">
              <w:rPr>
                <w:rFonts w:eastAsia="Times New Roman" w:cs="Arial"/>
                <w:b/>
                <w:bCs/>
                <w:color w:val="FFFFFF"/>
                <w:shd w:val="clear" w:color="auto" w:fill="595959"/>
              </w:rPr>
              <w:t>Observaciones</w:t>
            </w:r>
          </w:p>
        </w:tc>
      </w:tr>
      <w:tr w:rsidR="00224ABF" w:rsidRPr="00224ABF" w14:paraId="0B6CEF13" w14:textId="77777777" w:rsidTr="0054297D">
        <w:trPr>
          <w:trHeight w:val="1275"/>
        </w:trPr>
        <w:tc>
          <w:tcPr>
            <w:tcW w:w="1200" w:type="dxa"/>
            <w:tcBorders>
              <w:top w:val="nil"/>
              <w:left w:val="single" w:sz="4" w:space="0" w:color="auto"/>
              <w:bottom w:val="single" w:sz="4" w:space="0" w:color="auto"/>
              <w:right w:val="single" w:sz="4" w:space="0" w:color="auto"/>
            </w:tcBorders>
            <w:vAlign w:val="center"/>
            <w:hideMark/>
          </w:tcPr>
          <w:p w14:paraId="3C93C7D1" w14:textId="77777777" w:rsidR="00224ABF" w:rsidRPr="00224ABF" w:rsidRDefault="00224ABF" w:rsidP="0054297D">
            <w:pPr>
              <w:spacing w:after="0"/>
              <w:jc w:val="both"/>
              <w:rPr>
                <w:rFonts w:eastAsia="Times New Roman" w:cs="Arial"/>
              </w:rPr>
            </w:pPr>
            <w:r w:rsidRPr="00224ABF">
              <w:rPr>
                <w:rFonts w:eastAsia="Times New Roman" w:cs="Arial"/>
              </w:rPr>
              <w:t>Cartagena</w:t>
            </w:r>
          </w:p>
        </w:tc>
        <w:tc>
          <w:tcPr>
            <w:tcW w:w="1063" w:type="dxa"/>
            <w:tcBorders>
              <w:top w:val="nil"/>
              <w:left w:val="nil"/>
              <w:bottom w:val="single" w:sz="4" w:space="0" w:color="auto"/>
              <w:right w:val="single" w:sz="4" w:space="0" w:color="auto"/>
            </w:tcBorders>
            <w:vAlign w:val="center"/>
            <w:hideMark/>
          </w:tcPr>
          <w:p w14:paraId="0C657D49" w14:textId="77777777" w:rsidR="00224ABF" w:rsidRPr="00224ABF" w:rsidRDefault="00224ABF" w:rsidP="0054297D">
            <w:pPr>
              <w:spacing w:after="0"/>
              <w:jc w:val="both"/>
              <w:rPr>
                <w:rFonts w:eastAsia="Times New Roman" w:cs="Arial"/>
              </w:rPr>
            </w:pPr>
            <w:r w:rsidRPr="00224ABF">
              <w:rPr>
                <w:rFonts w:eastAsia="Times New Roman" w:cs="Arial"/>
              </w:rPr>
              <w:t>006/2010</w:t>
            </w:r>
          </w:p>
        </w:tc>
        <w:tc>
          <w:tcPr>
            <w:tcW w:w="2694" w:type="dxa"/>
            <w:tcBorders>
              <w:top w:val="nil"/>
              <w:left w:val="nil"/>
              <w:bottom w:val="single" w:sz="4" w:space="0" w:color="auto"/>
              <w:right w:val="single" w:sz="4" w:space="0" w:color="auto"/>
            </w:tcBorders>
            <w:vAlign w:val="center"/>
            <w:hideMark/>
          </w:tcPr>
          <w:p w14:paraId="2C8423A0" w14:textId="77777777" w:rsidR="00224ABF" w:rsidRPr="00224ABF" w:rsidRDefault="00224ABF" w:rsidP="0054297D">
            <w:pPr>
              <w:spacing w:after="0"/>
              <w:jc w:val="both"/>
              <w:rPr>
                <w:rFonts w:eastAsia="Times New Roman" w:cs="Arial"/>
              </w:rPr>
            </w:pPr>
            <w:r w:rsidRPr="00224ABF">
              <w:rPr>
                <w:rFonts w:eastAsia="Times New Roman" w:cs="Arial"/>
              </w:rPr>
              <w:t>Sociedad Portuaria Central Cartagena S.A.</w:t>
            </w:r>
          </w:p>
        </w:tc>
        <w:tc>
          <w:tcPr>
            <w:tcW w:w="4394" w:type="dxa"/>
            <w:tcBorders>
              <w:top w:val="nil"/>
              <w:left w:val="nil"/>
              <w:bottom w:val="single" w:sz="4" w:space="0" w:color="auto"/>
              <w:right w:val="single" w:sz="4" w:space="0" w:color="auto"/>
            </w:tcBorders>
            <w:vAlign w:val="center"/>
            <w:hideMark/>
          </w:tcPr>
          <w:p w14:paraId="64577D40" w14:textId="77777777" w:rsidR="00224ABF" w:rsidRPr="00224ABF" w:rsidRDefault="00224ABF" w:rsidP="0054297D">
            <w:pPr>
              <w:spacing w:after="0"/>
              <w:jc w:val="both"/>
              <w:rPr>
                <w:rFonts w:eastAsia="Times New Roman" w:cs="Arial"/>
              </w:rPr>
            </w:pPr>
            <w:r w:rsidRPr="00224ABF">
              <w:rPr>
                <w:rFonts w:eastAsia="Times New Roman" w:cs="Arial"/>
              </w:rPr>
              <w:t>pendiente resolución por parte de jurídica para el cambio de muelle a tipo "I"</w:t>
            </w:r>
          </w:p>
        </w:tc>
      </w:tr>
      <w:tr w:rsidR="00224ABF" w:rsidRPr="00224ABF" w14:paraId="120F37DE" w14:textId="77777777" w:rsidTr="0054297D">
        <w:trPr>
          <w:trHeight w:val="960"/>
        </w:trPr>
        <w:tc>
          <w:tcPr>
            <w:tcW w:w="1200" w:type="dxa"/>
            <w:tcBorders>
              <w:top w:val="nil"/>
              <w:left w:val="single" w:sz="4" w:space="0" w:color="auto"/>
              <w:bottom w:val="single" w:sz="4" w:space="0" w:color="auto"/>
              <w:right w:val="single" w:sz="4" w:space="0" w:color="auto"/>
            </w:tcBorders>
            <w:vAlign w:val="center"/>
            <w:hideMark/>
          </w:tcPr>
          <w:p w14:paraId="6D1C51D0" w14:textId="77777777" w:rsidR="00224ABF" w:rsidRPr="00224ABF" w:rsidRDefault="00224ABF" w:rsidP="0054297D">
            <w:pPr>
              <w:spacing w:after="0"/>
              <w:jc w:val="both"/>
              <w:rPr>
                <w:rFonts w:eastAsia="Times New Roman" w:cs="Arial"/>
              </w:rPr>
            </w:pPr>
            <w:r w:rsidRPr="00224ABF">
              <w:rPr>
                <w:rFonts w:eastAsia="Times New Roman" w:cs="Arial"/>
              </w:rPr>
              <w:t>Golfo de Morrosquillo</w:t>
            </w:r>
          </w:p>
        </w:tc>
        <w:tc>
          <w:tcPr>
            <w:tcW w:w="1063" w:type="dxa"/>
            <w:tcBorders>
              <w:top w:val="nil"/>
              <w:left w:val="nil"/>
              <w:bottom w:val="single" w:sz="4" w:space="0" w:color="auto"/>
              <w:right w:val="single" w:sz="4" w:space="0" w:color="auto"/>
            </w:tcBorders>
            <w:vAlign w:val="center"/>
            <w:hideMark/>
          </w:tcPr>
          <w:p w14:paraId="727B9551" w14:textId="77777777" w:rsidR="00224ABF" w:rsidRPr="00224ABF" w:rsidRDefault="00224ABF" w:rsidP="0054297D">
            <w:pPr>
              <w:spacing w:after="0"/>
              <w:jc w:val="both"/>
              <w:rPr>
                <w:rFonts w:eastAsia="Times New Roman" w:cs="Arial"/>
              </w:rPr>
            </w:pPr>
            <w:r w:rsidRPr="00224ABF">
              <w:rPr>
                <w:rFonts w:eastAsia="Times New Roman" w:cs="Arial"/>
              </w:rPr>
              <w:t>015/1996</w:t>
            </w:r>
          </w:p>
        </w:tc>
        <w:tc>
          <w:tcPr>
            <w:tcW w:w="2694" w:type="dxa"/>
            <w:tcBorders>
              <w:top w:val="nil"/>
              <w:left w:val="nil"/>
              <w:bottom w:val="single" w:sz="4" w:space="0" w:color="auto"/>
              <w:right w:val="single" w:sz="4" w:space="0" w:color="auto"/>
            </w:tcBorders>
            <w:vAlign w:val="center"/>
            <w:hideMark/>
          </w:tcPr>
          <w:p w14:paraId="0A1C2EE7" w14:textId="77777777" w:rsidR="00224ABF" w:rsidRPr="00224ABF" w:rsidRDefault="00224ABF" w:rsidP="0054297D">
            <w:pPr>
              <w:spacing w:after="0"/>
              <w:jc w:val="both"/>
              <w:rPr>
                <w:rFonts w:eastAsia="Times New Roman" w:cs="Arial"/>
              </w:rPr>
            </w:pPr>
            <w:r w:rsidRPr="00224ABF">
              <w:rPr>
                <w:rFonts w:eastAsia="Times New Roman" w:cs="Arial"/>
              </w:rPr>
              <w:t>Sociedad Portuaria Golfo de Morrosquillo S.A. "Puerto cementero de Tolú"</w:t>
            </w:r>
          </w:p>
        </w:tc>
        <w:tc>
          <w:tcPr>
            <w:tcW w:w="4394" w:type="dxa"/>
            <w:tcBorders>
              <w:top w:val="nil"/>
              <w:left w:val="nil"/>
              <w:bottom w:val="single" w:sz="4" w:space="0" w:color="auto"/>
              <w:right w:val="single" w:sz="4" w:space="0" w:color="auto"/>
            </w:tcBorders>
            <w:vAlign w:val="center"/>
            <w:hideMark/>
          </w:tcPr>
          <w:p w14:paraId="76400BBD" w14:textId="77777777" w:rsidR="00224ABF" w:rsidRPr="00224ABF" w:rsidRDefault="00224ABF" w:rsidP="0054297D">
            <w:pPr>
              <w:spacing w:after="0"/>
              <w:jc w:val="both"/>
              <w:rPr>
                <w:rFonts w:eastAsia="Times New Roman" w:cs="Arial"/>
              </w:rPr>
            </w:pPr>
            <w:r w:rsidRPr="00224ABF">
              <w:rPr>
                <w:rFonts w:eastAsia="Times New Roman" w:cs="Arial"/>
              </w:rPr>
              <w:t>área técnica se encuentra corroborando las áreas indicadas por el concesionario en el modelo enviado para el cálculo de la contraprestación</w:t>
            </w:r>
          </w:p>
        </w:tc>
      </w:tr>
      <w:tr w:rsidR="00224ABF" w:rsidRPr="00224ABF" w14:paraId="50CF2DD9" w14:textId="77777777" w:rsidTr="0054297D">
        <w:trPr>
          <w:trHeight w:val="960"/>
        </w:trPr>
        <w:tc>
          <w:tcPr>
            <w:tcW w:w="1200" w:type="dxa"/>
            <w:tcBorders>
              <w:top w:val="nil"/>
              <w:left w:val="single" w:sz="4" w:space="0" w:color="auto"/>
              <w:bottom w:val="single" w:sz="4" w:space="0" w:color="auto"/>
              <w:right w:val="single" w:sz="4" w:space="0" w:color="auto"/>
            </w:tcBorders>
            <w:vAlign w:val="center"/>
            <w:hideMark/>
          </w:tcPr>
          <w:p w14:paraId="6CDEE9D5" w14:textId="77777777" w:rsidR="00224ABF" w:rsidRPr="00224ABF" w:rsidRDefault="00224ABF" w:rsidP="0054297D">
            <w:pPr>
              <w:spacing w:after="0"/>
              <w:jc w:val="both"/>
              <w:rPr>
                <w:rFonts w:eastAsia="Times New Roman" w:cs="Arial"/>
              </w:rPr>
            </w:pPr>
            <w:r w:rsidRPr="00224ABF">
              <w:rPr>
                <w:rFonts w:eastAsia="Times New Roman" w:cs="Arial"/>
              </w:rPr>
              <w:t>Buenaventura</w:t>
            </w:r>
          </w:p>
        </w:tc>
        <w:tc>
          <w:tcPr>
            <w:tcW w:w="1063" w:type="dxa"/>
            <w:tcBorders>
              <w:top w:val="nil"/>
              <w:left w:val="nil"/>
              <w:bottom w:val="single" w:sz="4" w:space="0" w:color="auto"/>
              <w:right w:val="single" w:sz="4" w:space="0" w:color="auto"/>
            </w:tcBorders>
            <w:vAlign w:val="center"/>
            <w:hideMark/>
          </w:tcPr>
          <w:p w14:paraId="3EBD7455" w14:textId="77777777" w:rsidR="00224ABF" w:rsidRPr="00224ABF" w:rsidRDefault="00224ABF" w:rsidP="0054297D">
            <w:pPr>
              <w:spacing w:after="0"/>
              <w:jc w:val="both"/>
              <w:rPr>
                <w:rFonts w:eastAsia="Times New Roman" w:cs="Arial"/>
              </w:rPr>
            </w:pPr>
            <w:r w:rsidRPr="00224ABF">
              <w:rPr>
                <w:rFonts w:eastAsia="Times New Roman" w:cs="Arial"/>
              </w:rPr>
              <w:t>004/1994</w:t>
            </w:r>
          </w:p>
        </w:tc>
        <w:tc>
          <w:tcPr>
            <w:tcW w:w="2694" w:type="dxa"/>
            <w:tcBorders>
              <w:top w:val="nil"/>
              <w:left w:val="nil"/>
              <w:bottom w:val="single" w:sz="4" w:space="0" w:color="auto"/>
              <w:right w:val="single" w:sz="4" w:space="0" w:color="auto"/>
            </w:tcBorders>
            <w:vAlign w:val="center"/>
            <w:hideMark/>
          </w:tcPr>
          <w:p w14:paraId="0524C6B6" w14:textId="77777777" w:rsidR="00224ABF" w:rsidRPr="00224ABF" w:rsidRDefault="00224ABF" w:rsidP="0054297D">
            <w:pPr>
              <w:spacing w:after="0"/>
              <w:jc w:val="both"/>
              <w:rPr>
                <w:rFonts w:eastAsia="Times New Roman" w:cs="Arial"/>
              </w:rPr>
            </w:pPr>
            <w:r w:rsidRPr="00224ABF">
              <w:rPr>
                <w:rFonts w:eastAsia="Times New Roman" w:cs="Arial"/>
              </w:rPr>
              <w:t>Agencia Logística de las Fuerzas Militares, Muelle 13 (Grupo Portuario)</w:t>
            </w:r>
          </w:p>
        </w:tc>
        <w:tc>
          <w:tcPr>
            <w:tcW w:w="4394" w:type="dxa"/>
            <w:tcBorders>
              <w:top w:val="nil"/>
              <w:left w:val="nil"/>
              <w:bottom w:val="single" w:sz="4" w:space="0" w:color="auto"/>
              <w:right w:val="single" w:sz="4" w:space="0" w:color="auto"/>
            </w:tcBorders>
            <w:vAlign w:val="center"/>
            <w:hideMark/>
          </w:tcPr>
          <w:p w14:paraId="6EE7E1D2" w14:textId="77777777" w:rsidR="00224ABF" w:rsidRPr="00224ABF" w:rsidRDefault="00224ABF" w:rsidP="0054297D">
            <w:pPr>
              <w:spacing w:after="0"/>
              <w:jc w:val="both"/>
              <w:rPr>
                <w:rFonts w:eastAsia="Times New Roman" w:cs="Arial"/>
              </w:rPr>
            </w:pPr>
            <w:r w:rsidRPr="00224ABF">
              <w:rPr>
                <w:rFonts w:eastAsia="Times New Roman" w:cs="Arial"/>
              </w:rPr>
              <w:t>A la espera de nuevo informe sobre retiro del naufrago</w:t>
            </w:r>
          </w:p>
        </w:tc>
      </w:tr>
      <w:tr w:rsidR="00224ABF" w:rsidRPr="00224ABF" w14:paraId="5FFF3190" w14:textId="77777777" w:rsidTr="0054297D">
        <w:trPr>
          <w:trHeight w:val="766"/>
        </w:trPr>
        <w:tc>
          <w:tcPr>
            <w:tcW w:w="1200" w:type="dxa"/>
            <w:tcBorders>
              <w:top w:val="nil"/>
              <w:left w:val="single" w:sz="4" w:space="0" w:color="auto"/>
              <w:bottom w:val="single" w:sz="4" w:space="0" w:color="auto"/>
              <w:right w:val="single" w:sz="4" w:space="0" w:color="auto"/>
            </w:tcBorders>
            <w:vAlign w:val="center"/>
            <w:hideMark/>
          </w:tcPr>
          <w:p w14:paraId="371EC1B6" w14:textId="77777777" w:rsidR="00224ABF" w:rsidRPr="00224ABF" w:rsidRDefault="00224ABF" w:rsidP="0054297D">
            <w:pPr>
              <w:spacing w:after="0"/>
              <w:jc w:val="both"/>
              <w:rPr>
                <w:rFonts w:eastAsia="Times New Roman" w:cs="Arial"/>
              </w:rPr>
            </w:pPr>
            <w:r w:rsidRPr="00224ABF">
              <w:rPr>
                <w:rFonts w:eastAsia="Times New Roman" w:cs="Arial"/>
              </w:rPr>
              <w:t>Cartagena</w:t>
            </w:r>
          </w:p>
        </w:tc>
        <w:tc>
          <w:tcPr>
            <w:tcW w:w="1063" w:type="dxa"/>
            <w:tcBorders>
              <w:top w:val="nil"/>
              <w:left w:val="nil"/>
              <w:bottom w:val="single" w:sz="4" w:space="0" w:color="auto"/>
              <w:right w:val="single" w:sz="4" w:space="0" w:color="auto"/>
            </w:tcBorders>
            <w:vAlign w:val="center"/>
            <w:hideMark/>
          </w:tcPr>
          <w:p w14:paraId="31FA41D4" w14:textId="77777777" w:rsidR="00224ABF" w:rsidRPr="00224ABF" w:rsidRDefault="00224ABF" w:rsidP="0054297D">
            <w:pPr>
              <w:spacing w:after="0"/>
              <w:jc w:val="both"/>
              <w:rPr>
                <w:rFonts w:eastAsia="Times New Roman" w:cs="Arial"/>
              </w:rPr>
            </w:pPr>
            <w:r w:rsidRPr="00224ABF">
              <w:rPr>
                <w:rFonts w:eastAsia="Times New Roman" w:cs="Arial"/>
              </w:rPr>
              <w:t>005/1993</w:t>
            </w:r>
          </w:p>
        </w:tc>
        <w:tc>
          <w:tcPr>
            <w:tcW w:w="2694" w:type="dxa"/>
            <w:tcBorders>
              <w:top w:val="nil"/>
              <w:left w:val="nil"/>
              <w:bottom w:val="single" w:sz="4" w:space="0" w:color="auto"/>
              <w:right w:val="single" w:sz="4" w:space="0" w:color="auto"/>
            </w:tcBorders>
            <w:vAlign w:val="center"/>
            <w:hideMark/>
          </w:tcPr>
          <w:p w14:paraId="68BC2C44" w14:textId="77777777" w:rsidR="00224ABF" w:rsidRPr="00224ABF" w:rsidRDefault="00224ABF" w:rsidP="0054297D">
            <w:pPr>
              <w:spacing w:after="0"/>
              <w:jc w:val="both"/>
              <w:rPr>
                <w:rFonts w:eastAsia="Times New Roman" w:cs="Arial"/>
              </w:rPr>
            </w:pPr>
            <w:r w:rsidRPr="00224ABF">
              <w:rPr>
                <w:rFonts w:eastAsia="Times New Roman" w:cs="Arial"/>
              </w:rPr>
              <w:t>Sociedad Portuaria Puerto de Mamonal S.A. </w:t>
            </w:r>
          </w:p>
        </w:tc>
        <w:tc>
          <w:tcPr>
            <w:tcW w:w="4394" w:type="dxa"/>
            <w:vMerge w:val="restart"/>
            <w:tcBorders>
              <w:top w:val="nil"/>
              <w:left w:val="single" w:sz="4" w:space="0" w:color="auto"/>
              <w:bottom w:val="single" w:sz="4" w:space="0" w:color="000000"/>
              <w:right w:val="single" w:sz="4" w:space="0" w:color="auto"/>
            </w:tcBorders>
            <w:vAlign w:val="center"/>
            <w:hideMark/>
          </w:tcPr>
          <w:p w14:paraId="15FB2D22" w14:textId="77777777" w:rsidR="00224ABF" w:rsidRPr="00224ABF" w:rsidRDefault="00224ABF" w:rsidP="0054297D">
            <w:pPr>
              <w:spacing w:after="0"/>
              <w:jc w:val="both"/>
              <w:rPr>
                <w:rFonts w:eastAsia="Times New Roman" w:cs="Arial"/>
              </w:rPr>
            </w:pPr>
            <w:r w:rsidRPr="00224ABF">
              <w:rPr>
                <w:rFonts w:eastAsia="Times New Roman" w:cs="Arial"/>
              </w:rPr>
              <w:t>A la espera de envío de información por parte del Concesionario para el cálculo de la contraprestación</w:t>
            </w:r>
          </w:p>
        </w:tc>
      </w:tr>
      <w:tr w:rsidR="00224ABF" w:rsidRPr="00224ABF" w14:paraId="0BA2EB1C" w14:textId="77777777" w:rsidTr="0054297D">
        <w:trPr>
          <w:trHeight w:val="848"/>
        </w:trPr>
        <w:tc>
          <w:tcPr>
            <w:tcW w:w="1200" w:type="dxa"/>
            <w:tcBorders>
              <w:top w:val="nil"/>
              <w:left w:val="single" w:sz="4" w:space="0" w:color="auto"/>
              <w:bottom w:val="single" w:sz="4" w:space="0" w:color="auto"/>
              <w:right w:val="single" w:sz="4" w:space="0" w:color="auto"/>
            </w:tcBorders>
            <w:vAlign w:val="center"/>
            <w:hideMark/>
          </w:tcPr>
          <w:p w14:paraId="5C1D54B3" w14:textId="77777777" w:rsidR="00224ABF" w:rsidRPr="00224ABF" w:rsidRDefault="00224ABF" w:rsidP="0054297D">
            <w:pPr>
              <w:spacing w:after="0"/>
              <w:jc w:val="both"/>
              <w:rPr>
                <w:rFonts w:eastAsia="Times New Roman" w:cs="Arial"/>
              </w:rPr>
            </w:pPr>
            <w:r w:rsidRPr="00224ABF">
              <w:rPr>
                <w:rFonts w:eastAsia="Times New Roman" w:cs="Arial"/>
              </w:rPr>
              <w:t>Cartagena</w:t>
            </w:r>
          </w:p>
        </w:tc>
        <w:tc>
          <w:tcPr>
            <w:tcW w:w="1063" w:type="dxa"/>
            <w:tcBorders>
              <w:top w:val="nil"/>
              <w:left w:val="nil"/>
              <w:bottom w:val="single" w:sz="4" w:space="0" w:color="auto"/>
              <w:right w:val="single" w:sz="4" w:space="0" w:color="auto"/>
            </w:tcBorders>
            <w:vAlign w:val="center"/>
            <w:hideMark/>
          </w:tcPr>
          <w:p w14:paraId="6C474CBD" w14:textId="77777777" w:rsidR="00224ABF" w:rsidRPr="00224ABF" w:rsidRDefault="00224ABF" w:rsidP="0054297D">
            <w:pPr>
              <w:spacing w:after="0"/>
              <w:jc w:val="both"/>
              <w:rPr>
                <w:rFonts w:eastAsia="Times New Roman" w:cs="Arial"/>
              </w:rPr>
            </w:pPr>
            <w:r w:rsidRPr="00224ABF">
              <w:rPr>
                <w:rFonts w:eastAsia="Times New Roman" w:cs="Arial"/>
              </w:rPr>
              <w:t>088/2004</w:t>
            </w:r>
          </w:p>
        </w:tc>
        <w:tc>
          <w:tcPr>
            <w:tcW w:w="2694" w:type="dxa"/>
            <w:tcBorders>
              <w:top w:val="nil"/>
              <w:left w:val="nil"/>
              <w:bottom w:val="single" w:sz="4" w:space="0" w:color="auto"/>
              <w:right w:val="single" w:sz="4" w:space="0" w:color="auto"/>
            </w:tcBorders>
            <w:vAlign w:val="center"/>
            <w:hideMark/>
          </w:tcPr>
          <w:p w14:paraId="0657D637" w14:textId="77777777" w:rsidR="00224ABF" w:rsidRPr="00224ABF" w:rsidRDefault="00224ABF" w:rsidP="0054297D">
            <w:pPr>
              <w:spacing w:after="0"/>
              <w:jc w:val="both"/>
              <w:rPr>
                <w:rFonts w:eastAsia="Times New Roman" w:cs="Arial"/>
              </w:rPr>
            </w:pPr>
            <w:r w:rsidRPr="00224ABF">
              <w:rPr>
                <w:rFonts w:eastAsia="Times New Roman" w:cs="Arial"/>
              </w:rPr>
              <w:t>Sociedad Portuaria Puerto de Mamonal, Muelle Adicional 135 mts </w:t>
            </w:r>
          </w:p>
        </w:tc>
        <w:tc>
          <w:tcPr>
            <w:tcW w:w="4394" w:type="dxa"/>
            <w:vMerge/>
            <w:tcBorders>
              <w:top w:val="nil"/>
              <w:left w:val="single" w:sz="4" w:space="0" w:color="auto"/>
              <w:bottom w:val="single" w:sz="4" w:space="0" w:color="000000"/>
              <w:right w:val="single" w:sz="4" w:space="0" w:color="auto"/>
            </w:tcBorders>
            <w:vAlign w:val="center"/>
            <w:hideMark/>
          </w:tcPr>
          <w:p w14:paraId="72C1B0A7" w14:textId="77777777" w:rsidR="00224ABF" w:rsidRPr="00224ABF" w:rsidRDefault="00224ABF" w:rsidP="0054297D">
            <w:pPr>
              <w:spacing w:after="0"/>
              <w:jc w:val="both"/>
              <w:rPr>
                <w:rFonts w:eastAsia="Times New Roman" w:cs="Arial"/>
              </w:rPr>
            </w:pPr>
          </w:p>
        </w:tc>
      </w:tr>
      <w:tr w:rsidR="00224ABF" w:rsidRPr="00224ABF" w14:paraId="61A2EBE1" w14:textId="77777777" w:rsidTr="0054297D">
        <w:trPr>
          <w:trHeight w:val="808"/>
        </w:trPr>
        <w:tc>
          <w:tcPr>
            <w:tcW w:w="1200" w:type="dxa"/>
            <w:tcBorders>
              <w:top w:val="nil"/>
              <w:left w:val="single" w:sz="4" w:space="0" w:color="auto"/>
              <w:bottom w:val="single" w:sz="4" w:space="0" w:color="auto"/>
              <w:right w:val="single" w:sz="4" w:space="0" w:color="auto"/>
            </w:tcBorders>
            <w:vAlign w:val="center"/>
            <w:hideMark/>
          </w:tcPr>
          <w:p w14:paraId="04224F24" w14:textId="77777777" w:rsidR="00224ABF" w:rsidRPr="00224ABF" w:rsidRDefault="00224ABF" w:rsidP="0054297D">
            <w:pPr>
              <w:spacing w:after="0"/>
              <w:jc w:val="both"/>
              <w:rPr>
                <w:rFonts w:eastAsia="Times New Roman" w:cs="Arial"/>
              </w:rPr>
            </w:pPr>
            <w:r w:rsidRPr="00224ABF">
              <w:rPr>
                <w:rFonts w:eastAsia="Times New Roman" w:cs="Arial"/>
              </w:rPr>
              <w:t>Santa Marta</w:t>
            </w:r>
          </w:p>
        </w:tc>
        <w:tc>
          <w:tcPr>
            <w:tcW w:w="1063" w:type="dxa"/>
            <w:tcBorders>
              <w:top w:val="nil"/>
              <w:left w:val="nil"/>
              <w:bottom w:val="single" w:sz="4" w:space="0" w:color="auto"/>
              <w:right w:val="single" w:sz="4" w:space="0" w:color="auto"/>
            </w:tcBorders>
            <w:vAlign w:val="center"/>
            <w:hideMark/>
          </w:tcPr>
          <w:p w14:paraId="3342D3DF" w14:textId="77777777" w:rsidR="00224ABF" w:rsidRPr="00224ABF" w:rsidRDefault="00224ABF" w:rsidP="0054297D">
            <w:pPr>
              <w:spacing w:after="0"/>
              <w:jc w:val="both"/>
              <w:rPr>
                <w:rFonts w:eastAsia="Times New Roman" w:cs="Arial"/>
              </w:rPr>
            </w:pPr>
            <w:r w:rsidRPr="00224ABF">
              <w:rPr>
                <w:rFonts w:eastAsia="Times New Roman" w:cs="Arial"/>
              </w:rPr>
              <w:t>006/1993</w:t>
            </w:r>
          </w:p>
        </w:tc>
        <w:tc>
          <w:tcPr>
            <w:tcW w:w="2694" w:type="dxa"/>
            <w:tcBorders>
              <w:top w:val="nil"/>
              <w:left w:val="nil"/>
              <w:bottom w:val="single" w:sz="4" w:space="0" w:color="auto"/>
              <w:right w:val="single" w:sz="4" w:space="0" w:color="auto"/>
            </w:tcBorders>
            <w:vAlign w:val="center"/>
            <w:hideMark/>
          </w:tcPr>
          <w:p w14:paraId="25C6E9E8" w14:textId="77777777" w:rsidR="00224ABF" w:rsidRPr="00224ABF" w:rsidRDefault="00224ABF" w:rsidP="0054297D">
            <w:pPr>
              <w:spacing w:after="0"/>
              <w:jc w:val="both"/>
              <w:rPr>
                <w:rFonts w:eastAsia="Times New Roman" w:cs="Arial"/>
              </w:rPr>
            </w:pPr>
            <w:r w:rsidRPr="00224ABF">
              <w:rPr>
                <w:rFonts w:eastAsia="Times New Roman" w:cs="Arial"/>
              </w:rPr>
              <w:t>Sociedad Portuaria Regional de Santa Marta</w:t>
            </w:r>
          </w:p>
        </w:tc>
        <w:tc>
          <w:tcPr>
            <w:tcW w:w="4394" w:type="dxa"/>
            <w:tcBorders>
              <w:top w:val="nil"/>
              <w:left w:val="nil"/>
              <w:bottom w:val="single" w:sz="4" w:space="0" w:color="auto"/>
              <w:right w:val="single" w:sz="4" w:space="0" w:color="auto"/>
            </w:tcBorders>
            <w:vAlign w:val="center"/>
            <w:hideMark/>
          </w:tcPr>
          <w:p w14:paraId="5B081F3A" w14:textId="77777777" w:rsidR="00224ABF" w:rsidRPr="00224ABF" w:rsidRDefault="00224ABF" w:rsidP="0054297D">
            <w:pPr>
              <w:spacing w:after="0"/>
              <w:jc w:val="both"/>
              <w:rPr>
                <w:rFonts w:eastAsia="Times New Roman" w:cs="Arial"/>
              </w:rPr>
            </w:pPr>
            <w:r w:rsidRPr="00224ABF">
              <w:rPr>
                <w:rFonts w:eastAsia="Times New Roman" w:cs="Arial"/>
              </w:rPr>
              <w:t>Pendiente concepto jurídico de ampliación de muelle 5; aprobación PB 13-14</w:t>
            </w:r>
          </w:p>
        </w:tc>
      </w:tr>
      <w:tr w:rsidR="00224ABF" w:rsidRPr="00224ABF" w14:paraId="0D723C4B" w14:textId="77777777" w:rsidTr="0054297D">
        <w:trPr>
          <w:trHeight w:val="872"/>
        </w:trPr>
        <w:tc>
          <w:tcPr>
            <w:tcW w:w="1200" w:type="dxa"/>
            <w:tcBorders>
              <w:top w:val="nil"/>
              <w:left w:val="single" w:sz="4" w:space="0" w:color="auto"/>
              <w:bottom w:val="single" w:sz="4" w:space="0" w:color="auto"/>
              <w:right w:val="single" w:sz="4" w:space="0" w:color="auto"/>
            </w:tcBorders>
            <w:vAlign w:val="center"/>
            <w:hideMark/>
          </w:tcPr>
          <w:p w14:paraId="42400196" w14:textId="77777777" w:rsidR="00224ABF" w:rsidRPr="00224ABF" w:rsidRDefault="00224ABF" w:rsidP="0054297D">
            <w:pPr>
              <w:spacing w:after="0"/>
              <w:jc w:val="both"/>
              <w:rPr>
                <w:rFonts w:eastAsia="Times New Roman" w:cs="Arial"/>
              </w:rPr>
            </w:pPr>
            <w:r w:rsidRPr="00224ABF">
              <w:rPr>
                <w:rFonts w:eastAsia="Times New Roman" w:cs="Arial"/>
              </w:rPr>
              <w:t>Tumaco</w:t>
            </w:r>
          </w:p>
        </w:tc>
        <w:tc>
          <w:tcPr>
            <w:tcW w:w="1063" w:type="dxa"/>
            <w:tcBorders>
              <w:top w:val="nil"/>
              <w:left w:val="nil"/>
              <w:bottom w:val="single" w:sz="4" w:space="0" w:color="auto"/>
              <w:right w:val="single" w:sz="4" w:space="0" w:color="auto"/>
            </w:tcBorders>
            <w:vAlign w:val="center"/>
            <w:hideMark/>
          </w:tcPr>
          <w:p w14:paraId="2C89B215" w14:textId="77777777" w:rsidR="00224ABF" w:rsidRPr="00224ABF" w:rsidRDefault="00224ABF" w:rsidP="0054297D">
            <w:pPr>
              <w:spacing w:after="0"/>
              <w:jc w:val="both"/>
              <w:rPr>
                <w:rFonts w:eastAsia="Times New Roman" w:cs="Arial"/>
              </w:rPr>
            </w:pPr>
            <w:r w:rsidRPr="00224ABF">
              <w:rPr>
                <w:rFonts w:eastAsia="Times New Roman" w:cs="Arial"/>
              </w:rPr>
              <w:t>581/2010 /  288/10</w:t>
            </w:r>
          </w:p>
        </w:tc>
        <w:tc>
          <w:tcPr>
            <w:tcW w:w="2694" w:type="dxa"/>
            <w:tcBorders>
              <w:top w:val="nil"/>
              <w:left w:val="nil"/>
              <w:bottom w:val="single" w:sz="4" w:space="0" w:color="auto"/>
              <w:right w:val="single" w:sz="4" w:space="0" w:color="auto"/>
            </w:tcBorders>
            <w:vAlign w:val="center"/>
            <w:hideMark/>
          </w:tcPr>
          <w:p w14:paraId="39819A42" w14:textId="77777777" w:rsidR="00224ABF" w:rsidRPr="00224ABF" w:rsidRDefault="00224ABF" w:rsidP="0054297D">
            <w:pPr>
              <w:spacing w:after="0"/>
              <w:jc w:val="both"/>
              <w:rPr>
                <w:rFonts w:eastAsia="Times New Roman" w:cs="Arial"/>
              </w:rPr>
            </w:pPr>
            <w:r w:rsidRPr="00224ABF">
              <w:rPr>
                <w:rFonts w:eastAsia="Times New Roman" w:cs="Arial"/>
              </w:rPr>
              <w:t>Sociedad Romero Burgos &amp; Cía.</w:t>
            </w:r>
          </w:p>
        </w:tc>
        <w:tc>
          <w:tcPr>
            <w:tcW w:w="4394" w:type="dxa"/>
            <w:tcBorders>
              <w:top w:val="nil"/>
              <w:left w:val="nil"/>
              <w:bottom w:val="single" w:sz="4" w:space="0" w:color="auto"/>
              <w:right w:val="single" w:sz="4" w:space="0" w:color="auto"/>
            </w:tcBorders>
            <w:vAlign w:val="center"/>
            <w:hideMark/>
          </w:tcPr>
          <w:p w14:paraId="3C07AC85" w14:textId="77777777" w:rsidR="00224ABF" w:rsidRPr="00224ABF" w:rsidRDefault="00224ABF" w:rsidP="0054297D">
            <w:pPr>
              <w:spacing w:after="0"/>
              <w:jc w:val="both"/>
              <w:rPr>
                <w:rFonts w:eastAsia="Times New Roman" w:cs="Arial"/>
              </w:rPr>
            </w:pPr>
            <w:r w:rsidRPr="00224ABF">
              <w:rPr>
                <w:rFonts w:eastAsia="Times New Roman" w:cs="Arial"/>
              </w:rPr>
              <w:t>Realizando acta de Reversión</w:t>
            </w:r>
          </w:p>
        </w:tc>
      </w:tr>
    </w:tbl>
    <w:p w14:paraId="727FB1C8" w14:textId="77777777" w:rsidR="00224ABF" w:rsidRPr="00224ABF" w:rsidRDefault="00224ABF" w:rsidP="00224ABF">
      <w:pPr>
        <w:shd w:val="clear" w:color="auto" w:fill="FFFFFF"/>
        <w:spacing w:after="0"/>
        <w:jc w:val="both"/>
        <w:rPr>
          <w:rFonts w:eastAsia="Times New Roman" w:cs="Arial"/>
          <w:color w:val="000000"/>
          <w:shd w:val="clear" w:color="auto" w:fill="FFFFFF"/>
        </w:rPr>
      </w:pPr>
      <w:r w:rsidRPr="00224ABF">
        <w:rPr>
          <w:rFonts w:eastAsia="Times New Roman" w:cs="Arial"/>
          <w:color w:val="000000"/>
          <w:shd w:val="clear" w:color="auto" w:fill="FFFFFF"/>
        </w:rPr>
        <w:t> </w:t>
      </w:r>
    </w:p>
    <w:p w14:paraId="27D429C3" w14:textId="77777777" w:rsidR="00224ABF" w:rsidRPr="00224ABF" w:rsidRDefault="00224ABF" w:rsidP="00224ABF">
      <w:pPr>
        <w:shd w:val="clear" w:color="auto" w:fill="FFFFFF"/>
        <w:spacing w:after="0"/>
        <w:jc w:val="both"/>
        <w:rPr>
          <w:rFonts w:eastAsia="Times New Roman" w:cs="Arial"/>
          <w:color w:val="000000"/>
          <w:shd w:val="clear" w:color="auto" w:fill="FFFFFF"/>
        </w:rPr>
      </w:pPr>
    </w:p>
    <w:p w14:paraId="1152EB18" w14:textId="77777777" w:rsidR="00224ABF" w:rsidRPr="00224ABF" w:rsidRDefault="00224ABF" w:rsidP="00224ABF">
      <w:pPr>
        <w:jc w:val="both"/>
        <w:rPr>
          <w:rFonts w:cs="Arial"/>
        </w:rPr>
      </w:pPr>
    </w:p>
    <w:p w14:paraId="3511B59C" w14:textId="77777777" w:rsidR="00224ABF" w:rsidRPr="00224ABF" w:rsidRDefault="00224ABF" w:rsidP="00224ABF">
      <w:pPr>
        <w:jc w:val="both"/>
        <w:rPr>
          <w:rFonts w:cs="Arial"/>
          <w:b/>
        </w:rPr>
      </w:pPr>
      <w:r w:rsidRPr="00224ABF">
        <w:rPr>
          <w:rFonts w:cs="Arial"/>
          <w:b/>
        </w:rPr>
        <w:lastRenderedPageBreak/>
        <w:t>2. FÉRREO</w:t>
      </w:r>
    </w:p>
    <w:p w14:paraId="0370FCDD" w14:textId="77777777" w:rsidR="00224ABF" w:rsidRPr="00224ABF" w:rsidRDefault="00224ABF" w:rsidP="00224ABF">
      <w:pPr>
        <w:tabs>
          <w:tab w:val="left" w:pos="1276"/>
        </w:tabs>
        <w:spacing w:before="20" w:after="0" w:line="240" w:lineRule="auto"/>
        <w:jc w:val="both"/>
        <w:rPr>
          <w:rFonts w:cs="Arial"/>
          <w:b/>
        </w:rPr>
      </w:pPr>
      <w:r w:rsidRPr="00224ABF">
        <w:rPr>
          <w:rFonts w:cs="Arial"/>
          <w:b/>
        </w:rPr>
        <w:t xml:space="preserve">2.1 CORREDOR FERREO BOGOTÁ - BELENCITO </w:t>
      </w:r>
    </w:p>
    <w:p w14:paraId="20A15FF0" w14:textId="77777777" w:rsidR="00224ABF" w:rsidRPr="00224ABF" w:rsidRDefault="00224ABF" w:rsidP="00224ABF">
      <w:pPr>
        <w:tabs>
          <w:tab w:val="left" w:pos="1276"/>
        </w:tabs>
        <w:spacing w:before="20" w:after="0" w:line="240" w:lineRule="auto"/>
        <w:jc w:val="both"/>
        <w:rPr>
          <w:rFonts w:cs="Arial"/>
          <w:b/>
        </w:rPr>
      </w:pPr>
    </w:p>
    <w:p w14:paraId="69EA2FC2" w14:textId="77777777" w:rsidR="00224ABF" w:rsidRPr="00224ABF" w:rsidRDefault="00224ABF" w:rsidP="00224ABF">
      <w:pPr>
        <w:pStyle w:val="Prrafodelista"/>
        <w:numPr>
          <w:ilvl w:val="0"/>
          <w:numId w:val="185"/>
        </w:numPr>
        <w:tabs>
          <w:tab w:val="left" w:pos="993"/>
        </w:tabs>
        <w:spacing w:before="20" w:after="0" w:line="240" w:lineRule="auto"/>
        <w:ind w:left="426" w:hanging="426"/>
        <w:jc w:val="both"/>
        <w:rPr>
          <w:rFonts w:cs="Arial"/>
          <w:b/>
          <w:color w:val="404040"/>
        </w:rPr>
      </w:pPr>
      <w:r w:rsidRPr="00224ABF">
        <w:rPr>
          <w:rFonts w:cs="Arial"/>
          <w:b/>
          <w:color w:val="404040"/>
        </w:rPr>
        <w:t>Estado actual del proyecto (principales actividades)</w:t>
      </w:r>
    </w:p>
    <w:p w14:paraId="583720CF" w14:textId="77777777" w:rsidR="00224ABF" w:rsidRPr="00224ABF" w:rsidRDefault="00224ABF" w:rsidP="00224ABF">
      <w:pPr>
        <w:pStyle w:val="Prrafodelista"/>
        <w:tabs>
          <w:tab w:val="left" w:pos="993"/>
        </w:tabs>
        <w:spacing w:before="20" w:after="0" w:line="240" w:lineRule="auto"/>
        <w:ind w:left="786"/>
        <w:jc w:val="both"/>
        <w:rPr>
          <w:rFonts w:cs="Arial"/>
          <w:b/>
          <w:color w:val="404040"/>
        </w:rPr>
      </w:pPr>
    </w:p>
    <w:p w14:paraId="55F27E4A" w14:textId="77777777" w:rsidR="00224ABF" w:rsidRPr="00224ABF" w:rsidRDefault="00224ABF" w:rsidP="00224ABF">
      <w:pPr>
        <w:pStyle w:val="Prrafodelista"/>
        <w:numPr>
          <w:ilvl w:val="0"/>
          <w:numId w:val="182"/>
        </w:numPr>
        <w:tabs>
          <w:tab w:val="left" w:pos="709"/>
        </w:tabs>
        <w:spacing w:before="20" w:after="0" w:line="240" w:lineRule="auto"/>
        <w:jc w:val="both"/>
        <w:rPr>
          <w:rFonts w:cs="Arial"/>
          <w:color w:val="404040"/>
        </w:rPr>
      </w:pPr>
      <w:r w:rsidRPr="00224ABF">
        <w:rPr>
          <w:rFonts w:cs="Arial"/>
          <w:color w:val="404040"/>
          <w:u w:val="single"/>
        </w:rPr>
        <w:t>Estudios y Diseños</w:t>
      </w:r>
      <w:r w:rsidRPr="00224ABF">
        <w:rPr>
          <w:rFonts w:cs="Arial"/>
          <w:color w:val="404040"/>
        </w:rPr>
        <w:t xml:space="preserve">: A la fecha el Contratista </w:t>
      </w:r>
      <w:r w:rsidRPr="00224ABF">
        <w:rPr>
          <w:rFonts w:cs="Arial"/>
          <w:b/>
          <w:color w:val="404040"/>
        </w:rPr>
        <w:t>Dracol Líneas Férreas</w:t>
      </w:r>
      <w:r w:rsidRPr="00224ABF">
        <w:rPr>
          <w:rFonts w:cs="Arial"/>
          <w:color w:val="404040"/>
        </w:rPr>
        <w:t xml:space="preserve">, ha presentado la totalidad de los diseños objeto de las obras de los puntos críticos a intervenir; se verificó y se dio aceptación por parte de la Interventoría a dichos diseños </w:t>
      </w:r>
    </w:p>
    <w:p w14:paraId="52E3B599" w14:textId="77777777" w:rsidR="00224ABF" w:rsidRPr="00224ABF" w:rsidRDefault="00224ABF" w:rsidP="00224ABF">
      <w:pPr>
        <w:pStyle w:val="Prrafodelista"/>
        <w:tabs>
          <w:tab w:val="left" w:pos="709"/>
        </w:tabs>
        <w:spacing w:before="20" w:after="0" w:line="240" w:lineRule="auto"/>
        <w:ind w:left="360"/>
        <w:jc w:val="both"/>
        <w:rPr>
          <w:rFonts w:cs="Arial"/>
          <w:color w:val="404040"/>
        </w:rPr>
      </w:pPr>
    </w:p>
    <w:p w14:paraId="04BA8AD3" w14:textId="77777777" w:rsidR="00224ABF" w:rsidRPr="00224ABF" w:rsidRDefault="00224ABF" w:rsidP="00224ABF">
      <w:pPr>
        <w:pStyle w:val="Prrafodelista"/>
        <w:numPr>
          <w:ilvl w:val="0"/>
          <w:numId w:val="182"/>
        </w:numPr>
        <w:tabs>
          <w:tab w:val="left" w:pos="709"/>
        </w:tabs>
        <w:spacing w:before="20" w:after="0" w:line="240" w:lineRule="auto"/>
        <w:jc w:val="both"/>
        <w:rPr>
          <w:rFonts w:cs="Arial"/>
          <w:color w:val="404040"/>
        </w:rPr>
      </w:pPr>
      <w:r w:rsidRPr="00224ABF">
        <w:rPr>
          <w:rFonts w:cs="Arial"/>
          <w:color w:val="404040"/>
          <w:u w:val="single"/>
        </w:rPr>
        <w:t>Ejecución de obras a la fecha</w:t>
      </w:r>
      <w:r w:rsidRPr="00224ABF">
        <w:rPr>
          <w:rFonts w:cs="Arial"/>
          <w:color w:val="404040"/>
        </w:rPr>
        <w:t>: A la fecha el Contratista ha dado inicio a la intervención de los puntos críticos en los PK 184+965, PK 158+300, 224+900. La fecha de culminación de obras objeto del contrato es el 31 de mayo de 2015.</w:t>
      </w:r>
    </w:p>
    <w:p w14:paraId="036C64C6" w14:textId="77777777" w:rsidR="00224ABF" w:rsidRPr="00224ABF" w:rsidRDefault="00224ABF" w:rsidP="00224ABF">
      <w:pPr>
        <w:pStyle w:val="Prrafodelista"/>
        <w:tabs>
          <w:tab w:val="left" w:pos="1276"/>
        </w:tabs>
        <w:spacing w:before="20" w:after="0" w:line="240" w:lineRule="auto"/>
        <w:ind w:left="1080"/>
        <w:jc w:val="both"/>
        <w:rPr>
          <w:rFonts w:cs="Arial"/>
          <w:color w:val="404040"/>
        </w:rPr>
      </w:pPr>
    </w:p>
    <w:p w14:paraId="7062A22B" w14:textId="77777777" w:rsidR="00224ABF" w:rsidRPr="00224ABF" w:rsidRDefault="00224ABF" w:rsidP="00224ABF">
      <w:pPr>
        <w:pStyle w:val="Prrafodelista"/>
        <w:numPr>
          <w:ilvl w:val="0"/>
          <w:numId w:val="182"/>
        </w:numPr>
        <w:tabs>
          <w:tab w:val="left" w:pos="709"/>
        </w:tabs>
        <w:spacing w:before="20" w:after="0" w:line="240" w:lineRule="auto"/>
        <w:jc w:val="both"/>
        <w:rPr>
          <w:rFonts w:cs="Arial"/>
          <w:color w:val="404040"/>
        </w:rPr>
      </w:pPr>
      <w:r w:rsidRPr="00224ABF">
        <w:rPr>
          <w:rFonts w:cs="Arial"/>
          <w:color w:val="404040"/>
          <w:u w:val="single"/>
        </w:rPr>
        <w:t>Actividades de Mantenimiento del Corredor</w:t>
      </w:r>
      <w:r w:rsidRPr="00224ABF">
        <w:rPr>
          <w:rFonts w:cs="Arial"/>
          <w:color w:val="404040"/>
        </w:rPr>
        <w:t>: Se ejecutaron entre otras, las siguientes actividades referidas a mantenimiento y conservación del Corredor:</w:t>
      </w:r>
    </w:p>
    <w:p w14:paraId="12F44C33" w14:textId="77777777" w:rsidR="00224ABF" w:rsidRPr="00224ABF" w:rsidRDefault="00224ABF" w:rsidP="00224ABF">
      <w:pPr>
        <w:pStyle w:val="Prrafodelista"/>
        <w:jc w:val="both"/>
        <w:rPr>
          <w:rFonts w:cs="Arial"/>
          <w:color w:val="404040"/>
        </w:rPr>
      </w:pPr>
    </w:p>
    <w:p w14:paraId="411C0EAE" w14:textId="77777777" w:rsidR="00224ABF" w:rsidRPr="00224ABF" w:rsidRDefault="00224ABF" w:rsidP="00224ABF">
      <w:pPr>
        <w:pStyle w:val="Prrafodelista"/>
        <w:numPr>
          <w:ilvl w:val="0"/>
          <w:numId w:val="183"/>
        </w:numPr>
        <w:tabs>
          <w:tab w:val="clear" w:pos="720"/>
          <w:tab w:val="left" w:pos="1560"/>
        </w:tabs>
        <w:spacing w:before="60" w:after="0" w:line="259" w:lineRule="auto"/>
        <w:ind w:left="851" w:firstLine="272"/>
        <w:contextualSpacing w:val="0"/>
        <w:jc w:val="both"/>
        <w:rPr>
          <w:rFonts w:cs="Arial"/>
          <w:bCs/>
          <w:color w:val="404040"/>
          <w:lang w:val="es-ES"/>
        </w:rPr>
      </w:pPr>
      <w:r w:rsidRPr="00224ABF">
        <w:rPr>
          <w:rFonts w:cs="Arial"/>
          <w:bCs/>
          <w:color w:val="404040"/>
          <w:lang w:val="es-ES"/>
        </w:rPr>
        <w:t xml:space="preserve">Administración del Corredor – Ejecutada al 100% a la fecha </w:t>
      </w:r>
    </w:p>
    <w:p w14:paraId="6C6BEDFE" w14:textId="5073018A" w:rsidR="00224ABF" w:rsidRPr="00224ABF" w:rsidRDefault="00224ABF" w:rsidP="00224ABF">
      <w:pPr>
        <w:pStyle w:val="Prrafodelista"/>
        <w:numPr>
          <w:ilvl w:val="0"/>
          <w:numId w:val="183"/>
        </w:numPr>
        <w:tabs>
          <w:tab w:val="clear" w:pos="720"/>
          <w:tab w:val="left" w:pos="1560"/>
        </w:tabs>
        <w:spacing w:before="60" w:after="0" w:line="259" w:lineRule="auto"/>
        <w:ind w:left="1560" w:hanging="426"/>
        <w:contextualSpacing w:val="0"/>
        <w:jc w:val="both"/>
        <w:rPr>
          <w:rFonts w:cs="Arial"/>
          <w:bCs/>
          <w:color w:val="404040"/>
          <w:lang w:val="es-ES"/>
        </w:rPr>
      </w:pPr>
      <w:r w:rsidRPr="00224ABF">
        <w:rPr>
          <w:rFonts w:cs="Arial"/>
          <w:bCs/>
          <w:color w:val="404040"/>
          <w:lang w:val="es-ES"/>
        </w:rPr>
        <w:t>Mantenimiento y Conservación del corredor - Ejecutada al 100% de acuerdo con las actividades programadas por el contratista. (Actividades realizadas: Rocería y deshierbe, riego químico, limpieza de cun</w:t>
      </w:r>
      <w:r w:rsidR="00AB0F18">
        <w:rPr>
          <w:rFonts w:cs="Arial"/>
          <w:bCs/>
          <w:color w:val="404040"/>
          <w:lang w:val="es-ES"/>
        </w:rPr>
        <w:t>e</w:t>
      </w:r>
      <w:r w:rsidRPr="00224ABF">
        <w:rPr>
          <w:rFonts w:cs="Arial"/>
          <w:bCs/>
          <w:color w:val="404040"/>
          <w:lang w:val="es-ES"/>
        </w:rPr>
        <w:t>tas, limpieza de obras de drenaje, retiro de empalizadas, alineación de vía)</w:t>
      </w:r>
    </w:p>
    <w:p w14:paraId="03961FBD" w14:textId="77777777" w:rsidR="00224ABF" w:rsidRPr="00224ABF" w:rsidRDefault="00224ABF" w:rsidP="00224ABF">
      <w:pPr>
        <w:pStyle w:val="Prrafodelista"/>
        <w:numPr>
          <w:ilvl w:val="0"/>
          <w:numId w:val="183"/>
        </w:numPr>
        <w:tabs>
          <w:tab w:val="clear" w:pos="720"/>
          <w:tab w:val="left" w:pos="1560"/>
        </w:tabs>
        <w:spacing w:before="60" w:after="0" w:line="259" w:lineRule="auto"/>
        <w:ind w:left="851" w:firstLine="272"/>
        <w:contextualSpacing w:val="0"/>
        <w:jc w:val="both"/>
        <w:rPr>
          <w:rFonts w:cs="Arial"/>
          <w:bCs/>
          <w:color w:val="404040"/>
          <w:lang w:val="es-ES"/>
        </w:rPr>
      </w:pPr>
      <w:r w:rsidRPr="00224ABF">
        <w:rPr>
          <w:rFonts w:cs="Arial"/>
          <w:bCs/>
          <w:color w:val="404040"/>
          <w:lang w:val="es-ES"/>
        </w:rPr>
        <w:t>Control de Tráfico - Ejecutada al 100% a la fecha</w:t>
      </w:r>
    </w:p>
    <w:p w14:paraId="314C4FE1" w14:textId="77777777" w:rsidR="00224ABF" w:rsidRPr="00224ABF" w:rsidRDefault="00224ABF" w:rsidP="00224ABF">
      <w:pPr>
        <w:pStyle w:val="Prrafodelista"/>
        <w:numPr>
          <w:ilvl w:val="0"/>
          <w:numId w:val="183"/>
        </w:numPr>
        <w:tabs>
          <w:tab w:val="clear" w:pos="720"/>
          <w:tab w:val="left" w:pos="1560"/>
        </w:tabs>
        <w:spacing w:before="60" w:after="0" w:line="259" w:lineRule="auto"/>
        <w:ind w:left="851" w:firstLine="272"/>
        <w:contextualSpacing w:val="0"/>
        <w:jc w:val="both"/>
        <w:rPr>
          <w:rFonts w:cs="Arial"/>
          <w:bCs/>
          <w:color w:val="404040"/>
          <w:lang w:val="es-ES"/>
        </w:rPr>
      </w:pPr>
      <w:r w:rsidRPr="00224ABF">
        <w:rPr>
          <w:rFonts w:cs="Arial"/>
          <w:bCs/>
          <w:color w:val="404040"/>
          <w:lang w:val="es-ES"/>
        </w:rPr>
        <w:t xml:space="preserve">Administración, conservación y vigilancia material rodante -  Ejecutada al 100% </w:t>
      </w:r>
    </w:p>
    <w:p w14:paraId="57A149BF" w14:textId="77777777" w:rsidR="00224ABF" w:rsidRPr="00224ABF" w:rsidRDefault="00224ABF" w:rsidP="00224ABF">
      <w:pPr>
        <w:pStyle w:val="Prrafodelista"/>
        <w:tabs>
          <w:tab w:val="left" w:pos="1134"/>
          <w:tab w:val="left" w:pos="1560"/>
        </w:tabs>
        <w:spacing w:before="20" w:after="0" w:line="240" w:lineRule="auto"/>
        <w:ind w:left="1080"/>
        <w:jc w:val="both"/>
        <w:rPr>
          <w:rFonts w:cs="Arial"/>
          <w:color w:val="404040"/>
        </w:rPr>
      </w:pPr>
    </w:p>
    <w:p w14:paraId="61970A83" w14:textId="77777777" w:rsidR="00224ABF" w:rsidRPr="00224ABF" w:rsidRDefault="00224ABF" w:rsidP="00224ABF">
      <w:pPr>
        <w:pStyle w:val="Prrafodelista"/>
        <w:numPr>
          <w:ilvl w:val="0"/>
          <w:numId w:val="182"/>
        </w:numPr>
        <w:tabs>
          <w:tab w:val="left" w:pos="709"/>
        </w:tabs>
        <w:spacing w:before="20" w:after="0" w:line="240" w:lineRule="auto"/>
        <w:jc w:val="both"/>
        <w:rPr>
          <w:rFonts w:cs="Arial"/>
          <w:color w:val="404040"/>
        </w:rPr>
      </w:pPr>
      <w:r w:rsidRPr="00224ABF">
        <w:rPr>
          <w:rFonts w:cs="Arial"/>
          <w:color w:val="404040"/>
          <w:u w:val="single"/>
        </w:rPr>
        <w:t>Actividades de Mejoramiento del Corredor</w:t>
      </w:r>
      <w:r w:rsidRPr="00224ABF">
        <w:rPr>
          <w:rFonts w:cs="Arial"/>
          <w:color w:val="404040"/>
        </w:rPr>
        <w:t xml:space="preserve">: No se ha dado inicio a estas actividades </w:t>
      </w:r>
    </w:p>
    <w:p w14:paraId="7A7B3388" w14:textId="77777777" w:rsidR="00224ABF" w:rsidRPr="00224ABF" w:rsidRDefault="00224ABF" w:rsidP="00224ABF">
      <w:pPr>
        <w:pStyle w:val="Prrafodelista"/>
        <w:tabs>
          <w:tab w:val="left" w:pos="709"/>
        </w:tabs>
        <w:spacing w:before="20" w:after="0" w:line="240" w:lineRule="auto"/>
        <w:ind w:left="360"/>
        <w:jc w:val="both"/>
        <w:rPr>
          <w:rFonts w:cs="Arial"/>
          <w:color w:val="404040"/>
        </w:rPr>
      </w:pPr>
    </w:p>
    <w:p w14:paraId="6374D07B" w14:textId="77777777" w:rsidR="00224ABF" w:rsidRPr="00224ABF" w:rsidRDefault="00224ABF" w:rsidP="00224ABF">
      <w:pPr>
        <w:pStyle w:val="Prrafodelista"/>
        <w:numPr>
          <w:ilvl w:val="0"/>
          <w:numId w:val="182"/>
        </w:numPr>
        <w:tabs>
          <w:tab w:val="left" w:pos="709"/>
        </w:tabs>
        <w:spacing w:before="20" w:after="0" w:line="240" w:lineRule="auto"/>
        <w:jc w:val="both"/>
        <w:rPr>
          <w:rFonts w:cs="Arial"/>
          <w:color w:val="404040"/>
        </w:rPr>
      </w:pPr>
      <w:r w:rsidRPr="00224ABF">
        <w:rPr>
          <w:rFonts w:cs="Arial"/>
          <w:color w:val="404040"/>
          <w:u w:val="single"/>
        </w:rPr>
        <w:t>Avances</w:t>
      </w:r>
      <w:r w:rsidRPr="00224ABF">
        <w:rPr>
          <w:rFonts w:cs="Arial"/>
          <w:color w:val="404040"/>
        </w:rPr>
        <w:t xml:space="preserve">: </w:t>
      </w:r>
      <w:r w:rsidRPr="00224ABF">
        <w:rPr>
          <w:rFonts w:cs="Arial"/>
          <w:color w:val="404040"/>
        </w:rPr>
        <w:tab/>
        <w:t xml:space="preserve">Ejecución Financiera: </w:t>
      </w:r>
      <w:r w:rsidRPr="00224ABF">
        <w:rPr>
          <w:rFonts w:cs="Arial"/>
          <w:color w:val="404040"/>
        </w:rPr>
        <w:tab/>
      </w:r>
      <w:r w:rsidRPr="00224ABF">
        <w:rPr>
          <w:rFonts w:cs="Arial"/>
        </w:rPr>
        <w:t>Se ha ejecutado aproximadamente el</w:t>
      </w:r>
      <w:r w:rsidRPr="00224ABF">
        <w:rPr>
          <w:rFonts w:cs="Arial"/>
          <w:color w:val="404040"/>
        </w:rPr>
        <w:t xml:space="preserve"> 9%</w:t>
      </w:r>
    </w:p>
    <w:p w14:paraId="136EE411" w14:textId="77777777" w:rsidR="00224ABF" w:rsidRPr="00224ABF" w:rsidRDefault="00224ABF" w:rsidP="00224ABF">
      <w:pPr>
        <w:pStyle w:val="Prrafodelista"/>
        <w:tabs>
          <w:tab w:val="left" w:pos="709"/>
        </w:tabs>
        <w:spacing w:before="20" w:after="0" w:line="240" w:lineRule="auto"/>
        <w:ind w:left="360"/>
        <w:jc w:val="both"/>
        <w:rPr>
          <w:rFonts w:cs="Arial"/>
          <w:color w:val="404040"/>
        </w:rPr>
      </w:pPr>
      <w:r w:rsidRPr="00224ABF">
        <w:rPr>
          <w:rFonts w:cs="Arial"/>
          <w:color w:val="404040"/>
        </w:rPr>
        <w:tab/>
      </w:r>
      <w:r w:rsidRPr="00224ABF">
        <w:rPr>
          <w:rFonts w:cs="Arial"/>
          <w:color w:val="404040"/>
        </w:rPr>
        <w:tab/>
      </w:r>
      <w:r w:rsidRPr="00224ABF">
        <w:rPr>
          <w:rFonts w:cs="Arial"/>
          <w:color w:val="404040"/>
        </w:rPr>
        <w:tab/>
        <w:t>Ejecución Tiempo:</w:t>
      </w:r>
      <w:r w:rsidRPr="00224ABF">
        <w:rPr>
          <w:rFonts w:cs="Arial"/>
          <w:color w:val="404040"/>
        </w:rPr>
        <w:tab/>
        <w:t>El avance va en 21%</w:t>
      </w:r>
    </w:p>
    <w:p w14:paraId="20300A70" w14:textId="77777777" w:rsidR="00224ABF" w:rsidRPr="00224ABF" w:rsidRDefault="00224ABF" w:rsidP="00224ABF">
      <w:pPr>
        <w:pStyle w:val="Prrafodelista"/>
        <w:tabs>
          <w:tab w:val="left" w:pos="709"/>
        </w:tabs>
        <w:spacing w:before="20" w:after="0" w:line="240" w:lineRule="auto"/>
        <w:ind w:left="360"/>
        <w:jc w:val="both"/>
        <w:rPr>
          <w:rFonts w:cs="Arial"/>
          <w:color w:val="404040"/>
        </w:rPr>
      </w:pPr>
      <w:r w:rsidRPr="00224ABF">
        <w:rPr>
          <w:rFonts w:cs="Arial"/>
          <w:color w:val="404040"/>
        </w:rPr>
        <w:tab/>
      </w:r>
      <w:r w:rsidRPr="00224ABF">
        <w:rPr>
          <w:rFonts w:cs="Arial"/>
          <w:color w:val="404040"/>
        </w:rPr>
        <w:tab/>
      </w:r>
      <w:r w:rsidRPr="00224ABF">
        <w:rPr>
          <w:rFonts w:cs="Arial"/>
          <w:color w:val="404040"/>
        </w:rPr>
        <w:tab/>
        <w:t>Ejecución Obra:</w:t>
      </w:r>
      <w:r w:rsidRPr="00224ABF">
        <w:rPr>
          <w:rFonts w:cs="Arial"/>
          <w:color w:val="404040"/>
        </w:rPr>
        <w:tab/>
      </w:r>
      <w:r w:rsidRPr="00224ABF">
        <w:rPr>
          <w:rFonts w:cs="Arial"/>
          <w:color w:val="404040"/>
        </w:rPr>
        <w:tab/>
        <w:t>Se ha iniciado obra avance   el 4%</w:t>
      </w:r>
    </w:p>
    <w:p w14:paraId="6E0D2F3F" w14:textId="77777777" w:rsidR="00224ABF" w:rsidRPr="00224ABF" w:rsidRDefault="00224ABF" w:rsidP="00224ABF">
      <w:pPr>
        <w:pStyle w:val="Prrafodelista"/>
        <w:tabs>
          <w:tab w:val="left" w:pos="993"/>
        </w:tabs>
        <w:spacing w:before="20" w:after="0" w:line="240" w:lineRule="auto"/>
        <w:ind w:left="426"/>
        <w:jc w:val="both"/>
        <w:rPr>
          <w:rFonts w:cs="Arial"/>
          <w:color w:val="404040"/>
        </w:rPr>
      </w:pPr>
    </w:p>
    <w:p w14:paraId="0ADA6572" w14:textId="77777777" w:rsidR="00224ABF" w:rsidRPr="00224ABF" w:rsidRDefault="00224ABF" w:rsidP="00224ABF">
      <w:pPr>
        <w:pStyle w:val="Prrafodelista"/>
        <w:numPr>
          <w:ilvl w:val="0"/>
          <w:numId w:val="185"/>
        </w:numPr>
        <w:tabs>
          <w:tab w:val="left" w:pos="993"/>
        </w:tabs>
        <w:spacing w:before="20" w:after="0" w:line="240" w:lineRule="auto"/>
        <w:ind w:left="426" w:hanging="426"/>
        <w:jc w:val="both"/>
        <w:rPr>
          <w:rFonts w:cs="Arial"/>
          <w:b/>
          <w:color w:val="404040"/>
        </w:rPr>
      </w:pPr>
      <w:r w:rsidRPr="00224ABF">
        <w:rPr>
          <w:rFonts w:cs="Arial"/>
          <w:b/>
          <w:color w:val="404040"/>
        </w:rPr>
        <w:t xml:space="preserve">Problemáticas </w:t>
      </w:r>
    </w:p>
    <w:p w14:paraId="77728D12" w14:textId="77777777" w:rsidR="00224ABF" w:rsidRPr="00224ABF" w:rsidRDefault="00224ABF" w:rsidP="00224ABF">
      <w:pPr>
        <w:pStyle w:val="Prrafodelista"/>
        <w:tabs>
          <w:tab w:val="left" w:pos="993"/>
        </w:tabs>
        <w:spacing w:before="20" w:after="0" w:line="240" w:lineRule="auto"/>
        <w:ind w:left="426"/>
        <w:jc w:val="both"/>
        <w:rPr>
          <w:rFonts w:cs="Arial"/>
          <w:b/>
          <w:color w:val="404040"/>
        </w:rPr>
      </w:pPr>
    </w:p>
    <w:p w14:paraId="009AD066" w14:textId="77777777" w:rsidR="00224ABF" w:rsidRPr="00224ABF" w:rsidRDefault="00224ABF" w:rsidP="00224ABF">
      <w:pPr>
        <w:jc w:val="both"/>
        <w:rPr>
          <w:rFonts w:cs="Arial"/>
        </w:rPr>
      </w:pPr>
      <w:r w:rsidRPr="00224ABF">
        <w:rPr>
          <w:rFonts w:cs="Arial"/>
        </w:rPr>
        <w:t>Con relación a los  diseños y al inicio de obras referidas con la intervención de los puntos críticos se presentaron dificultades de acuerdo con el resultado arrojado por los estudios y diseños definitivos entregados por los contratistas, problemática y gestión que se describen a continuación:</w:t>
      </w:r>
    </w:p>
    <w:p w14:paraId="4E39790C" w14:textId="77777777" w:rsidR="00224ABF" w:rsidRPr="00224ABF" w:rsidRDefault="00224ABF" w:rsidP="00224ABF">
      <w:pPr>
        <w:pStyle w:val="Prrafodelista"/>
        <w:numPr>
          <w:ilvl w:val="0"/>
          <w:numId w:val="184"/>
        </w:numPr>
        <w:spacing w:before="120" w:after="0" w:line="259" w:lineRule="auto"/>
        <w:ind w:left="714" w:hanging="357"/>
        <w:contextualSpacing w:val="0"/>
        <w:jc w:val="both"/>
        <w:rPr>
          <w:rFonts w:cs="Arial"/>
        </w:rPr>
      </w:pPr>
      <w:r w:rsidRPr="00224ABF">
        <w:rPr>
          <w:rFonts w:cs="Arial"/>
        </w:rPr>
        <w:t xml:space="preserve">En la gran mayoría de los estudios y diseños presentados por el contratista el monto supera el valor de los puntos críticos contractualmente definidos en la fichas de pre-factibilidad, lo cual generó valores superiores en casi un 37% del valor total del contrato de obra de acuerdo con el presupuesto establecido en la proforma 8, por mayores cantidades de obra y APUs no previstos </w:t>
      </w:r>
    </w:p>
    <w:p w14:paraId="0DE5B0B5" w14:textId="77777777" w:rsidR="00224ABF" w:rsidRPr="00224ABF" w:rsidRDefault="00224ABF" w:rsidP="00224ABF">
      <w:pPr>
        <w:pStyle w:val="Prrafodelista"/>
        <w:numPr>
          <w:ilvl w:val="0"/>
          <w:numId w:val="184"/>
        </w:numPr>
        <w:spacing w:before="120" w:after="0" w:line="259" w:lineRule="auto"/>
        <w:ind w:left="714" w:hanging="357"/>
        <w:contextualSpacing w:val="0"/>
        <w:jc w:val="both"/>
        <w:rPr>
          <w:rFonts w:cs="Arial"/>
        </w:rPr>
      </w:pPr>
      <w:r w:rsidRPr="00224ABF">
        <w:rPr>
          <w:rFonts w:cs="Arial"/>
        </w:rPr>
        <w:t>El Consorcio Interventoría Vías Férreas revisó y viabilizó el alcance técnico de los estudios y diseños presentados por los contratistas, ya que son soluciones que garantizan la estabilidad de las obras. La interventoría presentó el 17 de marzo del 2014 concepto al respecto.</w:t>
      </w:r>
    </w:p>
    <w:p w14:paraId="3FB8CB8C" w14:textId="77777777" w:rsidR="00224ABF" w:rsidRPr="00224ABF" w:rsidRDefault="00224ABF" w:rsidP="00224ABF">
      <w:pPr>
        <w:pStyle w:val="Prrafodelista"/>
        <w:numPr>
          <w:ilvl w:val="0"/>
          <w:numId w:val="184"/>
        </w:numPr>
        <w:spacing w:before="120" w:after="0" w:line="259" w:lineRule="auto"/>
        <w:ind w:left="714" w:hanging="357"/>
        <w:contextualSpacing w:val="0"/>
        <w:jc w:val="both"/>
        <w:rPr>
          <w:rFonts w:cs="Arial"/>
        </w:rPr>
      </w:pPr>
      <w:r w:rsidRPr="00224ABF">
        <w:rPr>
          <w:rFonts w:cs="Arial"/>
        </w:rPr>
        <w:lastRenderedPageBreak/>
        <w:t>A la fecha los contratistas y la interventoría han evidenciado nuevos puntos críticos que afectan en la mayoría de los casos las condiciones de transitabilidad del corredor, lo que ha generado colapso en ciertas estructuras, inestabilidad de taludes y hundimientos de banca entre otras. Por esta razón la Vicepresidencia de Gestión Contractual se encuentra gestionando recursos adicionales para atender estas nuevas afectaciones y poder garantizar el objeto inicial del contrato.</w:t>
      </w:r>
    </w:p>
    <w:p w14:paraId="2F6591C0" w14:textId="77777777" w:rsidR="00224ABF" w:rsidRPr="00224ABF" w:rsidRDefault="00224ABF" w:rsidP="00224ABF">
      <w:pPr>
        <w:pStyle w:val="Prrafodelista"/>
        <w:jc w:val="both"/>
        <w:rPr>
          <w:rFonts w:cs="Arial"/>
        </w:rPr>
      </w:pPr>
    </w:p>
    <w:p w14:paraId="66954F0F" w14:textId="77777777" w:rsidR="00224ABF" w:rsidRPr="00224ABF" w:rsidRDefault="00224ABF" w:rsidP="00224ABF">
      <w:pPr>
        <w:pStyle w:val="Prrafodelista"/>
        <w:numPr>
          <w:ilvl w:val="0"/>
          <w:numId w:val="185"/>
        </w:numPr>
        <w:tabs>
          <w:tab w:val="left" w:pos="993"/>
        </w:tabs>
        <w:spacing w:before="20" w:after="0" w:line="240" w:lineRule="auto"/>
        <w:ind w:left="426" w:hanging="426"/>
        <w:jc w:val="both"/>
        <w:rPr>
          <w:rFonts w:cs="Arial"/>
          <w:b/>
          <w:color w:val="404040"/>
        </w:rPr>
      </w:pPr>
      <w:r w:rsidRPr="00224ABF">
        <w:rPr>
          <w:rFonts w:cs="Arial"/>
          <w:b/>
          <w:color w:val="404040"/>
        </w:rPr>
        <w:t>Logros</w:t>
      </w:r>
    </w:p>
    <w:p w14:paraId="0906EA43" w14:textId="77777777" w:rsidR="00224ABF" w:rsidRPr="00224ABF" w:rsidRDefault="00224ABF" w:rsidP="00224ABF">
      <w:pPr>
        <w:pStyle w:val="Prrafodelista"/>
        <w:tabs>
          <w:tab w:val="left" w:pos="993"/>
        </w:tabs>
        <w:spacing w:before="20" w:after="0" w:line="240" w:lineRule="auto"/>
        <w:ind w:left="426"/>
        <w:jc w:val="both"/>
        <w:rPr>
          <w:rFonts w:cs="Arial"/>
          <w:b/>
          <w:color w:val="404040"/>
        </w:rPr>
      </w:pPr>
    </w:p>
    <w:p w14:paraId="6955D0D2" w14:textId="77777777" w:rsidR="00224ABF" w:rsidRPr="00224ABF" w:rsidRDefault="00224ABF" w:rsidP="00224ABF">
      <w:pPr>
        <w:jc w:val="both"/>
        <w:rPr>
          <w:rFonts w:cs="Arial"/>
        </w:rPr>
      </w:pPr>
      <w:r w:rsidRPr="00224ABF">
        <w:rPr>
          <w:rFonts w:cs="Arial"/>
        </w:rPr>
        <w:t>En las mesas de trabajo realizadas, se plantearon diversos escenarios de ejecución de obras para dar solución a la problemática presentada por los mayores costos de las obras según los diseños definitivos entregados por el contratista y aprobados por la firma Interventora; es así, que analizadas las condiciones de costo, alcance y tiempo de ejecución de obras, se aprobó por parte de la VGC, la ejecución del contrato manejando la siguiente estrategia:</w:t>
      </w:r>
    </w:p>
    <w:p w14:paraId="1C39093E" w14:textId="77777777" w:rsidR="00224ABF" w:rsidRPr="00224ABF" w:rsidRDefault="00224ABF" w:rsidP="00224ABF">
      <w:pPr>
        <w:ind w:left="708"/>
        <w:jc w:val="both"/>
        <w:rPr>
          <w:rFonts w:cs="Arial"/>
        </w:rPr>
      </w:pPr>
      <w:r w:rsidRPr="00224ABF">
        <w:rPr>
          <w:rFonts w:cs="Arial"/>
        </w:rPr>
        <w:t>Se iniciará la ejecución de las obras de 33 de los 72 puntos críticos objeto del contrato de obra de acuerdo con los diseños definitivos presentados por el Contratista, adicionalmente se ejecutarán cuatro nuevos puntos identificados con el fin de garantizar la conectividad entre Belencito y el municipio de Samacá, lo que permitirá la reactivación de 122 kilómetros de vía férrea.</w:t>
      </w:r>
    </w:p>
    <w:p w14:paraId="53245A27" w14:textId="77777777" w:rsidR="00224ABF" w:rsidRPr="00224ABF" w:rsidRDefault="00224ABF" w:rsidP="00224ABF">
      <w:pPr>
        <w:ind w:left="708"/>
        <w:jc w:val="both"/>
        <w:rPr>
          <w:rFonts w:cs="Arial"/>
        </w:rPr>
      </w:pPr>
      <w:r w:rsidRPr="00224ABF">
        <w:rPr>
          <w:rFonts w:cs="Arial"/>
        </w:rPr>
        <w:t>Finalmente, y teniendo en cuenta la estrategia desarrollada por la agencia se está gestionando la consecución de recursos con el fin de garantizar el cumplimiento contractual y dar transitabilidad origen – destino en el corredor férreo Bogotá – Belencito.</w:t>
      </w:r>
    </w:p>
    <w:p w14:paraId="7AC1F816" w14:textId="01C62409" w:rsidR="00224ABF" w:rsidRPr="00504ACC" w:rsidRDefault="00224ABF" w:rsidP="00504ACC">
      <w:pPr>
        <w:rPr>
          <w:b/>
        </w:rPr>
      </w:pPr>
      <w:r w:rsidRPr="00504ACC">
        <w:rPr>
          <w:b/>
        </w:rPr>
        <w:t xml:space="preserve"> 2.2 CORREDOR FERREO DORADA CHIRIGUANÁ – CONTRATO 418 DE OCTUBRE DE 2013.</w:t>
      </w:r>
    </w:p>
    <w:p w14:paraId="7E575940" w14:textId="77777777" w:rsidR="00224ABF" w:rsidRPr="00504ACC" w:rsidRDefault="00224ABF" w:rsidP="00504ACC">
      <w:pPr>
        <w:rPr>
          <w:b/>
        </w:rPr>
      </w:pPr>
      <w:r w:rsidRPr="00504ACC">
        <w:rPr>
          <w:b/>
        </w:rPr>
        <w:t xml:space="preserve">Estado actual del proyecto </w:t>
      </w:r>
    </w:p>
    <w:p w14:paraId="64939E0A" w14:textId="77777777" w:rsidR="00224ABF" w:rsidRPr="00224ABF" w:rsidRDefault="00224ABF" w:rsidP="00224ABF">
      <w:pPr>
        <w:tabs>
          <w:tab w:val="left" w:pos="709"/>
        </w:tabs>
        <w:spacing w:before="120"/>
        <w:jc w:val="both"/>
        <w:rPr>
          <w:rFonts w:cs="Arial"/>
        </w:rPr>
      </w:pPr>
      <w:r w:rsidRPr="00224ABF">
        <w:rPr>
          <w:rFonts w:cs="Arial"/>
          <w:u w:val="single"/>
        </w:rPr>
        <w:t>Estudios y Diseños</w:t>
      </w:r>
      <w:r w:rsidRPr="00224ABF">
        <w:rPr>
          <w:rFonts w:cs="Arial"/>
        </w:rPr>
        <w:t xml:space="preserve">: A la fecha el Contratista </w:t>
      </w:r>
      <w:r w:rsidRPr="00224ABF">
        <w:rPr>
          <w:rFonts w:cs="Arial"/>
          <w:b/>
        </w:rPr>
        <w:t>Unión Temporal Ferroviaria Central</w:t>
      </w:r>
      <w:r w:rsidRPr="00224ABF">
        <w:rPr>
          <w:rFonts w:cs="Arial"/>
        </w:rPr>
        <w:t>, ha presentado la totalidad de los diseños objeto de las obras de los cincuenta (50) puntos críticos a intervenir; se dio verificación y aceptación por parte de la Interventoría a dichos diseño</w:t>
      </w:r>
    </w:p>
    <w:p w14:paraId="0E22CCD0" w14:textId="77777777" w:rsidR="00224ABF" w:rsidRPr="00224ABF" w:rsidRDefault="00224ABF" w:rsidP="00224ABF">
      <w:pPr>
        <w:tabs>
          <w:tab w:val="left" w:pos="709"/>
        </w:tabs>
        <w:spacing w:before="120"/>
        <w:jc w:val="both"/>
        <w:rPr>
          <w:rFonts w:cs="Arial"/>
        </w:rPr>
      </w:pPr>
      <w:r w:rsidRPr="00224ABF">
        <w:rPr>
          <w:rFonts w:cs="Arial"/>
          <w:u w:val="single"/>
        </w:rPr>
        <w:t>Ejecución de obras a la fecha</w:t>
      </w:r>
      <w:r w:rsidRPr="00224ABF">
        <w:rPr>
          <w:rFonts w:cs="Arial"/>
        </w:rPr>
        <w:t>: A la fecha el Contratista ha dado inicio a la intervención de los puntos críticos en los PK 230+600, 235+540, 258+820, 388+200 y 721+750, La fecha de culminación de obras objeto del contrato es el 31 de diciembre de 2014</w:t>
      </w:r>
    </w:p>
    <w:p w14:paraId="6817FF9B" w14:textId="77777777" w:rsidR="00224ABF" w:rsidRPr="00224ABF" w:rsidRDefault="00224ABF" w:rsidP="00224ABF">
      <w:pPr>
        <w:numPr>
          <w:ilvl w:val="0"/>
          <w:numId w:val="186"/>
        </w:numPr>
        <w:tabs>
          <w:tab w:val="left" w:pos="709"/>
        </w:tabs>
        <w:spacing w:before="240" w:after="0" w:line="240" w:lineRule="auto"/>
        <w:ind w:left="714" w:hanging="357"/>
        <w:jc w:val="both"/>
        <w:rPr>
          <w:rFonts w:cs="Arial"/>
        </w:rPr>
      </w:pPr>
      <w:r w:rsidRPr="00224ABF">
        <w:rPr>
          <w:rFonts w:cs="Arial"/>
          <w:u w:val="single"/>
        </w:rPr>
        <w:t>Actividades de Mantenimiento del Corredor</w:t>
      </w:r>
      <w:r w:rsidRPr="00224ABF">
        <w:rPr>
          <w:rFonts w:cs="Arial"/>
        </w:rPr>
        <w:t>: Se ejecutaron las siguientes actividades referidas a mantenimiento y conservación del Corredor:</w:t>
      </w:r>
    </w:p>
    <w:p w14:paraId="7BB5D86A" w14:textId="77777777" w:rsidR="00224ABF" w:rsidRPr="00224ABF" w:rsidRDefault="00224ABF" w:rsidP="00224ABF">
      <w:pPr>
        <w:tabs>
          <w:tab w:val="left" w:pos="709"/>
        </w:tabs>
        <w:ind w:left="714"/>
        <w:jc w:val="both"/>
        <w:rPr>
          <w:rFonts w:cs="Arial"/>
        </w:rPr>
      </w:pPr>
    </w:p>
    <w:p w14:paraId="0A3C450F" w14:textId="77777777" w:rsidR="00224ABF" w:rsidRPr="00224ABF" w:rsidRDefault="00224ABF" w:rsidP="00224ABF">
      <w:pPr>
        <w:numPr>
          <w:ilvl w:val="0"/>
          <w:numId w:val="183"/>
        </w:numPr>
        <w:tabs>
          <w:tab w:val="clear" w:pos="720"/>
        </w:tabs>
        <w:spacing w:after="0" w:line="240" w:lineRule="auto"/>
        <w:ind w:left="1134" w:hanging="425"/>
        <w:jc w:val="both"/>
        <w:rPr>
          <w:rFonts w:cs="Arial"/>
          <w:bCs/>
          <w:lang w:val="es-ES"/>
        </w:rPr>
      </w:pPr>
      <w:r w:rsidRPr="00224ABF">
        <w:rPr>
          <w:rFonts w:cs="Arial"/>
          <w:bCs/>
          <w:lang w:val="es-ES"/>
        </w:rPr>
        <w:t xml:space="preserve">Administración del Corredor – Ejecutada al 100% a la fecha </w:t>
      </w:r>
    </w:p>
    <w:p w14:paraId="45320F50" w14:textId="77777777" w:rsidR="00224ABF" w:rsidRPr="00224ABF" w:rsidRDefault="00224ABF" w:rsidP="00224ABF">
      <w:pPr>
        <w:numPr>
          <w:ilvl w:val="0"/>
          <w:numId w:val="183"/>
        </w:numPr>
        <w:tabs>
          <w:tab w:val="clear" w:pos="720"/>
        </w:tabs>
        <w:spacing w:after="0" w:line="240" w:lineRule="auto"/>
        <w:ind w:left="1134" w:hanging="425"/>
        <w:jc w:val="both"/>
        <w:rPr>
          <w:rFonts w:cs="Arial"/>
          <w:bCs/>
          <w:lang w:val="es-ES"/>
        </w:rPr>
      </w:pPr>
      <w:r w:rsidRPr="00224ABF">
        <w:rPr>
          <w:rFonts w:cs="Arial"/>
          <w:bCs/>
          <w:lang w:val="es-ES"/>
        </w:rPr>
        <w:t>Mantenimiento y Conservación del corredor - Ejecutada al 100% de acuerdo con las actividades programadas por el contratista. (Actividades realizadas: Rocería y deshierbe, riego químico, limpieza de cuentas, limpieza de obras de drenaje, retiro de empalizadas, alineación de vía)</w:t>
      </w:r>
    </w:p>
    <w:p w14:paraId="2C82591D" w14:textId="77777777" w:rsidR="00224ABF" w:rsidRPr="00224ABF" w:rsidRDefault="00224ABF" w:rsidP="00224ABF">
      <w:pPr>
        <w:numPr>
          <w:ilvl w:val="0"/>
          <w:numId w:val="183"/>
        </w:numPr>
        <w:tabs>
          <w:tab w:val="clear" w:pos="720"/>
        </w:tabs>
        <w:spacing w:after="0" w:line="240" w:lineRule="auto"/>
        <w:ind w:left="1134" w:hanging="425"/>
        <w:jc w:val="both"/>
        <w:rPr>
          <w:rFonts w:cs="Arial"/>
          <w:bCs/>
          <w:lang w:val="es-ES"/>
        </w:rPr>
      </w:pPr>
      <w:r w:rsidRPr="00224ABF">
        <w:rPr>
          <w:rFonts w:cs="Arial"/>
          <w:bCs/>
          <w:lang w:val="es-ES"/>
        </w:rPr>
        <w:lastRenderedPageBreak/>
        <w:t>Control de Tráfico - Ejecutada al 100% a la fecha</w:t>
      </w:r>
    </w:p>
    <w:p w14:paraId="1FA17A57" w14:textId="77777777" w:rsidR="00224ABF" w:rsidRPr="00224ABF" w:rsidRDefault="00224ABF" w:rsidP="00224ABF">
      <w:pPr>
        <w:numPr>
          <w:ilvl w:val="0"/>
          <w:numId w:val="183"/>
        </w:numPr>
        <w:tabs>
          <w:tab w:val="clear" w:pos="720"/>
        </w:tabs>
        <w:spacing w:after="0" w:line="240" w:lineRule="auto"/>
        <w:ind w:left="1134" w:hanging="425"/>
        <w:jc w:val="both"/>
        <w:rPr>
          <w:rFonts w:cs="Arial"/>
          <w:bCs/>
          <w:lang w:val="es-ES"/>
        </w:rPr>
      </w:pPr>
      <w:r w:rsidRPr="00224ABF">
        <w:rPr>
          <w:rFonts w:cs="Arial"/>
          <w:bCs/>
          <w:lang w:val="es-ES"/>
        </w:rPr>
        <w:t>Administración, conservación y vigilancia material rodante -  Ejecutada al 100% a la fecha</w:t>
      </w:r>
    </w:p>
    <w:p w14:paraId="10DF160E" w14:textId="77777777" w:rsidR="00224ABF" w:rsidRPr="00224ABF" w:rsidRDefault="00224ABF" w:rsidP="00224ABF">
      <w:pPr>
        <w:numPr>
          <w:ilvl w:val="0"/>
          <w:numId w:val="186"/>
        </w:numPr>
        <w:tabs>
          <w:tab w:val="left" w:pos="709"/>
        </w:tabs>
        <w:spacing w:before="240" w:after="0" w:line="240" w:lineRule="auto"/>
        <w:ind w:left="714" w:hanging="357"/>
        <w:jc w:val="both"/>
        <w:rPr>
          <w:rFonts w:cs="Arial"/>
        </w:rPr>
      </w:pPr>
      <w:r w:rsidRPr="00224ABF">
        <w:rPr>
          <w:rFonts w:cs="Arial"/>
          <w:u w:val="single"/>
        </w:rPr>
        <w:t>Actividades de Mejoramiento del Corredor</w:t>
      </w:r>
      <w:r w:rsidRPr="00224ABF">
        <w:rPr>
          <w:rFonts w:cs="Arial"/>
        </w:rPr>
        <w:t>: No se ha dado inicio a estas actividades.</w:t>
      </w:r>
    </w:p>
    <w:p w14:paraId="595DBE46" w14:textId="77777777" w:rsidR="00224ABF" w:rsidRPr="00224ABF" w:rsidRDefault="00224ABF" w:rsidP="00224ABF">
      <w:pPr>
        <w:numPr>
          <w:ilvl w:val="0"/>
          <w:numId w:val="186"/>
        </w:numPr>
        <w:tabs>
          <w:tab w:val="left" w:pos="709"/>
        </w:tabs>
        <w:spacing w:before="240" w:after="0" w:line="240" w:lineRule="auto"/>
        <w:ind w:left="714" w:hanging="357"/>
        <w:jc w:val="both"/>
        <w:rPr>
          <w:rFonts w:cs="Arial"/>
        </w:rPr>
      </w:pPr>
      <w:r w:rsidRPr="00224ABF">
        <w:rPr>
          <w:rFonts w:cs="Arial"/>
          <w:u w:val="single"/>
        </w:rPr>
        <w:t>Avances</w:t>
      </w:r>
      <w:r w:rsidRPr="00224ABF">
        <w:rPr>
          <w:rFonts w:cs="Arial"/>
        </w:rPr>
        <w:t xml:space="preserve">: </w:t>
      </w:r>
      <w:r w:rsidRPr="00224ABF">
        <w:rPr>
          <w:rFonts w:cs="Arial"/>
        </w:rPr>
        <w:tab/>
        <w:t xml:space="preserve">Ejecución Financiera: </w:t>
      </w:r>
      <w:r w:rsidRPr="00224ABF">
        <w:rPr>
          <w:rFonts w:cs="Arial"/>
        </w:rPr>
        <w:tab/>
        <w:t>Se ha ejecutado aproximadamente el 5 %</w:t>
      </w:r>
    </w:p>
    <w:p w14:paraId="7C595D31" w14:textId="77777777" w:rsidR="00224ABF" w:rsidRPr="00224ABF" w:rsidRDefault="00224ABF" w:rsidP="00224ABF">
      <w:pPr>
        <w:tabs>
          <w:tab w:val="left" w:pos="709"/>
        </w:tabs>
        <w:spacing w:before="20"/>
        <w:ind w:left="360"/>
        <w:jc w:val="both"/>
        <w:rPr>
          <w:rFonts w:cs="Arial"/>
        </w:rPr>
      </w:pPr>
      <w:r w:rsidRPr="00224ABF">
        <w:rPr>
          <w:rFonts w:cs="Arial"/>
        </w:rPr>
        <w:tab/>
      </w:r>
      <w:r w:rsidRPr="00224ABF">
        <w:rPr>
          <w:rFonts w:cs="Arial"/>
        </w:rPr>
        <w:tab/>
      </w:r>
      <w:r w:rsidRPr="00224ABF">
        <w:rPr>
          <w:rFonts w:cs="Arial"/>
        </w:rPr>
        <w:tab/>
        <w:t>Ejecución Tiempo:</w:t>
      </w:r>
      <w:r w:rsidRPr="00224ABF">
        <w:rPr>
          <w:rFonts w:cs="Arial"/>
        </w:rPr>
        <w:tab/>
        <w:t>El avance va en 21%</w:t>
      </w:r>
    </w:p>
    <w:p w14:paraId="0B5911DF" w14:textId="77777777" w:rsidR="00224ABF" w:rsidRPr="00224ABF" w:rsidRDefault="00224ABF" w:rsidP="00224ABF">
      <w:pPr>
        <w:tabs>
          <w:tab w:val="left" w:pos="709"/>
        </w:tabs>
        <w:spacing w:before="20"/>
        <w:ind w:left="360"/>
        <w:jc w:val="both"/>
        <w:rPr>
          <w:rFonts w:cs="Arial"/>
        </w:rPr>
      </w:pPr>
      <w:r w:rsidRPr="00224ABF">
        <w:rPr>
          <w:rFonts w:cs="Arial"/>
        </w:rPr>
        <w:tab/>
      </w:r>
      <w:r w:rsidRPr="00224ABF">
        <w:rPr>
          <w:rFonts w:cs="Arial"/>
        </w:rPr>
        <w:tab/>
      </w:r>
      <w:r w:rsidRPr="00224ABF">
        <w:rPr>
          <w:rFonts w:cs="Arial"/>
        </w:rPr>
        <w:tab/>
        <w:t>Ejecución Obra:</w:t>
      </w:r>
      <w:r w:rsidRPr="00224ABF">
        <w:rPr>
          <w:rFonts w:cs="Arial"/>
        </w:rPr>
        <w:tab/>
      </w:r>
      <w:r w:rsidRPr="00224ABF">
        <w:rPr>
          <w:rFonts w:cs="Arial"/>
        </w:rPr>
        <w:tab/>
        <w:t>Se ha iniciado obra, avance el 11%</w:t>
      </w:r>
    </w:p>
    <w:p w14:paraId="2D5F859E" w14:textId="77777777" w:rsidR="00224ABF" w:rsidRPr="00504ACC" w:rsidRDefault="00224ABF" w:rsidP="00504ACC">
      <w:pPr>
        <w:rPr>
          <w:b/>
        </w:rPr>
      </w:pPr>
      <w:r w:rsidRPr="00504ACC">
        <w:rPr>
          <w:b/>
        </w:rPr>
        <w:t>Problemáticas</w:t>
      </w:r>
    </w:p>
    <w:p w14:paraId="4162072E" w14:textId="77777777" w:rsidR="00224ABF" w:rsidRPr="00224ABF" w:rsidRDefault="00224ABF" w:rsidP="00224ABF">
      <w:pPr>
        <w:ind w:left="708"/>
        <w:jc w:val="both"/>
        <w:rPr>
          <w:rFonts w:cs="Arial"/>
        </w:rPr>
      </w:pPr>
      <w:r w:rsidRPr="00224ABF">
        <w:rPr>
          <w:rFonts w:cs="Arial"/>
        </w:rPr>
        <w:t>Con relación a los  diseños y al inicio de obras referidas con la intervención de los puntos críticos se presentaron dificultades de acuerdo con el resultado arrojado por los estudios y diseños definitivos entregados por los contratistas, problemática y gestión que se describen a continuación:</w:t>
      </w:r>
    </w:p>
    <w:p w14:paraId="68BA4B32" w14:textId="77777777" w:rsidR="00224ABF" w:rsidRPr="00224ABF" w:rsidRDefault="00224ABF" w:rsidP="00224ABF">
      <w:pPr>
        <w:numPr>
          <w:ilvl w:val="0"/>
          <w:numId w:val="184"/>
        </w:numPr>
        <w:spacing w:before="120" w:after="0" w:line="240" w:lineRule="auto"/>
        <w:ind w:left="714" w:hanging="357"/>
        <w:jc w:val="both"/>
        <w:rPr>
          <w:rFonts w:cs="Arial"/>
        </w:rPr>
      </w:pPr>
      <w:r w:rsidRPr="00224ABF">
        <w:rPr>
          <w:rFonts w:cs="Arial"/>
        </w:rPr>
        <w:t xml:space="preserve">En la gran mayoría de los estudios y diseños presentados por el contratista el monto supera el valor de los puntos críticos contractualmente definidos en la fichas de prefactibilidad, lo cual generó valores superiores en casi un 22% del valor total del contrato de obra de acuerdo con el presupuesto establecido en la proforma 8, por mayores cantidades de obra y APUs no previstos </w:t>
      </w:r>
    </w:p>
    <w:p w14:paraId="4DE3B50C" w14:textId="77777777" w:rsidR="00224ABF" w:rsidRPr="00224ABF" w:rsidRDefault="00224ABF" w:rsidP="00224ABF">
      <w:pPr>
        <w:numPr>
          <w:ilvl w:val="0"/>
          <w:numId w:val="184"/>
        </w:numPr>
        <w:spacing w:before="120" w:after="0" w:line="240" w:lineRule="auto"/>
        <w:ind w:left="714" w:hanging="357"/>
        <w:jc w:val="both"/>
        <w:rPr>
          <w:rFonts w:cs="Arial"/>
        </w:rPr>
      </w:pPr>
      <w:r w:rsidRPr="00224ABF">
        <w:rPr>
          <w:rFonts w:cs="Arial"/>
        </w:rPr>
        <w:t>El Consorcio Interventoría Vías Férreas revisó y viabilizó el alcance técnico de los estudios y diseños presentados por los contratistas, ya que son soluciones que garantizan la estabilidad de las obras. La interventoría presentó el 17 de marzo del 2014 concepto al respecto.</w:t>
      </w:r>
    </w:p>
    <w:p w14:paraId="33A57F2D" w14:textId="77777777" w:rsidR="00224ABF" w:rsidRPr="00224ABF" w:rsidRDefault="00224ABF" w:rsidP="00224ABF">
      <w:pPr>
        <w:numPr>
          <w:ilvl w:val="0"/>
          <w:numId w:val="184"/>
        </w:numPr>
        <w:spacing w:before="120" w:after="0" w:line="240" w:lineRule="auto"/>
        <w:ind w:left="714" w:hanging="357"/>
        <w:jc w:val="both"/>
        <w:rPr>
          <w:rFonts w:cs="Arial"/>
        </w:rPr>
      </w:pPr>
      <w:r w:rsidRPr="00224ABF">
        <w:rPr>
          <w:rFonts w:cs="Arial"/>
        </w:rPr>
        <w:t>A la fecha los contratistas y la interventoría han evidenciado nuevos puntos críticos (46 para este corredor), que afectan en la mayoría de los casos las condiciones de transitabilidad del corredor, lo que ha generado colapso en ciertas estructuras, inestabilidad de taludes y hundimientos de banca entre otras. Por esta razón la Vicepresidencia de Gestión Contractual se encuentra gestionando recursos adicionales para atender estas nuevas afectaciones y poder garantizar el objeto inicial del contrato.</w:t>
      </w:r>
    </w:p>
    <w:p w14:paraId="37567C44" w14:textId="77777777" w:rsidR="00FA7E62" w:rsidRPr="00FA7E62" w:rsidRDefault="00FA7E62" w:rsidP="00224ABF">
      <w:pPr>
        <w:pStyle w:val="Ttulo1"/>
        <w:numPr>
          <w:ilvl w:val="0"/>
          <w:numId w:val="187"/>
        </w:numPr>
        <w:spacing w:before="240" w:line="240" w:lineRule="auto"/>
        <w:ind w:left="720" w:hanging="360"/>
        <w:jc w:val="both"/>
        <w:rPr>
          <w:rFonts w:asciiTheme="minorHAnsi" w:hAnsiTheme="minorHAnsi" w:cs="Arial"/>
          <w:b w:val="0"/>
          <w:color w:val="auto"/>
          <w:sz w:val="22"/>
          <w:szCs w:val="22"/>
        </w:rPr>
      </w:pPr>
    </w:p>
    <w:p w14:paraId="55F497EE" w14:textId="77777777" w:rsidR="00224ABF" w:rsidRPr="00504ACC" w:rsidRDefault="00224ABF" w:rsidP="00504ACC">
      <w:pPr>
        <w:rPr>
          <w:b/>
        </w:rPr>
      </w:pPr>
      <w:r w:rsidRPr="00504ACC">
        <w:rPr>
          <w:b/>
        </w:rPr>
        <w:t>Logros</w:t>
      </w:r>
    </w:p>
    <w:p w14:paraId="67D32A48" w14:textId="77777777" w:rsidR="00224ABF" w:rsidRPr="00224ABF" w:rsidRDefault="00224ABF" w:rsidP="00224ABF">
      <w:pPr>
        <w:numPr>
          <w:ilvl w:val="0"/>
          <w:numId w:val="184"/>
        </w:numPr>
        <w:spacing w:before="120" w:after="0" w:line="240" w:lineRule="auto"/>
        <w:ind w:left="714" w:hanging="357"/>
        <w:jc w:val="both"/>
        <w:rPr>
          <w:rFonts w:cs="Arial"/>
        </w:rPr>
      </w:pPr>
      <w:r w:rsidRPr="00224ABF">
        <w:rPr>
          <w:rFonts w:cs="Arial"/>
        </w:rPr>
        <w:t>En las mesas de trabajo realizadas por el equipo del proyecto  junto con la Interventoría, se plantearon diversos escenarios de ejecución de obras para dar solución a la problemática presentada por los mayores costos de las obras según los diseños definitivos entregados por el contratista y aprobados por la firma Interventora; analizadas las condiciones de costo, alcance y tiempo de ejecución de obras, se aprobó por parte de la VGC, la ejecución del contrato manejando la siguiente estrategia:</w:t>
      </w:r>
    </w:p>
    <w:p w14:paraId="2B09FF2C" w14:textId="77777777" w:rsidR="00224ABF" w:rsidRPr="00224ABF" w:rsidRDefault="00224ABF" w:rsidP="00224ABF">
      <w:pPr>
        <w:spacing w:after="0" w:line="240" w:lineRule="auto"/>
        <w:jc w:val="both"/>
        <w:rPr>
          <w:rFonts w:cs="Arial"/>
        </w:rPr>
      </w:pPr>
    </w:p>
    <w:p w14:paraId="398F0DDB" w14:textId="77777777" w:rsidR="00224ABF" w:rsidRPr="00224ABF" w:rsidRDefault="00224ABF" w:rsidP="00224ABF">
      <w:pPr>
        <w:spacing w:after="0" w:line="240" w:lineRule="auto"/>
        <w:ind w:left="709" w:hanging="709"/>
        <w:jc w:val="both"/>
        <w:rPr>
          <w:rFonts w:cs="Arial"/>
        </w:rPr>
      </w:pPr>
      <w:r w:rsidRPr="00224ABF">
        <w:rPr>
          <w:rFonts w:cs="Arial"/>
        </w:rPr>
        <w:t xml:space="preserve">               Se ejecuta la totalidad de las obras de 46 de los 50 puntos críticos objeto del contrato de obra de acuerdo con los diseños definitivos presentados por el Contratista, los cuatro puntos restantes se ejecutaran por fases teniendo en cuenta la estrategia desarrollada por la agencia que permite buscar la consecución de recursos con el fin de garantizar el </w:t>
      </w:r>
      <w:r w:rsidRPr="00224ABF">
        <w:rPr>
          <w:rFonts w:cs="Arial"/>
        </w:rPr>
        <w:lastRenderedPageBreak/>
        <w:t>cumplimiento contractual y dar transitabilidad origen – destino en el corredor férreo Dorada-Chiriguaná.</w:t>
      </w:r>
    </w:p>
    <w:p w14:paraId="4013605A" w14:textId="77777777" w:rsidR="00224ABF" w:rsidRPr="00224ABF" w:rsidRDefault="00224ABF" w:rsidP="00224ABF">
      <w:pPr>
        <w:spacing w:after="0" w:line="240" w:lineRule="auto"/>
        <w:ind w:left="1134"/>
        <w:jc w:val="both"/>
        <w:rPr>
          <w:rFonts w:cs="Arial"/>
        </w:rPr>
      </w:pPr>
    </w:p>
    <w:p w14:paraId="196D58DE" w14:textId="77777777" w:rsidR="00224ABF" w:rsidRPr="009A1220" w:rsidRDefault="00224ABF" w:rsidP="009A1220">
      <w:pPr>
        <w:rPr>
          <w:b/>
        </w:rPr>
      </w:pPr>
      <w:r w:rsidRPr="009A1220">
        <w:rPr>
          <w:b/>
        </w:rPr>
        <w:t>3. CONCESIÓN RED FERREA DEL ATLANTICO.</w:t>
      </w:r>
    </w:p>
    <w:p w14:paraId="141D3C65" w14:textId="77777777" w:rsidR="00B1756C" w:rsidRPr="00B1756C" w:rsidRDefault="00B1756C" w:rsidP="00B1756C"/>
    <w:p w14:paraId="12F6F6A5" w14:textId="77777777" w:rsidR="00224ABF" w:rsidRPr="00B1756C" w:rsidRDefault="00224ABF" w:rsidP="00B1756C">
      <w:pPr>
        <w:rPr>
          <w:b/>
        </w:rPr>
      </w:pPr>
      <w:r w:rsidRPr="00B1756C">
        <w:rPr>
          <w:b/>
        </w:rPr>
        <w:t>Estado actual del proyecto</w:t>
      </w:r>
    </w:p>
    <w:p w14:paraId="4ACCB27C" w14:textId="77777777" w:rsidR="00224ABF" w:rsidRPr="00224ABF" w:rsidRDefault="00224ABF" w:rsidP="00224ABF">
      <w:pPr>
        <w:pStyle w:val="Prrafodelista"/>
        <w:numPr>
          <w:ilvl w:val="0"/>
          <w:numId w:val="188"/>
        </w:numPr>
        <w:tabs>
          <w:tab w:val="clear" w:pos="720"/>
          <w:tab w:val="left" w:pos="709"/>
        </w:tabs>
        <w:spacing w:before="120" w:after="160" w:line="259" w:lineRule="auto"/>
        <w:contextualSpacing w:val="0"/>
        <w:jc w:val="both"/>
        <w:rPr>
          <w:rFonts w:cs="Arial"/>
          <w:lang w:val="es-ES_tradnl"/>
        </w:rPr>
      </w:pPr>
      <w:r w:rsidRPr="00224ABF">
        <w:rPr>
          <w:rFonts w:cs="Arial"/>
        </w:rPr>
        <w:t>Mediante resolución No 1064 de octubre de 2013, la ANLA otorgo Licencia Ambiental al Concesionario Fenoco S.A. para la construcción de la segunda línea paralela en los sectores de Loma Colorada PK 789+500 - PK 792+500 (3,0 Km), Algarrobo PK 831+500 - PK 832+289 (0,789 Km) y Lleras PK 845+032 - PK 847+500 (2,468 Km), lo cual permitirá avanzar en un 13,71% del total de la segunda línea por construir en los centros poblados del Sector 2; estas obras están proyectadas para iniciar en la tercera semana del mes de mayo de 2014, en una longitud total de 6,236 Km (finalización Enero de 2015).</w:t>
      </w:r>
    </w:p>
    <w:p w14:paraId="29E82DDE" w14:textId="77777777" w:rsidR="00224ABF" w:rsidRPr="00224ABF" w:rsidRDefault="00224ABF" w:rsidP="00224ABF">
      <w:pPr>
        <w:pStyle w:val="Prrafodelista"/>
        <w:numPr>
          <w:ilvl w:val="0"/>
          <w:numId w:val="188"/>
        </w:numPr>
        <w:tabs>
          <w:tab w:val="clear" w:pos="720"/>
          <w:tab w:val="left" w:pos="709"/>
        </w:tabs>
        <w:spacing w:before="120" w:after="0" w:line="240" w:lineRule="auto"/>
        <w:ind w:left="714" w:hanging="357"/>
        <w:contextualSpacing w:val="0"/>
        <w:jc w:val="both"/>
        <w:rPr>
          <w:rFonts w:cs="Arial"/>
          <w:lang w:val="es-ES_tradnl"/>
        </w:rPr>
      </w:pPr>
      <w:r w:rsidRPr="00224ABF">
        <w:rPr>
          <w:rFonts w:cs="Arial"/>
        </w:rPr>
        <w:t>Fenoco se encuentra desarrollando los EIA´s para la construcción de la segunda línea paralela en los corregimientos de Guamachito (6.9 Km) y Varela – Río Frio (6.7 Km) para un total de 13.6 Km equivalentes a un 34,98% aproximadamente, para gestionar y obtener Licencias Ambientales ante el ANLA en estos corregimientos.</w:t>
      </w:r>
    </w:p>
    <w:p w14:paraId="4B3469ED" w14:textId="77777777" w:rsidR="00224ABF" w:rsidRPr="00224ABF" w:rsidRDefault="00224ABF" w:rsidP="00224ABF">
      <w:pPr>
        <w:pStyle w:val="Prrafodelista"/>
        <w:numPr>
          <w:ilvl w:val="0"/>
          <w:numId w:val="188"/>
        </w:numPr>
        <w:tabs>
          <w:tab w:val="clear" w:pos="720"/>
          <w:tab w:val="left" w:pos="709"/>
        </w:tabs>
        <w:spacing w:before="120" w:after="0" w:line="240" w:lineRule="auto"/>
        <w:ind w:left="714" w:hanging="357"/>
        <w:contextualSpacing w:val="0"/>
        <w:jc w:val="both"/>
        <w:rPr>
          <w:rFonts w:cs="Arial"/>
          <w:lang w:val="es-ES_tradnl"/>
        </w:rPr>
      </w:pPr>
      <w:r w:rsidRPr="00224ABF">
        <w:rPr>
          <w:rFonts w:cs="Arial"/>
        </w:rPr>
        <w:t>Se radicó desistimiento a la alternativa de variante en Bosconia por parte de Fenoco para avanzar con la alternativa de la vía paralela. Se está a la espera de la respuesta por parte del ANLA.</w:t>
      </w:r>
    </w:p>
    <w:p w14:paraId="34D07F7E" w14:textId="77777777" w:rsidR="00224ABF" w:rsidRPr="00224ABF" w:rsidRDefault="00224ABF" w:rsidP="00224ABF">
      <w:pPr>
        <w:pStyle w:val="Prrafodelista"/>
        <w:numPr>
          <w:ilvl w:val="0"/>
          <w:numId w:val="188"/>
        </w:numPr>
        <w:tabs>
          <w:tab w:val="clear" w:pos="720"/>
          <w:tab w:val="left" w:pos="709"/>
        </w:tabs>
        <w:spacing w:before="120" w:after="0" w:line="240" w:lineRule="auto"/>
        <w:ind w:left="714" w:hanging="357"/>
        <w:contextualSpacing w:val="0"/>
        <w:jc w:val="both"/>
        <w:rPr>
          <w:rFonts w:cs="Arial"/>
          <w:lang w:val="es-ES_tradnl"/>
        </w:rPr>
      </w:pPr>
      <w:r w:rsidRPr="00224ABF">
        <w:rPr>
          <w:rFonts w:cs="Arial"/>
        </w:rPr>
        <w:t xml:space="preserve">Se radicó oficio solicitando al ANLA la entrega de términos de referencia para la elaboración del EIA de la construcción de la segunda línea paralela en el municipio de Fundación y parte del sector rural del municipio de Aracataca. Se espera recibir respuesta positiva a esta solicitud antes de que finalice el mes de mayo. </w:t>
      </w:r>
    </w:p>
    <w:p w14:paraId="3DB7C8CF" w14:textId="77777777" w:rsidR="00224ABF" w:rsidRPr="00224ABF" w:rsidRDefault="00224ABF" w:rsidP="00224ABF">
      <w:pPr>
        <w:pStyle w:val="Prrafodelista"/>
        <w:numPr>
          <w:ilvl w:val="0"/>
          <w:numId w:val="188"/>
        </w:numPr>
        <w:tabs>
          <w:tab w:val="clear" w:pos="720"/>
          <w:tab w:val="left" w:pos="709"/>
        </w:tabs>
        <w:spacing w:before="120" w:after="0" w:line="240" w:lineRule="auto"/>
        <w:ind w:left="714" w:hanging="357"/>
        <w:contextualSpacing w:val="0"/>
        <w:jc w:val="both"/>
        <w:rPr>
          <w:rFonts w:cs="Arial"/>
          <w:lang w:val="es-ES_tradnl"/>
        </w:rPr>
      </w:pPr>
      <w:r w:rsidRPr="00224ABF">
        <w:rPr>
          <w:rFonts w:cs="Arial"/>
        </w:rPr>
        <w:t>Se gestiona y revisa propuesta de tren turístico de pasajeros que permita a su vez dar vía libre a la construcción de la línea paralela en Aracataca</w:t>
      </w:r>
    </w:p>
    <w:p w14:paraId="4E9F8457" w14:textId="691AB08B" w:rsidR="00224ABF" w:rsidRPr="00224ABF" w:rsidRDefault="00224ABF" w:rsidP="00224ABF">
      <w:pPr>
        <w:pStyle w:val="Prrafodelista"/>
        <w:numPr>
          <w:ilvl w:val="0"/>
          <w:numId w:val="188"/>
        </w:numPr>
        <w:tabs>
          <w:tab w:val="clear" w:pos="720"/>
          <w:tab w:val="left" w:pos="709"/>
        </w:tabs>
        <w:spacing w:before="120" w:after="0" w:line="240" w:lineRule="auto"/>
        <w:ind w:left="714" w:hanging="357"/>
        <w:contextualSpacing w:val="0"/>
        <w:jc w:val="both"/>
        <w:rPr>
          <w:rFonts w:cs="Arial"/>
          <w:lang w:val="es-ES_tradnl"/>
        </w:rPr>
      </w:pPr>
      <w:r w:rsidRPr="00224ABF">
        <w:rPr>
          <w:rFonts w:cs="Arial"/>
        </w:rPr>
        <w:t>Se adelantan gestiones ante el Ministerio del Interior para obtener las certificaciones de presencia o no de comunidades Afrode</w:t>
      </w:r>
      <w:r w:rsidR="008F32A0">
        <w:rPr>
          <w:rFonts w:cs="Arial"/>
        </w:rPr>
        <w:t>s</w:t>
      </w:r>
      <w:r w:rsidRPr="00224ABF">
        <w:rPr>
          <w:rFonts w:cs="Arial"/>
        </w:rPr>
        <w:t>cendientes, Indígenas o Raizales en los corregimientos de Tucurinca, Guacamayal, Sevilla y Orihueca, para tramitar solicitudes ante el ANLA para el desarrollo de EIA´s de construcción de vía paralela en dichos municipios y obtener las Licencias Ambientales respectivas. Se espera la entrega de las certificaciones antes de terminar el mes de mayo.</w:t>
      </w:r>
    </w:p>
    <w:p w14:paraId="58A4E0F6" w14:textId="77777777" w:rsidR="00224ABF" w:rsidRPr="00224ABF" w:rsidRDefault="00224ABF" w:rsidP="00224ABF">
      <w:pPr>
        <w:pStyle w:val="Prrafodelista"/>
        <w:numPr>
          <w:ilvl w:val="0"/>
          <w:numId w:val="188"/>
        </w:numPr>
        <w:tabs>
          <w:tab w:val="clear" w:pos="720"/>
          <w:tab w:val="left" w:pos="709"/>
        </w:tabs>
        <w:spacing w:before="120" w:after="160" w:line="259" w:lineRule="auto"/>
        <w:contextualSpacing w:val="0"/>
        <w:jc w:val="both"/>
        <w:rPr>
          <w:rFonts w:cs="Arial"/>
          <w:lang w:val="es-ES_tradnl"/>
        </w:rPr>
      </w:pPr>
      <w:r w:rsidRPr="00224ABF">
        <w:rPr>
          <w:rFonts w:cs="Arial"/>
        </w:rPr>
        <w:t>Se adelanta la implementación del Plan de Reasentamientos Poblacional en las comunidades de Loma Colorada y Algarrobo, el cual inicio el 3 de marzo de 2014</w:t>
      </w:r>
    </w:p>
    <w:p w14:paraId="485711A9" w14:textId="77777777" w:rsidR="00224ABF" w:rsidRPr="00224ABF" w:rsidRDefault="00224ABF" w:rsidP="00224ABF">
      <w:pPr>
        <w:pStyle w:val="Prrafodelista"/>
        <w:numPr>
          <w:ilvl w:val="0"/>
          <w:numId w:val="188"/>
        </w:numPr>
        <w:tabs>
          <w:tab w:val="clear" w:pos="720"/>
          <w:tab w:val="left" w:pos="709"/>
        </w:tabs>
        <w:spacing w:before="120" w:after="160" w:line="259" w:lineRule="auto"/>
        <w:contextualSpacing w:val="0"/>
        <w:jc w:val="both"/>
        <w:rPr>
          <w:rFonts w:cs="Arial"/>
          <w:lang w:val="es-ES_tradnl"/>
        </w:rPr>
      </w:pPr>
      <w:r w:rsidRPr="00224ABF">
        <w:rPr>
          <w:rFonts w:cs="Arial"/>
        </w:rPr>
        <w:t>Se adelanta la Formulación del Plan de Reasentamientos Poblacional en las comunidades de Guamachito, Varela y Riofrio, el cual inicio el 3 de marzo de 2014.</w:t>
      </w:r>
    </w:p>
    <w:p w14:paraId="4F4D677F" w14:textId="77777777" w:rsidR="00224ABF" w:rsidRPr="00224ABF" w:rsidRDefault="00224ABF" w:rsidP="00224ABF">
      <w:pPr>
        <w:pStyle w:val="Prrafodelista"/>
        <w:numPr>
          <w:ilvl w:val="0"/>
          <w:numId w:val="188"/>
        </w:numPr>
        <w:tabs>
          <w:tab w:val="clear" w:pos="720"/>
          <w:tab w:val="left" w:pos="709"/>
        </w:tabs>
        <w:spacing w:before="120" w:after="160" w:line="259" w:lineRule="auto"/>
        <w:contextualSpacing w:val="0"/>
        <w:jc w:val="both"/>
        <w:rPr>
          <w:rFonts w:cs="Arial"/>
          <w:lang w:val="es-ES_tradnl"/>
        </w:rPr>
      </w:pPr>
      <w:r w:rsidRPr="00224ABF">
        <w:rPr>
          <w:rFonts w:cs="Arial"/>
        </w:rPr>
        <w:t>Se adelanta el proceso de liquidación de los tramos desafectados entregados por Fenoco el pasado 31 de octubre de 2013, hoy en cabeza de la ANI a través de los contratos de obra pública del mes de sep./2013 (Dor – Chi) – (Bog. – Bel)</w:t>
      </w:r>
    </w:p>
    <w:p w14:paraId="67884A93" w14:textId="77777777" w:rsidR="00224ABF" w:rsidRPr="00224ABF" w:rsidRDefault="00224ABF" w:rsidP="00224ABF">
      <w:pPr>
        <w:pStyle w:val="Prrafodelista"/>
        <w:numPr>
          <w:ilvl w:val="0"/>
          <w:numId w:val="188"/>
        </w:numPr>
        <w:tabs>
          <w:tab w:val="clear" w:pos="720"/>
          <w:tab w:val="left" w:pos="709"/>
        </w:tabs>
        <w:spacing w:before="120" w:after="160" w:line="259" w:lineRule="auto"/>
        <w:contextualSpacing w:val="0"/>
        <w:jc w:val="both"/>
        <w:rPr>
          <w:rFonts w:cs="Arial"/>
          <w:lang w:val="es-ES_tradnl"/>
        </w:rPr>
      </w:pPr>
      <w:r w:rsidRPr="00224ABF">
        <w:rPr>
          <w:rFonts w:cs="Arial"/>
        </w:rPr>
        <w:lastRenderedPageBreak/>
        <w:t>Se adelanta la ejecución del Sistema de Control de Tráfico de Trenes ITCS propuesto por Fenoco de acuerdo con los compromisos establecidos en el acuerdo conciliatorio</w:t>
      </w:r>
    </w:p>
    <w:p w14:paraId="72A1E8A1" w14:textId="77777777" w:rsidR="00224ABF" w:rsidRPr="00B1756C" w:rsidRDefault="00224ABF" w:rsidP="00B1756C">
      <w:pPr>
        <w:rPr>
          <w:b/>
        </w:rPr>
      </w:pPr>
      <w:r w:rsidRPr="00B1756C">
        <w:rPr>
          <w:b/>
        </w:rPr>
        <w:t>Problemáticas</w:t>
      </w:r>
    </w:p>
    <w:p w14:paraId="486652A9" w14:textId="77777777" w:rsidR="00224ABF" w:rsidRPr="00224ABF" w:rsidRDefault="00224ABF" w:rsidP="00224ABF">
      <w:pPr>
        <w:pStyle w:val="Prrafodelista"/>
        <w:tabs>
          <w:tab w:val="left" w:pos="709"/>
        </w:tabs>
        <w:spacing w:before="120"/>
        <w:contextualSpacing w:val="0"/>
        <w:jc w:val="both"/>
        <w:rPr>
          <w:rFonts w:cs="Arial"/>
        </w:rPr>
      </w:pPr>
      <w:r w:rsidRPr="00224ABF">
        <w:rPr>
          <w:rFonts w:cs="Arial"/>
        </w:rPr>
        <w:t xml:space="preserve">Hasta la fecha el inconveniente que presenta el desarrollo del proyecto de construcción de la segunda línea paralela a la actual se presenta en los centro poblados de Bosconia (2.4 Km) por construir y Aracataca (9.13 Km) por construir. En estos dos municipios hay  oposición  a la construcción de la vía, en el primero se han identificado intereses de tipo político y en el segundo debido a que la vía férrea cruza por el centro de dicho municipio, sin embargo Fenoco S.A., se encuentra realizando las labores de acercamiento, diálogo y trabajo social con el fin de tratar de cambiar el sentir de estas comunidades hacia la operación y desarrollo de la vía férrea.  </w:t>
      </w:r>
    </w:p>
    <w:p w14:paraId="187E0612" w14:textId="77777777" w:rsidR="00224ABF" w:rsidRPr="00B1756C" w:rsidRDefault="00224ABF" w:rsidP="00B1756C">
      <w:pPr>
        <w:rPr>
          <w:b/>
        </w:rPr>
      </w:pPr>
      <w:r w:rsidRPr="00B1756C">
        <w:rPr>
          <w:b/>
        </w:rPr>
        <w:t>Logros</w:t>
      </w:r>
    </w:p>
    <w:p w14:paraId="35BBB0DD" w14:textId="77777777" w:rsidR="00224ABF" w:rsidRPr="00224ABF" w:rsidRDefault="00224ABF" w:rsidP="00224ABF">
      <w:pPr>
        <w:pStyle w:val="Prrafodelista"/>
        <w:numPr>
          <w:ilvl w:val="0"/>
          <w:numId w:val="189"/>
        </w:numPr>
        <w:tabs>
          <w:tab w:val="left" w:pos="709"/>
        </w:tabs>
        <w:spacing w:before="120" w:after="160" w:line="259" w:lineRule="auto"/>
        <w:contextualSpacing w:val="0"/>
        <w:jc w:val="both"/>
        <w:rPr>
          <w:rFonts w:cs="Arial"/>
        </w:rPr>
      </w:pPr>
      <w:r w:rsidRPr="00224ABF">
        <w:rPr>
          <w:rFonts w:cs="Arial"/>
        </w:rPr>
        <w:t>Se radico oficio ante el ANLA solicitando el desistimiento parcial del Auto 2952 de 2007 y 694 de 2008, en los cuales se impone y se ratifica la obligación de construir una variante en el municipio de Bosconia – Cesar. Se está a la espera de la respuesta positiva del ANLA a esta solicitud y a la entrega de los términos de referencia para desarrollar el EIA  de la construcción de la vía paralela en dicho municipio.</w:t>
      </w:r>
    </w:p>
    <w:p w14:paraId="7C7CDD55" w14:textId="77777777" w:rsidR="00224ABF" w:rsidRPr="00224ABF" w:rsidRDefault="00224ABF" w:rsidP="00224ABF">
      <w:pPr>
        <w:pStyle w:val="Prrafodelista"/>
        <w:numPr>
          <w:ilvl w:val="0"/>
          <w:numId w:val="189"/>
        </w:numPr>
        <w:tabs>
          <w:tab w:val="left" w:pos="709"/>
        </w:tabs>
        <w:spacing w:before="120" w:after="160" w:line="259" w:lineRule="auto"/>
        <w:contextualSpacing w:val="0"/>
        <w:jc w:val="both"/>
        <w:rPr>
          <w:rFonts w:cs="Arial"/>
        </w:rPr>
      </w:pPr>
      <w:r w:rsidRPr="00224ABF">
        <w:rPr>
          <w:rFonts w:cs="Arial"/>
        </w:rPr>
        <w:t>Se radicó oficio solicitando al ANLA la entrega de términos de referencia para la elaboración del EIA de la construcción de la segunda línea paralela en el municipio de Fundación y parte del sector rural del municipio de Aracataca.</w:t>
      </w:r>
    </w:p>
    <w:p w14:paraId="5D43F7EB" w14:textId="77777777" w:rsidR="00224ABF" w:rsidRPr="00224ABF" w:rsidRDefault="00224ABF" w:rsidP="00224ABF">
      <w:pPr>
        <w:jc w:val="both"/>
        <w:rPr>
          <w:rFonts w:cs="Arial"/>
        </w:rPr>
      </w:pPr>
      <w:r w:rsidRPr="00224ABF">
        <w:rPr>
          <w:rFonts w:cs="Arial"/>
        </w:rPr>
        <w:t>Se está a la espera por parte del concesionario de las certificaciones de presencia o no de comunidades Afrodecendientes, Indígenas o Raizales en los corregimientos de Tucurinca, Guacamayal, Sevilla y Orihueca, por parte del Ministerio del Interior y de Justicia, para trámitar solicitudes ante el ANLA para el desarrollo de EIA´s de construcción de vía paralela en dichos municipios y obtener las respectivas Licencias Ambientales.</w:t>
      </w:r>
    </w:p>
    <w:p w14:paraId="138ADDE5" w14:textId="77777777" w:rsidR="00224ABF" w:rsidRPr="00224ABF" w:rsidRDefault="00224ABF" w:rsidP="00224ABF">
      <w:pPr>
        <w:spacing w:after="0" w:line="240" w:lineRule="auto"/>
        <w:rPr>
          <w:rFonts w:eastAsiaTheme="minorHAnsi"/>
        </w:rPr>
      </w:pPr>
    </w:p>
    <w:p w14:paraId="516F66C4" w14:textId="77777777" w:rsidR="00224ABF" w:rsidRPr="00224ABF" w:rsidRDefault="00224ABF" w:rsidP="00224ABF">
      <w:pPr>
        <w:spacing w:after="0" w:line="240" w:lineRule="auto"/>
        <w:rPr>
          <w:rFonts w:eastAsiaTheme="minorHAnsi"/>
        </w:rPr>
      </w:pPr>
      <w:r w:rsidRPr="00224ABF">
        <w:rPr>
          <w:rFonts w:eastAsiaTheme="minorHAnsi"/>
        </w:rPr>
        <w:t>Carga movilizada del modo férreo discriminada por Concesiones, para el primer Trimestre del 2014:</w:t>
      </w:r>
    </w:p>
    <w:p w14:paraId="39C65F78" w14:textId="77777777" w:rsidR="00224ABF" w:rsidRPr="00224ABF" w:rsidRDefault="00224ABF" w:rsidP="00224ABF">
      <w:pPr>
        <w:spacing w:after="0" w:line="240" w:lineRule="auto"/>
        <w:rPr>
          <w:rFonts w:eastAsiaTheme="minorHAnsi"/>
        </w:rPr>
      </w:pPr>
    </w:p>
    <w:tbl>
      <w:tblPr>
        <w:tblW w:w="8160" w:type="dxa"/>
        <w:tblInd w:w="-8" w:type="dxa"/>
        <w:tblCellMar>
          <w:left w:w="0" w:type="dxa"/>
          <w:right w:w="0" w:type="dxa"/>
        </w:tblCellMar>
        <w:tblLook w:val="04A0" w:firstRow="1" w:lastRow="0" w:firstColumn="1" w:lastColumn="0" w:noHBand="0" w:noVBand="1"/>
      </w:tblPr>
      <w:tblGrid>
        <w:gridCol w:w="2480"/>
        <w:gridCol w:w="3489"/>
        <w:gridCol w:w="2460"/>
      </w:tblGrid>
      <w:tr w:rsidR="00224ABF" w:rsidRPr="00224ABF" w14:paraId="717BFDF8" w14:textId="77777777" w:rsidTr="0054297D">
        <w:trPr>
          <w:trHeight w:val="600"/>
        </w:trPr>
        <w:tc>
          <w:tcPr>
            <w:tcW w:w="248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A495883" w14:textId="77777777" w:rsidR="00224ABF" w:rsidRPr="00224ABF" w:rsidRDefault="00224ABF" w:rsidP="0054297D">
            <w:pPr>
              <w:spacing w:after="0" w:line="240" w:lineRule="auto"/>
              <w:jc w:val="center"/>
              <w:rPr>
                <w:rFonts w:eastAsiaTheme="minorHAnsi"/>
                <w:b/>
                <w:bCs/>
                <w:color w:val="000000"/>
                <w:lang w:val="es-MX"/>
              </w:rPr>
            </w:pPr>
            <w:r w:rsidRPr="00224ABF">
              <w:rPr>
                <w:rFonts w:eastAsiaTheme="minorHAnsi"/>
                <w:b/>
                <w:bCs/>
                <w:color w:val="000000"/>
                <w:lang w:val="es-MX"/>
              </w:rPr>
              <w:t>Concesión</w:t>
            </w:r>
          </w:p>
        </w:tc>
        <w:tc>
          <w:tcPr>
            <w:tcW w:w="322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AD54BDE" w14:textId="77777777" w:rsidR="00224ABF" w:rsidRPr="00224ABF" w:rsidRDefault="00224ABF" w:rsidP="0054297D">
            <w:pPr>
              <w:spacing w:after="0" w:line="240" w:lineRule="auto"/>
              <w:jc w:val="center"/>
              <w:rPr>
                <w:rFonts w:eastAsiaTheme="minorHAnsi"/>
                <w:b/>
                <w:bCs/>
                <w:color w:val="000000"/>
                <w:lang w:val="es-MX"/>
              </w:rPr>
            </w:pPr>
            <w:r w:rsidRPr="00224ABF">
              <w:rPr>
                <w:rFonts w:eastAsiaTheme="minorHAnsi"/>
                <w:b/>
                <w:bCs/>
                <w:color w:val="000000"/>
                <w:lang w:val="es-MX"/>
              </w:rPr>
              <w:t>Carga movilizada  01/01/2014 al 31/03/2014</w:t>
            </w:r>
          </w:p>
        </w:tc>
        <w:tc>
          <w:tcPr>
            <w:tcW w:w="246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3CC58EB" w14:textId="77777777" w:rsidR="00224ABF" w:rsidRPr="00224ABF" w:rsidRDefault="00224ABF" w:rsidP="0054297D">
            <w:pPr>
              <w:spacing w:after="0" w:line="240" w:lineRule="auto"/>
              <w:jc w:val="center"/>
              <w:rPr>
                <w:rFonts w:eastAsiaTheme="minorHAnsi"/>
                <w:b/>
                <w:bCs/>
                <w:color w:val="000000"/>
                <w:lang w:val="es-MX"/>
              </w:rPr>
            </w:pPr>
            <w:r w:rsidRPr="00224ABF">
              <w:rPr>
                <w:rFonts w:eastAsiaTheme="minorHAnsi"/>
                <w:b/>
                <w:bCs/>
                <w:color w:val="000000"/>
                <w:lang w:val="es-MX"/>
              </w:rPr>
              <w:t>Observaciones</w:t>
            </w:r>
          </w:p>
        </w:tc>
      </w:tr>
      <w:tr w:rsidR="00224ABF" w:rsidRPr="00224ABF" w14:paraId="1DCE5C70" w14:textId="77777777" w:rsidTr="0054297D">
        <w:trPr>
          <w:trHeight w:val="300"/>
        </w:trPr>
        <w:tc>
          <w:tcPr>
            <w:tcW w:w="24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CB01B0" w14:textId="77777777" w:rsidR="00224ABF" w:rsidRPr="00224ABF" w:rsidRDefault="00224ABF" w:rsidP="0054297D">
            <w:pPr>
              <w:spacing w:after="0" w:line="240" w:lineRule="auto"/>
              <w:rPr>
                <w:rFonts w:eastAsiaTheme="minorHAnsi"/>
                <w:color w:val="000000"/>
                <w:lang w:val="es-MX"/>
              </w:rPr>
            </w:pPr>
            <w:r w:rsidRPr="00224ABF">
              <w:rPr>
                <w:rFonts w:eastAsiaTheme="minorHAnsi"/>
                <w:color w:val="000000"/>
                <w:lang w:val="es-MX"/>
              </w:rPr>
              <w:t>Red Férrea del Atlántico</w:t>
            </w:r>
          </w:p>
        </w:tc>
        <w:tc>
          <w:tcPr>
            <w:tcW w:w="3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30C9AAC" w14:textId="77777777" w:rsidR="00224ABF" w:rsidRPr="00224ABF" w:rsidRDefault="00224ABF" w:rsidP="0054297D">
            <w:pPr>
              <w:spacing w:after="0" w:line="240" w:lineRule="auto"/>
              <w:rPr>
                <w:rFonts w:eastAsiaTheme="minorHAnsi"/>
                <w:color w:val="000000"/>
                <w:lang w:val="es-MX"/>
              </w:rPr>
            </w:pPr>
            <w:r w:rsidRPr="00224ABF">
              <w:rPr>
                <w:rFonts w:eastAsiaTheme="minorHAnsi"/>
                <w:color w:val="000000"/>
                <w:lang w:val="es-MX"/>
              </w:rPr>
              <w:t>                                                 </w:t>
            </w:r>
            <w:bookmarkStart w:id="81" w:name="OLE_LINK1"/>
            <w:r w:rsidRPr="00224ABF">
              <w:rPr>
                <w:rFonts w:eastAsiaTheme="minorHAnsi"/>
                <w:color w:val="000000"/>
                <w:lang w:val="es-MX"/>
              </w:rPr>
              <w:t xml:space="preserve">6.754.864 </w:t>
            </w:r>
            <w:bookmarkEnd w:id="81"/>
          </w:p>
        </w:tc>
        <w:tc>
          <w:tcPr>
            <w:tcW w:w="24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969B3E" w14:textId="77777777" w:rsidR="00224ABF" w:rsidRPr="00224ABF" w:rsidRDefault="00224ABF" w:rsidP="0054297D">
            <w:pPr>
              <w:spacing w:after="0" w:line="240" w:lineRule="auto"/>
              <w:rPr>
                <w:rFonts w:eastAsiaTheme="minorHAnsi"/>
                <w:color w:val="000000"/>
                <w:lang w:val="es-MX"/>
              </w:rPr>
            </w:pPr>
            <w:r w:rsidRPr="00224ABF">
              <w:rPr>
                <w:rFonts w:eastAsiaTheme="minorHAnsi"/>
                <w:color w:val="000000"/>
                <w:lang w:val="es-MX"/>
              </w:rPr>
              <w:t>Carbón - Expo</w:t>
            </w:r>
          </w:p>
        </w:tc>
      </w:tr>
      <w:tr w:rsidR="00224ABF" w:rsidRPr="00224ABF" w14:paraId="6C2979B5" w14:textId="77777777" w:rsidTr="0054297D">
        <w:trPr>
          <w:trHeight w:val="315"/>
        </w:trPr>
        <w:tc>
          <w:tcPr>
            <w:tcW w:w="24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0BCF009" w14:textId="77777777" w:rsidR="00224ABF" w:rsidRPr="00224ABF" w:rsidRDefault="00224ABF" w:rsidP="0054297D">
            <w:pPr>
              <w:spacing w:after="0" w:line="240" w:lineRule="auto"/>
              <w:rPr>
                <w:rFonts w:eastAsiaTheme="minorHAnsi"/>
                <w:color w:val="000000"/>
                <w:lang w:val="es-MX"/>
              </w:rPr>
            </w:pPr>
            <w:r w:rsidRPr="00224ABF">
              <w:rPr>
                <w:rFonts w:eastAsiaTheme="minorHAnsi"/>
                <w:color w:val="000000"/>
                <w:lang w:val="es-MX"/>
              </w:rPr>
              <w:t>Red Férrea del Pacifico</w:t>
            </w:r>
          </w:p>
        </w:tc>
        <w:tc>
          <w:tcPr>
            <w:tcW w:w="32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51375A" w14:textId="77777777" w:rsidR="00224ABF" w:rsidRPr="00224ABF" w:rsidRDefault="00224ABF" w:rsidP="0054297D">
            <w:pPr>
              <w:spacing w:after="0" w:line="240" w:lineRule="auto"/>
              <w:rPr>
                <w:rFonts w:eastAsiaTheme="minorHAnsi"/>
                <w:color w:val="000000"/>
                <w:lang w:val="es-MX"/>
              </w:rPr>
            </w:pPr>
            <w:r w:rsidRPr="00224ABF">
              <w:rPr>
                <w:rFonts w:eastAsiaTheme="minorHAnsi"/>
                <w:color w:val="000000"/>
                <w:lang w:val="es-MX"/>
              </w:rPr>
              <w:t xml:space="preserve">                                                       31.182 </w:t>
            </w:r>
          </w:p>
        </w:tc>
        <w:tc>
          <w:tcPr>
            <w:tcW w:w="24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C5465F" w14:textId="77777777" w:rsidR="00224ABF" w:rsidRPr="00224ABF" w:rsidRDefault="00224ABF" w:rsidP="0054297D">
            <w:pPr>
              <w:spacing w:after="0" w:line="240" w:lineRule="auto"/>
              <w:rPr>
                <w:rFonts w:eastAsiaTheme="minorHAnsi"/>
                <w:color w:val="000000"/>
                <w:lang w:val="es-MX"/>
              </w:rPr>
            </w:pPr>
            <w:r w:rsidRPr="00224ABF">
              <w:rPr>
                <w:rFonts w:eastAsiaTheme="minorHAnsi"/>
                <w:color w:val="000000"/>
                <w:lang w:val="es-MX"/>
              </w:rPr>
              <w:t>Carga Mixta Impo - Expo</w:t>
            </w:r>
          </w:p>
        </w:tc>
      </w:tr>
      <w:tr w:rsidR="00224ABF" w:rsidRPr="00224ABF" w14:paraId="1D821BC8" w14:textId="77777777" w:rsidTr="0054297D">
        <w:trPr>
          <w:trHeight w:val="315"/>
        </w:trPr>
        <w:tc>
          <w:tcPr>
            <w:tcW w:w="2480" w:type="dxa"/>
            <w:noWrap/>
            <w:tcMar>
              <w:top w:w="0" w:type="dxa"/>
              <w:left w:w="70" w:type="dxa"/>
              <w:bottom w:w="0" w:type="dxa"/>
              <w:right w:w="70" w:type="dxa"/>
            </w:tcMar>
            <w:vAlign w:val="bottom"/>
            <w:hideMark/>
          </w:tcPr>
          <w:p w14:paraId="0E2F14BC" w14:textId="77777777" w:rsidR="00224ABF" w:rsidRPr="00224ABF" w:rsidRDefault="00224ABF" w:rsidP="0054297D">
            <w:pPr>
              <w:spacing w:after="0" w:line="240" w:lineRule="auto"/>
              <w:jc w:val="right"/>
              <w:rPr>
                <w:rFonts w:eastAsiaTheme="minorHAnsi"/>
                <w:color w:val="000000"/>
                <w:lang w:val="es-MX"/>
              </w:rPr>
            </w:pPr>
            <w:r w:rsidRPr="00224ABF">
              <w:rPr>
                <w:rFonts w:eastAsiaTheme="minorHAnsi"/>
                <w:color w:val="000000"/>
                <w:lang w:val="es-MX"/>
              </w:rPr>
              <w:t>Total</w:t>
            </w:r>
          </w:p>
        </w:tc>
        <w:tc>
          <w:tcPr>
            <w:tcW w:w="32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3B2D10" w14:textId="698B8D02" w:rsidR="00224ABF" w:rsidRPr="009A1220" w:rsidRDefault="00224ABF" w:rsidP="009A1220">
            <w:pPr>
              <w:pStyle w:val="Prrafodelista"/>
              <w:numPr>
                <w:ilvl w:val="2"/>
                <w:numId w:val="202"/>
              </w:numPr>
              <w:spacing w:after="0" w:line="240" w:lineRule="auto"/>
              <w:rPr>
                <w:rFonts w:eastAsiaTheme="minorHAnsi"/>
                <w:color w:val="000000"/>
                <w:lang w:val="es-MX"/>
              </w:rPr>
            </w:pPr>
          </w:p>
        </w:tc>
        <w:tc>
          <w:tcPr>
            <w:tcW w:w="2460" w:type="dxa"/>
            <w:noWrap/>
            <w:tcMar>
              <w:top w:w="0" w:type="dxa"/>
              <w:left w:w="70" w:type="dxa"/>
              <w:bottom w:w="0" w:type="dxa"/>
              <w:right w:w="70" w:type="dxa"/>
            </w:tcMar>
            <w:vAlign w:val="bottom"/>
            <w:hideMark/>
          </w:tcPr>
          <w:p w14:paraId="5C3CA490" w14:textId="77777777" w:rsidR="00224ABF" w:rsidRPr="00224ABF" w:rsidRDefault="00224ABF" w:rsidP="0054297D">
            <w:pPr>
              <w:spacing w:after="0" w:line="240" w:lineRule="auto"/>
              <w:rPr>
                <w:rFonts w:eastAsiaTheme="minorHAnsi"/>
                <w:color w:val="000000"/>
                <w:lang w:val="es-MX"/>
              </w:rPr>
            </w:pPr>
          </w:p>
        </w:tc>
      </w:tr>
    </w:tbl>
    <w:p w14:paraId="10E5B52A" w14:textId="77777777" w:rsidR="00CF5616" w:rsidRDefault="00CF5616">
      <w:pPr>
        <w:rPr>
          <w:rFonts w:cstheme="minorHAnsi"/>
        </w:rPr>
      </w:pPr>
      <w:r>
        <w:rPr>
          <w:rFonts w:cstheme="minorHAnsi"/>
        </w:rPr>
        <w:br w:type="page"/>
      </w:r>
    </w:p>
    <w:p w14:paraId="5763B9AA" w14:textId="5BFCF0B6" w:rsidR="00D15F27" w:rsidRDefault="00D15F27" w:rsidP="00185967">
      <w:pPr>
        <w:pStyle w:val="Ttulo1"/>
        <w:numPr>
          <w:ilvl w:val="1"/>
          <w:numId w:val="31"/>
        </w:numPr>
      </w:pPr>
      <w:bookmarkStart w:id="82" w:name="_Toc390333877"/>
      <w:r>
        <w:lastRenderedPageBreak/>
        <w:t>VICEPRESIDENCIA DE PLANEACIÓN, RIESGOS Y ENTORNO</w:t>
      </w:r>
      <w:bookmarkEnd w:id="63"/>
      <w:bookmarkEnd w:id="64"/>
      <w:bookmarkEnd w:id="65"/>
      <w:bookmarkEnd w:id="66"/>
      <w:bookmarkEnd w:id="67"/>
      <w:bookmarkEnd w:id="82"/>
    </w:p>
    <w:p w14:paraId="27D68B72" w14:textId="77777777" w:rsidR="004D2A8A" w:rsidRPr="00180844" w:rsidRDefault="004D2A8A" w:rsidP="0086211C"/>
    <w:p w14:paraId="6CB06256" w14:textId="77777777" w:rsidR="009A39D9" w:rsidRPr="0086211C" w:rsidRDefault="009A39D9" w:rsidP="0086211C">
      <w:pPr>
        <w:rPr>
          <w:color w:val="00B0F0"/>
        </w:rPr>
      </w:pPr>
      <w:bookmarkStart w:id="83" w:name="_Toc357434724"/>
      <w:r w:rsidRPr="0086211C">
        <w:rPr>
          <w:b/>
          <w:color w:val="00B0F0"/>
          <w:sz w:val="26"/>
          <w:szCs w:val="26"/>
        </w:rPr>
        <w:t>Grupo Interno de Trabajo de Planeación</w:t>
      </w:r>
      <w:bookmarkEnd w:id="83"/>
    </w:p>
    <w:p w14:paraId="45B979D9" w14:textId="684BE734" w:rsidR="00165EE4" w:rsidRDefault="00165EE4" w:rsidP="00165EE4">
      <w:pPr>
        <w:jc w:val="both"/>
        <w:rPr>
          <w:rFonts w:ascii="Arial Narrow" w:hAnsi="Arial Narrow"/>
        </w:rPr>
      </w:pPr>
      <w:r>
        <w:rPr>
          <w:rFonts w:ascii="Arial Narrow" w:hAnsi="Arial Narrow"/>
        </w:rPr>
        <w:t xml:space="preserve">La Gerencia de Planeación, durante el </w:t>
      </w:r>
      <w:r w:rsidR="007036D1">
        <w:rPr>
          <w:rFonts w:ascii="Arial Narrow" w:hAnsi="Arial Narrow"/>
        </w:rPr>
        <w:t>primer</w:t>
      </w:r>
      <w:r>
        <w:rPr>
          <w:rFonts w:ascii="Arial Narrow" w:hAnsi="Arial Narrow"/>
        </w:rPr>
        <w:t xml:space="preserve"> trimestre de la vigencia ha desarrollado las actividades asignadas en el Decreto de creación de la Agencia; dichas actividades se clasifican de la siguiente manera:</w:t>
      </w:r>
    </w:p>
    <w:p w14:paraId="2AF23A81" w14:textId="77777777" w:rsidR="009A39D9" w:rsidRPr="001725EB"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D978B6" w:rsidRPr="00D978B6" w14:paraId="7E9DF5A2" w14:textId="77777777" w:rsidTr="00F45C8B">
        <w:trPr>
          <w:trHeight w:val="255"/>
          <w:jc w:val="center"/>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9BB1F23" w14:textId="77777777" w:rsidR="00D978B6" w:rsidRPr="00D978B6" w:rsidRDefault="00D978B6" w:rsidP="00D978B6">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ACTIVIDAD</w:t>
            </w:r>
          </w:p>
        </w:tc>
        <w:tc>
          <w:tcPr>
            <w:tcW w:w="1760" w:type="dxa"/>
            <w:tcBorders>
              <w:top w:val="single" w:sz="4" w:space="0" w:color="auto"/>
              <w:left w:val="nil"/>
              <w:bottom w:val="single" w:sz="4" w:space="0" w:color="auto"/>
              <w:right w:val="single" w:sz="4" w:space="0" w:color="auto"/>
            </w:tcBorders>
            <w:shd w:val="clear" w:color="000000" w:fill="A5A5A5"/>
            <w:vAlign w:val="center"/>
            <w:hideMark/>
          </w:tcPr>
          <w:p w14:paraId="0AA64501" w14:textId="77777777" w:rsidR="00D978B6" w:rsidRPr="00D978B6" w:rsidRDefault="00D978B6" w:rsidP="00D978B6">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UNIDAD DE MEDIDA</w:t>
            </w:r>
          </w:p>
        </w:tc>
        <w:tc>
          <w:tcPr>
            <w:tcW w:w="1340" w:type="dxa"/>
            <w:tcBorders>
              <w:top w:val="single" w:sz="4" w:space="0" w:color="auto"/>
              <w:left w:val="nil"/>
              <w:bottom w:val="single" w:sz="4" w:space="0" w:color="auto"/>
              <w:right w:val="single" w:sz="4" w:space="0" w:color="auto"/>
            </w:tcBorders>
            <w:shd w:val="clear" w:color="000000" w:fill="A5A5A5"/>
            <w:noWrap/>
            <w:vAlign w:val="center"/>
            <w:hideMark/>
          </w:tcPr>
          <w:p w14:paraId="27B1EF30" w14:textId="77777777" w:rsidR="00D978B6" w:rsidRPr="00D978B6" w:rsidRDefault="00D978B6" w:rsidP="00D978B6">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META AÑO</w:t>
            </w:r>
          </w:p>
        </w:tc>
        <w:tc>
          <w:tcPr>
            <w:tcW w:w="124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7031C446" w14:textId="77777777" w:rsidR="00D978B6" w:rsidRDefault="00D978B6" w:rsidP="00D978B6">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Avance</w:t>
            </w:r>
          </w:p>
          <w:p w14:paraId="4043A857" w14:textId="4C230F56" w:rsidR="00D978B6" w:rsidRPr="00D978B6" w:rsidRDefault="00D978B6">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Pr="00D978B6">
              <w:rPr>
                <w:rFonts w:ascii="Calibri" w:eastAsia="Times New Roman" w:hAnsi="Calibri" w:cs="Calibri"/>
                <w:b/>
                <w:bCs/>
                <w:color w:val="000000"/>
                <w:sz w:val="20"/>
                <w:szCs w:val="20"/>
              </w:rPr>
              <w:t xml:space="preserve"> </w:t>
            </w:r>
            <w:r w:rsidR="007036D1">
              <w:rPr>
                <w:rFonts w:ascii="Calibri" w:eastAsia="Times New Roman" w:hAnsi="Calibri" w:cs="Calibri"/>
                <w:b/>
                <w:bCs/>
                <w:color w:val="000000"/>
                <w:sz w:val="20"/>
                <w:szCs w:val="20"/>
              </w:rPr>
              <w:t>1</w:t>
            </w:r>
          </w:p>
        </w:tc>
      </w:tr>
      <w:tr w:rsidR="00D978B6" w:rsidRPr="00D978B6" w14:paraId="04DED13B" w14:textId="77777777" w:rsidTr="0086211C">
        <w:trPr>
          <w:trHeight w:val="255"/>
          <w:jc w:val="center"/>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53480" w14:textId="77777777" w:rsidR="00D978B6" w:rsidRPr="00D978B6" w:rsidRDefault="00D978B6" w:rsidP="00D978B6">
            <w:pPr>
              <w:spacing w:after="0" w:line="240" w:lineRule="auto"/>
              <w:rPr>
                <w:rFonts w:ascii="Calibri" w:eastAsia="Times New Roman" w:hAnsi="Calibri" w:cs="Calibri"/>
                <w:color w:val="000000"/>
                <w:sz w:val="20"/>
                <w:szCs w:val="20"/>
              </w:rPr>
            </w:pPr>
            <w:r w:rsidRPr="00D978B6">
              <w:rPr>
                <w:rFonts w:ascii="Calibri" w:eastAsia="Times New Roman" w:hAnsi="Calibri" w:cs="Calibri"/>
                <w:color w:val="000000"/>
                <w:sz w:val="20"/>
                <w:szCs w:val="20"/>
              </w:rPr>
              <w:t>Elaboración Anteproyecto de presupuesto 2014</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501BD4A9"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Documento</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56BA4025"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1</w:t>
            </w:r>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423BA2BC" w14:textId="78103B2B" w:rsidR="00D978B6" w:rsidRPr="00D978B6" w:rsidRDefault="007036D1"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D978B6" w:rsidRPr="00D978B6" w14:paraId="5C23FACE"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730D6A1F" w14:textId="77777777" w:rsidR="00D978B6" w:rsidRPr="00D978B6" w:rsidRDefault="00D978B6" w:rsidP="00D978B6">
            <w:pPr>
              <w:spacing w:after="0" w:line="240" w:lineRule="auto"/>
              <w:rPr>
                <w:rFonts w:ascii="Calibri" w:eastAsia="Times New Roman" w:hAnsi="Calibri" w:cs="Calibri"/>
                <w:color w:val="000000"/>
                <w:sz w:val="20"/>
                <w:szCs w:val="20"/>
              </w:rPr>
            </w:pPr>
            <w:r w:rsidRPr="00D978B6">
              <w:rPr>
                <w:rFonts w:ascii="Calibri" w:eastAsia="Times New Roman" w:hAnsi="Calibri" w:cs="Calibri"/>
                <w:color w:val="000000"/>
                <w:sz w:val="20"/>
                <w:szCs w:val="20"/>
              </w:rPr>
              <w:t>Seguimiento al Plan de Acción Anual</w:t>
            </w:r>
          </w:p>
        </w:tc>
        <w:tc>
          <w:tcPr>
            <w:tcW w:w="1760" w:type="dxa"/>
            <w:tcBorders>
              <w:top w:val="nil"/>
              <w:left w:val="nil"/>
              <w:bottom w:val="single" w:sz="4" w:space="0" w:color="auto"/>
              <w:right w:val="single" w:sz="4" w:space="0" w:color="auto"/>
            </w:tcBorders>
            <w:shd w:val="clear" w:color="auto" w:fill="auto"/>
            <w:noWrap/>
            <w:vAlign w:val="center"/>
            <w:hideMark/>
          </w:tcPr>
          <w:p w14:paraId="64AD0F1C"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Informe</w:t>
            </w:r>
          </w:p>
        </w:tc>
        <w:tc>
          <w:tcPr>
            <w:tcW w:w="1340" w:type="dxa"/>
            <w:tcBorders>
              <w:top w:val="nil"/>
              <w:left w:val="nil"/>
              <w:bottom w:val="single" w:sz="4" w:space="0" w:color="auto"/>
              <w:right w:val="single" w:sz="4" w:space="0" w:color="auto"/>
            </w:tcBorders>
            <w:shd w:val="clear" w:color="auto" w:fill="auto"/>
            <w:noWrap/>
            <w:vAlign w:val="center"/>
            <w:hideMark/>
          </w:tcPr>
          <w:p w14:paraId="5E299C15"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4</w:t>
            </w:r>
          </w:p>
        </w:tc>
        <w:tc>
          <w:tcPr>
            <w:tcW w:w="1240" w:type="dxa"/>
            <w:tcBorders>
              <w:top w:val="nil"/>
              <w:left w:val="nil"/>
              <w:bottom w:val="single" w:sz="4" w:space="0" w:color="auto"/>
              <w:right w:val="single" w:sz="4" w:space="0" w:color="auto"/>
            </w:tcBorders>
            <w:shd w:val="clear" w:color="auto" w:fill="auto"/>
            <w:noWrap/>
            <w:vAlign w:val="center"/>
          </w:tcPr>
          <w:p w14:paraId="7D55B594" w14:textId="21BAD42A" w:rsidR="00D978B6" w:rsidRPr="00D978B6" w:rsidRDefault="007036D1"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D978B6" w:rsidRPr="00D978B6" w14:paraId="286C7330"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6B599D68" w14:textId="77777777" w:rsidR="00D978B6" w:rsidRPr="00D978B6" w:rsidRDefault="00D978B6" w:rsidP="00D978B6">
            <w:pPr>
              <w:spacing w:after="0" w:line="240" w:lineRule="auto"/>
              <w:rPr>
                <w:rFonts w:ascii="Calibri" w:eastAsia="Times New Roman" w:hAnsi="Calibri" w:cs="Calibri"/>
                <w:color w:val="000000"/>
                <w:sz w:val="20"/>
                <w:szCs w:val="20"/>
              </w:rPr>
            </w:pPr>
            <w:r w:rsidRPr="00D978B6">
              <w:rPr>
                <w:rFonts w:ascii="Calibri" w:eastAsia="Times New Roman" w:hAnsi="Calibri" w:cs="Calibri"/>
                <w:color w:val="000000"/>
                <w:sz w:val="20"/>
                <w:szCs w:val="20"/>
              </w:rPr>
              <w:t>Informe avance metas SISMEG</w:t>
            </w:r>
          </w:p>
        </w:tc>
        <w:tc>
          <w:tcPr>
            <w:tcW w:w="1760" w:type="dxa"/>
            <w:tcBorders>
              <w:top w:val="nil"/>
              <w:left w:val="nil"/>
              <w:bottom w:val="single" w:sz="4" w:space="0" w:color="auto"/>
              <w:right w:val="single" w:sz="4" w:space="0" w:color="auto"/>
            </w:tcBorders>
            <w:shd w:val="clear" w:color="auto" w:fill="auto"/>
            <w:noWrap/>
            <w:vAlign w:val="center"/>
            <w:hideMark/>
          </w:tcPr>
          <w:p w14:paraId="67F88030"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Informe</w:t>
            </w:r>
          </w:p>
        </w:tc>
        <w:tc>
          <w:tcPr>
            <w:tcW w:w="1340" w:type="dxa"/>
            <w:tcBorders>
              <w:top w:val="nil"/>
              <w:left w:val="nil"/>
              <w:bottom w:val="single" w:sz="4" w:space="0" w:color="auto"/>
              <w:right w:val="single" w:sz="4" w:space="0" w:color="auto"/>
            </w:tcBorders>
            <w:shd w:val="clear" w:color="auto" w:fill="auto"/>
            <w:noWrap/>
            <w:vAlign w:val="center"/>
            <w:hideMark/>
          </w:tcPr>
          <w:p w14:paraId="435A905F"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4</w:t>
            </w:r>
          </w:p>
        </w:tc>
        <w:tc>
          <w:tcPr>
            <w:tcW w:w="1240" w:type="dxa"/>
            <w:tcBorders>
              <w:top w:val="nil"/>
              <w:left w:val="nil"/>
              <w:bottom w:val="single" w:sz="4" w:space="0" w:color="auto"/>
              <w:right w:val="single" w:sz="4" w:space="0" w:color="auto"/>
            </w:tcBorders>
            <w:shd w:val="clear" w:color="auto" w:fill="auto"/>
            <w:noWrap/>
            <w:vAlign w:val="center"/>
          </w:tcPr>
          <w:p w14:paraId="04616BAD" w14:textId="176A0655" w:rsidR="00D978B6" w:rsidRPr="00D978B6" w:rsidRDefault="007036D1"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D978B6" w:rsidRPr="00D978B6" w14:paraId="44028901"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638BB9C6" w14:textId="77777777" w:rsidR="00D978B6" w:rsidRPr="00D978B6" w:rsidRDefault="00D978B6" w:rsidP="00D978B6">
            <w:pPr>
              <w:spacing w:after="0" w:line="240" w:lineRule="auto"/>
              <w:rPr>
                <w:rFonts w:ascii="Calibri" w:eastAsia="Times New Roman" w:hAnsi="Calibri" w:cs="Calibri"/>
                <w:color w:val="000000"/>
                <w:sz w:val="20"/>
                <w:szCs w:val="20"/>
              </w:rPr>
            </w:pPr>
            <w:r w:rsidRPr="00D978B6">
              <w:rPr>
                <w:rFonts w:ascii="Calibri" w:eastAsia="Times New Roman" w:hAnsi="Calibri" w:cs="Calibri"/>
                <w:color w:val="000000"/>
                <w:sz w:val="20"/>
                <w:szCs w:val="20"/>
              </w:rPr>
              <w:t>Actualización de Proyectos en el SUIFP</w:t>
            </w:r>
          </w:p>
        </w:tc>
        <w:tc>
          <w:tcPr>
            <w:tcW w:w="1760" w:type="dxa"/>
            <w:tcBorders>
              <w:top w:val="nil"/>
              <w:left w:val="nil"/>
              <w:bottom w:val="single" w:sz="4" w:space="0" w:color="auto"/>
              <w:right w:val="single" w:sz="4" w:space="0" w:color="auto"/>
            </w:tcBorders>
            <w:shd w:val="clear" w:color="auto" w:fill="auto"/>
            <w:noWrap/>
            <w:vAlign w:val="center"/>
            <w:hideMark/>
          </w:tcPr>
          <w:p w14:paraId="0262C9C2"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Proyecto</w:t>
            </w:r>
          </w:p>
        </w:tc>
        <w:tc>
          <w:tcPr>
            <w:tcW w:w="1340" w:type="dxa"/>
            <w:tcBorders>
              <w:top w:val="nil"/>
              <w:left w:val="nil"/>
              <w:bottom w:val="single" w:sz="4" w:space="0" w:color="auto"/>
              <w:right w:val="single" w:sz="4" w:space="0" w:color="auto"/>
            </w:tcBorders>
            <w:shd w:val="clear" w:color="auto" w:fill="auto"/>
            <w:noWrap/>
            <w:vAlign w:val="center"/>
            <w:hideMark/>
          </w:tcPr>
          <w:p w14:paraId="22E2CF60" w14:textId="1A1F1944"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49</w:t>
            </w:r>
          </w:p>
        </w:tc>
        <w:tc>
          <w:tcPr>
            <w:tcW w:w="1240" w:type="dxa"/>
            <w:tcBorders>
              <w:top w:val="nil"/>
              <w:left w:val="nil"/>
              <w:bottom w:val="single" w:sz="4" w:space="0" w:color="auto"/>
              <w:right w:val="single" w:sz="4" w:space="0" w:color="auto"/>
            </w:tcBorders>
            <w:shd w:val="clear" w:color="auto" w:fill="auto"/>
            <w:noWrap/>
            <w:vAlign w:val="center"/>
          </w:tcPr>
          <w:p w14:paraId="723A5CAF" w14:textId="5981B1C3"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w:t>
            </w:r>
          </w:p>
        </w:tc>
      </w:tr>
      <w:tr w:rsidR="00D978B6" w:rsidRPr="00D978B6" w14:paraId="670C0D87"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304EC6B4" w14:textId="77777777" w:rsidR="00D978B6" w:rsidRPr="00D978B6" w:rsidRDefault="00D978B6" w:rsidP="00D978B6">
            <w:pPr>
              <w:spacing w:after="0" w:line="240" w:lineRule="auto"/>
              <w:rPr>
                <w:rFonts w:ascii="Calibri" w:eastAsia="Times New Roman" w:hAnsi="Calibri" w:cs="Calibri"/>
                <w:color w:val="000000"/>
                <w:sz w:val="20"/>
                <w:szCs w:val="20"/>
              </w:rPr>
            </w:pPr>
            <w:r w:rsidRPr="00D978B6">
              <w:rPr>
                <w:rFonts w:ascii="Calibri" w:eastAsia="Times New Roman" w:hAnsi="Calibri" w:cs="Calibri"/>
                <w:color w:val="000000"/>
                <w:sz w:val="20"/>
                <w:szCs w:val="20"/>
              </w:rPr>
              <w:t>Seguimiento a proyectos en SPI</w:t>
            </w:r>
          </w:p>
        </w:tc>
        <w:tc>
          <w:tcPr>
            <w:tcW w:w="1760" w:type="dxa"/>
            <w:tcBorders>
              <w:top w:val="nil"/>
              <w:left w:val="nil"/>
              <w:bottom w:val="single" w:sz="4" w:space="0" w:color="auto"/>
              <w:right w:val="single" w:sz="4" w:space="0" w:color="auto"/>
            </w:tcBorders>
            <w:shd w:val="clear" w:color="auto" w:fill="auto"/>
            <w:noWrap/>
            <w:vAlign w:val="center"/>
            <w:hideMark/>
          </w:tcPr>
          <w:p w14:paraId="5929AAFA"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Proyecto</w:t>
            </w:r>
          </w:p>
        </w:tc>
        <w:tc>
          <w:tcPr>
            <w:tcW w:w="1340" w:type="dxa"/>
            <w:tcBorders>
              <w:top w:val="nil"/>
              <w:left w:val="nil"/>
              <w:bottom w:val="single" w:sz="4" w:space="0" w:color="auto"/>
              <w:right w:val="single" w:sz="4" w:space="0" w:color="auto"/>
            </w:tcBorders>
            <w:shd w:val="clear" w:color="auto" w:fill="auto"/>
            <w:noWrap/>
            <w:vAlign w:val="center"/>
            <w:hideMark/>
          </w:tcPr>
          <w:p w14:paraId="2E910C84"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204</w:t>
            </w:r>
          </w:p>
        </w:tc>
        <w:tc>
          <w:tcPr>
            <w:tcW w:w="1240" w:type="dxa"/>
            <w:tcBorders>
              <w:top w:val="nil"/>
              <w:left w:val="nil"/>
              <w:bottom w:val="single" w:sz="4" w:space="0" w:color="auto"/>
              <w:right w:val="single" w:sz="4" w:space="0" w:color="auto"/>
            </w:tcBorders>
            <w:shd w:val="clear" w:color="auto" w:fill="auto"/>
            <w:noWrap/>
            <w:vAlign w:val="center"/>
          </w:tcPr>
          <w:p w14:paraId="0D99F9AD" w14:textId="5F8D593C"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51</w:t>
            </w:r>
          </w:p>
        </w:tc>
      </w:tr>
      <w:tr w:rsidR="00D978B6" w:rsidRPr="00D978B6" w14:paraId="4B137893"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546FF046" w14:textId="77777777" w:rsidR="00D978B6" w:rsidRPr="00D978B6" w:rsidRDefault="00D978B6" w:rsidP="00D978B6">
            <w:pPr>
              <w:spacing w:after="0" w:line="240" w:lineRule="auto"/>
              <w:rPr>
                <w:rFonts w:ascii="Calibri" w:eastAsia="Times New Roman" w:hAnsi="Calibri" w:cs="Calibri"/>
                <w:color w:val="000000"/>
                <w:sz w:val="20"/>
                <w:szCs w:val="20"/>
              </w:rPr>
            </w:pPr>
            <w:r w:rsidRPr="00D978B6">
              <w:rPr>
                <w:rFonts w:ascii="Calibri" w:eastAsia="Times New Roman" w:hAnsi="Calibri" w:cs="Calibri"/>
                <w:color w:val="000000"/>
                <w:sz w:val="20"/>
                <w:szCs w:val="20"/>
              </w:rPr>
              <w:t>Trámites presupuestales (vigencias futuras, traslados)</w:t>
            </w:r>
          </w:p>
        </w:tc>
        <w:tc>
          <w:tcPr>
            <w:tcW w:w="1760" w:type="dxa"/>
            <w:tcBorders>
              <w:top w:val="nil"/>
              <w:left w:val="nil"/>
              <w:bottom w:val="single" w:sz="4" w:space="0" w:color="auto"/>
              <w:right w:val="single" w:sz="4" w:space="0" w:color="auto"/>
            </w:tcBorders>
            <w:shd w:val="clear" w:color="auto" w:fill="auto"/>
            <w:noWrap/>
            <w:vAlign w:val="center"/>
            <w:hideMark/>
          </w:tcPr>
          <w:p w14:paraId="65618D69"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Trámite</w:t>
            </w:r>
          </w:p>
        </w:tc>
        <w:tc>
          <w:tcPr>
            <w:tcW w:w="1340" w:type="dxa"/>
            <w:tcBorders>
              <w:top w:val="nil"/>
              <w:left w:val="nil"/>
              <w:bottom w:val="single" w:sz="4" w:space="0" w:color="auto"/>
              <w:right w:val="single" w:sz="4" w:space="0" w:color="auto"/>
            </w:tcBorders>
            <w:shd w:val="clear" w:color="auto" w:fill="auto"/>
            <w:noWrap/>
            <w:vAlign w:val="center"/>
            <w:hideMark/>
          </w:tcPr>
          <w:p w14:paraId="6A7AE922" w14:textId="49B9B39E"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37</w:t>
            </w:r>
          </w:p>
        </w:tc>
        <w:tc>
          <w:tcPr>
            <w:tcW w:w="1240" w:type="dxa"/>
            <w:tcBorders>
              <w:top w:val="nil"/>
              <w:left w:val="nil"/>
              <w:bottom w:val="single" w:sz="4" w:space="0" w:color="auto"/>
              <w:right w:val="single" w:sz="4" w:space="0" w:color="auto"/>
            </w:tcBorders>
            <w:shd w:val="clear" w:color="auto" w:fill="auto"/>
            <w:noWrap/>
            <w:vAlign w:val="center"/>
          </w:tcPr>
          <w:p w14:paraId="084E9E16" w14:textId="4CA53301"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w:t>
            </w:r>
          </w:p>
        </w:tc>
      </w:tr>
      <w:tr w:rsidR="00D978B6" w:rsidRPr="00D978B6" w14:paraId="2A448A30"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45057D4A" w14:textId="77777777" w:rsidR="00D978B6" w:rsidRPr="00D978B6" w:rsidRDefault="00D978B6" w:rsidP="00D978B6">
            <w:pPr>
              <w:spacing w:after="0" w:line="240" w:lineRule="auto"/>
              <w:rPr>
                <w:rFonts w:ascii="Calibri" w:eastAsia="Times New Roman" w:hAnsi="Calibri" w:cs="Calibri"/>
                <w:color w:val="000000"/>
                <w:sz w:val="20"/>
                <w:szCs w:val="20"/>
              </w:rPr>
            </w:pPr>
            <w:r w:rsidRPr="00D978B6">
              <w:rPr>
                <w:rFonts w:ascii="Calibri" w:eastAsia="Times New Roman" w:hAnsi="Calibri" w:cs="Calibri"/>
                <w:color w:val="000000"/>
                <w:sz w:val="20"/>
                <w:szCs w:val="20"/>
              </w:rPr>
              <w:t>Informes de coyuntura</w:t>
            </w:r>
          </w:p>
        </w:tc>
        <w:tc>
          <w:tcPr>
            <w:tcW w:w="1760" w:type="dxa"/>
            <w:tcBorders>
              <w:top w:val="nil"/>
              <w:left w:val="nil"/>
              <w:bottom w:val="single" w:sz="4" w:space="0" w:color="auto"/>
              <w:right w:val="single" w:sz="4" w:space="0" w:color="auto"/>
            </w:tcBorders>
            <w:shd w:val="clear" w:color="auto" w:fill="auto"/>
            <w:noWrap/>
            <w:vAlign w:val="center"/>
            <w:hideMark/>
          </w:tcPr>
          <w:p w14:paraId="7EA44A35"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Informe</w:t>
            </w:r>
          </w:p>
        </w:tc>
        <w:tc>
          <w:tcPr>
            <w:tcW w:w="1340" w:type="dxa"/>
            <w:tcBorders>
              <w:top w:val="nil"/>
              <w:left w:val="nil"/>
              <w:bottom w:val="single" w:sz="4" w:space="0" w:color="auto"/>
              <w:right w:val="single" w:sz="4" w:space="0" w:color="auto"/>
            </w:tcBorders>
            <w:shd w:val="clear" w:color="auto" w:fill="auto"/>
            <w:noWrap/>
            <w:vAlign w:val="center"/>
            <w:hideMark/>
          </w:tcPr>
          <w:p w14:paraId="7FBFDAA5" w14:textId="12FD4ABE"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240" w:type="dxa"/>
            <w:tcBorders>
              <w:top w:val="nil"/>
              <w:left w:val="nil"/>
              <w:bottom w:val="single" w:sz="4" w:space="0" w:color="auto"/>
              <w:right w:val="single" w:sz="4" w:space="0" w:color="auto"/>
            </w:tcBorders>
            <w:shd w:val="clear" w:color="auto" w:fill="auto"/>
            <w:noWrap/>
            <w:vAlign w:val="center"/>
          </w:tcPr>
          <w:p w14:paraId="7E33F4D5" w14:textId="78A28FE4"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D978B6" w:rsidRPr="00D978B6" w14:paraId="6E6A540C"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22762230" w14:textId="5A765382" w:rsidR="00D978B6" w:rsidRPr="00D978B6" w:rsidRDefault="00AC02FF" w:rsidP="00D978B6">
            <w:pPr>
              <w:spacing w:after="0" w:line="240" w:lineRule="auto"/>
              <w:rPr>
                <w:rFonts w:ascii="Calibri" w:eastAsia="Times New Roman" w:hAnsi="Calibri" w:cs="Calibri"/>
                <w:color w:val="000000"/>
                <w:sz w:val="20"/>
                <w:szCs w:val="20"/>
              </w:rPr>
            </w:pPr>
            <w:r w:rsidRPr="00AC02FF">
              <w:rPr>
                <w:rFonts w:ascii="Calibri" w:eastAsia="Times New Roman" w:hAnsi="Calibri" w:cs="Calibri"/>
                <w:color w:val="000000"/>
                <w:sz w:val="20"/>
                <w:szCs w:val="20"/>
              </w:rPr>
              <w:t>Formulación de la Planeación Estratégica de la Agencia</w:t>
            </w:r>
          </w:p>
        </w:tc>
        <w:tc>
          <w:tcPr>
            <w:tcW w:w="1760" w:type="dxa"/>
            <w:tcBorders>
              <w:top w:val="nil"/>
              <w:left w:val="nil"/>
              <w:bottom w:val="single" w:sz="4" w:space="0" w:color="auto"/>
              <w:right w:val="single" w:sz="4" w:space="0" w:color="auto"/>
            </w:tcBorders>
            <w:shd w:val="clear" w:color="auto" w:fill="auto"/>
            <w:noWrap/>
            <w:vAlign w:val="center"/>
            <w:hideMark/>
          </w:tcPr>
          <w:p w14:paraId="290A619B" w14:textId="15603E66"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Documento</w:t>
            </w:r>
          </w:p>
        </w:tc>
        <w:tc>
          <w:tcPr>
            <w:tcW w:w="1340" w:type="dxa"/>
            <w:tcBorders>
              <w:top w:val="nil"/>
              <w:left w:val="nil"/>
              <w:bottom w:val="single" w:sz="4" w:space="0" w:color="auto"/>
              <w:right w:val="single" w:sz="4" w:space="0" w:color="auto"/>
            </w:tcBorders>
            <w:shd w:val="clear" w:color="auto" w:fill="auto"/>
            <w:noWrap/>
            <w:vAlign w:val="center"/>
            <w:hideMark/>
          </w:tcPr>
          <w:p w14:paraId="0E4F4CCE" w14:textId="336F3410"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240" w:type="dxa"/>
            <w:tcBorders>
              <w:top w:val="nil"/>
              <w:left w:val="nil"/>
              <w:bottom w:val="single" w:sz="4" w:space="0" w:color="auto"/>
              <w:right w:val="single" w:sz="4" w:space="0" w:color="auto"/>
            </w:tcBorders>
            <w:shd w:val="clear" w:color="auto" w:fill="auto"/>
            <w:noWrap/>
            <w:vAlign w:val="center"/>
          </w:tcPr>
          <w:p w14:paraId="134237FB" w14:textId="0F771890" w:rsidR="00D978B6" w:rsidRPr="00D978B6" w:rsidRDefault="00AC02FF"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bl>
    <w:p w14:paraId="000B0D79" w14:textId="77777777" w:rsidR="00165EE4" w:rsidRDefault="00165EE4" w:rsidP="00165EE4">
      <w:pPr>
        <w:jc w:val="both"/>
        <w:rPr>
          <w:rFonts w:ascii="Arial Narrow" w:hAnsi="Arial Narrow"/>
        </w:rPr>
      </w:pPr>
    </w:p>
    <w:p w14:paraId="4310945B" w14:textId="77777777" w:rsidR="00165EE4" w:rsidRPr="00BA2FEB" w:rsidRDefault="00165EE4" w:rsidP="00165EE4">
      <w:pPr>
        <w:rPr>
          <w:color w:val="1F497D"/>
          <w:u w:val="single"/>
        </w:rPr>
      </w:pPr>
      <w:r w:rsidRPr="00BA2FEB">
        <w:rPr>
          <w:color w:val="1F497D"/>
          <w:u w:val="single"/>
        </w:rPr>
        <w:t>Plan Estratégico y Plan de Acción:</w:t>
      </w:r>
    </w:p>
    <w:p w14:paraId="6E182E27" w14:textId="20C07B4E" w:rsidR="00165EE4" w:rsidRDefault="00165EE4" w:rsidP="00701544">
      <w:pPr>
        <w:jc w:val="both"/>
        <w:rPr>
          <w:rFonts w:ascii="Arial Narrow" w:hAnsi="Arial Narrow"/>
        </w:rPr>
      </w:pPr>
      <w:r>
        <w:rPr>
          <w:rFonts w:ascii="Arial Narrow" w:hAnsi="Arial Narrow"/>
        </w:rPr>
        <w:t xml:space="preserve">Durante el </w:t>
      </w:r>
      <w:r w:rsidR="00AC02FF">
        <w:rPr>
          <w:rFonts w:ascii="Arial Narrow" w:hAnsi="Arial Narrow"/>
        </w:rPr>
        <w:t>primer</w:t>
      </w:r>
      <w:r>
        <w:rPr>
          <w:rFonts w:ascii="Arial Narrow" w:hAnsi="Arial Narrow"/>
        </w:rPr>
        <w:t xml:space="preserve"> trimestre, en coordinación con las dependencias de la Agencia se </w:t>
      </w:r>
      <w:r w:rsidR="00AC02FF">
        <w:rPr>
          <w:rFonts w:ascii="Arial Narrow" w:hAnsi="Arial Narrow"/>
        </w:rPr>
        <w:t xml:space="preserve">realizó la programación, consolidación y publicación en la Página WEB de la Agencia, del Plan de Acción correspondiente a la Vigencia 2014; es de resaltar que en este año, el ejercicio se realizó en forma conjunta con la formulación y aprobación del Plan Anual de Adquisiciones, para tal fin en coordinación con el servidor Cesar Augusto García de la Gerencia de Contratación, se revisó y ajustó el Plan de Acción para hacerlo compatible con el </w:t>
      </w:r>
      <w:r w:rsidR="005F7E1F">
        <w:rPr>
          <w:rFonts w:ascii="Arial Narrow" w:hAnsi="Arial Narrow"/>
        </w:rPr>
        <w:t>Plan Anual de Adquisiciones, de igual manera, a partir de la presente vigencia, se modificó la parte pertinente en el procedimiento de contratación, con el fin de someter a consideración del Comité de Contratación todas las modificaciones que presente el Plan de Acción y que afecten el Plan Anual de Adquisiciones.</w:t>
      </w:r>
      <w:r w:rsidR="00701544">
        <w:rPr>
          <w:rFonts w:ascii="Arial Narrow" w:hAnsi="Arial Narrow"/>
        </w:rPr>
        <w:t xml:space="preserve"> Por otra parte, en este periodo se realizó l</w:t>
      </w:r>
      <w:r w:rsidR="00350389">
        <w:rPr>
          <w:rFonts w:ascii="Arial Narrow" w:hAnsi="Arial Narrow"/>
        </w:rPr>
        <w:t>a</w:t>
      </w:r>
      <w:r w:rsidR="00701544">
        <w:rPr>
          <w:rFonts w:ascii="Arial Narrow" w:hAnsi="Arial Narrow"/>
        </w:rPr>
        <w:t xml:space="preserve"> alineación del Plan de Acción con el Plan estratégico de la Agencia.</w:t>
      </w:r>
    </w:p>
    <w:p w14:paraId="30AF701A" w14:textId="77777777" w:rsidR="00165EE4" w:rsidRDefault="00165EE4" w:rsidP="00165EE4">
      <w:pPr>
        <w:rPr>
          <w:color w:val="1F497D"/>
          <w:u w:val="single"/>
        </w:rPr>
      </w:pPr>
      <w:r w:rsidRPr="00BA2FEB">
        <w:rPr>
          <w:color w:val="1F497D"/>
          <w:u w:val="single"/>
        </w:rPr>
        <w:t>Presupuesto y Trámites Presupuestales:</w:t>
      </w:r>
    </w:p>
    <w:p w14:paraId="1D7D32C1" w14:textId="0A7510DF" w:rsidR="00350389" w:rsidRPr="00350389" w:rsidRDefault="00350389" w:rsidP="00350389">
      <w:pPr>
        <w:jc w:val="both"/>
        <w:rPr>
          <w:rFonts w:ascii="Arial Narrow" w:hAnsi="Arial Narrow"/>
        </w:rPr>
      </w:pPr>
      <w:r w:rsidRPr="00350389">
        <w:rPr>
          <w:rFonts w:ascii="Arial Narrow" w:hAnsi="Arial Narrow"/>
        </w:rPr>
        <w:t>Durante el primer trimestre se realizaron los siguientes trámites presupuestales para la obtención de Vigencias Futuras de los proyectos Concesión Autopista al Mar 1, Concesión Autopista al Mar 2, Autopista al Río Magdalena 1, Operación del corredor Conexión Norte, Corredor  Honda – Puerto Salgar – Girardot, Concesión Autopista al Río Magdalena 2, Concesión Autopista Conexión Pacífico 2, Concesión Autopista Conexión Pacífico 3, Reprogramación Vigencias Futuras Mejoramiento Apoyo estatal proyecto de concesión Ruta del Sol sector III.</w:t>
      </w:r>
    </w:p>
    <w:p w14:paraId="388C3C82" w14:textId="77777777" w:rsidR="00165EE4" w:rsidRPr="00BA2FEB" w:rsidRDefault="00165EE4" w:rsidP="00165EE4">
      <w:pPr>
        <w:rPr>
          <w:color w:val="1F497D"/>
          <w:u w:val="single"/>
        </w:rPr>
      </w:pPr>
      <w:r w:rsidRPr="00BA2FEB">
        <w:rPr>
          <w:color w:val="1F497D"/>
          <w:u w:val="single"/>
        </w:rPr>
        <w:t>Registro y actualización de proyectos en el SUIFP:</w:t>
      </w:r>
    </w:p>
    <w:p w14:paraId="76FA136D" w14:textId="2C4D7E5D" w:rsidR="00165EE4" w:rsidRPr="002C0877" w:rsidRDefault="00165EE4" w:rsidP="00165EE4">
      <w:pPr>
        <w:jc w:val="both"/>
        <w:rPr>
          <w:rFonts w:ascii="Arial Narrow" w:hAnsi="Arial Narrow"/>
        </w:rPr>
      </w:pPr>
      <w:r>
        <w:rPr>
          <w:rFonts w:ascii="Arial Narrow" w:hAnsi="Arial Narrow"/>
        </w:rPr>
        <w:t xml:space="preserve">Durante el periodo </w:t>
      </w:r>
      <w:r w:rsidR="00C0580F">
        <w:rPr>
          <w:rFonts w:ascii="Arial Narrow" w:hAnsi="Arial Narrow"/>
        </w:rPr>
        <w:t>se actualizaron 25 proyectos de inversión, principalmente en aspectos tales como  la composición de las unidades funcionales y la distribución de las vigencias futuras. Así mismo, se ha actualizado mensualmente la información de avance de los 17 proyectos registrados en el SPI.</w:t>
      </w:r>
    </w:p>
    <w:p w14:paraId="72C83262" w14:textId="77777777" w:rsidR="00165EE4" w:rsidRDefault="00165EE4" w:rsidP="00165EE4">
      <w:pPr>
        <w:rPr>
          <w:color w:val="1F497D"/>
          <w:u w:val="single"/>
        </w:rPr>
      </w:pPr>
      <w:r>
        <w:rPr>
          <w:color w:val="1F497D"/>
        </w:rPr>
        <w:lastRenderedPageBreak/>
        <w:t> </w:t>
      </w:r>
      <w:r>
        <w:rPr>
          <w:color w:val="1F497D"/>
          <w:u w:val="single"/>
        </w:rPr>
        <w:t>Sistema de Gestión de Calidad:</w:t>
      </w:r>
    </w:p>
    <w:p w14:paraId="0541C820" w14:textId="5195791E" w:rsidR="00165EE4" w:rsidRDefault="00165EE4" w:rsidP="00165EE4">
      <w:pPr>
        <w:jc w:val="both"/>
        <w:rPr>
          <w:rFonts w:ascii="Arial Narrow" w:hAnsi="Arial Narrow"/>
        </w:rPr>
      </w:pPr>
      <w:r w:rsidRPr="008E5C2C">
        <w:rPr>
          <w:rFonts w:ascii="Arial Narrow" w:hAnsi="Arial Narrow"/>
        </w:rPr>
        <w:t>E</w:t>
      </w:r>
      <w:r>
        <w:rPr>
          <w:rFonts w:ascii="Arial Narrow" w:hAnsi="Arial Narrow"/>
        </w:rPr>
        <w:t xml:space="preserve">n el </w:t>
      </w:r>
      <w:r w:rsidR="00C74E79">
        <w:rPr>
          <w:rFonts w:ascii="Arial Narrow" w:hAnsi="Arial Narrow"/>
        </w:rPr>
        <w:t>primer</w:t>
      </w:r>
      <w:r>
        <w:rPr>
          <w:rFonts w:ascii="Arial Narrow" w:hAnsi="Arial Narrow"/>
        </w:rPr>
        <w:t xml:space="preserve"> trimestre,  </w:t>
      </w:r>
      <w:r w:rsidR="00C57073">
        <w:rPr>
          <w:rFonts w:ascii="Arial Narrow" w:hAnsi="Arial Narrow"/>
        </w:rPr>
        <w:t>se continuado avanzando en la incorporación de los documentos que componen el Sistema de Gestión de Calidad, de igual manera se contrató el diseño y elaboración del material de apoyo al SGC, el cual será entregado a los servidores de la Agencia; por otra parte se han realizado los estudios requeridos para la contratación del software de Gestión de Calidad.</w:t>
      </w:r>
    </w:p>
    <w:p w14:paraId="4A9F0527" w14:textId="2903E790" w:rsidR="00C57073" w:rsidRDefault="00A041D6" w:rsidP="00165EE4">
      <w:pPr>
        <w:jc w:val="both"/>
        <w:rPr>
          <w:rFonts w:ascii="Arial Narrow" w:hAnsi="Arial Narrow"/>
        </w:rPr>
      </w:pPr>
      <w:r>
        <w:rPr>
          <w:rFonts w:ascii="Arial Narrow" w:hAnsi="Arial Narrow"/>
        </w:rPr>
        <w:t>Finalmente, a la fecha se ha avanzado en un 90% en la elaboración de la metodología estándar en la gerencia de proyectos.</w:t>
      </w:r>
    </w:p>
    <w:p w14:paraId="7355E6A9" w14:textId="77777777" w:rsidR="00165EE4" w:rsidRPr="00544FE2" w:rsidRDefault="00165EE4" w:rsidP="00165EE4">
      <w:pPr>
        <w:rPr>
          <w:color w:val="1F497D"/>
          <w:u w:val="single"/>
        </w:rPr>
      </w:pPr>
      <w:r w:rsidRPr="00544FE2">
        <w:rPr>
          <w:color w:val="1F497D"/>
          <w:u w:val="single"/>
        </w:rPr>
        <w:t>Plan Anticorrupción y Atención al Ciudadano:</w:t>
      </w:r>
    </w:p>
    <w:p w14:paraId="3FE54B6E" w14:textId="77CBE7F7" w:rsidR="00936135" w:rsidRDefault="00165EE4" w:rsidP="00165EE4">
      <w:pPr>
        <w:jc w:val="both"/>
        <w:rPr>
          <w:rFonts w:ascii="Arial Narrow" w:hAnsi="Arial Narrow"/>
        </w:rPr>
      </w:pPr>
      <w:r w:rsidRPr="00AD571C">
        <w:rPr>
          <w:rFonts w:ascii="Arial Narrow" w:hAnsi="Arial Narrow"/>
        </w:rPr>
        <w:t xml:space="preserve">Durante el </w:t>
      </w:r>
      <w:r w:rsidR="00936135">
        <w:rPr>
          <w:rFonts w:ascii="Arial Narrow" w:hAnsi="Arial Narrow"/>
        </w:rPr>
        <w:t>primer</w:t>
      </w:r>
      <w:r w:rsidRPr="00AD571C">
        <w:rPr>
          <w:rFonts w:ascii="Arial Narrow" w:hAnsi="Arial Narrow"/>
        </w:rPr>
        <w:t xml:space="preserve"> trimestre del año, </w:t>
      </w:r>
      <w:r>
        <w:rPr>
          <w:rFonts w:ascii="Arial Narrow" w:hAnsi="Arial Narrow"/>
        </w:rPr>
        <w:t xml:space="preserve">de acuerdo con instrucciones impartidas por el Departamento Administrativo de la Función Pública – DAFP, se realizó </w:t>
      </w:r>
      <w:r w:rsidR="00936135">
        <w:rPr>
          <w:rFonts w:ascii="Arial Narrow" w:hAnsi="Arial Narrow"/>
        </w:rPr>
        <w:t>la consolidación y publicación en la página WEB de la Agencia  del  Plan Anticorrupción correspondiente a la presente vigencia</w:t>
      </w:r>
    </w:p>
    <w:p w14:paraId="37A7EA1C" w14:textId="77777777" w:rsidR="00165EE4" w:rsidRDefault="00165EE4" w:rsidP="00165EE4">
      <w:pPr>
        <w:jc w:val="both"/>
        <w:rPr>
          <w:rFonts w:ascii="Arial Narrow" w:hAnsi="Arial Narrow"/>
        </w:rPr>
      </w:pPr>
      <w:r>
        <w:rPr>
          <w:rFonts w:ascii="Arial Narrow" w:hAnsi="Arial Narrow"/>
        </w:rPr>
        <w:t>En cuanto a la estrategia Anticorrupción, en el periodo se realizó una revisión por parte de los responsables, a los riesgos identificados, y se ha venido trabajando en un ajuste a la matriz de riesgos, para adaptarla a la metodología adoptada por la Agencia.</w:t>
      </w:r>
    </w:p>
    <w:p w14:paraId="02A8A029" w14:textId="77777777" w:rsidR="00165EE4" w:rsidRPr="00AD571C" w:rsidRDefault="00165EE4" w:rsidP="00165EE4">
      <w:pPr>
        <w:jc w:val="both"/>
        <w:rPr>
          <w:rFonts w:ascii="Arial Narrow" w:hAnsi="Arial Narrow"/>
        </w:rPr>
      </w:pPr>
      <w:r w:rsidRPr="00AD571C">
        <w:rPr>
          <w:rFonts w:ascii="Arial Narrow" w:hAnsi="Arial Narrow"/>
        </w:rPr>
        <w:t>Adicionalmente, la Gerencia atiende la realización de otras actividades, de acuerdo con solicitudes y/o asignaciones realizadas por la Presidencia de la Agencia u otras entidades, a continuación se relacionan las más importantes:</w:t>
      </w:r>
    </w:p>
    <w:p w14:paraId="1A1500B1" w14:textId="4277CCCA" w:rsidR="00165EE4" w:rsidRDefault="00165EE4" w:rsidP="00165EE4">
      <w:pPr>
        <w:pStyle w:val="Prrafodelista"/>
        <w:numPr>
          <w:ilvl w:val="0"/>
          <w:numId w:val="70"/>
        </w:numPr>
        <w:jc w:val="both"/>
        <w:rPr>
          <w:rFonts w:ascii="Arial Narrow" w:hAnsi="Arial Narrow"/>
        </w:rPr>
      </w:pPr>
      <w:r w:rsidRPr="00AD571C">
        <w:rPr>
          <w:rFonts w:ascii="Arial Narrow" w:hAnsi="Arial Narrow"/>
        </w:rPr>
        <w:t xml:space="preserve">Seguimiento a las tareas adquiridas en los diferentes Acuerdos para La Prosperidad correspondiente a los meses de </w:t>
      </w:r>
      <w:r w:rsidR="00FD198B">
        <w:rPr>
          <w:rFonts w:ascii="Arial Narrow" w:hAnsi="Arial Narrow"/>
        </w:rPr>
        <w:t>enero</w:t>
      </w:r>
      <w:r>
        <w:rPr>
          <w:rFonts w:ascii="Arial Narrow" w:hAnsi="Arial Narrow"/>
        </w:rPr>
        <w:t xml:space="preserve">, </w:t>
      </w:r>
      <w:r w:rsidR="00FD198B">
        <w:rPr>
          <w:rFonts w:ascii="Arial Narrow" w:hAnsi="Arial Narrow"/>
        </w:rPr>
        <w:t>febrero</w:t>
      </w:r>
      <w:r>
        <w:rPr>
          <w:rFonts w:ascii="Arial Narrow" w:hAnsi="Arial Narrow"/>
        </w:rPr>
        <w:t xml:space="preserve"> y </w:t>
      </w:r>
      <w:r w:rsidR="00FD198B">
        <w:rPr>
          <w:rFonts w:ascii="Arial Narrow" w:hAnsi="Arial Narrow"/>
        </w:rPr>
        <w:t>marzo</w:t>
      </w:r>
      <w:r w:rsidRPr="00AD571C">
        <w:rPr>
          <w:rFonts w:ascii="Arial Narrow" w:hAnsi="Arial Narrow"/>
        </w:rPr>
        <w:t xml:space="preserve"> a la fecha </w:t>
      </w:r>
      <w:r>
        <w:rPr>
          <w:rFonts w:ascii="Arial Narrow" w:hAnsi="Arial Narrow"/>
        </w:rPr>
        <w:t xml:space="preserve">se han presentado informes de avance </w:t>
      </w:r>
      <w:r w:rsidRPr="00AD571C">
        <w:rPr>
          <w:rFonts w:ascii="Arial Narrow" w:hAnsi="Arial Narrow"/>
        </w:rPr>
        <w:t>sobre la</w:t>
      </w:r>
      <w:r>
        <w:rPr>
          <w:rFonts w:ascii="Arial Narrow" w:hAnsi="Arial Narrow"/>
        </w:rPr>
        <w:t xml:space="preserve"> totalidad de éstas.</w:t>
      </w:r>
    </w:p>
    <w:p w14:paraId="56768C42" w14:textId="77777777" w:rsidR="00165EE4" w:rsidRDefault="00165EE4" w:rsidP="00165EE4">
      <w:pPr>
        <w:pStyle w:val="Prrafodelista"/>
        <w:numPr>
          <w:ilvl w:val="0"/>
          <w:numId w:val="70"/>
        </w:numPr>
        <w:jc w:val="both"/>
        <w:rPr>
          <w:rFonts w:ascii="Arial Narrow" w:hAnsi="Arial Narrow"/>
        </w:rPr>
      </w:pPr>
      <w:r w:rsidRPr="00AD571C">
        <w:rPr>
          <w:rFonts w:ascii="Arial Narrow" w:hAnsi="Arial Narrow"/>
        </w:rPr>
        <w:t xml:space="preserve">Evaluación y mejoramiento de la aplicación para la recolección de información  de gestión contractual del Ministerio de Transporte. </w:t>
      </w:r>
    </w:p>
    <w:p w14:paraId="1CEFABA7" w14:textId="24B70741" w:rsidR="00165EE4" w:rsidRDefault="00165EE4" w:rsidP="00165EE4">
      <w:pPr>
        <w:pStyle w:val="Prrafodelista"/>
        <w:numPr>
          <w:ilvl w:val="0"/>
          <w:numId w:val="70"/>
        </w:numPr>
        <w:jc w:val="both"/>
        <w:rPr>
          <w:rFonts w:ascii="Arial Narrow" w:hAnsi="Arial Narrow"/>
        </w:rPr>
      </w:pPr>
      <w:r>
        <w:rPr>
          <w:rFonts w:ascii="Arial Narrow" w:hAnsi="Arial Narrow"/>
        </w:rPr>
        <w:t>Se realizó seguimiento a los hallazgos de los Planes de Mejoramiento y se formularon las acciones pertinentes para los hallazgos de la auditoria 201</w:t>
      </w:r>
      <w:r w:rsidR="00FD198B">
        <w:rPr>
          <w:rFonts w:ascii="Arial Narrow" w:hAnsi="Arial Narrow"/>
        </w:rPr>
        <w:t>3</w:t>
      </w:r>
      <w:r>
        <w:rPr>
          <w:rFonts w:ascii="Arial Narrow" w:hAnsi="Arial Narrow"/>
        </w:rPr>
        <w:t>.</w:t>
      </w:r>
    </w:p>
    <w:p w14:paraId="3198D9D2" w14:textId="70386A73" w:rsidR="00165EE4" w:rsidRDefault="00165EE4" w:rsidP="00165EE4">
      <w:pPr>
        <w:pStyle w:val="Prrafodelista"/>
        <w:numPr>
          <w:ilvl w:val="0"/>
          <w:numId w:val="70"/>
        </w:numPr>
        <w:jc w:val="both"/>
        <w:rPr>
          <w:rFonts w:ascii="Arial Narrow" w:hAnsi="Arial Narrow"/>
        </w:rPr>
      </w:pPr>
      <w:r>
        <w:rPr>
          <w:rFonts w:ascii="Arial Narrow" w:hAnsi="Arial Narrow"/>
        </w:rPr>
        <w:t>Se ajustó e hizo seguimiento al Plan de Adquisiciones 201</w:t>
      </w:r>
      <w:r w:rsidR="00FD198B">
        <w:rPr>
          <w:rFonts w:ascii="Arial Narrow" w:hAnsi="Arial Narrow"/>
        </w:rPr>
        <w:t>4</w:t>
      </w:r>
      <w:r>
        <w:rPr>
          <w:rFonts w:ascii="Arial Narrow" w:hAnsi="Arial Narrow"/>
        </w:rPr>
        <w:t>.</w:t>
      </w:r>
    </w:p>
    <w:p w14:paraId="1B068B07" w14:textId="77777777" w:rsidR="00707AB2" w:rsidRDefault="00707AB2" w:rsidP="00707AB2">
      <w:pPr>
        <w:pStyle w:val="Prrafodelista"/>
        <w:ind w:left="405"/>
        <w:jc w:val="both"/>
      </w:pPr>
    </w:p>
    <w:p w14:paraId="65103C78" w14:textId="77777777" w:rsidR="009A39D9" w:rsidRPr="0086211C" w:rsidRDefault="009A39D9" w:rsidP="0086211C">
      <w:pPr>
        <w:rPr>
          <w:color w:val="00B0F0"/>
        </w:rPr>
      </w:pPr>
      <w:bookmarkStart w:id="84" w:name="_Toc357434725"/>
      <w:r w:rsidRPr="0086211C">
        <w:rPr>
          <w:b/>
          <w:color w:val="00B0F0"/>
          <w:sz w:val="26"/>
          <w:szCs w:val="26"/>
        </w:rPr>
        <w:t>Grupo Interno de Trabajo de Riesgos</w:t>
      </w:r>
      <w:bookmarkEnd w:id="84"/>
    </w:p>
    <w:p w14:paraId="267DA885" w14:textId="77777777" w:rsidR="009A39D9"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p w14:paraId="3DB6B7CE" w14:textId="77777777" w:rsidR="00AE7AF6" w:rsidRPr="001725EB" w:rsidRDefault="00AE7AF6"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0" w:type="auto"/>
        <w:jc w:val="center"/>
        <w:tblCellMar>
          <w:left w:w="70" w:type="dxa"/>
          <w:right w:w="70" w:type="dxa"/>
        </w:tblCellMar>
        <w:tblLook w:val="04A0" w:firstRow="1" w:lastRow="0" w:firstColumn="1" w:lastColumn="0" w:noHBand="0" w:noVBand="1"/>
      </w:tblPr>
      <w:tblGrid>
        <w:gridCol w:w="5081"/>
        <w:gridCol w:w="1293"/>
        <w:gridCol w:w="1231"/>
        <w:gridCol w:w="1223"/>
      </w:tblGrid>
      <w:tr w:rsidR="00D978B6" w:rsidRPr="00D978B6" w14:paraId="7F3DEA06" w14:textId="77777777" w:rsidTr="00BC6A3A">
        <w:trPr>
          <w:trHeight w:val="255"/>
          <w:jc w:val="center"/>
        </w:trPr>
        <w:tc>
          <w:tcPr>
            <w:tcW w:w="5081"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5B62A3C" w14:textId="77777777" w:rsidR="00D978B6" w:rsidRPr="00D978B6" w:rsidRDefault="00D978B6" w:rsidP="00D978B6">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ACTIVIDAD</w:t>
            </w:r>
          </w:p>
        </w:tc>
        <w:tc>
          <w:tcPr>
            <w:tcW w:w="1293" w:type="dxa"/>
            <w:tcBorders>
              <w:top w:val="single" w:sz="4" w:space="0" w:color="auto"/>
              <w:left w:val="nil"/>
              <w:bottom w:val="single" w:sz="4" w:space="0" w:color="auto"/>
              <w:right w:val="single" w:sz="4" w:space="0" w:color="auto"/>
            </w:tcBorders>
            <w:shd w:val="clear" w:color="000000" w:fill="A5A5A5"/>
            <w:vAlign w:val="center"/>
            <w:hideMark/>
          </w:tcPr>
          <w:p w14:paraId="587F15D0" w14:textId="77777777" w:rsidR="00D978B6" w:rsidRPr="00D978B6" w:rsidRDefault="00D978B6" w:rsidP="00D978B6">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UNIDAD DE MEDIDA</w:t>
            </w:r>
          </w:p>
        </w:tc>
        <w:tc>
          <w:tcPr>
            <w:tcW w:w="1231" w:type="dxa"/>
            <w:tcBorders>
              <w:top w:val="single" w:sz="4" w:space="0" w:color="auto"/>
              <w:left w:val="nil"/>
              <w:bottom w:val="single" w:sz="4" w:space="0" w:color="auto"/>
              <w:right w:val="single" w:sz="4" w:space="0" w:color="auto"/>
            </w:tcBorders>
            <w:shd w:val="clear" w:color="000000" w:fill="A5A5A5"/>
            <w:noWrap/>
            <w:vAlign w:val="center"/>
            <w:hideMark/>
          </w:tcPr>
          <w:p w14:paraId="1E74BA7C" w14:textId="77777777" w:rsidR="00D978B6" w:rsidRPr="00D978B6" w:rsidRDefault="00D978B6" w:rsidP="00D978B6">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META AÑO</w:t>
            </w:r>
          </w:p>
        </w:tc>
        <w:tc>
          <w:tcPr>
            <w:tcW w:w="1223"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7F22EC6D" w14:textId="77777777" w:rsidR="00D978B6" w:rsidRDefault="00D978B6" w:rsidP="00D978B6">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Avance</w:t>
            </w:r>
          </w:p>
          <w:p w14:paraId="79D51970" w14:textId="5D8C4ADE" w:rsidR="00D978B6" w:rsidRPr="00D978B6" w:rsidRDefault="00D978B6">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Pr="00D978B6">
              <w:rPr>
                <w:rFonts w:ascii="Calibri" w:eastAsia="Times New Roman" w:hAnsi="Calibri" w:cs="Calibri"/>
                <w:b/>
                <w:bCs/>
                <w:color w:val="000000"/>
                <w:sz w:val="20"/>
                <w:szCs w:val="20"/>
              </w:rPr>
              <w:t xml:space="preserve"> </w:t>
            </w:r>
            <w:r w:rsidR="00BC6A3A">
              <w:rPr>
                <w:rFonts w:ascii="Calibri" w:eastAsia="Times New Roman" w:hAnsi="Calibri" w:cs="Calibri"/>
                <w:b/>
                <w:bCs/>
                <w:color w:val="000000"/>
                <w:sz w:val="20"/>
                <w:szCs w:val="20"/>
              </w:rPr>
              <w:t>1</w:t>
            </w:r>
          </w:p>
        </w:tc>
      </w:tr>
      <w:tr w:rsidR="00806518" w:rsidRPr="00806518" w14:paraId="28314F80" w14:textId="77777777" w:rsidTr="00BC6A3A">
        <w:trPr>
          <w:trHeight w:val="627"/>
          <w:jc w:val="center"/>
        </w:trPr>
        <w:tc>
          <w:tcPr>
            <w:tcW w:w="5081" w:type="dxa"/>
            <w:tcBorders>
              <w:top w:val="nil"/>
              <w:left w:val="single" w:sz="4" w:space="0" w:color="auto"/>
              <w:bottom w:val="single" w:sz="4" w:space="0" w:color="auto"/>
              <w:right w:val="single" w:sz="4" w:space="0" w:color="auto"/>
            </w:tcBorders>
            <w:shd w:val="clear" w:color="auto" w:fill="auto"/>
            <w:vAlign w:val="center"/>
          </w:tcPr>
          <w:p w14:paraId="0547F0A1" w14:textId="1B7D7A85" w:rsidR="00806518" w:rsidRPr="00D978B6" w:rsidRDefault="00BC6A3A" w:rsidP="00D7499C">
            <w:pPr>
              <w:spacing w:after="0" w:line="240" w:lineRule="auto"/>
              <w:rPr>
                <w:rFonts w:ascii="Calibri" w:eastAsia="Times New Roman" w:hAnsi="Calibri" w:cs="Calibri"/>
                <w:color w:val="000000"/>
                <w:sz w:val="20"/>
                <w:szCs w:val="20"/>
              </w:rPr>
            </w:pPr>
            <w:r w:rsidRPr="00BC6A3A">
              <w:rPr>
                <w:rFonts w:ascii="Calibri" w:eastAsia="Times New Roman" w:hAnsi="Calibri" w:cs="Calibri"/>
                <w:color w:val="000000"/>
                <w:sz w:val="20"/>
                <w:szCs w:val="20"/>
              </w:rPr>
              <w:t>Presentación del documento con la metodología para el manejo en el Fondo de Contingencias Contractuales de las Entidades Estatales, de recursos por concepto de posibles sentencias y conciliaciones,  teniendo en cuenta las  reglamentaciones necesarias para su desarrollo y con base en la  identificación de procesos en Litigob.</w:t>
            </w:r>
          </w:p>
        </w:tc>
        <w:tc>
          <w:tcPr>
            <w:tcW w:w="1293" w:type="dxa"/>
            <w:tcBorders>
              <w:top w:val="nil"/>
              <w:left w:val="nil"/>
              <w:bottom w:val="single" w:sz="4" w:space="0" w:color="auto"/>
              <w:right w:val="single" w:sz="4" w:space="0" w:color="auto"/>
            </w:tcBorders>
            <w:shd w:val="clear" w:color="auto" w:fill="auto"/>
            <w:noWrap/>
          </w:tcPr>
          <w:p w14:paraId="33E6FB20" w14:textId="77777777" w:rsidR="00806518" w:rsidRPr="00D978B6" w:rsidRDefault="00806518" w:rsidP="00806518">
            <w:pPr>
              <w:spacing w:after="0" w:line="240" w:lineRule="auto"/>
              <w:jc w:val="center"/>
              <w:rPr>
                <w:rFonts w:ascii="Calibri" w:eastAsia="Times New Roman" w:hAnsi="Calibri" w:cs="Calibri"/>
                <w:color w:val="000000"/>
                <w:sz w:val="20"/>
                <w:szCs w:val="20"/>
              </w:rPr>
            </w:pPr>
            <w:r w:rsidRPr="0086211C">
              <w:rPr>
                <w:rFonts w:ascii="Calibri" w:eastAsia="Times New Roman" w:hAnsi="Calibri" w:cs="Calibri"/>
                <w:color w:val="000000"/>
                <w:sz w:val="20"/>
                <w:szCs w:val="20"/>
              </w:rPr>
              <w:t>Metodologia</w:t>
            </w:r>
          </w:p>
        </w:tc>
        <w:tc>
          <w:tcPr>
            <w:tcW w:w="1231" w:type="dxa"/>
            <w:tcBorders>
              <w:top w:val="nil"/>
              <w:left w:val="nil"/>
              <w:bottom w:val="single" w:sz="4" w:space="0" w:color="auto"/>
              <w:right w:val="single" w:sz="4" w:space="0" w:color="auto"/>
            </w:tcBorders>
            <w:shd w:val="clear" w:color="auto" w:fill="auto"/>
            <w:noWrap/>
            <w:vAlign w:val="center"/>
          </w:tcPr>
          <w:p w14:paraId="3F3CBBAA" w14:textId="77777777" w:rsidR="00806518" w:rsidRPr="00D978B6" w:rsidRDefault="00806518" w:rsidP="0080651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14:paraId="17F835B6" w14:textId="71DCF898" w:rsidR="00806518" w:rsidRPr="00D978B6" w:rsidRDefault="00E668D0" w:rsidP="0080651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806518" w:rsidRPr="00806518" w14:paraId="0CB9BEA0" w14:textId="77777777" w:rsidTr="00BC6A3A">
        <w:trPr>
          <w:trHeight w:val="423"/>
          <w:jc w:val="center"/>
        </w:trPr>
        <w:tc>
          <w:tcPr>
            <w:tcW w:w="5081" w:type="dxa"/>
            <w:tcBorders>
              <w:top w:val="nil"/>
              <w:left w:val="single" w:sz="4" w:space="0" w:color="auto"/>
              <w:bottom w:val="single" w:sz="4" w:space="0" w:color="auto"/>
              <w:right w:val="single" w:sz="4" w:space="0" w:color="auto"/>
            </w:tcBorders>
            <w:shd w:val="clear" w:color="auto" w:fill="auto"/>
            <w:vAlign w:val="center"/>
          </w:tcPr>
          <w:p w14:paraId="06C3A6D0" w14:textId="79F1598E" w:rsidR="00806518" w:rsidRPr="00D978B6" w:rsidRDefault="00BC6A3A" w:rsidP="00BC6A3A">
            <w:pPr>
              <w:spacing w:after="0" w:line="240" w:lineRule="auto"/>
              <w:rPr>
                <w:rFonts w:ascii="Calibri" w:eastAsia="Times New Roman" w:hAnsi="Calibri" w:cs="Calibri"/>
                <w:color w:val="000000"/>
                <w:sz w:val="20"/>
                <w:szCs w:val="20"/>
              </w:rPr>
            </w:pPr>
            <w:r w:rsidRPr="00BC6A3A">
              <w:rPr>
                <w:rFonts w:ascii="Calibri" w:eastAsia="Times New Roman" w:hAnsi="Calibri" w:cs="Calibri"/>
                <w:color w:val="000000"/>
                <w:sz w:val="20"/>
                <w:szCs w:val="20"/>
              </w:rPr>
              <w:t>Revisión y evaluación de las metodologías de valoración de obligaciones contingentes para proyectos de infraestructura desarrollados a través de esquema de Asociaciones Público Privadas - APP</w:t>
            </w:r>
          </w:p>
        </w:tc>
        <w:tc>
          <w:tcPr>
            <w:tcW w:w="1293" w:type="dxa"/>
            <w:tcBorders>
              <w:top w:val="nil"/>
              <w:left w:val="nil"/>
              <w:bottom w:val="single" w:sz="4" w:space="0" w:color="auto"/>
              <w:right w:val="single" w:sz="4" w:space="0" w:color="auto"/>
            </w:tcBorders>
            <w:shd w:val="clear" w:color="auto" w:fill="auto"/>
            <w:noWrap/>
          </w:tcPr>
          <w:p w14:paraId="1AE32DB7" w14:textId="77777777" w:rsidR="00806518" w:rsidRPr="00D978B6" w:rsidRDefault="00806518" w:rsidP="00806518">
            <w:pPr>
              <w:spacing w:after="0" w:line="240" w:lineRule="auto"/>
              <w:jc w:val="center"/>
              <w:rPr>
                <w:rFonts w:ascii="Calibri" w:eastAsia="Times New Roman" w:hAnsi="Calibri" w:cs="Calibri"/>
                <w:color w:val="000000"/>
                <w:sz w:val="20"/>
                <w:szCs w:val="20"/>
              </w:rPr>
            </w:pPr>
            <w:r w:rsidRPr="0086211C">
              <w:rPr>
                <w:rFonts w:ascii="Calibri" w:eastAsia="Times New Roman" w:hAnsi="Calibri" w:cs="Calibri"/>
                <w:color w:val="000000"/>
                <w:sz w:val="20"/>
                <w:szCs w:val="20"/>
              </w:rPr>
              <w:t>Metodologia</w:t>
            </w:r>
          </w:p>
        </w:tc>
        <w:tc>
          <w:tcPr>
            <w:tcW w:w="1231" w:type="dxa"/>
            <w:tcBorders>
              <w:top w:val="nil"/>
              <w:left w:val="nil"/>
              <w:bottom w:val="single" w:sz="4" w:space="0" w:color="auto"/>
              <w:right w:val="single" w:sz="4" w:space="0" w:color="auto"/>
            </w:tcBorders>
            <w:shd w:val="clear" w:color="auto" w:fill="auto"/>
            <w:noWrap/>
            <w:vAlign w:val="center"/>
          </w:tcPr>
          <w:p w14:paraId="185D8925" w14:textId="77777777" w:rsidR="00806518" w:rsidRPr="00D978B6" w:rsidRDefault="00806518" w:rsidP="0080651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14:paraId="576304BE" w14:textId="4539D561" w:rsidR="00806518" w:rsidRPr="00D978B6" w:rsidRDefault="00E668D0" w:rsidP="0080651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r>
      <w:tr w:rsidR="00806518" w:rsidRPr="00806518" w14:paraId="3EA89BE5" w14:textId="77777777" w:rsidTr="00BC6A3A">
        <w:trPr>
          <w:trHeight w:val="840"/>
          <w:jc w:val="center"/>
        </w:trPr>
        <w:tc>
          <w:tcPr>
            <w:tcW w:w="5081" w:type="dxa"/>
            <w:tcBorders>
              <w:top w:val="nil"/>
              <w:left w:val="single" w:sz="4" w:space="0" w:color="auto"/>
              <w:bottom w:val="single" w:sz="4" w:space="0" w:color="auto"/>
              <w:right w:val="single" w:sz="4" w:space="0" w:color="auto"/>
            </w:tcBorders>
            <w:shd w:val="clear" w:color="auto" w:fill="auto"/>
          </w:tcPr>
          <w:p w14:paraId="4CD2AC2F" w14:textId="382E5B1B" w:rsidR="00806518" w:rsidRPr="00D978B6" w:rsidRDefault="00E668D0" w:rsidP="00D7499C">
            <w:pPr>
              <w:spacing w:after="0" w:line="240" w:lineRule="auto"/>
              <w:rPr>
                <w:rFonts w:ascii="Calibri" w:eastAsia="Times New Roman" w:hAnsi="Calibri" w:cs="Calibri"/>
                <w:color w:val="000000"/>
                <w:sz w:val="20"/>
                <w:szCs w:val="20"/>
              </w:rPr>
            </w:pPr>
            <w:r w:rsidRPr="00E668D0">
              <w:rPr>
                <w:rFonts w:ascii="Calibri" w:eastAsia="Times New Roman" w:hAnsi="Calibri" w:cs="Calibri"/>
                <w:color w:val="000000"/>
                <w:sz w:val="20"/>
                <w:szCs w:val="20"/>
              </w:rPr>
              <w:lastRenderedPageBreak/>
              <w:t>Presentar a la subdirección de riesgos del MHCP Ministerio de Hacienda y Crédito Público para aprobación del plan de aportes para el Fondo de Contingencias Contractuales de las Entidades Estatales, la actualización de  la valoración de contingentes en la matriz de riesgo.</w:t>
            </w:r>
          </w:p>
        </w:tc>
        <w:tc>
          <w:tcPr>
            <w:tcW w:w="1293" w:type="dxa"/>
            <w:tcBorders>
              <w:top w:val="nil"/>
              <w:left w:val="nil"/>
              <w:bottom w:val="single" w:sz="4" w:space="0" w:color="auto"/>
              <w:right w:val="single" w:sz="4" w:space="0" w:color="auto"/>
            </w:tcBorders>
            <w:shd w:val="clear" w:color="auto" w:fill="auto"/>
            <w:noWrap/>
          </w:tcPr>
          <w:p w14:paraId="2BF56053" w14:textId="77777777" w:rsidR="00806518" w:rsidRDefault="00E668D0" w:rsidP="0080651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Planes</w:t>
            </w:r>
          </w:p>
          <w:p w14:paraId="4924596C" w14:textId="6569EEA7" w:rsidR="00E668D0" w:rsidRPr="00D978B6" w:rsidRDefault="00E668D0" w:rsidP="00806518">
            <w:pPr>
              <w:spacing w:after="0" w:line="240" w:lineRule="auto"/>
              <w:jc w:val="center"/>
              <w:rPr>
                <w:rFonts w:ascii="Calibri" w:eastAsia="Times New Roman" w:hAnsi="Calibri" w:cs="Calibri"/>
                <w:color w:val="000000"/>
                <w:sz w:val="20"/>
                <w:szCs w:val="20"/>
              </w:rPr>
            </w:pPr>
          </w:p>
        </w:tc>
        <w:tc>
          <w:tcPr>
            <w:tcW w:w="1231" w:type="dxa"/>
            <w:tcBorders>
              <w:top w:val="nil"/>
              <w:left w:val="nil"/>
              <w:bottom w:val="single" w:sz="4" w:space="0" w:color="auto"/>
              <w:right w:val="single" w:sz="4" w:space="0" w:color="auto"/>
            </w:tcBorders>
            <w:shd w:val="clear" w:color="auto" w:fill="auto"/>
            <w:noWrap/>
            <w:vAlign w:val="center"/>
          </w:tcPr>
          <w:p w14:paraId="12874F9E" w14:textId="72C086B3" w:rsidR="00806518" w:rsidRPr="00D978B6" w:rsidRDefault="00E668D0" w:rsidP="0080651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17</w:t>
            </w:r>
          </w:p>
        </w:tc>
        <w:tc>
          <w:tcPr>
            <w:tcW w:w="1223" w:type="dxa"/>
            <w:tcBorders>
              <w:top w:val="nil"/>
              <w:left w:val="nil"/>
              <w:bottom w:val="single" w:sz="4" w:space="0" w:color="auto"/>
              <w:right w:val="single" w:sz="4" w:space="0" w:color="auto"/>
            </w:tcBorders>
            <w:shd w:val="clear" w:color="auto" w:fill="auto"/>
            <w:noWrap/>
            <w:vAlign w:val="center"/>
          </w:tcPr>
          <w:p w14:paraId="6C060988" w14:textId="56BBD54F" w:rsidR="00806518" w:rsidRPr="00D978B6" w:rsidRDefault="00E668D0" w:rsidP="0080651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r>
      <w:tr w:rsidR="00806518" w:rsidRPr="00806518" w14:paraId="22C163CF" w14:textId="77777777" w:rsidTr="00BC6A3A">
        <w:trPr>
          <w:trHeight w:val="555"/>
          <w:jc w:val="center"/>
        </w:trPr>
        <w:tc>
          <w:tcPr>
            <w:tcW w:w="5081" w:type="dxa"/>
            <w:tcBorders>
              <w:top w:val="nil"/>
              <w:left w:val="single" w:sz="4" w:space="0" w:color="auto"/>
              <w:bottom w:val="single" w:sz="4" w:space="0" w:color="auto"/>
              <w:right w:val="single" w:sz="4" w:space="0" w:color="auto"/>
            </w:tcBorders>
            <w:shd w:val="clear" w:color="auto" w:fill="auto"/>
          </w:tcPr>
          <w:p w14:paraId="657172D6" w14:textId="4083B8F0" w:rsidR="00806518" w:rsidRPr="00D978B6" w:rsidRDefault="00E668D0" w:rsidP="00D7499C">
            <w:pPr>
              <w:spacing w:after="0" w:line="240" w:lineRule="auto"/>
              <w:rPr>
                <w:rFonts w:ascii="Calibri" w:eastAsia="Times New Roman" w:hAnsi="Calibri" w:cs="Calibri"/>
                <w:color w:val="000000"/>
                <w:sz w:val="20"/>
                <w:szCs w:val="20"/>
              </w:rPr>
            </w:pPr>
            <w:r w:rsidRPr="00E668D0">
              <w:rPr>
                <w:rFonts w:ascii="Calibri" w:eastAsia="Times New Roman" w:hAnsi="Calibri" w:cs="Calibri"/>
                <w:color w:val="000000"/>
                <w:sz w:val="20"/>
                <w:szCs w:val="20"/>
              </w:rPr>
              <w:t>Acompañamiento y seguimiento a la subrogación de las Concesiones Aeroportuarias</w:t>
            </w:r>
          </w:p>
        </w:tc>
        <w:tc>
          <w:tcPr>
            <w:tcW w:w="1293" w:type="dxa"/>
            <w:tcBorders>
              <w:top w:val="nil"/>
              <w:left w:val="nil"/>
              <w:bottom w:val="single" w:sz="4" w:space="0" w:color="auto"/>
              <w:right w:val="single" w:sz="4" w:space="0" w:color="auto"/>
            </w:tcBorders>
            <w:shd w:val="clear" w:color="auto" w:fill="auto"/>
            <w:noWrap/>
          </w:tcPr>
          <w:p w14:paraId="4C4F62FE" w14:textId="0CE0F7E4" w:rsidR="00E668D0" w:rsidRPr="00D978B6" w:rsidRDefault="00E668D0" w:rsidP="00E668D0">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Subrogación</w:t>
            </w:r>
          </w:p>
        </w:tc>
        <w:tc>
          <w:tcPr>
            <w:tcW w:w="1231" w:type="dxa"/>
            <w:tcBorders>
              <w:top w:val="nil"/>
              <w:left w:val="nil"/>
              <w:bottom w:val="single" w:sz="4" w:space="0" w:color="auto"/>
              <w:right w:val="single" w:sz="4" w:space="0" w:color="auto"/>
            </w:tcBorders>
            <w:shd w:val="clear" w:color="auto" w:fill="auto"/>
            <w:noWrap/>
            <w:vAlign w:val="center"/>
          </w:tcPr>
          <w:p w14:paraId="1C958FA7" w14:textId="6CA59048" w:rsidR="00806518" w:rsidRPr="00D978B6" w:rsidRDefault="00E668D0" w:rsidP="0080651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w:t>
            </w:r>
          </w:p>
        </w:tc>
        <w:tc>
          <w:tcPr>
            <w:tcW w:w="1223" w:type="dxa"/>
            <w:tcBorders>
              <w:top w:val="nil"/>
              <w:left w:val="nil"/>
              <w:bottom w:val="single" w:sz="4" w:space="0" w:color="auto"/>
              <w:right w:val="single" w:sz="4" w:space="0" w:color="auto"/>
            </w:tcBorders>
            <w:shd w:val="clear" w:color="auto" w:fill="auto"/>
            <w:noWrap/>
            <w:vAlign w:val="center"/>
          </w:tcPr>
          <w:p w14:paraId="30B4CA4B" w14:textId="709974BD" w:rsidR="00806518" w:rsidRPr="00D978B6" w:rsidRDefault="00E668D0" w:rsidP="0080651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w:t>
            </w:r>
          </w:p>
        </w:tc>
      </w:tr>
      <w:tr w:rsidR="00D978B6" w:rsidRPr="00D978B6" w14:paraId="3116C60A" w14:textId="77777777" w:rsidTr="0086211C">
        <w:trPr>
          <w:trHeight w:val="1275"/>
          <w:jc w:val="center"/>
        </w:trPr>
        <w:tc>
          <w:tcPr>
            <w:tcW w:w="5081" w:type="dxa"/>
            <w:tcBorders>
              <w:top w:val="nil"/>
              <w:left w:val="single" w:sz="4" w:space="0" w:color="auto"/>
              <w:bottom w:val="single" w:sz="4" w:space="0" w:color="auto"/>
              <w:right w:val="single" w:sz="4" w:space="0" w:color="auto"/>
            </w:tcBorders>
            <w:shd w:val="clear" w:color="auto" w:fill="auto"/>
            <w:vAlign w:val="center"/>
          </w:tcPr>
          <w:p w14:paraId="2BCEDFBC" w14:textId="3F15CA2D" w:rsidR="00D978B6" w:rsidRPr="00D978B6" w:rsidRDefault="00E668D0" w:rsidP="00D7499C">
            <w:pPr>
              <w:spacing w:after="0" w:line="240" w:lineRule="auto"/>
              <w:rPr>
                <w:rFonts w:ascii="Calibri" w:eastAsia="Times New Roman" w:hAnsi="Calibri" w:cs="Calibri"/>
                <w:color w:val="000000"/>
                <w:sz w:val="20"/>
                <w:szCs w:val="20"/>
              </w:rPr>
            </w:pPr>
            <w:r w:rsidRPr="00E668D0">
              <w:rPr>
                <w:rFonts w:ascii="Calibri" w:eastAsia="Times New Roman" w:hAnsi="Calibri" w:cs="Calibri"/>
                <w:color w:val="000000"/>
                <w:sz w:val="20"/>
                <w:szCs w:val="20"/>
              </w:rPr>
              <w:t xml:space="preserve">Revisión y presentación  de la valoración de contingentes a MHCP Ministerio de Hacienda y Crédito Público y el CPP Comparador Público Privado a DNP Departamento Nacional de Planeación, de proyectos estructurados por Fonade o Fondo de adaptación.   </w:t>
            </w:r>
          </w:p>
        </w:tc>
        <w:tc>
          <w:tcPr>
            <w:tcW w:w="1293" w:type="dxa"/>
            <w:tcBorders>
              <w:top w:val="nil"/>
              <w:left w:val="nil"/>
              <w:bottom w:val="single" w:sz="4" w:space="0" w:color="auto"/>
              <w:right w:val="single" w:sz="4" w:space="0" w:color="auto"/>
            </w:tcBorders>
            <w:shd w:val="clear" w:color="auto" w:fill="auto"/>
            <w:noWrap/>
            <w:vAlign w:val="center"/>
            <w:hideMark/>
          </w:tcPr>
          <w:p w14:paraId="3A69E76B" w14:textId="77777777" w:rsidR="00D978B6" w:rsidRPr="00D978B6" w:rsidRDefault="00D978B6" w:rsidP="00D978B6">
            <w:pPr>
              <w:spacing w:after="0" w:line="240" w:lineRule="auto"/>
              <w:jc w:val="center"/>
              <w:rPr>
                <w:rFonts w:ascii="Calibri" w:eastAsia="Times New Roman" w:hAnsi="Calibri" w:cs="Calibri"/>
                <w:color w:val="000000"/>
                <w:sz w:val="20"/>
                <w:szCs w:val="20"/>
              </w:rPr>
            </w:pPr>
            <w:r w:rsidRPr="00D978B6">
              <w:rPr>
                <w:rFonts w:ascii="Calibri" w:eastAsia="Times New Roman" w:hAnsi="Calibri" w:cs="Calibri"/>
                <w:color w:val="000000"/>
                <w:sz w:val="20"/>
                <w:szCs w:val="20"/>
              </w:rPr>
              <w:t>Informe</w:t>
            </w:r>
          </w:p>
        </w:tc>
        <w:tc>
          <w:tcPr>
            <w:tcW w:w="1231" w:type="dxa"/>
            <w:tcBorders>
              <w:top w:val="nil"/>
              <w:left w:val="nil"/>
              <w:bottom w:val="single" w:sz="4" w:space="0" w:color="auto"/>
              <w:right w:val="single" w:sz="4" w:space="0" w:color="auto"/>
            </w:tcBorders>
            <w:shd w:val="clear" w:color="auto" w:fill="auto"/>
            <w:noWrap/>
            <w:vAlign w:val="center"/>
            <w:hideMark/>
          </w:tcPr>
          <w:p w14:paraId="0BDFCF96" w14:textId="696783F4" w:rsidR="00D978B6" w:rsidRPr="00D978B6" w:rsidRDefault="00E668D0"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18</w:t>
            </w:r>
          </w:p>
        </w:tc>
        <w:tc>
          <w:tcPr>
            <w:tcW w:w="1223" w:type="dxa"/>
            <w:tcBorders>
              <w:top w:val="nil"/>
              <w:left w:val="nil"/>
              <w:bottom w:val="single" w:sz="4" w:space="0" w:color="auto"/>
              <w:right w:val="single" w:sz="4" w:space="0" w:color="auto"/>
            </w:tcBorders>
            <w:shd w:val="clear" w:color="auto" w:fill="auto"/>
            <w:noWrap/>
            <w:vAlign w:val="center"/>
          </w:tcPr>
          <w:p w14:paraId="242B6D8F" w14:textId="6A211564" w:rsidR="00D978B6" w:rsidRPr="00D978B6" w:rsidRDefault="00E668D0" w:rsidP="00D978B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14</w:t>
            </w:r>
          </w:p>
        </w:tc>
      </w:tr>
    </w:tbl>
    <w:p w14:paraId="2AB524D5" w14:textId="77777777" w:rsidR="009A39D9" w:rsidRPr="001725EB" w:rsidRDefault="009A39D9" w:rsidP="009A39D9">
      <w:pPr>
        <w:jc w:val="both"/>
      </w:pPr>
    </w:p>
    <w:p w14:paraId="3AC4E2B2" w14:textId="77777777" w:rsidR="004850A2" w:rsidRPr="00CB26D6" w:rsidRDefault="004850A2" w:rsidP="004850A2">
      <w:pPr>
        <w:jc w:val="both"/>
        <w:rPr>
          <w:rFonts w:ascii="Arial Narrow" w:hAnsi="Arial Narrow"/>
        </w:rPr>
      </w:pPr>
      <w:r w:rsidRPr="00CB26D6">
        <w:rPr>
          <w:rFonts w:ascii="Arial Narrow" w:hAnsi="Arial Narrow"/>
        </w:rPr>
        <w:t>Durante el primer trimestre de 2014 las actividades de la gerencia de riesgos han sido modificadas de acuerdo con los objetivos y metas dadas por la Presidencia y Vicepresidencia de Planeación Riesgos y Entorno, los cambios realizados están en línea con las prioridades dadas a los proyectos de concesión en los modos carretero, aeroportuario, portuario y férreo, así como los cronogramas establecidos para la estructuración de nuevos proyectos para todas las actividades relacionadas con la creación y seguimiento del análisis de riesgos de los proyectos vigentes y nuevos.</w:t>
      </w:r>
    </w:p>
    <w:p w14:paraId="7561B46D" w14:textId="397B0A5E" w:rsidR="004850A2" w:rsidRPr="004850A2" w:rsidRDefault="004850A2" w:rsidP="004850A2">
      <w:pPr>
        <w:jc w:val="both"/>
        <w:rPr>
          <w:rFonts w:ascii="Arial Narrow" w:hAnsi="Arial Narrow"/>
          <w:b/>
        </w:rPr>
      </w:pPr>
      <w:r>
        <w:rPr>
          <w:rFonts w:ascii="Arial Narrow" w:hAnsi="Arial Narrow"/>
        </w:rPr>
        <w:br/>
      </w:r>
      <w:r w:rsidRPr="004850A2">
        <w:rPr>
          <w:rFonts w:ascii="Arial Narrow" w:hAnsi="Arial Narrow"/>
          <w:b/>
        </w:rPr>
        <w:t>Actividades mes de enero de 2014</w:t>
      </w:r>
    </w:p>
    <w:p w14:paraId="66C10294" w14:textId="77777777" w:rsidR="004850A2" w:rsidRPr="00CB26D6" w:rsidRDefault="004850A2" w:rsidP="004850A2">
      <w:pPr>
        <w:jc w:val="both"/>
        <w:rPr>
          <w:rFonts w:ascii="Arial Narrow" w:hAnsi="Arial Narrow"/>
        </w:rPr>
      </w:pPr>
      <w:r w:rsidRPr="00CB26D6">
        <w:rPr>
          <w:rFonts w:ascii="Arial Narrow" w:hAnsi="Arial Narrow"/>
        </w:rPr>
        <w:t>Revisión y evaluación de las metodologías de valoración de obligaciones contingentes para proyectos de infraestructura desarrollados a través de esquema de Asociaciones Público Privadas – APP</w:t>
      </w:r>
    </w:p>
    <w:p w14:paraId="59754939" w14:textId="77777777" w:rsidR="004850A2" w:rsidRPr="00CB26D6" w:rsidRDefault="004850A2" w:rsidP="004850A2">
      <w:pPr>
        <w:jc w:val="both"/>
        <w:rPr>
          <w:rFonts w:ascii="Arial Narrow" w:hAnsi="Arial Narrow"/>
        </w:rPr>
      </w:pPr>
      <w:r w:rsidRPr="00CB26D6">
        <w:rPr>
          <w:rFonts w:ascii="Arial Narrow" w:hAnsi="Arial Narrow"/>
        </w:rPr>
        <w:t>Esta meta se cumple con la entrega del informe final de la consultoría desarrollada por la firma Valora</w:t>
      </w:r>
    </w:p>
    <w:p w14:paraId="0386EAAD" w14:textId="77777777" w:rsidR="004850A2" w:rsidRPr="00CB26D6" w:rsidRDefault="004850A2" w:rsidP="004850A2">
      <w:pPr>
        <w:jc w:val="both"/>
        <w:rPr>
          <w:rFonts w:ascii="Arial Narrow" w:hAnsi="Arial Narrow"/>
        </w:rPr>
      </w:pPr>
      <w:r w:rsidRPr="00CB26D6">
        <w:rPr>
          <w:rFonts w:ascii="Arial Narrow" w:hAnsi="Arial Narrow"/>
        </w:rPr>
        <w:t>Mediante la comunicación N° 2014-409-0030078-2 del 24 de enero de 2014.</w:t>
      </w:r>
    </w:p>
    <w:p w14:paraId="26C27C28" w14:textId="77777777" w:rsidR="004850A2" w:rsidRPr="00CB26D6" w:rsidRDefault="004850A2" w:rsidP="004850A2">
      <w:pPr>
        <w:jc w:val="both"/>
        <w:rPr>
          <w:rFonts w:ascii="Arial Narrow" w:hAnsi="Arial Narrow"/>
        </w:rPr>
      </w:pPr>
      <w:r w:rsidRPr="00CB26D6">
        <w:rPr>
          <w:rFonts w:ascii="Arial Narrow" w:hAnsi="Arial Narrow"/>
        </w:rPr>
        <w:t>Acompañamiento y seguimiento a la subrogación de las Concesiones Aeroportuarias</w:t>
      </w:r>
    </w:p>
    <w:p w14:paraId="445CEC88" w14:textId="77777777" w:rsidR="004850A2" w:rsidRPr="00CB26D6" w:rsidRDefault="004850A2" w:rsidP="004850A2">
      <w:pPr>
        <w:jc w:val="both"/>
        <w:rPr>
          <w:rFonts w:ascii="Arial Narrow" w:hAnsi="Arial Narrow"/>
        </w:rPr>
      </w:pPr>
      <w:r w:rsidRPr="00CB26D6">
        <w:rPr>
          <w:rFonts w:ascii="Arial Narrow" w:hAnsi="Arial Narrow"/>
        </w:rPr>
        <w:t>Durante el mes de enero se dio el acompañamiento a los procesos de subrogación de los contratos aeroportuarios de Cali, Centro Norte, Nororiente, CODAD y el Dorado.</w:t>
      </w:r>
    </w:p>
    <w:p w14:paraId="3DB4D93C" w14:textId="77777777" w:rsidR="004850A2" w:rsidRPr="00CB26D6" w:rsidRDefault="004850A2" w:rsidP="004850A2">
      <w:pPr>
        <w:jc w:val="both"/>
        <w:rPr>
          <w:rFonts w:ascii="Arial Narrow" w:hAnsi="Arial Narrow"/>
        </w:rPr>
      </w:pPr>
      <w:r w:rsidRPr="00CB26D6">
        <w:rPr>
          <w:rFonts w:ascii="Arial Narrow" w:hAnsi="Arial Narrow"/>
        </w:rPr>
        <w:t>Acompañamiento en la estructuración de las Interventorías a contratos de concesión portuarios, aeroportuarios y carreteros.</w:t>
      </w:r>
    </w:p>
    <w:p w14:paraId="0E0F3C71" w14:textId="77777777" w:rsidR="004850A2" w:rsidRPr="00CB26D6" w:rsidRDefault="004850A2" w:rsidP="004850A2">
      <w:pPr>
        <w:jc w:val="both"/>
        <w:rPr>
          <w:rFonts w:ascii="Arial Narrow" w:hAnsi="Arial Narrow"/>
        </w:rPr>
      </w:pPr>
      <w:r w:rsidRPr="00CB26D6">
        <w:rPr>
          <w:rFonts w:ascii="Arial Narrow" w:hAnsi="Arial Narrow"/>
        </w:rPr>
        <w:t xml:space="preserve">Esta meta se cumple con los acompañamientos realizados a los procesos de interventoría del contrato de concesión carretera del Área Metropolitana de Cúcuta y el aeropuerto de Cali. </w:t>
      </w:r>
    </w:p>
    <w:p w14:paraId="69CB3059" w14:textId="77777777" w:rsidR="004850A2" w:rsidRPr="00CB26D6" w:rsidRDefault="004850A2" w:rsidP="004850A2">
      <w:pPr>
        <w:jc w:val="both"/>
        <w:rPr>
          <w:rFonts w:ascii="Arial Narrow" w:hAnsi="Arial Narrow"/>
        </w:rPr>
      </w:pPr>
      <w:r w:rsidRPr="00CB26D6">
        <w:rPr>
          <w:rFonts w:ascii="Arial Narrow" w:hAnsi="Arial Narrow"/>
        </w:rPr>
        <w:t>Ajuste y seguimiento al mapa de riesgos anticorrupción de acuerdo a los focos estratégicos y del mapa de riesgo institucional</w:t>
      </w:r>
    </w:p>
    <w:p w14:paraId="3DE85908" w14:textId="77777777" w:rsidR="004850A2" w:rsidRPr="00CB26D6" w:rsidRDefault="004850A2" w:rsidP="004850A2">
      <w:pPr>
        <w:jc w:val="both"/>
        <w:rPr>
          <w:rFonts w:ascii="Arial Narrow" w:hAnsi="Arial Narrow"/>
        </w:rPr>
      </w:pPr>
      <w:r w:rsidRPr="00CB26D6">
        <w:rPr>
          <w:rFonts w:ascii="Arial Narrow" w:hAnsi="Arial Narrow"/>
        </w:rPr>
        <w:t>Durante enero se llevó a cabo el ajuste al mapa de riesgos anticorrupción 2014, junto con su publicación en la página web de la entidad, de acuerdo a lo aprobado por cada una de las áreas involucradas y que fue remitido vía correo electrónico.</w:t>
      </w:r>
    </w:p>
    <w:p w14:paraId="5756A69E" w14:textId="77777777" w:rsidR="004850A2" w:rsidRPr="004850A2" w:rsidRDefault="004850A2" w:rsidP="004850A2">
      <w:pPr>
        <w:jc w:val="both"/>
        <w:rPr>
          <w:rFonts w:ascii="Arial Narrow" w:hAnsi="Arial Narrow"/>
          <w:b/>
        </w:rPr>
      </w:pPr>
      <w:r w:rsidRPr="004850A2">
        <w:rPr>
          <w:rFonts w:ascii="Arial Narrow" w:hAnsi="Arial Narrow"/>
          <w:b/>
        </w:rPr>
        <w:lastRenderedPageBreak/>
        <w:t>Actividades mes de febrero de 2014</w:t>
      </w:r>
    </w:p>
    <w:p w14:paraId="4A9C2414" w14:textId="77777777" w:rsidR="004850A2" w:rsidRPr="00CB26D6" w:rsidRDefault="004850A2" w:rsidP="004850A2">
      <w:pPr>
        <w:jc w:val="both"/>
        <w:rPr>
          <w:rFonts w:ascii="Arial Narrow" w:hAnsi="Arial Narrow"/>
        </w:rPr>
      </w:pPr>
      <w:r w:rsidRPr="00CB26D6">
        <w:rPr>
          <w:rFonts w:ascii="Arial Narrow" w:hAnsi="Arial Narrow"/>
        </w:rPr>
        <w:t>Revisión y evaluación de las metodologías de valoración de obligaciones contingentes para proyectos de infraestructura desarrollados a través de esquema de Asociaciones Público Privadas – APP</w:t>
      </w:r>
    </w:p>
    <w:p w14:paraId="03937B32" w14:textId="77777777" w:rsidR="004850A2" w:rsidRPr="00CB26D6" w:rsidRDefault="004850A2" w:rsidP="004850A2">
      <w:pPr>
        <w:jc w:val="both"/>
        <w:rPr>
          <w:rFonts w:ascii="Arial Narrow" w:hAnsi="Arial Narrow"/>
        </w:rPr>
      </w:pPr>
      <w:r w:rsidRPr="00CB26D6">
        <w:rPr>
          <w:rFonts w:ascii="Arial Narrow" w:hAnsi="Arial Narrow"/>
        </w:rPr>
        <w:t>Esta meta se cumple con la entrega del informe final de la consultoría desarrollada por la firma Valora</w:t>
      </w:r>
    </w:p>
    <w:p w14:paraId="4BE9ED01" w14:textId="77777777" w:rsidR="004850A2" w:rsidRPr="00CB26D6" w:rsidRDefault="004850A2" w:rsidP="004850A2">
      <w:pPr>
        <w:jc w:val="both"/>
        <w:rPr>
          <w:rFonts w:ascii="Arial Narrow" w:hAnsi="Arial Narrow"/>
        </w:rPr>
      </w:pPr>
      <w:r w:rsidRPr="00CB26D6">
        <w:rPr>
          <w:rFonts w:ascii="Arial Narrow" w:hAnsi="Arial Narrow"/>
        </w:rPr>
        <w:t xml:space="preserve">Mediante la comunicación N° 2014-409-0030078-2 del 24 de enero de 2014, esta consultoría ya fue liquidada y en la actualidad se está socializando los resultadas de está, con el área de riesgos del Ministerio de Hacienda y Crédito Público. </w:t>
      </w:r>
    </w:p>
    <w:p w14:paraId="7D0D4198" w14:textId="77777777" w:rsidR="004850A2" w:rsidRPr="00CB26D6" w:rsidRDefault="004850A2" w:rsidP="004850A2">
      <w:pPr>
        <w:jc w:val="both"/>
        <w:rPr>
          <w:rFonts w:ascii="Arial Narrow" w:hAnsi="Arial Narrow"/>
        </w:rPr>
      </w:pPr>
      <w:r w:rsidRPr="00CB26D6">
        <w:rPr>
          <w:rFonts w:ascii="Arial Narrow" w:hAnsi="Arial Narrow"/>
        </w:rPr>
        <w:t>Presentar a la subdirección de riesgos del MHCP Ministerio de Hacienda y Crédito Público para aprobación del plan de aportes para el Fondo de Contingencias Contractuales de las Entidades Estatales, la actualización de  la valoración de contingentes en la matriz de riesgo.</w:t>
      </w:r>
    </w:p>
    <w:p w14:paraId="3FD1808C" w14:textId="77777777" w:rsidR="004850A2" w:rsidRPr="00CB26D6" w:rsidRDefault="004850A2" w:rsidP="004850A2">
      <w:pPr>
        <w:jc w:val="both"/>
        <w:rPr>
          <w:rFonts w:ascii="Arial Narrow" w:hAnsi="Arial Narrow"/>
        </w:rPr>
      </w:pPr>
      <w:r w:rsidRPr="00CB26D6">
        <w:rPr>
          <w:rFonts w:ascii="Arial Narrow" w:hAnsi="Arial Narrow"/>
        </w:rPr>
        <w:t>La meta correspondiente al mes de febrero está dada a través de los proyecto Trasversal de las Américas con el comunicado N° 2014-602-003055-1 del 19 de febrero de 2014.</w:t>
      </w:r>
    </w:p>
    <w:p w14:paraId="4409871A" w14:textId="77777777" w:rsidR="004850A2" w:rsidRPr="00CB26D6" w:rsidRDefault="004850A2" w:rsidP="004850A2">
      <w:pPr>
        <w:jc w:val="both"/>
        <w:rPr>
          <w:rFonts w:ascii="Arial Narrow" w:hAnsi="Arial Narrow"/>
        </w:rPr>
      </w:pPr>
      <w:r w:rsidRPr="00CB26D6">
        <w:rPr>
          <w:rFonts w:ascii="Arial Narrow" w:hAnsi="Arial Narrow"/>
        </w:rPr>
        <w:t xml:space="preserve">Revisión y presentación de la valoración de contingentes a MHCP Ministerio de Hacienda y Crédito Público y el CPP Comparador Público Privado a DNP Departamento Nacional de Planeación, de proyectos estructurados por Fonade o Fondo de adaptación.  </w:t>
      </w:r>
    </w:p>
    <w:p w14:paraId="1945A8DA" w14:textId="77777777" w:rsidR="004850A2" w:rsidRPr="00CB26D6" w:rsidRDefault="004850A2" w:rsidP="004850A2">
      <w:pPr>
        <w:jc w:val="both"/>
        <w:rPr>
          <w:rFonts w:ascii="Arial Narrow" w:hAnsi="Arial Narrow"/>
        </w:rPr>
      </w:pPr>
      <w:r w:rsidRPr="00CB26D6">
        <w:rPr>
          <w:rFonts w:ascii="Arial Narrow" w:hAnsi="Arial Narrow"/>
        </w:rPr>
        <w:t>Esta meta no pudo ser ejecutada durante el primer trimestre del año 2014, de acuerdo a lo planteado en el plan de acción remitido, ya que estas actividades depende</w:t>
      </w:r>
      <w:r>
        <w:rPr>
          <w:rFonts w:ascii="Arial Narrow" w:hAnsi="Arial Narrow"/>
        </w:rPr>
        <w:t>n</w:t>
      </w:r>
      <w:r w:rsidRPr="00CB26D6">
        <w:rPr>
          <w:rFonts w:ascii="Arial Narrow" w:hAnsi="Arial Narrow"/>
        </w:rPr>
        <w:t xml:space="preserve"> del cronograma que establece la Vicepresidencia de Estructuración.</w:t>
      </w:r>
    </w:p>
    <w:p w14:paraId="1499C590" w14:textId="77777777" w:rsidR="0020664E" w:rsidRDefault="0020664E" w:rsidP="004850A2">
      <w:pPr>
        <w:jc w:val="both"/>
        <w:rPr>
          <w:rFonts w:ascii="Arial Narrow" w:hAnsi="Arial Narrow"/>
        </w:rPr>
      </w:pPr>
    </w:p>
    <w:p w14:paraId="1C316DF5" w14:textId="77777777" w:rsidR="004850A2" w:rsidRPr="0020664E" w:rsidRDefault="004850A2" w:rsidP="004850A2">
      <w:pPr>
        <w:jc w:val="both"/>
        <w:rPr>
          <w:rFonts w:ascii="Arial Narrow" w:hAnsi="Arial Narrow"/>
          <w:b/>
        </w:rPr>
      </w:pPr>
      <w:r w:rsidRPr="0020664E">
        <w:rPr>
          <w:rFonts w:ascii="Arial Narrow" w:hAnsi="Arial Narrow"/>
          <w:b/>
        </w:rPr>
        <w:t>Actividades mes de marzo de 2014</w:t>
      </w:r>
    </w:p>
    <w:p w14:paraId="4788FB2A" w14:textId="77777777" w:rsidR="004850A2" w:rsidRPr="00CB26D6" w:rsidRDefault="004850A2" w:rsidP="004850A2">
      <w:pPr>
        <w:jc w:val="both"/>
        <w:rPr>
          <w:rFonts w:ascii="Arial Narrow" w:hAnsi="Arial Narrow"/>
        </w:rPr>
      </w:pPr>
      <w:r w:rsidRPr="00CB26D6">
        <w:rPr>
          <w:rFonts w:ascii="Arial Narrow" w:hAnsi="Arial Narrow"/>
        </w:rPr>
        <w:t>Presentación del documento con la metodología para el manejo en el Fondo de Contingencias Contractuales de las Entidades Estatales, de recursos por concepto de posibles sentencias y conciliaciones, teniendo en cuenta las reglamentaciones necesarias para su desarrollo y con base en la identificación de procesos en Litigob.</w:t>
      </w:r>
    </w:p>
    <w:p w14:paraId="56E6B134" w14:textId="77777777" w:rsidR="004850A2" w:rsidRPr="00CB26D6" w:rsidRDefault="004850A2" w:rsidP="004850A2">
      <w:pPr>
        <w:jc w:val="both"/>
        <w:rPr>
          <w:rFonts w:ascii="Arial Narrow" w:hAnsi="Arial Narrow"/>
        </w:rPr>
      </w:pPr>
      <w:r w:rsidRPr="00CB26D6">
        <w:rPr>
          <w:rFonts w:ascii="Arial Narrow" w:hAnsi="Arial Narrow"/>
        </w:rPr>
        <w:t>Esta meta no pudo ejecutarse como se indicó en el plan de acción remitido, ya que a la fecha no se cuenta con la base de información, que fue solicitada por esta gerencia al área de defensa judicial de la entidad.</w:t>
      </w:r>
    </w:p>
    <w:p w14:paraId="20663B39" w14:textId="77777777" w:rsidR="004850A2" w:rsidRPr="00CB26D6" w:rsidRDefault="004850A2" w:rsidP="004850A2">
      <w:pPr>
        <w:jc w:val="both"/>
        <w:rPr>
          <w:rFonts w:ascii="Arial Narrow" w:hAnsi="Arial Narrow"/>
        </w:rPr>
      </w:pPr>
      <w:r w:rsidRPr="00CB26D6">
        <w:rPr>
          <w:rFonts w:ascii="Arial Narrow" w:hAnsi="Arial Narrow"/>
        </w:rPr>
        <w:t>Presentar a la subdirección de riesgos del MHCP Ministerio de Hacienda y Crédito Público para aprobación del plan de aportes para el Fondo de Contingencias Contractuales de las Entidades Estatales, la actualización de  la valoración de contingentes en la matriz de riesgo.</w:t>
      </w:r>
    </w:p>
    <w:p w14:paraId="0B5F0CE2" w14:textId="77777777" w:rsidR="004850A2" w:rsidRPr="00CB26D6" w:rsidRDefault="004850A2" w:rsidP="004850A2">
      <w:pPr>
        <w:jc w:val="both"/>
        <w:rPr>
          <w:rFonts w:ascii="Arial Narrow" w:hAnsi="Arial Narrow"/>
        </w:rPr>
      </w:pPr>
      <w:r w:rsidRPr="00CB26D6">
        <w:rPr>
          <w:rFonts w:ascii="Arial Narrow" w:hAnsi="Arial Narrow"/>
        </w:rPr>
        <w:t xml:space="preserve">La meta correspondiente al mes de marzo está dada a través de los proyecto Zona Metropolitana de Bucaramanga, plan que fue remitido al MHCP mediante la comunicación N° 2014-602-0054871 del 20 de marzo de 2014 y que actualmente se encuentra a la espera de las observaciones y comentarios. </w:t>
      </w:r>
    </w:p>
    <w:p w14:paraId="587DEF39" w14:textId="77777777" w:rsidR="004850A2" w:rsidRPr="00CB26D6" w:rsidRDefault="004850A2" w:rsidP="004850A2">
      <w:pPr>
        <w:jc w:val="both"/>
        <w:rPr>
          <w:rFonts w:ascii="Arial Narrow" w:hAnsi="Arial Narrow"/>
        </w:rPr>
      </w:pPr>
      <w:r w:rsidRPr="00CB26D6">
        <w:rPr>
          <w:rFonts w:ascii="Arial Narrow" w:hAnsi="Arial Narrow"/>
        </w:rPr>
        <w:t xml:space="preserve">Revisión y presentación de la valoración de contingentes a MHCP Ministerio de Hacienda y Crédito Público y el CPP Comparador Público Privado a DNP Departamento Nacional de Planeación, de proyectos estructurados por Fonade o Fondo de adaptación.  </w:t>
      </w:r>
    </w:p>
    <w:p w14:paraId="689373AB" w14:textId="77777777" w:rsidR="004850A2" w:rsidRPr="00CB26D6" w:rsidRDefault="004850A2" w:rsidP="004850A2">
      <w:pPr>
        <w:jc w:val="both"/>
        <w:rPr>
          <w:rFonts w:ascii="Arial Narrow" w:hAnsi="Arial Narrow"/>
        </w:rPr>
      </w:pPr>
      <w:r w:rsidRPr="00CB26D6">
        <w:rPr>
          <w:rFonts w:ascii="Arial Narrow" w:hAnsi="Arial Narrow"/>
        </w:rPr>
        <w:lastRenderedPageBreak/>
        <w:t>Esta meta no pudo ser ejecutada durante el primer trimestre del año 2014 de acuerdo a o planteado en el plan de acción remitido ya que estas actividades depende del cronograma que establece la Vicepresidencia de Estructuración.</w:t>
      </w:r>
    </w:p>
    <w:p w14:paraId="780F3283" w14:textId="77777777" w:rsidR="004850A2" w:rsidRPr="00CB26D6" w:rsidRDefault="004850A2" w:rsidP="004850A2">
      <w:pPr>
        <w:jc w:val="both"/>
        <w:rPr>
          <w:rFonts w:ascii="Arial Narrow" w:hAnsi="Arial Narrow"/>
        </w:rPr>
      </w:pPr>
      <w:r w:rsidRPr="00CB26D6">
        <w:rPr>
          <w:rFonts w:ascii="Arial Narrow" w:hAnsi="Arial Narrow"/>
        </w:rPr>
        <w:t>Acompañamiento en la estructuración de las Interventorías a contratos de concesión portuarios, aeroportuarios y carreteros.</w:t>
      </w:r>
    </w:p>
    <w:p w14:paraId="16260F1E" w14:textId="77777777" w:rsidR="004850A2" w:rsidRPr="00CB26D6" w:rsidRDefault="004850A2" w:rsidP="004850A2">
      <w:pPr>
        <w:jc w:val="both"/>
        <w:rPr>
          <w:rFonts w:ascii="Arial Narrow" w:hAnsi="Arial Narrow"/>
        </w:rPr>
      </w:pPr>
      <w:r w:rsidRPr="00CB26D6">
        <w:rPr>
          <w:rFonts w:ascii="Arial Narrow" w:hAnsi="Arial Narrow"/>
        </w:rPr>
        <w:t>Para este mes se tenían previsto los acompañamientos de los procesos de interventoría de puertos, los cuales no se han realizado ya que dicho acompañamiento depende de los cronogramas que están siendo ajustados por la gerencia de puertos.</w:t>
      </w:r>
    </w:p>
    <w:p w14:paraId="2F69FB21" w14:textId="77777777" w:rsidR="004850A2" w:rsidRPr="00CB26D6" w:rsidRDefault="004850A2" w:rsidP="004850A2">
      <w:pPr>
        <w:jc w:val="both"/>
        <w:rPr>
          <w:rFonts w:ascii="Arial Narrow" w:hAnsi="Arial Narrow"/>
        </w:rPr>
      </w:pPr>
      <w:r w:rsidRPr="00CB26D6">
        <w:rPr>
          <w:rFonts w:ascii="Arial Narrow" w:hAnsi="Arial Narrow"/>
        </w:rPr>
        <w:t>Ajuste y seguimiento al mapa de riesgos anticorrupción de acuerdo a los focos estratégicos y del mapa de riesgo institucional</w:t>
      </w:r>
    </w:p>
    <w:p w14:paraId="50E038FB" w14:textId="77777777" w:rsidR="004850A2" w:rsidRPr="00CB26D6" w:rsidRDefault="004850A2" w:rsidP="004850A2">
      <w:pPr>
        <w:jc w:val="both"/>
        <w:rPr>
          <w:rFonts w:ascii="Arial Narrow" w:hAnsi="Arial Narrow"/>
        </w:rPr>
      </w:pPr>
      <w:r w:rsidRPr="00CB26D6">
        <w:rPr>
          <w:rFonts w:ascii="Arial Narrow" w:hAnsi="Arial Narrow"/>
        </w:rPr>
        <w:t>El seguimiento que estaba programado para el mes de marzo, no pudo ser realizado debido a que las diferentes áreas no han remitido los ejercicios solicitados, que son previos a este seguimiento.</w:t>
      </w:r>
    </w:p>
    <w:p w14:paraId="5E91ED0F" w14:textId="6A3CE4D9" w:rsidR="004850A2" w:rsidRDefault="004850A2" w:rsidP="004850A2">
      <w:pPr>
        <w:jc w:val="both"/>
        <w:rPr>
          <w:rFonts w:ascii="Arial Narrow" w:hAnsi="Arial Narrow"/>
        </w:rPr>
      </w:pPr>
      <w:r w:rsidRPr="0055477D">
        <w:rPr>
          <w:rFonts w:ascii="Arial Narrow" w:hAnsi="Arial Narrow"/>
        </w:rPr>
        <w:t>Revisión y documentación de la</w:t>
      </w:r>
      <w:r w:rsidR="0020664E">
        <w:rPr>
          <w:rFonts w:ascii="Arial Narrow" w:hAnsi="Arial Narrow"/>
        </w:rPr>
        <w:t>s</w:t>
      </w:r>
      <w:r w:rsidRPr="0055477D">
        <w:rPr>
          <w:rFonts w:ascii="Arial Narrow" w:hAnsi="Arial Narrow"/>
        </w:rPr>
        <w:t xml:space="preserve"> metodologías existentes para la valoración de riesgos por desastres en infraestructura (enfocada hacia infraestructura carretera</w:t>
      </w:r>
      <w:r>
        <w:rPr>
          <w:rFonts w:ascii="Arial Narrow" w:hAnsi="Arial Narrow"/>
        </w:rPr>
        <w:t>)</w:t>
      </w:r>
    </w:p>
    <w:p w14:paraId="579E409D" w14:textId="1F40337D" w:rsidR="007D4DD3" w:rsidRDefault="004850A2" w:rsidP="004850A2">
      <w:pPr>
        <w:jc w:val="both"/>
        <w:rPr>
          <w:rFonts w:ascii="Arial Narrow" w:hAnsi="Arial Narrow"/>
        </w:rPr>
      </w:pPr>
      <w:r w:rsidRPr="00172486">
        <w:rPr>
          <w:rFonts w:ascii="Arial Narrow" w:hAnsi="Arial Narrow"/>
        </w:rPr>
        <w:t>Se elaboró documento indicativo con la bibliografía relacionada al tema, la cual servirá de soporte para actividades de consultoría</w:t>
      </w:r>
      <w:r>
        <w:rPr>
          <w:rFonts w:ascii="Arial Narrow" w:hAnsi="Arial Narrow"/>
        </w:rPr>
        <w:t xml:space="preserve"> que se contratarían en el segundo semestre.</w:t>
      </w:r>
    </w:p>
    <w:p w14:paraId="5133676E" w14:textId="77777777" w:rsidR="00E668D0" w:rsidRPr="00040ECD" w:rsidRDefault="00E668D0" w:rsidP="00AE7AF6">
      <w:pPr>
        <w:jc w:val="both"/>
        <w:rPr>
          <w:rFonts w:ascii="Arial Narrow" w:hAnsi="Arial Narrow"/>
        </w:rPr>
      </w:pPr>
    </w:p>
    <w:p w14:paraId="0E3C201D" w14:textId="77777777" w:rsidR="009A39D9" w:rsidRPr="0086211C" w:rsidRDefault="009A39D9" w:rsidP="0086211C">
      <w:pPr>
        <w:rPr>
          <w:color w:val="00B0F0"/>
        </w:rPr>
      </w:pPr>
      <w:bookmarkStart w:id="85" w:name="_Toc357434726"/>
      <w:r w:rsidRPr="0086211C">
        <w:rPr>
          <w:b/>
          <w:color w:val="00B0F0"/>
          <w:sz w:val="26"/>
          <w:szCs w:val="26"/>
        </w:rPr>
        <w:t>Grupo Interno de Trabajo de Sistemas y Tecnologías de Información</w:t>
      </w:r>
      <w:bookmarkEnd w:id="85"/>
    </w:p>
    <w:p w14:paraId="33A8B4DA" w14:textId="359B4FDA" w:rsidR="007D4DD3" w:rsidRDefault="007D4DD3" w:rsidP="007D4DD3">
      <w:pPr>
        <w:jc w:val="both"/>
      </w:pPr>
      <w:r>
        <w:t xml:space="preserve">El Grupo Interno de Trabajo de Sistemas y Tecnologías de Información, en el </w:t>
      </w:r>
      <w:r w:rsidR="0007345F">
        <w:t>primer</w:t>
      </w:r>
      <w:r>
        <w:t xml:space="preserve"> trimestre tuvo el siguiente cumplimiento de las</w:t>
      </w:r>
      <w:r w:rsidRPr="00CC33AD">
        <w:t xml:space="preserve"> </w:t>
      </w:r>
      <w:r>
        <w:t>metas establecidas en el Plan de Acción:</w:t>
      </w:r>
    </w:p>
    <w:p w14:paraId="52FF85EF" w14:textId="77777777" w:rsidR="007D4DD3" w:rsidRDefault="007D4DD3" w:rsidP="007D4DD3">
      <w:pPr>
        <w:jc w:val="both"/>
      </w:pPr>
    </w:p>
    <w:tbl>
      <w:tblPr>
        <w:tblW w:w="0" w:type="auto"/>
        <w:jc w:val="center"/>
        <w:tblCellMar>
          <w:left w:w="70" w:type="dxa"/>
          <w:right w:w="70" w:type="dxa"/>
        </w:tblCellMar>
        <w:tblLook w:val="04A0" w:firstRow="1" w:lastRow="0" w:firstColumn="1" w:lastColumn="0" w:noHBand="0" w:noVBand="1"/>
      </w:tblPr>
      <w:tblGrid>
        <w:gridCol w:w="5081"/>
        <w:gridCol w:w="1293"/>
        <w:gridCol w:w="1231"/>
        <w:gridCol w:w="1223"/>
      </w:tblGrid>
      <w:tr w:rsidR="001817FF" w:rsidRPr="00D978B6" w14:paraId="5109838C" w14:textId="77777777" w:rsidTr="0037346F">
        <w:trPr>
          <w:trHeight w:val="255"/>
          <w:jc w:val="center"/>
        </w:trPr>
        <w:tc>
          <w:tcPr>
            <w:tcW w:w="5081"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1DF7E2DA" w14:textId="77777777" w:rsidR="001817FF" w:rsidRPr="00D978B6" w:rsidRDefault="001817FF" w:rsidP="0037346F">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ACTIVIDAD</w:t>
            </w:r>
          </w:p>
        </w:tc>
        <w:tc>
          <w:tcPr>
            <w:tcW w:w="1293" w:type="dxa"/>
            <w:tcBorders>
              <w:top w:val="single" w:sz="4" w:space="0" w:color="auto"/>
              <w:left w:val="nil"/>
              <w:bottom w:val="single" w:sz="4" w:space="0" w:color="auto"/>
              <w:right w:val="single" w:sz="4" w:space="0" w:color="auto"/>
            </w:tcBorders>
            <w:shd w:val="clear" w:color="000000" w:fill="A5A5A5"/>
            <w:vAlign w:val="center"/>
            <w:hideMark/>
          </w:tcPr>
          <w:p w14:paraId="49C67BD2" w14:textId="77777777" w:rsidR="001817FF" w:rsidRPr="00D978B6" w:rsidRDefault="001817FF" w:rsidP="0037346F">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UNIDAD DE MEDIDA</w:t>
            </w:r>
          </w:p>
        </w:tc>
        <w:tc>
          <w:tcPr>
            <w:tcW w:w="1231" w:type="dxa"/>
            <w:tcBorders>
              <w:top w:val="single" w:sz="4" w:space="0" w:color="auto"/>
              <w:left w:val="nil"/>
              <w:bottom w:val="single" w:sz="4" w:space="0" w:color="auto"/>
              <w:right w:val="single" w:sz="4" w:space="0" w:color="auto"/>
            </w:tcBorders>
            <w:shd w:val="clear" w:color="000000" w:fill="A5A5A5"/>
            <w:noWrap/>
            <w:vAlign w:val="center"/>
            <w:hideMark/>
          </w:tcPr>
          <w:p w14:paraId="5E88F91C" w14:textId="77777777" w:rsidR="001817FF" w:rsidRPr="00D978B6" w:rsidRDefault="001817FF" w:rsidP="0037346F">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META AÑO</w:t>
            </w:r>
          </w:p>
        </w:tc>
        <w:tc>
          <w:tcPr>
            <w:tcW w:w="1223"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47C98E7F" w14:textId="77777777" w:rsidR="001817FF" w:rsidRDefault="001817FF" w:rsidP="0037346F">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Avance</w:t>
            </w:r>
          </w:p>
          <w:p w14:paraId="1A6C8A7C" w14:textId="5E08DC96" w:rsidR="001817FF" w:rsidRPr="00D978B6" w:rsidRDefault="001817FF" w:rsidP="0037346F">
            <w:pPr>
              <w:spacing w:after="0" w:line="240" w:lineRule="auto"/>
              <w:jc w:val="center"/>
              <w:rPr>
                <w:rFonts w:ascii="Calibri" w:eastAsia="Times New Roman" w:hAnsi="Calibri" w:cs="Calibri"/>
                <w:b/>
                <w:bCs/>
                <w:color w:val="000000"/>
                <w:sz w:val="20"/>
                <w:szCs w:val="20"/>
              </w:rPr>
            </w:pPr>
            <w:r w:rsidRPr="00D978B6">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Pr="00D978B6">
              <w:rPr>
                <w:rFonts w:ascii="Calibri" w:eastAsia="Times New Roman" w:hAnsi="Calibri" w:cs="Calibri"/>
                <w:b/>
                <w:bCs/>
                <w:color w:val="000000"/>
                <w:sz w:val="20"/>
                <w:szCs w:val="20"/>
              </w:rPr>
              <w:t xml:space="preserve"> </w:t>
            </w:r>
            <w:r>
              <w:rPr>
                <w:rFonts w:ascii="Calibri" w:eastAsia="Times New Roman" w:hAnsi="Calibri" w:cs="Calibri"/>
                <w:b/>
                <w:bCs/>
                <w:color w:val="000000"/>
                <w:sz w:val="20"/>
                <w:szCs w:val="20"/>
              </w:rPr>
              <w:t>1</w:t>
            </w:r>
          </w:p>
        </w:tc>
      </w:tr>
      <w:tr w:rsidR="001817FF" w:rsidRPr="00806518" w14:paraId="1E13AFB4" w14:textId="77777777" w:rsidTr="0037346F">
        <w:trPr>
          <w:trHeight w:val="627"/>
          <w:jc w:val="center"/>
        </w:trPr>
        <w:tc>
          <w:tcPr>
            <w:tcW w:w="5081" w:type="dxa"/>
            <w:tcBorders>
              <w:top w:val="nil"/>
              <w:left w:val="single" w:sz="4" w:space="0" w:color="auto"/>
              <w:bottom w:val="single" w:sz="4" w:space="0" w:color="auto"/>
              <w:right w:val="single" w:sz="4" w:space="0" w:color="auto"/>
            </w:tcBorders>
            <w:shd w:val="clear" w:color="auto" w:fill="auto"/>
            <w:vAlign w:val="center"/>
          </w:tcPr>
          <w:p w14:paraId="75087D27" w14:textId="3E226A96" w:rsidR="001817FF" w:rsidRPr="00D978B6" w:rsidRDefault="007344F3" w:rsidP="0037346F">
            <w:pPr>
              <w:spacing w:after="0" w:line="240" w:lineRule="auto"/>
              <w:rPr>
                <w:rFonts w:ascii="Calibri" w:eastAsia="Times New Roman" w:hAnsi="Calibri" w:cs="Calibri"/>
                <w:color w:val="000000"/>
                <w:sz w:val="20"/>
                <w:szCs w:val="20"/>
              </w:rPr>
            </w:pPr>
            <w:r w:rsidRPr="007344F3">
              <w:rPr>
                <w:rFonts w:ascii="Calibri" w:eastAsia="Times New Roman" w:hAnsi="Calibri" w:cs="Calibri"/>
                <w:color w:val="000000"/>
                <w:sz w:val="20"/>
                <w:szCs w:val="20"/>
              </w:rPr>
              <w:t>Adquisición de las licencias de Office 365 y Project Online para trabajo en la nube</w:t>
            </w:r>
          </w:p>
        </w:tc>
        <w:tc>
          <w:tcPr>
            <w:tcW w:w="1293" w:type="dxa"/>
            <w:tcBorders>
              <w:top w:val="nil"/>
              <w:left w:val="nil"/>
              <w:bottom w:val="single" w:sz="4" w:space="0" w:color="auto"/>
              <w:right w:val="single" w:sz="4" w:space="0" w:color="auto"/>
            </w:tcBorders>
            <w:shd w:val="clear" w:color="auto" w:fill="auto"/>
            <w:noWrap/>
          </w:tcPr>
          <w:p w14:paraId="61B64591" w14:textId="27324C66" w:rsidR="001817FF" w:rsidRPr="00D978B6" w:rsidRDefault="007344F3"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Licencias</w:t>
            </w:r>
          </w:p>
        </w:tc>
        <w:tc>
          <w:tcPr>
            <w:tcW w:w="1231" w:type="dxa"/>
            <w:tcBorders>
              <w:top w:val="nil"/>
              <w:left w:val="nil"/>
              <w:bottom w:val="single" w:sz="4" w:space="0" w:color="auto"/>
              <w:right w:val="single" w:sz="4" w:space="0" w:color="auto"/>
            </w:tcBorders>
            <w:shd w:val="clear" w:color="auto" w:fill="auto"/>
            <w:noWrap/>
            <w:vAlign w:val="center"/>
          </w:tcPr>
          <w:p w14:paraId="2897A405" w14:textId="7BB157EE" w:rsidR="001817FF" w:rsidRPr="00D978B6" w:rsidRDefault="007344F3"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223" w:type="dxa"/>
            <w:tcBorders>
              <w:top w:val="nil"/>
              <w:left w:val="nil"/>
              <w:bottom w:val="single" w:sz="4" w:space="0" w:color="auto"/>
              <w:right w:val="single" w:sz="4" w:space="0" w:color="auto"/>
            </w:tcBorders>
            <w:shd w:val="clear" w:color="auto" w:fill="auto"/>
            <w:noWrap/>
            <w:vAlign w:val="center"/>
          </w:tcPr>
          <w:p w14:paraId="5C7C0D36" w14:textId="18F72C57" w:rsidR="001817FF" w:rsidRPr="00D978B6" w:rsidRDefault="001817FF" w:rsidP="0037346F">
            <w:pPr>
              <w:spacing w:after="0" w:line="240" w:lineRule="auto"/>
              <w:jc w:val="center"/>
              <w:rPr>
                <w:rFonts w:ascii="Calibri" w:eastAsia="Times New Roman" w:hAnsi="Calibri" w:cs="Calibri"/>
                <w:color w:val="000000"/>
                <w:sz w:val="20"/>
                <w:szCs w:val="20"/>
              </w:rPr>
            </w:pPr>
          </w:p>
        </w:tc>
      </w:tr>
      <w:tr w:rsidR="001817FF" w:rsidRPr="001817FF" w14:paraId="718164A9" w14:textId="77777777" w:rsidTr="0037346F">
        <w:trPr>
          <w:trHeight w:val="423"/>
          <w:jc w:val="center"/>
        </w:trPr>
        <w:tc>
          <w:tcPr>
            <w:tcW w:w="5081" w:type="dxa"/>
            <w:tcBorders>
              <w:top w:val="nil"/>
              <w:left w:val="single" w:sz="4" w:space="0" w:color="auto"/>
              <w:bottom w:val="single" w:sz="4" w:space="0" w:color="auto"/>
              <w:right w:val="single" w:sz="4" w:space="0" w:color="auto"/>
            </w:tcBorders>
            <w:shd w:val="clear" w:color="auto" w:fill="auto"/>
            <w:vAlign w:val="center"/>
          </w:tcPr>
          <w:p w14:paraId="7448531F" w14:textId="3CA7547E" w:rsidR="001817FF" w:rsidRPr="00D978B6" w:rsidRDefault="007344F3" w:rsidP="0037346F">
            <w:pPr>
              <w:spacing w:after="0" w:line="240" w:lineRule="auto"/>
              <w:rPr>
                <w:rFonts w:ascii="Calibri" w:eastAsia="Times New Roman" w:hAnsi="Calibri" w:cs="Calibri"/>
                <w:color w:val="000000"/>
                <w:sz w:val="20"/>
                <w:szCs w:val="20"/>
              </w:rPr>
            </w:pPr>
            <w:r w:rsidRPr="007344F3">
              <w:rPr>
                <w:rFonts w:ascii="Calibri" w:eastAsia="Times New Roman" w:hAnsi="Calibri" w:cs="Calibri"/>
                <w:color w:val="000000"/>
                <w:sz w:val="20"/>
                <w:szCs w:val="20"/>
              </w:rPr>
              <w:t>Servicio de soporte a usuarios finales y a los sistemas de la Agencia (Mesa de ayuda - Niveles 1, 2 y 3)</w:t>
            </w:r>
          </w:p>
        </w:tc>
        <w:tc>
          <w:tcPr>
            <w:tcW w:w="1293" w:type="dxa"/>
            <w:tcBorders>
              <w:top w:val="nil"/>
              <w:left w:val="nil"/>
              <w:bottom w:val="single" w:sz="4" w:space="0" w:color="auto"/>
              <w:right w:val="single" w:sz="4" w:space="0" w:color="auto"/>
            </w:tcBorders>
            <w:shd w:val="clear" w:color="auto" w:fill="auto"/>
            <w:noWrap/>
          </w:tcPr>
          <w:p w14:paraId="15A9B816" w14:textId="7A6137D1" w:rsidR="001817FF" w:rsidRPr="00D978B6" w:rsidRDefault="007344F3" w:rsidP="001817FF">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Servicio</w:t>
            </w:r>
          </w:p>
        </w:tc>
        <w:tc>
          <w:tcPr>
            <w:tcW w:w="1231" w:type="dxa"/>
            <w:tcBorders>
              <w:top w:val="nil"/>
              <w:left w:val="nil"/>
              <w:bottom w:val="single" w:sz="4" w:space="0" w:color="auto"/>
              <w:right w:val="single" w:sz="4" w:space="0" w:color="auto"/>
            </w:tcBorders>
            <w:shd w:val="clear" w:color="auto" w:fill="auto"/>
            <w:noWrap/>
            <w:vAlign w:val="center"/>
          </w:tcPr>
          <w:p w14:paraId="2B07E628" w14:textId="7EA74927" w:rsidR="001817FF" w:rsidRPr="00D978B6" w:rsidRDefault="007344F3" w:rsidP="007344F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14:paraId="69154EEA" w14:textId="30A5F1A3" w:rsidR="001817FF" w:rsidRPr="00D978B6" w:rsidRDefault="001817FF" w:rsidP="001817FF">
            <w:pPr>
              <w:spacing w:after="0" w:line="240" w:lineRule="auto"/>
              <w:rPr>
                <w:rFonts w:ascii="Calibri" w:eastAsia="Times New Roman" w:hAnsi="Calibri" w:cs="Calibri"/>
                <w:color w:val="000000"/>
                <w:sz w:val="20"/>
                <w:szCs w:val="20"/>
              </w:rPr>
            </w:pPr>
          </w:p>
        </w:tc>
      </w:tr>
      <w:tr w:rsidR="001817FF" w:rsidRPr="001817FF" w14:paraId="339E7745" w14:textId="77777777" w:rsidTr="0037346F">
        <w:trPr>
          <w:trHeight w:val="840"/>
          <w:jc w:val="center"/>
        </w:trPr>
        <w:tc>
          <w:tcPr>
            <w:tcW w:w="5081" w:type="dxa"/>
            <w:tcBorders>
              <w:top w:val="nil"/>
              <w:left w:val="single" w:sz="4" w:space="0" w:color="auto"/>
              <w:bottom w:val="single" w:sz="4" w:space="0" w:color="auto"/>
              <w:right w:val="single" w:sz="4" w:space="0" w:color="auto"/>
            </w:tcBorders>
            <w:shd w:val="clear" w:color="auto" w:fill="auto"/>
          </w:tcPr>
          <w:p w14:paraId="0BFF98B1" w14:textId="658BAB7C" w:rsidR="001817FF" w:rsidRPr="00D978B6" w:rsidRDefault="00FF682D" w:rsidP="0037346F">
            <w:pPr>
              <w:spacing w:after="0" w:line="240" w:lineRule="auto"/>
              <w:rPr>
                <w:rFonts w:ascii="Calibri" w:eastAsia="Times New Roman" w:hAnsi="Calibri" w:cs="Calibri"/>
                <w:color w:val="000000"/>
                <w:sz w:val="20"/>
                <w:szCs w:val="20"/>
              </w:rPr>
            </w:pPr>
            <w:r w:rsidRPr="00FF682D">
              <w:rPr>
                <w:rFonts w:ascii="Calibri" w:eastAsia="Times New Roman" w:hAnsi="Calibri" w:cs="Calibri"/>
                <w:color w:val="000000"/>
                <w:sz w:val="20"/>
                <w:szCs w:val="20"/>
              </w:rPr>
              <w:t>Adquisición del Hardware necesario para ampliar el espacio de almacenamiento corporativo para todos los servidores de la ANI, y respalda los sistemas que operan en la Agencia.</w:t>
            </w:r>
          </w:p>
        </w:tc>
        <w:tc>
          <w:tcPr>
            <w:tcW w:w="1293" w:type="dxa"/>
            <w:tcBorders>
              <w:top w:val="nil"/>
              <w:left w:val="nil"/>
              <w:bottom w:val="single" w:sz="4" w:space="0" w:color="auto"/>
              <w:right w:val="single" w:sz="4" w:space="0" w:color="auto"/>
            </w:tcBorders>
            <w:shd w:val="clear" w:color="auto" w:fill="auto"/>
            <w:noWrap/>
          </w:tcPr>
          <w:p w14:paraId="4FB5C8C3" w14:textId="3A3E97ED" w:rsidR="001817FF" w:rsidRPr="00D978B6" w:rsidRDefault="00FF682D" w:rsidP="001817FF">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Servidor</w:t>
            </w:r>
          </w:p>
        </w:tc>
        <w:tc>
          <w:tcPr>
            <w:tcW w:w="1231" w:type="dxa"/>
            <w:tcBorders>
              <w:top w:val="nil"/>
              <w:left w:val="nil"/>
              <w:bottom w:val="single" w:sz="4" w:space="0" w:color="auto"/>
              <w:right w:val="single" w:sz="4" w:space="0" w:color="auto"/>
            </w:tcBorders>
            <w:shd w:val="clear" w:color="auto" w:fill="auto"/>
            <w:noWrap/>
            <w:vAlign w:val="center"/>
          </w:tcPr>
          <w:p w14:paraId="0BE3B13E" w14:textId="0E573DCF" w:rsidR="001817FF" w:rsidRPr="00D978B6" w:rsidRDefault="00FF682D" w:rsidP="007344F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14:paraId="3913472E" w14:textId="037E3AD4" w:rsidR="001817FF" w:rsidRPr="00D978B6" w:rsidRDefault="001817FF" w:rsidP="001817FF">
            <w:pPr>
              <w:spacing w:after="0" w:line="240" w:lineRule="auto"/>
              <w:rPr>
                <w:rFonts w:ascii="Calibri" w:eastAsia="Times New Roman" w:hAnsi="Calibri" w:cs="Calibri"/>
                <w:color w:val="000000"/>
                <w:sz w:val="20"/>
                <w:szCs w:val="20"/>
              </w:rPr>
            </w:pPr>
          </w:p>
        </w:tc>
      </w:tr>
      <w:tr w:rsidR="001817FF" w:rsidRPr="001817FF" w14:paraId="5D83135E" w14:textId="77777777" w:rsidTr="0037346F">
        <w:trPr>
          <w:trHeight w:val="555"/>
          <w:jc w:val="center"/>
        </w:trPr>
        <w:tc>
          <w:tcPr>
            <w:tcW w:w="5081" w:type="dxa"/>
            <w:tcBorders>
              <w:top w:val="nil"/>
              <w:left w:val="single" w:sz="4" w:space="0" w:color="auto"/>
              <w:bottom w:val="single" w:sz="4" w:space="0" w:color="auto"/>
              <w:right w:val="single" w:sz="4" w:space="0" w:color="auto"/>
            </w:tcBorders>
            <w:shd w:val="clear" w:color="auto" w:fill="auto"/>
          </w:tcPr>
          <w:p w14:paraId="61525773" w14:textId="3FE7B1FC" w:rsidR="001817FF" w:rsidRPr="00D978B6" w:rsidRDefault="00A779A5" w:rsidP="0037346F">
            <w:pPr>
              <w:spacing w:after="0" w:line="240" w:lineRule="auto"/>
              <w:rPr>
                <w:rFonts w:ascii="Calibri" w:eastAsia="Times New Roman" w:hAnsi="Calibri" w:cs="Calibri"/>
                <w:color w:val="000000"/>
                <w:sz w:val="20"/>
                <w:szCs w:val="20"/>
              </w:rPr>
            </w:pPr>
            <w:r w:rsidRPr="00A779A5">
              <w:rPr>
                <w:rFonts w:ascii="Calibri" w:eastAsia="Times New Roman" w:hAnsi="Calibri" w:cs="Calibri"/>
                <w:color w:val="000000"/>
                <w:sz w:val="20"/>
                <w:szCs w:val="20"/>
              </w:rPr>
              <w:t>Contratar el  servicio de asesoría técnica para optimizar el uso de la infraestructura TIC de la Agencia</w:t>
            </w:r>
          </w:p>
        </w:tc>
        <w:tc>
          <w:tcPr>
            <w:tcW w:w="1293" w:type="dxa"/>
            <w:tcBorders>
              <w:top w:val="nil"/>
              <w:left w:val="nil"/>
              <w:bottom w:val="single" w:sz="4" w:space="0" w:color="auto"/>
              <w:right w:val="single" w:sz="4" w:space="0" w:color="auto"/>
            </w:tcBorders>
            <w:shd w:val="clear" w:color="auto" w:fill="auto"/>
            <w:noWrap/>
          </w:tcPr>
          <w:p w14:paraId="2EF1B843" w14:textId="2C6855B6" w:rsidR="001817FF" w:rsidRPr="00D978B6" w:rsidRDefault="00A779A5" w:rsidP="0037346F">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Servicio</w:t>
            </w:r>
          </w:p>
        </w:tc>
        <w:tc>
          <w:tcPr>
            <w:tcW w:w="1231" w:type="dxa"/>
            <w:tcBorders>
              <w:top w:val="nil"/>
              <w:left w:val="nil"/>
              <w:bottom w:val="single" w:sz="4" w:space="0" w:color="auto"/>
              <w:right w:val="single" w:sz="4" w:space="0" w:color="auto"/>
            </w:tcBorders>
            <w:shd w:val="clear" w:color="auto" w:fill="auto"/>
            <w:noWrap/>
            <w:vAlign w:val="center"/>
          </w:tcPr>
          <w:p w14:paraId="0A36A1E2" w14:textId="39ACEC34" w:rsidR="001817FF" w:rsidRPr="00D978B6" w:rsidRDefault="00A779A5" w:rsidP="007344F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14:paraId="6CED0FC6" w14:textId="346179BC" w:rsidR="001817FF" w:rsidRPr="00D978B6" w:rsidRDefault="001817FF" w:rsidP="001817FF">
            <w:pPr>
              <w:spacing w:after="0" w:line="240" w:lineRule="auto"/>
              <w:rPr>
                <w:rFonts w:ascii="Calibri" w:eastAsia="Times New Roman" w:hAnsi="Calibri" w:cs="Calibri"/>
                <w:color w:val="000000"/>
                <w:sz w:val="20"/>
                <w:szCs w:val="20"/>
              </w:rPr>
            </w:pPr>
          </w:p>
        </w:tc>
      </w:tr>
      <w:tr w:rsidR="001817FF" w:rsidRPr="001817FF" w14:paraId="356258D8" w14:textId="77777777" w:rsidTr="0086211C">
        <w:trPr>
          <w:trHeight w:val="1275"/>
          <w:jc w:val="center"/>
        </w:trPr>
        <w:tc>
          <w:tcPr>
            <w:tcW w:w="5081" w:type="dxa"/>
            <w:tcBorders>
              <w:top w:val="nil"/>
              <w:left w:val="single" w:sz="4" w:space="0" w:color="auto"/>
              <w:bottom w:val="single" w:sz="4" w:space="0" w:color="auto"/>
              <w:right w:val="single" w:sz="4" w:space="0" w:color="auto"/>
            </w:tcBorders>
            <w:shd w:val="clear" w:color="auto" w:fill="auto"/>
            <w:vAlign w:val="center"/>
          </w:tcPr>
          <w:p w14:paraId="30A96021" w14:textId="54195EBC" w:rsidR="001817FF" w:rsidRPr="00D978B6" w:rsidRDefault="00A779A5" w:rsidP="00A779A5">
            <w:pPr>
              <w:spacing w:after="0" w:line="240" w:lineRule="auto"/>
              <w:rPr>
                <w:rFonts w:ascii="Calibri" w:eastAsia="Times New Roman" w:hAnsi="Calibri" w:cs="Calibri"/>
                <w:color w:val="000000"/>
                <w:sz w:val="20"/>
                <w:szCs w:val="20"/>
              </w:rPr>
            </w:pPr>
            <w:r w:rsidRPr="00A779A5">
              <w:rPr>
                <w:rFonts w:ascii="Calibri" w:eastAsia="Times New Roman" w:hAnsi="Calibri" w:cs="Calibri"/>
                <w:color w:val="000000"/>
                <w:sz w:val="20"/>
                <w:szCs w:val="20"/>
              </w:rPr>
              <w:t>Adquisición del Hardware que fortalece el esquema de seguridad perimetral de la ANI.</w:t>
            </w:r>
          </w:p>
        </w:tc>
        <w:tc>
          <w:tcPr>
            <w:tcW w:w="1293" w:type="dxa"/>
            <w:tcBorders>
              <w:top w:val="nil"/>
              <w:left w:val="nil"/>
              <w:bottom w:val="single" w:sz="4" w:space="0" w:color="auto"/>
              <w:right w:val="single" w:sz="4" w:space="0" w:color="auto"/>
            </w:tcBorders>
            <w:shd w:val="clear" w:color="auto" w:fill="auto"/>
            <w:noWrap/>
            <w:vAlign w:val="center"/>
          </w:tcPr>
          <w:p w14:paraId="6CD9AC93" w14:textId="7C28A5E0" w:rsidR="001817FF" w:rsidRPr="00D978B6" w:rsidRDefault="00A779A5" w:rsidP="001817FF">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Firew</w:t>
            </w:r>
            <w:r w:rsidR="004A013D">
              <w:rPr>
                <w:rFonts w:ascii="Calibri" w:eastAsia="Times New Roman" w:hAnsi="Calibri" w:cs="Calibri"/>
                <w:color w:val="000000"/>
                <w:sz w:val="20"/>
                <w:szCs w:val="20"/>
              </w:rPr>
              <w:t>a</w:t>
            </w:r>
            <w:r>
              <w:rPr>
                <w:rFonts w:ascii="Calibri" w:eastAsia="Times New Roman" w:hAnsi="Calibri" w:cs="Calibri"/>
                <w:color w:val="000000"/>
                <w:sz w:val="20"/>
                <w:szCs w:val="20"/>
              </w:rPr>
              <w:t>ll</w:t>
            </w:r>
          </w:p>
        </w:tc>
        <w:tc>
          <w:tcPr>
            <w:tcW w:w="1231" w:type="dxa"/>
            <w:tcBorders>
              <w:top w:val="nil"/>
              <w:left w:val="nil"/>
              <w:bottom w:val="single" w:sz="4" w:space="0" w:color="auto"/>
              <w:right w:val="single" w:sz="4" w:space="0" w:color="auto"/>
            </w:tcBorders>
            <w:shd w:val="clear" w:color="auto" w:fill="auto"/>
            <w:noWrap/>
            <w:vAlign w:val="center"/>
          </w:tcPr>
          <w:p w14:paraId="75BE7464" w14:textId="77F6C0CD" w:rsidR="001817FF" w:rsidRPr="00D978B6" w:rsidRDefault="00A779A5" w:rsidP="007344F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14:paraId="26841D3C" w14:textId="31E766A4" w:rsidR="001817FF" w:rsidRPr="00D978B6" w:rsidRDefault="001817FF" w:rsidP="001817FF">
            <w:pPr>
              <w:spacing w:after="0" w:line="240" w:lineRule="auto"/>
              <w:rPr>
                <w:rFonts w:ascii="Calibri" w:eastAsia="Times New Roman" w:hAnsi="Calibri" w:cs="Calibri"/>
                <w:color w:val="000000"/>
                <w:sz w:val="20"/>
                <w:szCs w:val="20"/>
              </w:rPr>
            </w:pPr>
          </w:p>
        </w:tc>
      </w:tr>
    </w:tbl>
    <w:p w14:paraId="168CF988" w14:textId="77777777" w:rsidR="004A013D" w:rsidRPr="004A013D" w:rsidRDefault="004A013D" w:rsidP="004A013D">
      <w:pPr>
        <w:jc w:val="both"/>
      </w:pPr>
      <w:r w:rsidRPr="004A013D">
        <w:lastRenderedPageBreak/>
        <w:t>Durante el primer trimestre se desarrollaron las siguientes actividades las cuales estaban para ejecutarse durante los meses de enero a marzo, según el plan de acción:</w:t>
      </w:r>
    </w:p>
    <w:p w14:paraId="394D8A49" w14:textId="77777777" w:rsidR="004A013D" w:rsidRPr="00F0249C" w:rsidRDefault="004A013D" w:rsidP="00F0249C">
      <w:pPr>
        <w:rPr>
          <w:b/>
        </w:rPr>
      </w:pPr>
      <w:r w:rsidRPr="00F0249C">
        <w:rPr>
          <w:b/>
        </w:rPr>
        <w:t>Adquisición del Hardware que fortalece el esquema de seguridad perimetral de la ANI:</w:t>
      </w:r>
    </w:p>
    <w:p w14:paraId="6EBEE816" w14:textId="77777777" w:rsidR="004A013D" w:rsidRPr="004A013D" w:rsidRDefault="004A013D" w:rsidP="004A013D">
      <w:pPr>
        <w:jc w:val="both"/>
        <w:rPr>
          <w:lang w:val="es-MX" w:eastAsia="es-MX"/>
        </w:rPr>
      </w:pPr>
      <w:r w:rsidRPr="004A013D">
        <w:rPr>
          <w:lang w:val="es-MX" w:eastAsia="es-MX"/>
        </w:rPr>
        <w:t>Este proyecto no se ejecutó durante el primer trimestre ya que durante este tiempo se terminó de instalar el Firewall del contrato de Seguridad Perimetral que se compró el año pasado (este contrato se explica más adelante).</w:t>
      </w:r>
    </w:p>
    <w:p w14:paraId="2CDA7E77" w14:textId="77777777" w:rsidR="004A013D" w:rsidRPr="00F0249C" w:rsidRDefault="004A013D" w:rsidP="00F0249C">
      <w:pPr>
        <w:rPr>
          <w:b/>
        </w:rPr>
      </w:pPr>
      <w:r w:rsidRPr="00F0249C">
        <w:rPr>
          <w:b/>
        </w:rPr>
        <w:t>Servicio de soporte a usuarios finales y a los sistemas de la Agencia (Mesa de ayuda - Niveles 1, 2 y 3):</w:t>
      </w:r>
    </w:p>
    <w:p w14:paraId="5532796A" w14:textId="77777777" w:rsidR="004A013D" w:rsidRPr="004A013D" w:rsidRDefault="004A013D" w:rsidP="004A013D">
      <w:pPr>
        <w:jc w:val="both"/>
        <w:rPr>
          <w:lang w:val="es-MX" w:eastAsia="es-MX"/>
        </w:rPr>
      </w:pPr>
      <w:r w:rsidRPr="004A013D">
        <w:rPr>
          <w:lang w:val="es-MX" w:eastAsia="es-MX"/>
        </w:rPr>
        <w:t>Durante el primer trimestre se empezó a estructurar el proyecto del contrato de mesa de ayuda, se citaron diferentes empresas para poder enfocar el proyecto con lo que ofrece el mercado. Como se tenían algunos puntos pendientes para dejar la infraestructura tecnología en perfecto estado (proyecto que se explica a continuación) se colocaron estos puntos dentro del proyecto y se solicitaron cotizaciones a diferentes proveedores.</w:t>
      </w:r>
    </w:p>
    <w:p w14:paraId="0C68BDB7" w14:textId="77777777" w:rsidR="004A013D" w:rsidRPr="004A013D" w:rsidRDefault="004A013D" w:rsidP="004A013D">
      <w:pPr>
        <w:jc w:val="both"/>
        <w:rPr>
          <w:lang w:val="es-MX" w:eastAsia="es-MX"/>
        </w:rPr>
      </w:pPr>
      <w:r w:rsidRPr="004A013D">
        <w:rPr>
          <w:lang w:val="es-MX" w:eastAsia="es-MX"/>
        </w:rPr>
        <w:t>Una vez analizadas las cotizaciones se decidió que este proyecto es más económico si se sacar a mayor tiempo, es decir con vigencias futuras. Además no es bueno que este proyecto se realice solo por 6 meses y el próximo año volverlo a sacar a licitación para volverlo a contratar, ya que debemos capacitar a todos los usuarios de la ANI con el nuevo esquema de mesa de ayuda que tenga la empresa ganadora y si se cambia en 6 meses se debe volver a cambiar todo en un poco tiempo.</w:t>
      </w:r>
    </w:p>
    <w:p w14:paraId="2942BFAB" w14:textId="77777777" w:rsidR="004A013D" w:rsidRPr="004A013D" w:rsidRDefault="004A013D" w:rsidP="004A013D">
      <w:pPr>
        <w:jc w:val="both"/>
        <w:rPr>
          <w:lang w:val="es-MX" w:eastAsia="es-MX"/>
        </w:rPr>
      </w:pPr>
      <w:r w:rsidRPr="004A013D">
        <w:rPr>
          <w:lang w:val="es-MX" w:eastAsia="es-MX"/>
        </w:rPr>
        <w:t>Por los motivos anteriormente expuestos se dejó este proyecto para más adelante cuando se puedan pedir vigencias futuras, una vez haya cambio presidencial.</w:t>
      </w:r>
    </w:p>
    <w:p w14:paraId="00BFC0B7" w14:textId="77777777" w:rsidR="004A013D" w:rsidRPr="00F0249C" w:rsidRDefault="004A013D" w:rsidP="00F0249C">
      <w:pPr>
        <w:rPr>
          <w:b/>
        </w:rPr>
      </w:pPr>
      <w:r w:rsidRPr="00F0249C">
        <w:rPr>
          <w:b/>
        </w:rPr>
        <w:t>Contratar el servicio de asesoría técnica para optimizar el uso de la infraestructura TIC de la Agencia:</w:t>
      </w:r>
    </w:p>
    <w:p w14:paraId="5750EBCB" w14:textId="77777777" w:rsidR="004A013D" w:rsidRPr="004A013D" w:rsidRDefault="004A013D" w:rsidP="004A013D">
      <w:pPr>
        <w:jc w:val="both"/>
      </w:pPr>
      <w:r w:rsidRPr="004A013D">
        <w:t>Durante el cuarto trimestre  del 2013, se realizó la estructuración del proceso de contratación y el estudio previo del mismo, cuyo objeto fue: “CONTRATAR LOS SERVICIOS DE ASESORIA TECNICA Y EL ACOMPAÑAMIENTO INTEGRAL PARA LA PUESTA A PUNTO DE LA INFRAESTRUCTURA TIC DE LA AGENCIA NACIONAL DE  INFRAESTRUCTURA - ANI, ENCAMINADOS A GARANTIZAR EL CORRECTO DESARROLLO E IMPLEMENTACIÓN DE LOS SISTEMAS DE INFORMACION DE LA ENTIDAD”.</w:t>
      </w:r>
    </w:p>
    <w:p w14:paraId="5672B73E" w14:textId="77777777" w:rsidR="004A013D" w:rsidRPr="004A013D" w:rsidRDefault="004A013D" w:rsidP="004A013D">
      <w:pPr>
        <w:jc w:val="both"/>
      </w:pPr>
      <w:r w:rsidRPr="004A013D">
        <w:t>La gerencia de Contratación publicó la invitación pública y los estudios previos en el SECOP, mediante la modalidad de contratación Mínima Cuantía, con el número del proceso: VJ-VPRE-MC-022-2013.</w:t>
      </w:r>
    </w:p>
    <w:p w14:paraId="09ECAB6E" w14:textId="77777777" w:rsidR="004A013D" w:rsidRPr="004A013D" w:rsidRDefault="004A013D" w:rsidP="004A013D">
      <w:pPr>
        <w:jc w:val="both"/>
      </w:pPr>
      <w:r w:rsidRPr="004A013D">
        <w:t>También se publicó el informe de evaluación, las respuestas a las observaciones del mismo y la Resolución 1371 donde se declaró desierto el proceso, debido a que ninguna de las 3 empresas que se presentaron cumplieron con los requisitos jurídicos, técnicos y financieros.</w:t>
      </w:r>
    </w:p>
    <w:p w14:paraId="57794FA2" w14:textId="77777777" w:rsidR="004A013D" w:rsidRPr="004A013D" w:rsidRDefault="004A013D" w:rsidP="004A013D">
      <w:pPr>
        <w:jc w:val="both"/>
      </w:pPr>
      <w:r w:rsidRPr="004A013D">
        <w:lastRenderedPageBreak/>
        <w:t xml:space="preserve">A </w:t>
      </w:r>
      <w:r w:rsidRPr="004A013D">
        <w:rPr>
          <w:lang w:val="es-ES_tradnl"/>
        </w:rPr>
        <w:t xml:space="preserve">finales del año pasado la Agencia adquirió otros productos tanto de licenciamiento de software, hardware o servicios (Office 365, Lync, Firewall), los cuales causaron más modificaciones dentro de la infraestructura TIC de la ANI. </w:t>
      </w:r>
    </w:p>
    <w:p w14:paraId="63F0EE4A" w14:textId="77777777" w:rsidR="004A013D" w:rsidRPr="004A013D" w:rsidRDefault="004A013D" w:rsidP="004A013D">
      <w:pPr>
        <w:jc w:val="both"/>
        <w:rPr>
          <w:lang w:val="es-ES_tradnl"/>
        </w:rPr>
      </w:pPr>
      <w:r w:rsidRPr="004A013D">
        <w:rPr>
          <w:lang w:val="es-ES_tradnl"/>
        </w:rPr>
        <w:t xml:space="preserve">Se desea con este proceso realizar algunas reconfiguraciones que estaban estimadas en el proceso VJ-VPRE-MC-022-2013 y otras que han generado con los productos recientemente adquiridos, para reajustar la configuración de los servidores y servicios instalados que constituyen la infraestructura TIC de la Agencia. </w:t>
      </w:r>
    </w:p>
    <w:p w14:paraId="2CF27110" w14:textId="77777777" w:rsidR="004A013D" w:rsidRPr="004A013D" w:rsidRDefault="004A013D" w:rsidP="004A013D">
      <w:pPr>
        <w:jc w:val="both"/>
        <w:rPr>
          <w:lang w:val="es-ES_tradnl"/>
        </w:rPr>
      </w:pPr>
      <w:r w:rsidRPr="004A013D">
        <w:rPr>
          <w:lang w:val="es-ES_tradnl"/>
        </w:rPr>
        <w:t>Primero se enfocó este proceso para ser desarrollado dentro del contrato de mesa de ayuda, y se trabajó en la definición del anexo técnico del mismo.</w:t>
      </w:r>
    </w:p>
    <w:p w14:paraId="6BE84708" w14:textId="77777777" w:rsidR="004A013D" w:rsidRPr="004A013D" w:rsidRDefault="004A013D" w:rsidP="004A013D">
      <w:pPr>
        <w:jc w:val="both"/>
        <w:rPr>
          <w:lang w:val="es-ES_tradnl"/>
        </w:rPr>
      </w:pPr>
      <w:r w:rsidRPr="004A013D">
        <w:rPr>
          <w:lang w:val="es-ES_tradnl"/>
        </w:rPr>
        <w:t>Pero cuando se decidió que el contrato de mesa de ayuda aún se demoraba en sacar se decidió enfocarlo como una mínima cuantía y se trabajó en el estudio previo y el valor estimado del mismo. También se realizó la matriz de riesgos y se solicitó el CDP:</w:t>
      </w:r>
    </w:p>
    <w:p w14:paraId="48F9DE0A" w14:textId="77777777" w:rsidR="004A013D" w:rsidRPr="00F0249C" w:rsidRDefault="004A013D" w:rsidP="00F0249C">
      <w:pPr>
        <w:rPr>
          <w:b/>
        </w:rPr>
      </w:pPr>
      <w:r w:rsidRPr="00F0249C">
        <w:rPr>
          <w:b/>
        </w:rPr>
        <w:t>Capacitaciones a los usuarios finales del Sistema de Información de Seguimiento y Control de los proyectos de concesiones de la ANI:</w:t>
      </w:r>
    </w:p>
    <w:p w14:paraId="34C80145" w14:textId="77777777" w:rsidR="004A013D" w:rsidRPr="004A013D" w:rsidRDefault="004A013D" w:rsidP="004A013D">
      <w:pPr>
        <w:jc w:val="both"/>
      </w:pPr>
      <w:r w:rsidRPr="004A013D">
        <w:t>Entre enero y febrero de 2014 se llevaron a cabo capacitaciones a los usuarios finales, en el marco de la implementación del sistema de información, para el seguimiento y control de los proyectos que se encuentran a cargo de la ANI, las cuales comprenden:</w:t>
      </w:r>
      <w:bookmarkStart w:id="86" w:name="_Toc374340578"/>
    </w:p>
    <w:bookmarkEnd w:id="86"/>
    <w:p w14:paraId="77E59386" w14:textId="77777777" w:rsidR="004A013D" w:rsidRPr="004A013D" w:rsidRDefault="004A013D" w:rsidP="004A013D">
      <w:pPr>
        <w:pStyle w:val="Ttulo4"/>
        <w:keepNext w:val="0"/>
        <w:widowControl w:val="0"/>
        <w:tabs>
          <w:tab w:val="clear" w:pos="720"/>
        </w:tabs>
        <w:spacing w:after="120"/>
        <w:ind w:left="1287"/>
        <w:jc w:val="both"/>
        <w:rPr>
          <w:rFonts w:asciiTheme="minorHAnsi" w:hAnsiTheme="minorHAnsi"/>
          <w:b/>
        </w:rPr>
      </w:pPr>
      <w:r w:rsidRPr="004A013D">
        <w:rPr>
          <w:rFonts w:asciiTheme="minorHAnsi" w:hAnsiTheme="minorHAnsi"/>
        </w:rPr>
        <w:t>Visión general de Project Online</w:t>
      </w:r>
    </w:p>
    <w:p w14:paraId="3D596541" w14:textId="77777777" w:rsidR="004A013D" w:rsidRPr="004A013D" w:rsidRDefault="004A013D" w:rsidP="004A013D">
      <w:pPr>
        <w:pStyle w:val="Ttulo4"/>
        <w:keepNext w:val="0"/>
        <w:widowControl w:val="0"/>
        <w:tabs>
          <w:tab w:val="clear" w:pos="720"/>
        </w:tabs>
        <w:spacing w:after="120"/>
        <w:ind w:left="1287"/>
        <w:jc w:val="both"/>
        <w:rPr>
          <w:rFonts w:asciiTheme="minorHAnsi" w:hAnsiTheme="minorHAnsi"/>
          <w:b/>
        </w:rPr>
      </w:pPr>
      <w:r w:rsidRPr="004A013D">
        <w:rPr>
          <w:rFonts w:asciiTheme="minorHAnsi" w:hAnsiTheme="minorHAnsi"/>
        </w:rPr>
        <w:t>Gestión de tareas con Project Online</w:t>
      </w:r>
    </w:p>
    <w:p w14:paraId="298E45E8" w14:textId="77777777" w:rsidR="004A013D" w:rsidRPr="004A013D" w:rsidRDefault="004A013D" w:rsidP="004A013D">
      <w:pPr>
        <w:pStyle w:val="Ttulo4"/>
        <w:keepNext w:val="0"/>
        <w:widowControl w:val="0"/>
        <w:tabs>
          <w:tab w:val="clear" w:pos="720"/>
        </w:tabs>
        <w:spacing w:after="120"/>
        <w:ind w:left="1287"/>
        <w:jc w:val="both"/>
        <w:rPr>
          <w:rFonts w:asciiTheme="minorHAnsi" w:hAnsiTheme="minorHAnsi"/>
          <w:b/>
        </w:rPr>
      </w:pPr>
      <w:r w:rsidRPr="004A013D">
        <w:rPr>
          <w:rFonts w:asciiTheme="minorHAnsi" w:hAnsiTheme="minorHAnsi"/>
        </w:rPr>
        <w:t>Gestión de recursos con Project Online</w:t>
      </w:r>
    </w:p>
    <w:p w14:paraId="521CA035" w14:textId="77777777" w:rsidR="004A013D" w:rsidRPr="004A013D" w:rsidRDefault="004A013D" w:rsidP="004A013D">
      <w:pPr>
        <w:pStyle w:val="Ttulo4"/>
        <w:keepNext w:val="0"/>
        <w:widowControl w:val="0"/>
        <w:tabs>
          <w:tab w:val="clear" w:pos="720"/>
        </w:tabs>
        <w:spacing w:after="120"/>
        <w:ind w:left="1287"/>
        <w:jc w:val="both"/>
        <w:rPr>
          <w:rFonts w:asciiTheme="minorHAnsi" w:hAnsiTheme="minorHAnsi"/>
          <w:b/>
        </w:rPr>
      </w:pPr>
      <w:r w:rsidRPr="004A013D">
        <w:rPr>
          <w:rFonts w:asciiTheme="minorHAnsi" w:hAnsiTheme="minorHAnsi"/>
        </w:rPr>
        <w:t>Gestión de proyectos con Project Online</w:t>
      </w:r>
    </w:p>
    <w:p w14:paraId="2F3B03AC" w14:textId="77777777" w:rsidR="004A013D" w:rsidRPr="004A013D" w:rsidRDefault="004A013D" w:rsidP="004A013D">
      <w:pPr>
        <w:pStyle w:val="Ttulo4"/>
        <w:keepNext w:val="0"/>
        <w:widowControl w:val="0"/>
        <w:tabs>
          <w:tab w:val="clear" w:pos="720"/>
        </w:tabs>
        <w:spacing w:after="120"/>
        <w:ind w:left="1287"/>
        <w:jc w:val="both"/>
        <w:rPr>
          <w:rFonts w:asciiTheme="minorHAnsi" w:hAnsiTheme="minorHAnsi"/>
          <w:b/>
        </w:rPr>
      </w:pPr>
      <w:r w:rsidRPr="004A013D">
        <w:rPr>
          <w:rFonts w:asciiTheme="minorHAnsi" w:hAnsiTheme="minorHAnsi"/>
        </w:rPr>
        <w:t>Seguimiento de proyectos Project Online</w:t>
      </w:r>
    </w:p>
    <w:p w14:paraId="06089EFA" w14:textId="77777777" w:rsidR="004A013D" w:rsidRPr="004A013D" w:rsidRDefault="004A013D" w:rsidP="004A013D">
      <w:pPr>
        <w:pStyle w:val="Ttulo4"/>
        <w:keepNext w:val="0"/>
        <w:widowControl w:val="0"/>
        <w:tabs>
          <w:tab w:val="clear" w:pos="720"/>
        </w:tabs>
        <w:spacing w:after="120"/>
        <w:ind w:left="1287"/>
        <w:jc w:val="both"/>
        <w:rPr>
          <w:rFonts w:asciiTheme="minorHAnsi" w:hAnsiTheme="minorHAnsi"/>
          <w:b/>
        </w:rPr>
      </w:pPr>
      <w:r w:rsidRPr="004A013D">
        <w:rPr>
          <w:rFonts w:asciiTheme="minorHAnsi" w:hAnsiTheme="minorHAnsi"/>
        </w:rPr>
        <w:t>Colaboración y documentación de un proyecto</w:t>
      </w:r>
    </w:p>
    <w:p w14:paraId="13C786DC" w14:textId="77777777" w:rsidR="004A013D" w:rsidRPr="004A013D" w:rsidRDefault="004A013D" w:rsidP="004A013D">
      <w:pPr>
        <w:jc w:val="both"/>
        <w:rPr>
          <w:lang w:val="es-ES"/>
        </w:rPr>
      </w:pPr>
      <w:r w:rsidRPr="004A013D">
        <w:rPr>
          <w:lang w:val="es-ES"/>
        </w:rPr>
        <w:t>Resumen de las Capacitaciones Realizadas:</w:t>
      </w:r>
    </w:p>
    <w:tbl>
      <w:tblPr>
        <w:tblStyle w:val="Tablaconcuadrcula"/>
        <w:tblW w:w="5000" w:type="pct"/>
        <w:jc w:val="center"/>
        <w:tblLook w:val="04A0" w:firstRow="1" w:lastRow="0" w:firstColumn="1" w:lastColumn="0" w:noHBand="0" w:noVBand="1"/>
      </w:tblPr>
      <w:tblGrid>
        <w:gridCol w:w="2471"/>
        <w:gridCol w:w="1623"/>
        <w:gridCol w:w="1916"/>
        <w:gridCol w:w="1033"/>
        <w:gridCol w:w="1785"/>
      </w:tblGrid>
      <w:tr w:rsidR="004A013D" w:rsidRPr="004A013D" w14:paraId="32D357B5" w14:textId="77777777" w:rsidTr="0037346F">
        <w:trPr>
          <w:jc w:val="center"/>
        </w:trPr>
        <w:tc>
          <w:tcPr>
            <w:tcW w:w="1400" w:type="pct"/>
            <w:vAlign w:val="center"/>
          </w:tcPr>
          <w:p w14:paraId="688D5593" w14:textId="77777777" w:rsidR="004A013D" w:rsidRPr="004A013D" w:rsidRDefault="004A013D" w:rsidP="004A013D">
            <w:pPr>
              <w:pStyle w:val="Sinespaciado"/>
              <w:jc w:val="both"/>
              <w:rPr>
                <w:b/>
                <w:sz w:val="20"/>
                <w:szCs w:val="20"/>
              </w:rPr>
            </w:pPr>
            <w:r w:rsidRPr="004A013D">
              <w:rPr>
                <w:b/>
                <w:sz w:val="20"/>
                <w:szCs w:val="20"/>
              </w:rPr>
              <w:t>Temas Capacitaciones</w:t>
            </w:r>
          </w:p>
        </w:tc>
        <w:tc>
          <w:tcPr>
            <w:tcW w:w="919" w:type="pct"/>
            <w:vAlign w:val="center"/>
          </w:tcPr>
          <w:p w14:paraId="1118D653" w14:textId="77777777" w:rsidR="004A013D" w:rsidRPr="004A013D" w:rsidRDefault="004A013D" w:rsidP="004A013D">
            <w:pPr>
              <w:pStyle w:val="Sinespaciado"/>
              <w:jc w:val="both"/>
              <w:rPr>
                <w:b/>
                <w:sz w:val="20"/>
                <w:szCs w:val="20"/>
              </w:rPr>
            </w:pPr>
            <w:r w:rsidRPr="004A013D">
              <w:rPr>
                <w:b/>
                <w:sz w:val="20"/>
                <w:szCs w:val="20"/>
              </w:rPr>
              <w:t>No. Usuarios Capacitados</w:t>
            </w:r>
          </w:p>
        </w:tc>
        <w:tc>
          <w:tcPr>
            <w:tcW w:w="1085" w:type="pct"/>
            <w:vAlign w:val="center"/>
          </w:tcPr>
          <w:p w14:paraId="00E2F38A" w14:textId="77777777" w:rsidR="004A013D" w:rsidRPr="004A013D" w:rsidRDefault="004A013D" w:rsidP="004A013D">
            <w:pPr>
              <w:pStyle w:val="Sinespaciado"/>
              <w:jc w:val="both"/>
              <w:rPr>
                <w:b/>
                <w:sz w:val="20"/>
                <w:szCs w:val="20"/>
              </w:rPr>
            </w:pPr>
            <w:r w:rsidRPr="004A013D">
              <w:rPr>
                <w:b/>
                <w:sz w:val="20"/>
                <w:szCs w:val="20"/>
              </w:rPr>
              <w:t>No. Capacitaciones Grupo</w:t>
            </w:r>
          </w:p>
        </w:tc>
        <w:tc>
          <w:tcPr>
            <w:tcW w:w="585" w:type="pct"/>
            <w:vAlign w:val="center"/>
          </w:tcPr>
          <w:p w14:paraId="1DA5B041" w14:textId="77777777" w:rsidR="004A013D" w:rsidRPr="004A013D" w:rsidRDefault="004A013D" w:rsidP="004A013D">
            <w:pPr>
              <w:pStyle w:val="Sinespaciado"/>
              <w:jc w:val="both"/>
              <w:rPr>
                <w:b/>
                <w:sz w:val="20"/>
                <w:szCs w:val="20"/>
              </w:rPr>
            </w:pPr>
            <w:r w:rsidRPr="004A013D">
              <w:rPr>
                <w:b/>
                <w:sz w:val="20"/>
                <w:szCs w:val="20"/>
              </w:rPr>
              <w:t>No. Horas</w:t>
            </w:r>
          </w:p>
        </w:tc>
        <w:tc>
          <w:tcPr>
            <w:tcW w:w="1011" w:type="pct"/>
            <w:vAlign w:val="center"/>
          </w:tcPr>
          <w:p w14:paraId="78676D27" w14:textId="77777777" w:rsidR="004A013D" w:rsidRPr="004A013D" w:rsidRDefault="004A013D" w:rsidP="004A013D">
            <w:pPr>
              <w:pStyle w:val="Sinespaciado"/>
              <w:jc w:val="both"/>
              <w:rPr>
                <w:b/>
                <w:sz w:val="20"/>
                <w:szCs w:val="20"/>
              </w:rPr>
            </w:pPr>
            <w:r w:rsidRPr="004A013D">
              <w:rPr>
                <w:b/>
                <w:sz w:val="20"/>
                <w:szCs w:val="20"/>
              </w:rPr>
              <w:t>Total de Horas Capacitaciones</w:t>
            </w:r>
          </w:p>
        </w:tc>
      </w:tr>
      <w:tr w:rsidR="004A013D" w:rsidRPr="004A013D" w14:paraId="50E03A63" w14:textId="77777777" w:rsidTr="0037346F">
        <w:trPr>
          <w:jc w:val="center"/>
        </w:trPr>
        <w:tc>
          <w:tcPr>
            <w:tcW w:w="1400" w:type="pct"/>
            <w:vAlign w:val="center"/>
          </w:tcPr>
          <w:p w14:paraId="70D89796" w14:textId="77777777" w:rsidR="004A013D" w:rsidRPr="004A013D" w:rsidRDefault="004A013D" w:rsidP="004A013D">
            <w:pPr>
              <w:pStyle w:val="Sinespaciado"/>
              <w:jc w:val="both"/>
              <w:rPr>
                <w:sz w:val="20"/>
                <w:szCs w:val="20"/>
              </w:rPr>
            </w:pPr>
            <w:r w:rsidRPr="004A013D">
              <w:rPr>
                <w:sz w:val="20"/>
                <w:szCs w:val="20"/>
              </w:rPr>
              <w:t>Planificación y seguimiento de proyectos en Project Online</w:t>
            </w:r>
          </w:p>
        </w:tc>
        <w:tc>
          <w:tcPr>
            <w:tcW w:w="919" w:type="pct"/>
            <w:vAlign w:val="center"/>
          </w:tcPr>
          <w:p w14:paraId="403C57B8" w14:textId="77777777" w:rsidR="004A013D" w:rsidRPr="004A013D" w:rsidRDefault="004A013D" w:rsidP="004A013D">
            <w:pPr>
              <w:pStyle w:val="Sinespaciado"/>
              <w:jc w:val="both"/>
              <w:rPr>
                <w:sz w:val="20"/>
                <w:szCs w:val="20"/>
              </w:rPr>
            </w:pPr>
            <w:r w:rsidRPr="004A013D">
              <w:rPr>
                <w:sz w:val="20"/>
                <w:szCs w:val="20"/>
              </w:rPr>
              <w:t>10</w:t>
            </w:r>
          </w:p>
        </w:tc>
        <w:tc>
          <w:tcPr>
            <w:tcW w:w="1085" w:type="pct"/>
            <w:vAlign w:val="center"/>
          </w:tcPr>
          <w:p w14:paraId="65FDFBFE" w14:textId="77777777" w:rsidR="004A013D" w:rsidRPr="004A013D" w:rsidRDefault="004A013D" w:rsidP="004A013D">
            <w:pPr>
              <w:pStyle w:val="Sinespaciado"/>
              <w:jc w:val="both"/>
              <w:rPr>
                <w:sz w:val="20"/>
                <w:szCs w:val="20"/>
              </w:rPr>
            </w:pPr>
            <w:r w:rsidRPr="004A013D">
              <w:rPr>
                <w:sz w:val="20"/>
                <w:szCs w:val="20"/>
              </w:rPr>
              <w:t>6</w:t>
            </w:r>
          </w:p>
        </w:tc>
        <w:tc>
          <w:tcPr>
            <w:tcW w:w="585" w:type="pct"/>
            <w:vAlign w:val="center"/>
          </w:tcPr>
          <w:p w14:paraId="5BB92A6B" w14:textId="77777777" w:rsidR="004A013D" w:rsidRPr="004A013D" w:rsidRDefault="004A013D" w:rsidP="004A013D">
            <w:pPr>
              <w:pStyle w:val="Sinespaciado"/>
              <w:jc w:val="both"/>
              <w:rPr>
                <w:sz w:val="20"/>
                <w:szCs w:val="20"/>
              </w:rPr>
            </w:pPr>
            <w:r w:rsidRPr="004A013D">
              <w:rPr>
                <w:sz w:val="20"/>
                <w:szCs w:val="20"/>
              </w:rPr>
              <w:t>15</w:t>
            </w:r>
          </w:p>
        </w:tc>
        <w:tc>
          <w:tcPr>
            <w:tcW w:w="1011" w:type="pct"/>
            <w:vAlign w:val="center"/>
          </w:tcPr>
          <w:p w14:paraId="699D4155" w14:textId="77777777" w:rsidR="004A013D" w:rsidRPr="004A013D" w:rsidRDefault="004A013D" w:rsidP="004A013D">
            <w:pPr>
              <w:pStyle w:val="Sinespaciado"/>
              <w:jc w:val="both"/>
              <w:rPr>
                <w:sz w:val="20"/>
                <w:szCs w:val="20"/>
              </w:rPr>
            </w:pPr>
            <w:r w:rsidRPr="004A013D">
              <w:rPr>
                <w:sz w:val="20"/>
                <w:szCs w:val="20"/>
              </w:rPr>
              <w:t>15</w:t>
            </w:r>
          </w:p>
        </w:tc>
      </w:tr>
    </w:tbl>
    <w:p w14:paraId="3BB1B226" w14:textId="77777777" w:rsidR="00F0249C" w:rsidRPr="00F0249C" w:rsidRDefault="00F0249C" w:rsidP="00F0249C"/>
    <w:p w14:paraId="452CC001" w14:textId="77777777" w:rsidR="004A013D" w:rsidRPr="00F0249C" w:rsidRDefault="004A013D" w:rsidP="00F0249C">
      <w:pPr>
        <w:rPr>
          <w:b/>
        </w:rPr>
      </w:pPr>
      <w:r w:rsidRPr="00F0249C">
        <w:rPr>
          <w:b/>
        </w:rPr>
        <w:t>Seguimiento mensual a la ejecución presupuestal y a su impacto en la infraestructura</w:t>
      </w:r>
    </w:p>
    <w:p w14:paraId="60CED09C" w14:textId="77777777" w:rsidR="004A013D" w:rsidRPr="004A013D" w:rsidRDefault="004A013D" w:rsidP="004A013D">
      <w:pPr>
        <w:jc w:val="both"/>
      </w:pPr>
      <w:r w:rsidRPr="004A013D">
        <w:t>Se ha realizado un acta mensual con respecto a la ejecución presupuestal de la Gerencia de Sistema de Información y Tecnología.</w:t>
      </w:r>
    </w:p>
    <w:p w14:paraId="7925E03D" w14:textId="77777777" w:rsidR="004A013D" w:rsidRPr="004A013D" w:rsidRDefault="004A013D" w:rsidP="004A013D">
      <w:pPr>
        <w:jc w:val="both"/>
      </w:pPr>
    </w:p>
    <w:p w14:paraId="3D186FC2" w14:textId="77777777" w:rsidR="004A013D" w:rsidRPr="0063586F" w:rsidRDefault="004A013D" w:rsidP="0063586F">
      <w:pPr>
        <w:rPr>
          <w:b/>
        </w:rPr>
      </w:pPr>
      <w:r w:rsidRPr="0063586F">
        <w:rPr>
          <w:b/>
        </w:rPr>
        <w:lastRenderedPageBreak/>
        <w:t>OTRAS ACTIVIDADES Y CONTRATOS:</w:t>
      </w:r>
    </w:p>
    <w:p w14:paraId="6D843905" w14:textId="77777777" w:rsidR="004A013D" w:rsidRPr="004A013D" w:rsidRDefault="004A013D" w:rsidP="004A013D">
      <w:pPr>
        <w:jc w:val="both"/>
      </w:pPr>
      <w:r w:rsidRPr="004A013D">
        <w:t>Durante todo el año 2013 el Gerente de Sistemas de Información y Tecnología junto con su grupo de ingenieros y técnicos trabajaron fuertemente en el cumplimiento de las metas del año pasado. Se generaron una serie de procesos de contratación publicados todos en el portal de contracción SECOP, en diferentes modalidades de contratación y se firmaron los respectivos contratos entre los Contratistas y la Agencia Nacional de Infraestructura.</w:t>
      </w:r>
    </w:p>
    <w:p w14:paraId="048C62F7" w14:textId="77777777" w:rsidR="004A013D" w:rsidRPr="004A013D" w:rsidRDefault="004A013D" w:rsidP="004A013D">
      <w:pPr>
        <w:jc w:val="both"/>
      </w:pPr>
      <w:r w:rsidRPr="004A013D">
        <w:t>La mayoría de estos contratos se ejecutaron el año pasado pero algunos se prolongaron para el 2014 y se terminaron dentro del tercer trimestre.</w:t>
      </w:r>
    </w:p>
    <w:p w14:paraId="18BD51CF" w14:textId="77777777" w:rsidR="004A013D" w:rsidRPr="004A013D" w:rsidRDefault="004A013D" w:rsidP="004A013D">
      <w:pPr>
        <w:jc w:val="both"/>
      </w:pPr>
      <w:r w:rsidRPr="004A013D">
        <w:t>Estos son los contratos que tenían otrosí y fecha de terminación entre enero y marzo del 2014:</w:t>
      </w:r>
    </w:p>
    <w:p w14:paraId="31F82EE4" w14:textId="77777777" w:rsidR="004A013D" w:rsidRPr="0063586F" w:rsidRDefault="004A013D" w:rsidP="0063586F">
      <w:pPr>
        <w:rPr>
          <w:b/>
        </w:rPr>
      </w:pPr>
      <w:r w:rsidRPr="0063586F">
        <w:rPr>
          <w:b/>
        </w:rPr>
        <w:t>SEGURIDAD PERIMETRAL:</w:t>
      </w:r>
    </w:p>
    <w:p w14:paraId="192BBF9D" w14:textId="77777777" w:rsidR="004A013D" w:rsidRPr="004A013D" w:rsidRDefault="004A013D" w:rsidP="004A013D">
      <w:pPr>
        <w:jc w:val="both"/>
      </w:pPr>
      <w:r w:rsidRPr="004A013D">
        <w:t>Durante el cuarto trimestre del 2013, se realizó la estructuración del proceso de contratación y el estudio previo del mismo, cuyo objeto fue: “CONTRATAR LA COMPRA E INSTALACIÓN DE UNA SOLUCION DE SEGURIDAD PERIMETRAL PARA LA AGENCIA NACIONAL DE INFRAESTRUCTURA - ANI”.</w:t>
      </w:r>
    </w:p>
    <w:p w14:paraId="3E62BB42" w14:textId="77777777" w:rsidR="004A013D" w:rsidRPr="004A013D" w:rsidRDefault="004A013D" w:rsidP="004A013D">
      <w:pPr>
        <w:jc w:val="both"/>
      </w:pPr>
      <w:r w:rsidRPr="004A013D">
        <w:t>La gerencia de Contratación publicó la invitación pública y los estudios previos en el SECOP, mediante la modalidad de contratación Mínima Cuantía, con el número del proceso: VJ-VPRE-MC-020-2013.</w:t>
      </w:r>
    </w:p>
    <w:p w14:paraId="6CB6A8EB" w14:textId="77777777" w:rsidR="004A013D" w:rsidRPr="004A013D" w:rsidRDefault="004A013D" w:rsidP="004A013D">
      <w:pPr>
        <w:jc w:val="both"/>
      </w:pPr>
      <w:r w:rsidRPr="004A013D">
        <w:t>También se publicó el informe de evaluación y la carta de aceptación de la propuesta ganadora.</w:t>
      </w:r>
    </w:p>
    <w:p w14:paraId="367B2653" w14:textId="77777777" w:rsidR="004A013D" w:rsidRPr="004A013D" w:rsidRDefault="004A013D" w:rsidP="004A013D">
      <w:pPr>
        <w:jc w:val="both"/>
      </w:pPr>
      <w:r w:rsidRPr="004A013D">
        <w:t>La empresa ganadora fue SOLUCIONES, TECNOLOGIA Y SERVICIOS SA STS SA con el valor: ($47.295.834) CUARENTA Y SIETE MILLONES DOSCIENTOS NOVENTA Y CINCO MIL OCHOCIENTOS TREINTA Y CUATRO PESOS MCTE, IVA incluido.</w:t>
      </w:r>
    </w:p>
    <w:p w14:paraId="2D7A07CF" w14:textId="77777777" w:rsidR="004A013D" w:rsidRPr="004A013D" w:rsidRDefault="004A013D" w:rsidP="004A013D">
      <w:pPr>
        <w:jc w:val="both"/>
      </w:pPr>
      <w:r w:rsidRPr="004A013D">
        <w:t>Se realizó la firma del contrato # 481, el cual tenía vigencia hasta el 31 de diciembre, pero por motivos de fabricación y nacionalización del equipo en épocas decembrinas se realizó una extensión de plazo de 20 días por medio del Otrosí #1 el día 27 de diciembre del 2013.</w:t>
      </w:r>
    </w:p>
    <w:p w14:paraId="3D8A58E1" w14:textId="77777777" w:rsidR="004A013D" w:rsidRPr="004A013D" w:rsidRDefault="004A013D" w:rsidP="004A013D">
      <w:pPr>
        <w:jc w:val="both"/>
      </w:pPr>
      <w:r w:rsidRPr="004A013D">
        <w:t>El 20 de Enero del 2014 se realizó nuevamente una extensión de plazo hasta el 3 de Marzo del 2014, por medio del Otrosí #2, debido a que le equipo no había salido de aduana y porque había que comprar unos componentes adicionales los cuales había que importar.</w:t>
      </w:r>
    </w:p>
    <w:p w14:paraId="7F8090EB" w14:textId="77777777" w:rsidR="004A013D" w:rsidRPr="004A013D" w:rsidRDefault="004A013D" w:rsidP="004A013D">
      <w:pPr>
        <w:jc w:val="both"/>
      </w:pPr>
      <w:r w:rsidRPr="004A013D">
        <w:t>Durante el mes de febrero se entregó el equipo, se realizaron varias ventanas de trabajo los fines de semana para configurar el firewall y se entregó todo terminado el día 3 de marzo del 2014.</w:t>
      </w:r>
    </w:p>
    <w:p w14:paraId="024477C5" w14:textId="77777777" w:rsidR="004A013D" w:rsidRPr="004A013D" w:rsidRDefault="004A013D" w:rsidP="004A013D">
      <w:pPr>
        <w:jc w:val="both"/>
      </w:pPr>
      <w:r w:rsidRPr="004A013D">
        <w:t>Luego se finalizaron unos pendientes, se entregó factura y se realizó el ingreso a almacén.</w:t>
      </w:r>
    </w:p>
    <w:p w14:paraId="17B35F5D" w14:textId="77777777" w:rsidR="004A013D" w:rsidRPr="0063586F" w:rsidRDefault="004A013D" w:rsidP="0063586F">
      <w:pPr>
        <w:rPr>
          <w:b/>
        </w:rPr>
      </w:pPr>
      <w:r w:rsidRPr="0063586F">
        <w:rPr>
          <w:b/>
        </w:rPr>
        <w:t>LYNC:</w:t>
      </w:r>
    </w:p>
    <w:p w14:paraId="575E3F5D" w14:textId="77777777" w:rsidR="004A013D" w:rsidRPr="004A013D" w:rsidRDefault="004A013D" w:rsidP="004A013D">
      <w:pPr>
        <w:jc w:val="both"/>
      </w:pPr>
      <w:r w:rsidRPr="004A013D">
        <w:t xml:space="preserve">Durante el cuarto trimestre del 2013, se realizó la estructuración del proceso de contratación y el estudio previo del mismo, cuyo objeto fue: “CONTRATAR SERVICIOS DE MIGRACION DE LA PLATAFORMA DE COMUNICACIONES UNIFICADAS CON MICROSOFT LYNC 2010 A MICROSOFT LYNC </w:t>
      </w:r>
      <w:r w:rsidRPr="004A013D">
        <w:lastRenderedPageBreak/>
        <w:t>2013 INTEGRADO CON OFFICE 365 PLAN E4, SUMINISTRO, INSTALACION Y CONFIGURACION DE GATEWAY SBC AUDIOCODES MEDIANT 800 PARA LA AGENCIA NACIONAL DE INFRAESTRUCTURA - ANI”.</w:t>
      </w:r>
    </w:p>
    <w:p w14:paraId="55B1B5B1" w14:textId="77777777" w:rsidR="004A013D" w:rsidRPr="004A013D" w:rsidRDefault="004A013D" w:rsidP="004A013D">
      <w:pPr>
        <w:jc w:val="both"/>
      </w:pPr>
      <w:r w:rsidRPr="004A013D">
        <w:t>La gerencia de Contratación publicó la invitación pública y los estudios previos en el SECOP, mediante la modalidad de contratación Mínima Cuantía, con el número del proceso: VJ-VPRE-MC-021-2013.</w:t>
      </w:r>
    </w:p>
    <w:p w14:paraId="1D941827" w14:textId="77777777" w:rsidR="004A013D" w:rsidRPr="004A013D" w:rsidRDefault="004A013D" w:rsidP="004A013D">
      <w:pPr>
        <w:jc w:val="both"/>
      </w:pPr>
      <w:r w:rsidRPr="004A013D">
        <w:t>También se publicó el informe de evaluación y la carta de aceptación de la propuesta ganadora.</w:t>
      </w:r>
    </w:p>
    <w:p w14:paraId="556F4345" w14:textId="77777777" w:rsidR="004A013D" w:rsidRPr="004A013D" w:rsidRDefault="004A013D" w:rsidP="004A013D">
      <w:pPr>
        <w:jc w:val="both"/>
      </w:pPr>
      <w:r w:rsidRPr="004A013D">
        <w:t>La empresa ganadora fue PS Communications LTDA con el valor: ($49.500.00) CUARENTA Y NUEVE MILLONES QUINIENTOS MIL PESOS MCTE, IVA incluido.</w:t>
      </w:r>
    </w:p>
    <w:p w14:paraId="28748343" w14:textId="77777777" w:rsidR="004A013D" w:rsidRPr="004A013D" w:rsidRDefault="004A013D" w:rsidP="004A013D">
      <w:pPr>
        <w:jc w:val="both"/>
      </w:pPr>
      <w:r w:rsidRPr="004A013D">
        <w:t>Se realizó la firma del contrato # 484, el cual tenía vigencia hasta el 31 de diciembre, pero por motivos baja capacidad en el los servidores existentes se realizó una extensión de plazo hasta el 31 de Enero del 2014, por medio de un Otrosí el día 30 de diciembre del 2013.</w:t>
      </w:r>
    </w:p>
    <w:p w14:paraId="18DC68F9" w14:textId="77777777" w:rsidR="004A013D" w:rsidRPr="004A013D" w:rsidRDefault="004A013D" w:rsidP="004A013D">
      <w:pPr>
        <w:jc w:val="both"/>
      </w:pPr>
      <w:r w:rsidRPr="004A013D">
        <w:t>Los servidores se repotenciaron con la compra de discos duros y memorias RAM de otro contrato y se configuró el Lync para todos los usuarios como comunicaciones unificadas. El contrato se terminó el 31 de Enero del 2014 pero quedaron algunos puntos pendientes debido a que el contrato de Seguridad Perimetral se prorrogo hasta el 3 de marzo y se necesitaba tener el firewall configurado para terminar el contrato.</w:t>
      </w:r>
    </w:p>
    <w:p w14:paraId="5AB3E4CF" w14:textId="77777777" w:rsidR="004A013D" w:rsidRPr="004A013D" w:rsidRDefault="004A013D" w:rsidP="004A013D">
      <w:pPr>
        <w:jc w:val="both"/>
      </w:pPr>
      <w:r w:rsidRPr="004A013D">
        <w:t>El día 25 de febrero se terminaron los puntos pendientes y se dio cierre definitivo al contrato. Se radico factura y se realizó el ingreso a almacén del equipo.</w:t>
      </w:r>
    </w:p>
    <w:p w14:paraId="425DB68F" w14:textId="77777777" w:rsidR="004A013D" w:rsidRPr="0063586F" w:rsidRDefault="004A013D" w:rsidP="0063586F">
      <w:pPr>
        <w:rPr>
          <w:b/>
        </w:rPr>
      </w:pPr>
      <w:r w:rsidRPr="0063586F">
        <w:rPr>
          <w:b/>
        </w:rPr>
        <w:t>MEMORIAS SERVIDORES:</w:t>
      </w:r>
    </w:p>
    <w:p w14:paraId="2031723B" w14:textId="77777777" w:rsidR="004A013D" w:rsidRPr="004A013D" w:rsidRDefault="004A013D" w:rsidP="004A013D">
      <w:pPr>
        <w:jc w:val="both"/>
      </w:pPr>
      <w:r w:rsidRPr="004A013D">
        <w:t>Durante el cuarto trimestre del 2013, se realizó la estructuración del proceso de contratación y el estudio previo del mismo, cuyo objeto fue: “CONTRATAR LA COMPRA DE DISCOS DUROS Y MEMORIAS PARA LOS SERVIDORES DE LA AGENCIA NACIONAL DE INFRAESTRUCTURA - ANI”.</w:t>
      </w:r>
    </w:p>
    <w:p w14:paraId="23F7F297" w14:textId="77777777" w:rsidR="004A013D" w:rsidRPr="004A013D" w:rsidRDefault="004A013D" w:rsidP="004A013D">
      <w:pPr>
        <w:jc w:val="both"/>
      </w:pPr>
      <w:r w:rsidRPr="004A013D">
        <w:t>La gerencia de Contratación publicó la invitación pública y los estudios previos en el SECOP, mediante la modalidad de contratación Mínima Cuantía, con el número del proceso: VJ-VPRE-MC-023-2013.</w:t>
      </w:r>
    </w:p>
    <w:p w14:paraId="7A224452" w14:textId="77777777" w:rsidR="004A013D" w:rsidRPr="004A013D" w:rsidRDefault="004A013D" w:rsidP="004A013D">
      <w:pPr>
        <w:jc w:val="both"/>
      </w:pPr>
      <w:r w:rsidRPr="004A013D">
        <w:t>También se publicó el informe de evaluación y la carta de aceptación de la propuesta ganadora.</w:t>
      </w:r>
    </w:p>
    <w:p w14:paraId="0FA40A35" w14:textId="77777777" w:rsidR="004A013D" w:rsidRPr="004A013D" w:rsidRDefault="004A013D" w:rsidP="004A013D">
      <w:pPr>
        <w:jc w:val="both"/>
      </w:pPr>
      <w:r w:rsidRPr="004A013D">
        <w:t>La empresa ganadora fue COLOMBIANA DE SOFTWARE Y HARDWARE –COLSOF S.A con el valor ($35.023.158) TREINTA Y CINCO MILLONES VEINTITRÉS MIL CIENTO CINCUENTA Y OCHO PESOS MCTE, IVA incluido.</w:t>
      </w:r>
    </w:p>
    <w:p w14:paraId="23285604" w14:textId="77777777" w:rsidR="004A013D" w:rsidRPr="004A013D" w:rsidRDefault="004A013D" w:rsidP="004A013D">
      <w:pPr>
        <w:jc w:val="both"/>
      </w:pPr>
      <w:r w:rsidRPr="004A013D">
        <w:t xml:space="preserve">Se realizó la firma del contrato # 505, el cual tenía vigencia hasta el 31 de diciembre. Las memorias y los discos duros de los servidores y los discos duros externos fueron entregados el 26 de diciembre, pero por motivos de fabricación y nacionalización del equipo del ítem 7 del anexo técnico, en épocas </w:t>
      </w:r>
      <w:r w:rsidRPr="004A013D">
        <w:lastRenderedPageBreak/>
        <w:t>decembrinas se realizó una extensión de plazo hasta el 15 de febrero  del 2014 por medio de un otrosí el día 27 de diciembre del 2013.</w:t>
      </w:r>
    </w:p>
    <w:p w14:paraId="5D78AB39" w14:textId="77777777" w:rsidR="004A013D" w:rsidRPr="004A013D" w:rsidRDefault="004A013D" w:rsidP="004A013D">
      <w:pPr>
        <w:jc w:val="both"/>
      </w:pPr>
      <w:r w:rsidRPr="004A013D">
        <w:t>A finales de Enero llego el equipo KVM AP5816 y posteriormente se realizó su debida instalación.</w:t>
      </w:r>
    </w:p>
    <w:p w14:paraId="794D8664" w14:textId="77777777" w:rsidR="004A013D" w:rsidRPr="004A013D" w:rsidRDefault="004A013D" w:rsidP="004A013D">
      <w:pPr>
        <w:jc w:val="both"/>
      </w:pPr>
      <w:r w:rsidRPr="004A013D">
        <w:t>Se firmó el acta de cierre el día 14 de febrero, se radico la factura y se realizó el ingreso a almacén.</w:t>
      </w:r>
    </w:p>
    <w:p w14:paraId="2E299E9E" w14:textId="77777777" w:rsidR="004A013D" w:rsidRPr="0063586F" w:rsidRDefault="004A013D" w:rsidP="0063586F">
      <w:pPr>
        <w:rPr>
          <w:b/>
        </w:rPr>
      </w:pPr>
      <w:r w:rsidRPr="0063586F">
        <w:rPr>
          <w:b/>
        </w:rPr>
        <w:t>PORTATILES:</w:t>
      </w:r>
    </w:p>
    <w:p w14:paraId="0DB6E9A5" w14:textId="77777777" w:rsidR="004A013D" w:rsidRPr="004A013D" w:rsidRDefault="004A013D" w:rsidP="004A013D">
      <w:pPr>
        <w:jc w:val="both"/>
      </w:pPr>
      <w:r w:rsidRPr="004A013D">
        <w:t>Durante el cuarto trimestre del 2013, se realizó la estructuración del proceso de contratación y el estudio previo del mismo, cuyo objeto fue: “CONTRATAR LA ADQUISICIÓN DE COMPUTADORES PORTÁTILES DE DESEMPEÑO MEDIO Y DE DESEMPEÑO ALTO PARA LA AGENCIA NACIONAL DE INFRAESTRUCTURA”.</w:t>
      </w:r>
    </w:p>
    <w:p w14:paraId="3D2E150A" w14:textId="77777777" w:rsidR="004A013D" w:rsidRPr="004A013D" w:rsidRDefault="004A013D" w:rsidP="004A013D">
      <w:pPr>
        <w:jc w:val="both"/>
      </w:pPr>
      <w:r w:rsidRPr="004A013D">
        <w:t>La gerencia de Contratación publicó el proyecto del pliego de condiciones y los estudios previos en el SECOP, mediante la modalidad de contratación Subasta Inversa, con el número del proceso: VJ-VPRE-SI-003-2013.</w:t>
      </w:r>
    </w:p>
    <w:p w14:paraId="2BEA0005" w14:textId="77777777" w:rsidR="004A013D" w:rsidRPr="004A013D" w:rsidRDefault="004A013D" w:rsidP="004A013D">
      <w:pPr>
        <w:jc w:val="both"/>
      </w:pPr>
      <w:r w:rsidRPr="004A013D">
        <w:t>También se publicó el pliego de condiciones definitivo, la audiencia pública de cierre del proceso y apertura de ofertas y el informe de evaluación jurídica, técnica y financiera.</w:t>
      </w:r>
    </w:p>
    <w:p w14:paraId="4B0F7C0F" w14:textId="77777777" w:rsidR="004A013D" w:rsidRPr="004A013D" w:rsidRDefault="004A013D" w:rsidP="004A013D">
      <w:pPr>
        <w:jc w:val="both"/>
      </w:pPr>
      <w:r w:rsidRPr="004A013D">
        <w:t>Las empresas ganadoras de los dos módulos fueron:</w:t>
      </w:r>
    </w:p>
    <w:p w14:paraId="2C1726CA" w14:textId="77777777" w:rsidR="004A013D" w:rsidRPr="004A013D" w:rsidRDefault="004A013D" w:rsidP="004A013D">
      <w:pPr>
        <w:pStyle w:val="Prrafodelista"/>
        <w:widowControl w:val="0"/>
        <w:numPr>
          <w:ilvl w:val="0"/>
          <w:numId w:val="195"/>
        </w:numPr>
        <w:spacing w:before="240" w:after="120" w:line="240" w:lineRule="auto"/>
        <w:jc w:val="both"/>
      </w:pPr>
      <w:r w:rsidRPr="004A013D">
        <w:t xml:space="preserve">Módulo 1: fue Comercial MCL SAS con un valor de ($132.855.800) CIENTO TREINTA Y DOS MILLONES OCHOCIENTOS CINCUENTA Y CINCO MIL OCHOCIENTOS PESOS MCTE, IVA incluido. </w:t>
      </w:r>
    </w:p>
    <w:p w14:paraId="0F37D6F9" w14:textId="77777777" w:rsidR="004A013D" w:rsidRPr="004A013D" w:rsidRDefault="004A013D" w:rsidP="004A013D">
      <w:pPr>
        <w:pStyle w:val="Prrafodelista"/>
        <w:widowControl w:val="0"/>
        <w:numPr>
          <w:ilvl w:val="0"/>
          <w:numId w:val="195"/>
        </w:numPr>
        <w:spacing w:before="240" w:after="120" w:line="240" w:lineRule="auto"/>
        <w:jc w:val="both"/>
      </w:pPr>
      <w:r w:rsidRPr="004A013D">
        <w:t xml:space="preserve">Módulo 2: fue Carolina Tamayo Palacio con un valor de ($123.567.700) CIENTO VEINTITRÉS MILLONES QUINIENTOS SESENTA Y SIETE MIL SETECIENTOS PESOS MCTE, IVA incluido. </w:t>
      </w:r>
    </w:p>
    <w:p w14:paraId="6C3EBBC9" w14:textId="77777777" w:rsidR="004A013D" w:rsidRPr="004A013D" w:rsidRDefault="004A013D" w:rsidP="004A013D">
      <w:pPr>
        <w:jc w:val="both"/>
      </w:pPr>
      <w:r w:rsidRPr="004A013D">
        <w:t>Los portátiles adquiridos para el módulo 1 fueron 77 y para el módulo 2 fueron 61.</w:t>
      </w:r>
    </w:p>
    <w:p w14:paraId="3DB70A1A" w14:textId="77777777" w:rsidR="004A013D" w:rsidRPr="004A013D" w:rsidRDefault="004A013D" w:rsidP="004A013D">
      <w:pPr>
        <w:jc w:val="both"/>
      </w:pPr>
      <w:r w:rsidRPr="004A013D">
        <w:t>Posteriormente se realizó la firma de los contrato # 529 (Carolina Tamayo Palacio) y #530 (Comercial MCL SAS), los cuales estaban vigentes hasta el 31 de diciembres 2013.</w:t>
      </w:r>
    </w:p>
    <w:p w14:paraId="320B597E" w14:textId="77777777" w:rsidR="004A013D" w:rsidRPr="004A013D" w:rsidRDefault="004A013D" w:rsidP="004A013D">
      <w:pPr>
        <w:jc w:val="both"/>
      </w:pPr>
      <w:r w:rsidRPr="004A013D">
        <w:t>Para el módulo 1 se firmó el acta inicial, nos brindaron mejora tecnológica con respecto a los equipos ofertados, nosotros la aceptamos, se recibieron los 77 portátiles con sus diademas y sus mouses, y se radico la factura y se realizó el debido ingreso a almacén.</w:t>
      </w:r>
    </w:p>
    <w:p w14:paraId="78750CA3" w14:textId="77777777" w:rsidR="004A013D" w:rsidRPr="004A013D" w:rsidRDefault="004A013D" w:rsidP="004A013D">
      <w:pPr>
        <w:jc w:val="both"/>
      </w:pPr>
      <w:r w:rsidRPr="004A013D">
        <w:t xml:space="preserve">Para el módulo 2 se firmó el acta inicial, nos brindaron mejora tecnológica con respecto a los equipos ofertados, nosotros la aceptamos, pero por motivos de fabricación y nacionalización de los equipos, en épocas decembrinas se realizó una extensión de plazo de 20 días calendario por medio de un otrosí el día 27 de diciembre del 2013. El 20 de enero entregaron los 61 portátiles con sus respectivas diademas. </w:t>
      </w:r>
    </w:p>
    <w:p w14:paraId="3D72CF90" w14:textId="77777777" w:rsidR="004A013D" w:rsidRPr="004A013D" w:rsidRDefault="004A013D" w:rsidP="004A013D">
      <w:pPr>
        <w:jc w:val="both"/>
      </w:pPr>
      <w:r w:rsidRPr="004A013D">
        <w:t>El día 3 de abril se terminaron de configurar el sistema operático Windows 8 profesional a los portátiles y se dio cierre definitivo al contrato. Se radico factura y se realizó el ingreso a almacén de todos los equipos.</w:t>
      </w:r>
    </w:p>
    <w:p w14:paraId="78919503" w14:textId="77777777" w:rsidR="004A013D" w:rsidRPr="0063586F" w:rsidRDefault="004A013D" w:rsidP="0063586F">
      <w:pPr>
        <w:rPr>
          <w:b/>
        </w:rPr>
      </w:pPr>
      <w:r w:rsidRPr="0063586F">
        <w:rPr>
          <w:b/>
        </w:rPr>
        <w:lastRenderedPageBreak/>
        <w:t>SISTEMA DE INFORMACION:</w:t>
      </w:r>
    </w:p>
    <w:p w14:paraId="040E7BCB" w14:textId="77777777" w:rsidR="004A013D" w:rsidRPr="004A013D" w:rsidRDefault="004A013D" w:rsidP="004A013D">
      <w:pPr>
        <w:jc w:val="both"/>
      </w:pPr>
      <w:r w:rsidRPr="004A013D">
        <w:t>Durante el tercer trimestre del 2013, se realizó la estructuración del proceso de contratación y el estudio previo del mismo, cuyo objeto fue: “IMPLEMENTACIÓN DEL SISTEMA DE INFORMACIÓN DE SEGUIMIENTO Y CONTROL DE LOS PROYECTOS DE CONCESIÓN DE LA AGENCIA NACIONAL DE INFRAESTRUCTURA ANI, UTILIZANDO COMO HERRAMIENTA MICROSOFT PROJECT ONLINE”.</w:t>
      </w:r>
    </w:p>
    <w:p w14:paraId="3AAFDD35" w14:textId="77777777" w:rsidR="004A013D" w:rsidRPr="004A013D" w:rsidRDefault="004A013D" w:rsidP="004A013D">
      <w:pPr>
        <w:jc w:val="both"/>
      </w:pPr>
      <w:r w:rsidRPr="004A013D">
        <w:t>La gerencia de Contratación publicó el proyecto del pliego de condiciones y los estudios previos en el SECOP, mediante la modalidad de contratación Selección Abreviada de Menor Cuantía, con el número del proceso: VJ-VPRE-SA-007-2013.</w:t>
      </w:r>
    </w:p>
    <w:p w14:paraId="07C61884" w14:textId="77777777" w:rsidR="004A013D" w:rsidRPr="004A013D" w:rsidRDefault="004A013D" w:rsidP="004A013D">
      <w:pPr>
        <w:jc w:val="both"/>
      </w:pPr>
      <w:r w:rsidRPr="004A013D">
        <w:t>También se publicó el pliego de condiciones definitivo, el acta de audiencia pública del cierre del proceso y apertura de oferta, y el informe de evaluación jurídica, técnica y financiera.</w:t>
      </w:r>
    </w:p>
    <w:p w14:paraId="55A746C2" w14:textId="77777777" w:rsidR="004A013D" w:rsidRPr="004A013D" w:rsidRDefault="004A013D" w:rsidP="004A013D">
      <w:pPr>
        <w:jc w:val="both"/>
      </w:pPr>
      <w:r w:rsidRPr="004A013D">
        <w:t>La empresa ganadora y además la única que se presento fue BEX TECHNOLOGY SA, con el precio ($358.000.000) TRESCIENTOS CINCUENTA Y OCHO MILLONES DE PESOS, IVA incluido.</w:t>
      </w:r>
    </w:p>
    <w:p w14:paraId="0D527345" w14:textId="77777777" w:rsidR="004A013D" w:rsidRPr="004A013D" w:rsidRDefault="004A013D" w:rsidP="004A013D">
      <w:pPr>
        <w:jc w:val="both"/>
      </w:pPr>
      <w:r w:rsidRPr="004A013D">
        <w:t xml:space="preserve">Se realizó la firma del contrato # 480, el cual tenía plazo de ejecución </w:t>
      </w:r>
      <w:r w:rsidRPr="004A013D">
        <w:rPr>
          <w:sz w:val="23"/>
          <w:szCs w:val="23"/>
        </w:rPr>
        <w:t>hasta el 31 de diciembre de 2013</w:t>
      </w:r>
      <w:r w:rsidRPr="004A013D">
        <w:t>, luego se firmó el acta inicial y se empezó con el desarrollo del contrato.</w:t>
      </w:r>
    </w:p>
    <w:p w14:paraId="2F1CDC09" w14:textId="77777777" w:rsidR="004A013D" w:rsidRPr="004A013D" w:rsidRDefault="004A013D" w:rsidP="004A013D">
      <w:pPr>
        <w:jc w:val="both"/>
      </w:pPr>
      <w:r w:rsidRPr="004A013D">
        <w:t>Por motivos de demora en el tiempo en la instalación de las licencias de Microsoft Office 365 y Project Online adquiridas por la Agencia, el 26 de diciembre BEX pasó una solicitud de prórroga del contrato. Se realizó el Otrosí con la prórroga hasta el 31 de enero del 2014.</w:t>
      </w:r>
    </w:p>
    <w:p w14:paraId="01320111" w14:textId="77777777" w:rsidR="004A013D" w:rsidRPr="004A013D" w:rsidRDefault="004A013D" w:rsidP="004A013D">
      <w:pPr>
        <w:jc w:val="both"/>
      </w:pPr>
      <w:r w:rsidRPr="004A013D">
        <w:t>En enero 31 de 2014, se cumplieron los objetivos del desarrollo del contrato y se firmó el acta de entrega de recibo de productos, donde las 80 horas adicionales, presentadas por el contratista en el momento de la presentación de las propuestas en el marco del proceso de contratación, corresponden con capacitación y acompañamiento y que a partir del 1 de febrero de 2014 estas se están consumiendo; por lo anterior, el contrato no se ha liquidado y esto se hará una vez se cumplan las 80 horas adicionales, tal y como lo establece el pliego, esto equivale al 10% del valor del contrato de Prestación de Servicios VPRE No.480 de 2013.</w:t>
      </w:r>
    </w:p>
    <w:p w14:paraId="4CBEC7B4" w14:textId="77777777" w:rsidR="004A013D" w:rsidRPr="004A013D" w:rsidRDefault="004A013D" w:rsidP="004A013D">
      <w:pPr>
        <w:jc w:val="both"/>
      </w:pPr>
      <w:r w:rsidRPr="004A013D">
        <w:t>Adicional a los contratos que se prorrogaron para el 2014, durante el primer trimestre también se desarrollaron otras actividades como:</w:t>
      </w:r>
    </w:p>
    <w:p w14:paraId="4E002160" w14:textId="77777777" w:rsidR="004A013D" w:rsidRPr="0063586F" w:rsidRDefault="004A013D" w:rsidP="0063586F">
      <w:pPr>
        <w:rPr>
          <w:b/>
        </w:rPr>
      </w:pPr>
      <w:r w:rsidRPr="0063586F">
        <w:rPr>
          <w:b/>
        </w:rPr>
        <w:t>SISTEMA DE SEGUIMIENTO Y CONTROL DEL PLAN DE ADQUISICIONES:</w:t>
      </w:r>
    </w:p>
    <w:p w14:paraId="760D49AC" w14:textId="77777777" w:rsidR="004A013D" w:rsidRPr="004A013D" w:rsidRDefault="004A013D" w:rsidP="004A013D">
      <w:pPr>
        <w:jc w:val="both"/>
      </w:pPr>
      <w:r w:rsidRPr="004A013D">
        <w:t>Durante año pasado, se empezó con el desarrollo de un sistema que permite calcular los indicadores para realizar seguimiento y control al plan de adquisición de la Agencia.</w:t>
      </w:r>
    </w:p>
    <w:p w14:paraId="76D0379A" w14:textId="77777777" w:rsidR="004A013D" w:rsidRPr="004A013D" w:rsidRDefault="004A013D" w:rsidP="004A013D">
      <w:pPr>
        <w:jc w:val="both"/>
      </w:pPr>
      <w:r w:rsidRPr="004A013D">
        <w:t xml:space="preserve">Se realizaron 5 reuniones entre la Gerencia de Sistemas de Información y Tecnología y la Vicepresidencia Jurídica, en donde se plantearon las necesidades, los objetivos, alcance del sistema y el avance el primer prototipo. </w:t>
      </w:r>
    </w:p>
    <w:p w14:paraId="2CF21358" w14:textId="77777777" w:rsidR="004A013D" w:rsidRPr="004A013D" w:rsidRDefault="004A013D" w:rsidP="004A013D">
      <w:pPr>
        <w:jc w:val="both"/>
      </w:pPr>
      <w:r w:rsidRPr="004A013D">
        <w:t>Luego, se entregó a la Vicepresidencia Jurídica el prototipo final del sistema de Adquisidores desarrollado por la Gerencia de Sistemas.</w:t>
      </w:r>
    </w:p>
    <w:p w14:paraId="5DDCEF4F" w14:textId="77777777" w:rsidR="004A013D" w:rsidRPr="004A013D" w:rsidRDefault="004A013D" w:rsidP="004A013D">
      <w:pPr>
        <w:jc w:val="both"/>
        <w:rPr>
          <w:lang w:eastAsia="es-MX"/>
        </w:rPr>
      </w:pPr>
      <w:r w:rsidRPr="004A013D">
        <w:rPr>
          <w:lang w:eastAsia="es-MX"/>
        </w:rPr>
        <w:lastRenderedPageBreak/>
        <w:t>Durante el primer trimestre del presente año s</w:t>
      </w:r>
      <w:r w:rsidRPr="004A013D">
        <w:t>e realizaron ajustes a la aplicación, debido a que los archivos en los cuales se encuentra la información que administra la aplicación, tanto de SECOP como del plan anual de adquisición cambiaron en su estructura y datos, además se crearon las siguientes graficas de tipo Excel solicitadas por Cesar Augusto Garcia:</w:t>
      </w:r>
    </w:p>
    <w:p w14:paraId="7FD58974" w14:textId="77777777" w:rsidR="004A013D" w:rsidRPr="004A013D" w:rsidRDefault="004A013D" w:rsidP="004A013D">
      <w:pPr>
        <w:pStyle w:val="Prrafodelista"/>
        <w:numPr>
          <w:ilvl w:val="0"/>
          <w:numId w:val="197"/>
        </w:numPr>
        <w:spacing w:after="160" w:line="256" w:lineRule="auto"/>
        <w:jc w:val="both"/>
      </w:pPr>
      <w:r w:rsidRPr="004A013D">
        <w:t>Dos graficas del proceso de contratación por vicepresidencia.</w:t>
      </w:r>
    </w:p>
    <w:p w14:paraId="3E072C97" w14:textId="77777777" w:rsidR="004A013D" w:rsidRPr="004A013D" w:rsidRDefault="004A013D" w:rsidP="004A013D">
      <w:pPr>
        <w:pStyle w:val="Prrafodelista"/>
        <w:numPr>
          <w:ilvl w:val="0"/>
          <w:numId w:val="197"/>
        </w:numPr>
        <w:spacing w:after="160" w:line="256" w:lineRule="auto"/>
        <w:jc w:val="both"/>
      </w:pPr>
      <w:r w:rsidRPr="004A013D">
        <w:t>Ejecución mensual por vicepresidencia reporte PAA (Plan anual de adquisición).</w:t>
      </w:r>
    </w:p>
    <w:p w14:paraId="344663AA" w14:textId="77777777" w:rsidR="004A013D" w:rsidRPr="004A013D" w:rsidRDefault="004A013D" w:rsidP="004A013D">
      <w:pPr>
        <w:pStyle w:val="Prrafodelista"/>
        <w:numPr>
          <w:ilvl w:val="0"/>
          <w:numId w:val="197"/>
        </w:numPr>
        <w:spacing w:after="160" w:line="256" w:lineRule="auto"/>
        <w:jc w:val="both"/>
      </w:pPr>
      <w:r w:rsidRPr="004A013D">
        <w:t>Ejecución mensual por vicepresidencia reporte SECOP.</w:t>
      </w:r>
    </w:p>
    <w:p w14:paraId="0B6A3D30" w14:textId="77777777" w:rsidR="004A013D" w:rsidRPr="0063586F" w:rsidRDefault="004A013D" w:rsidP="0063586F">
      <w:pPr>
        <w:rPr>
          <w:b/>
        </w:rPr>
      </w:pPr>
      <w:r w:rsidRPr="0063586F">
        <w:rPr>
          <w:b/>
        </w:rPr>
        <w:t>SISTEMA DE GEORREFERENCIACIÓN:</w:t>
      </w:r>
    </w:p>
    <w:p w14:paraId="05BA1868" w14:textId="77777777" w:rsidR="004A013D" w:rsidRPr="004A013D" w:rsidRDefault="004A013D" w:rsidP="004A013D">
      <w:pPr>
        <w:jc w:val="both"/>
      </w:pPr>
      <w:r w:rsidRPr="004A013D">
        <w:t>En el primer trimestre de 2014 se realizó la actualización del Instructivo de georreferenciación con código GICO-I-001, la actualización consistió en incorporar al instructivo los lineamientos de la Metodología General para reportar la Información que Conforma el Sistema Integral Nacional de Información de Carreteras – Versión 1, de acuerdo a la Ley 1228 de 2008. Artículo 10.</w:t>
      </w:r>
    </w:p>
    <w:p w14:paraId="4F470993" w14:textId="77777777" w:rsidR="004A013D" w:rsidRPr="004A013D" w:rsidRDefault="004A013D" w:rsidP="004A013D">
      <w:pPr>
        <w:jc w:val="both"/>
      </w:pPr>
      <w:r w:rsidRPr="004A013D">
        <w:t>Se incorporó al instructivo las capas geográficas que deberán ser entregadas a la ANI por parte de los concesionarios definiendo:</w:t>
      </w:r>
    </w:p>
    <w:p w14:paraId="7347244A" w14:textId="77777777" w:rsidR="004A013D" w:rsidRPr="004A013D" w:rsidRDefault="004A013D" w:rsidP="004A013D">
      <w:pPr>
        <w:pStyle w:val="Prrafodelista"/>
        <w:numPr>
          <w:ilvl w:val="0"/>
          <w:numId w:val="196"/>
        </w:numPr>
        <w:spacing w:after="160" w:line="259" w:lineRule="auto"/>
        <w:jc w:val="both"/>
      </w:pPr>
      <w:r w:rsidRPr="004A013D">
        <w:t>Los tipos de archivos a entregar</w:t>
      </w:r>
    </w:p>
    <w:p w14:paraId="0B482D90" w14:textId="77777777" w:rsidR="004A013D" w:rsidRPr="004A013D" w:rsidRDefault="004A013D" w:rsidP="004A013D">
      <w:pPr>
        <w:pStyle w:val="Prrafodelista"/>
        <w:numPr>
          <w:ilvl w:val="0"/>
          <w:numId w:val="196"/>
        </w:numPr>
        <w:spacing w:after="160" w:line="259" w:lineRule="auto"/>
        <w:jc w:val="both"/>
      </w:pPr>
      <w:r w:rsidRPr="004A013D">
        <w:t>Los componentes espaciales y alfanuméricos de cada capa geográfica.</w:t>
      </w:r>
    </w:p>
    <w:p w14:paraId="6B089865" w14:textId="77777777" w:rsidR="004A013D" w:rsidRPr="004A013D" w:rsidRDefault="004A013D" w:rsidP="004A013D">
      <w:pPr>
        <w:pStyle w:val="Prrafodelista"/>
        <w:numPr>
          <w:ilvl w:val="0"/>
          <w:numId w:val="196"/>
        </w:numPr>
        <w:spacing w:after="160" w:line="259" w:lineRule="auto"/>
        <w:jc w:val="both"/>
      </w:pPr>
      <w:r w:rsidRPr="004A013D">
        <w:t>Sistema de referencia espacial</w:t>
      </w:r>
    </w:p>
    <w:p w14:paraId="43CB458A" w14:textId="77777777" w:rsidR="004A013D" w:rsidRPr="004A013D" w:rsidRDefault="004A013D" w:rsidP="004A013D">
      <w:pPr>
        <w:pStyle w:val="Prrafodelista"/>
        <w:numPr>
          <w:ilvl w:val="0"/>
          <w:numId w:val="196"/>
        </w:numPr>
        <w:spacing w:after="160" w:line="259" w:lineRule="auto"/>
        <w:jc w:val="both"/>
      </w:pPr>
      <w:r w:rsidRPr="004A013D">
        <w:t>Dimensiones y unidades</w:t>
      </w:r>
    </w:p>
    <w:p w14:paraId="683799DE" w14:textId="77777777" w:rsidR="004A013D" w:rsidRPr="004A013D" w:rsidRDefault="004A013D" w:rsidP="004A013D">
      <w:pPr>
        <w:pStyle w:val="Prrafodelista"/>
        <w:numPr>
          <w:ilvl w:val="0"/>
          <w:numId w:val="196"/>
        </w:numPr>
        <w:spacing w:after="160" w:line="259" w:lineRule="auto"/>
        <w:jc w:val="both"/>
      </w:pPr>
      <w:r w:rsidRPr="004A013D">
        <w:t>Tipos de geometría</w:t>
      </w:r>
    </w:p>
    <w:p w14:paraId="3816D894" w14:textId="77777777" w:rsidR="004A013D" w:rsidRPr="004A013D" w:rsidRDefault="004A013D" w:rsidP="004A013D">
      <w:pPr>
        <w:pStyle w:val="Prrafodelista"/>
        <w:numPr>
          <w:ilvl w:val="0"/>
          <w:numId w:val="196"/>
        </w:numPr>
        <w:spacing w:after="160" w:line="259" w:lineRule="auto"/>
        <w:jc w:val="both"/>
      </w:pPr>
      <w:r w:rsidRPr="004A013D">
        <w:t>Precisión cartográfica</w:t>
      </w:r>
    </w:p>
    <w:p w14:paraId="5F7F7410" w14:textId="77777777" w:rsidR="004A013D" w:rsidRPr="004A013D" w:rsidRDefault="004A013D" w:rsidP="004A013D">
      <w:pPr>
        <w:pStyle w:val="Prrafodelista"/>
        <w:numPr>
          <w:ilvl w:val="0"/>
          <w:numId w:val="196"/>
        </w:numPr>
        <w:spacing w:after="160" w:line="259" w:lineRule="auto"/>
        <w:jc w:val="both"/>
      </w:pPr>
      <w:r w:rsidRPr="004A013D">
        <w:t>Medios de entrega de la información</w:t>
      </w:r>
    </w:p>
    <w:p w14:paraId="379482E6" w14:textId="77777777" w:rsidR="004A013D" w:rsidRPr="004A013D" w:rsidRDefault="004A013D" w:rsidP="004A013D">
      <w:pPr>
        <w:jc w:val="both"/>
      </w:pPr>
      <w:r w:rsidRPr="004A013D">
        <w:t>En el mes de marzo de 2014, se envió a las empresas de interventoría de los contratos una comunicación donde se realizó la solicitud de la información geográfica de los contratos de acuerdo al instructivo de Georreferenciación ANI.</w:t>
      </w:r>
    </w:p>
    <w:p w14:paraId="576E7969" w14:textId="77777777" w:rsidR="004A013D" w:rsidRPr="004A013D" w:rsidRDefault="004A013D" w:rsidP="004A013D">
      <w:pPr>
        <w:jc w:val="both"/>
      </w:pPr>
      <w:r w:rsidRPr="004A013D">
        <w:t>Actualmente se encuentra a la espera del recibo de la información geográfica para realizar la validación de la información y posterior entrega al SINC.</w:t>
      </w:r>
    </w:p>
    <w:p w14:paraId="44349267" w14:textId="77777777" w:rsidR="004A013D" w:rsidRPr="0063586F" w:rsidRDefault="004A013D" w:rsidP="0063586F">
      <w:pPr>
        <w:rPr>
          <w:b/>
        </w:rPr>
      </w:pPr>
      <w:r w:rsidRPr="0063586F">
        <w:rPr>
          <w:b/>
        </w:rPr>
        <w:t>SISTEMA DE GESTION DOCUMENTAL:</w:t>
      </w:r>
    </w:p>
    <w:p w14:paraId="2FE14A6B" w14:textId="77777777" w:rsidR="004A013D" w:rsidRPr="004A013D" w:rsidRDefault="004A013D" w:rsidP="004A013D">
      <w:pPr>
        <w:jc w:val="both"/>
      </w:pPr>
      <w:r w:rsidRPr="004A013D">
        <w:t>En el primer trimestre de 2014 se realizó la actualización de toda la documentación de la Gerencia de Sistemas de Información y Tecnología junto con el apoyo de Gestion de Calidad.</w:t>
      </w:r>
    </w:p>
    <w:p w14:paraId="70F0ABE8" w14:textId="77777777" w:rsidR="004A013D" w:rsidRPr="004A013D" w:rsidRDefault="004A013D" w:rsidP="004A013D">
      <w:pPr>
        <w:jc w:val="both"/>
      </w:pPr>
      <w:r w:rsidRPr="004A013D">
        <w:t>Estos documentos se realizaron, se revisaron y se aprobaron por el experto de la Gerencia de Sistemas, el Gerente de Sistemas de Información y Tecnología y el Vicepresidente de Planeación riesgos y Entorno.</w:t>
      </w:r>
    </w:p>
    <w:p w14:paraId="5BFFD698" w14:textId="77777777" w:rsidR="004A013D" w:rsidRPr="004A013D" w:rsidRDefault="004A013D" w:rsidP="004A013D">
      <w:pPr>
        <w:jc w:val="both"/>
      </w:pPr>
      <w:r w:rsidRPr="004A013D">
        <w:t>Los documentos son:</w:t>
      </w:r>
    </w:p>
    <w:p w14:paraId="00D8740B" w14:textId="77777777" w:rsidR="004A013D" w:rsidRPr="004A013D" w:rsidRDefault="004A013D" w:rsidP="004A013D">
      <w:pPr>
        <w:jc w:val="both"/>
      </w:pPr>
    </w:p>
    <w:tbl>
      <w:tblPr>
        <w:tblW w:w="5000" w:type="pct"/>
        <w:jc w:val="center"/>
        <w:tblCellMar>
          <w:left w:w="0" w:type="dxa"/>
          <w:right w:w="0" w:type="dxa"/>
        </w:tblCellMar>
        <w:tblLook w:val="04A0" w:firstRow="1" w:lastRow="0" w:firstColumn="1" w:lastColumn="0" w:noHBand="0" w:noVBand="1"/>
      </w:tblPr>
      <w:tblGrid>
        <w:gridCol w:w="1391"/>
        <w:gridCol w:w="1277"/>
        <w:gridCol w:w="3079"/>
        <w:gridCol w:w="2121"/>
        <w:gridCol w:w="950"/>
      </w:tblGrid>
      <w:tr w:rsidR="004A013D" w:rsidRPr="004A013D" w14:paraId="3DEFC31F" w14:textId="77777777" w:rsidTr="0037346F">
        <w:trPr>
          <w:trHeight w:val="615"/>
          <w:jc w:val="center"/>
        </w:trPr>
        <w:tc>
          <w:tcPr>
            <w:tcW w:w="783" w:type="pct"/>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0AE86FEA" w14:textId="77777777" w:rsidR="004A013D" w:rsidRPr="004A013D" w:rsidRDefault="004A013D" w:rsidP="004A013D">
            <w:pPr>
              <w:pStyle w:val="Sinespaciado"/>
              <w:jc w:val="both"/>
              <w:rPr>
                <w:b/>
                <w:sz w:val="20"/>
                <w:szCs w:val="20"/>
                <w:lang w:eastAsia="es-MX"/>
              </w:rPr>
            </w:pPr>
            <w:r w:rsidRPr="004A013D">
              <w:rPr>
                <w:b/>
                <w:sz w:val="20"/>
                <w:szCs w:val="20"/>
                <w:lang w:eastAsia="es-MX"/>
              </w:rPr>
              <w:lastRenderedPageBreak/>
              <w:t>TIPO</w:t>
            </w:r>
          </w:p>
        </w:tc>
        <w:tc>
          <w:tcPr>
            <w:tcW w:w="707"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121A140B" w14:textId="77777777" w:rsidR="004A013D" w:rsidRPr="004A013D" w:rsidRDefault="004A013D" w:rsidP="004A013D">
            <w:pPr>
              <w:pStyle w:val="Sinespaciado"/>
              <w:jc w:val="both"/>
              <w:rPr>
                <w:b/>
                <w:sz w:val="20"/>
                <w:szCs w:val="20"/>
                <w:lang w:eastAsia="es-MX"/>
              </w:rPr>
            </w:pPr>
            <w:r w:rsidRPr="004A013D">
              <w:rPr>
                <w:b/>
                <w:sz w:val="20"/>
                <w:szCs w:val="20"/>
                <w:lang w:eastAsia="es-MX"/>
              </w:rPr>
              <w:t>CÓDIGO DEL DOCUMENTO</w:t>
            </w:r>
          </w:p>
        </w:tc>
        <w:tc>
          <w:tcPr>
            <w:tcW w:w="1754"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0D7F932C" w14:textId="77777777" w:rsidR="004A013D" w:rsidRPr="004A013D" w:rsidRDefault="004A013D" w:rsidP="004A013D">
            <w:pPr>
              <w:pStyle w:val="Sinespaciado"/>
              <w:jc w:val="both"/>
              <w:rPr>
                <w:b/>
                <w:sz w:val="20"/>
                <w:szCs w:val="20"/>
                <w:lang w:eastAsia="es-MX"/>
              </w:rPr>
            </w:pPr>
            <w:r w:rsidRPr="004A013D">
              <w:rPr>
                <w:b/>
                <w:sz w:val="20"/>
                <w:szCs w:val="20"/>
                <w:lang w:eastAsia="es-MX"/>
              </w:rPr>
              <w:t>NOMBRE DEL DOCUMENTO</w:t>
            </w:r>
          </w:p>
        </w:tc>
        <w:tc>
          <w:tcPr>
            <w:tcW w:w="1210"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723DBE69" w14:textId="77777777" w:rsidR="004A013D" w:rsidRPr="004A013D" w:rsidRDefault="004A013D" w:rsidP="004A013D">
            <w:pPr>
              <w:pStyle w:val="Sinespaciado"/>
              <w:jc w:val="both"/>
              <w:rPr>
                <w:b/>
                <w:sz w:val="20"/>
                <w:szCs w:val="20"/>
                <w:lang w:eastAsia="es-MX"/>
              </w:rPr>
            </w:pPr>
            <w:r w:rsidRPr="004A013D">
              <w:rPr>
                <w:b/>
                <w:sz w:val="20"/>
                <w:szCs w:val="20"/>
                <w:lang w:eastAsia="es-MX"/>
              </w:rPr>
              <w:t>PROCESO AL QUE PERTENECE</w:t>
            </w:r>
          </w:p>
        </w:tc>
        <w:tc>
          <w:tcPr>
            <w:tcW w:w="546"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45BEA5E9" w14:textId="77777777" w:rsidR="004A013D" w:rsidRPr="004A013D" w:rsidRDefault="004A013D" w:rsidP="004A013D">
            <w:pPr>
              <w:pStyle w:val="Sinespaciado"/>
              <w:jc w:val="both"/>
              <w:rPr>
                <w:b/>
                <w:sz w:val="20"/>
                <w:szCs w:val="20"/>
                <w:lang w:eastAsia="es-MX"/>
              </w:rPr>
            </w:pPr>
            <w:r w:rsidRPr="004A013D">
              <w:rPr>
                <w:b/>
                <w:sz w:val="20"/>
                <w:szCs w:val="20"/>
                <w:lang w:eastAsia="es-MX"/>
              </w:rPr>
              <w:t>VERSIÓN</w:t>
            </w:r>
          </w:p>
        </w:tc>
      </w:tr>
      <w:tr w:rsidR="004A013D" w:rsidRPr="004A013D" w14:paraId="15DD1D78"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321D502F" w14:textId="77777777" w:rsidR="004A013D" w:rsidRPr="004A013D" w:rsidRDefault="004A013D" w:rsidP="004A013D">
            <w:pPr>
              <w:pStyle w:val="Sinespaciado"/>
              <w:jc w:val="both"/>
              <w:rPr>
                <w:sz w:val="20"/>
                <w:szCs w:val="20"/>
                <w:lang w:eastAsia="es-MX"/>
              </w:rPr>
            </w:pPr>
            <w:r w:rsidRPr="004A013D">
              <w:rPr>
                <w:sz w:val="20"/>
                <w:szCs w:val="20"/>
                <w:lang w:eastAsia="es-MX"/>
              </w:rPr>
              <w:t>Caracterización</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2999DF56" w14:textId="77777777" w:rsidR="004A013D" w:rsidRPr="004A013D" w:rsidRDefault="004A013D" w:rsidP="004A013D">
            <w:pPr>
              <w:pStyle w:val="Sinespaciado"/>
              <w:jc w:val="both"/>
              <w:rPr>
                <w:sz w:val="20"/>
                <w:szCs w:val="20"/>
                <w:lang w:eastAsia="es-MX"/>
              </w:rPr>
            </w:pPr>
            <w:r w:rsidRPr="004A013D">
              <w:rPr>
                <w:sz w:val="20"/>
                <w:szCs w:val="20"/>
                <w:lang w:eastAsia="es-MX"/>
              </w:rPr>
              <w:t>GICO-C-001</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0F19ABEE" w14:textId="77777777" w:rsidR="004A013D" w:rsidRPr="004A013D" w:rsidRDefault="004A013D" w:rsidP="004A013D">
            <w:pPr>
              <w:pStyle w:val="Sinespaciado"/>
              <w:jc w:val="both"/>
              <w:rPr>
                <w:sz w:val="20"/>
                <w:szCs w:val="20"/>
                <w:lang w:eastAsia="es-MX"/>
              </w:rPr>
            </w:pPr>
            <w:r w:rsidRPr="004A013D">
              <w:rPr>
                <w:sz w:val="20"/>
                <w:szCs w:val="20"/>
                <w:lang w:eastAsia="es-MX"/>
              </w:rPr>
              <w:t>Caracterización Gestión de la Información y Comunicaciones</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66E57A16"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0C8999C7"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276EBB0C"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EC04495" w14:textId="77777777" w:rsidR="004A013D" w:rsidRPr="004A013D" w:rsidRDefault="004A013D" w:rsidP="004A013D">
            <w:pPr>
              <w:pStyle w:val="Sinespaciado"/>
              <w:jc w:val="both"/>
              <w:rPr>
                <w:sz w:val="20"/>
                <w:szCs w:val="20"/>
                <w:lang w:eastAsia="es-MX"/>
              </w:rPr>
            </w:pPr>
            <w:r w:rsidRPr="004A013D">
              <w:rPr>
                <w:sz w:val="20"/>
                <w:szCs w:val="20"/>
                <w:lang w:eastAsia="es-MX"/>
              </w:rPr>
              <w:t>Procedimiento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113E69E" w14:textId="77777777" w:rsidR="004A013D" w:rsidRPr="004A013D" w:rsidRDefault="004A013D" w:rsidP="004A013D">
            <w:pPr>
              <w:pStyle w:val="Sinespaciado"/>
              <w:jc w:val="both"/>
              <w:rPr>
                <w:sz w:val="20"/>
                <w:szCs w:val="20"/>
                <w:lang w:eastAsia="es-MX"/>
              </w:rPr>
            </w:pPr>
            <w:r w:rsidRPr="004A013D">
              <w:rPr>
                <w:sz w:val="20"/>
                <w:szCs w:val="20"/>
                <w:lang w:eastAsia="es-MX"/>
              </w:rPr>
              <w:t>GICO-P-001</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2F0BF" w14:textId="77777777" w:rsidR="004A013D" w:rsidRPr="004A013D" w:rsidRDefault="004A013D" w:rsidP="004A013D">
            <w:pPr>
              <w:pStyle w:val="Sinespaciado"/>
              <w:jc w:val="both"/>
              <w:rPr>
                <w:sz w:val="20"/>
                <w:szCs w:val="20"/>
                <w:lang w:eastAsia="es-MX"/>
              </w:rPr>
            </w:pPr>
            <w:r w:rsidRPr="004A013D">
              <w:rPr>
                <w:sz w:val="20"/>
                <w:szCs w:val="20"/>
                <w:lang w:eastAsia="es-MX"/>
              </w:rPr>
              <w:t>Identificación de necesidades y soluciones tecnológicas</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15AB5D1"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FDD204"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2EF8EFF0"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E0A7BCC" w14:textId="77777777" w:rsidR="004A013D" w:rsidRPr="004A013D" w:rsidRDefault="004A013D" w:rsidP="004A013D">
            <w:pPr>
              <w:pStyle w:val="Sinespaciado"/>
              <w:jc w:val="both"/>
              <w:rPr>
                <w:sz w:val="20"/>
                <w:szCs w:val="20"/>
                <w:lang w:eastAsia="es-MX"/>
              </w:rPr>
            </w:pPr>
            <w:r w:rsidRPr="004A013D">
              <w:rPr>
                <w:sz w:val="20"/>
                <w:szCs w:val="20"/>
                <w:lang w:eastAsia="es-MX"/>
              </w:rPr>
              <w:t>Procedimiento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3C230A" w14:textId="77777777" w:rsidR="004A013D" w:rsidRPr="004A013D" w:rsidRDefault="004A013D" w:rsidP="004A013D">
            <w:pPr>
              <w:pStyle w:val="Sinespaciado"/>
              <w:jc w:val="both"/>
              <w:rPr>
                <w:sz w:val="20"/>
                <w:szCs w:val="20"/>
                <w:lang w:eastAsia="es-MX"/>
              </w:rPr>
            </w:pPr>
            <w:r w:rsidRPr="004A013D">
              <w:rPr>
                <w:sz w:val="20"/>
                <w:szCs w:val="20"/>
                <w:lang w:eastAsia="es-MX"/>
              </w:rPr>
              <w:t>GICO-P-002</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5191FFB" w14:textId="77777777" w:rsidR="004A013D" w:rsidRPr="004A013D" w:rsidRDefault="004A013D" w:rsidP="004A013D">
            <w:pPr>
              <w:pStyle w:val="Sinespaciado"/>
              <w:jc w:val="both"/>
              <w:rPr>
                <w:sz w:val="20"/>
                <w:szCs w:val="20"/>
                <w:lang w:eastAsia="es-MX"/>
              </w:rPr>
            </w:pPr>
            <w:r w:rsidRPr="004A013D">
              <w:rPr>
                <w:sz w:val="20"/>
                <w:szCs w:val="20"/>
                <w:lang w:eastAsia="es-MX"/>
              </w:rPr>
              <w:t>Reporte Infraestructura TIC</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FECC8DB"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E2703E"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4CD08E2B"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F1995DE" w14:textId="77777777" w:rsidR="004A013D" w:rsidRPr="004A013D" w:rsidRDefault="004A013D" w:rsidP="004A013D">
            <w:pPr>
              <w:pStyle w:val="Sinespaciado"/>
              <w:jc w:val="both"/>
              <w:rPr>
                <w:sz w:val="20"/>
                <w:szCs w:val="20"/>
                <w:lang w:eastAsia="es-MX"/>
              </w:rPr>
            </w:pPr>
            <w:r w:rsidRPr="004A013D">
              <w:rPr>
                <w:sz w:val="20"/>
                <w:szCs w:val="20"/>
                <w:lang w:eastAsia="es-MX"/>
              </w:rPr>
              <w:t>Procedimiento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972AA9" w14:textId="77777777" w:rsidR="004A013D" w:rsidRPr="004A013D" w:rsidRDefault="004A013D" w:rsidP="004A013D">
            <w:pPr>
              <w:pStyle w:val="Sinespaciado"/>
              <w:jc w:val="both"/>
              <w:rPr>
                <w:sz w:val="20"/>
                <w:szCs w:val="20"/>
                <w:lang w:eastAsia="es-MX"/>
              </w:rPr>
            </w:pPr>
            <w:r w:rsidRPr="004A013D">
              <w:rPr>
                <w:sz w:val="20"/>
                <w:szCs w:val="20"/>
                <w:lang w:eastAsia="es-MX"/>
              </w:rPr>
              <w:t>GICO-P-003</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4C5409" w14:textId="77777777" w:rsidR="004A013D" w:rsidRPr="004A013D" w:rsidRDefault="004A013D" w:rsidP="004A013D">
            <w:pPr>
              <w:pStyle w:val="Sinespaciado"/>
              <w:jc w:val="both"/>
              <w:rPr>
                <w:sz w:val="20"/>
                <w:szCs w:val="20"/>
                <w:lang w:eastAsia="es-MX"/>
              </w:rPr>
            </w:pPr>
            <w:r w:rsidRPr="004A013D">
              <w:rPr>
                <w:sz w:val="20"/>
                <w:szCs w:val="20"/>
                <w:lang w:eastAsia="es-MX"/>
              </w:rPr>
              <w:t>Soporte técnico de primer nivel</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40B16B"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CE308AD"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15B1BB9B"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77EADFBC" w14:textId="77777777" w:rsidR="004A013D" w:rsidRPr="004A013D" w:rsidRDefault="004A013D" w:rsidP="004A013D">
            <w:pPr>
              <w:pStyle w:val="Sinespaciado"/>
              <w:jc w:val="both"/>
              <w:rPr>
                <w:sz w:val="20"/>
                <w:szCs w:val="20"/>
                <w:lang w:eastAsia="es-MX"/>
              </w:rPr>
            </w:pPr>
            <w:r w:rsidRPr="004A013D">
              <w:rPr>
                <w:sz w:val="20"/>
                <w:szCs w:val="20"/>
                <w:lang w:eastAsia="es-MX"/>
              </w:rPr>
              <w:t>Instructivo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08962084" w14:textId="77777777" w:rsidR="004A013D" w:rsidRPr="004A013D" w:rsidRDefault="004A013D" w:rsidP="004A013D">
            <w:pPr>
              <w:pStyle w:val="Sinespaciado"/>
              <w:jc w:val="both"/>
              <w:rPr>
                <w:sz w:val="20"/>
                <w:szCs w:val="20"/>
                <w:lang w:eastAsia="es-MX"/>
              </w:rPr>
            </w:pPr>
            <w:r w:rsidRPr="004A013D">
              <w:rPr>
                <w:sz w:val="20"/>
                <w:szCs w:val="20"/>
                <w:lang w:eastAsia="es-MX"/>
              </w:rPr>
              <w:t>GICO-I-001</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026A2D1E" w14:textId="77777777" w:rsidR="004A013D" w:rsidRPr="004A013D" w:rsidRDefault="004A013D" w:rsidP="004A013D">
            <w:pPr>
              <w:pStyle w:val="Sinespaciado"/>
              <w:jc w:val="both"/>
              <w:rPr>
                <w:sz w:val="20"/>
                <w:szCs w:val="20"/>
                <w:lang w:eastAsia="es-MX"/>
              </w:rPr>
            </w:pPr>
            <w:r w:rsidRPr="004A013D">
              <w:rPr>
                <w:sz w:val="20"/>
                <w:szCs w:val="20"/>
                <w:lang w:eastAsia="es-MX"/>
              </w:rPr>
              <w:t>Georreferenciación de Proyectos</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3E517E1D"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575FEA70"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42F6D8DF"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E76F8E2" w14:textId="77777777" w:rsidR="004A013D" w:rsidRPr="004A013D" w:rsidRDefault="004A013D" w:rsidP="004A013D">
            <w:pPr>
              <w:pStyle w:val="Sinespaciado"/>
              <w:jc w:val="both"/>
              <w:rPr>
                <w:sz w:val="20"/>
                <w:szCs w:val="20"/>
                <w:lang w:eastAsia="es-MX"/>
              </w:rPr>
            </w:pPr>
            <w:r w:rsidRPr="004A013D">
              <w:rPr>
                <w:sz w:val="20"/>
                <w:szCs w:val="20"/>
                <w:lang w:eastAsia="es-MX"/>
              </w:rPr>
              <w:t>Instructivo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36CC32" w14:textId="77777777" w:rsidR="004A013D" w:rsidRPr="004A013D" w:rsidRDefault="004A013D" w:rsidP="004A013D">
            <w:pPr>
              <w:pStyle w:val="Sinespaciado"/>
              <w:jc w:val="both"/>
              <w:rPr>
                <w:sz w:val="20"/>
                <w:szCs w:val="20"/>
                <w:lang w:eastAsia="es-MX"/>
              </w:rPr>
            </w:pPr>
            <w:r w:rsidRPr="004A013D">
              <w:rPr>
                <w:sz w:val="20"/>
                <w:szCs w:val="20"/>
                <w:lang w:eastAsia="es-MX"/>
              </w:rPr>
              <w:t>GICO-I-002</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4468B0" w14:textId="77777777" w:rsidR="004A013D" w:rsidRPr="004A013D" w:rsidRDefault="004A013D" w:rsidP="004A013D">
            <w:pPr>
              <w:pStyle w:val="Sinespaciado"/>
              <w:jc w:val="both"/>
              <w:rPr>
                <w:sz w:val="20"/>
                <w:szCs w:val="20"/>
                <w:lang w:eastAsia="es-MX"/>
              </w:rPr>
            </w:pPr>
            <w:r w:rsidRPr="004A013D">
              <w:rPr>
                <w:sz w:val="20"/>
                <w:szCs w:val="20"/>
                <w:lang w:eastAsia="es-MX"/>
              </w:rPr>
              <w:t>Instalación CHIP</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5710F90"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EE93F"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78A6620A"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2EACBB1" w14:textId="77777777" w:rsidR="004A013D" w:rsidRPr="004A013D" w:rsidRDefault="004A013D" w:rsidP="004A013D">
            <w:pPr>
              <w:pStyle w:val="Sinespaciado"/>
              <w:jc w:val="both"/>
              <w:rPr>
                <w:sz w:val="20"/>
                <w:szCs w:val="20"/>
                <w:lang w:eastAsia="es-MX"/>
              </w:rPr>
            </w:pPr>
            <w:r w:rsidRPr="004A013D">
              <w:rPr>
                <w:sz w:val="20"/>
                <w:szCs w:val="20"/>
                <w:lang w:eastAsia="es-MX"/>
              </w:rPr>
              <w:t>Instructivo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94EF42" w14:textId="77777777" w:rsidR="004A013D" w:rsidRPr="004A013D" w:rsidRDefault="004A013D" w:rsidP="004A013D">
            <w:pPr>
              <w:pStyle w:val="Sinespaciado"/>
              <w:jc w:val="both"/>
              <w:rPr>
                <w:sz w:val="20"/>
                <w:szCs w:val="20"/>
                <w:lang w:eastAsia="es-MX"/>
              </w:rPr>
            </w:pPr>
            <w:r w:rsidRPr="004A013D">
              <w:rPr>
                <w:sz w:val="20"/>
                <w:szCs w:val="20"/>
                <w:lang w:eastAsia="es-MX"/>
              </w:rPr>
              <w:t>GICO-I-003</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ABAC63" w14:textId="77777777" w:rsidR="004A013D" w:rsidRPr="004A013D" w:rsidRDefault="004A013D" w:rsidP="004A013D">
            <w:pPr>
              <w:pStyle w:val="Sinespaciado"/>
              <w:jc w:val="both"/>
              <w:rPr>
                <w:sz w:val="20"/>
                <w:szCs w:val="20"/>
                <w:lang w:eastAsia="es-MX"/>
              </w:rPr>
            </w:pPr>
            <w:r w:rsidRPr="004A013D">
              <w:rPr>
                <w:sz w:val="20"/>
                <w:szCs w:val="20"/>
                <w:lang w:eastAsia="es-MX"/>
              </w:rPr>
              <w:t>Escanear En Las Impresoras Kyocera Km3050</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5014402"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C9AC5E3"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175142E5"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20C0BE7" w14:textId="77777777" w:rsidR="004A013D" w:rsidRPr="004A013D" w:rsidRDefault="004A013D" w:rsidP="004A013D">
            <w:pPr>
              <w:pStyle w:val="Sinespaciado"/>
              <w:jc w:val="both"/>
              <w:rPr>
                <w:sz w:val="20"/>
                <w:szCs w:val="20"/>
                <w:lang w:eastAsia="es-MX"/>
              </w:rPr>
            </w:pPr>
            <w:r w:rsidRPr="004A013D">
              <w:rPr>
                <w:sz w:val="20"/>
                <w:szCs w:val="20"/>
                <w:lang w:eastAsia="es-MX"/>
              </w:rPr>
              <w:t>Instructivo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31508B" w14:textId="77777777" w:rsidR="004A013D" w:rsidRPr="004A013D" w:rsidRDefault="004A013D" w:rsidP="004A013D">
            <w:pPr>
              <w:pStyle w:val="Sinespaciado"/>
              <w:jc w:val="both"/>
              <w:rPr>
                <w:sz w:val="20"/>
                <w:szCs w:val="20"/>
                <w:lang w:eastAsia="es-MX"/>
              </w:rPr>
            </w:pPr>
            <w:r w:rsidRPr="004A013D">
              <w:rPr>
                <w:sz w:val="20"/>
                <w:szCs w:val="20"/>
                <w:lang w:eastAsia="es-MX"/>
              </w:rPr>
              <w:t>GICO-I-004</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5EBC41B" w14:textId="77777777" w:rsidR="004A013D" w:rsidRPr="004A013D" w:rsidRDefault="004A013D" w:rsidP="004A013D">
            <w:pPr>
              <w:pStyle w:val="Sinespaciado"/>
              <w:jc w:val="both"/>
              <w:rPr>
                <w:sz w:val="20"/>
                <w:szCs w:val="20"/>
                <w:lang w:eastAsia="es-MX"/>
              </w:rPr>
            </w:pPr>
            <w:r w:rsidRPr="004A013D">
              <w:rPr>
                <w:sz w:val="20"/>
                <w:szCs w:val="20"/>
                <w:lang w:eastAsia="es-MX"/>
              </w:rPr>
              <w:t>Entrega De Datos Digitales Proyectos De Estructuración</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0CF10F5"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2CA55FB"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788BD545"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3801453" w14:textId="77777777" w:rsidR="004A013D" w:rsidRPr="004A013D" w:rsidRDefault="004A013D" w:rsidP="004A013D">
            <w:pPr>
              <w:pStyle w:val="Sinespaciado"/>
              <w:jc w:val="both"/>
              <w:rPr>
                <w:sz w:val="20"/>
                <w:szCs w:val="20"/>
                <w:lang w:eastAsia="es-MX"/>
              </w:rPr>
            </w:pPr>
            <w:r w:rsidRPr="004A013D">
              <w:rPr>
                <w:sz w:val="20"/>
                <w:szCs w:val="20"/>
                <w:lang w:eastAsia="es-MX"/>
              </w:rPr>
              <w:t>Instructivo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398726C" w14:textId="77777777" w:rsidR="004A013D" w:rsidRPr="004A013D" w:rsidRDefault="004A013D" w:rsidP="004A013D">
            <w:pPr>
              <w:pStyle w:val="Sinespaciado"/>
              <w:jc w:val="both"/>
              <w:rPr>
                <w:sz w:val="20"/>
                <w:szCs w:val="20"/>
                <w:lang w:eastAsia="es-MX"/>
              </w:rPr>
            </w:pPr>
            <w:r w:rsidRPr="004A013D">
              <w:rPr>
                <w:sz w:val="20"/>
                <w:szCs w:val="20"/>
                <w:lang w:eastAsia="es-MX"/>
              </w:rPr>
              <w:t>GICO-I-005</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6A4A8A" w14:textId="77777777" w:rsidR="004A013D" w:rsidRPr="004A013D" w:rsidRDefault="004A013D" w:rsidP="004A013D">
            <w:pPr>
              <w:pStyle w:val="Sinespaciado"/>
              <w:jc w:val="both"/>
              <w:rPr>
                <w:sz w:val="20"/>
                <w:szCs w:val="20"/>
                <w:lang w:eastAsia="es-MX"/>
              </w:rPr>
            </w:pPr>
            <w:r w:rsidRPr="004A013D">
              <w:rPr>
                <w:sz w:val="20"/>
                <w:szCs w:val="20"/>
                <w:lang w:eastAsia="es-MX"/>
              </w:rPr>
              <w:t>Servicios De Sistemas – Mesa De Ayuda ANI</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BA578B"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BD26F1"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39423E5E"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781C396" w14:textId="77777777" w:rsidR="004A013D" w:rsidRPr="004A013D" w:rsidRDefault="004A013D" w:rsidP="004A013D">
            <w:pPr>
              <w:pStyle w:val="Sinespaciado"/>
              <w:jc w:val="both"/>
              <w:rPr>
                <w:sz w:val="20"/>
                <w:szCs w:val="20"/>
                <w:lang w:eastAsia="es-MX"/>
              </w:rPr>
            </w:pPr>
            <w:r w:rsidRPr="004A013D">
              <w:rPr>
                <w:sz w:val="20"/>
                <w:szCs w:val="20"/>
                <w:lang w:eastAsia="es-MX"/>
              </w:rPr>
              <w:t>Instructivo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390D5C" w14:textId="77777777" w:rsidR="004A013D" w:rsidRPr="004A013D" w:rsidRDefault="004A013D" w:rsidP="004A013D">
            <w:pPr>
              <w:pStyle w:val="Sinespaciado"/>
              <w:jc w:val="both"/>
              <w:rPr>
                <w:sz w:val="20"/>
                <w:szCs w:val="20"/>
                <w:lang w:eastAsia="es-MX"/>
              </w:rPr>
            </w:pPr>
            <w:r w:rsidRPr="004A013D">
              <w:rPr>
                <w:sz w:val="20"/>
                <w:szCs w:val="20"/>
                <w:lang w:eastAsia="es-MX"/>
              </w:rPr>
              <w:t>GICO-I-006</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C26147" w14:textId="77777777" w:rsidR="004A013D" w:rsidRPr="004A013D" w:rsidRDefault="004A013D" w:rsidP="004A013D">
            <w:pPr>
              <w:pStyle w:val="Sinespaciado"/>
              <w:jc w:val="both"/>
              <w:rPr>
                <w:sz w:val="20"/>
                <w:szCs w:val="20"/>
                <w:lang w:eastAsia="es-MX"/>
              </w:rPr>
            </w:pPr>
            <w:r w:rsidRPr="004A013D">
              <w:rPr>
                <w:sz w:val="20"/>
                <w:szCs w:val="20"/>
                <w:lang w:eastAsia="es-MX"/>
              </w:rPr>
              <w:t>Instalación SIGEP</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1ADF58"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F72B3B"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38845A2B"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D5F5E03" w14:textId="77777777" w:rsidR="004A013D" w:rsidRPr="004A013D" w:rsidRDefault="004A013D" w:rsidP="004A013D">
            <w:pPr>
              <w:pStyle w:val="Sinespaciado"/>
              <w:jc w:val="both"/>
              <w:rPr>
                <w:sz w:val="20"/>
                <w:szCs w:val="20"/>
                <w:lang w:eastAsia="es-MX"/>
              </w:rPr>
            </w:pPr>
            <w:r w:rsidRPr="004A013D">
              <w:rPr>
                <w:sz w:val="20"/>
                <w:szCs w:val="20"/>
                <w:lang w:eastAsia="es-MX"/>
              </w:rPr>
              <w:t>Instructivo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EA665F8" w14:textId="77777777" w:rsidR="004A013D" w:rsidRPr="004A013D" w:rsidRDefault="004A013D" w:rsidP="004A013D">
            <w:pPr>
              <w:pStyle w:val="Sinespaciado"/>
              <w:jc w:val="both"/>
              <w:rPr>
                <w:sz w:val="20"/>
                <w:szCs w:val="20"/>
                <w:lang w:eastAsia="es-MX"/>
              </w:rPr>
            </w:pPr>
            <w:r w:rsidRPr="004A013D">
              <w:rPr>
                <w:sz w:val="20"/>
                <w:szCs w:val="20"/>
                <w:lang w:eastAsia="es-MX"/>
              </w:rPr>
              <w:t>GICO-I-007</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0A29C82" w14:textId="77777777" w:rsidR="004A013D" w:rsidRPr="004A013D" w:rsidRDefault="004A013D" w:rsidP="004A013D">
            <w:pPr>
              <w:pStyle w:val="Sinespaciado"/>
              <w:jc w:val="both"/>
              <w:rPr>
                <w:sz w:val="20"/>
                <w:szCs w:val="20"/>
                <w:lang w:eastAsia="es-MX"/>
              </w:rPr>
            </w:pPr>
            <w:r w:rsidRPr="004A013D">
              <w:rPr>
                <w:sz w:val="20"/>
                <w:szCs w:val="20"/>
                <w:lang w:eastAsia="es-MX"/>
              </w:rPr>
              <w:t>Ingreso a la aplicación Web SIIF</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5AF0A9"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0CF372B"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3F9D3264"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883EC87" w14:textId="77777777" w:rsidR="004A013D" w:rsidRPr="004A013D" w:rsidRDefault="004A013D" w:rsidP="004A013D">
            <w:pPr>
              <w:pStyle w:val="Sinespaciado"/>
              <w:jc w:val="both"/>
              <w:rPr>
                <w:sz w:val="20"/>
                <w:szCs w:val="20"/>
                <w:lang w:eastAsia="es-MX"/>
              </w:rPr>
            </w:pPr>
            <w:r w:rsidRPr="004A013D">
              <w:rPr>
                <w:sz w:val="20"/>
                <w:szCs w:val="20"/>
                <w:lang w:eastAsia="es-MX"/>
              </w:rPr>
              <w:t>Formato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15C6C5" w14:textId="77777777" w:rsidR="004A013D" w:rsidRPr="004A013D" w:rsidRDefault="004A013D" w:rsidP="004A013D">
            <w:pPr>
              <w:pStyle w:val="Sinespaciado"/>
              <w:jc w:val="both"/>
              <w:rPr>
                <w:sz w:val="20"/>
                <w:szCs w:val="20"/>
                <w:lang w:eastAsia="es-MX"/>
              </w:rPr>
            </w:pPr>
            <w:r w:rsidRPr="004A013D">
              <w:rPr>
                <w:sz w:val="20"/>
                <w:szCs w:val="20"/>
                <w:lang w:eastAsia="es-MX"/>
              </w:rPr>
              <w:t>GICO-F-001</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77313B" w14:textId="77777777" w:rsidR="004A013D" w:rsidRPr="004A013D" w:rsidRDefault="004A013D" w:rsidP="004A013D">
            <w:pPr>
              <w:pStyle w:val="Sinespaciado"/>
              <w:jc w:val="both"/>
              <w:rPr>
                <w:sz w:val="20"/>
                <w:szCs w:val="20"/>
                <w:lang w:eastAsia="es-MX"/>
              </w:rPr>
            </w:pPr>
            <w:r w:rsidRPr="004A013D">
              <w:rPr>
                <w:sz w:val="20"/>
                <w:szCs w:val="20"/>
                <w:lang w:eastAsia="es-MX"/>
              </w:rPr>
              <w:t>Requerimientos TIC</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5A89114"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ED294A5"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r w:rsidR="004A013D" w:rsidRPr="004A013D" w14:paraId="4AF88DB4" w14:textId="77777777" w:rsidTr="0037346F">
        <w:trPr>
          <w:trHeight w:val="300"/>
          <w:jc w:val="center"/>
        </w:trPr>
        <w:tc>
          <w:tcPr>
            <w:tcW w:w="783" w:type="pct"/>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0CA305DD" w14:textId="77777777" w:rsidR="004A013D" w:rsidRPr="004A013D" w:rsidRDefault="004A013D" w:rsidP="004A013D">
            <w:pPr>
              <w:pStyle w:val="Sinespaciado"/>
              <w:jc w:val="both"/>
              <w:rPr>
                <w:sz w:val="20"/>
                <w:szCs w:val="20"/>
                <w:lang w:eastAsia="es-MX"/>
              </w:rPr>
            </w:pPr>
            <w:r w:rsidRPr="004A013D">
              <w:rPr>
                <w:sz w:val="20"/>
                <w:szCs w:val="20"/>
                <w:lang w:eastAsia="es-MX"/>
              </w:rPr>
              <w:t>Instructivo</w:t>
            </w:r>
          </w:p>
        </w:tc>
        <w:tc>
          <w:tcPr>
            <w:tcW w:w="707"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6524B976" w14:textId="77777777" w:rsidR="004A013D" w:rsidRPr="004A013D" w:rsidRDefault="004A013D" w:rsidP="004A013D">
            <w:pPr>
              <w:pStyle w:val="Sinespaciado"/>
              <w:jc w:val="both"/>
              <w:rPr>
                <w:sz w:val="20"/>
                <w:szCs w:val="20"/>
                <w:lang w:eastAsia="es-MX"/>
              </w:rPr>
            </w:pPr>
            <w:r w:rsidRPr="004A013D">
              <w:rPr>
                <w:sz w:val="20"/>
                <w:szCs w:val="20"/>
                <w:lang w:eastAsia="es-MX"/>
              </w:rPr>
              <w:t>GICO-I-008</w:t>
            </w:r>
          </w:p>
        </w:tc>
        <w:tc>
          <w:tcPr>
            <w:tcW w:w="175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4CEBDD53" w14:textId="77777777" w:rsidR="004A013D" w:rsidRPr="004A013D" w:rsidRDefault="004A013D" w:rsidP="004A013D">
            <w:pPr>
              <w:pStyle w:val="Sinespaciado"/>
              <w:jc w:val="both"/>
              <w:rPr>
                <w:sz w:val="20"/>
                <w:szCs w:val="20"/>
                <w:lang w:eastAsia="es-MX"/>
              </w:rPr>
            </w:pPr>
            <w:r w:rsidRPr="004A013D">
              <w:rPr>
                <w:sz w:val="20"/>
                <w:szCs w:val="20"/>
                <w:lang w:eastAsia="es-MX"/>
              </w:rPr>
              <w:t>Ficha técnica para equipos de cómputo</w:t>
            </w:r>
          </w:p>
        </w:tc>
        <w:tc>
          <w:tcPr>
            <w:tcW w:w="1210"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0F96A3DA" w14:textId="77777777" w:rsidR="004A013D" w:rsidRPr="004A013D" w:rsidRDefault="004A013D" w:rsidP="004A013D">
            <w:pPr>
              <w:pStyle w:val="Sinespaciado"/>
              <w:jc w:val="both"/>
              <w:rPr>
                <w:sz w:val="20"/>
                <w:szCs w:val="20"/>
                <w:lang w:eastAsia="es-MX"/>
              </w:rPr>
            </w:pPr>
            <w:r w:rsidRPr="004A013D">
              <w:rPr>
                <w:sz w:val="20"/>
                <w:szCs w:val="20"/>
                <w:lang w:eastAsia="es-MX"/>
              </w:rPr>
              <w:t>Gestión de la Información y Comunicaciones</w:t>
            </w:r>
          </w:p>
        </w:tc>
        <w:tc>
          <w:tcPr>
            <w:tcW w:w="54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2118AED9" w14:textId="77777777" w:rsidR="004A013D" w:rsidRPr="004A013D" w:rsidRDefault="004A013D" w:rsidP="004A013D">
            <w:pPr>
              <w:pStyle w:val="Sinespaciado"/>
              <w:jc w:val="both"/>
              <w:rPr>
                <w:sz w:val="20"/>
                <w:szCs w:val="20"/>
                <w:lang w:eastAsia="es-MX"/>
              </w:rPr>
            </w:pPr>
            <w:r w:rsidRPr="004A013D">
              <w:rPr>
                <w:sz w:val="20"/>
                <w:szCs w:val="20"/>
                <w:lang w:eastAsia="es-MX"/>
              </w:rPr>
              <w:t>001</w:t>
            </w:r>
          </w:p>
        </w:tc>
      </w:tr>
    </w:tbl>
    <w:p w14:paraId="3C61082F" w14:textId="77777777" w:rsidR="004A013D" w:rsidRDefault="004A013D" w:rsidP="004A013D">
      <w:pPr>
        <w:rPr>
          <w:rFonts w:ascii="Calibri" w:hAnsi="Calibri"/>
          <w:lang w:val="es-MX"/>
        </w:rPr>
      </w:pPr>
    </w:p>
    <w:p w14:paraId="2F476F5F" w14:textId="77777777" w:rsidR="001817FF" w:rsidRDefault="001817FF" w:rsidP="007D4DD3">
      <w:pPr>
        <w:jc w:val="both"/>
      </w:pPr>
    </w:p>
    <w:p w14:paraId="4146CBAD" w14:textId="42A954FD" w:rsidR="009A39D9" w:rsidRPr="0086211C" w:rsidRDefault="00900E25" w:rsidP="0086211C">
      <w:pPr>
        <w:rPr>
          <w:color w:val="00B0F0"/>
        </w:rPr>
      </w:pPr>
      <w:bookmarkStart w:id="87" w:name="_Toc357434727"/>
      <w:r>
        <w:rPr>
          <w:b/>
          <w:color w:val="00B0F0"/>
          <w:sz w:val="26"/>
          <w:szCs w:val="26"/>
        </w:rPr>
        <w:t>G</w:t>
      </w:r>
      <w:r w:rsidR="009A39D9" w:rsidRPr="0086211C">
        <w:rPr>
          <w:b/>
          <w:color w:val="00B0F0"/>
          <w:sz w:val="26"/>
          <w:szCs w:val="26"/>
        </w:rPr>
        <w:t>rupo Interno de Trabajo Predial</w:t>
      </w:r>
      <w:bookmarkEnd w:id="87"/>
    </w:p>
    <w:p w14:paraId="54008948" w14:textId="246E3AC4" w:rsidR="00C852F1" w:rsidRDefault="009A39D9" w:rsidP="009A39D9">
      <w:pPr>
        <w:jc w:val="both"/>
      </w:pPr>
      <w:r w:rsidRPr="001725EB">
        <w:t xml:space="preserve">El Grupo Interno de Trabajo </w:t>
      </w:r>
      <w:r>
        <w:t>Predial</w:t>
      </w:r>
      <w:r w:rsidRPr="001725EB">
        <w:t xml:space="preserve">, </w:t>
      </w:r>
      <w:r w:rsidR="00900E25">
        <w:t>tiene para la presente vigencia las siguientes actividades programadas:</w:t>
      </w:r>
    </w:p>
    <w:p w14:paraId="339F7C67" w14:textId="77777777" w:rsidR="009A39D9" w:rsidRPr="001725EB"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9229" w:type="dxa"/>
        <w:tblInd w:w="55" w:type="dxa"/>
        <w:tblCellMar>
          <w:left w:w="70" w:type="dxa"/>
          <w:right w:w="70" w:type="dxa"/>
        </w:tblCellMar>
        <w:tblLook w:val="04A0" w:firstRow="1" w:lastRow="0" w:firstColumn="1" w:lastColumn="0" w:noHBand="0" w:noVBand="1"/>
      </w:tblPr>
      <w:tblGrid>
        <w:gridCol w:w="5320"/>
        <w:gridCol w:w="1358"/>
        <w:gridCol w:w="1134"/>
        <w:gridCol w:w="1417"/>
      </w:tblGrid>
      <w:tr w:rsidR="00541BCE" w:rsidRPr="00541BCE" w14:paraId="70734B0A" w14:textId="77777777" w:rsidTr="00541BCE">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08744ED1" w14:textId="77777777" w:rsidR="00541BCE" w:rsidRPr="00541BCE" w:rsidRDefault="00541BCE" w:rsidP="00541B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lastRenderedPageBreak/>
              <w:t>ACTIVIDAD</w:t>
            </w:r>
          </w:p>
        </w:tc>
        <w:tc>
          <w:tcPr>
            <w:tcW w:w="1358" w:type="dxa"/>
            <w:tcBorders>
              <w:top w:val="single" w:sz="4" w:space="0" w:color="auto"/>
              <w:left w:val="nil"/>
              <w:bottom w:val="single" w:sz="4" w:space="0" w:color="auto"/>
              <w:right w:val="single" w:sz="4" w:space="0" w:color="auto"/>
            </w:tcBorders>
            <w:shd w:val="clear" w:color="000000" w:fill="A5A5A5"/>
            <w:vAlign w:val="center"/>
            <w:hideMark/>
          </w:tcPr>
          <w:p w14:paraId="710061C5" w14:textId="77777777" w:rsidR="00541BCE" w:rsidRPr="00541BCE" w:rsidRDefault="00541BCE" w:rsidP="00541B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UNIDAD DE MEDIDA</w:t>
            </w:r>
          </w:p>
        </w:tc>
        <w:tc>
          <w:tcPr>
            <w:tcW w:w="1134" w:type="dxa"/>
            <w:tcBorders>
              <w:top w:val="single" w:sz="4" w:space="0" w:color="auto"/>
              <w:left w:val="nil"/>
              <w:bottom w:val="single" w:sz="4" w:space="0" w:color="auto"/>
              <w:right w:val="single" w:sz="4" w:space="0" w:color="auto"/>
            </w:tcBorders>
            <w:shd w:val="clear" w:color="000000" w:fill="A5A5A5"/>
            <w:noWrap/>
            <w:vAlign w:val="center"/>
            <w:hideMark/>
          </w:tcPr>
          <w:p w14:paraId="36B3A519" w14:textId="77777777" w:rsidR="00541BCE" w:rsidRPr="00541BCE" w:rsidRDefault="00541BCE" w:rsidP="00541B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META AÑO</w:t>
            </w:r>
          </w:p>
        </w:tc>
        <w:tc>
          <w:tcPr>
            <w:tcW w:w="141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4D18487" w14:textId="77777777" w:rsidR="00541BCE" w:rsidRDefault="00541BCE" w:rsidP="00541BCE">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Avance</w:t>
            </w:r>
          </w:p>
          <w:p w14:paraId="14D5FDB8" w14:textId="5EB10FF4" w:rsidR="00541BCE" w:rsidRPr="00541BCE" w:rsidRDefault="00541BCE" w:rsidP="00541B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3E643D">
              <w:rPr>
                <w:rFonts w:ascii="Calibri" w:eastAsia="Times New Roman" w:hAnsi="Calibri" w:cs="Calibri"/>
                <w:b/>
                <w:bCs/>
                <w:color w:val="000000"/>
                <w:sz w:val="20"/>
                <w:szCs w:val="20"/>
              </w:rPr>
              <w:t xml:space="preserve"> 1</w:t>
            </w:r>
          </w:p>
        </w:tc>
      </w:tr>
      <w:tr w:rsidR="00B51CFB" w:rsidRPr="00541BCE" w14:paraId="2E4D6F0B" w14:textId="77777777" w:rsidTr="00B51CFB">
        <w:trPr>
          <w:trHeight w:val="937"/>
        </w:trPr>
        <w:tc>
          <w:tcPr>
            <w:tcW w:w="5320" w:type="dxa"/>
            <w:tcBorders>
              <w:top w:val="nil"/>
              <w:left w:val="single" w:sz="4" w:space="0" w:color="auto"/>
              <w:bottom w:val="single" w:sz="4" w:space="0" w:color="auto"/>
              <w:right w:val="single" w:sz="4" w:space="0" w:color="auto"/>
            </w:tcBorders>
            <w:shd w:val="clear" w:color="auto" w:fill="auto"/>
            <w:vAlign w:val="bottom"/>
          </w:tcPr>
          <w:p w14:paraId="1212BE9D" w14:textId="69B6E667" w:rsidR="00B51CFB" w:rsidRPr="00541BCE" w:rsidRDefault="00B51CFB" w:rsidP="00B51CFB">
            <w:pPr>
              <w:spacing w:after="0" w:line="240" w:lineRule="auto"/>
              <w:rPr>
                <w:rFonts w:ascii="Calibri" w:eastAsia="Times New Roman" w:hAnsi="Calibri" w:cs="Calibri"/>
                <w:color w:val="000000"/>
                <w:sz w:val="20"/>
                <w:szCs w:val="20"/>
              </w:rPr>
            </w:pPr>
            <w:r w:rsidRPr="00B51CFB">
              <w:rPr>
                <w:rFonts w:ascii="Calibri" w:eastAsia="Times New Roman" w:hAnsi="Calibri" w:cs="Calibri"/>
                <w:color w:val="000000"/>
                <w:sz w:val="20"/>
                <w:szCs w:val="20"/>
              </w:rPr>
              <w:t xml:space="preserve">Suscripción de un Convenio interadministrativo con el INSTITUTO GEOGRAFICO AGUSTIN CODAZZI, con el objeto de obtener la revisión de la metodología utilizada en avalúos comerciales realizados en diferentes proyectos de concesión  y  </w:t>
            </w:r>
            <w:r>
              <w:rPr>
                <w:rFonts w:ascii="Calibri" w:eastAsia="Times New Roman" w:hAnsi="Calibri" w:cs="Calibri"/>
                <w:color w:val="000000"/>
                <w:sz w:val="20"/>
                <w:szCs w:val="20"/>
              </w:rPr>
              <w:t>6</w:t>
            </w:r>
            <w:r w:rsidRPr="00B51CFB">
              <w:rPr>
                <w:rFonts w:ascii="Calibri" w:eastAsia="Times New Roman" w:hAnsi="Calibri" w:cs="Calibri"/>
                <w:color w:val="000000"/>
                <w:sz w:val="20"/>
                <w:szCs w:val="20"/>
              </w:rPr>
              <w:t>disponer de un usuario de consulta del sistema de información catastral del IGAC</w:t>
            </w:r>
          </w:p>
        </w:tc>
        <w:tc>
          <w:tcPr>
            <w:tcW w:w="1358" w:type="dxa"/>
            <w:tcBorders>
              <w:top w:val="nil"/>
              <w:left w:val="nil"/>
              <w:bottom w:val="single" w:sz="4" w:space="0" w:color="auto"/>
              <w:right w:val="single" w:sz="4" w:space="0" w:color="auto"/>
            </w:tcBorders>
            <w:shd w:val="clear" w:color="auto" w:fill="auto"/>
            <w:noWrap/>
            <w:vAlign w:val="center"/>
          </w:tcPr>
          <w:p w14:paraId="742749CD" w14:textId="4E6A194C" w:rsidR="00B51CFB" w:rsidRPr="00541BCE" w:rsidRDefault="00B51CFB" w:rsidP="00B51CF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Convenio</w:t>
            </w:r>
          </w:p>
        </w:tc>
        <w:tc>
          <w:tcPr>
            <w:tcW w:w="1134" w:type="dxa"/>
            <w:tcBorders>
              <w:top w:val="nil"/>
              <w:left w:val="nil"/>
              <w:bottom w:val="single" w:sz="4" w:space="0" w:color="auto"/>
              <w:right w:val="single" w:sz="4" w:space="0" w:color="auto"/>
            </w:tcBorders>
            <w:shd w:val="clear" w:color="auto" w:fill="auto"/>
            <w:vAlign w:val="center"/>
          </w:tcPr>
          <w:p w14:paraId="2247233A" w14:textId="1320BB1C" w:rsidR="00B51CFB" w:rsidRPr="00541BCE" w:rsidRDefault="00B51CFB" w:rsidP="00B51CF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417" w:type="dxa"/>
            <w:tcBorders>
              <w:top w:val="nil"/>
              <w:left w:val="nil"/>
              <w:bottom w:val="single" w:sz="4" w:space="0" w:color="auto"/>
              <w:right w:val="single" w:sz="4" w:space="0" w:color="auto"/>
            </w:tcBorders>
            <w:shd w:val="clear" w:color="auto" w:fill="auto"/>
            <w:noWrap/>
            <w:vAlign w:val="center"/>
          </w:tcPr>
          <w:p w14:paraId="1E1F3553" w14:textId="3DC83F8D" w:rsidR="00B51CFB" w:rsidRPr="00541BCE" w:rsidRDefault="00B51CFB" w:rsidP="00B51CFB">
            <w:pPr>
              <w:spacing w:after="0" w:line="240" w:lineRule="auto"/>
              <w:jc w:val="center"/>
              <w:rPr>
                <w:rFonts w:ascii="Calibri" w:eastAsia="Times New Roman" w:hAnsi="Calibri" w:cs="Calibri"/>
                <w:color w:val="000000"/>
                <w:sz w:val="20"/>
                <w:szCs w:val="20"/>
              </w:rPr>
            </w:pPr>
          </w:p>
        </w:tc>
      </w:tr>
      <w:tr w:rsidR="00B51CFB" w:rsidRPr="00541BCE" w14:paraId="26DF8E00" w14:textId="77777777" w:rsidTr="00B51CFB">
        <w:trPr>
          <w:trHeight w:val="568"/>
        </w:trPr>
        <w:tc>
          <w:tcPr>
            <w:tcW w:w="5320" w:type="dxa"/>
            <w:tcBorders>
              <w:top w:val="nil"/>
              <w:left w:val="single" w:sz="4" w:space="0" w:color="auto"/>
              <w:bottom w:val="single" w:sz="4" w:space="0" w:color="auto"/>
              <w:right w:val="single" w:sz="4" w:space="0" w:color="auto"/>
            </w:tcBorders>
            <w:shd w:val="clear" w:color="auto" w:fill="auto"/>
            <w:vAlign w:val="bottom"/>
          </w:tcPr>
          <w:p w14:paraId="6BA9D42E" w14:textId="23439B37" w:rsidR="00B51CFB" w:rsidRPr="00541BCE" w:rsidRDefault="00B51CFB" w:rsidP="00B51CFB">
            <w:pPr>
              <w:spacing w:after="0" w:line="240" w:lineRule="auto"/>
              <w:rPr>
                <w:rFonts w:ascii="Calibri" w:eastAsia="Times New Roman" w:hAnsi="Calibri" w:cs="Calibri"/>
                <w:color w:val="000000"/>
                <w:sz w:val="20"/>
                <w:szCs w:val="20"/>
              </w:rPr>
            </w:pPr>
            <w:r w:rsidRPr="00B51CFB">
              <w:rPr>
                <w:rFonts w:ascii="Calibri" w:eastAsia="Times New Roman" w:hAnsi="Calibri" w:cs="Calibri"/>
                <w:color w:val="000000"/>
                <w:sz w:val="20"/>
                <w:szCs w:val="20"/>
              </w:rPr>
              <w:t>Realización de Comités Prediales de la Gerencia Predial</w:t>
            </w:r>
          </w:p>
        </w:tc>
        <w:tc>
          <w:tcPr>
            <w:tcW w:w="1358" w:type="dxa"/>
            <w:tcBorders>
              <w:top w:val="nil"/>
              <w:left w:val="nil"/>
              <w:bottom w:val="single" w:sz="4" w:space="0" w:color="auto"/>
              <w:right w:val="single" w:sz="4" w:space="0" w:color="auto"/>
            </w:tcBorders>
            <w:shd w:val="clear" w:color="auto" w:fill="auto"/>
            <w:noWrap/>
            <w:vAlign w:val="center"/>
          </w:tcPr>
          <w:p w14:paraId="6D3DEB15" w14:textId="575952E6" w:rsidR="00B51CFB" w:rsidRPr="00541BCE" w:rsidRDefault="00B51CFB" w:rsidP="00B51CF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w:t>
            </w:r>
          </w:p>
        </w:tc>
        <w:tc>
          <w:tcPr>
            <w:tcW w:w="1134" w:type="dxa"/>
            <w:tcBorders>
              <w:top w:val="nil"/>
              <w:left w:val="nil"/>
              <w:bottom w:val="single" w:sz="4" w:space="0" w:color="auto"/>
              <w:right w:val="single" w:sz="4" w:space="0" w:color="auto"/>
            </w:tcBorders>
            <w:shd w:val="clear" w:color="auto" w:fill="auto"/>
            <w:vAlign w:val="center"/>
          </w:tcPr>
          <w:p w14:paraId="7B7086ED" w14:textId="18CE16AD" w:rsidR="00B51CFB" w:rsidRPr="00541BCE" w:rsidRDefault="00B51CFB" w:rsidP="00B51CF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w:t>
            </w:r>
          </w:p>
        </w:tc>
        <w:tc>
          <w:tcPr>
            <w:tcW w:w="1417" w:type="dxa"/>
            <w:tcBorders>
              <w:top w:val="nil"/>
              <w:left w:val="nil"/>
              <w:bottom w:val="single" w:sz="4" w:space="0" w:color="auto"/>
              <w:right w:val="single" w:sz="4" w:space="0" w:color="auto"/>
            </w:tcBorders>
            <w:shd w:val="clear" w:color="auto" w:fill="auto"/>
            <w:noWrap/>
            <w:vAlign w:val="center"/>
          </w:tcPr>
          <w:p w14:paraId="26F52D82" w14:textId="51571854" w:rsidR="00B51CFB" w:rsidRPr="00541BCE" w:rsidRDefault="00B51CFB" w:rsidP="00B51CFB">
            <w:pPr>
              <w:spacing w:after="0" w:line="240" w:lineRule="auto"/>
              <w:jc w:val="center"/>
              <w:rPr>
                <w:rFonts w:ascii="Calibri" w:eastAsia="Times New Roman" w:hAnsi="Calibri" w:cs="Calibri"/>
                <w:color w:val="000000"/>
                <w:sz w:val="20"/>
                <w:szCs w:val="20"/>
              </w:rPr>
            </w:pPr>
          </w:p>
        </w:tc>
      </w:tr>
    </w:tbl>
    <w:p w14:paraId="528C19C0" w14:textId="3548AB83" w:rsidR="009A39D9" w:rsidRDefault="009A39D9" w:rsidP="00B51CFB">
      <w:pPr>
        <w:jc w:val="both"/>
      </w:pPr>
    </w:p>
    <w:p w14:paraId="63F10989" w14:textId="1AFEE8C2" w:rsidR="00B51CFB" w:rsidRDefault="00B51CFB" w:rsidP="00B51CFB">
      <w:pPr>
        <w:jc w:val="both"/>
      </w:pPr>
      <w:r>
        <w:t>El Grupo no presentó informe de avan</w:t>
      </w:r>
      <w:r w:rsidR="000178E5">
        <w:t>c</w:t>
      </w:r>
      <w:r>
        <w:t>e.</w:t>
      </w:r>
    </w:p>
    <w:p w14:paraId="37029D65" w14:textId="77777777" w:rsidR="000178E5" w:rsidRDefault="000178E5" w:rsidP="00B51CFB">
      <w:pPr>
        <w:jc w:val="both"/>
      </w:pPr>
    </w:p>
    <w:p w14:paraId="123075AB" w14:textId="36F805F5" w:rsidR="003E643D" w:rsidRPr="0086211C" w:rsidRDefault="003E643D" w:rsidP="0086211C">
      <w:pPr>
        <w:rPr>
          <w:color w:val="00B0F0"/>
        </w:rPr>
      </w:pPr>
      <w:r>
        <w:rPr>
          <w:b/>
          <w:color w:val="00B0F0"/>
          <w:sz w:val="26"/>
          <w:szCs w:val="26"/>
        </w:rPr>
        <w:t>G</w:t>
      </w:r>
      <w:r w:rsidRPr="0086211C">
        <w:rPr>
          <w:b/>
          <w:color w:val="00B0F0"/>
          <w:sz w:val="26"/>
          <w:szCs w:val="26"/>
        </w:rPr>
        <w:t xml:space="preserve">rupo Interno de Trabajo </w:t>
      </w:r>
      <w:r>
        <w:rPr>
          <w:b/>
          <w:color w:val="00B0F0"/>
          <w:sz w:val="26"/>
          <w:szCs w:val="26"/>
        </w:rPr>
        <w:t>Socio ambiental</w:t>
      </w:r>
    </w:p>
    <w:p w14:paraId="681ED651" w14:textId="640957F3" w:rsidR="003E643D" w:rsidRDefault="003E643D" w:rsidP="003E643D">
      <w:pPr>
        <w:jc w:val="both"/>
      </w:pPr>
      <w:r w:rsidRPr="001725EB">
        <w:t xml:space="preserve">El Grupo Interno de Trabajo, </w:t>
      </w:r>
      <w:r>
        <w:t>tiene para la presente vigencia las siguientes actividades programadas:</w:t>
      </w:r>
    </w:p>
    <w:p w14:paraId="0210E049" w14:textId="77777777" w:rsidR="003E643D" w:rsidRPr="001725EB" w:rsidRDefault="003E643D" w:rsidP="003E643D">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9229" w:type="dxa"/>
        <w:tblInd w:w="55" w:type="dxa"/>
        <w:tblCellMar>
          <w:left w:w="70" w:type="dxa"/>
          <w:right w:w="70" w:type="dxa"/>
        </w:tblCellMar>
        <w:tblLook w:val="04A0" w:firstRow="1" w:lastRow="0" w:firstColumn="1" w:lastColumn="0" w:noHBand="0" w:noVBand="1"/>
      </w:tblPr>
      <w:tblGrid>
        <w:gridCol w:w="5320"/>
        <w:gridCol w:w="1358"/>
        <w:gridCol w:w="1134"/>
        <w:gridCol w:w="1417"/>
      </w:tblGrid>
      <w:tr w:rsidR="003E643D" w:rsidRPr="00541BCE" w14:paraId="687F8C6F" w14:textId="77777777" w:rsidTr="0037346F">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5C78F17D" w14:textId="77777777" w:rsidR="003E643D" w:rsidRPr="00541BCE" w:rsidRDefault="003E643D" w:rsidP="0037346F">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ACTIVIDAD</w:t>
            </w:r>
          </w:p>
        </w:tc>
        <w:tc>
          <w:tcPr>
            <w:tcW w:w="1358" w:type="dxa"/>
            <w:tcBorders>
              <w:top w:val="single" w:sz="4" w:space="0" w:color="auto"/>
              <w:left w:val="nil"/>
              <w:bottom w:val="single" w:sz="4" w:space="0" w:color="auto"/>
              <w:right w:val="single" w:sz="4" w:space="0" w:color="auto"/>
            </w:tcBorders>
            <w:shd w:val="clear" w:color="000000" w:fill="A5A5A5"/>
            <w:vAlign w:val="center"/>
            <w:hideMark/>
          </w:tcPr>
          <w:p w14:paraId="26D51F42" w14:textId="77777777" w:rsidR="003E643D" w:rsidRPr="00541BCE" w:rsidRDefault="003E643D" w:rsidP="0037346F">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UNIDAD DE MEDIDA</w:t>
            </w:r>
          </w:p>
        </w:tc>
        <w:tc>
          <w:tcPr>
            <w:tcW w:w="1134" w:type="dxa"/>
            <w:tcBorders>
              <w:top w:val="single" w:sz="4" w:space="0" w:color="auto"/>
              <w:left w:val="nil"/>
              <w:bottom w:val="single" w:sz="4" w:space="0" w:color="auto"/>
              <w:right w:val="single" w:sz="4" w:space="0" w:color="auto"/>
            </w:tcBorders>
            <w:shd w:val="clear" w:color="000000" w:fill="A5A5A5"/>
            <w:noWrap/>
            <w:vAlign w:val="center"/>
            <w:hideMark/>
          </w:tcPr>
          <w:p w14:paraId="591CDF19" w14:textId="77777777" w:rsidR="003E643D" w:rsidRPr="00541BCE" w:rsidRDefault="003E643D" w:rsidP="0037346F">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META AÑO</w:t>
            </w:r>
          </w:p>
        </w:tc>
        <w:tc>
          <w:tcPr>
            <w:tcW w:w="141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43A79DCB" w14:textId="77777777" w:rsidR="003E643D" w:rsidRDefault="003E643D" w:rsidP="0037346F">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Avance</w:t>
            </w:r>
          </w:p>
          <w:p w14:paraId="105D5B2D" w14:textId="16228F9F" w:rsidR="003E643D" w:rsidRPr="00541BCE" w:rsidRDefault="003E643D" w:rsidP="0037346F">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 1</w:t>
            </w:r>
          </w:p>
        </w:tc>
      </w:tr>
      <w:tr w:rsidR="003E643D" w:rsidRPr="00541BCE" w14:paraId="387D0C08" w14:textId="77777777" w:rsidTr="0037346F">
        <w:trPr>
          <w:trHeight w:val="937"/>
        </w:trPr>
        <w:tc>
          <w:tcPr>
            <w:tcW w:w="5320" w:type="dxa"/>
            <w:tcBorders>
              <w:top w:val="nil"/>
              <w:left w:val="single" w:sz="4" w:space="0" w:color="auto"/>
              <w:bottom w:val="single" w:sz="4" w:space="0" w:color="auto"/>
              <w:right w:val="single" w:sz="4" w:space="0" w:color="auto"/>
            </w:tcBorders>
            <w:shd w:val="clear" w:color="auto" w:fill="auto"/>
            <w:vAlign w:val="bottom"/>
          </w:tcPr>
          <w:p w14:paraId="003B7C48" w14:textId="0837B8FD" w:rsidR="003E643D" w:rsidRPr="00BC0D9E" w:rsidRDefault="00BC0D9E" w:rsidP="00BC0D9E">
            <w:pPr>
              <w:rPr>
                <w:rFonts w:ascii="Calibri" w:hAnsi="Calibri" w:cs="Arial"/>
              </w:rPr>
            </w:pPr>
            <w:r>
              <w:rPr>
                <w:rFonts w:ascii="Calibri" w:hAnsi="Calibri" w:cs="Arial"/>
              </w:rPr>
              <w:t>Reuniones Comité Interinstitucional (ANI-ANLA-otros)</w:t>
            </w:r>
          </w:p>
        </w:tc>
        <w:tc>
          <w:tcPr>
            <w:tcW w:w="1358" w:type="dxa"/>
            <w:tcBorders>
              <w:top w:val="nil"/>
              <w:left w:val="nil"/>
              <w:bottom w:val="single" w:sz="4" w:space="0" w:color="auto"/>
              <w:right w:val="single" w:sz="4" w:space="0" w:color="auto"/>
            </w:tcBorders>
            <w:shd w:val="clear" w:color="auto" w:fill="auto"/>
            <w:noWrap/>
            <w:vAlign w:val="center"/>
          </w:tcPr>
          <w:p w14:paraId="051B9699" w14:textId="5054AEE0" w:rsidR="003E643D"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Matriz actualizada</w:t>
            </w:r>
          </w:p>
        </w:tc>
        <w:tc>
          <w:tcPr>
            <w:tcW w:w="1134" w:type="dxa"/>
            <w:tcBorders>
              <w:top w:val="nil"/>
              <w:left w:val="nil"/>
              <w:bottom w:val="single" w:sz="4" w:space="0" w:color="auto"/>
              <w:right w:val="single" w:sz="4" w:space="0" w:color="auto"/>
            </w:tcBorders>
            <w:shd w:val="clear" w:color="auto" w:fill="auto"/>
            <w:vAlign w:val="center"/>
          </w:tcPr>
          <w:p w14:paraId="0E6D2728" w14:textId="3BA6ECC4" w:rsidR="003E643D"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c>
          <w:tcPr>
            <w:tcW w:w="1417" w:type="dxa"/>
            <w:tcBorders>
              <w:top w:val="nil"/>
              <w:left w:val="nil"/>
              <w:bottom w:val="single" w:sz="4" w:space="0" w:color="auto"/>
              <w:right w:val="single" w:sz="4" w:space="0" w:color="auto"/>
            </w:tcBorders>
            <w:shd w:val="clear" w:color="auto" w:fill="auto"/>
            <w:noWrap/>
            <w:vAlign w:val="center"/>
          </w:tcPr>
          <w:p w14:paraId="0C83D488" w14:textId="77777777" w:rsidR="003E643D" w:rsidRPr="00541BCE" w:rsidRDefault="003E643D" w:rsidP="0037346F">
            <w:pPr>
              <w:spacing w:after="0" w:line="240" w:lineRule="auto"/>
              <w:jc w:val="center"/>
              <w:rPr>
                <w:rFonts w:ascii="Calibri" w:eastAsia="Times New Roman" w:hAnsi="Calibri" w:cs="Calibri"/>
                <w:color w:val="000000"/>
                <w:sz w:val="20"/>
                <w:szCs w:val="20"/>
              </w:rPr>
            </w:pPr>
          </w:p>
        </w:tc>
      </w:tr>
      <w:tr w:rsidR="00BC0D9E" w:rsidRPr="00541BCE" w14:paraId="30F8B8E5" w14:textId="77777777" w:rsidTr="0037346F">
        <w:trPr>
          <w:trHeight w:val="937"/>
        </w:trPr>
        <w:tc>
          <w:tcPr>
            <w:tcW w:w="5320" w:type="dxa"/>
            <w:tcBorders>
              <w:top w:val="nil"/>
              <w:left w:val="single" w:sz="4" w:space="0" w:color="auto"/>
              <w:bottom w:val="single" w:sz="4" w:space="0" w:color="auto"/>
              <w:right w:val="single" w:sz="4" w:space="0" w:color="auto"/>
            </w:tcBorders>
            <w:shd w:val="clear" w:color="auto" w:fill="auto"/>
            <w:vAlign w:val="bottom"/>
          </w:tcPr>
          <w:p w14:paraId="5E4ACFA1" w14:textId="408A40FD" w:rsidR="00BC0D9E" w:rsidRPr="00BC0D9E" w:rsidRDefault="00BC0D9E" w:rsidP="00BC0D9E">
            <w:pPr>
              <w:rPr>
                <w:rFonts w:ascii="Calibri" w:hAnsi="Calibri" w:cs="Arial"/>
              </w:rPr>
            </w:pPr>
            <w:r>
              <w:rPr>
                <w:rFonts w:ascii="Calibri" w:hAnsi="Calibri" w:cs="Arial"/>
              </w:rPr>
              <w:t xml:space="preserve">Apoyo a la VPRE en los temas Ambientales </w:t>
            </w:r>
          </w:p>
        </w:tc>
        <w:tc>
          <w:tcPr>
            <w:tcW w:w="1358" w:type="dxa"/>
            <w:tcBorders>
              <w:top w:val="nil"/>
              <w:left w:val="nil"/>
              <w:bottom w:val="single" w:sz="4" w:space="0" w:color="auto"/>
              <w:right w:val="single" w:sz="4" w:space="0" w:color="auto"/>
            </w:tcBorders>
            <w:shd w:val="clear" w:color="auto" w:fill="auto"/>
            <w:noWrap/>
            <w:vAlign w:val="center"/>
          </w:tcPr>
          <w:p w14:paraId="770C3D22" w14:textId="5BC59DB1" w:rsidR="00BC0D9E"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Informes</w:t>
            </w:r>
          </w:p>
        </w:tc>
        <w:tc>
          <w:tcPr>
            <w:tcW w:w="1134" w:type="dxa"/>
            <w:tcBorders>
              <w:top w:val="nil"/>
              <w:left w:val="nil"/>
              <w:bottom w:val="single" w:sz="4" w:space="0" w:color="auto"/>
              <w:right w:val="single" w:sz="4" w:space="0" w:color="auto"/>
            </w:tcBorders>
            <w:shd w:val="clear" w:color="auto" w:fill="auto"/>
            <w:vAlign w:val="center"/>
          </w:tcPr>
          <w:p w14:paraId="2B9245E7" w14:textId="0DD60169" w:rsidR="00BC0D9E"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c>
          <w:tcPr>
            <w:tcW w:w="1417" w:type="dxa"/>
            <w:tcBorders>
              <w:top w:val="nil"/>
              <w:left w:val="nil"/>
              <w:bottom w:val="single" w:sz="4" w:space="0" w:color="auto"/>
              <w:right w:val="single" w:sz="4" w:space="0" w:color="auto"/>
            </w:tcBorders>
            <w:shd w:val="clear" w:color="auto" w:fill="auto"/>
            <w:noWrap/>
            <w:vAlign w:val="center"/>
          </w:tcPr>
          <w:p w14:paraId="25906ED5" w14:textId="77777777" w:rsidR="00BC0D9E" w:rsidRPr="00541BCE" w:rsidRDefault="00BC0D9E" w:rsidP="0037346F">
            <w:pPr>
              <w:spacing w:after="0" w:line="240" w:lineRule="auto"/>
              <w:jc w:val="center"/>
              <w:rPr>
                <w:rFonts w:ascii="Calibri" w:eastAsia="Times New Roman" w:hAnsi="Calibri" w:cs="Calibri"/>
                <w:color w:val="000000"/>
                <w:sz w:val="20"/>
                <w:szCs w:val="20"/>
              </w:rPr>
            </w:pPr>
          </w:p>
        </w:tc>
      </w:tr>
      <w:tr w:rsidR="00BC0D9E" w:rsidRPr="00541BCE" w14:paraId="0B8B705F" w14:textId="77777777" w:rsidTr="0037346F">
        <w:trPr>
          <w:trHeight w:val="937"/>
        </w:trPr>
        <w:tc>
          <w:tcPr>
            <w:tcW w:w="5320" w:type="dxa"/>
            <w:tcBorders>
              <w:top w:val="nil"/>
              <w:left w:val="single" w:sz="4" w:space="0" w:color="auto"/>
              <w:bottom w:val="single" w:sz="4" w:space="0" w:color="auto"/>
              <w:right w:val="single" w:sz="4" w:space="0" w:color="auto"/>
            </w:tcBorders>
            <w:shd w:val="clear" w:color="auto" w:fill="auto"/>
            <w:vAlign w:val="bottom"/>
          </w:tcPr>
          <w:p w14:paraId="724A6975" w14:textId="4664F0C3" w:rsidR="00BC0D9E" w:rsidRPr="00BC0D9E" w:rsidRDefault="00BC0D9E" w:rsidP="00BC0D9E">
            <w:pPr>
              <w:rPr>
                <w:rFonts w:ascii="Calibri" w:hAnsi="Calibri" w:cs="Arial"/>
              </w:rPr>
            </w:pPr>
            <w:r>
              <w:rPr>
                <w:rFonts w:ascii="Calibri" w:hAnsi="Calibri" w:cs="Arial"/>
              </w:rPr>
              <w:t>Conferencias sobre Gestión Ambiental, Ley de infraestructura y decretos reglamentarios  y Consultas Previas.</w:t>
            </w:r>
          </w:p>
        </w:tc>
        <w:tc>
          <w:tcPr>
            <w:tcW w:w="1358" w:type="dxa"/>
            <w:tcBorders>
              <w:top w:val="nil"/>
              <w:left w:val="nil"/>
              <w:bottom w:val="single" w:sz="4" w:space="0" w:color="auto"/>
              <w:right w:val="single" w:sz="4" w:space="0" w:color="auto"/>
            </w:tcBorders>
            <w:shd w:val="clear" w:color="auto" w:fill="auto"/>
            <w:noWrap/>
            <w:vAlign w:val="center"/>
          </w:tcPr>
          <w:p w14:paraId="2BBCA145" w14:textId="604EA025" w:rsidR="00BC0D9E"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Conferencias</w:t>
            </w:r>
          </w:p>
        </w:tc>
        <w:tc>
          <w:tcPr>
            <w:tcW w:w="1134" w:type="dxa"/>
            <w:tcBorders>
              <w:top w:val="nil"/>
              <w:left w:val="nil"/>
              <w:bottom w:val="single" w:sz="4" w:space="0" w:color="auto"/>
              <w:right w:val="single" w:sz="4" w:space="0" w:color="auto"/>
            </w:tcBorders>
            <w:shd w:val="clear" w:color="auto" w:fill="auto"/>
            <w:vAlign w:val="center"/>
          </w:tcPr>
          <w:p w14:paraId="7E839FF7" w14:textId="6600C354" w:rsidR="00BC0D9E"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c>
          <w:tcPr>
            <w:tcW w:w="1417" w:type="dxa"/>
            <w:tcBorders>
              <w:top w:val="nil"/>
              <w:left w:val="nil"/>
              <w:bottom w:val="single" w:sz="4" w:space="0" w:color="auto"/>
              <w:right w:val="single" w:sz="4" w:space="0" w:color="auto"/>
            </w:tcBorders>
            <w:shd w:val="clear" w:color="auto" w:fill="auto"/>
            <w:noWrap/>
            <w:vAlign w:val="center"/>
          </w:tcPr>
          <w:p w14:paraId="1A9CC703" w14:textId="77777777" w:rsidR="00BC0D9E" w:rsidRPr="00541BCE" w:rsidRDefault="00BC0D9E" w:rsidP="0037346F">
            <w:pPr>
              <w:spacing w:after="0" w:line="240" w:lineRule="auto"/>
              <w:jc w:val="center"/>
              <w:rPr>
                <w:rFonts w:ascii="Calibri" w:eastAsia="Times New Roman" w:hAnsi="Calibri" w:cs="Calibri"/>
                <w:color w:val="000000"/>
                <w:sz w:val="20"/>
                <w:szCs w:val="20"/>
              </w:rPr>
            </w:pPr>
          </w:p>
        </w:tc>
      </w:tr>
      <w:tr w:rsidR="00BC0D9E" w:rsidRPr="00541BCE" w14:paraId="78AA1145" w14:textId="77777777" w:rsidTr="0037346F">
        <w:trPr>
          <w:trHeight w:val="937"/>
        </w:trPr>
        <w:tc>
          <w:tcPr>
            <w:tcW w:w="5320" w:type="dxa"/>
            <w:tcBorders>
              <w:top w:val="nil"/>
              <w:left w:val="single" w:sz="4" w:space="0" w:color="auto"/>
              <w:bottom w:val="single" w:sz="4" w:space="0" w:color="auto"/>
              <w:right w:val="single" w:sz="4" w:space="0" w:color="auto"/>
            </w:tcBorders>
            <w:shd w:val="clear" w:color="auto" w:fill="auto"/>
            <w:vAlign w:val="bottom"/>
          </w:tcPr>
          <w:p w14:paraId="5A4DC10A" w14:textId="7CA162C8" w:rsidR="00BC0D9E" w:rsidRPr="00BC0D9E" w:rsidRDefault="00BC0D9E" w:rsidP="00BC0D9E">
            <w:pPr>
              <w:rPr>
                <w:rFonts w:ascii="Calibri" w:hAnsi="Calibri" w:cs="Arial"/>
              </w:rPr>
            </w:pPr>
            <w:r>
              <w:rPr>
                <w:rFonts w:ascii="Calibri" w:hAnsi="Calibri" w:cs="Arial"/>
              </w:rPr>
              <w:t>Seguimiento al cumplimiento del Convenio MININTERIOR - Consultas previas</w:t>
            </w:r>
          </w:p>
        </w:tc>
        <w:tc>
          <w:tcPr>
            <w:tcW w:w="1358" w:type="dxa"/>
            <w:tcBorders>
              <w:top w:val="nil"/>
              <w:left w:val="nil"/>
              <w:bottom w:val="single" w:sz="4" w:space="0" w:color="auto"/>
              <w:right w:val="single" w:sz="4" w:space="0" w:color="auto"/>
            </w:tcBorders>
            <w:shd w:val="clear" w:color="auto" w:fill="auto"/>
            <w:noWrap/>
            <w:vAlign w:val="center"/>
          </w:tcPr>
          <w:p w14:paraId="73F37592" w14:textId="43628342" w:rsidR="00BC0D9E"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Informes</w:t>
            </w:r>
          </w:p>
        </w:tc>
        <w:tc>
          <w:tcPr>
            <w:tcW w:w="1134" w:type="dxa"/>
            <w:tcBorders>
              <w:top w:val="nil"/>
              <w:left w:val="nil"/>
              <w:bottom w:val="single" w:sz="4" w:space="0" w:color="auto"/>
              <w:right w:val="single" w:sz="4" w:space="0" w:color="auto"/>
            </w:tcBorders>
            <w:shd w:val="clear" w:color="auto" w:fill="auto"/>
            <w:vAlign w:val="center"/>
          </w:tcPr>
          <w:p w14:paraId="5DF2532E" w14:textId="46525178" w:rsidR="00BC0D9E"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p>
        </w:tc>
        <w:tc>
          <w:tcPr>
            <w:tcW w:w="1417" w:type="dxa"/>
            <w:tcBorders>
              <w:top w:val="nil"/>
              <w:left w:val="nil"/>
              <w:bottom w:val="single" w:sz="4" w:space="0" w:color="auto"/>
              <w:right w:val="single" w:sz="4" w:space="0" w:color="auto"/>
            </w:tcBorders>
            <w:shd w:val="clear" w:color="auto" w:fill="auto"/>
            <w:noWrap/>
            <w:vAlign w:val="center"/>
          </w:tcPr>
          <w:p w14:paraId="346DF057" w14:textId="77777777" w:rsidR="00BC0D9E" w:rsidRPr="00541BCE" w:rsidRDefault="00BC0D9E" w:rsidP="0037346F">
            <w:pPr>
              <w:spacing w:after="0" w:line="240" w:lineRule="auto"/>
              <w:jc w:val="center"/>
              <w:rPr>
                <w:rFonts w:ascii="Calibri" w:eastAsia="Times New Roman" w:hAnsi="Calibri" w:cs="Calibri"/>
                <w:color w:val="000000"/>
                <w:sz w:val="20"/>
                <w:szCs w:val="20"/>
              </w:rPr>
            </w:pPr>
          </w:p>
        </w:tc>
      </w:tr>
      <w:tr w:rsidR="00BC0D9E" w:rsidRPr="00541BCE" w14:paraId="029AA1E5" w14:textId="77777777" w:rsidTr="0037346F">
        <w:trPr>
          <w:trHeight w:val="937"/>
        </w:trPr>
        <w:tc>
          <w:tcPr>
            <w:tcW w:w="5320" w:type="dxa"/>
            <w:tcBorders>
              <w:top w:val="nil"/>
              <w:left w:val="single" w:sz="4" w:space="0" w:color="auto"/>
              <w:bottom w:val="single" w:sz="4" w:space="0" w:color="auto"/>
              <w:right w:val="single" w:sz="4" w:space="0" w:color="auto"/>
            </w:tcBorders>
            <w:shd w:val="clear" w:color="auto" w:fill="auto"/>
            <w:vAlign w:val="bottom"/>
          </w:tcPr>
          <w:p w14:paraId="33B06066" w14:textId="01DBCA6B" w:rsidR="00BC0D9E" w:rsidRPr="00BC0D9E" w:rsidRDefault="00BC0D9E" w:rsidP="00BC0D9E">
            <w:pPr>
              <w:rPr>
                <w:rFonts w:ascii="Calibri" w:hAnsi="Calibri" w:cs="Arial"/>
              </w:rPr>
            </w:pPr>
            <w:r>
              <w:rPr>
                <w:rFonts w:ascii="Calibri" w:hAnsi="Calibri" w:cs="Arial"/>
              </w:rPr>
              <w:t xml:space="preserve">Implementación  formato de Seguimiento a los temas Socio Ambientales a los proyectos en desarrollo </w:t>
            </w:r>
          </w:p>
        </w:tc>
        <w:tc>
          <w:tcPr>
            <w:tcW w:w="1358" w:type="dxa"/>
            <w:tcBorders>
              <w:top w:val="nil"/>
              <w:left w:val="nil"/>
              <w:bottom w:val="single" w:sz="4" w:space="0" w:color="auto"/>
              <w:right w:val="single" w:sz="4" w:space="0" w:color="auto"/>
            </w:tcBorders>
            <w:shd w:val="clear" w:color="auto" w:fill="auto"/>
            <w:noWrap/>
            <w:vAlign w:val="center"/>
          </w:tcPr>
          <w:p w14:paraId="106F08BE" w14:textId="35525052" w:rsidR="00BC0D9E"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Formato</w:t>
            </w:r>
          </w:p>
        </w:tc>
        <w:tc>
          <w:tcPr>
            <w:tcW w:w="1134" w:type="dxa"/>
            <w:tcBorders>
              <w:top w:val="nil"/>
              <w:left w:val="nil"/>
              <w:bottom w:val="single" w:sz="4" w:space="0" w:color="auto"/>
              <w:right w:val="single" w:sz="4" w:space="0" w:color="auto"/>
            </w:tcBorders>
            <w:shd w:val="clear" w:color="auto" w:fill="auto"/>
            <w:vAlign w:val="center"/>
          </w:tcPr>
          <w:p w14:paraId="0EAF12C7" w14:textId="5F0C4E45" w:rsidR="00BC0D9E"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417" w:type="dxa"/>
            <w:tcBorders>
              <w:top w:val="nil"/>
              <w:left w:val="nil"/>
              <w:bottom w:val="single" w:sz="4" w:space="0" w:color="auto"/>
              <w:right w:val="single" w:sz="4" w:space="0" w:color="auto"/>
            </w:tcBorders>
            <w:shd w:val="clear" w:color="auto" w:fill="auto"/>
            <w:noWrap/>
            <w:vAlign w:val="center"/>
          </w:tcPr>
          <w:p w14:paraId="6D702725" w14:textId="77777777" w:rsidR="00BC0D9E" w:rsidRPr="00541BCE" w:rsidRDefault="00BC0D9E" w:rsidP="0037346F">
            <w:pPr>
              <w:spacing w:after="0" w:line="240" w:lineRule="auto"/>
              <w:jc w:val="center"/>
              <w:rPr>
                <w:rFonts w:ascii="Calibri" w:eastAsia="Times New Roman" w:hAnsi="Calibri" w:cs="Calibri"/>
                <w:color w:val="000000"/>
                <w:sz w:val="20"/>
                <w:szCs w:val="20"/>
              </w:rPr>
            </w:pPr>
          </w:p>
        </w:tc>
      </w:tr>
      <w:tr w:rsidR="00BC0D9E" w:rsidRPr="00541BCE" w14:paraId="24E03ED2" w14:textId="77777777" w:rsidTr="0037346F">
        <w:trPr>
          <w:trHeight w:val="937"/>
        </w:trPr>
        <w:tc>
          <w:tcPr>
            <w:tcW w:w="5320" w:type="dxa"/>
            <w:tcBorders>
              <w:top w:val="nil"/>
              <w:left w:val="single" w:sz="4" w:space="0" w:color="auto"/>
              <w:bottom w:val="single" w:sz="4" w:space="0" w:color="auto"/>
              <w:right w:val="single" w:sz="4" w:space="0" w:color="auto"/>
            </w:tcBorders>
            <w:shd w:val="clear" w:color="auto" w:fill="auto"/>
            <w:vAlign w:val="bottom"/>
          </w:tcPr>
          <w:p w14:paraId="67A940D3" w14:textId="5D92CAE1" w:rsidR="00BC0D9E" w:rsidRPr="00BC0D9E" w:rsidRDefault="00BC0D9E" w:rsidP="00BC0D9E">
            <w:pPr>
              <w:rPr>
                <w:rFonts w:ascii="Calibri" w:hAnsi="Calibri" w:cs="Arial"/>
              </w:rPr>
            </w:pPr>
            <w:r>
              <w:rPr>
                <w:rFonts w:ascii="Calibri" w:hAnsi="Calibri" w:cs="Arial"/>
              </w:rPr>
              <w:t>Seguimiento al componente socioambiental en los proyectos en ejecución</w:t>
            </w:r>
          </w:p>
        </w:tc>
        <w:tc>
          <w:tcPr>
            <w:tcW w:w="1358" w:type="dxa"/>
            <w:tcBorders>
              <w:top w:val="nil"/>
              <w:left w:val="nil"/>
              <w:bottom w:val="single" w:sz="4" w:space="0" w:color="auto"/>
              <w:right w:val="single" w:sz="4" w:space="0" w:color="auto"/>
            </w:tcBorders>
            <w:shd w:val="clear" w:color="auto" w:fill="auto"/>
            <w:noWrap/>
            <w:vAlign w:val="center"/>
          </w:tcPr>
          <w:p w14:paraId="31E02F5C" w14:textId="77777777" w:rsidR="00BC0D9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p w14:paraId="6328C78D" w14:textId="77777777" w:rsidR="00B612A7" w:rsidRPr="00541BCE" w:rsidRDefault="00B612A7" w:rsidP="0037346F">
            <w:pPr>
              <w:spacing w:after="0" w:line="240" w:lineRule="auto"/>
              <w:jc w:val="center"/>
              <w:rPr>
                <w:rFonts w:ascii="Calibri" w:eastAsia="Times New Roman" w:hAnsi="Calibri" w:cs="Calibri"/>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2E7C5174" w14:textId="7623998F" w:rsidR="00BC0D9E" w:rsidRPr="00541BCE" w:rsidRDefault="00B612A7" w:rsidP="0037346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w:t>
            </w:r>
          </w:p>
        </w:tc>
        <w:tc>
          <w:tcPr>
            <w:tcW w:w="1417" w:type="dxa"/>
            <w:tcBorders>
              <w:top w:val="nil"/>
              <w:left w:val="nil"/>
              <w:bottom w:val="single" w:sz="4" w:space="0" w:color="auto"/>
              <w:right w:val="single" w:sz="4" w:space="0" w:color="auto"/>
            </w:tcBorders>
            <w:shd w:val="clear" w:color="auto" w:fill="auto"/>
            <w:noWrap/>
            <w:vAlign w:val="center"/>
          </w:tcPr>
          <w:p w14:paraId="724D91D3" w14:textId="77777777" w:rsidR="00BC0D9E" w:rsidRPr="00541BCE" w:rsidRDefault="00BC0D9E" w:rsidP="0037346F">
            <w:pPr>
              <w:spacing w:after="0" w:line="240" w:lineRule="auto"/>
              <w:jc w:val="center"/>
              <w:rPr>
                <w:rFonts w:ascii="Calibri" w:eastAsia="Times New Roman" w:hAnsi="Calibri" w:cs="Calibri"/>
                <w:color w:val="000000"/>
                <w:sz w:val="20"/>
                <w:szCs w:val="20"/>
              </w:rPr>
            </w:pPr>
          </w:p>
        </w:tc>
      </w:tr>
    </w:tbl>
    <w:p w14:paraId="6895C782" w14:textId="0085A089" w:rsidR="003E643D" w:rsidRDefault="003E643D" w:rsidP="003E643D">
      <w:pPr>
        <w:jc w:val="both"/>
      </w:pPr>
    </w:p>
    <w:p w14:paraId="5513BF16" w14:textId="77777777" w:rsidR="003E643D" w:rsidRDefault="003E643D" w:rsidP="003E643D">
      <w:pPr>
        <w:jc w:val="both"/>
      </w:pPr>
      <w:r>
        <w:t>El Grupo no presentó informe de avance.</w:t>
      </w:r>
    </w:p>
    <w:p w14:paraId="41AC8328" w14:textId="77777777" w:rsidR="003E643D" w:rsidRDefault="003E643D" w:rsidP="00B51CFB">
      <w:pPr>
        <w:jc w:val="both"/>
      </w:pPr>
    </w:p>
    <w:p w14:paraId="63C4B8EF" w14:textId="77777777" w:rsidR="009A39D9" w:rsidRDefault="005F5AA7" w:rsidP="00AC10AA">
      <w:pPr>
        <w:pStyle w:val="Ttulo1"/>
        <w:numPr>
          <w:ilvl w:val="1"/>
          <w:numId w:val="31"/>
        </w:numPr>
      </w:pPr>
      <w:bookmarkStart w:id="88" w:name="_Toc357434729"/>
      <w:bookmarkStart w:id="89" w:name="_Toc357434980"/>
      <w:bookmarkStart w:id="90" w:name="_Toc360175796"/>
      <w:bookmarkStart w:id="91" w:name="_Toc360176861"/>
      <w:bookmarkStart w:id="92" w:name="_Toc360177569"/>
      <w:bookmarkStart w:id="93" w:name="_Toc390333878"/>
      <w:r>
        <w:lastRenderedPageBreak/>
        <w:t>VICEPRESIDENCIA DE ESTRUCTURACIÓN</w:t>
      </w:r>
      <w:bookmarkEnd w:id="88"/>
      <w:bookmarkEnd w:id="89"/>
      <w:bookmarkEnd w:id="90"/>
      <w:bookmarkEnd w:id="91"/>
      <w:bookmarkEnd w:id="92"/>
      <w:bookmarkEnd w:id="93"/>
    </w:p>
    <w:p w14:paraId="0CF78F08" w14:textId="77777777" w:rsidR="00A83327" w:rsidRPr="009D561E" w:rsidRDefault="00A83327" w:rsidP="00720182">
      <w:pPr>
        <w:rPr>
          <w:rFonts w:eastAsiaTheme="minorHAnsi"/>
        </w:rPr>
      </w:pPr>
    </w:p>
    <w:tbl>
      <w:tblPr>
        <w:tblW w:w="9087" w:type="dxa"/>
        <w:tblInd w:w="55" w:type="dxa"/>
        <w:tblCellMar>
          <w:left w:w="70" w:type="dxa"/>
          <w:right w:w="70" w:type="dxa"/>
        </w:tblCellMar>
        <w:tblLook w:val="04A0" w:firstRow="1" w:lastRow="0" w:firstColumn="1" w:lastColumn="0" w:noHBand="0" w:noVBand="1"/>
      </w:tblPr>
      <w:tblGrid>
        <w:gridCol w:w="5320"/>
        <w:gridCol w:w="1216"/>
        <w:gridCol w:w="1417"/>
        <w:gridCol w:w="1134"/>
      </w:tblGrid>
      <w:tr w:rsidR="00640E59" w:rsidRPr="00541BCE" w14:paraId="45E9E3F3" w14:textId="77777777" w:rsidTr="00720182">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1036D018" w14:textId="77777777"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ACTIVIDAD</w:t>
            </w:r>
          </w:p>
        </w:tc>
        <w:tc>
          <w:tcPr>
            <w:tcW w:w="1216" w:type="dxa"/>
            <w:tcBorders>
              <w:top w:val="single" w:sz="4" w:space="0" w:color="auto"/>
              <w:left w:val="nil"/>
              <w:bottom w:val="single" w:sz="4" w:space="0" w:color="auto"/>
              <w:right w:val="single" w:sz="4" w:space="0" w:color="auto"/>
            </w:tcBorders>
            <w:shd w:val="clear" w:color="000000" w:fill="A5A5A5"/>
            <w:vAlign w:val="center"/>
            <w:hideMark/>
          </w:tcPr>
          <w:p w14:paraId="21D9E650" w14:textId="77777777"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UNIDAD DE MEDIDA</w:t>
            </w:r>
          </w:p>
        </w:tc>
        <w:tc>
          <w:tcPr>
            <w:tcW w:w="1417" w:type="dxa"/>
            <w:tcBorders>
              <w:top w:val="single" w:sz="4" w:space="0" w:color="auto"/>
              <w:left w:val="nil"/>
              <w:bottom w:val="single" w:sz="4" w:space="0" w:color="auto"/>
              <w:right w:val="single" w:sz="4" w:space="0" w:color="auto"/>
            </w:tcBorders>
            <w:shd w:val="clear" w:color="000000" w:fill="A5A5A5"/>
            <w:noWrap/>
            <w:vAlign w:val="center"/>
            <w:hideMark/>
          </w:tcPr>
          <w:p w14:paraId="3F654A61" w14:textId="77777777"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META AÑO</w:t>
            </w:r>
          </w:p>
        </w:tc>
        <w:tc>
          <w:tcPr>
            <w:tcW w:w="1134"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BE3315F" w14:textId="77777777" w:rsidR="00640E59" w:rsidRPr="00541BCE" w:rsidRDefault="00640E59" w:rsidP="00A50ACE">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Pr="00541BCE">
              <w:rPr>
                <w:rFonts w:ascii="Calibri" w:eastAsia="Times New Roman" w:hAnsi="Calibri" w:cs="Calibri"/>
                <w:b/>
                <w:bCs/>
                <w:color w:val="000000"/>
                <w:sz w:val="20"/>
                <w:szCs w:val="20"/>
              </w:rPr>
              <w:t xml:space="preserve"> 1</w:t>
            </w:r>
          </w:p>
        </w:tc>
      </w:tr>
      <w:tr w:rsidR="00640E59" w:rsidRPr="00541BCE" w14:paraId="1CB71114"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36CB5D45" w14:textId="2D0B5CD9" w:rsidR="00640E59" w:rsidRPr="00541BCE" w:rsidRDefault="00F21140" w:rsidP="00A50ACE">
            <w:pPr>
              <w:spacing w:after="0" w:line="240" w:lineRule="auto"/>
              <w:rPr>
                <w:rFonts w:ascii="Calibri" w:eastAsia="Times New Roman" w:hAnsi="Calibri" w:cs="Calibri"/>
                <w:color w:val="000000"/>
                <w:sz w:val="20"/>
                <w:szCs w:val="20"/>
              </w:rPr>
            </w:pPr>
            <w:r w:rsidRPr="00F21140">
              <w:rPr>
                <w:rFonts w:ascii="Calibri" w:eastAsia="Times New Roman" w:hAnsi="Calibri" w:cs="Calibri"/>
                <w:color w:val="000000"/>
                <w:sz w:val="20"/>
                <w:szCs w:val="20"/>
              </w:rPr>
              <w:t>Adicionar Convenios 004, 005, 006, 007 suscritos con FONADE, nuevos alcances para estructurar.</w:t>
            </w:r>
          </w:p>
        </w:tc>
        <w:tc>
          <w:tcPr>
            <w:tcW w:w="1216" w:type="dxa"/>
            <w:tcBorders>
              <w:top w:val="nil"/>
              <w:left w:val="nil"/>
              <w:bottom w:val="single" w:sz="4" w:space="0" w:color="auto"/>
              <w:right w:val="single" w:sz="4" w:space="0" w:color="auto"/>
            </w:tcBorders>
            <w:shd w:val="clear" w:color="auto" w:fill="auto"/>
            <w:vAlign w:val="center"/>
          </w:tcPr>
          <w:p w14:paraId="32C60140" w14:textId="27F5B073" w:rsidR="00640E59" w:rsidRPr="00541BCE"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Otrosi</w:t>
            </w:r>
          </w:p>
        </w:tc>
        <w:tc>
          <w:tcPr>
            <w:tcW w:w="1417" w:type="dxa"/>
            <w:tcBorders>
              <w:top w:val="nil"/>
              <w:left w:val="nil"/>
              <w:bottom w:val="single" w:sz="4" w:space="0" w:color="auto"/>
              <w:right w:val="single" w:sz="4" w:space="0" w:color="auto"/>
            </w:tcBorders>
            <w:shd w:val="clear" w:color="auto" w:fill="auto"/>
            <w:noWrap/>
            <w:vAlign w:val="center"/>
          </w:tcPr>
          <w:p w14:paraId="712ABE47" w14:textId="177EE76C" w:rsidR="00640E59" w:rsidRPr="00541BCE"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tcPr>
          <w:p w14:paraId="0FD29551" w14:textId="7A80E42F" w:rsidR="00640E59" w:rsidRPr="00541BCE"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r>
      <w:tr w:rsidR="00545968" w:rsidRPr="00541BCE" w14:paraId="498EA83F"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08608273" w14:textId="2E276215" w:rsidR="00545968" w:rsidRPr="00541BCE" w:rsidRDefault="00F21140" w:rsidP="00A50ACE">
            <w:pPr>
              <w:spacing w:after="0" w:line="240" w:lineRule="auto"/>
              <w:rPr>
                <w:rFonts w:ascii="Calibri" w:eastAsia="Times New Roman" w:hAnsi="Calibri" w:cs="Calibri"/>
                <w:color w:val="000000"/>
                <w:sz w:val="20"/>
                <w:szCs w:val="20"/>
              </w:rPr>
            </w:pPr>
            <w:r w:rsidRPr="00F21140">
              <w:rPr>
                <w:rFonts w:ascii="Calibri" w:eastAsia="Times New Roman" w:hAnsi="Calibri" w:cs="Calibri"/>
                <w:color w:val="000000"/>
                <w:sz w:val="20"/>
                <w:szCs w:val="20"/>
              </w:rPr>
              <w:t>Acompañamiento integral en materia técnica  en la estructuración de las diferentes concesiones o asociaciones público privadas que resulten del  Proyecto Autopistas de la Prosperidad.</w:t>
            </w:r>
          </w:p>
        </w:tc>
        <w:tc>
          <w:tcPr>
            <w:tcW w:w="1216" w:type="dxa"/>
            <w:tcBorders>
              <w:top w:val="nil"/>
              <w:left w:val="nil"/>
              <w:bottom w:val="single" w:sz="4" w:space="0" w:color="auto"/>
              <w:right w:val="single" w:sz="4" w:space="0" w:color="auto"/>
            </w:tcBorders>
            <w:shd w:val="clear" w:color="auto" w:fill="auto"/>
            <w:vAlign w:val="center"/>
          </w:tcPr>
          <w:p w14:paraId="797919F7" w14:textId="37EA7FB2" w:rsidR="00545968" w:rsidRPr="00541BCE"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Informes</w:t>
            </w:r>
          </w:p>
        </w:tc>
        <w:tc>
          <w:tcPr>
            <w:tcW w:w="1417" w:type="dxa"/>
            <w:tcBorders>
              <w:top w:val="nil"/>
              <w:left w:val="nil"/>
              <w:bottom w:val="single" w:sz="4" w:space="0" w:color="auto"/>
              <w:right w:val="single" w:sz="4" w:space="0" w:color="auto"/>
            </w:tcBorders>
            <w:shd w:val="clear" w:color="auto" w:fill="auto"/>
            <w:noWrap/>
            <w:vAlign w:val="center"/>
          </w:tcPr>
          <w:p w14:paraId="35E60EAB" w14:textId="3A318EC1" w:rsidR="00545968" w:rsidRPr="00541BCE"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p>
        </w:tc>
        <w:tc>
          <w:tcPr>
            <w:tcW w:w="1134" w:type="dxa"/>
            <w:tcBorders>
              <w:top w:val="nil"/>
              <w:left w:val="nil"/>
              <w:bottom w:val="single" w:sz="4" w:space="0" w:color="auto"/>
              <w:right w:val="single" w:sz="4" w:space="0" w:color="auto"/>
            </w:tcBorders>
            <w:shd w:val="clear" w:color="auto" w:fill="auto"/>
            <w:noWrap/>
            <w:vAlign w:val="center"/>
          </w:tcPr>
          <w:p w14:paraId="55CD8C5D" w14:textId="1A3E59B5" w:rsidR="00545968" w:rsidRPr="00541BCE"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r>
      <w:tr w:rsidR="00545968" w:rsidRPr="00541BCE" w14:paraId="6E6E2AB1"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58627C5E" w14:textId="430E198D" w:rsidR="00545968" w:rsidRPr="00541BCE" w:rsidRDefault="00F21140" w:rsidP="00A50ACE">
            <w:pPr>
              <w:spacing w:after="0" w:line="240" w:lineRule="auto"/>
              <w:rPr>
                <w:rFonts w:ascii="Calibri" w:eastAsia="Times New Roman" w:hAnsi="Calibri" w:cs="Calibri"/>
                <w:color w:val="000000"/>
                <w:sz w:val="20"/>
                <w:szCs w:val="20"/>
              </w:rPr>
            </w:pPr>
            <w:r w:rsidRPr="00F21140">
              <w:rPr>
                <w:rFonts w:ascii="Calibri" w:eastAsia="Times New Roman" w:hAnsi="Calibri" w:cs="Calibri"/>
                <w:color w:val="000000"/>
                <w:sz w:val="20"/>
                <w:szCs w:val="20"/>
              </w:rPr>
              <w:t>Asesorar en materia técnica integral en las actividades de los procesos de estructuración, análisis y revisión de los proyectos de APP de Iniciativa privada, en el marco de la Cuarta Generación de Concesiones Viales</w:t>
            </w:r>
          </w:p>
        </w:tc>
        <w:tc>
          <w:tcPr>
            <w:tcW w:w="1216" w:type="dxa"/>
            <w:tcBorders>
              <w:top w:val="nil"/>
              <w:left w:val="nil"/>
              <w:bottom w:val="single" w:sz="4" w:space="0" w:color="auto"/>
              <w:right w:val="single" w:sz="4" w:space="0" w:color="auto"/>
            </w:tcBorders>
            <w:shd w:val="clear" w:color="auto" w:fill="auto"/>
            <w:vAlign w:val="center"/>
          </w:tcPr>
          <w:p w14:paraId="554A0E6C" w14:textId="0EF71443" w:rsidR="00545968" w:rsidRPr="00541BCE"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Informes</w:t>
            </w:r>
          </w:p>
        </w:tc>
        <w:tc>
          <w:tcPr>
            <w:tcW w:w="1417" w:type="dxa"/>
            <w:tcBorders>
              <w:top w:val="nil"/>
              <w:left w:val="nil"/>
              <w:bottom w:val="single" w:sz="4" w:space="0" w:color="auto"/>
              <w:right w:val="single" w:sz="4" w:space="0" w:color="auto"/>
            </w:tcBorders>
            <w:shd w:val="clear" w:color="auto" w:fill="auto"/>
            <w:noWrap/>
            <w:vAlign w:val="center"/>
          </w:tcPr>
          <w:p w14:paraId="1518163C" w14:textId="37D1003E" w:rsidR="00545968" w:rsidRPr="00541BCE"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w:t>
            </w:r>
          </w:p>
        </w:tc>
        <w:tc>
          <w:tcPr>
            <w:tcW w:w="1134" w:type="dxa"/>
            <w:tcBorders>
              <w:top w:val="nil"/>
              <w:left w:val="nil"/>
              <w:bottom w:val="single" w:sz="4" w:space="0" w:color="auto"/>
              <w:right w:val="single" w:sz="4" w:space="0" w:color="auto"/>
            </w:tcBorders>
            <w:shd w:val="clear" w:color="auto" w:fill="auto"/>
            <w:noWrap/>
            <w:vAlign w:val="center"/>
          </w:tcPr>
          <w:p w14:paraId="5819BCD5" w14:textId="68032350" w:rsidR="00545968" w:rsidRPr="00541BCE"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r>
      <w:tr w:rsidR="00F21140" w:rsidRPr="00541BCE" w14:paraId="457404F5"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58D3CE01" w14:textId="28353EC1" w:rsidR="00F21140" w:rsidRPr="00F21140" w:rsidRDefault="00F21140" w:rsidP="00A50ACE">
            <w:pPr>
              <w:spacing w:after="0" w:line="240" w:lineRule="auto"/>
              <w:rPr>
                <w:rFonts w:ascii="Calibri" w:eastAsia="Times New Roman" w:hAnsi="Calibri" w:cs="Calibri"/>
                <w:color w:val="000000"/>
                <w:sz w:val="20"/>
                <w:szCs w:val="20"/>
              </w:rPr>
            </w:pPr>
            <w:r w:rsidRPr="00F21140">
              <w:rPr>
                <w:rFonts w:ascii="Calibri" w:eastAsia="Times New Roman" w:hAnsi="Calibri" w:cs="Calibri"/>
                <w:color w:val="000000"/>
                <w:sz w:val="20"/>
                <w:szCs w:val="20"/>
              </w:rPr>
              <w:t>Asesorar  seguimiento de las variables de presupuesto, cronograma e indicadores de gestión del proceso de estructuración de los proyectos en todos los modos de transporte que actualmente se encuentran en etapa de estructuración para ser desarrollados posteriormente mediante el esquema de asociación público privada.</w:t>
            </w:r>
          </w:p>
        </w:tc>
        <w:tc>
          <w:tcPr>
            <w:tcW w:w="1216" w:type="dxa"/>
            <w:tcBorders>
              <w:top w:val="nil"/>
              <w:left w:val="nil"/>
              <w:bottom w:val="single" w:sz="4" w:space="0" w:color="auto"/>
              <w:right w:val="single" w:sz="4" w:space="0" w:color="auto"/>
            </w:tcBorders>
            <w:shd w:val="clear" w:color="auto" w:fill="auto"/>
            <w:vAlign w:val="center"/>
          </w:tcPr>
          <w:p w14:paraId="5092DA06" w14:textId="1DB539D2" w:rsidR="00F21140"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 xml:space="preserve">Informes </w:t>
            </w:r>
          </w:p>
        </w:tc>
        <w:tc>
          <w:tcPr>
            <w:tcW w:w="1417" w:type="dxa"/>
            <w:tcBorders>
              <w:top w:val="nil"/>
              <w:left w:val="nil"/>
              <w:bottom w:val="single" w:sz="4" w:space="0" w:color="auto"/>
              <w:right w:val="single" w:sz="4" w:space="0" w:color="auto"/>
            </w:tcBorders>
            <w:shd w:val="clear" w:color="auto" w:fill="auto"/>
            <w:noWrap/>
            <w:vAlign w:val="center"/>
          </w:tcPr>
          <w:p w14:paraId="2CC2F3F8" w14:textId="4C78009C" w:rsidR="00F21140"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11</w:t>
            </w:r>
          </w:p>
        </w:tc>
        <w:tc>
          <w:tcPr>
            <w:tcW w:w="1134" w:type="dxa"/>
            <w:tcBorders>
              <w:top w:val="nil"/>
              <w:left w:val="nil"/>
              <w:bottom w:val="single" w:sz="4" w:space="0" w:color="auto"/>
              <w:right w:val="single" w:sz="4" w:space="0" w:color="auto"/>
            </w:tcBorders>
            <w:shd w:val="clear" w:color="auto" w:fill="auto"/>
            <w:noWrap/>
            <w:vAlign w:val="center"/>
          </w:tcPr>
          <w:p w14:paraId="4E163820" w14:textId="32BC39EA" w:rsidR="00F21140"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F21140" w:rsidRPr="00541BCE" w14:paraId="01579697"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32FA8AA1" w14:textId="2F17F328" w:rsidR="00F21140" w:rsidRPr="00F21140" w:rsidRDefault="00F21140" w:rsidP="00A50ACE">
            <w:pPr>
              <w:spacing w:after="0" w:line="240" w:lineRule="auto"/>
              <w:rPr>
                <w:rFonts w:ascii="Calibri" w:eastAsia="Times New Roman" w:hAnsi="Calibri" w:cs="Calibri"/>
                <w:color w:val="000000"/>
                <w:sz w:val="20"/>
                <w:szCs w:val="20"/>
              </w:rPr>
            </w:pPr>
            <w:r w:rsidRPr="00F21140">
              <w:rPr>
                <w:rFonts w:ascii="Calibri" w:eastAsia="Times New Roman" w:hAnsi="Calibri" w:cs="Calibri"/>
                <w:color w:val="000000"/>
                <w:sz w:val="20"/>
                <w:szCs w:val="20"/>
              </w:rPr>
              <w:t>Asesoría  para Contribuir en el desarrollo de la gestión de promoción Cuarta Generación de Concesiones.</w:t>
            </w:r>
          </w:p>
        </w:tc>
        <w:tc>
          <w:tcPr>
            <w:tcW w:w="1216" w:type="dxa"/>
            <w:tcBorders>
              <w:top w:val="nil"/>
              <w:left w:val="nil"/>
              <w:bottom w:val="single" w:sz="4" w:space="0" w:color="auto"/>
              <w:right w:val="single" w:sz="4" w:space="0" w:color="auto"/>
            </w:tcBorders>
            <w:shd w:val="clear" w:color="auto" w:fill="auto"/>
            <w:vAlign w:val="center"/>
          </w:tcPr>
          <w:p w14:paraId="50A5156F" w14:textId="6C66ED90" w:rsidR="00F21140"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Informes</w:t>
            </w:r>
          </w:p>
        </w:tc>
        <w:tc>
          <w:tcPr>
            <w:tcW w:w="1417" w:type="dxa"/>
            <w:tcBorders>
              <w:top w:val="nil"/>
              <w:left w:val="nil"/>
              <w:bottom w:val="single" w:sz="4" w:space="0" w:color="auto"/>
              <w:right w:val="single" w:sz="4" w:space="0" w:color="auto"/>
            </w:tcBorders>
            <w:shd w:val="clear" w:color="auto" w:fill="auto"/>
            <w:noWrap/>
            <w:vAlign w:val="center"/>
          </w:tcPr>
          <w:p w14:paraId="68342015" w14:textId="43B4A6EC" w:rsidR="00F21140"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c>
          <w:tcPr>
            <w:tcW w:w="1134" w:type="dxa"/>
            <w:tcBorders>
              <w:top w:val="nil"/>
              <w:left w:val="nil"/>
              <w:bottom w:val="single" w:sz="4" w:space="0" w:color="auto"/>
              <w:right w:val="single" w:sz="4" w:space="0" w:color="auto"/>
            </w:tcBorders>
            <w:shd w:val="clear" w:color="auto" w:fill="auto"/>
            <w:noWrap/>
            <w:vAlign w:val="center"/>
          </w:tcPr>
          <w:p w14:paraId="32BFC0E3" w14:textId="04747E16" w:rsidR="00F21140" w:rsidRDefault="00F21140" w:rsidP="00A50ACE">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w:t>
            </w:r>
          </w:p>
        </w:tc>
      </w:tr>
    </w:tbl>
    <w:p w14:paraId="2DAE7486" w14:textId="77777777" w:rsidR="00BC4A85" w:rsidRDefault="00BC4A85" w:rsidP="005F5AA7">
      <w:pPr>
        <w:jc w:val="both"/>
      </w:pPr>
    </w:p>
    <w:p w14:paraId="00938816" w14:textId="77777777" w:rsidR="00545968" w:rsidRPr="00545968" w:rsidRDefault="00545968" w:rsidP="00545968">
      <w:pPr>
        <w:jc w:val="both"/>
      </w:pPr>
      <w:bookmarkStart w:id="94" w:name="_Toc357434731"/>
      <w:bookmarkStart w:id="95" w:name="_Toc357434982"/>
      <w:bookmarkStart w:id="96" w:name="_Toc360175798"/>
      <w:bookmarkStart w:id="97" w:name="_Toc360176863"/>
      <w:bookmarkStart w:id="98" w:name="_Toc360177571"/>
      <w:r w:rsidRPr="00545968">
        <w:t>Durante el Primer trimestre 2014, la Vicepresidencia de Estructuración, ha comprometido mediante  registro presupuestal la suma de  $11.067.633.902,00, que corresponde al 44% de la apropiación vigente para esta dependencia, entre recursos nación y propios, para adelantar la ejecución de las siguientes actividades, las cuales se encuentran relacionadas en el plan de acción 2014, para la estructuración de los proyectos de cuarta generación, entre otros</w:t>
      </w:r>
      <w:r w:rsidRPr="00545968">
        <w:rPr>
          <w:rFonts w:cs="Arial"/>
          <w:spacing w:val="-3"/>
        </w:rPr>
        <w:t>.</w:t>
      </w:r>
    </w:p>
    <w:p w14:paraId="4852C14D" w14:textId="77777777" w:rsidR="00545968" w:rsidRPr="00545968" w:rsidRDefault="00545968" w:rsidP="00545968">
      <w:pPr>
        <w:jc w:val="both"/>
        <w:rPr>
          <w:rFonts w:cs="Arial"/>
          <w:spacing w:val="-3"/>
          <w:lang w:val="es-ES"/>
        </w:rPr>
      </w:pPr>
      <w:r w:rsidRPr="00545968">
        <w:rPr>
          <w:rFonts w:cs="Arial"/>
          <w:spacing w:val="-3"/>
          <w:lang w:val="es-ES"/>
        </w:rPr>
        <w:t xml:space="preserve">Dentro las principales actividades se destacan: </w:t>
      </w:r>
    </w:p>
    <w:p w14:paraId="71A3A392" w14:textId="00D95846" w:rsidR="00545968" w:rsidRPr="00545968" w:rsidRDefault="00545968" w:rsidP="00545968">
      <w:pPr>
        <w:jc w:val="both"/>
        <w:rPr>
          <w:rFonts w:cs="Arial"/>
          <w:spacing w:val="-3"/>
          <w:lang w:val="es-ES"/>
        </w:rPr>
      </w:pPr>
      <w:r w:rsidRPr="00545968">
        <w:rPr>
          <w:rFonts w:cs="Arial"/>
          <w:spacing w:val="-3"/>
        </w:rPr>
        <w:t xml:space="preserve">Adición a los convenios suscritos entre </w:t>
      </w:r>
      <w:r w:rsidRPr="00545968">
        <w:rPr>
          <w:rFonts w:cs="Arial"/>
          <w:spacing w:val="-3"/>
          <w:lang w:val="es-ES"/>
        </w:rPr>
        <w:t xml:space="preserve">la Agencia Nacional de Infraestructura –ANI- y el Fondo Financiero de Proyectos de Desarrollo –FONADE-, </w:t>
      </w:r>
    </w:p>
    <w:p w14:paraId="45ACE5BA" w14:textId="77777777" w:rsidR="00545968" w:rsidRPr="00545968" w:rsidRDefault="00545968" w:rsidP="00545968">
      <w:pPr>
        <w:numPr>
          <w:ilvl w:val="0"/>
          <w:numId w:val="198"/>
        </w:numPr>
        <w:spacing w:after="0" w:line="240" w:lineRule="auto"/>
        <w:jc w:val="both"/>
        <w:rPr>
          <w:rFonts w:cs="Arial"/>
          <w:b/>
          <w:bCs/>
          <w:spacing w:val="-3"/>
          <w:lang w:val="es-ES"/>
        </w:rPr>
      </w:pPr>
      <w:r w:rsidRPr="00545968">
        <w:rPr>
          <w:rFonts w:cs="Arial"/>
          <w:b/>
          <w:bCs/>
          <w:spacing w:val="-3"/>
          <w:lang w:val="es-ES"/>
        </w:rPr>
        <w:t xml:space="preserve">Contrato ANI 005 FONADE 211037. Grupo Centro SUR. </w:t>
      </w:r>
      <w:r w:rsidRPr="00545968">
        <w:rPr>
          <w:rFonts w:cs="Arial"/>
          <w:bCs/>
          <w:spacing w:val="-3"/>
          <w:lang w:val="es-ES"/>
        </w:rPr>
        <w:t>El FONDO FINANCIERO DE PROYECTOS DE DESARROLLO - FONADE se compromete con la AGENCIA NACIONAL DE INFRAESTRUCTURA a ejecutar la gerencia integral del proyecto denominado GRUPO CENTRO SUR, orientado a la estructuración de concesiones viales principalmente para los corredores GIRARDOT – PUERTO SALGAR – IBAGUÉ, CORREDOR NEIVA – GIRARDOT Y CORREDOR MOCOA – NEIVA</w:t>
      </w:r>
      <w:r w:rsidRPr="00545968">
        <w:rPr>
          <w:rFonts w:cs="Arial"/>
          <w:b/>
          <w:bCs/>
          <w:spacing w:val="-3"/>
          <w:lang w:val="es-ES"/>
        </w:rPr>
        <w:t>.</w:t>
      </w:r>
    </w:p>
    <w:p w14:paraId="014BEC4E" w14:textId="77777777" w:rsidR="00545968" w:rsidRPr="00545968" w:rsidRDefault="00545968" w:rsidP="00545968">
      <w:pPr>
        <w:ind w:firstLine="708"/>
        <w:jc w:val="both"/>
        <w:rPr>
          <w:rFonts w:cs="Arial"/>
          <w:b/>
        </w:rPr>
      </w:pPr>
    </w:p>
    <w:p w14:paraId="39EF2727" w14:textId="77777777" w:rsidR="00545968" w:rsidRPr="00545968" w:rsidRDefault="00545968" w:rsidP="00545968">
      <w:pPr>
        <w:ind w:firstLine="708"/>
        <w:jc w:val="both"/>
        <w:rPr>
          <w:rFonts w:cs="Arial"/>
          <w:b/>
        </w:rPr>
      </w:pPr>
      <w:r w:rsidRPr="00545968">
        <w:rPr>
          <w:rFonts w:cs="Arial"/>
          <w:b/>
        </w:rPr>
        <w:t>Grupo 1.</w:t>
      </w:r>
    </w:p>
    <w:p w14:paraId="26BDD4FE" w14:textId="77777777" w:rsidR="00545968" w:rsidRPr="00545968" w:rsidRDefault="00545968" w:rsidP="00545968">
      <w:pPr>
        <w:numPr>
          <w:ilvl w:val="0"/>
          <w:numId w:val="199"/>
        </w:numPr>
        <w:spacing w:after="0" w:line="240" w:lineRule="auto"/>
        <w:jc w:val="both"/>
        <w:rPr>
          <w:rFonts w:cs="Arial"/>
        </w:rPr>
      </w:pPr>
      <w:r w:rsidRPr="00545968">
        <w:rPr>
          <w:rFonts w:cs="Arial"/>
          <w:b/>
        </w:rPr>
        <w:t xml:space="preserve">Construcción de la Segunda Calzada entre Neiva – Aipe: </w:t>
      </w:r>
      <w:r w:rsidRPr="00545968">
        <w:rPr>
          <w:rFonts w:cs="Arial"/>
        </w:rPr>
        <w:t xml:space="preserve">En desarrollo de la estructuración del corredor Neiva – Girardot se identificó que el tramo comprendido entre Neiva y Aipe requiere de la construcción de una segunda calzada debido a que en el mismo se ha generado un aumento del tráfico regional que hace que sea necesario ampliar la capacidad </w:t>
      </w:r>
      <w:r w:rsidRPr="00545968">
        <w:rPr>
          <w:rFonts w:cs="Arial"/>
        </w:rPr>
        <w:lastRenderedPageBreak/>
        <w:t>de la vía. Esta situación fue puesta en conocimiento de la ANI por parte de las Autoridades Departamentales del Huila quienes expresaron con base en análisis y estudios efectuados por ellos y corroborados por la ANI que la seguridad vial en el tramo debido a alto tráfico ha descendido a niveles preocupantes.</w:t>
      </w:r>
    </w:p>
    <w:p w14:paraId="5BA0D53C" w14:textId="77777777" w:rsidR="00545968" w:rsidRPr="00545968" w:rsidRDefault="00545968" w:rsidP="00545968">
      <w:pPr>
        <w:jc w:val="both"/>
        <w:rPr>
          <w:rFonts w:cs="Arial"/>
        </w:rPr>
      </w:pPr>
    </w:p>
    <w:p w14:paraId="44214B25" w14:textId="77777777" w:rsidR="00545968" w:rsidRPr="00545968" w:rsidRDefault="00545968" w:rsidP="00545968">
      <w:pPr>
        <w:ind w:left="708"/>
        <w:jc w:val="both"/>
        <w:rPr>
          <w:rFonts w:cs="Arial"/>
        </w:rPr>
      </w:pPr>
      <w:r w:rsidRPr="00545968">
        <w:rPr>
          <w:rFonts w:cs="Arial"/>
        </w:rPr>
        <w:t>De igual forma, en el mencionado tramo se encuentra un alto tráfico de tracto camiones cargados de crudo de petróleo que se extrae de la zona lo que reduce en gran medida la velocidad de operación y la seguridad de los habitantes de las zonas aledañas.</w:t>
      </w:r>
    </w:p>
    <w:p w14:paraId="4C4C96F1" w14:textId="77777777" w:rsidR="00545968" w:rsidRPr="00545968" w:rsidRDefault="00545968" w:rsidP="00545968">
      <w:pPr>
        <w:jc w:val="both"/>
        <w:rPr>
          <w:rFonts w:cs="Arial"/>
        </w:rPr>
      </w:pPr>
    </w:p>
    <w:p w14:paraId="314786D9" w14:textId="77777777" w:rsidR="00545968" w:rsidRPr="00545968" w:rsidRDefault="00545968" w:rsidP="00545968">
      <w:pPr>
        <w:ind w:left="708"/>
        <w:jc w:val="both"/>
        <w:rPr>
          <w:rFonts w:cs="Arial"/>
        </w:rPr>
      </w:pPr>
      <w:r w:rsidRPr="00545968">
        <w:rPr>
          <w:rFonts w:cs="Arial"/>
        </w:rPr>
        <w:t>Otro factor importante en la determinación de la necesidad de la construcción de la segunda calzada es que muy cerca del Municipio de Aipe se encuentran dos casetas de peajes que sustentan gran parte de los ingresos que produciría la nueva concesión en proceso de estructuración.</w:t>
      </w:r>
    </w:p>
    <w:p w14:paraId="304CECEA" w14:textId="77777777" w:rsidR="00545968" w:rsidRPr="00545968" w:rsidRDefault="00545968" w:rsidP="00545968">
      <w:pPr>
        <w:numPr>
          <w:ilvl w:val="0"/>
          <w:numId w:val="199"/>
        </w:numPr>
        <w:spacing w:after="0" w:line="240" w:lineRule="auto"/>
        <w:jc w:val="both"/>
        <w:rPr>
          <w:rFonts w:cs="Arial"/>
          <w:b/>
        </w:rPr>
      </w:pPr>
      <w:r w:rsidRPr="00545968">
        <w:rPr>
          <w:rFonts w:cs="Arial"/>
          <w:b/>
        </w:rPr>
        <w:t xml:space="preserve">Modificación del tramo entre Saldaña y Castilla: Modificación del tramo entre Saldaña y Castilla: </w:t>
      </w:r>
      <w:r w:rsidRPr="00545968">
        <w:rPr>
          <w:rFonts w:cs="Arial"/>
        </w:rPr>
        <w:t xml:space="preserve">En el marco de la estructuración del mismo corredor Girardot – Neiva, inicialmente se propuso y así se diseñó, la construcción en doble calzada desde Girardot hasta Castilla. Sin embargo teniendo en cuenta que de esa forma el proyecto exigía para su construcción de una gran inversión y que en Castilla no es un punto representativo de la vía o un gran lugar de reparto de tráfico, se vio la necesidad de disminuir un poco el alcance de manera que la doble calzada proyectada desde Girardot no llegué hasta Castilla sino hasta Saldaña donde gran parte del tráfico se desvía hacia el sector del Prado y los Municipios vecinos. </w:t>
      </w:r>
    </w:p>
    <w:p w14:paraId="1229A5CD" w14:textId="77777777" w:rsidR="00545968" w:rsidRPr="00545968" w:rsidRDefault="00545968" w:rsidP="00545968">
      <w:pPr>
        <w:ind w:left="720"/>
        <w:jc w:val="both"/>
        <w:rPr>
          <w:rFonts w:cs="Arial"/>
          <w:b/>
        </w:rPr>
      </w:pPr>
    </w:p>
    <w:p w14:paraId="62CA6650" w14:textId="77777777" w:rsidR="00545968" w:rsidRPr="00545968" w:rsidRDefault="00545968" w:rsidP="00545968">
      <w:pPr>
        <w:ind w:left="720"/>
        <w:jc w:val="both"/>
        <w:rPr>
          <w:rFonts w:cs="Arial"/>
        </w:rPr>
      </w:pPr>
      <w:r w:rsidRPr="00545968">
        <w:rPr>
          <w:rFonts w:cs="Arial"/>
        </w:rPr>
        <w:t>La mencionada modificación implica adaptar los diseños a esta nueva situación.</w:t>
      </w:r>
    </w:p>
    <w:p w14:paraId="3E05A300" w14:textId="77777777" w:rsidR="00545968" w:rsidRPr="00545968" w:rsidRDefault="00545968" w:rsidP="00545968">
      <w:pPr>
        <w:numPr>
          <w:ilvl w:val="0"/>
          <w:numId w:val="199"/>
        </w:numPr>
        <w:spacing w:after="0" w:line="240" w:lineRule="auto"/>
        <w:jc w:val="both"/>
        <w:rPr>
          <w:rFonts w:cs="Arial"/>
          <w:b/>
        </w:rPr>
      </w:pPr>
      <w:r w:rsidRPr="00545968">
        <w:rPr>
          <w:rFonts w:cs="Arial"/>
          <w:b/>
        </w:rPr>
        <w:t>Conexión Corredores Girardot – Neiva con Neiva – Santa Ana</w:t>
      </w:r>
    </w:p>
    <w:p w14:paraId="794B0DB0" w14:textId="77777777" w:rsidR="00545968" w:rsidRPr="00545968" w:rsidRDefault="00545968" w:rsidP="00545968">
      <w:pPr>
        <w:ind w:left="708"/>
        <w:jc w:val="both"/>
        <w:rPr>
          <w:rFonts w:cs="Arial"/>
        </w:rPr>
      </w:pPr>
      <w:r w:rsidRPr="00545968">
        <w:rPr>
          <w:rFonts w:cs="Arial"/>
        </w:rPr>
        <w:t xml:space="preserve">Con el fin de mejorar la competitividad del Departamento del Huila y del Sur del País,  se requiere ejecutar la construcción de una vía que conecte  la ciudad de Neiva con el Corredor Girardot – Neiva en la variante al Juncal y a su vez con el corredor Santana – Mocoa - Neiva. </w:t>
      </w:r>
    </w:p>
    <w:p w14:paraId="290F2147" w14:textId="77777777" w:rsidR="00545968" w:rsidRPr="00545968" w:rsidRDefault="00545968" w:rsidP="00545968">
      <w:pPr>
        <w:ind w:left="708"/>
        <w:jc w:val="both"/>
        <w:rPr>
          <w:rFonts w:cs="Arial"/>
        </w:rPr>
      </w:pPr>
      <w:r w:rsidRPr="00545968">
        <w:rPr>
          <w:rFonts w:cs="Arial"/>
        </w:rPr>
        <w:t>Esta obra permitirá una disminución en costos de operación y ahorros de tiempo en el transporte de carga pesada que transitará desde Neiva hasta la zona Industrial de dicha ciudad,  la cual se encuentra proyectada en el Plan de Ordenamiento Territorial precisamente en la variante al Juncal.</w:t>
      </w:r>
    </w:p>
    <w:p w14:paraId="726039B9" w14:textId="77777777" w:rsidR="00545968" w:rsidRPr="00545968" w:rsidRDefault="00545968" w:rsidP="00545968">
      <w:pPr>
        <w:ind w:left="708"/>
        <w:jc w:val="both"/>
        <w:rPr>
          <w:rFonts w:cs="Arial"/>
        </w:rPr>
      </w:pPr>
      <w:r w:rsidRPr="00545968">
        <w:rPr>
          <w:rFonts w:cs="Arial"/>
        </w:rPr>
        <w:t>Esta construcción permitirá desviar el tráfico pesado con lo que se logrará llevar a cabo una mejora en las condiciones de movilidad de Neiva y a su vez impactará positivamente el medio ambiente de la ciudad.</w:t>
      </w:r>
    </w:p>
    <w:p w14:paraId="6421D6C1" w14:textId="77777777" w:rsidR="00545968" w:rsidRPr="00545968" w:rsidRDefault="00545968" w:rsidP="00545968">
      <w:pPr>
        <w:numPr>
          <w:ilvl w:val="0"/>
          <w:numId w:val="198"/>
        </w:numPr>
        <w:spacing w:after="0" w:line="240" w:lineRule="auto"/>
        <w:jc w:val="both"/>
        <w:rPr>
          <w:rFonts w:cs="Arial"/>
          <w:bCs/>
          <w:spacing w:val="-3"/>
        </w:rPr>
      </w:pPr>
      <w:r w:rsidRPr="00545968">
        <w:rPr>
          <w:rFonts w:cs="Arial"/>
          <w:b/>
          <w:bCs/>
          <w:spacing w:val="-3"/>
          <w:lang w:val="es-ES"/>
        </w:rPr>
        <w:t xml:space="preserve">Contrato </w:t>
      </w:r>
      <w:r w:rsidRPr="00545968">
        <w:rPr>
          <w:rFonts w:cs="Arial"/>
          <w:b/>
          <w:bCs/>
          <w:spacing w:val="-3"/>
        </w:rPr>
        <w:t>ANI 004 FONADE 211036</w:t>
      </w:r>
      <w:r w:rsidRPr="00545968">
        <w:rPr>
          <w:rFonts w:cs="Arial"/>
          <w:bCs/>
          <w:spacing w:val="-3"/>
        </w:rPr>
        <w:t xml:space="preserve">. </w:t>
      </w:r>
      <w:r w:rsidRPr="00545968">
        <w:rPr>
          <w:rFonts w:cs="Arial"/>
          <w:b/>
          <w:bCs/>
          <w:spacing w:val="-3"/>
        </w:rPr>
        <w:t>Grupo Centro Occidente</w:t>
      </w:r>
      <w:r w:rsidRPr="00545968">
        <w:rPr>
          <w:rFonts w:cs="Arial"/>
          <w:bCs/>
          <w:spacing w:val="-3"/>
        </w:rPr>
        <w:t>: El FONDO FINANCIERO DE PROYECTOS DE DESARROLLO</w:t>
      </w:r>
      <w:r w:rsidRPr="00545968">
        <w:rPr>
          <w:rFonts w:cs="Arial"/>
          <w:b/>
          <w:bCs/>
          <w:spacing w:val="-3"/>
        </w:rPr>
        <w:t xml:space="preserve"> </w:t>
      </w:r>
      <w:r w:rsidRPr="00545968">
        <w:rPr>
          <w:rFonts w:cs="Arial"/>
          <w:bCs/>
          <w:spacing w:val="-3"/>
        </w:rPr>
        <w:t xml:space="preserve">- FONADE se compromete con la AGENCIA NACIONAL DE INFRAESTRUCTURA a ejecutar la gerencia integral del proyecto denominado </w:t>
      </w:r>
      <w:r w:rsidRPr="00545968">
        <w:rPr>
          <w:rFonts w:cs="Arial"/>
          <w:b/>
          <w:bCs/>
          <w:spacing w:val="-3"/>
        </w:rPr>
        <w:t>GRUPO CENTRO OCCIDENTE</w:t>
      </w:r>
      <w:r w:rsidRPr="00545968">
        <w:rPr>
          <w:rFonts w:cs="Arial"/>
          <w:bCs/>
          <w:spacing w:val="-3"/>
        </w:rPr>
        <w:t xml:space="preserve">, orientado a la estructuración de concesiones viales principalmente para los </w:t>
      </w:r>
      <w:r w:rsidRPr="00545968">
        <w:rPr>
          <w:rFonts w:cs="Arial"/>
          <w:bCs/>
          <w:spacing w:val="-3"/>
        </w:rPr>
        <w:lastRenderedPageBreak/>
        <w:t xml:space="preserve">corredores DOBLE CALZADA IBAGUE – LA PAILA, CORREDOR DOBLE CALZADA BUGA – BUENAVENTURA Y CORREDOR SANTANDER DE QUILICHAO – CHACHAGUI. </w:t>
      </w:r>
    </w:p>
    <w:p w14:paraId="0138895A" w14:textId="77777777" w:rsidR="00545968" w:rsidRPr="00545968" w:rsidRDefault="00545968" w:rsidP="00545968">
      <w:pPr>
        <w:jc w:val="both"/>
        <w:rPr>
          <w:rFonts w:cs="Arial"/>
          <w:bCs/>
          <w:spacing w:val="-3"/>
        </w:rPr>
      </w:pPr>
    </w:p>
    <w:p w14:paraId="70F9F000" w14:textId="77777777" w:rsidR="00545968" w:rsidRPr="00545968" w:rsidRDefault="00545968" w:rsidP="00545968">
      <w:pPr>
        <w:ind w:firstLine="708"/>
        <w:jc w:val="both"/>
        <w:rPr>
          <w:rFonts w:cs="Arial"/>
          <w:b/>
        </w:rPr>
      </w:pPr>
      <w:r w:rsidRPr="00545968">
        <w:rPr>
          <w:rFonts w:cs="Arial"/>
          <w:b/>
        </w:rPr>
        <w:t>Grupo 2.</w:t>
      </w:r>
    </w:p>
    <w:p w14:paraId="3F791395" w14:textId="77777777" w:rsidR="00545968" w:rsidRPr="00545968" w:rsidRDefault="00545968" w:rsidP="00545968">
      <w:pPr>
        <w:numPr>
          <w:ilvl w:val="0"/>
          <w:numId w:val="199"/>
        </w:numPr>
        <w:spacing w:after="0" w:line="240" w:lineRule="auto"/>
        <w:jc w:val="both"/>
        <w:rPr>
          <w:rFonts w:cs="Arial"/>
        </w:rPr>
      </w:pPr>
      <w:r w:rsidRPr="00545968">
        <w:rPr>
          <w:rFonts w:cs="Arial"/>
          <w:b/>
        </w:rPr>
        <w:t xml:space="preserve">Buga – Buenaventura: </w:t>
      </w:r>
      <w:r w:rsidRPr="00545968">
        <w:rPr>
          <w:rFonts w:cs="Arial"/>
        </w:rPr>
        <w:t xml:space="preserve">La estructuración del corredor Buga – Buenaventura  fue concebida teniendo en cuanta que el INVIAS terminaba las obras diseñadas entre Citronela y Loboguerrero. Debido a mayores costos en la construcción de estas obras el Invías mediante radicado 2013-409 031274-2 del 08 de Agosto de 2013 ha manifestado la imposibilidad de terminar el tramo Citronela – Loboguerrero con los recursos existentes. Debido a lo anterior es necesario que en la estructuración del corredor Buga – Buenaventura se incluya dentro del alcance la construcción de las obras faltantes. Para lo anterior estructurador debe revisar los estudios existentes y complementarlos con los capítulos adicionales exclusivos de concesiones como operación y mantenimiento, Sistemitas Inteligentes de transporte, etc. Estas actividades son adicionales a las inicialmente establecidas y requieren una mayor dedicación de personal por lo cual es necesario adicionárselas al estructurador. </w:t>
      </w:r>
    </w:p>
    <w:p w14:paraId="58B52A00" w14:textId="77777777" w:rsidR="00545968" w:rsidRPr="00545968" w:rsidRDefault="00545968" w:rsidP="00545968">
      <w:pPr>
        <w:spacing w:after="0" w:line="240" w:lineRule="auto"/>
        <w:ind w:left="720"/>
        <w:jc w:val="both"/>
        <w:rPr>
          <w:rFonts w:cs="Arial"/>
        </w:rPr>
      </w:pPr>
    </w:p>
    <w:p w14:paraId="1409536D" w14:textId="77777777" w:rsidR="00545968" w:rsidRPr="00545968" w:rsidRDefault="00545968" w:rsidP="00545968">
      <w:pPr>
        <w:numPr>
          <w:ilvl w:val="0"/>
          <w:numId w:val="199"/>
        </w:numPr>
        <w:spacing w:after="0" w:line="240" w:lineRule="auto"/>
        <w:jc w:val="both"/>
        <w:rPr>
          <w:rFonts w:cs="Arial"/>
        </w:rPr>
      </w:pPr>
      <w:r w:rsidRPr="00545968">
        <w:rPr>
          <w:rFonts w:cs="Arial"/>
          <w:b/>
        </w:rPr>
        <w:t xml:space="preserve">Pasto – Chachaguí: </w:t>
      </w:r>
      <w:r w:rsidRPr="00545968">
        <w:rPr>
          <w:rFonts w:cs="Arial"/>
        </w:rPr>
        <w:t xml:space="preserve">El corredor Chachagui – Pasto – Rumichaca fue adicionado al estructurador para la construcción de la Doble Calzada Pasto- Rumichaca. La construcción de la doble calzada estaba incluida en el alcance del contrato de concesión </w:t>
      </w:r>
      <w:r w:rsidRPr="00545968">
        <w:rPr>
          <w:rFonts w:cs="Arial"/>
          <w:lang w:val="es-ES"/>
        </w:rPr>
        <w:t xml:space="preserve">Rumichaca – Pasto – Chachagüi suscrito en el año 2007. Mediante radicado 2013-500-008791-3 se dio a conocer  el Acta de Entendimiento para la terminación anticipada de mutuo acuerdo del contrato de concesión 003 de 2006, donde se puede apreciar que quedaran inconclusas las siguientes obras 1) Variante de Chachagui 2) Segunda Calzada Chachagui – La Mina. Igualmente se identificó la necesidad del mejoramiento de la vía desde Pasto al Intercambiador de Daza, obra que no se había contemplado anteriormente ya que el corredor se encontraba concesionado El estructurador debe revisar, complementar y/o realizar los estudios y diseños de los tramos anteriormente descritos e incluirlos dentro del alcance de la concesión a ser estructurada. </w:t>
      </w:r>
      <w:r w:rsidRPr="00545968">
        <w:rPr>
          <w:rFonts w:cs="Arial"/>
        </w:rPr>
        <w:t>Estas actividades son adicionales a las inicialmente establecidas y requieren una mayor dedicación de personal por lo cual es necesario adicionárselas al estructurador.</w:t>
      </w:r>
    </w:p>
    <w:p w14:paraId="44D23C36" w14:textId="77777777" w:rsidR="00545968" w:rsidRPr="00545968" w:rsidRDefault="00545968" w:rsidP="00545968">
      <w:pPr>
        <w:ind w:left="708"/>
        <w:jc w:val="both"/>
        <w:rPr>
          <w:rFonts w:cs="Arial"/>
          <w:bCs/>
          <w:spacing w:val="-3"/>
        </w:rPr>
      </w:pPr>
      <w:r w:rsidRPr="00545968">
        <w:rPr>
          <w:rFonts w:cs="Arial"/>
        </w:rPr>
        <w:t>Dentro de esta actividad se incluye la estructuración con alcance de mejoramiento del paso nacional por el municipio de Chachagui</w:t>
      </w:r>
    </w:p>
    <w:p w14:paraId="7DCAC4D1" w14:textId="77777777" w:rsidR="00545968" w:rsidRPr="00545968" w:rsidRDefault="00545968" w:rsidP="00545968">
      <w:pPr>
        <w:numPr>
          <w:ilvl w:val="0"/>
          <w:numId w:val="198"/>
        </w:numPr>
        <w:spacing w:after="0" w:line="240" w:lineRule="auto"/>
        <w:jc w:val="both"/>
        <w:rPr>
          <w:rFonts w:cs="Arial"/>
          <w:bCs/>
          <w:spacing w:val="-3"/>
        </w:rPr>
      </w:pPr>
      <w:r w:rsidRPr="00545968">
        <w:rPr>
          <w:rFonts w:cs="Arial"/>
          <w:b/>
          <w:bCs/>
          <w:spacing w:val="-3"/>
        </w:rPr>
        <w:t>Contrato ANI 007 FONADE 211039. Grupo Centro Oriente:</w:t>
      </w:r>
      <w:r w:rsidRPr="00545968">
        <w:rPr>
          <w:rFonts w:cs="Arial"/>
          <w:bCs/>
          <w:spacing w:val="-3"/>
        </w:rPr>
        <w:t xml:space="preserve"> El FONDO FINANCIERO DE PROYECTOS DE DESARROLLO</w:t>
      </w:r>
      <w:r w:rsidRPr="00545968">
        <w:rPr>
          <w:rFonts w:cs="Arial"/>
          <w:b/>
          <w:bCs/>
          <w:spacing w:val="-3"/>
        </w:rPr>
        <w:t xml:space="preserve"> </w:t>
      </w:r>
      <w:r w:rsidRPr="00545968">
        <w:rPr>
          <w:rFonts w:cs="Arial"/>
          <w:bCs/>
          <w:spacing w:val="-3"/>
        </w:rPr>
        <w:t xml:space="preserve">- FONADE se compromete con la AGENCIA NACIONAL DE INFRAESTRUCTURA a ejecutar la gerencia integral del proyecto denominado </w:t>
      </w:r>
      <w:r w:rsidRPr="00545968">
        <w:rPr>
          <w:rFonts w:cs="Arial"/>
          <w:b/>
          <w:bCs/>
          <w:spacing w:val="-3"/>
        </w:rPr>
        <w:t>GRUPO CENTRO ORIENTE</w:t>
      </w:r>
      <w:r w:rsidRPr="00545968">
        <w:rPr>
          <w:rFonts w:cs="Arial"/>
          <w:bCs/>
          <w:spacing w:val="-3"/>
        </w:rPr>
        <w:t xml:space="preserve">, orientado a la estructuración de concesiones viales principalmente para los corredores PERIMETRAL DE ORIENTE DE CUNDINAMARCA, BOGOTA – VILLAVICENCIO, CORREDOR VILLAVICENCIO - ARAUCA INCLUYE EL SECTOR TRANSVERSAL DEL SISGA - (CHOCONTÁ - AGUACLARA), CORREDOR MALLA VIAL META, PUERTO GAITAN – PUERTO CARREÑO. </w:t>
      </w:r>
    </w:p>
    <w:p w14:paraId="66ED7CFC" w14:textId="77777777" w:rsidR="00545968" w:rsidRDefault="00545968" w:rsidP="00545968">
      <w:pPr>
        <w:jc w:val="both"/>
        <w:rPr>
          <w:rFonts w:cs="Arial"/>
          <w:bCs/>
          <w:spacing w:val="-3"/>
        </w:rPr>
      </w:pPr>
    </w:p>
    <w:p w14:paraId="410E0316" w14:textId="77777777" w:rsidR="00E45496" w:rsidRDefault="00E45496" w:rsidP="00545968">
      <w:pPr>
        <w:jc w:val="both"/>
        <w:rPr>
          <w:rFonts w:cs="Arial"/>
          <w:bCs/>
          <w:spacing w:val="-3"/>
        </w:rPr>
      </w:pPr>
    </w:p>
    <w:p w14:paraId="51994645" w14:textId="77777777" w:rsidR="00E45496" w:rsidRPr="00545968" w:rsidRDefault="00E45496" w:rsidP="00545968">
      <w:pPr>
        <w:jc w:val="both"/>
        <w:rPr>
          <w:rFonts w:cs="Arial"/>
          <w:bCs/>
          <w:spacing w:val="-3"/>
        </w:rPr>
      </w:pPr>
    </w:p>
    <w:p w14:paraId="3FE0C183" w14:textId="77777777" w:rsidR="00545968" w:rsidRPr="00545968" w:rsidRDefault="00545968" w:rsidP="00545968">
      <w:pPr>
        <w:ind w:firstLine="708"/>
        <w:jc w:val="both"/>
        <w:rPr>
          <w:rFonts w:cs="Arial"/>
          <w:b/>
        </w:rPr>
      </w:pPr>
      <w:r w:rsidRPr="00545968">
        <w:rPr>
          <w:rFonts w:cs="Arial"/>
          <w:b/>
        </w:rPr>
        <w:lastRenderedPageBreak/>
        <w:t>Grupo 3</w:t>
      </w:r>
    </w:p>
    <w:p w14:paraId="2C6CA2FF" w14:textId="77777777" w:rsidR="00545968" w:rsidRPr="00545968" w:rsidRDefault="00545968" w:rsidP="00545968">
      <w:pPr>
        <w:numPr>
          <w:ilvl w:val="0"/>
          <w:numId w:val="199"/>
        </w:numPr>
        <w:spacing w:after="0" w:line="240" w:lineRule="auto"/>
        <w:jc w:val="both"/>
        <w:rPr>
          <w:rFonts w:cs="Arial"/>
        </w:rPr>
      </w:pPr>
      <w:r w:rsidRPr="00545968">
        <w:rPr>
          <w:rFonts w:cs="Arial"/>
          <w:b/>
        </w:rPr>
        <w:t xml:space="preserve">Variante de Cumaral: </w:t>
      </w:r>
      <w:r w:rsidRPr="00545968">
        <w:rPr>
          <w:rFonts w:cs="Arial"/>
        </w:rPr>
        <w:t>Dentro del Plan de Intervención Corroborado del estructurador del grupo 3 no se contempló la variante de Cumaral debido a que esta no estaba contemplada en el Plan de Ordenamiento territorial del municipio, por lo cual la solución planteada  fue la adecuación del paso urbano. Debido a la solicitud variante que realizo el  Municipio por medio de radicado 2013-409-009536-2, se volvió a analizar la necesidad de dicha variante concluyendo que esta es fundamental para mejorar la seguridad vial. El estructurador debe realizar los diseños de la variante incluyendo las actividades ambientales para DAA y EIA según sea el caso siguiendo los lineamientos estipulados por la Autoridad de Licencias Ambientales (ANLA) e incluirlas en la estructuración del Proyecto de Concesión Villavicencio - Yopal. Esta actividad es adicional las inicialmente establecidas y requieren una mayor dedicación de personal por lo cual es necesario adicionárselas al estructurador.</w:t>
      </w:r>
    </w:p>
    <w:p w14:paraId="007BC3D4" w14:textId="77777777" w:rsidR="00545968" w:rsidRPr="00545968" w:rsidRDefault="00545968" w:rsidP="00545968">
      <w:pPr>
        <w:numPr>
          <w:ilvl w:val="0"/>
          <w:numId w:val="199"/>
        </w:numPr>
        <w:spacing w:after="0" w:line="240" w:lineRule="auto"/>
        <w:jc w:val="both"/>
        <w:rPr>
          <w:rFonts w:cs="Arial"/>
        </w:rPr>
      </w:pPr>
      <w:r w:rsidRPr="00545968">
        <w:rPr>
          <w:rFonts w:cs="Arial"/>
          <w:b/>
        </w:rPr>
        <w:t xml:space="preserve">Bogotá – EL Tablón: </w:t>
      </w:r>
      <w:r w:rsidRPr="00545968">
        <w:rPr>
          <w:rFonts w:cs="Arial"/>
        </w:rPr>
        <w:t>Como solución para la construcción de la Segunda Calzada en Bogotá – El Tablón (Corredor Bogotá – Villavicencio), el estructurador planteo la necesidad de 3 carriles en la nueva calzada debido a las altas pendientes del sector y su alta composición de vehículos pesados. Debido a las restricciones presupuestales impuestas por el cupo máximo de vigencias APP para el sector transporte que estableció el CONFIS, es necesario disminuir el proyecto para la construcción de una segunda calzada de 2 carriles, debido a que por el alto número de túneles y viaductos el proyecto es económicamente inviable. Lo anterior teniendo en cuenta que las solución de dos carriles es técnicamente viable y los niveles de servicio están dentro de los aceptados para la cuarta generación de concesiones. La solución planteada deberá tener en cuenta la interconectividad con vías secundarias y terciarias además se solucionar técnicamente los retornos vehiculares del par vial propuesto y los acceso a los municipios a lo largo del proyecto.</w:t>
      </w:r>
    </w:p>
    <w:p w14:paraId="27145257" w14:textId="77777777" w:rsidR="00545968" w:rsidRPr="00545968" w:rsidRDefault="00545968" w:rsidP="00545968">
      <w:pPr>
        <w:ind w:left="708"/>
        <w:rPr>
          <w:rFonts w:cs="Arial"/>
        </w:rPr>
      </w:pPr>
    </w:p>
    <w:p w14:paraId="51A7A188" w14:textId="77777777" w:rsidR="00545968" w:rsidRPr="00545968" w:rsidRDefault="00545968" w:rsidP="00545968">
      <w:pPr>
        <w:numPr>
          <w:ilvl w:val="0"/>
          <w:numId w:val="199"/>
        </w:numPr>
        <w:spacing w:after="0" w:line="240" w:lineRule="auto"/>
        <w:jc w:val="both"/>
        <w:rPr>
          <w:rFonts w:cs="Arial"/>
        </w:rPr>
      </w:pPr>
      <w:r w:rsidRPr="00545968">
        <w:rPr>
          <w:rFonts w:cs="Arial"/>
          <w:b/>
        </w:rPr>
        <w:t>Alcance Transversal del Sisga</w:t>
      </w:r>
      <w:r w:rsidRPr="00545968">
        <w:rPr>
          <w:rFonts w:cs="Arial"/>
        </w:rPr>
        <w:t>: Como resultado de la estructuración técnica y financiera contratada para el proyecto Transversal del Sisga (Sisga – El Secreto – Aguaclara) con un alcance de mejoramiento general del corredor con ampliación de sección para cumplir con ley 105, rectificación de curvas e intervención de los túneles existentes en el sector de las Juntas, se encuentra que las inversiones requeridas para este alcance son demasiado cuantiosas frente a un recaudo de peajes bajo arrojando un Costo/Beneficio de proyecto negativo el cual hace inviable el proyecto frente al alcance inicial. Por lo anterior El estructurador deberá disminuir este alcance inicial del proyecto considerando actividades de rehabilitación y pavimentación conservando la geometría actual del corredor pero garantizando la transitabilidad del mismo la cual hoy se encuentra especialmente afectada en el sector Guateque - San Luis Gaceno.</w:t>
      </w:r>
    </w:p>
    <w:p w14:paraId="26ECC027" w14:textId="77777777" w:rsidR="00545968" w:rsidRPr="00545968" w:rsidRDefault="00545968" w:rsidP="00545968">
      <w:pPr>
        <w:ind w:left="708"/>
        <w:rPr>
          <w:rFonts w:cs="Arial"/>
        </w:rPr>
      </w:pPr>
    </w:p>
    <w:p w14:paraId="63945CF3" w14:textId="77777777" w:rsidR="00545968" w:rsidRPr="00545968" w:rsidRDefault="00545968" w:rsidP="00545968">
      <w:pPr>
        <w:numPr>
          <w:ilvl w:val="0"/>
          <w:numId w:val="199"/>
        </w:numPr>
        <w:spacing w:after="0" w:line="240" w:lineRule="auto"/>
        <w:jc w:val="both"/>
        <w:rPr>
          <w:rFonts w:cs="Arial"/>
        </w:rPr>
      </w:pPr>
      <w:r w:rsidRPr="00545968">
        <w:rPr>
          <w:rFonts w:cs="Arial"/>
          <w:b/>
        </w:rPr>
        <w:t xml:space="preserve">Variante de Yopal Proyecto Villavicencio - Yopal:   </w:t>
      </w:r>
      <w:r w:rsidRPr="00545968">
        <w:rPr>
          <w:rFonts w:cs="Arial"/>
        </w:rPr>
        <w:t xml:space="preserve">Dentro del Plan de Intervención Corroborado del estructurador del grupo 3 no se contempló la variante de Yopal debido a que esta no estaba contemplada en el Plan de Ordenamiento territorial del municipio, por lo cual la solución planteada  fue la adecuación del paso urbano del municipio con una intervención de Doble Calzada. Debido a la incorporación de una Variante Sur-Occidental en el POT del municipio el pasado mes de Diciembre de 2013 además de la presencia de puntos críticos de alta inestabilidad y de deficiencia de diseño geométrico en el sector final del paso urbano en el sector del puente de la Cabuya sobre el rio Cravo se considera que la </w:t>
      </w:r>
      <w:r w:rsidRPr="00545968">
        <w:rPr>
          <w:rFonts w:cs="Arial"/>
        </w:rPr>
        <w:lastRenderedPageBreak/>
        <w:t>solución de Variante es la adecuada y por lo tanto el Estructurador deberá realizar los diseños de la Variante incluyendo las actividades ambientales para DAA y EIA según sea el caso siguiendo los lineamientos estipulados por la Autoridad de Licencias Ambientales (ANLA) e incluirlas en la estructuración del Proyecto de Concesión Villavicencio - Yopal</w:t>
      </w:r>
    </w:p>
    <w:p w14:paraId="4DBECCBD" w14:textId="77777777" w:rsidR="00545968" w:rsidRPr="00545968" w:rsidRDefault="00545968" w:rsidP="00545968">
      <w:pPr>
        <w:jc w:val="both"/>
        <w:rPr>
          <w:rFonts w:cs="Arial"/>
          <w:bCs/>
          <w:spacing w:val="-3"/>
        </w:rPr>
      </w:pPr>
    </w:p>
    <w:p w14:paraId="2BC14F2B" w14:textId="77777777" w:rsidR="00545968" w:rsidRPr="00545968" w:rsidRDefault="00545968" w:rsidP="00545968">
      <w:pPr>
        <w:numPr>
          <w:ilvl w:val="0"/>
          <w:numId w:val="198"/>
        </w:numPr>
        <w:spacing w:after="0" w:line="240" w:lineRule="auto"/>
        <w:jc w:val="both"/>
        <w:rPr>
          <w:rFonts w:cs="Arial"/>
          <w:bCs/>
          <w:spacing w:val="-3"/>
        </w:rPr>
      </w:pPr>
      <w:r w:rsidRPr="00545968">
        <w:rPr>
          <w:rFonts w:cs="Arial"/>
          <w:b/>
          <w:bCs/>
          <w:spacing w:val="-3"/>
        </w:rPr>
        <w:t>Contrato ANI 006 FONADE 211038</w:t>
      </w:r>
      <w:r w:rsidRPr="00545968">
        <w:rPr>
          <w:rFonts w:cs="Arial"/>
          <w:bCs/>
          <w:spacing w:val="-3"/>
        </w:rPr>
        <w:t xml:space="preserve">. </w:t>
      </w:r>
      <w:r w:rsidRPr="00545968">
        <w:rPr>
          <w:rFonts w:cs="Arial"/>
          <w:b/>
          <w:bCs/>
          <w:spacing w:val="-3"/>
        </w:rPr>
        <w:t>Grupo Norte</w:t>
      </w:r>
      <w:r w:rsidRPr="00545968">
        <w:rPr>
          <w:rFonts w:cs="Arial"/>
          <w:bCs/>
          <w:spacing w:val="-3"/>
        </w:rPr>
        <w:t>. Que el FONDO FINANCIERO DE PROYECTOS DE DESARROLLO</w:t>
      </w:r>
      <w:r w:rsidRPr="00545968">
        <w:rPr>
          <w:rFonts w:cs="Arial"/>
          <w:b/>
          <w:bCs/>
          <w:spacing w:val="-3"/>
        </w:rPr>
        <w:t xml:space="preserve"> </w:t>
      </w:r>
      <w:r w:rsidRPr="00545968">
        <w:rPr>
          <w:rFonts w:cs="Arial"/>
          <w:bCs/>
          <w:spacing w:val="-3"/>
        </w:rPr>
        <w:t xml:space="preserve">- FONADE se compromete con la AGENCIA NACIONAL DE INFRAESTRUCTURA a ejecutar la gerencia integral del proyecto denominado </w:t>
      </w:r>
      <w:r w:rsidRPr="00545968">
        <w:rPr>
          <w:rFonts w:cs="Arial"/>
          <w:b/>
          <w:bCs/>
          <w:spacing w:val="-3"/>
        </w:rPr>
        <w:t xml:space="preserve">GRUPO NORTE </w:t>
      </w:r>
      <w:r w:rsidRPr="00545968">
        <w:rPr>
          <w:rFonts w:cs="Arial"/>
          <w:bCs/>
          <w:spacing w:val="-3"/>
        </w:rPr>
        <w:t xml:space="preserve">orientado a la estructuración de tres tipos de corredores viales. </w:t>
      </w:r>
    </w:p>
    <w:p w14:paraId="39192EA6" w14:textId="77777777" w:rsidR="00545968" w:rsidRPr="00545968" w:rsidRDefault="00545968" w:rsidP="00545968">
      <w:pPr>
        <w:ind w:firstLine="708"/>
        <w:jc w:val="both"/>
        <w:rPr>
          <w:rFonts w:cs="Arial"/>
          <w:b/>
        </w:rPr>
      </w:pPr>
    </w:p>
    <w:p w14:paraId="5117C9A4" w14:textId="77777777" w:rsidR="00545968" w:rsidRPr="00545968" w:rsidRDefault="00545968" w:rsidP="00545968">
      <w:pPr>
        <w:ind w:firstLine="708"/>
        <w:jc w:val="both"/>
        <w:rPr>
          <w:rFonts w:cs="Arial"/>
          <w:b/>
        </w:rPr>
      </w:pPr>
      <w:r w:rsidRPr="00545968">
        <w:rPr>
          <w:rFonts w:cs="Arial"/>
          <w:b/>
        </w:rPr>
        <w:t>Grupo 4</w:t>
      </w:r>
    </w:p>
    <w:p w14:paraId="189F8826" w14:textId="77777777" w:rsidR="00545968" w:rsidRPr="00545968" w:rsidRDefault="00545968" w:rsidP="00545968">
      <w:pPr>
        <w:numPr>
          <w:ilvl w:val="0"/>
          <w:numId w:val="199"/>
        </w:numPr>
        <w:spacing w:after="0" w:line="240" w:lineRule="auto"/>
        <w:jc w:val="both"/>
        <w:rPr>
          <w:rFonts w:cs="Arial"/>
        </w:rPr>
      </w:pPr>
      <w:r w:rsidRPr="00545968">
        <w:rPr>
          <w:rFonts w:cs="Arial"/>
        </w:rPr>
        <w:t xml:space="preserve">Se requiere contar con el apoyo de FONADE y del Grupo estructurador para que contribuya con la Agencia Nacional de Infraestructura en la respuesta a las observaciones que se presenten en la fase de licitación de los proyectos y adicionalmente adapten la documentación técnica y financiera a los requerimientos que soliciten el Ministerio de Transporte, el Ministerio de Hacienda y Crédito Público y el Departamento Nacional de Planeación para emitir las aprobaciones de acuerdo con las competencias que les otorgó la Ley 1508 de 2012 y sus decretos reglamentarios. </w:t>
      </w:r>
    </w:p>
    <w:p w14:paraId="3B36DF0A" w14:textId="77777777" w:rsidR="00545968" w:rsidRPr="004626F2" w:rsidRDefault="00545968" w:rsidP="00545968">
      <w:pPr>
        <w:jc w:val="both"/>
        <w:rPr>
          <w:rFonts w:cs="Arial"/>
          <w:spacing w:val="-3"/>
          <w:lang w:val="es-ES"/>
        </w:rPr>
      </w:pPr>
    </w:p>
    <w:p w14:paraId="5E4152D6" w14:textId="77777777" w:rsidR="006C2C9C" w:rsidRDefault="006C2C9C" w:rsidP="00AC10AA">
      <w:pPr>
        <w:pStyle w:val="Ttulo1"/>
        <w:numPr>
          <w:ilvl w:val="1"/>
          <w:numId w:val="31"/>
        </w:numPr>
      </w:pPr>
      <w:bookmarkStart w:id="99" w:name="_Toc390333879"/>
      <w:r>
        <w:t>OFICINA DE CONTROL INTERNO</w:t>
      </w:r>
      <w:bookmarkEnd w:id="94"/>
      <w:bookmarkEnd w:id="95"/>
      <w:bookmarkEnd w:id="96"/>
      <w:bookmarkEnd w:id="97"/>
      <w:bookmarkEnd w:id="98"/>
      <w:bookmarkEnd w:id="99"/>
    </w:p>
    <w:p w14:paraId="0B13BB48" w14:textId="77777777" w:rsidR="00586937" w:rsidRDefault="00586937" w:rsidP="00586937">
      <w:pPr>
        <w:autoSpaceDE w:val="0"/>
        <w:autoSpaceDN w:val="0"/>
        <w:adjustRightInd w:val="0"/>
        <w:jc w:val="both"/>
        <w:rPr>
          <w:rFonts w:ascii="Arial" w:hAnsi="Arial" w:cs="Arial"/>
        </w:rPr>
      </w:pPr>
    </w:p>
    <w:p w14:paraId="0F045CFA" w14:textId="039D7588" w:rsidR="00586937" w:rsidRPr="00586937" w:rsidRDefault="00586937" w:rsidP="00586937">
      <w:pPr>
        <w:jc w:val="both"/>
      </w:pPr>
      <w:r w:rsidRPr="00586937">
        <w:t>La Oficina de Control Interno en cumplimiento del Decreto 1537 de 2001,  elabor</w:t>
      </w:r>
      <w:r>
        <w:t>ó</w:t>
      </w:r>
      <w:r w:rsidRPr="00586937">
        <w:t xml:space="preserve"> para la vigencia 201</w:t>
      </w:r>
      <w:r w:rsidR="00BB5C80">
        <w:t>4</w:t>
      </w:r>
      <w:r w:rsidRPr="00586937">
        <w:t xml:space="preserve"> un Plan de trabajo, el cual se subdivide en planes de acción enfocados en los cinco roles a cargo de la Oficina, así: Valoración de Riesgos-PVAR, Acompañamiento y Asesoría-PAA, Evaluación y Seguimiento-PEI, Fomento a la Cultura del Control-PFCC y Relación con Entes Externos-PEEC”, el resultado del Plan de acción para el primer semestre del año 201</w:t>
      </w:r>
      <w:r w:rsidR="009A6E95">
        <w:t>4</w:t>
      </w:r>
      <w:bookmarkStart w:id="100" w:name="_GoBack"/>
      <w:bookmarkEnd w:id="100"/>
      <w:r w:rsidRPr="00586937">
        <w:t xml:space="preserve"> se describe en la  siguiente tabla:</w:t>
      </w:r>
    </w:p>
    <w:tbl>
      <w:tblPr>
        <w:tblW w:w="8500" w:type="dxa"/>
        <w:tblInd w:w="255" w:type="dxa"/>
        <w:tblLayout w:type="fixed"/>
        <w:tblCellMar>
          <w:left w:w="70" w:type="dxa"/>
          <w:right w:w="70" w:type="dxa"/>
        </w:tblCellMar>
        <w:tblLook w:val="04A0" w:firstRow="1" w:lastRow="0" w:firstColumn="1" w:lastColumn="0" w:noHBand="0" w:noVBand="1"/>
      </w:tblPr>
      <w:tblGrid>
        <w:gridCol w:w="4673"/>
        <w:gridCol w:w="1276"/>
        <w:gridCol w:w="1275"/>
        <w:gridCol w:w="1276"/>
      </w:tblGrid>
      <w:tr w:rsidR="00E657BA" w:rsidRPr="00A50ACE" w14:paraId="47BE63C9" w14:textId="77777777" w:rsidTr="00720182">
        <w:trPr>
          <w:trHeight w:val="225"/>
        </w:trPr>
        <w:tc>
          <w:tcPr>
            <w:tcW w:w="4673" w:type="dxa"/>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14:paraId="13E2FEEC" w14:textId="77777777" w:rsidR="00E657BA" w:rsidRPr="00A50ACE" w:rsidRDefault="00E657BA" w:rsidP="00CC3514">
            <w:pPr>
              <w:spacing w:after="0" w:line="240" w:lineRule="auto"/>
              <w:ind w:firstLineChars="100" w:firstLine="201"/>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ACTIVIDAD</w:t>
            </w:r>
          </w:p>
        </w:tc>
        <w:tc>
          <w:tcPr>
            <w:tcW w:w="1276"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14:paraId="065A7064" w14:textId="77777777" w:rsidR="00E657BA" w:rsidRPr="00A50ACE" w:rsidRDefault="00E657BA" w:rsidP="00CC3514">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UNIDAD DE MEDIDA</w:t>
            </w:r>
          </w:p>
        </w:tc>
        <w:tc>
          <w:tcPr>
            <w:tcW w:w="1275"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14:paraId="569658D6" w14:textId="77777777" w:rsidR="00E657BA" w:rsidRPr="00A50ACE" w:rsidRDefault="00E657BA" w:rsidP="00CC3514">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META AÑO</w:t>
            </w:r>
          </w:p>
        </w:tc>
        <w:tc>
          <w:tcPr>
            <w:tcW w:w="1276" w:type="dxa"/>
            <w:tcBorders>
              <w:top w:val="single" w:sz="8" w:space="0" w:color="auto"/>
              <w:left w:val="single" w:sz="4" w:space="0" w:color="auto"/>
              <w:bottom w:val="single" w:sz="8" w:space="0" w:color="auto"/>
              <w:right w:val="single" w:sz="8" w:space="0" w:color="auto"/>
            </w:tcBorders>
            <w:shd w:val="clear" w:color="auto" w:fill="A6A6A6" w:themeFill="background1" w:themeFillShade="A6"/>
            <w:vAlign w:val="center"/>
            <w:hideMark/>
          </w:tcPr>
          <w:p w14:paraId="60DADF89" w14:textId="13430E69" w:rsidR="00E657BA" w:rsidRPr="00A50ACE" w:rsidRDefault="00E657BA" w:rsidP="00CC3514">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BB5C80">
              <w:rPr>
                <w:rFonts w:ascii="Calibri" w:eastAsia="Times New Roman" w:hAnsi="Calibri" w:cs="Calibri"/>
                <w:b/>
                <w:bCs/>
                <w:color w:val="000000"/>
                <w:sz w:val="20"/>
                <w:szCs w:val="20"/>
              </w:rPr>
              <w:t xml:space="preserve"> 1</w:t>
            </w:r>
          </w:p>
        </w:tc>
      </w:tr>
      <w:tr w:rsidR="00E657BA" w:rsidRPr="00A50ACE" w14:paraId="58B19D3C" w14:textId="77777777" w:rsidTr="00926956">
        <w:trPr>
          <w:trHeight w:val="225"/>
        </w:trPr>
        <w:tc>
          <w:tcPr>
            <w:tcW w:w="4673" w:type="dxa"/>
            <w:tcBorders>
              <w:top w:val="single" w:sz="8" w:space="0" w:color="auto"/>
              <w:left w:val="single" w:sz="8" w:space="0" w:color="auto"/>
              <w:bottom w:val="single" w:sz="4" w:space="0" w:color="auto"/>
              <w:right w:val="single" w:sz="4" w:space="0" w:color="auto"/>
            </w:tcBorders>
            <w:shd w:val="clear" w:color="auto" w:fill="auto"/>
            <w:vAlign w:val="center"/>
          </w:tcPr>
          <w:p w14:paraId="6E06E7C4" w14:textId="4A2A299D"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47 visitas de auditoría especial que incluyen seguimiento al cumplimiento del plan de mejoramiento, para el 2014.</w:t>
            </w:r>
          </w:p>
        </w:tc>
        <w:tc>
          <w:tcPr>
            <w:tcW w:w="1276" w:type="dxa"/>
            <w:tcBorders>
              <w:top w:val="single" w:sz="8" w:space="0" w:color="auto"/>
              <w:left w:val="nil"/>
              <w:bottom w:val="single" w:sz="4" w:space="0" w:color="auto"/>
              <w:right w:val="single" w:sz="4" w:space="0" w:color="auto"/>
            </w:tcBorders>
            <w:shd w:val="clear" w:color="auto" w:fill="auto"/>
            <w:vAlign w:val="center"/>
          </w:tcPr>
          <w:p w14:paraId="19F62A90" w14:textId="4E8B5396"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Auditoria</w:t>
            </w:r>
          </w:p>
        </w:tc>
        <w:tc>
          <w:tcPr>
            <w:tcW w:w="1275" w:type="dxa"/>
            <w:tcBorders>
              <w:top w:val="single" w:sz="8" w:space="0" w:color="auto"/>
              <w:left w:val="nil"/>
              <w:bottom w:val="single" w:sz="4" w:space="0" w:color="auto"/>
              <w:right w:val="single" w:sz="4" w:space="0" w:color="auto"/>
            </w:tcBorders>
            <w:shd w:val="clear" w:color="auto" w:fill="auto"/>
            <w:vAlign w:val="center"/>
          </w:tcPr>
          <w:p w14:paraId="13CBA092" w14:textId="52127C61"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47</w:t>
            </w:r>
          </w:p>
        </w:tc>
        <w:tc>
          <w:tcPr>
            <w:tcW w:w="1276" w:type="dxa"/>
            <w:tcBorders>
              <w:top w:val="single" w:sz="8" w:space="0" w:color="auto"/>
              <w:left w:val="single" w:sz="4" w:space="0" w:color="auto"/>
              <w:bottom w:val="single" w:sz="4" w:space="0" w:color="auto"/>
              <w:right w:val="single" w:sz="8" w:space="0" w:color="auto"/>
            </w:tcBorders>
            <w:shd w:val="clear" w:color="000000" w:fill="FFFFFF" w:themeFill="background1"/>
            <w:vAlign w:val="center"/>
          </w:tcPr>
          <w:p w14:paraId="05DBB4BE" w14:textId="2A3A7BBE" w:rsidR="00E657BA" w:rsidRPr="004311A8" w:rsidRDefault="0092695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18</w:t>
            </w:r>
          </w:p>
        </w:tc>
      </w:tr>
      <w:tr w:rsidR="00E657BA" w:rsidRPr="00A50ACE" w14:paraId="2AC5299A"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30E9FA30" w14:textId="7AF5F941"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Ajustar  los 4  documentos para la aplicación de la Matriz de evaluación de desempeño (MED)</w:t>
            </w:r>
          </w:p>
        </w:tc>
        <w:tc>
          <w:tcPr>
            <w:tcW w:w="1276" w:type="dxa"/>
            <w:tcBorders>
              <w:top w:val="nil"/>
              <w:left w:val="nil"/>
              <w:bottom w:val="single" w:sz="4" w:space="0" w:color="auto"/>
              <w:right w:val="single" w:sz="4" w:space="0" w:color="auto"/>
            </w:tcBorders>
            <w:shd w:val="clear" w:color="auto" w:fill="auto"/>
            <w:vAlign w:val="center"/>
          </w:tcPr>
          <w:p w14:paraId="1B2FD2CA" w14:textId="49683763"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Documentos</w:t>
            </w:r>
          </w:p>
        </w:tc>
        <w:tc>
          <w:tcPr>
            <w:tcW w:w="1275" w:type="dxa"/>
            <w:tcBorders>
              <w:top w:val="nil"/>
              <w:left w:val="nil"/>
              <w:bottom w:val="single" w:sz="4" w:space="0" w:color="auto"/>
              <w:right w:val="single" w:sz="4" w:space="0" w:color="auto"/>
            </w:tcBorders>
            <w:shd w:val="clear" w:color="auto" w:fill="auto"/>
            <w:vAlign w:val="center"/>
          </w:tcPr>
          <w:p w14:paraId="14B65093" w14:textId="3E21A5B6"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313DCBEE" w14:textId="2BDEFB4E" w:rsidR="00E657BA" w:rsidRPr="004311A8" w:rsidRDefault="0092695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w:t>
            </w:r>
          </w:p>
        </w:tc>
      </w:tr>
      <w:tr w:rsidR="00E657BA" w:rsidRPr="00A50ACE" w14:paraId="1DBA2A62"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68D9BF00" w14:textId="33906DC9"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Estructurar y otorgar el Premio Nacional de Interventorías-concesiones.</w:t>
            </w:r>
          </w:p>
        </w:tc>
        <w:tc>
          <w:tcPr>
            <w:tcW w:w="1276" w:type="dxa"/>
            <w:tcBorders>
              <w:top w:val="nil"/>
              <w:left w:val="nil"/>
              <w:bottom w:val="single" w:sz="4" w:space="0" w:color="auto"/>
              <w:right w:val="single" w:sz="4" w:space="0" w:color="auto"/>
            </w:tcBorders>
            <w:shd w:val="clear" w:color="auto" w:fill="auto"/>
            <w:vAlign w:val="center"/>
          </w:tcPr>
          <w:p w14:paraId="04815CD6" w14:textId="46D09814"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 xml:space="preserve">Premio </w:t>
            </w:r>
          </w:p>
        </w:tc>
        <w:tc>
          <w:tcPr>
            <w:tcW w:w="1275" w:type="dxa"/>
            <w:tcBorders>
              <w:top w:val="nil"/>
              <w:left w:val="nil"/>
              <w:bottom w:val="single" w:sz="4" w:space="0" w:color="auto"/>
              <w:right w:val="single" w:sz="4" w:space="0" w:color="auto"/>
            </w:tcBorders>
            <w:shd w:val="clear" w:color="auto" w:fill="auto"/>
            <w:vAlign w:val="center"/>
          </w:tcPr>
          <w:p w14:paraId="71D33E8D" w14:textId="4B670BDC"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5013ABFF" w14:textId="4B3ED388" w:rsidR="00E657BA" w:rsidRPr="004311A8" w:rsidRDefault="0092695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E657BA" w:rsidRPr="00A50ACE" w14:paraId="2159BB50"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09F8B5CA" w14:textId="10403EEA"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2 informes al año de la auditoría regular y los que solicite la CGR de las auditorias especiales.</w:t>
            </w:r>
          </w:p>
        </w:tc>
        <w:tc>
          <w:tcPr>
            <w:tcW w:w="1276" w:type="dxa"/>
            <w:tcBorders>
              <w:top w:val="nil"/>
              <w:left w:val="nil"/>
              <w:bottom w:val="single" w:sz="4" w:space="0" w:color="auto"/>
              <w:right w:val="single" w:sz="4" w:space="0" w:color="auto"/>
            </w:tcBorders>
            <w:shd w:val="clear" w:color="auto" w:fill="auto"/>
            <w:vAlign w:val="center"/>
          </w:tcPr>
          <w:p w14:paraId="2562C51A" w14:textId="0BBA538E"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14:paraId="59302B32" w14:textId="06241913"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27F5F236" w14:textId="31E2A101" w:rsidR="00E657BA" w:rsidRPr="004311A8" w:rsidRDefault="0092695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3</w:t>
            </w:r>
          </w:p>
        </w:tc>
      </w:tr>
      <w:tr w:rsidR="00926956" w:rsidRPr="00A50ACE" w14:paraId="0AA18C82"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46F4CF39" w14:textId="5C23997B" w:rsidR="00926956"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2 informes al año del  seguimiento a la eficaz respuesta a las solicitudes realizadas por los entes de control.</w:t>
            </w:r>
          </w:p>
        </w:tc>
        <w:tc>
          <w:tcPr>
            <w:tcW w:w="1276" w:type="dxa"/>
            <w:tcBorders>
              <w:top w:val="nil"/>
              <w:left w:val="nil"/>
              <w:bottom w:val="single" w:sz="4" w:space="0" w:color="auto"/>
              <w:right w:val="single" w:sz="4" w:space="0" w:color="auto"/>
            </w:tcBorders>
            <w:shd w:val="clear" w:color="auto" w:fill="auto"/>
            <w:vAlign w:val="center"/>
          </w:tcPr>
          <w:p w14:paraId="38BEA196" w14:textId="5CC3E11E"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14:paraId="0449D635" w14:textId="61A02924"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1FAB5326" w14:textId="585743D6" w:rsidR="00926956" w:rsidRPr="004311A8" w:rsidRDefault="0092695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926956" w:rsidRPr="00A50ACE" w14:paraId="6B2AEEC3"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7D4C8C23" w14:textId="3F9EFD92" w:rsidR="00926956"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105 auditorías independientes.</w:t>
            </w:r>
          </w:p>
        </w:tc>
        <w:tc>
          <w:tcPr>
            <w:tcW w:w="1276" w:type="dxa"/>
            <w:tcBorders>
              <w:top w:val="nil"/>
              <w:left w:val="nil"/>
              <w:bottom w:val="single" w:sz="4" w:space="0" w:color="auto"/>
              <w:right w:val="single" w:sz="4" w:space="0" w:color="auto"/>
            </w:tcBorders>
            <w:shd w:val="clear" w:color="auto" w:fill="auto"/>
            <w:vAlign w:val="center"/>
          </w:tcPr>
          <w:p w14:paraId="7CA9287A" w14:textId="517291E5"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Auditoria</w:t>
            </w:r>
          </w:p>
        </w:tc>
        <w:tc>
          <w:tcPr>
            <w:tcW w:w="1275" w:type="dxa"/>
            <w:tcBorders>
              <w:top w:val="nil"/>
              <w:left w:val="nil"/>
              <w:bottom w:val="single" w:sz="4" w:space="0" w:color="auto"/>
              <w:right w:val="single" w:sz="4" w:space="0" w:color="auto"/>
            </w:tcBorders>
            <w:shd w:val="clear" w:color="auto" w:fill="auto"/>
            <w:vAlign w:val="center"/>
          </w:tcPr>
          <w:p w14:paraId="0082C3A4" w14:textId="3353DF73"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105</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33980CAC" w14:textId="33B00FC7" w:rsidR="00926956" w:rsidRPr="004311A8" w:rsidRDefault="0092695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26</w:t>
            </w:r>
          </w:p>
        </w:tc>
      </w:tr>
      <w:tr w:rsidR="00E657BA" w:rsidRPr="00A50ACE" w14:paraId="45DDED75" w14:textId="77777777" w:rsidTr="00926956">
        <w:trPr>
          <w:trHeight w:val="450"/>
        </w:trPr>
        <w:tc>
          <w:tcPr>
            <w:tcW w:w="4673" w:type="dxa"/>
            <w:tcBorders>
              <w:top w:val="nil"/>
              <w:left w:val="single" w:sz="8" w:space="0" w:color="auto"/>
              <w:bottom w:val="single" w:sz="4" w:space="0" w:color="auto"/>
              <w:right w:val="single" w:sz="4" w:space="0" w:color="auto"/>
            </w:tcBorders>
            <w:shd w:val="clear" w:color="auto" w:fill="auto"/>
            <w:vAlign w:val="center"/>
          </w:tcPr>
          <w:p w14:paraId="0A73C0A9" w14:textId="18E62EC3"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Emitir  43 boletines fomentando la cultura de autocontrol al interior de la ANI.</w:t>
            </w:r>
          </w:p>
        </w:tc>
        <w:tc>
          <w:tcPr>
            <w:tcW w:w="1276" w:type="dxa"/>
            <w:tcBorders>
              <w:top w:val="nil"/>
              <w:left w:val="nil"/>
              <w:bottom w:val="single" w:sz="4" w:space="0" w:color="auto"/>
              <w:right w:val="single" w:sz="4" w:space="0" w:color="auto"/>
            </w:tcBorders>
            <w:shd w:val="clear" w:color="auto" w:fill="auto"/>
            <w:vAlign w:val="center"/>
          </w:tcPr>
          <w:p w14:paraId="15B2C9A5" w14:textId="03B7F052"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Boletín</w:t>
            </w:r>
          </w:p>
        </w:tc>
        <w:tc>
          <w:tcPr>
            <w:tcW w:w="1275" w:type="dxa"/>
            <w:tcBorders>
              <w:top w:val="nil"/>
              <w:left w:val="nil"/>
              <w:bottom w:val="single" w:sz="4" w:space="0" w:color="auto"/>
              <w:right w:val="single" w:sz="4" w:space="0" w:color="auto"/>
            </w:tcBorders>
            <w:shd w:val="clear" w:color="auto" w:fill="auto"/>
            <w:vAlign w:val="center"/>
          </w:tcPr>
          <w:p w14:paraId="06EE85E7" w14:textId="428B3D73"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43</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0793A2EC" w14:textId="72C13F70" w:rsidR="00E657BA" w:rsidRPr="004311A8" w:rsidRDefault="0092695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10</w:t>
            </w:r>
          </w:p>
        </w:tc>
      </w:tr>
      <w:tr w:rsidR="00E657BA" w:rsidRPr="00A50ACE" w14:paraId="03837EF5" w14:textId="77777777" w:rsidTr="00926956">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14:paraId="6DEB8468" w14:textId="356336DD"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2 capacitaciones para fortalecer la cultura de AUTOCONTROL al interior de la ANI.</w:t>
            </w:r>
          </w:p>
        </w:tc>
        <w:tc>
          <w:tcPr>
            <w:tcW w:w="1276" w:type="dxa"/>
            <w:tcBorders>
              <w:top w:val="nil"/>
              <w:left w:val="nil"/>
              <w:bottom w:val="single" w:sz="4" w:space="0" w:color="auto"/>
              <w:right w:val="single" w:sz="4" w:space="0" w:color="auto"/>
            </w:tcBorders>
            <w:shd w:val="clear" w:color="auto" w:fill="auto"/>
            <w:vAlign w:val="center"/>
          </w:tcPr>
          <w:p w14:paraId="7F4380FD" w14:textId="3F9A8F58"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Capacitación</w:t>
            </w:r>
          </w:p>
        </w:tc>
        <w:tc>
          <w:tcPr>
            <w:tcW w:w="1275" w:type="dxa"/>
            <w:tcBorders>
              <w:top w:val="nil"/>
              <w:left w:val="nil"/>
              <w:bottom w:val="single" w:sz="4" w:space="0" w:color="auto"/>
              <w:right w:val="single" w:sz="4" w:space="0" w:color="auto"/>
            </w:tcBorders>
            <w:shd w:val="clear" w:color="auto" w:fill="auto"/>
            <w:vAlign w:val="center"/>
          </w:tcPr>
          <w:p w14:paraId="5BB869D0" w14:textId="2779EEF3"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4CC02CCC" w14:textId="0BD09ACD" w:rsidR="00E657BA" w:rsidRPr="004311A8" w:rsidRDefault="0092695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bl>
    <w:p w14:paraId="66AA1F3E" w14:textId="16679DFE" w:rsidR="00BB5C80" w:rsidRDefault="00BB5C80" w:rsidP="006A7AE4">
      <w:pPr>
        <w:jc w:val="both"/>
      </w:pPr>
    </w:p>
    <w:p w14:paraId="3E98B0A5" w14:textId="039A27F6" w:rsidR="00BB5C80" w:rsidRDefault="00BB5C80" w:rsidP="00BB5C80">
      <w:pPr>
        <w:jc w:val="both"/>
        <w:rPr>
          <w:rFonts w:ascii="Calibri" w:hAnsi="Calibri"/>
        </w:rPr>
      </w:pPr>
      <w:r>
        <w:rPr>
          <w:rFonts w:ascii="Calibri" w:hAnsi="Calibri"/>
        </w:rPr>
        <w:lastRenderedPageBreak/>
        <w:t>De la misma manera se relacion</w:t>
      </w:r>
      <w:r w:rsidR="00506810">
        <w:rPr>
          <w:rFonts w:ascii="Calibri" w:hAnsi="Calibri"/>
        </w:rPr>
        <w:t>a</w:t>
      </w:r>
      <w:r>
        <w:rPr>
          <w:rFonts w:ascii="Calibri" w:hAnsi="Calibri"/>
        </w:rPr>
        <w:t>n los principales logros y obstáculos de la oficina para el período en evaluación:</w:t>
      </w:r>
    </w:p>
    <w:p w14:paraId="3A83EC31" w14:textId="77777777" w:rsidR="00BB5C80" w:rsidRPr="009C130A" w:rsidRDefault="00BB5C80" w:rsidP="00BB5C80">
      <w:pPr>
        <w:jc w:val="both"/>
        <w:rPr>
          <w:rFonts w:ascii="Calibri" w:hAnsi="Calibri"/>
          <w:b/>
        </w:rPr>
      </w:pPr>
      <w:r w:rsidRPr="009C130A">
        <w:rPr>
          <w:rFonts w:ascii="Calibri" w:hAnsi="Calibri"/>
          <w:b/>
        </w:rPr>
        <w:t>LOGROS:</w:t>
      </w:r>
    </w:p>
    <w:p w14:paraId="5BA2D47A" w14:textId="77777777" w:rsidR="00BB5C80" w:rsidRDefault="00BB5C80" w:rsidP="00BB5C80">
      <w:pPr>
        <w:numPr>
          <w:ilvl w:val="0"/>
          <w:numId w:val="200"/>
        </w:numPr>
        <w:spacing w:after="0" w:line="240" w:lineRule="auto"/>
        <w:jc w:val="both"/>
        <w:rPr>
          <w:rFonts w:ascii="Calibri" w:hAnsi="Calibri"/>
        </w:rPr>
      </w:pPr>
      <w:r>
        <w:rPr>
          <w:rFonts w:ascii="Calibri" w:hAnsi="Calibri"/>
        </w:rPr>
        <w:t>Asesorías a la presidencia de la ANI:</w:t>
      </w:r>
    </w:p>
    <w:p w14:paraId="10BE2A5C" w14:textId="77777777" w:rsidR="00BB5C80" w:rsidRDefault="00BB5C80" w:rsidP="00BB5C80">
      <w:pPr>
        <w:ind w:left="708"/>
        <w:jc w:val="both"/>
        <w:rPr>
          <w:rFonts w:ascii="Calibri" w:hAnsi="Calibri"/>
        </w:rPr>
      </w:pPr>
      <w:r>
        <w:rPr>
          <w:rFonts w:ascii="Calibri" w:hAnsi="Calibri"/>
        </w:rPr>
        <w:t>Opiniones que se brindan al presidente de la Agencia sobre asuntos de interés de la institución.</w:t>
      </w:r>
    </w:p>
    <w:p w14:paraId="6A6BBD52" w14:textId="77777777" w:rsidR="00BB5C80" w:rsidRDefault="00BB5C80" w:rsidP="00BB5C80">
      <w:pPr>
        <w:numPr>
          <w:ilvl w:val="0"/>
          <w:numId w:val="200"/>
        </w:numPr>
        <w:spacing w:after="0" w:line="240" w:lineRule="auto"/>
        <w:jc w:val="both"/>
        <w:rPr>
          <w:rFonts w:ascii="Calibri" w:hAnsi="Calibri"/>
        </w:rPr>
      </w:pPr>
      <w:r>
        <w:rPr>
          <w:rFonts w:ascii="Calibri" w:hAnsi="Calibri"/>
        </w:rPr>
        <w:t>Conformación del Consejo Asesor de Gestión Contractual:</w:t>
      </w:r>
    </w:p>
    <w:p w14:paraId="424AF1F1" w14:textId="77777777" w:rsidR="00BB5C80" w:rsidRDefault="00BB5C80" w:rsidP="00BB5C80">
      <w:pPr>
        <w:ind w:left="708"/>
        <w:jc w:val="both"/>
        <w:rPr>
          <w:rFonts w:ascii="Calibri" w:hAnsi="Calibri"/>
        </w:rPr>
      </w:pPr>
      <w:r>
        <w:rPr>
          <w:rFonts w:ascii="Calibri" w:hAnsi="Calibri"/>
        </w:rPr>
        <w:t>La oficina de Control Interno contribuyó en la postulación y posterior integración de dicho Consejo.</w:t>
      </w:r>
    </w:p>
    <w:p w14:paraId="50308DC1" w14:textId="77777777" w:rsidR="00BB5C80" w:rsidRDefault="00BB5C80" w:rsidP="00BB5C80">
      <w:pPr>
        <w:numPr>
          <w:ilvl w:val="0"/>
          <w:numId w:val="200"/>
        </w:numPr>
        <w:spacing w:after="0" w:line="240" w:lineRule="auto"/>
        <w:jc w:val="both"/>
        <w:rPr>
          <w:rFonts w:ascii="Calibri" w:hAnsi="Calibri"/>
        </w:rPr>
      </w:pPr>
      <w:r>
        <w:rPr>
          <w:rFonts w:ascii="Calibri" w:hAnsi="Calibri"/>
        </w:rPr>
        <w:t>Coordinación y orientación a la ANI en la atención de organismos de control del Estado:</w:t>
      </w:r>
    </w:p>
    <w:p w14:paraId="71BB11D5" w14:textId="77777777" w:rsidR="00BB5C80" w:rsidRDefault="00BB5C80" w:rsidP="00BB5C80">
      <w:pPr>
        <w:ind w:left="708"/>
        <w:jc w:val="both"/>
        <w:rPr>
          <w:rFonts w:ascii="Calibri" w:hAnsi="Calibri"/>
        </w:rPr>
      </w:pPr>
      <w:r>
        <w:rPr>
          <w:rFonts w:ascii="Calibri" w:hAnsi="Calibri"/>
        </w:rPr>
        <w:t>Permanentemente enlazamos a dichos organismos con los responsables de atender los requerimientos y orientamos aquellos aspectos estratégicos que pueden agregar valor a las respuestas.</w:t>
      </w:r>
    </w:p>
    <w:p w14:paraId="30A807B9" w14:textId="77777777" w:rsidR="00BB5C80" w:rsidRDefault="00BB5C80" w:rsidP="00BB5C80">
      <w:pPr>
        <w:numPr>
          <w:ilvl w:val="0"/>
          <w:numId w:val="200"/>
        </w:numPr>
        <w:spacing w:after="0" w:line="240" w:lineRule="auto"/>
        <w:jc w:val="both"/>
        <w:rPr>
          <w:rFonts w:ascii="Calibri" w:hAnsi="Calibri"/>
        </w:rPr>
      </w:pPr>
      <w:r>
        <w:rPr>
          <w:rFonts w:ascii="Calibri" w:hAnsi="Calibri"/>
        </w:rPr>
        <w:t>Asesoría permanente en el Plan de Mejoramiento Institucional-PMI:</w:t>
      </w:r>
    </w:p>
    <w:p w14:paraId="393D1B0D" w14:textId="77777777" w:rsidR="00BB5C80" w:rsidRDefault="00BB5C80" w:rsidP="00BB5C80">
      <w:pPr>
        <w:ind w:left="708"/>
        <w:jc w:val="both"/>
        <w:rPr>
          <w:rFonts w:ascii="Calibri" w:hAnsi="Calibri"/>
        </w:rPr>
      </w:pPr>
      <w:r>
        <w:rPr>
          <w:rFonts w:ascii="Calibri" w:hAnsi="Calibri"/>
        </w:rPr>
        <w:t>Sostenemos reuniones permanentes para enfocar el plan de acción y la eficacia de los resultados.</w:t>
      </w:r>
    </w:p>
    <w:p w14:paraId="78438933" w14:textId="77777777" w:rsidR="00BB5C80" w:rsidRDefault="00BB5C80" w:rsidP="00BB5C80">
      <w:pPr>
        <w:numPr>
          <w:ilvl w:val="0"/>
          <w:numId w:val="200"/>
        </w:numPr>
        <w:spacing w:after="0" w:line="240" w:lineRule="auto"/>
        <w:jc w:val="both"/>
        <w:rPr>
          <w:rFonts w:ascii="Calibri" w:hAnsi="Calibri"/>
        </w:rPr>
      </w:pPr>
      <w:r>
        <w:rPr>
          <w:rFonts w:ascii="Calibri" w:hAnsi="Calibri"/>
        </w:rPr>
        <w:t>Premio Nacional de Interventoría:</w:t>
      </w:r>
    </w:p>
    <w:p w14:paraId="51F374AB" w14:textId="77777777" w:rsidR="00BB5C80" w:rsidRDefault="00BB5C80" w:rsidP="00BB5C80">
      <w:pPr>
        <w:ind w:left="720"/>
        <w:jc w:val="both"/>
        <w:rPr>
          <w:rFonts w:ascii="Calibri" w:hAnsi="Calibri"/>
        </w:rPr>
      </w:pPr>
      <w:r>
        <w:rPr>
          <w:rFonts w:ascii="Calibri" w:hAnsi="Calibri"/>
        </w:rPr>
        <w:t>Se definieron las bases de la postulación, los criterios del premio y se dio formación a las interventorías y a los evaluadores en relación con dichos criterios.</w:t>
      </w:r>
    </w:p>
    <w:p w14:paraId="03CFA9CE" w14:textId="77777777" w:rsidR="00BB5C80" w:rsidRDefault="00BB5C80" w:rsidP="00BB5C80">
      <w:pPr>
        <w:numPr>
          <w:ilvl w:val="0"/>
          <w:numId w:val="200"/>
        </w:numPr>
        <w:spacing w:after="0" w:line="240" w:lineRule="auto"/>
        <w:jc w:val="both"/>
        <w:rPr>
          <w:rFonts w:ascii="Calibri" w:hAnsi="Calibri"/>
        </w:rPr>
      </w:pPr>
      <w:r>
        <w:rPr>
          <w:rFonts w:ascii="Calibri" w:hAnsi="Calibri"/>
        </w:rPr>
        <w:t>Por primera vez OPAIN entrega estados financieros para análisis:</w:t>
      </w:r>
    </w:p>
    <w:p w14:paraId="50B1E39B" w14:textId="77777777" w:rsidR="00BB5C80" w:rsidRDefault="00BB5C80" w:rsidP="00BB5C80">
      <w:pPr>
        <w:ind w:left="708"/>
        <w:jc w:val="both"/>
        <w:rPr>
          <w:rFonts w:ascii="Calibri" w:hAnsi="Calibri"/>
        </w:rPr>
      </w:pPr>
      <w:r>
        <w:rPr>
          <w:rFonts w:ascii="Calibri" w:hAnsi="Calibri"/>
        </w:rPr>
        <w:t>Gracias a la mediación de la Oficina de Control Interno, OPAIN entregó los estados financieros, que serán analizados por la interventoría, con el apoyo de esta oficina.</w:t>
      </w:r>
    </w:p>
    <w:p w14:paraId="53758BBF" w14:textId="77777777" w:rsidR="00BB5C80" w:rsidRDefault="00BB5C80" w:rsidP="00BB5C80">
      <w:pPr>
        <w:numPr>
          <w:ilvl w:val="0"/>
          <w:numId w:val="200"/>
        </w:numPr>
        <w:spacing w:after="0" w:line="240" w:lineRule="auto"/>
        <w:jc w:val="both"/>
        <w:rPr>
          <w:rFonts w:ascii="Calibri" w:hAnsi="Calibri"/>
        </w:rPr>
      </w:pPr>
      <w:r>
        <w:rPr>
          <w:rFonts w:ascii="Calibri" w:hAnsi="Calibri"/>
        </w:rPr>
        <w:t>Divulgación del proyecto de Incorporación de las Interventorías:</w:t>
      </w:r>
    </w:p>
    <w:p w14:paraId="5F7F0171" w14:textId="1889EC51" w:rsidR="00BB5C80" w:rsidRDefault="00BB5C80" w:rsidP="00BB5C80">
      <w:pPr>
        <w:ind w:left="708"/>
        <w:jc w:val="both"/>
        <w:rPr>
          <w:rFonts w:ascii="Calibri" w:hAnsi="Calibri"/>
        </w:rPr>
      </w:pPr>
      <w:r>
        <w:rPr>
          <w:rFonts w:ascii="Calibri" w:hAnsi="Calibri"/>
        </w:rPr>
        <w:t xml:space="preserve">Además de capacitar a las interventorías y algunas concesiones, se proponen elementos de juicio para </w:t>
      </w:r>
      <w:r w:rsidR="007F2D00">
        <w:rPr>
          <w:rFonts w:ascii="Calibri" w:hAnsi="Calibri"/>
        </w:rPr>
        <w:t>enrutar</w:t>
      </w:r>
      <w:r>
        <w:rPr>
          <w:rFonts w:ascii="Calibri" w:hAnsi="Calibri"/>
        </w:rPr>
        <w:t xml:space="preserve"> aspectos contractuales con miras a fortalecer la relación concesionario, interventoría, ANI.</w:t>
      </w:r>
    </w:p>
    <w:p w14:paraId="26672AD6" w14:textId="77777777" w:rsidR="00BB5C80" w:rsidRDefault="00BB5C80" w:rsidP="00BB5C80">
      <w:pPr>
        <w:numPr>
          <w:ilvl w:val="0"/>
          <w:numId w:val="200"/>
        </w:numPr>
        <w:spacing w:after="0" w:line="240" w:lineRule="auto"/>
        <w:jc w:val="both"/>
        <w:rPr>
          <w:rFonts w:ascii="Calibri" w:hAnsi="Calibri"/>
        </w:rPr>
      </w:pPr>
      <w:r>
        <w:rPr>
          <w:rFonts w:ascii="Calibri" w:hAnsi="Calibri"/>
        </w:rPr>
        <w:t>Avances en la nueva versión del Manual de Buenas Prácticas:</w:t>
      </w:r>
    </w:p>
    <w:p w14:paraId="5EE324F7" w14:textId="77777777" w:rsidR="00BB5C80" w:rsidRDefault="00BB5C80" w:rsidP="00BB5C80">
      <w:pPr>
        <w:ind w:left="708"/>
        <w:jc w:val="both"/>
        <w:rPr>
          <w:rFonts w:ascii="Calibri" w:hAnsi="Calibri"/>
        </w:rPr>
      </w:pPr>
      <w:r>
        <w:rPr>
          <w:rFonts w:ascii="Calibri" w:hAnsi="Calibri"/>
        </w:rPr>
        <w:t xml:space="preserve">Se definió conceptualmente el enfoque y qué va a comprender este manual, que será entregado próximamente.    </w:t>
      </w:r>
    </w:p>
    <w:p w14:paraId="4B0DEDAC" w14:textId="77777777" w:rsidR="00BB5C80" w:rsidRDefault="00BB5C80" w:rsidP="00BB5C80">
      <w:pPr>
        <w:numPr>
          <w:ilvl w:val="0"/>
          <w:numId w:val="200"/>
        </w:numPr>
        <w:spacing w:after="0" w:line="240" w:lineRule="auto"/>
        <w:jc w:val="both"/>
        <w:rPr>
          <w:rFonts w:ascii="Calibri" w:hAnsi="Calibri"/>
        </w:rPr>
      </w:pPr>
      <w:r>
        <w:rPr>
          <w:rFonts w:ascii="Calibri" w:hAnsi="Calibri"/>
        </w:rPr>
        <w:t>Actualización de los criterios de evaluación del desempeño:</w:t>
      </w:r>
    </w:p>
    <w:p w14:paraId="7063C66F" w14:textId="77777777" w:rsidR="00BB5C80" w:rsidRDefault="00BB5C80" w:rsidP="00BB5C80">
      <w:pPr>
        <w:ind w:left="708"/>
        <w:jc w:val="both"/>
        <w:rPr>
          <w:rFonts w:ascii="Calibri" w:hAnsi="Calibri"/>
        </w:rPr>
      </w:pPr>
      <w:r>
        <w:rPr>
          <w:rFonts w:ascii="Calibri" w:hAnsi="Calibri"/>
        </w:rPr>
        <w:t>Se implementaron los criterios de evaluación para los modos férreo y portuario.</w:t>
      </w:r>
    </w:p>
    <w:p w14:paraId="3EC08031" w14:textId="77777777" w:rsidR="00BB5C80" w:rsidRDefault="00BB5C80" w:rsidP="00BB5C80">
      <w:pPr>
        <w:numPr>
          <w:ilvl w:val="0"/>
          <w:numId w:val="200"/>
        </w:numPr>
        <w:spacing w:after="0" w:line="240" w:lineRule="auto"/>
        <w:jc w:val="both"/>
        <w:rPr>
          <w:rFonts w:ascii="Calibri" w:hAnsi="Calibri"/>
        </w:rPr>
      </w:pPr>
      <w:r>
        <w:rPr>
          <w:rFonts w:ascii="Calibri" w:hAnsi="Calibri"/>
        </w:rPr>
        <w:t>Construcción de la visión de un sistema de información para la ANI, que involucra los diferentes actores y roles.</w:t>
      </w:r>
    </w:p>
    <w:p w14:paraId="7A02B8FB" w14:textId="77777777" w:rsidR="00BB5C80" w:rsidRDefault="00BB5C80" w:rsidP="00BB5C80">
      <w:pPr>
        <w:jc w:val="both"/>
        <w:rPr>
          <w:rFonts w:ascii="Calibri" w:hAnsi="Calibri"/>
        </w:rPr>
      </w:pPr>
    </w:p>
    <w:p w14:paraId="61EB8E06" w14:textId="77777777" w:rsidR="00AC21F8" w:rsidRDefault="00AC21F8" w:rsidP="00BB5C80">
      <w:pPr>
        <w:jc w:val="both"/>
        <w:rPr>
          <w:rFonts w:ascii="Calibri" w:hAnsi="Calibri"/>
        </w:rPr>
      </w:pPr>
    </w:p>
    <w:p w14:paraId="557F6593" w14:textId="77777777" w:rsidR="00BB5C80" w:rsidRDefault="00BB5C80" w:rsidP="00BB5C80">
      <w:pPr>
        <w:jc w:val="both"/>
        <w:rPr>
          <w:rFonts w:ascii="Calibri" w:hAnsi="Calibri"/>
          <w:b/>
        </w:rPr>
      </w:pPr>
      <w:r>
        <w:rPr>
          <w:rFonts w:ascii="Calibri" w:hAnsi="Calibri"/>
          <w:b/>
        </w:rPr>
        <w:lastRenderedPageBreak/>
        <w:t>OBSTÁCULOS</w:t>
      </w:r>
      <w:r w:rsidRPr="009C130A">
        <w:rPr>
          <w:rFonts w:ascii="Calibri" w:hAnsi="Calibri"/>
          <w:b/>
        </w:rPr>
        <w:t>:</w:t>
      </w:r>
    </w:p>
    <w:p w14:paraId="306587AD" w14:textId="77777777" w:rsidR="00BB5C80" w:rsidRDefault="00BB5C80" w:rsidP="00BB5C80">
      <w:pPr>
        <w:numPr>
          <w:ilvl w:val="0"/>
          <w:numId w:val="201"/>
        </w:numPr>
        <w:spacing w:after="0" w:line="240" w:lineRule="auto"/>
        <w:jc w:val="both"/>
        <w:rPr>
          <w:rFonts w:ascii="Calibri" w:hAnsi="Calibri"/>
        </w:rPr>
      </w:pPr>
      <w:r>
        <w:rPr>
          <w:rFonts w:ascii="Calibri" w:hAnsi="Calibri"/>
        </w:rPr>
        <w:t>Falta de concientización sobre el valor que las recomendaciones de la Oficina de Control Interno pueden tener en la gestión de la Entidad:</w:t>
      </w:r>
    </w:p>
    <w:p w14:paraId="4212C3C0" w14:textId="77777777" w:rsidR="00BB5C80" w:rsidRDefault="00BB5C80" w:rsidP="00BB5C80">
      <w:pPr>
        <w:ind w:left="708"/>
        <w:jc w:val="both"/>
        <w:rPr>
          <w:rFonts w:ascii="Calibri" w:hAnsi="Calibri"/>
        </w:rPr>
      </w:pPr>
      <w:r>
        <w:rPr>
          <w:rFonts w:ascii="Calibri" w:hAnsi="Calibri"/>
        </w:rPr>
        <w:t>En algunos casos se observa la ausencia de planes de mejora frente a conclusiones y recomendaciones de dicha oficina.</w:t>
      </w:r>
    </w:p>
    <w:p w14:paraId="64EC76A9" w14:textId="77777777" w:rsidR="00BB5C80" w:rsidRDefault="00BB5C80" w:rsidP="00BB5C80">
      <w:pPr>
        <w:numPr>
          <w:ilvl w:val="0"/>
          <w:numId w:val="201"/>
        </w:numPr>
        <w:spacing w:after="0" w:line="240" w:lineRule="auto"/>
        <w:jc w:val="both"/>
        <w:rPr>
          <w:rFonts w:ascii="Calibri" w:hAnsi="Calibri"/>
        </w:rPr>
      </w:pPr>
      <w:r>
        <w:rPr>
          <w:rFonts w:ascii="Calibri" w:hAnsi="Calibri"/>
        </w:rPr>
        <w:t>Desatención de los términos impuestos por los Organismos de Control que ponen en riesgo al representante legal de la Entidad.</w:t>
      </w:r>
    </w:p>
    <w:p w14:paraId="40850DE7" w14:textId="77777777" w:rsidR="00506810" w:rsidRDefault="00506810" w:rsidP="00506810">
      <w:pPr>
        <w:spacing w:after="0" w:line="240" w:lineRule="auto"/>
        <w:ind w:left="720"/>
        <w:jc w:val="both"/>
        <w:rPr>
          <w:rFonts w:ascii="Calibri" w:hAnsi="Calibri"/>
        </w:rPr>
      </w:pPr>
    </w:p>
    <w:p w14:paraId="5E913065" w14:textId="77777777" w:rsidR="00BB5C80" w:rsidRPr="009C130A" w:rsidRDefault="00BB5C80" w:rsidP="00BB5C80">
      <w:pPr>
        <w:numPr>
          <w:ilvl w:val="0"/>
          <w:numId w:val="201"/>
        </w:numPr>
        <w:spacing w:after="0" w:line="240" w:lineRule="auto"/>
        <w:jc w:val="both"/>
        <w:rPr>
          <w:rFonts w:ascii="Calibri" w:hAnsi="Calibri"/>
        </w:rPr>
      </w:pPr>
      <w:r>
        <w:rPr>
          <w:rFonts w:ascii="Calibri" w:hAnsi="Calibri"/>
        </w:rPr>
        <w:t>Incumplimiento de los planes de mejoramiento institucional-PMI.</w:t>
      </w:r>
    </w:p>
    <w:p w14:paraId="6CEA0E3E" w14:textId="77777777" w:rsidR="00FA17CF" w:rsidRDefault="00FA17CF"/>
    <w:p w14:paraId="6A314167" w14:textId="79AEE45D" w:rsidR="00FA17CF" w:rsidRDefault="00FA17CF" w:rsidP="00AC10AA">
      <w:pPr>
        <w:pStyle w:val="Ttulo1"/>
        <w:numPr>
          <w:ilvl w:val="1"/>
          <w:numId w:val="31"/>
        </w:numPr>
      </w:pPr>
      <w:bookmarkStart w:id="101" w:name="_Toc390333880"/>
      <w:r>
        <w:t>OFICINA DE COMUNICACIONES</w:t>
      </w:r>
      <w:bookmarkEnd w:id="101"/>
    </w:p>
    <w:p w14:paraId="50369E6D" w14:textId="77777777" w:rsidR="00012B69" w:rsidRDefault="00012B69" w:rsidP="00012B69">
      <w:pPr>
        <w:jc w:val="both"/>
      </w:pPr>
    </w:p>
    <w:p w14:paraId="68D2CA7C" w14:textId="68B30957" w:rsidR="00FA17CF" w:rsidRDefault="00012B69" w:rsidP="00012B69">
      <w:pPr>
        <w:jc w:val="both"/>
      </w:pPr>
      <w:r>
        <w:t>La Oficina de Comunicaciones, en la presente vigencia tiene a su cargo las labores de divulgación  y fomento de la imagen institucional de la Agencia, para tal fin realiza actividades de coordinación de eventos en los cuales participa la entidad, el monitoreo de los medios de comunicación y la presencia de la Agencia en las redes sociales.</w:t>
      </w:r>
    </w:p>
    <w:p w14:paraId="0F7F2197" w14:textId="2C3A3601" w:rsidR="00012B69" w:rsidRPr="00FA17CF" w:rsidRDefault="00012B69" w:rsidP="00FA17CF">
      <w:r>
        <w:t>Las metas para la presente vigencia son:</w:t>
      </w:r>
    </w:p>
    <w:tbl>
      <w:tblPr>
        <w:tblW w:w="8500" w:type="dxa"/>
        <w:tblInd w:w="255" w:type="dxa"/>
        <w:tblLayout w:type="fixed"/>
        <w:tblCellMar>
          <w:left w:w="70" w:type="dxa"/>
          <w:right w:w="70" w:type="dxa"/>
        </w:tblCellMar>
        <w:tblLook w:val="04A0" w:firstRow="1" w:lastRow="0" w:firstColumn="1" w:lastColumn="0" w:noHBand="0" w:noVBand="1"/>
      </w:tblPr>
      <w:tblGrid>
        <w:gridCol w:w="4673"/>
        <w:gridCol w:w="1276"/>
        <w:gridCol w:w="1275"/>
        <w:gridCol w:w="1276"/>
      </w:tblGrid>
      <w:tr w:rsidR="00012B69" w:rsidRPr="00A50ACE" w14:paraId="2ED78A03" w14:textId="77777777" w:rsidTr="0055349E">
        <w:trPr>
          <w:trHeight w:val="225"/>
        </w:trPr>
        <w:tc>
          <w:tcPr>
            <w:tcW w:w="4673" w:type="dxa"/>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14:paraId="32A33207" w14:textId="77777777" w:rsidR="00012B69" w:rsidRPr="00A50ACE" w:rsidRDefault="00012B69" w:rsidP="0055349E">
            <w:pPr>
              <w:spacing w:after="0" w:line="240" w:lineRule="auto"/>
              <w:ind w:firstLineChars="100" w:firstLine="201"/>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ACTIVIDAD</w:t>
            </w:r>
          </w:p>
        </w:tc>
        <w:tc>
          <w:tcPr>
            <w:tcW w:w="1276"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14:paraId="39C2FD5A" w14:textId="77777777" w:rsidR="00012B69" w:rsidRPr="00A50ACE" w:rsidRDefault="00012B69" w:rsidP="0055349E">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UNIDAD DE MEDIDA</w:t>
            </w:r>
          </w:p>
        </w:tc>
        <w:tc>
          <w:tcPr>
            <w:tcW w:w="1275"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14:paraId="087E3220" w14:textId="77777777" w:rsidR="00012B69" w:rsidRPr="00A50ACE" w:rsidRDefault="00012B69" w:rsidP="0055349E">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META AÑO</w:t>
            </w:r>
          </w:p>
        </w:tc>
        <w:tc>
          <w:tcPr>
            <w:tcW w:w="1276" w:type="dxa"/>
            <w:tcBorders>
              <w:top w:val="single" w:sz="8" w:space="0" w:color="auto"/>
              <w:left w:val="single" w:sz="4" w:space="0" w:color="auto"/>
              <w:bottom w:val="single" w:sz="8" w:space="0" w:color="auto"/>
              <w:right w:val="single" w:sz="8" w:space="0" w:color="auto"/>
            </w:tcBorders>
            <w:shd w:val="clear" w:color="auto" w:fill="A6A6A6" w:themeFill="background1" w:themeFillShade="A6"/>
            <w:vAlign w:val="center"/>
            <w:hideMark/>
          </w:tcPr>
          <w:p w14:paraId="6C55B397" w14:textId="77777777" w:rsidR="00012B69" w:rsidRPr="00A50ACE" w:rsidRDefault="00012B69" w:rsidP="0055349E">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 1</w:t>
            </w:r>
          </w:p>
        </w:tc>
      </w:tr>
      <w:tr w:rsidR="00012B69" w:rsidRPr="00A50ACE" w14:paraId="48B27025" w14:textId="77777777" w:rsidTr="0055349E">
        <w:trPr>
          <w:trHeight w:val="225"/>
        </w:trPr>
        <w:tc>
          <w:tcPr>
            <w:tcW w:w="4673" w:type="dxa"/>
            <w:tcBorders>
              <w:top w:val="single" w:sz="8" w:space="0" w:color="auto"/>
              <w:left w:val="single" w:sz="8" w:space="0" w:color="auto"/>
              <w:bottom w:val="single" w:sz="4" w:space="0" w:color="auto"/>
              <w:right w:val="single" w:sz="4" w:space="0" w:color="auto"/>
            </w:tcBorders>
            <w:shd w:val="clear" w:color="auto" w:fill="auto"/>
            <w:vAlign w:val="center"/>
          </w:tcPr>
          <w:p w14:paraId="1DD66D22" w14:textId="7B22655F"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Elaboración de informes y piezas estratégicas y de acción para la  gestión de la Agencia</w:t>
            </w:r>
          </w:p>
        </w:tc>
        <w:tc>
          <w:tcPr>
            <w:tcW w:w="1276" w:type="dxa"/>
            <w:tcBorders>
              <w:top w:val="single" w:sz="8" w:space="0" w:color="auto"/>
              <w:left w:val="nil"/>
              <w:bottom w:val="single" w:sz="4" w:space="0" w:color="auto"/>
              <w:right w:val="single" w:sz="4" w:space="0" w:color="auto"/>
            </w:tcBorders>
            <w:shd w:val="clear" w:color="auto" w:fill="auto"/>
            <w:vAlign w:val="center"/>
          </w:tcPr>
          <w:p w14:paraId="4625753D" w14:textId="50A843CF" w:rsidR="00012B69" w:rsidRPr="00A50ACE" w:rsidRDefault="00012B69" w:rsidP="0055349E">
            <w:pPr>
              <w:spacing w:after="0" w:line="240" w:lineRule="auto"/>
              <w:jc w:val="center"/>
              <w:rPr>
                <w:rFonts w:ascii="Calibri" w:eastAsia="Times New Roman" w:hAnsi="Calibri" w:cs="Calibri"/>
                <w:sz w:val="16"/>
                <w:szCs w:val="16"/>
              </w:rPr>
            </w:pPr>
            <w:r w:rsidRPr="00012B69">
              <w:rPr>
                <w:rFonts w:ascii="Calibri" w:eastAsia="Times New Roman" w:hAnsi="Calibri" w:cs="Calibri"/>
                <w:sz w:val="16"/>
                <w:szCs w:val="16"/>
              </w:rPr>
              <w:t>Elaboración de informes y piezas estratégicas y de acción para la  gestión de la Agencia</w:t>
            </w:r>
          </w:p>
        </w:tc>
        <w:tc>
          <w:tcPr>
            <w:tcW w:w="1275" w:type="dxa"/>
            <w:tcBorders>
              <w:top w:val="single" w:sz="8" w:space="0" w:color="auto"/>
              <w:left w:val="nil"/>
              <w:bottom w:val="single" w:sz="4" w:space="0" w:color="auto"/>
              <w:right w:val="single" w:sz="4" w:space="0" w:color="auto"/>
            </w:tcBorders>
            <w:shd w:val="clear" w:color="auto" w:fill="auto"/>
            <w:vAlign w:val="center"/>
          </w:tcPr>
          <w:p w14:paraId="260F6E5E" w14:textId="623E459F"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30</w:t>
            </w:r>
          </w:p>
        </w:tc>
        <w:tc>
          <w:tcPr>
            <w:tcW w:w="1276" w:type="dxa"/>
            <w:tcBorders>
              <w:top w:val="single" w:sz="8" w:space="0" w:color="auto"/>
              <w:left w:val="single" w:sz="4" w:space="0" w:color="auto"/>
              <w:bottom w:val="single" w:sz="4" w:space="0" w:color="auto"/>
              <w:right w:val="single" w:sz="8" w:space="0" w:color="auto"/>
            </w:tcBorders>
            <w:shd w:val="clear" w:color="000000" w:fill="FFFFFF" w:themeFill="background1"/>
            <w:vAlign w:val="center"/>
          </w:tcPr>
          <w:p w14:paraId="3909D162" w14:textId="0A01D469"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4</w:t>
            </w:r>
          </w:p>
        </w:tc>
      </w:tr>
      <w:tr w:rsidR="00012B69" w:rsidRPr="00A50ACE" w14:paraId="2B87DFA0" w14:textId="77777777" w:rsidTr="0055349E">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00852997" w14:textId="1885C7CC"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Elaboración de piezas comunicativas de la Agencia</w:t>
            </w:r>
          </w:p>
        </w:tc>
        <w:tc>
          <w:tcPr>
            <w:tcW w:w="1276" w:type="dxa"/>
            <w:tcBorders>
              <w:top w:val="nil"/>
              <w:left w:val="nil"/>
              <w:bottom w:val="single" w:sz="4" w:space="0" w:color="auto"/>
              <w:right w:val="single" w:sz="4" w:space="0" w:color="auto"/>
            </w:tcBorders>
            <w:shd w:val="clear" w:color="auto" w:fill="auto"/>
            <w:vAlign w:val="center"/>
          </w:tcPr>
          <w:p w14:paraId="0F9939C9" w14:textId="68BE8D11" w:rsidR="00012B69" w:rsidRPr="00A50ACE" w:rsidRDefault="00012B69" w:rsidP="0055349E">
            <w:pPr>
              <w:spacing w:after="0" w:line="240" w:lineRule="auto"/>
              <w:jc w:val="center"/>
              <w:rPr>
                <w:rFonts w:ascii="Calibri" w:eastAsia="Times New Roman" w:hAnsi="Calibri" w:cs="Calibri"/>
                <w:sz w:val="16"/>
                <w:szCs w:val="16"/>
              </w:rPr>
            </w:pPr>
            <w:r w:rsidRPr="00012B69">
              <w:rPr>
                <w:rFonts w:ascii="Calibri" w:eastAsia="Times New Roman" w:hAnsi="Calibri" w:cs="Calibri"/>
                <w:sz w:val="16"/>
                <w:szCs w:val="16"/>
              </w:rPr>
              <w:t>Piezas audiovisuales y comunicativas</w:t>
            </w:r>
          </w:p>
        </w:tc>
        <w:tc>
          <w:tcPr>
            <w:tcW w:w="1275" w:type="dxa"/>
            <w:tcBorders>
              <w:top w:val="nil"/>
              <w:left w:val="nil"/>
              <w:bottom w:val="single" w:sz="4" w:space="0" w:color="auto"/>
              <w:right w:val="single" w:sz="4" w:space="0" w:color="auto"/>
            </w:tcBorders>
            <w:shd w:val="clear" w:color="auto" w:fill="auto"/>
            <w:vAlign w:val="center"/>
          </w:tcPr>
          <w:p w14:paraId="044A82C8" w14:textId="7136A7EE"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250</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3987D875" w14:textId="58D53EBC"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110</w:t>
            </w:r>
          </w:p>
        </w:tc>
      </w:tr>
      <w:tr w:rsidR="00012B69" w:rsidRPr="00A50ACE" w14:paraId="1B22B9B2" w14:textId="77777777" w:rsidTr="0055349E">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169ADA7D" w14:textId="4D7143C4"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Realizar el monitoreo a los medios de comunicación</w:t>
            </w:r>
          </w:p>
        </w:tc>
        <w:tc>
          <w:tcPr>
            <w:tcW w:w="1276" w:type="dxa"/>
            <w:tcBorders>
              <w:top w:val="nil"/>
              <w:left w:val="nil"/>
              <w:bottom w:val="single" w:sz="4" w:space="0" w:color="auto"/>
              <w:right w:val="single" w:sz="4" w:space="0" w:color="auto"/>
            </w:tcBorders>
            <w:shd w:val="clear" w:color="auto" w:fill="auto"/>
            <w:vAlign w:val="center"/>
          </w:tcPr>
          <w:p w14:paraId="4DBCAD53" w14:textId="0D4185C8"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14:paraId="5A5220AB" w14:textId="25B604DA"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1BBC1FF5" w14:textId="52E4E5B4"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5</w:t>
            </w:r>
          </w:p>
        </w:tc>
      </w:tr>
      <w:tr w:rsidR="00012B69" w:rsidRPr="00A50ACE" w14:paraId="31937DA0" w14:textId="77777777" w:rsidTr="0055349E">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1E3AA447" w14:textId="32B74C77"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Realizar encuesta de percepción de la Agencia</w:t>
            </w:r>
          </w:p>
        </w:tc>
        <w:tc>
          <w:tcPr>
            <w:tcW w:w="1276" w:type="dxa"/>
            <w:tcBorders>
              <w:top w:val="nil"/>
              <w:left w:val="nil"/>
              <w:bottom w:val="single" w:sz="4" w:space="0" w:color="auto"/>
              <w:right w:val="single" w:sz="4" w:space="0" w:color="auto"/>
            </w:tcBorders>
            <w:shd w:val="clear" w:color="auto" w:fill="auto"/>
            <w:vAlign w:val="center"/>
          </w:tcPr>
          <w:p w14:paraId="4ABCFDA0" w14:textId="514A0246"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Encuesta</w:t>
            </w:r>
          </w:p>
        </w:tc>
        <w:tc>
          <w:tcPr>
            <w:tcW w:w="1275" w:type="dxa"/>
            <w:tcBorders>
              <w:top w:val="nil"/>
              <w:left w:val="nil"/>
              <w:bottom w:val="single" w:sz="4" w:space="0" w:color="auto"/>
              <w:right w:val="single" w:sz="4" w:space="0" w:color="auto"/>
            </w:tcBorders>
            <w:shd w:val="clear" w:color="auto" w:fill="auto"/>
            <w:vAlign w:val="center"/>
          </w:tcPr>
          <w:p w14:paraId="4F5AC80E" w14:textId="1F461BFC"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68B98E43" w14:textId="5FAC633E"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012B69" w:rsidRPr="00A50ACE" w14:paraId="4FB429BA" w14:textId="77777777" w:rsidTr="0055349E">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02474270" w14:textId="507378DF"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Realización de una campaña de piezas audiovisuales y de comunicación en redes sociales</w:t>
            </w:r>
          </w:p>
        </w:tc>
        <w:tc>
          <w:tcPr>
            <w:tcW w:w="1276" w:type="dxa"/>
            <w:tcBorders>
              <w:top w:val="nil"/>
              <w:left w:val="nil"/>
              <w:bottom w:val="single" w:sz="4" w:space="0" w:color="auto"/>
              <w:right w:val="single" w:sz="4" w:space="0" w:color="auto"/>
            </w:tcBorders>
            <w:shd w:val="clear" w:color="auto" w:fill="auto"/>
            <w:vAlign w:val="center"/>
          </w:tcPr>
          <w:p w14:paraId="02CC77F7" w14:textId="78F0DD72"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Piezas</w:t>
            </w:r>
          </w:p>
        </w:tc>
        <w:tc>
          <w:tcPr>
            <w:tcW w:w="1275" w:type="dxa"/>
            <w:tcBorders>
              <w:top w:val="nil"/>
              <w:left w:val="nil"/>
              <w:bottom w:val="single" w:sz="4" w:space="0" w:color="auto"/>
              <w:right w:val="single" w:sz="4" w:space="0" w:color="auto"/>
            </w:tcBorders>
            <w:shd w:val="clear" w:color="auto" w:fill="auto"/>
            <w:vAlign w:val="center"/>
          </w:tcPr>
          <w:p w14:paraId="7922F7D3" w14:textId="4B6C67D5"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44</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4D8A5A39" w14:textId="4FA7E168"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6</w:t>
            </w:r>
          </w:p>
        </w:tc>
      </w:tr>
      <w:tr w:rsidR="00012B69" w:rsidRPr="00A50ACE" w14:paraId="2D0E8CAA" w14:textId="77777777" w:rsidTr="0055349E">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4DB1A96C" w14:textId="5A237E8F"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Realización de eventos de rendición de cuentas</w:t>
            </w:r>
          </w:p>
        </w:tc>
        <w:tc>
          <w:tcPr>
            <w:tcW w:w="1276" w:type="dxa"/>
            <w:tcBorders>
              <w:top w:val="nil"/>
              <w:left w:val="nil"/>
              <w:bottom w:val="single" w:sz="4" w:space="0" w:color="auto"/>
              <w:right w:val="single" w:sz="4" w:space="0" w:color="auto"/>
            </w:tcBorders>
            <w:shd w:val="clear" w:color="auto" w:fill="auto"/>
            <w:vAlign w:val="center"/>
          </w:tcPr>
          <w:p w14:paraId="33BD80CE" w14:textId="1EBB2817"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single" w:sz="4" w:space="0" w:color="auto"/>
              <w:right w:val="single" w:sz="4" w:space="0" w:color="auto"/>
            </w:tcBorders>
            <w:shd w:val="clear" w:color="auto" w:fill="auto"/>
            <w:vAlign w:val="center"/>
          </w:tcPr>
          <w:p w14:paraId="0803403F" w14:textId="0CFDC2AA"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7FC46974" w14:textId="7E21B218"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012B69" w:rsidRPr="00A50ACE" w14:paraId="36A21E92" w14:textId="77777777" w:rsidTr="0055349E">
        <w:trPr>
          <w:trHeight w:val="450"/>
        </w:trPr>
        <w:tc>
          <w:tcPr>
            <w:tcW w:w="4673" w:type="dxa"/>
            <w:tcBorders>
              <w:top w:val="nil"/>
              <w:left w:val="single" w:sz="8" w:space="0" w:color="auto"/>
              <w:bottom w:val="single" w:sz="4" w:space="0" w:color="auto"/>
              <w:right w:val="single" w:sz="4" w:space="0" w:color="auto"/>
            </w:tcBorders>
            <w:shd w:val="clear" w:color="auto" w:fill="auto"/>
            <w:vAlign w:val="center"/>
          </w:tcPr>
          <w:p w14:paraId="2237239C" w14:textId="1C2CAD1F"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Eventos de inauguraciones de obras y audiencias</w:t>
            </w:r>
          </w:p>
        </w:tc>
        <w:tc>
          <w:tcPr>
            <w:tcW w:w="1276" w:type="dxa"/>
            <w:tcBorders>
              <w:top w:val="nil"/>
              <w:left w:val="nil"/>
              <w:bottom w:val="single" w:sz="4" w:space="0" w:color="auto"/>
              <w:right w:val="single" w:sz="4" w:space="0" w:color="auto"/>
            </w:tcBorders>
            <w:shd w:val="clear" w:color="auto" w:fill="auto"/>
            <w:vAlign w:val="center"/>
          </w:tcPr>
          <w:p w14:paraId="385DE6F2" w14:textId="78FA40F2"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single" w:sz="4" w:space="0" w:color="auto"/>
              <w:right w:val="single" w:sz="4" w:space="0" w:color="auto"/>
            </w:tcBorders>
            <w:shd w:val="clear" w:color="auto" w:fill="auto"/>
            <w:vAlign w:val="center"/>
          </w:tcPr>
          <w:p w14:paraId="0571B280" w14:textId="339A7714"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56</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75D99125" w14:textId="47D71B26"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12</w:t>
            </w:r>
          </w:p>
        </w:tc>
      </w:tr>
      <w:tr w:rsidR="00012B69" w:rsidRPr="00A50ACE" w14:paraId="13E775B1" w14:textId="77777777" w:rsidTr="00012B69">
        <w:trPr>
          <w:trHeight w:val="240"/>
        </w:trPr>
        <w:tc>
          <w:tcPr>
            <w:tcW w:w="4673" w:type="dxa"/>
            <w:tcBorders>
              <w:top w:val="nil"/>
              <w:left w:val="single" w:sz="8" w:space="0" w:color="auto"/>
              <w:bottom w:val="nil"/>
              <w:right w:val="single" w:sz="4" w:space="0" w:color="auto"/>
            </w:tcBorders>
            <w:shd w:val="clear" w:color="auto" w:fill="auto"/>
            <w:vAlign w:val="center"/>
          </w:tcPr>
          <w:p w14:paraId="047B90B3" w14:textId="37296649"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Participación en ferias del sector</w:t>
            </w:r>
          </w:p>
        </w:tc>
        <w:tc>
          <w:tcPr>
            <w:tcW w:w="1276" w:type="dxa"/>
            <w:tcBorders>
              <w:top w:val="nil"/>
              <w:left w:val="nil"/>
              <w:bottom w:val="nil"/>
              <w:right w:val="single" w:sz="4" w:space="0" w:color="auto"/>
            </w:tcBorders>
            <w:shd w:val="clear" w:color="auto" w:fill="auto"/>
            <w:vAlign w:val="center"/>
          </w:tcPr>
          <w:p w14:paraId="136AC559" w14:textId="4A45D942"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nil"/>
              <w:right w:val="single" w:sz="4" w:space="0" w:color="auto"/>
            </w:tcBorders>
            <w:shd w:val="clear" w:color="auto" w:fill="auto"/>
            <w:vAlign w:val="center"/>
          </w:tcPr>
          <w:p w14:paraId="0221A228" w14:textId="74AC918A"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nil"/>
              <w:right w:val="single" w:sz="8" w:space="0" w:color="auto"/>
            </w:tcBorders>
            <w:shd w:val="clear" w:color="000000" w:fill="FFFFFF" w:themeFill="background1"/>
            <w:vAlign w:val="center"/>
          </w:tcPr>
          <w:p w14:paraId="5F567C32" w14:textId="1B584FCC"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012B69" w:rsidRPr="00A50ACE" w14:paraId="285F9F34" w14:textId="77777777" w:rsidTr="0055349E">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14:paraId="4801E5E5" w14:textId="77777777" w:rsidR="00012B69" w:rsidRPr="00A50ACE" w:rsidRDefault="00012B69" w:rsidP="0055349E">
            <w:pPr>
              <w:spacing w:after="0" w:line="240" w:lineRule="auto"/>
              <w:rPr>
                <w:rFonts w:ascii="Calibri" w:eastAsia="Times New Roman" w:hAnsi="Calibri" w:cs="Calibri"/>
                <w:sz w:val="16"/>
                <w:szCs w:val="16"/>
              </w:rPr>
            </w:pPr>
          </w:p>
        </w:tc>
        <w:tc>
          <w:tcPr>
            <w:tcW w:w="1276" w:type="dxa"/>
            <w:tcBorders>
              <w:top w:val="nil"/>
              <w:left w:val="nil"/>
              <w:bottom w:val="single" w:sz="4" w:space="0" w:color="auto"/>
              <w:right w:val="single" w:sz="4" w:space="0" w:color="auto"/>
            </w:tcBorders>
            <w:shd w:val="clear" w:color="auto" w:fill="auto"/>
            <w:vAlign w:val="center"/>
          </w:tcPr>
          <w:p w14:paraId="0BDD4D0C" w14:textId="77777777" w:rsidR="00012B69" w:rsidRPr="00A50ACE" w:rsidRDefault="00012B69" w:rsidP="0055349E">
            <w:pPr>
              <w:spacing w:after="0" w:line="240" w:lineRule="auto"/>
              <w:jc w:val="center"/>
              <w:rPr>
                <w:rFonts w:ascii="Calibri" w:eastAsia="Times New Roman" w:hAnsi="Calibri" w:cs="Calibri"/>
                <w:sz w:val="16"/>
                <w:szCs w:val="16"/>
              </w:rPr>
            </w:pPr>
          </w:p>
        </w:tc>
        <w:tc>
          <w:tcPr>
            <w:tcW w:w="1275" w:type="dxa"/>
            <w:tcBorders>
              <w:top w:val="nil"/>
              <w:left w:val="nil"/>
              <w:bottom w:val="single" w:sz="4" w:space="0" w:color="auto"/>
              <w:right w:val="single" w:sz="4" w:space="0" w:color="auto"/>
            </w:tcBorders>
            <w:shd w:val="clear" w:color="auto" w:fill="auto"/>
            <w:vAlign w:val="center"/>
          </w:tcPr>
          <w:p w14:paraId="43E18A71" w14:textId="77777777" w:rsidR="00012B69" w:rsidRPr="00A50ACE" w:rsidRDefault="00012B69" w:rsidP="0055349E">
            <w:pPr>
              <w:spacing w:after="0" w:line="240" w:lineRule="auto"/>
              <w:jc w:val="center"/>
              <w:rPr>
                <w:rFonts w:ascii="Calibri" w:eastAsia="Times New Roman" w:hAnsi="Calibri" w:cs="Calibri"/>
                <w:sz w:val="16"/>
                <w:szCs w:val="16"/>
              </w:rPr>
            </w:pP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3E88FD06" w14:textId="77777777" w:rsidR="00012B69" w:rsidRPr="004311A8" w:rsidRDefault="00012B69" w:rsidP="0055349E">
            <w:pPr>
              <w:spacing w:after="0" w:line="240" w:lineRule="auto"/>
              <w:jc w:val="center"/>
              <w:rPr>
                <w:rFonts w:ascii="Calibri" w:eastAsia="Times New Roman" w:hAnsi="Calibri" w:cs="Calibri"/>
                <w:color w:val="000000" w:themeColor="text1"/>
                <w:sz w:val="16"/>
                <w:szCs w:val="16"/>
              </w:rPr>
            </w:pPr>
          </w:p>
        </w:tc>
      </w:tr>
      <w:tr w:rsidR="00012B69" w:rsidRPr="00A50ACE" w14:paraId="0377AC71" w14:textId="77777777" w:rsidTr="00012B69">
        <w:trPr>
          <w:trHeight w:val="240"/>
        </w:trPr>
        <w:tc>
          <w:tcPr>
            <w:tcW w:w="4673" w:type="dxa"/>
            <w:tcBorders>
              <w:top w:val="nil"/>
              <w:left w:val="single" w:sz="8" w:space="0" w:color="auto"/>
              <w:bottom w:val="nil"/>
              <w:right w:val="single" w:sz="4" w:space="0" w:color="auto"/>
            </w:tcBorders>
            <w:shd w:val="clear" w:color="auto" w:fill="auto"/>
            <w:vAlign w:val="center"/>
          </w:tcPr>
          <w:p w14:paraId="6D23F734" w14:textId="2695552F"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Divulgación en evento deportivo de alcance nacional</w:t>
            </w:r>
          </w:p>
        </w:tc>
        <w:tc>
          <w:tcPr>
            <w:tcW w:w="1276" w:type="dxa"/>
            <w:tcBorders>
              <w:top w:val="nil"/>
              <w:left w:val="nil"/>
              <w:bottom w:val="nil"/>
              <w:right w:val="single" w:sz="4" w:space="0" w:color="auto"/>
            </w:tcBorders>
            <w:shd w:val="clear" w:color="auto" w:fill="auto"/>
            <w:vAlign w:val="center"/>
          </w:tcPr>
          <w:p w14:paraId="17CF7D67" w14:textId="49F1A94A"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nil"/>
              <w:right w:val="single" w:sz="4" w:space="0" w:color="auto"/>
            </w:tcBorders>
            <w:shd w:val="clear" w:color="auto" w:fill="auto"/>
            <w:vAlign w:val="center"/>
          </w:tcPr>
          <w:p w14:paraId="0E0AA778" w14:textId="56F86515"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nil"/>
              <w:right w:val="single" w:sz="8" w:space="0" w:color="auto"/>
            </w:tcBorders>
            <w:shd w:val="clear" w:color="000000" w:fill="FFFFFF" w:themeFill="background1"/>
            <w:vAlign w:val="center"/>
          </w:tcPr>
          <w:p w14:paraId="49C77245" w14:textId="124AB15F"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012B69" w:rsidRPr="00A50ACE" w14:paraId="3352A4BF" w14:textId="77777777" w:rsidTr="0055349E">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14:paraId="3B86D5AC" w14:textId="77777777" w:rsidR="00012B69" w:rsidRPr="00A50ACE" w:rsidRDefault="00012B69" w:rsidP="0055349E">
            <w:pPr>
              <w:spacing w:after="0" w:line="240" w:lineRule="auto"/>
              <w:rPr>
                <w:rFonts w:ascii="Calibri" w:eastAsia="Times New Roman" w:hAnsi="Calibri" w:cs="Calibri"/>
                <w:sz w:val="16"/>
                <w:szCs w:val="16"/>
              </w:rPr>
            </w:pPr>
          </w:p>
        </w:tc>
        <w:tc>
          <w:tcPr>
            <w:tcW w:w="1276" w:type="dxa"/>
            <w:tcBorders>
              <w:top w:val="nil"/>
              <w:left w:val="nil"/>
              <w:bottom w:val="single" w:sz="4" w:space="0" w:color="auto"/>
              <w:right w:val="single" w:sz="4" w:space="0" w:color="auto"/>
            </w:tcBorders>
            <w:shd w:val="clear" w:color="auto" w:fill="auto"/>
            <w:vAlign w:val="center"/>
          </w:tcPr>
          <w:p w14:paraId="3EBFFF4D" w14:textId="77777777" w:rsidR="00012B69" w:rsidRPr="00A50ACE" w:rsidRDefault="00012B69" w:rsidP="0055349E">
            <w:pPr>
              <w:spacing w:after="0" w:line="240" w:lineRule="auto"/>
              <w:jc w:val="center"/>
              <w:rPr>
                <w:rFonts w:ascii="Calibri" w:eastAsia="Times New Roman" w:hAnsi="Calibri" w:cs="Calibri"/>
                <w:sz w:val="16"/>
                <w:szCs w:val="16"/>
              </w:rPr>
            </w:pPr>
          </w:p>
        </w:tc>
        <w:tc>
          <w:tcPr>
            <w:tcW w:w="1275" w:type="dxa"/>
            <w:tcBorders>
              <w:top w:val="nil"/>
              <w:left w:val="nil"/>
              <w:bottom w:val="single" w:sz="4" w:space="0" w:color="auto"/>
              <w:right w:val="single" w:sz="4" w:space="0" w:color="auto"/>
            </w:tcBorders>
            <w:shd w:val="clear" w:color="auto" w:fill="auto"/>
            <w:vAlign w:val="center"/>
          </w:tcPr>
          <w:p w14:paraId="66B20250" w14:textId="77777777" w:rsidR="00012B69" w:rsidRPr="00A50ACE" w:rsidRDefault="00012B69" w:rsidP="0055349E">
            <w:pPr>
              <w:spacing w:after="0" w:line="240" w:lineRule="auto"/>
              <w:jc w:val="center"/>
              <w:rPr>
                <w:rFonts w:ascii="Calibri" w:eastAsia="Times New Roman" w:hAnsi="Calibri" w:cs="Calibri"/>
                <w:sz w:val="16"/>
                <w:szCs w:val="16"/>
              </w:rPr>
            </w:pP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560FB2FE" w14:textId="77777777" w:rsidR="00012B69" w:rsidRPr="004311A8" w:rsidRDefault="00012B69" w:rsidP="0055349E">
            <w:pPr>
              <w:spacing w:after="0" w:line="240" w:lineRule="auto"/>
              <w:jc w:val="center"/>
              <w:rPr>
                <w:rFonts w:ascii="Calibri" w:eastAsia="Times New Roman" w:hAnsi="Calibri" w:cs="Calibri"/>
                <w:color w:val="000000" w:themeColor="text1"/>
                <w:sz w:val="16"/>
                <w:szCs w:val="16"/>
              </w:rPr>
            </w:pPr>
          </w:p>
        </w:tc>
      </w:tr>
      <w:tr w:rsidR="00012B69" w:rsidRPr="00A50ACE" w14:paraId="17D3E241" w14:textId="77777777" w:rsidTr="0055349E">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14:paraId="74CC4365" w14:textId="45FC3061" w:rsidR="00012B69" w:rsidRPr="00A50ACE" w:rsidRDefault="00012B69" w:rsidP="0055349E">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Publicación de información de la Agencia en separatas o medios especializados</w:t>
            </w:r>
          </w:p>
        </w:tc>
        <w:tc>
          <w:tcPr>
            <w:tcW w:w="1276" w:type="dxa"/>
            <w:tcBorders>
              <w:top w:val="nil"/>
              <w:left w:val="nil"/>
              <w:bottom w:val="single" w:sz="4" w:space="0" w:color="auto"/>
              <w:right w:val="single" w:sz="4" w:space="0" w:color="auto"/>
            </w:tcBorders>
            <w:shd w:val="clear" w:color="auto" w:fill="auto"/>
            <w:vAlign w:val="center"/>
          </w:tcPr>
          <w:p w14:paraId="5B427EC3" w14:textId="38FDBF12"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Publicación</w:t>
            </w:r>
          </w:p>
        </w:tc>
        <w:tc>
          <w:tcPr>
            <w:tcW w:w="1275" w:type="dxa"/>
            <w:tcBorders>
              <w:top w:val="nil"/>
              <w:left w:val="nil"/>
              <w:bottom w:val="single" w:sz="4" w:space="0" w:color="auto"/>
              <w:right w:val="single" w:sz="4" w:space="0" w:color="auto"/>
            </w:tcBorders>
            <w:shd w:val="clear" w:color="auto" w:fill="auto"/>
            <w:vAlign w:val="center"/>
          </w:tcPr>
          <w:p w14:paraId="2105EF76" w14:textId="37D0C5F8" w:rsidR="00012B69" w:rsidRPr="00A50ACE" w:rsidRDefault="00012B69" w:rsidP="0055349E">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7BC03590" w14:textId="5F478A24" w:rsidR="00012B69" w:rsidRPr="004311A8" w:rsidRDefault="00012B69" w:rsidP="0055349E">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bl>
    <w:p w14:paraId="7AF01C50" w14:textId="77777777" w:rsidR="00496D36" w:rsidRDefault="00496D36"/>
    <w:p w14:paraId="737EB5AA" w14:textId="7A6183C8" w:rsidR="00496D36" w:rsidRDefault="00496D36" w:rsidP="00496D36">
      <w:pPr>
        <w:jc w:val="both"/>
      </w:pPr>
      <w:r>
        <w:t xml:space="preserve">El primer trimestre estuvo caracterizado por una activa presencia en medios de comunicación, registrándose un promedio superior a las 500 menciones. Lo anterior debido a la activa gestión de </w:t>
      </w:r>
      <w:r>
        <w:lastRenderedPageBreak/>
        <w:t>medios desplegada por la Oficina de Comunicaciones, así como a los eventos de inauguración y primeras piedras.</w:t>
      </w:r>
    </w:p>
    <w:p w14:paraId="5F0C3DF5" w14:textId="77777777" w:rsidR="00496D36" w:rsidRDefault="00496D36" w:rsidP="00496D36">
      <w:pPr>
        <w:jc w:val="both"/>
      </w:pPr>
    </w:p>
    <w:p w14:paraId="13575228" w14:textId="4DDB68BD" w:rsidR="00496D36" w:rsidRDefault="00496D36" w:rsidP="00496D36">
      <w:pPr>
        <w:jc w:val="both"/>
      </w:pPr>
      <w:r>
        <w:t>Así mismo,  se caracterizó por intensas visitas del señor presidente de la ANI, Luis Fernando Andrade, en los distintos medios de comunicación de cobertura nacional, definidos dentro de la estrategia para “ambientar” el cierre de varias licitaciones de la Cuarta Generación de Concesiones. Se visitaron medios como El Tiempo, Portafolio, El Espectador, Caracol Radio, RCN Radio, entre otros, a los cuales se les llevó información relevante para la redacción de sus informaciones. Igualmente, se alcanzaron los primeros 5.000 seguidores en la red Twitter, un logro muy importante a un año de hacer el lanzamiento de esa red para la ANI.</w:t>
      </w:r>
    </w:p>
    <w:p w14:paraId="2024DDFC" w14:textId="77777777" w:rsidR="00BB5C80" w:rsidRDefault="00BB5C80">
      <w:r>
        <w:br w:type="page"/>
      </w:r>
    </w:p>
    <w:p w14:paraId="312292D4" w14:textId="77777777" w:rsidR="00E657BA" w:rsidRDefault="00E657BA" w:rsidP="006A7AE4">
      <w:pPr>
        <w:jc w:val="both"/>
      </w:pPr>
    </w:p>
    <w:p w14:paraId="1031375F" w14:textId="5EE903FE" w:rsidR="00F61A82" w:rsidRDefault="00F61A82" w:rsidP="00AC10AA">
      <w:pPr>
        <w:pStyle w:val="Ttulo1"/>
        <w:numPr>
          <w:ilvl w:val="0"/>
          <w:numId w:val="31"/>
        </w:numPr>
      </w:pPr>
      <w:bookmarkStart w:id="102" w:name="_Toc357434732"/>
      <w:bookmarkStart w:id="103" w:name="_Toc357434983"/>
      <w:bookmarkStart w:id="104" w:name="_Toc360175799"/>
      <w:bookmarkStart w:id="105" w:name="_Toc360176864"/>
      <w:bookmarkStart w:id="106" w:name="_Toc360177572"/>
      <w:bookmarkStart w:id="107" w:name="_Toc390333881"/>
      <w:r>
        <w:t>CONCLUSIONES</w:t>
      </w:r>
      <w:bookmarkEnd w:id="102"/>
      <w:bookmarkEnd w:id="103"/>
      <w:bookmarkEnd w:id="104"/>
      <w:bookmarkEnd w:id="105"/>
      <w:bookmarkEnd w:id="106"/>
      <w:bookmarkEnd w:id="107"/>
    </w:p>
    <w:p w14:paraId="4B25E13F" w14:textId="77777777" w:rsidR="000B76C8" w:rsidRDefault="000B76C8" w:rsidP="0086211C">
      <w:pPr>
        <w:tabs>
          <w:tab w:val="left" w:pos="2504"/>
        </w:tabs>
        <w:jc w:val="both"/>
        <w:rPr>
          <w:rFonts w:ascii="Arial Narrow" w:eastAsia="Calibri" w:hAnsi="Arial Narrow" w:cs="Times New Roman"/>
        </w:rPr>
      </w:pPr>
    </w:p>
    <w:p w14:paraId="073F0E66" w14:textId="77777777" w:rsidR="00E263E9" w:rsidRDefault="00E263E9" w:rsidP="00E310DF">
      <w:pPr>
        <w:pStyle w:val="Prrafodelista"/>
        <w:numPr>
          <w:ilvl w:val="0"/>
          <w:numId w:val="1"/>
        </w:numPr>
        <w:jc w:val="both"/>
        <w:rPr>
          <w:rFonts w:eastAsia="Calibri" w:cstheme="minorHAnsi"/>
        </w:rPr>
      </w:pPr>
      <w:r w:rsidRPr="00373F7C">
        <w:rPr>
          <w:rFonts w:ascii="Arial Narrow" w:eastAsia="Calibri" w:hAnsi="Arial Narrow" w:cs="Times New Roman"/>
        </w:rPr>
        <w:t xml:space="preserve"> </w:t>
      </w:r>
      <w:r w:rsidRPr="00373F7C">
        <w:rPr>
          <w:rFonts w:eastAsia="Calibri" w:cstheme="minorHAnsi"/>
        </w:rPr>
        <w:t>Las diferentes áreas de la entidad vienen desarrollando las actividades programadas en cada uno de los planes.</w:t>
      </w:r>
    </w:p>
    <w:p w14:paraId="4B46C02E" w14:textId="1BCC3525" w:rsidR="00DE1701" w:rsidRPr="00720182" w:rsidRDefault="00DE1701" w:rsidP="00E310DF">
      <w:pPr>
        <w:pStyle w:val="Prrafodelista"/>
        <w:numPr>
          <w:ilvl w:val="0"/>
          <w:numId w:val="1"/>
        </w:numPr>
        <w:jc w:val="both"/>
        <w:rPr>
          <w:rFonts w:eastAsia="Calibri" w:cstheme="minorHAnsi"/>
        </w:rPr>
      </w:pPr>
      <w:r w:rsidRPr="00720182">
        <w:rPr>
          <w:rFonts w:eastAsia="Calibri" w:cstheme="minorHAnsi"/>
        </w:rPr>
        <w:t>Se requiere que las diferentes dependencias, presenten su informe cualitativo, con el fin de poder evidenciar en detalle los avances de la gestión, los principales obstáculos encontrados en la realización de los planes; y en caso de requerirse tener los elementos necesarios para la toma de decisiones</w:t>
      </w:r>
      <w:r w:rsidR="00A405B3">
        <w:rPr>
          <w:rFonts w:eastAsia="Calibri" w:cstheme="minorHAnsi"/>
        </w:rPr>
        <w:t xml:space="preserve">, para el presente seguimiento la Vicepresidencia </w:t>
      </w:r>
      <w:r w:rsidR="000F5AD2">
        <w:rPr>
          <w:rFonts w:eastAsia="Calibri" w:cstheme="minorHAnsi"/>
        </w:rPr>
        <w:t>Jurídica</w:t>
      </w:r>
      <w:r w:rsidR="00A405B3">
        <w:rPr>
          <w:rFonts w:eastAsia="Calibri" w:cstheme="minorHAnsi"/>
        </w:rPr>
        <w:t xml:space="preserve">, el GIT </w:t>
      </w:r>
      <w:r w:rsidR="000F5AD2">
        <w:rPr>
          <w:rFonts w:eastAsia="Calibri" w:cstheme="minorHAnsi"/>
        </w:rPr>
        <w:t>Predial</w:t>
      </w:r>
      <w:r w:rsidR="00A405B3">
        <w:rPr>
          <w:rFonts w:eastAsia="Calibri" w:cstheme="minorHAnsi"/>
        </w:rPr>
        <w:t xml:space="preserve"> y el GIT socio ambiental no presentaron informe de seguimiento, lo cual genera que no se pueda realizar una evaluación integral a la gestión de la Agencia.</w:t>
      </w:r>
      <w:r w:rsidRPr="00720182">
        <w:rPr>
          <w:rFonts w:eastAsia="Calibri" w:cstheme="minorHAnsi"/>
        </w:rPr>
        <w:t>.</w:t>
      </w:r>
    </w:p>
    <w:p w14:paraId="74479447" w14:textId="77777777" w:rsidR="004C7666" w:rsidRDefault="004C7666" w:rsidP="00E310DF">
      <w:pPr>
        <w:pStyle w:val="Prrafodelista"/>
        <w:numPr>
          <w:ilvl w:val="0"/>
          <w:numId w:val="1"/>
        </w:numPr>
        <w:jc w:val="both"/>
        <w:rPr>
          <w:rFonts w:eastAsia="Calibri" w:cstheme="minorHAnsi"/>
        </w:rPr>
      </w:pPr>
      <w:r w:rsidRPr="00720182">
        <w:rPr>
          <w:rFonts w:eastAsia="Calibri" w:cstheme="minorHAnsi"/>
        </w:rPr>
        <w:t>Con el fin de presentar un informe consolidado que sirva a la Alta Dirección de insumo de análisis, se requiere que las dependencias presenten la información en los plazos solicitados, toda vez que éstos se remiten a VPRE hasta un mes después del plazo establecido</w:t>
      </w:r>
      <w:r w:rsidR="00E310DF" w:rsidRPr="00720182">
        <w:rPr>
          <w:rFonts w:eastAsia="Calibri" w:cstheme="minorHAnsi"/>
        </w:rPr>
        <w:t>.</w:t>
      </w:r>
      <w:r w:rsidR="00295D3C" w:rsidRPr="00720182">
        <w:rPr>
          <w:rFonts w:eastAsia="Calibri" w:cstheme="minorHAnsi"/>
        </w:rPr>
        <w:t xml:space="preserve"> </w:t>
      </w:r>
    </w:p>
    <w:p w14:paraId="79105363" w14:textId="77777777" w:rsidR="00A405B3" w:rsidRPr="00720182" w:rsidRDefault="00A405B3" w:rsidP="00A405B3">
      <w:pPr>
        <w:pStyle w:val="Prrafodelista"/>
        <w:ind w:left="405"/>
        <w:jc w:val="both"/>
        <w:rPr>
          <w:rFonts w:eastAsia="Calibri" w:cstheme="minorHAnsi"/>
        </w:rPr>
      </w:pPr>
    </w:p>
    <w:p w14:paraId="025BF6E1" w14:textId="77777777" w:rsidR="0068284C" w:rsidRPr="0068284C" w:rsidRDefault="0068284C" w:rsidP="0068284C">
      <w:pPr>
        <w:ind w:left="45"/>
        <w:jc w:val="both"/>
        <w:rPr>
          <w:rFonts w:ascii="Arial Narrow" w:eastAsia="Calibri" w:hAnsi="Arial Narrow" w:cs="Times New Roman"/>
        </w:rPr>
      </w:pPr>
    </w:p>
    <w:p w14:paraId="1D1AB73C" w14:textId="77777777" w:rsidR="0068284C" w:rsidRPr="0068284C" w:rsidRDefault="0068284C" w:rsidP="0068284C">
      <w:pPr>
        <w:ind w:left="45"/>
        <w:jc w:val="both"/>
        <w:rPr>
          <w:rFonts w:ascii="Arial Narrow" w:eastAsia="Calibri" w:hAnsi="Arial Narrow" w:cs="Times New Roman"/>
        </w:rPr>
      </w:pPr>
    </w:p>
    <w:sectPr w:rsidR="0068284C" w:rsidRPr="0068284C" w:rsidSect="009D561E">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B275A" w14:textId="77777777" w:rsidR="00742481" w:rsidRDefault="00742481" w:rsidP="00D74F8D">
      <w:pPr>
        <w:spacing w:after="0" w:line="240" w:lineRule="auto"/>
      </w:pPr>
      <w:r>
        <w:separator/>
      </w:r>
    </w:p>
  </w:endnote>
  <w:endnote w:type="continuationSeparator" w:id="0">
    <w:p w14:paraId="11D93CA7" w14:textId="77777777" w:rsidR="00742481" w:rsidRDefault="00742481" w:rsidP="00D74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2250B" w14:textId="77777777" w:rsidR="0037346F" w:rsidRPr="002C4C96" w:rsidRDefault="00742481" w:rsidP="0054297D">
    <w:pPr>
      <w:pStyle w:val="textoelt"/>
      <w:pBdr>
        <w:top w:val="single" w:sz="4" w:space="1" w:color="auto"/>
      </w:pBdr>
      <w:spacing w:before="60" w:beforeAutospacing="0" w:after="0" w:afterAutospacing="0"/>
      <w:rPr>
        <w:rFonts w:ascii="Arial Narrow" w:hAnsi="Arial Narrow"/>
        <w:b/>
        <w:color w:val="404040"/>
        <w:sz w:val="20"/>
        <w:szCs w:val="18"/>
      </w:rPr>
    </w:pPr>
    <w:r>
      <w:rPr>
        <w:rFonts w:ascii="Arial Narrow" w:hAnsi="Arial Narrow"/>
        <w:b/>
        <w:noProof/>
        <w:color w:val="404040"/>
        <w:sz w:val="20"/>
        <w:szCs w:val="16"/>
      </w:rPr>
      <w:pict w14:anchorId="5AADE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054" type="#_x0000_t75" style="position:absolute;margin-left:312.45pt;margin-top:3.9pt;width:134.9pt;height:39.35pt;z-index:-251651072;visibility:visible;mso-position-vertical-relative:line">
          <v:imagedata r:id="rId1" o:title="logos-mintransporte" croptop="7316f" cropbottom="51526f" cropleft="16522f" cropright="16191f"/>
        </v:shape>
      </w:pict>
    </w:r>
    <w:r w:rsidR="0037346F">
      <w:rPr>
        <w:rFonts w:ascii="Arial Narrow" w:hAnsi="Arial Narrow"/>
        <w:b/>
        <w:noProof/>
        <w:color w:val="404040"/>
        <w:sz w:val="20"/>
        <w:szCs w:val="16"/>
      </w:rPr>
      <w:t>Ejecución Presupuestal 2014 Enero - Marzo</w:t>
    </w:r>
  </w:p>
  <w:p w14:paraId="3C53E73F" w14:textId="77777777" w:rsidR="0037346F" w:rsidRPr="00D4138E" w:rsidRDefault="0037346F" w:rsidP="0054297D">
    <w:pPr>
      <w:pStyle w:val="textoelt"/>
      <w:pBdr>
        <w:top w:val="single" w:sz="4" w:space="1" w:color="auto"/>
      </w:pBdr>
      <w:spacing w:before="40" w:beforeAutospacing="0" w:after="0" w:afterAutospacing="0"/>
      <w:rPr>
        <w:rFonts w:ascii="Arial Narrow" w:hAnsi="Arial Narrow"/>
        <w:sz w:val="18"/>
        <w:szCs w:val="18"/>
      </w:rPr>
    </w:pPr>
    <w:r w:rsidRPr="008B79E3">
      <w:rPr>
        <w:rFonts w:ascii="Arial Narrow" w:hAnsi="Arial Narrow"/>
        <w:color w:val="404040"/>
        <w:sz w:val="20"/>
        <w:szCs w:val="18"/>
      </w:rPr>
      <w:t xml:space="preserve">Página </w:t>
    </w:r>
    <w:r w:rsidRPr="008B79E3">
      <w:rPr>
        <w:rFonts w:ascii="Arial Narrow" w:hAnsi="Arial Narrow"/>
        <w:b/>
        <w:color w:val="404040"/>
        <w:sz w:val="20"/>
        <w:szCs w:val="18"/>
      </w:rPr>
      <w:fldChar w:fldCharType="begin"/>
    </w:r>
    <w:r w:rsidRPr="008B79E3">
      <w:rPr>
        <w:rFonts w:ascii="Arial Narrow" w:hAnsi="Arial Narrow"/>
        <w:b/>
        <w:color w:val="404040"/>
        <w:sz w:val="20"/>
        <w:szCs w:val="18"/>
      </w:rPr>
      <w:instrText xml:space="preserve"> PAGE </w:instrText>
    </w:r>
    <w:r w:rsidRPr="008B79E3">
      <w:rPr>
        <w:rFonts w:ascii="Arial Narrow" w:hAnsi="Arial Narrow"/>
        <w:b/>
        <w:color w:val="404040"/>
        <w:sz w:val="20"/>
        <w:szCs w:val="18"/>
      </w:rPr>
      <w:fldChar w:fldCharType="separate"/>
    </w:r>
    <w:r w:rsidR="009A6E95">
      <w:rPr>
        <w:rFonts w:ascii="Arial Narrow" w:hAnsi="Arial Narrow"/>
        <w:b/>
        <w:noProof/>
        <w:color w:val="404040"/>
        <w:sz w:val="20"/>
        <w:szCs w:val="18"/>
      </w:rPr>
      <w:t>3</w:t>
    </w:r>
    <w:r w:rsidRPr="008B79E3">
      <w:rPr>
        <w:rFonts w:ascii="Arial Narrow" w:hAnsi="Arial Narrow"/>
        <w:b/>
        <w:color w:val="404040"/>
        <w:sz w:val="20"/>
        <w:szCs w:val="18"/>
      </w:rPr>
      <w:fldChar w:fldCharType="end"/>
    </w:r>
  </w:p>
  <w:p w14:paraId="79DB23F7" w14:textId="77777777" w:rsidR="0037346F" w:rsidRDefault="0037346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823866"/>
      <w:docPartObj>
        <w:docPartGallery w:val="Page Numbers (Bottom of Page)"/>
        <w:docPartUnique/>
      </w:docPartObj>
    </w:sdtPr>
    <w:sdtEndPr/>
    <w:sdtContent>
      <w:p w14:paraId="1F972625" w14:textId="77777777" w:rsidR="0037346F" w:rsidRDefault="0037346F">
        <w:pPr>
          <w:pStyle w:val="Piedepgina"/>
          <w:jc w:val="right"/>
        </w:pPr>
        <w:r>
          <w:fldChar w:fldCharType="begin"/>
        </w:r>
        <w:r>
          <w:instrText>PAGE   \* MERGEFORMAT</w:instrText>
        </w:r>
        <w:r>
          <w:fldChar w:fldCharType="separate"/>
        </w:r>
        <w:r w:rsidR="009A6E95" w:rsidRPr="009A6E95">
          <w:rPr>
            <w:noProof/>
            <w:lang w:val="es-ES"/>
          </w:rPr>
          <w:t>74</w:t>
        </w:r>
        <w:r>
          <w:fldChar w:fldCharType="end"/>
        </w:r>
      </w:p>
    </w:sdtContent>
  </w:sdt>
  <w:p w14:paraId="049F1490" w14:textId="77777777" w:rsidR="0037346F" w:rsidRDefault="003734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6B231" w14:textId="77777777" w:rsidR="00742481" w:rsidRDefault="00742481" w:rsidP="00D74F8D">
      <w:pPr>
        <w:spacing w:after="0" w:line="240" w:lineRule="auto"/>
      </w:pPr>
      <w:r>
        <w:separator/>
      </w:r>
    </w:p>
  </w:footnote>
  <w:footnote w:type="continuationSeparator" w:id="0">
    <w:p w14:paraId="4C979C15" w14:textId="77777777" w:rsidR="00742481" w:rsidRDefault="00742481" w:rsidP="00D74F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8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863"/>
      <w:gridCol w:w="7823"/>
    </w:tblGrid>
    <w:tr w:rsidR="0037346F" w:rsidRPr="002A4914" w14:paraId="70687A34" w14:textId="77777777" w:rsidTr="0054297D">
      <w:trPr>
        <w:trHeight w:val="815"/>
        <w:jc w:val="center"/>
      </w:trPr>
      <w:tc>
        <w:tcPr>
          <w:tcW w:w="1863" w:type="dxa"/>
        </w:tcPr>
        <w:p w14:paraId="5D229E4A" w14:textId="77777777" w:rsidR="0037346F" w:rsidRPr="002A4914" w:rsidRDefault="00742481" w:rsidP="0054297D">
          <w:pPr>
            <w:jc w:val="right"/>
            <w:rPr>
              <w:rFonts w:ascii="Book Antiqua" w:hAnsi="Book Antiqua" w:cs="Arial"/>
              <w:b/>
              <w:sz w:val="20"/>
              <w:szCs w:val="20"/>
            </w:rPr>
          </w:pPr>
          <w:r>
            <w:rPr>
              <w:rFonts w:ascii="Book Antiqua" w:hAnsi="Book Antiqua" w:cs="Arial"/>
              <w:b/>
              <w:noProof/>
              <w:sz w:val="20"/>
              <w:szCs w:val="20"/>
            </w:rPr>
            <w:pict w14:anchorId="5AC4A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image001" style="position:absolute;left:0;text-align:left;margin-left:-5pt;margin-top:1.7pt;width:59.6pt;height:39.2pt;z-index:-251652096;visibility:visible;mso-position-vertical-relative:line">
                <v:imagedata r:id="rId1" o:title="image001" croptop="11931f" cropbottom="12371f" cropleft="13181f" cropright="13738f"/>
              </v:shape>
            </w:pict>
          </w:r>
        </w:p>
      </w:tc>
      <w:tc>
        <w:tcPr>
          <w:tcW w:w="7823" w:type="dxa"/>
          <w:vAlign w:val="center"/>
        </w:tcPr>
        <w:p w14:paraId="141F7166" w14:textId="77777777" w:rsidR="0037346F" w:rsidRPr="002C4C96" w:rsidRDefault="00742481" w:rsidP="0054297D">
          <w:pPr>
            <w:spacing w:before="120"/>
            <w:rPr>
              <w:rFonts w:ascii="Arial Narrow" w:hAnsi="Arial Narrow" w:cs="Arial"/>
              <w:b/>
              <w:color w:val="404040"/>
              <w:sz w:val="20"/>
              <w:szCs w:val="20"/>
            </w:rPr>
          </w:pPr>
          <w:r>
            <w:rPr>
              <w:rFonts w:ascii="Arial Narrow" w:hAnsi="Arial Narrow" w:cs="Arial"/>
              <w:b/>
              <w:noProof/>
              <w:color w:val="404040"/>
              <w:sz w:val="20"/>
              <w:szCs w:val="20"/>
            </w:rPr>
            <w:pict w14:anchorId="456F521D">
              <v:shape id="Imagen 1" o:spid="_x0000_s2052" type="#_x0000_t75" style="position:absolute;margin-left:262.2pt;margin-top:2.6pt;width:108pt;height:27.75pt;z-index:-251653120;visibility:visible;mso-position-horizontal-relative:text;mso-position-vertical-relative:line">
                <v:imagedata r:id="rId2" o:title="Prosperidad CMYK" croptop="24835f" cropbottom="25248f" cropleft="8299f" cropright="8085f"/>
              </v:shape>
            </w:pict>
          </w:r>
          <w:r w:rsidR="0037346F" w:rsidRPr="002C4C96">
            <w:rPr>
              <w:rFonts w:ascii="Arial Narrow" w:hAnsi="Arial Narrow" w:cs="Arial"/>
              <w:b/>
              <w:color w:val="404040"/>
              <w:sz w:val="20"/>
              <w:szCs w:val="20"/>
            </w:rPr>
            <w:t>Agencia Nacional de Infraestructura</w:t>
          </w:r>
        </w:p>
        <w:p w14:paraId="154E1AD7" w14:textId="77777777" w:rsidR="0037346F" w:rsidRPr="00B55B0D" w:rsidRDefault="0037346F" w:rsidP="0054297D">
          <w:pPr>
            <w:spacing w:before="40"/>
            <w:rPr>
              <w:rFonts w:ascii="Arial Narrow" w:hAnsi="Arial Narrow" w:cs="Arial"/>
              <w:b/>
              <w:color w:val="E36C0A"/>
              <w:sz w:val="20"/>
              <w:szCs w:val="20"/>
            </w:rPr>
          </w:pPr>
          <w:r>
            <w:rPr>
              <w:rFonts w:ascii="Arial Narrow" w:hAnsi="Arial Narrow" w:cs="Arial"/>
              <w:b/>
              <w:color w:val="E36C0A"/>
              <w:sz w:val="20"/>
              <w:szCs w:val="20"/>
            </w:rPr>
            <w:t>INFORME DE EJECUCION PRESUPUESTAL 2014</w:t>
          </w:r>
        </w:p>
      </w:tc>
    </w:tr>
  </w:tbl>
  <w:p w14:paraId="7324FD65" w14:textId="77777777" w:rsidR="0037346F" w:rsidRDefault="0037346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DB8FA" w14:textId="77777777" w:rsidR="0037346F" w:rsidRDefault="0037346F">
    <w:pPr>
      <w:pStyle w:val="Encabezado"/>
      <w:jc w:val="right"/>
    </w:pPr>
  </w:p>
  <w:p w14:paraId="2B1E24D7" w14:textId="77777777" w:rsidR="0037346F" w:rsidRDefault="0037346F" w:rsidP="00A32D08">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C5FC0"/>
    <w:multiLevelType w:val="hybridMultilevel"/>
    <w:tmpl w:val="44AC0D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0DE6256"/>
    <w:multiLevelType w:val="hybridMultilevel"/>
    <w:tmpl w:val="FFA61D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21D481A"/>
    <w:multiLevelType w:val="hybridMultilevel"/>
    <w:tmpl w:val="7D64F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29F4A26"/>
    <w:multiLevelType w:val="hybridMultilevel"/>
    <w:tmpl w:val="1AE638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3DA63B1"/>
    <w:multiLevelType w:val="hybridMultilevel"/>
    <w:tmpl w:val="A12A3358"/>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3E0651E"/>
    <w:multiLevelType w:val="hybridMultilevel"/>
    <w:tmpl w:val="C1A0978C"/>
    <w:lvl w:ilvl="0" w:tplc="240A0017">
      <w:start w:val="1"/>
      <w:numFmt w:val="lowerLetter"/>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6">
    <w:nsid w:val="042E1448"/>
    <w:multiLevelType w:val="hybridMultilevel"/>
    <w:tmpl w:val="D6AAE88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nsid w:val="04A26732"/>
    <w:multiLevelType w:val="hybridMultilevel"/>
    <w:tmpl w:val="7C9831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0585750F"/>
    <w:multiLevelType w:val="multilevel"/>
    <w:tmpl w:val="69844AD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05873DA6"/>
    <w:multiLevelType w:val="hybridMultilevel"/>
    <w:tmpl w:val="B9964B5C"/>
    <w:lvl w:ilvl="0" w:tplc="0F244BBC">
      <w:start w:val="1"/>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06E648A5"/>
    <w:multiLevelType w:val="hybridMultilevel"/>
    <w:tmpl w:val="7B42FD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070456E9"/>
    <w:multiLevelType w:val="hybridMultilevel"/>
    <w:tmpl w:val="38C2C76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07805DD1"/>
    <w:multiLevelType w:val="hybridMultilevel"/>
    <w:tmpl w:val="E9C27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08387BE7"/>
    <w:multiLevelType w:val="hybridMultilevel"/>
    <w:tmpl w:val="3A2AD19E"/>
    <w:lvl w:ilvl="0" w:tplc="AA4CD000">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84C0641"/>
    <w:multiLevelType w:val="hybridMultilevel"/>
    <w:tmpl w:val="3E9E9BA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0860062C"/>
    <w:multiLevelType w:val="hybridMultilevel"/>
    <w:tmpl w:val="26A83E5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08F13248"/>
    <w:multiLevelType w:val="hybridMultilevel"/>
    <w:tmpl w:val="43C41F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093A2238"/>
    <w:multiLevelType w:val="hybridMultilevel"/>
    <w:tmpl w:val="CCF0C38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09CD2E98"/>
    <w:multiLevelType w:val="hybridMultilevel"/>
    <w:tmpl w:val="DB5AB1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0B253946"/>
    <w:multiLevelType w:val="multilevel"/>
    <w:tmpl w:val="C5C4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C82F99"/>
    <w:multiLevelType w:val="hybridMultilevel"/>
    <w:tmpl w:val="32CAD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0C1545EB"/>
    <w:multiLevelType w:val="hybridMultilevel"/>
    <w:tmpl w:val="071AAAB6"/>
    <w:lvl w:ilvl="0" w:tplc="D8304C5E">
      <w:start w:val="1"/>
      <w:numFmt w:val="bullet"/>
      <w:lvlText w:val=""/>
      <w:lvlJc w:val="left"/>
      <w:pPr>
        <w:ind w:left="1353" w:hanging="360"/>
      </w:pPr>
      <w:rPr>
        <w:rFonts w:ascii="Symbol" w:eastAsiaTheme="minorHAnsi" w:hAnsi="Symbol" w:cstheme="minorBidi" w:hint="default"/>
        <w:b w:val="0"/>
        <w:i w:val="0"/>
      </w:rPr>
    </w:lvl>
    <w:lvl w:ilvl="1" w:tplc="240A0003" w:tentative="1">
      <w:start w:val="1"/>
      <w:numFmt w:val="bullet"/>
      <w:lvlText w:val="o"/>
      <w:lvlJc w:val="left"/>
      <w:pPr>
        <w:ind w:left="2073" w:hanging="360"/>
      </w:pPr>
      <w:rPr>
        <w:rFonts w:ascii="Courier New" w:hAnsi="Courier New" w:cs="Courier New" w:hint="default"/>
      </w:rPr>
    </w:lvl>
    <w:lvl w:ilvl="2" w:tplc="240A0005" w:tentative="1">
      <w:start w:val="1"/>
      <w:numFmt w:val="bullet"/>
      <w:lvlText w:val=""/>
      <w:lvlJc w:val="left"/>
      <w:pPr>
        <w:ind w:left="2793" w:hanging="360"/>
      </w:pPr>
      <w:rPr>
        <w:rFonts w:ascii="Wingdings" w:hAnsi="Wingdings" w:hint="default"/>
      </w:rPr>
    </w:lvl>
    <w:lvl w:ilvl="3" w:tplc="240A0001" w:tentative="1">
      <w:start w:val="1"/>
      <w:numFmt w:val="bullet"/>
      <w:lvlText w:val=""/>
      <w:lvlJc w:val="left"/>
      <w:pPr>
        <w:ind w:left="3513" w:hanging="360"/>
      </w:pPr>
      <w:rPr>
        <w:rFonts w:ascii="Symbol" w:hAnsi="Symbol" w:hint="default"/>
      </w:rPr>
    </w:lvl>
    <w:lvl w:ilvl="4" w:tplc="240A0003" w:tentative="1">
      <w:start w:val="1"/>
      <w:numFmt w:val="bullet"/>
      <w:lvlText w:val="o"/>
      <w:lvlJc w:val="left"/>
      <w:pPr>
        <w:ind w:left="4233" w:hanging="360"/>
      </w:pPr>
      <w:rPr>
        <w:rFonts w:ascii="Courier New" w:hAnsi="Courier New" w:cs="Courier New" w:hint="default"/>
      </w:rPr>
    </w:lvl>
    <w:lvl w:ilvl="5" w:tplc="240A0005" w:tentative="1">
      <w:start w:val="1"/>
      <w:numFmt w:val="bullet"/>
      <w:lvlText w:val=""/>
      <w:lvlJc w:val="left"/>
      <w:pPr>
        <w:ind w:left="4953" w:hanging="360"/>
      </w:pPr>
      <w:rPr>
        <w:rFonts w:ascii="Wingdings" w:hAnsi="Wingdings" w:hint="default"/>
      </w:rPr>
    </w:lvl>
    <w:lvl w:ilvl="6" w:tplc="240A0001" w:tentative="1">
      <w:start w:val="1"/>
      <w:numFmt w:val="bullet"/>
      <w:lvlText w:val=""/>
      <w:lvlJc w:val="left"/>
      <w:pPr>
        <w:ind w:left="5673" w:hanging="360"/>
      </w:pPr>
      <w:rPr>
        <w:rFonts w:ascii="Symbol" w:hAnsi="Symbol" w:hint="default"/>
      </w:rPr>
    </w:lvl>
    <w:lvl w:ilvl="7" w:tplc="240A0003" w:tentative="1">
      <w:start w:val="1"/>
      <w:numFmt w:val="bullet"/>
      <w:lvlText w:val="o"/>
      <w:lvlJc w:val="left"/>
      <w:pPr>
        <w:ind w:left="6393" w:hanging="360"/>
      </w:pPr>
      <w:rPr>
        <w:rFonts w:ascii="Courier New" w:hAnsi="Courier New" w:cs="Courier New" w:hint="default"/>
      </w:rPr>
    </w:lvl>
    <w:lvl w:ilvl="8" w:tplc="240A0005" w:tentative="1">
      <w:start w:val="1"/>
      <w:numFmt w:val="bullet"/>
      <w:lvlText w:val=""/>
      <w:lvlJc w:val="left"/>
      <w:pPr>
        <w:ind w:left="7113" w:hanging="360"/>
      </w:pPr>
      <w:rPr>
        <w:rFonts w:ascii="Wingdings" w:hAnsi="Wingdings" w:hint="default"/>
      </w:rPr>
    </w:lvl>
  </w:abstractNum>
  <w:abstractNum w:abstractNumId="22">
    <w:nsid w:val="0D7F65CF"/>
    <w:multiLevelType w:val="hybridMultilevel"/>
    <w:tmpl w:val="C37868DA"/>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0DEF4362"/>
    <w:multiLevelType w:val="hybridMultilevel"/>
    <w:tmpl w:val="4C2CB2A2"/>
    <w:lvl w:ilvl="0" w:tplc="35A0855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0E9173B4"/>
    <w:multiLevelType w:val="hybridMultilevel"/>
    <w:tmpl w:val="439AEF5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0E992669"/>
    <w:multiLevelType w:val="hybridMultilevel"/>
    <w:tmpl w:val="A0A0A3F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nsid w:val="10CD2E08"/>
    <w:multiLevelType w:val="hybridMultilevel"/>
    <w:tmpl w:val="8C18FB9C"/>
    <w:lvl w:ilvl="0" w:tplc="BBC85CE0">
      <w:start w:val="11"/>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10DE4F54"/>
    <w:multiLevelType w:val="hybridMultilevel"/>
    <w:tmpl w:val="8FD2D7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11150CFE"/>
    <w:multiLevelType w:val="hybridMultilevel"/>
    <w:tmpl w:val="4858AD36"/>
    <w:lvl w:ilvl="0" w:tplc="6FCC80E4">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11B87476"/>
    <w:multiLevelType w:val="multilevel"/>
    <w:tmpl w:val="7E5879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122E19BC"/>
    <w:multiLevelType w:val="hybridMultilevel"/>
    <w:tmpl w:val="AA6A2DCA"/>
    <w:lvl w:ilvl="0" w:tplc="0786D90A">
      <w:start w:val="1"/>
      <w:numFmt w:val="decimal"/>
      <w:lvlText w:val="%1."/>
      <w:lvlJc w:val="left"/>
      <w:pPr>
        <w:ind w:left="720" w:hanging="360"/>
      </w:pPr>
      <w:rPr>
        <w:sz w:val="22"/>
        <w:szCs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1">
    <w:nsid w:val="1282471E"/>
    <w:multiLevelType w:val="multilevel"/>
    <w:tmpl w:val="B5CE36FA"/>
    <w:lvl w:ilvl="0">
      <w:start w:val="1"/>
      <w:numFmt w:val="bullet"/>
      <w:lvlText w:val=""/>
      <w:lvlJc w:val="left"/>
      <w:pPr>
        <w:tabs>
          <w:tab w:val="num" w:pos="720"/>
        </w:tabs>
        <w:ind w:left="720" w:hanging="360"/>
      </w:pPr>
      <w:rPr>
        <w:rFonts w:ascii="Symbol" w:hAnsi="Symbol" w:hint="default"/>
        <w:color w:val="auto"/>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2F32F51"/>
    <w:multiLevelType w:val="hybridMultilevel"/>
    <w:tmpl w:val="35322916"/>
    <w:lvl w:ilvl="0" w:tplc="D8304C5E">
      <w:start w:val="1"/>
      <w:numFmt w:val="bullet"/>
      <w:lvlText w:val=""/>
      <w:lvlJc w:val="left"/>
      <w:pPr>
        <w:ind w:left="360" w:hanging="360"/>
      </w:pPr>
      <w:rPr>
        <w:rFonts w:ascii="Symbol" w:eastAsiaTheme="minorHAnsi" w:hAnsi="Symbol" w:cstheme="minorBidi" w:hint="default"/>
        <w:b w:val="0"/>
        <w:i w:val="0"/>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33">
    <w:nsid w:val="138462D4"/>
    <w:multiLevelType w:val="hybridMultilevel"/>
    <w:tmpl w:val="46BC0486"/>
    <w:lvl w:ilvl="0" w:tplc="D152F19A">
      <w:start w:val="1"/>
      <w:numFmt w:val="bullet"/>
      <w:lvlText w:val=""/>
      <w:lvlJc w:val="left"/>
      <w:pPr>
        <w:tabs>
          <w:tab w:val="num" w:pos="720"/>
        </w:tabs>
        <w:ind w:left="720" w:hanging="360"/>
      </w:pPr>
      <w:rPr>
        <w:rFonts w:ascii="Wingdings" w:hAnsi="Wingdings" w:hint="default"/>
      </w:rPr>
    </w:lvl>
    <w:lvl w:ilvl="1" w:tplc="3DE28C5C">
      <w:start w:val="1"/>
      <w:numFmt w:val="bullet"/>
      <w:lvlText w:val=""/>
      <w:lvlJc w:val="left"/>
      <w:pPr>
        <w:tabs>
          <w:tab w:val="num" w:pos="1440"/>
        </w:tabs>
        <w:ind w:left="1440" w:hanging="360"/>
      </w:pPr>
      <w:rPr>
        <w:rFonts w:ascii="Wingdings" w:hAnsi="Wingdings" w:hint="default"/>
      </w:rPr>
    </w:lvl>
    <w:lvl w:ilvl="2" w:tplc="494AED86">
      <w:start w:val="1"/>
      <w:numFmt w:val="bullet"/>
      <w:lvlText w:val=""/>
      <w:lvlJc w:val="left"/>
      <w:pPr>
        <w:tabs>
          <w:tab w:val="num" w:pos="2160"/>
        </w:tabs>
        <w:ind w:left="2160" w:hanging="360"/>
      </w:pPr>
      <w:rPr>
        <w:rFonts w:ascii="Wingdings" w:hAnsi="Wingdings" w:hint="default"/>
      </w:rPr>
    </w:lvl>
    <w:lvl w:ilvl="3" w:tplc="CDF6CCF6" w:tentative="1">
      <w:start w:val="1"/>
      <w:numFmt w:val="bullet"/>
      <w:lvlText w:val=""/>
      <w:lvlJc w:val="left"/>
      <w:pPr>
        <w:tabs>
          <w:tab w:val="num" w:pos="2880"/>
        </w:tabs>
        <w:ind w:left="2880" w:hanging="360"/>
      </w:pPr>
      <w:rPr>
        <w:rFonts w:ascii="Wingdings" w:hAnsi="Wingdings" w:hint="default"/>
      </w:rPr>
    </w:lvl>
    <w:lvl w:ilvl="4" w:tplc="A5320E9C" w:tentative="1">
      <w:start w:val="1"/>
      <w:numFmt w:val="bullet"/>
      <w:lvlText w:val=""/>
      <w:lvlJc w:val="left"/>
      <w:pPr>
        <w:tabs>
          <w:tab w:val="num" w:pos="3600"/>
        </w:tabs>
        <w:ind w:left="3600" w:hanging="360"/>
      </w:pPr>
      <w:rPr>
        <w:rFonts w:ascii="Wingdings" w:hAnsi="Wingdings" w:hint="default"/>
      </w:rPr>
    </w:lvl>
    <w:lvl w:ilvl="5" w:tplc="C736E162" w:tentative="1">
      <w:start w:val="1"/>
      <w:numFmt w:val="bullet"/>
      <w:lvlText w:val=""/>
      <w:lvlJc w:val="left"/>
      <w:pPr>
        <w:tabs>
          <w:tab w:val="num" w:pos="4320"/>
        </w:tabs>
        <w:ind w:left="4320" w:hanging="360"/>
      </w:pPr>
      <w:rPr>
        <w:rFonts w:ascii="Wingdings" w:hAnsi="Wingdings" w:hint="default"/>
      </w:rPr>
    </w:lvl>
    <w:lvl w:ilvl="6" w:tplc="F5F08ECA" w:tentative="1">
      <w:start w:val="1"/>
      <w:numFmt w:val="bullet"/>
      <w:lvlText w:val=""/>
      <w:lvlJc w:val="left"/>
      <w:pPr>
        <w:tabs>
          <w:tab w:val="num" w:pos="5040"/>
        </w:tabs>
        <w:ind w:left="5040" w:hanging="360"/>
      </w:pPr>
      <w:rPr>
        <w:rFonts w:ascii="Wingdings" w:hAnsi="Wingdings" w:hint="default"/>
      </w:rPr>
    </w:lvl>
    <w:lvl w:ilvl="7" w:tplc="763EC65E" w:tentative="1">
      <w:start w:val="1"/>
      <w:numFmt w:val="bullet"/>
      <w:lvlText w:val=""/>
      <w:lvlJc w:val="left"/>
      <w:pPr>
        <w:tabs>
          <w:tab w:val="num" w:pos="5760"/>
        </w:tabs>
        <w:ind w:left="5760" w:hanging="360"/>
      </w:pPr>
      <w:rPr>
        <w:rFonts w:ascii="Wingdings" w:hAnsi="Wingdings" w:hint="default"/>
      </w:rPr>
    </w:lvl>
    <w:lvl w:ilvl="8" w:tplc="8FFADEA2" w:tentative="1">
      <w:start w:val="1"/>
      <w:numFmt w:val="bullet"/>
      <w:lvlText w:val=""/>
      <w:lvlJc w:val="left"/>
      <w:pPr>
        <w:tabs>
          <w:tab w:val="num" w:pos="6480"/>
        </w:tabs>
        <w:ind w:left="6480" w:hanging="360"/>
      </w:pPr>
      <w:rPr>
        <w:rFonts w:ascii="Wingdings" w:hAnsi="Wingdings" w:hint="default"/>
      </w:rPr>
    </w:lvl>
  </w:abstractNum>
  <w:abstractNum w:abstractNumId="34">
    <w:nsid w:val="15877E5A"/>
    <w:multiLevelType w:val="hybridMultilevel"/>
    <w:tmpl w:val="9BDCD2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163A7528"/>
    <w:multiLevelType w:val="hybridMultilevel"/>
    <w:tmpl w:val="CF129FC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6">
    <w:nsid w:val="166C5AEC"/>
    <w:multiLevelType w:val="hybridMultilevel"/>
    <w:tmpl w:val="B2E0F1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179A1A34"/>
    <w:multiLevelType w:val="hybridMultilevel"/>
    <w:tmpl w:val="6AC475BE"/>
    <w:lvl w:ilvl="0" w:tplc="A992F2A0">
      <w:start w:val="1"/>
      <w:numFmt w:val="bullet"/>
      <w:lvlText w:val=""/>
      <w:lvlJc w:val="left"/>
      <w:pPr>
        <w:ind w:left="720" w:hanging="360"/>
      </w:pPr>
      <w:rPr>
        <w:rFonts w:ascii="Arial Narrow" w:eastAsiaTheme="minorEastAsia" w:hAnsi="Arial Narrow"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17B112F0"/>
    <w:multiLevelType w:val="hybridMultilevel"/>
    <w:tmpl w:val="4AAC0E6C"/>
    <w:lvl w:ilvl="0" w:tplc="240A0017">
      <w:start w:val="1"/>
      <w:numFmt w:val="lowerLetter"/>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39">
    <w:nsid w:val="18727847"/>
    <w:multiLevelType w:val="hybridMultilevel"/>
    <w:tmpl w:val="2B8ACC50"/>
    <w:lvl w:ilvl="0" w:tplc="C4FCA0E2">
      <w:start w:val="1"/>
      <w:numFmt w:val="bullet"/>
      <w:lvlText w:val="•"/>
      <w:lvlJc w:val="left"/>
      <w:pPr>
        <w:tabs>
          <w:tab w:val="num" w:pos="720"/>
        </w:tabs>
        <w:ind w:left="720" w:hanging="360"/>
      </w:pPr>
      <w:rPr>
        <w:rFonts w:ascii="Arial" w:hAnsi="Arial" w:hint="default"/>
      </w:rPr>
    </w:lvl>
    <w:lvl w:ilvl="1" w:tplc="A062524A">
      <w:start w:val="1"/>
      <w:numFmt w:val="bullet"/>
      <w:lvlText w:val="•"/>
      <w:lvlJc w:val="left"/>
      <w:pPr>
        <w:tabs>
          <w:tab w:val="num" w:pos="1440"/>
        </w:tabs>
        <w:ind w:left="1440" w:hanging="360"/>
      </w:pPr>
      <w:rPr>
        <w:rFonts w:ascii="Arial" w:hAnsi="Arial" w:hint="default"/>
      </w:rPr>
    </w:lvl>
    <w:lvl w:ilvl="2" w:tplc="5CA0F1B0" w:tentative="1">
      <w:start w:val="1"/>
      <w:numFmt w:val="bullet"/>
      <w:lvlText w:val="•"/>
      <w:lvlJc w:val="left"/>
      <w:pPr>
        <w:tabs>
          <w:tab w:val="num" w:pos="2160"/>
        </w:tabs>
        <w:ind w:left="2160" w:hanging="360"/>
      </w:pPr>
      <w:rPr>
        <w:rFonts w:ascii="Arial" w:hAnsi="Arial" w:hint="default"/>
      </w:rPr>
    </w:lvl>
    <w:lvl w:ilvl="3" w:tplc="AC96A7C8" w:tentative="1">
      <w:start w:val="1"/>
      <w:numFmt w:val="bullet"/>
      <w:lvlText w:val="•"/>
      <w:lvlJc w:val="left"/>
      <w:pPr>
        <w:tabs>
          <w:tab w:val="num" w:pos="2880"/>
        </w:tabs>
        <w:ind w:left="2880" w:hanging="360"/>
      </w:pPr>
      <w:rPr>
        <w:rFonts w:ascii="Arial" w:hAnsi="Arial" w:hint="default"/>
      </w:rPr>
    </w:lvl>
    <w:lvl w:ilvl="4" w:tplc="40CC1F48" w:tentative="1">
      <w:start w:val="1"/>
      <w:numFmt w:val="bullet"/>
      <w:lvlText w:val="•"/>
      <w:lvlJc w:val="left"/>
      <w:pPr>
        <w:tabs>
          <w:tab w:val="num" w:pos="3600"/>
        </w:tabs>
        <w:ind w:left="3600" w:hanging="360"/>
      </w:pPr>
      <w:rPr>
        <w:rFonts w:ascii="Arial" w:hAnsi="Arial" w:hint="default"/>
      </w:rPr>
    </w:lvl>
    <w:lvl w:ilvl="5" w:tplc="9514AF34" w:tentative="1">
      <w:start w:val="1"/>
      <w:numFmt w:val="bullet"/>
      <w:lvlText w:val="•"/>
      <w:lvlJc w:val="left"/>
      <w:pPr>
        <w:tabs>
          <w:tab w:val="num" w:pos="4320"/>
        </w:tabs>
        <w:ind w:left="4320" w:hanging="360"/>
      </w:pPr>
      <w:rPr>
        <w:rFonts w:ascii="Arial" w:hAnsi="Arial" w:hint="default"/>
      </w:rPr>
    </w:lvl>
    <w:lvl w:ilvl="6" w:tplc="EB7A4524" w:tentative="1">
      <w:start w:val="1"/>
      <w:numFmt w:val="bullet"/>
      <w:lvlText w:val="•"/>
      <w:lvlJc w:val="left"/>
      <w:pPr>
        <w:tabs>
          <w:tab w:val="num" w:pos="5040"/>
        </w:tabs>
        <w:ind w:left="5040" w:hanging="360"/>
      </w:pPr>
      <w:rPr>
        <w:rFonts w:ascii="Arial" w:hAnsi="Arial" w:hint="default"/>
      </w:rPr>
    </w:lvl>
    <w:lvl w:ilvl="7" w:tplc="08EE126E" w:tentative="1">
      <w:start w:val="1"/>
      <w:numFmt w:val="bullet"/>
      <w:lvlText w:val="•"/>
      <w:lvlJc w:val="left"/>
      <w:pPr>
        <w:tabs>
          <w:tab w:val="num" w:pos="5760"/>
        </w:tabs>
        <w:ind w:left="5760" w:hanging="360"/>
      </w:pPr>
      <w:rPr>
        <w:rFonts w:ascii="Arial" w:hAnsi="Arial" w:hint="default"/>
      </w:rPr>
    </w:lvl>
    <w:lvl w:ilvl="8" w:tplc="4A3C59A8" w:tentative="1">
      <w:start w:val="1"/>
      <w:numFmt w:val="bullet"/>
      <w:lvlText w:val="•"/>
      <w:lvlJc w:val="left"/>
      <w:pPr>
        <w:tabs>
          <w:tab w:val="num" w:pos="6480"/>
        </w:tabs>
        <w:ind w:left="6480" w:hanging="360"/>
      </w:pPr>
      <w:rPr>
        <w:rFonts w:ascii="Arial" w:hAnsi="Arial" w:hint="default"/>
      </w:rPr>
    </w:lvl>
  </w:abstractNum>
  <w:abstractNum w:abstractNumId="40">
    <w:nsid w:val="190F0A86"/>
    <w:multiLevelType w:val="hybridMultilevel"/>
    <w:tmpl w:val="C36A72AA"/>
    <w:lvl w:ilvl="0" w:tplc="24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nsid w:val="1A916761"/>
    <w:multiLevelType w:val="hybridMultilevel"/>
    <w:tmpl w:val="C27CB426"/>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1B250800"/>
    <w:multiLevelType w:val="hybridMultilevel"/>
    <w:tmpl w:val="2FF07C32"/>
    <w:lvl w:ilvl="0" w:tplc="D8304C5E">
      <w:start w:val="1"/>
      <w:numFmt w:val="bullet"/>
      <w:lvlText w:val=""/>
      <w:lvlJc w:val="left"/>
      <w:pPr>
        <w:ind w:left="720" w:hanging="360"/>
      </w:pPr>
      <w:rPr>
        <w:rFonts w:ascii="Symbol" w:eastAsiaTheme="minorHAnsi" w:hAnsi="Symbol" w:cstheme="minorBidi" w:hint="default"/>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1B6A72BC"/>
    <w:multiLevelType w:val="hybridMultilevel"/>
    <w:tmpl w:val="98FA2878"/>
    <w:lvl w:ilvl="0" w:tplc="FFFFFFFF">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outline w:val="0"/>
        <w:shadow w:val="0"/>
        <w:emboss w:val="0"/>
        <w:imprint w:val="0"/>
        <w:vanish w:val="0"/>
        <w:color w:val="auto"/>
        <w:sz w:val="22"/>
        <w:u w:val="none"/>
        <w:vertAlign w:val="baseline"/>
        <w:em w:val="none"/>
      </w:rPr>
    </w:lvl>
    <w:lvl w:ilvl="1" w:tplc="FFFFFFFF">
      <w:start w:val="1"/>
      <w:numFmt w:val="bullet"/>
      <w:lvlText w:val="–"/>
      <w:lvlJc w:val="left"/>
      <w:pPr>
        <w:tabs>
          <w:tab w:val="num" w:pos="1440"/>
        </w:tabs>
        <w:ind w:left="1440" w:hanging="360"/>
      </w:pPr>
      <w:rPr>
        <w:rFonts w:ascii="Arial" w:hAnsi="Arial" w:hint="default"/>
        <w:b/>
        <w:i w:val="0"/>
        <w:caps w:val="0"/>
        <w:strike w:val="0"/>
        <w:dstrike w:val="0"/>
        <w:outline w:val="0"/>
        <w:shadow w:val="0"/>
        <w:emboss w:val="0"/>
        <w:imprint w:val="0"/>
        <w:vanish w:val="0"/>
        <w:color w:val="auto"/>
        <w:sz w:val="22"/>
        <w:u w:val="none"/>
        <w:vertAlign w:val="baseline"/>
        <w:em w:val="none"/>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1C5767C2"/>
    <w:multiLevelType w:val="hybridMultilevel"/>
    <w:tmpl w:val="1AE638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1C812690"/>
    <w:multiLevelType w:val="hybridMultilevel"/>
    <w:tmpl w:val="68B0A308"/>
    <w:lvl w:ilvl="0" w:tplc="198A31F2">
      <w:start w:val="1"/>
      <w:numFmt w:val="decimal"/>
      <w:lvlText w:val="%1."/>
      <w:lvlJc w:val="left"/>
      <w:pPr>
        <w:ind w:left="720" w:hanging="360"/>
      </w:pPr>
      <w:rPr>
        <w:rFonts w:eastAsia="Times New Roman"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nsid w:val="1D742CDA"/>
    <w:multiLevelType w:val="hybridMultilevel"/>
    <w:tmpl w:val="AE2E90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1DC70F8D"/>
    <w:multiLevelType w:val="hybridMultilevel"/>
    <w:tmpl w:val="744AD2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1E3A4302"/>
    <w:multiLevelType w:val="hybridMultilevel"/>
    <w:tmpl w:val="FA342800"/>
    <w:lvl w:ilvl="0" w:tplc="305C8222">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9">
    <w:nsid w:val="1E402A55"/>
    <w:multiLevelType w:val="hybridMultilevel"/>
    <w:tmpl w:val="806AD4C6"/>
    <w:lvl w:ilvl="0" w:tplc="644ADD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nsid w:val="1EE3141E"/>
    <w:multiLevelType w:val="hybridMultilevel"/>
    <w:tmpl w:val="0C86F5B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1">
    <w:nsid w:val="1F9E2F78"/>
    <w:multiLevelType w:val="hybridMultilevel"/>
    <w:tmpl w:val="AA9E0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209E07DA"/>
    <w:multiLevelType w:val="hybridMultilevel"/>
    <w:tmpl w:val="4FFA8C3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nsid w:val="20CC5CA3"/>
    <w:multiLevelType w:val="hybridMultilevel"/>
    <w:tmpl w:val="30C67608"/>
    <w:lvl w:ilvl="0" w:tplc="D8304C5E">
      <w:start w:val="1"/>
      <w:numFmt w:val="bullet"/>
      <w:lvlText w:val=""/>
      <w:lvlJc w:val="left"/>
      <w:pPr>
        <w:ind w:left="720" w:hanging="360"/>
      </w:pPr>
      <w:rPr>
        <w:rFonts w:ascii="Symbol" w:eastAsiaTheme="minorHAnsi" w:hAnsi="Symbol" w:cstheme="minorBidi" w:hint="default"/>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20D24A38"/>
    <w:multiLevelType w:val="hybridMultilevel"/>
    <w:tmpl w:val="64BCF6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5">
    <w:nsid w:val="22641B93"/>
    <w:multiLevelType w:val="hybridMultilevel"/>
    <w:tmpl w:val="A684AD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nsid w:val="23E071E3"/>
    <w:multiLevelType w:val="hybridMultilevel"/>
    <w:tmpl w:val="AEE28B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nsid w:val="24D52D68"/>
    <w:multiLevelType w:val="hybridMultilevel"/>
    <w:tmpl w:val="7A16248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nsid w:val="253A4C1C"/>
    <w:multiLevelType w:val="hybridMultilevel"/>
    <w:tmpl w:val="1020E4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nsid w:val="264449AB"/>
    <w:multiLevelType w:val="multilevel"/>
    <w:tmpl w:val="CCC0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6CB7D96"/>
    <w:multiLevelType w:val="hybridMultilevel"/>
    <w:tmpl w:val="E188BD48"/>
    <w:lvl w:ilvl="0" w:tplc="D3D88F96">
      <w:start w:val="2"/>
      <w:numFmt w:val="bullet"/>
      <w:lvlText w:val=""/>
      <w:lvlJc w:val="left"/>
      <w:pPr>
        <w:ind w:left="720" w:hanging="360"/>
      </w:pPr>
      <w:rPr>
        <w:rFonts w:ascii="Symbol" w:eastAsiaTheme="minorHAnsi" w:hAnsi="Symbol" w:cs="Arial" w:hint="default"/>
        <w:b w:val="0"/>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nsid w:val="29AD00AF"/>
    <w:multiLevelType w:val="multilevel"/>
    <w:tmpl w:val="F148DFD0"/>
    <w:lvl w:ilvl="0">
      <w:start w:val="6"/>
      <w:numFmt w:val="decimal"/>
      <w:lvlText w:val="%1"/>
      <w:lvlJc w:val="left"/>
      <w:pPr>
        <w:ind w:left="855" w:hanging="855"/>
      </w:pPr>
      <w:rPr>
        <w:rFonts w:hint="default"/>
      </w:rPr>
    </w:lvl>
    <w:lvl w:ilvl="1">
      <w:start w:val="786"/>
      <w:numFmt w:val="decimal"/>
      <w:lvlText w:val="%1.%2"/>
      <w:lvlJc w:val="left"/>
      <w:pPr>
        <w:ind w:left="2077" w:hanging="855"/>
      </w:pPr>
      <w:rPr>
        <w:rFonts w:hint="default"/>
      </w:rPr>
    </w:lvl>
    <w:lvl w:ilvl="2">
      <w:start w:val="46"/>
      <w:numFmt w:val="decimalZero"/>
      <w:lvlText w:val="%1.%2.%3"/>
      <w:lvlJc w:val="left"/>
      <w:pPr>
        <w:ind w:left="3299" w:hanging="855"/>
      </w:pPr>
      <w:rPr>
        <w:rFonts w:hint="default"/>
      </w:rPr>
    </w:lvl>
    <w:lvl w:ilvl="3">
      <w:start w:val="1"/>
      <w:numFmt w:val="decimal"/>
      <w:lvlText w:val="%1.%2.%3.%4"/>
      <w:lvlJc w:val="left"/>
      <w:pPr>
        <w:ind w:left="4746" w:hanging="1080"/>
      </w:pPr>
      <w:rPr>
        <w:rFonts w:hint="default"/>
      </w:rPr>
    </w:lvl>
    <w:lvl w:ilvl="4">
      <w:start w:val="1"/>
      <w:numFmt w:val="decimal"/>
      <w:lvlText w:val="%1.%2.%3.%4.%5"/>
      <w:lvlJc w:val="left"/>
      <w:pPr>
        <w:ind w:left="6328" w:hanging="1440"/>
      </w:pPr>
      <w:rPr>
        <w:rFonts w:hint="default"/>
      </w:rPr>
    </w:lvl>
    <w:lvl w:ilvl="5">
      <w:start w:val="1"/>
      <w:numFmt w:val="decimal"/>
      <w:lvlText w:val="%1.%2.%3.%4.%5.%6"/>
      <w:lvlJc w:val="left"/>
      <w:pPr>
        <w:ind w:left="7550" w:hanging="1440"/>
      </w:pPr>
      <w:rPr>
        <w:rFonts w:hint="default"/>
      </w:rPr>
    </w:lvl>
    <w:lvl w:ilvl="6">
      <w:start w:val="1"/>
      <w:numFmt w:val="decimal"/>
      <w:lvlText w:val="%1.%2.%3.%4.%5.%6.%7"/>
      <w:lvlJc w:val="left"/>
      <w:pPr>
        <w:ind w:left="9132" w:hanging="1800"/>
      </w:pPr>
      <w:rPr>
        <w:rFonts w:hint="default"/>
      </w:rPr>
    </w:lvl>
    <w:lvl w:ilvl="7">
      <w:start w:val="1"/>
      <w:numFmt w:val="decimal"/>
      <w:lvlText w:val="%1.%2.%3.%4.%5.%6.%7.%8"/>
      <w:lvlJc w:val="left"/>
      <w:pPr>
        <w:ind w:left="10714" w:hanging="2160"/>
      </w:pPr>
      <w:rPr>
        <w:rFonts w:hint="default"/>
      </w:rPr>
    </w:lvl>
    <w:lvl w:ilvl="8">
      <w:start w:val="1"/>
      <w:numFmt w:val="decimal"/>
      <w:lvlText w:val="%1.%2.%3.%4.%5.%6.%7.%8.%9"/>
      <w:lvlJc w:val="left"/>
      <w:pPr>
        <w:ind w:left="11936" w:hanging="2160"/>
      </w:pPr>
      <w:rPr>
        <w:rFonts w:hint="default"/>
      </w:rPr>
    </w:lvl>
  </w:abstractNum>
  <w:abstractNum w:abstractNumId="62">
    <w:nsid w:val="29D45B68"/>
    <w:multiLevelType w:val="hybridMultilevel"/>
    <w:tmpl w:val="C86687C4"/>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3">
    <w:nsid w:val="2A083B61"/>
    <w:multiLevelType w:val="hybridMultilevel"/>
    <w:tmpl w:val="EDFA5212"/>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4">
    <w:nsid w:val="2A9C5EFA"/>
    <w:multiLevelType w:val="hybridMultilevel"/>
    <w:tmpl w:val="00F4008C"/>
    <w:lvl w:ilvl="0" w:tplc="A76C70F0">
      <w:start w:val="1"/>
      <w:numFmt w:val="bullet"/>
      <w:lvlText w:val="-"/>
      <w:lvlJc w:val="left"/>
      <w:pPr>
        <w:ind w:left="720" w:hanging="360"/>
      </w:pPr>
      <w:rPr>
        <w:rFonts w:ascii="Arial Narrow" w:eastAsiaTheme="minorEastAsia" w:hAnsi="Arial Narrow"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nsid w:val="2B092174"/>
    <w:multiLevelType w:val="hybridMultilevel"/>
    <w:tmpl w:val="25582C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2B7D1090"/>
    <w:multiLevelType w:val="hybridMultilevel"/>
    <w:tmpl w:val="11F6549E"/>
    <w:lvl w:ilvl="0" w:tplc="240A0017">
      <w:start w:val="1"/>
      <w:numFmt w:val="lowerLetter"/>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67">
    <w:nsid w:val="2D154393"/>
    <w:multiLevelType w:val="hybridMultilevel"/>
    <w:tmpl w:val="398C30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nsid w:val="2D47321B"/>
    <w:multiLevelType w:val="hybridMultilevel"/>
    <w:tmpl w:val="F57C3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nsid w:val="2E650C8E"/>
    <w:multiLevelType w:val="multilevel"/>
    <w:tmpl w:val="9708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E8F6ABE"/>
    <w:multiLevelType w:val="hybridMultilevel"/>
    <w:tmpl w:val="9DE85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2F3E1D1D"/>
    <w:multiLevelType w:val="hybridMultilevel"/>
    <w:tmpl w:val="CB343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nsid w:val="2F58016F"/>
    <w:multiLevelType w:val="hybridMultilevel"/>
    <w:tmpl w:val="28F80F70"/>
    <w:lvl w:ilvl="0" w:tplc="240A0001">
      <w:start w:val="1"/>
      <w:numFmt w:val="bullet"/>
      <w:lvlText w:val=""/>
      <w:lvlJc w:val="left"/>
      <w:pPr>
        <w:ind w:left="938" w:hanging="360"/>
      </w:pPr>
      <w:rPr>
        <w:rFonts w:ascii="Symbol" w:hAnsi="Symbol" w:hint="default"/>
      </w:rPr>
    </w:lvl>
    <w:lvl w:ilvl="1" w:tplc="240A0003" w:tentative="1">
      <w:start w:val="1"/>
      <w:numFmt w:val="bullet"/>
      <w:lvlText w:val="o"/>
      <w:lvlJc w:val="left"/>
      <w:pPr>
        <w:ind w:left="1658" w:hanging="360"/>
      </w:pPr>
      <w:rPr>
        <w:rFonts w:ascii="Courier New" w:hAnsi="Courier New" w:cs="Courier New" w:hint="default"/>
      </w:rPr>
    </w:lvl>
    <w:lvl w:ilvl="2" w:tplc="240A0005" w:tentative="1">
      <w:start w:val="1"/>
      <w:numFmt w:val="bullet"/>
      <w:lvlText w:val=""/>
      <w:lvlJc w:val="left"/>
      <w:pPr>
        <w:ind w:left="2378" w:hanging="360"/>
      </w:pPr>
      <w:rPr>
        <w:rFonts w:ascii="Wingdings" w:hAnsi="Wingdings" w:hint="default"/>
      </w:rPr>
    </w:lvl>
    <w:lvl w:ilvl="3" w:tplc="240A0001" w:tentative="1">
      <w:start w:val="1"/>
      <w:numFmt w:val="bullet"/>
      <w:lvlText w:val=""/>
      <w:lvlJc w:val="left"/>
      <w:pPr>
        <w:ind w:left="3098" w:hanging="360"/>
      </w:pPr>
      <w:rPr>
        <w:rFonts w:ascii="Symbol" w:hAnsi="Symbol" w:hint="default"/>
      </w:rPr>
    </w:lvl>
    <w:lvl w:ilvl="4" w:tplc="240A0003" w:tentative="1">
      <w:start w:val="1"/>
      <w:numFmt w:val="bullet"/>
      <w:lvlText w:val="o"/>
      <w:lvlJc w:val="left"/>
      <w:pPr>
        <w:ind w:left="3818" w:hanging="360"/>
      </w:pPr>
      <w:rPr>
        <w:rFonts w:ascii="Courier New" w:hAnsi="Courier New" w:cs="Courier New" w:hint="default"/>
      </w:rPr>
    </w:lvl>
    <w:lvl w:ilvl="5" w:tplc="240A0005" w:tentative="1">
      <w:start w:val="1"/>
      <w:numFmt w:val="bullet"/>
      <w:lvlText w:val=""/>
      <w:lvlJc w:val="left"/>
      <w:pPr>
        <w:ind w:left="4538" w:hanging="360"/>
      </w:pPr>
      <w:rPr>
        <w:rFonts w:ascii="Wingdings" w:hAnsi="Wingdings" w:hint="default"/>
      </w:rPr>
    </w:lvl>
    <w:lvl w:ilvl="6" w:tplc="240A0001" w:tentative="1">
      <w:start w:val="1"/>
      <w:numFmt w:val="bullet"/>
      <w:lvlText w:val=""/>
      <w:lvlJc w:val="left"/>
      <w:pPr>
        <w:ind w:left="5258" w:hanging="360"/>
      </w:pPr>
      <w:rPr>
        <w:rFonts w:ascii="Symbol" w:hAnsi="Symbol" w:hint="default"/>
      </w:rPr>
    </w:lvl>
    <w:lvl w:ilvl="7" w:tplc="240A0003" w:tentative="1">
      <w:start w:val="1"/>
      <w:numFmt w:val="bullet"/>
      <w:lvlText w:val="o"/>
      <w:lvlJc w:val="left"/>
      <w:pPr>
        <w:ind w:left="5978" w:hanging="360"/>
      </w:pPr>
      <w:rPr>
        <w:rFonts w:ascii="Courier New" w:hAnsi="Courier New" w:cs="Courier New" w:hint="default"/>
      </w:rPr>
    </w:lvl>
    <w:lvl w:ilvl="8" w:tplc="240A0005" w:tentative="1">
      <w:start w:val="1"/>
      <w:numFmt w:val="bullet"/>
      <w:lvlText w:val=""/>
      <w:lvlJc w:val="left"/>
      <w:pPr>
        <w:ind w:left="6698" w:hanging="360"/>
      </w:pPr>
      <w:rPr>
        <w:rFonts w:ascii="Wingdings" w:hAnsi="Wingdings" w:hint="default"/>
      </w:rPr>
    </w:lvl>
  </w:abstractNum>
  <w:abstractNum w:abstractNumId="73">
    <w:nsid w:val="2F8C4C36"/>
    <w:multiLevelType w:val="hybridMultilevel"/>
    <w:tmpl w:val="150CF592"/>
    <w:lvl w:ilvl="0" w:tplc="1D22E06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4">
    <w:nsid w:val="2FA041D7"/>
    <w:multiLevelType w:val="hybridMultilevel"/>
    <w:tmpl w:val="D61691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31FF34CE"/>
    <w:multiLevelType w:val="hybridMultilevel"/>
    <w:tmpl w:val="09FA1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20351BB"/>
    <w:multiLevelType w:val="hybridMultilevel"/>
    <w:tmpl w:val="E0DCF9D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7">
    <w:nsid w:val="321B7BD5"/>
    <w:multiLevelType w:val="hybridMultilevel"/>
    <w:tmpl w:val="FCF4C0B0"/>
    <w:lvl w:ilvl="0" w:tplc="D8304C5E">
      <w:start w:val="1"/>
      <w:numFmt w:val="bullet"/>
      <w:lvlText w:val=""/>
      <w:lvlJc w:val="left"/>
      <w:pPr>
        <w:ind w:left="720" w:hanging="360"/>
      </w:pPr>
      <w:rPr>
        <w:rFonts w:ascii="Symbol" w:eastAsiaTheme="minorHAnsi" w:hAnsi="Symbol" w:cstheme="minorBidi" w:hint="default"/>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8">
    <w:nsid w:val="325A6EEE"/>
    <w:multiLevelType w:val="hybridMultilevel"/>
    <w:tmpl w:val="C3CE45E8"/>
    <w:lvl w:ilvl="0" w:tplc="D8304C5E">
      <w:start w:val="1"/>
      <w:numFmt w:val="bullet"/>
      <w:lvlText w:val=""/>
      <w:lvlJc w:val="left"/>
      <w:pPr>
        <w:ind w:left="720" w:hanging="360"/>
      </w:pPr>
      <w:rPr>
        <w:rFonts w:ascii="Symbol" w:eastAsiaTheme="minorHAnsi" w:hAnsi="Symbol" w:cstheme="minorBidi" w:hint="default"/>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nsid w:val="33877ADF"/>
    <w:multiLevelType w:val="hybridMultilevel"/>
    <w:tmpl w:val="A05A3516"/>
    <w:lvl w:ilvl="0" w:tplc="080A000F">
      <w:start w:val="1"/>
      <w:numFmt w:val="decimal"/>
      <w:lvlText w:val="%1."/>
      <w:lvlJc w:val="left"/>
      <w:pPr>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33977069"/>
    <w:multiLevelType w:val="hybridMultilevel"/>
    <w:tmpl w:val="6426A0B8"/>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1">
    <w:nsid w:val="34130B81"/>
    <w:multiLevelType w:val="hybridMultilevel"/>
    <w:tmpl w:val="2B62DD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nsid w:val="366F776C"/>
    <w:multiLevelType w:val="multilevel"/>
    <w:tmpl w:val="79FA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6A766F8"/>
    <w:multiLevelType w:val="hybridMultilevel"/>
    <w:tmpl w:val="4170CB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nsid w:val="36D30B1E"/>
    <w:multiLevelType w:val="hybridMultilevel"/>
    <w:tmpl w:val="7C8EF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37853756"/>
    <w:multiLevelType w:val="hybridMultilevel"/>
    <w:tmpl w:val="49B899F4"/>
    <w:lvl w:ilvl="0" w:tplc="D8304C5E">
      <w:start w:val="1"/>
      <w:numFmt w:val="bullet"/>
      <w:lvlText w:val=""/>
      <w:lvlJc w:val="left"/>
      <w:pPr>
        <w:ind w:left="720" w:hanging="360"/>
      </w:pPr>
      <w:rPr>
        <w:rFonts w:ascii="Symbol" w:eastAsiaTheme="minorHAnsi" w:hAnsi="Symbol" w:cstheme="minorBidi" w:hint="default"/>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nsid w:val="37AA2B08"/>
    <w:multiLevelType w:val="hybridMultilevel"/>
    <w:tmpl w:val="DB641A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7">
    <w:nsid w:val="37E76099"/>
    <w:multiLevelType w:val="hybridMultilevel"/>
    <w:tmpl w:val="30B289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8">
    <w:nsid w:val="3836299A"/>
    <w:multiLevelType w:val="hybridMultilevel"/>
    <w:tmpl w:val="82AEC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nsid w:val="387E7C22"/>
    <w:multiLevelType w:val="hybridMultilevel"/>
    <w:tmpl w:val="D4F20748"/>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0">
    <w:nsid w:val="3A3555D6"/>
    <w:multiLevelType w:val="hybridMultilevel"/>
    <w:tmpl w:val="EACC292C"/>
    <w:lvl w:ilvl="0" w:tplc="1E727004">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3AB0291D"/>
    <w:multiLevelType w:val="hybridMultilevel"/>
    <w:tmpl w:val="EAC40C5E"/>
    <w:lvl w:ilvl="0" w:tplc="240A0017">
      <w:start w:val="1"/>
      <w:numFmt w:val="lowerLetter"/>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92">
    <w:nsid w:val="3CFB249C"/>
    <w:multiLevelType w:val="hybridMultilevel"/>
    <w:tmpl w:val="ED521E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3">
    <w:nsid w:val="3D1E5695"/>
    <w:multiLevelType w:val="hybridMultilevel"/>
    <w:tmpl w:val="0FDA6C0C"/>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4">
    <w:nsid w:val="3DCB5F3A"/>
    <w:multiLevelType w:val="hybridMultilevel"/>
    <w:tmpl w:val="F2F8A186"/>
    <w:lvl w:ilvl="0" w:tplc="DFFC6778">
      <w:start w:val="1"/>
      <w:numFmt w:val="decimal"/>
      <w:lvlText w:val="%1-"/>
      <w:lvlJc w:val="left"/>
      <w:pPr>
        <w:ind w:left="76" w:hanging="360"/>
      </w:pPr>
      <w:rPr>
        <w:rFonts w:hint="default"/>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95">
    <w:nsid w:val="3F7074B1"/>
    <w:multiLevelType w:val="multilevel"/>
    <w:tmpl w:val="1474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0E9722A"/>
    <w:multiLevelType w:val="hybridMultilevel"/>
    <w:tmpl w:val="0D26B6A6"/>
    <w:lvl w:ilvl="0" w:tplc="8A3ECC3A">
      <w:start w:val="1"/>
      <w:numFmt w:val="bullet"/>
      <w:lvlText w:val="-"/>
      <w:lvlJc w:val="left"/>
      <w:pPr>
        <w:ind w:left="786" w:hanging="360"/>
      </w:pPr>
      <w:rPr>
        <w:rFonts w:ascii="Arial Narrow" w:eastAsiaTheme="minorHAnsi" w:hAnsi="Arial Narrow" w:cstheme="minorBidi"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97">
    <w:nsid w:val="41226CEB"/>
    <w:multiLevelType w:val="hybridMultilevel"/>
    <w:tmpl w:val="8F4E0B16"/>
    <w:lvl w:ilvl="0" w:tplc="240A0017">
      <w:start w:val="1"/>
      <w:numFmt w:val="lowerLetter"/>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98">
    <w:nsid w:val="419F44D5"/>
    <w:multiLevelType w:val="hybridMultilevel"/>
    <w:tmpl w:val="A05A3516"/>
    <w:lvl w:ilvl="0" w:tplc="080A000F">
      <w:start w:val="1"/>
      <w:numFmt w:val="decimal"/>
      <w:lvlText w:val="%1."/>
      <w:lvlJc w:val="left"/>
      <w:pPr>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nsid w:val="41BA4D38"/>
    <w:multiLevelType w:val="hybridMultilevel"/>
    <w:tmpl w:val="23525AE6"/>
    <w:lvl w:ilvl="0" w:tplc="8B0233B4">
      <w:start w:val="1"/>
      <w:numFmt w:val="bullet"/>
      <w:lvlText w:val="•"/>
      <w:lvlJc w:val="left"/>
      <w:pPr>
        <w:tabs>
          <w:tab w:val="num" w:pos="720"/>
        </w:tabs>
        <w:ind w:left="720" w:hanging="360"/>
      </w:pPr>
      <w:rPr>
        <w:rFonts w:ascii="Arial" w:hAnsi="Arial" w:hint="default"/>
      </w:rPr>
    </w:lvl>
    <w:lvl w:ilvl="1" w:tplc="1200F3E4" w:tentative="1">
      <w:start w:val="1"/>
      <w:numFmt w:val="bullet"/>
      <w:lvlText w:val="•"/>
      <w:lvlJc w:val="left"/>
      <w:pPr>
        <w:tabs>
          <w:tab w:val="num" w:pos="1440"/>
        </w:tabs>
        <w:ind w:left="1440" w:hanging="360"/>
      </w:pPr>
      <w:rPr>
        <w:rFonts w:ascii="Arial" w:hAnsi="Arial" w:hint="default"/>
      </w:rPr>
    </w:lvl>
    <w:lvl w:ilvl="2" w:tplc="36FA6960" w:tentative="1">
      <w:start w:val="1"/>
      <w:numFmt w:val="bullet"/>
      <w:lvlText w:val="•"/>
      <w:lvlJc w:val="left"/>
      <w:pPr>
        <w:tabs>
          <w:tab w:val="num" w:pos="2160"/>
        </w:tabs>
        <w:ind w:left="2160" w:hanging="360"/>
      </w:pPr>
      <w:rPr>
        <w:rFonts w:ascii="Arial" w:hAnsi="Arial" w:hint="default"/>
      </w:rPr>
    </w:lvl>
    <w:lvl w:ilvl="3" w:tplc="F3F6DE50" w:tentative="1">
      <w:start w:val="1"/>
      <w:numFmt w:val="bullet"/>
      <w:lvlText w:val="•"/>
      <w:lvlJc w:val="left"/>
      <w:pPr>
        <w:tabs>
          <w:tab w:val="num" w:pos="2880"/>
        </w:tabs>
        <w:ind w:left="2880" w:hanging="360"/>
      </w:pPr>
      <w:rPr>
        <w:rFonts w:ascii="Arial" w:hAnsi="Arial" w:hint="default"/>
      </w:rPr>
    </w:lvl>
    <w:lvl w:ilvl="4" w:tplc="1DC67848" w:tentative="1">
      <w:start w:val="1"/>
      <w:numFmt w:val="bullet"/>
      <w:lvlText w:val="•"/>
      <w:lvlJc w:val="left"/>
      <w:pPr>
        <w:tabs>
          <w:tab w:val="num" w:pos="3600"/>
        </w:tabs>
        <w:ind w:left="3600" w:hanging="360"/>
      </w:pPr>
      <w:rPr>
        <w:rFonts w:ascii="Arial" w:hAnsi="Arial" w:hint="default"/>
      </w:rPr>
    </w:lvl>
    <w:lvl w:ilvl="5" w:tplc="EE7EF81C" w:tentative="1">
      <w:start w:val="1"/>
      <w:numFmt w:val="bullet"/>
      <w:lvlText w:val="•"/>
      <w:lvlJc w:val="left"/>
      <w:pPr>
        <w:tabs>
          <w:tab w:val="num" w:pos="4320"/>
        </w:tabs>
        <w:ind w:left="4320" w:hanging="360"/>
      </w:pPr>
      <w:rPr>
        <w:rFonts w:ascii="Arial" w:hAnsi="Arial" w:hint="default"/>
      </w:rPr>
    </w:lvl>
    <w:lvl w:ilvl="6" w:tplc="E4E6CF88" w:tentative="1">
      <w:start w:val="1"/>
      <w:numFmt w:val="bullet"/>
      <w:lvlText w:val="•"/>
      <w:lvlJc w:val="left"/>
      <w:pPr>
        <w:tabs>
          <w:tab w:val="num" w:pos="5040"/>
        </w:tabs>
        <w:ind w:left="5040" w:hanging="360"/>
      </w:pPr>
      <w:rPr>
        <w:rFonts w:ascii="Arial" w:hAnsi="Arial" w:hint="default"/>
      </w:rPr>
    </w:lvl>
    <w:lvl w:ilvl="7" w:tplc="2D9875FC" w:tentative="1">
      <w:start w:val="1"/>
      <w:numFmt w:val="bullet"/>
      <w:lvlText w:val="•"/>
      <w:lvlJc w:val="left"/>
      <w:pPr>
        <w:tabs>
          <w:tab w:val="num" w:pos="5760"/>
        </w:tabs>
        <w:ind w:left="5760" w:hanging="360"/>
      </w:pPr>
      <w:rPr>
        <w:rFonts w:ascii="Arial" w:hAnsi="Arial" w:hint="default"/>
      </w:rPr>
    </w:lvl>
    <w:lvl w:ilvl="8" w:tplc="E25A4EE6" w:tentative="1">
      <w:start w:val="1"/>
      <w:numFmt w:val="bullet"/>
      <w:lvlText w:val="•"/>
      <w:lvlJc w:val="left"/>
      <w:pPr>
        <w:tabs>
          <w:tab w:val="num" w:pos="6480"/>
        </w:tabs>
        <w:ind w:left="6480" w:hanging="360"/>
      </w:pPr>
      <w:rPr>
        <w:rFonts w:ascii="Arial" w:hAnsi="Arial" w:hint="default"/>
      </w:rPr>
    </w:lvl>
  </w:abstractNum>
  <w:abstractNum w:abstractNumId="100">
    <w:nsid w:val="42A02D38"/>
    <w:multiLevelType w:val="hybridMultilevel"/>
    <w:tmpl w:val="E78696AC"/>
    <w:lvl w:ilvl="0" w:tplc="3C864B48">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01">
    <w:nsid w:val="42CD63C4"/>
    <w:multiLevelType w:val="hybridMultilevel"/>
    <w:tmpl w:val="18D894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nsid w:val="42EB7205"/>
    <w:multiLevelType w:val="hybridMultilevel"/>
    <w:tmpl w:val="DB06246E"/>
    <w:lvl w:ilvl="0" w:tplc="15387A96">
      <w:start w:val="1"/>
      <w:numFmt w:val="lowerLetter"/>
      <w:lvlText w:val="%1)"/>
      <w:lvlJc w:val="left"/>
      <w:pPr>
        <w:tabs>
          <w:tab w:val="num" w:pos="720"/>
        </w:tabs>
        <w:ind w:left="720" w:hanging="360"/>
      </w:pPr>
    </w:lvl>
    <w:lvl w:ilvl="1" w:tplc="483EDC8C" w:tentative="1">
      <w:start w:val="1"/>
      <w:numFmt w:val="lowerLetter"/>
      <w:lvlText w:val="%2)"/>
      <w:lvlJc w:val="left"/>
      <w:pPr>
        <w:tabs>
          <w:tab w:val="num" w:pos="1440"/>
        </w:tabs>
        <w:ind w:left="1440" w:hanging="360"/>
      </w:pPr>
    </w:lvl>
    <w:lvl w:ilvl="2" w:tplc="8BEEAE52" w:tentative="1">
      <w:start w:val="1"/>
      <w:numFmt w:val="lowerLetter"/>
      <w:lvlText w:val="%3)"/>
      <w:lvlJc w:val="left"/>
      <w:pPr>
        <w:tabs>
          <w:tab w:val="num" w:pos="2160"/>
        </w:tabs>
        <w:ind w:left="2160" w:hanging="360"/>
      </w:pPr>
    </w:lvl>
    <w:lvl w:ilvl="3" w:tplc="F3905B92" w:tentative="1">
      <w:start w:val="1"/>
      <w:numFmt w:val="lowerLetter"/>
      <w:lvlText w:val="%4)"/>
      <w:lvlJc w:val="left"/>
      <w:pPr>
        <w:tabs>
          <w:tab w:val="num" w:pos="2880"/>
        </w:tabs>
        <w:ind w:left="2880" w:hanging="360"/>
      </w:pPr>
    </w:lvl>
    <w:lvl w:ilvl="4" w:tplc="77A8E1C6" w:tentative="1">
      <w:start w:val="1"/>
      <w:numFmt w:val="lowerLetter"/>
      <w:lvlText w:val="%5)"/>
      <w:lvlJc w:val="left"/>
      <w:pPr>
        <w:tabs>
          <w:tab w:val="num" w:pos="3600"/>
        </w:tabs>
        <w:ind w:left="3600" w:hanging="360"/>
      </w:pPr>
    </w:lvl>
    <w:lvl w:ilvl="5" w:tplc="2996A534" w:tentative="1">
      <w:start w:val="1"/>
      <w:numFmt w:val="lowerLetter"/>
      <w:lvlText w:val="%6)"/>
      <w:lvlJc w:val="left"/>
      <w:pPr>
        <w:tabs>
          <w:tab w:val="num" w:pos="4320"/>
        </w:tabs>
        <w:ind w:left="4320" w:hanging="360"/>
      </w:pPr>
    </w:lvl>
    <w:lvl w:ilvl="6" w:tplc="50BCBABA" w:tentative="1">
      <w:start w:val="1"/>
      <w:numFmt w:val="lowerLetter"/>
      <w:lvlText w:val="%7)"/>
      <w:lvlJc w:val="left"/>
      <w:pPr>
        <w:tabs>
          <w:tab w:val="num" w:pos="5040"/>
        </w:tabs>
        <w:ind w:left="5040" w:hanging="360"/>
      </w:pPr>
    </w:lvl>
    <w:lvl w:ilvl="7" w:tplc="181AFF32" w:tentative="1">
      <w:start w:val="1"/>
      <w:numFmt w:val="lowerLetter"/>
      <w:lvlText w:val="%8)"/>
      <w:lvlJc w:val="left"/>
      <w:pPr>
        <w:tabs>
          <w:tab w:val="num" w:pos="5760"/>
        </w:tabs>
        <w:ind w:left="5760" w:hanging="360"/>
      </w:pPr>
    </w:lvl>
    <w:lvl w:ilvl="8" w:tplc="B3E25FC0" w:tentative="1">
      <w:start w:val="1"/>
      <w:numFmt w:val="lowerLetter"/>
      <w:lvlText w:val="%9)"/>
      <w:lvlJc w:val="left"/>
      <w:pPr>
        <w:tabs>
          <w:tab w:val="num" w:pos="6480"/>
        </w:tabs>
        <w:ind w:left="6480" w:hanging="360"/>
      </w:pPr>
    </w:lvl>
  </w:abstractNum>
  <w:abstractNum w:abstractNumId="103">
    <w:nsid w:val="4378198A"/>
    <w:multiLevelType w:val="hybridMultilevel"/>
    <w:tmpl w:val="E640D134"/>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4">
    <w:nsid w:val="43D04726"/>
    <w:multiLevelType w:val="multilevel"/>
    <w:tmpl w:val="A2AA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45C4E1B"/>
    <w:multiLevelType w:val="hybridMultilevel"/>
    <w:tmpl w:val="26142A6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6">
    <w:nsid w:val="44A940D4"/>
    <w:multiLevelType w:val="hybridMultilevel"/>
    <w:tmpl w:val="37680B16"/>
    <w:lvl w:ilvl="0" w:tplc="BBBA817E">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nsid w:val="45AB68FF"/>
    <w:multiLevelType w:val="hybridMultilevel"/>
    <w:tmpl w:val="C17648DA"/>
    <w:lvl w:ilvl="0" w:tplc="4992EEAC">
      <w:start w:val="2"/>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46AC0470"/>
    <w:multiLevelType w:val="hybridMultilevel"/>
    <w:tmpl w:val="95D6B872"/>
    <w:lvl w:ilvl="0" w:tplc="CED20224">
      <w:numFmt w:val="bullet"/>
      <w:lvlText w:val="-"/>
      <w:lvlJc w:val="left"/>
      <w:pPr>
        <w:ind w:left="720" w:hanging="360"/>
      </w:pPr>
      <w:rPr>
        <w:rFonts w:ascii="Arial Narrow" w:eastAsia="Calibri"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nsid w:val="48650C18"/>
    <w:multiLevelType w:val="hybridMultilevel"/>
    <w:tmpl w:val="48BCDC9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0">
    <w:nsid w:val="4868700A"/>
    <w:multiLevelType w:val="multilevel"/>
    <w:tmpl w:val="F4E4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49480EA8"/>
    <w:multiLevelType w:val="hybridMultilevel"/>
    <w:tmpl w:val="FFA61D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2">
    <w:nsid w:val="498233FB"/>
    <w:multiLevelType w:val="hybridMultilevel"/>
    <w:tmpl w:val="4B685BB8"/>
    <w:lvl w:ilvl="0" w:tplc="D8304C5E">
      <w:start w:val="1"/>
      <w:numFmt w:val="bullet"/>
      <w:lvlText w:val=""/>
      <w:lvlJc w:val="left"/>
      <w:pPr>
        <w:ind w:left="720" w:hanging="360"/>
      </w:pPr>
      <w:rPr>
        <w:rFonts w:ascii="Symbol" w:eastAsiaTheme="minorHAnsi" w:hAnsi="Symbol" w:cstheme="minorBidi" w:hint="default"/>
        <w:b w:val="0"/>
        <w:i w:val="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3">
    <w:nsid w:val="4AE62C14"/>
    <w:multiLevelType w:val="multilevel"/>
    <w:tmpl w:val="7DE670D0"/>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nsid w:val="4B937C61"/>
    <w:multiLevelType w:val="hybridMultilevel"/>
    <w:tmpl w:val="E9F29AAC"/>
    <w:lvl w:ilvl="0" w:tplc="240A0001">
      <w:start w:val="1"/>
      <w:numFmt w:val="bullet"/>
      <w:lvlText w:val=""/>
      <w:lvlJc w:val="left"/>
      <w:pPr>
        <w:ind w:left="644" w:hanging="360"/>
      </w:pPr>
      <w:rPr>
        <w:rFonts w:ascii="Symbol" w:hAnsi="Symbol"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15">
    <w:nsid w:val="4CC73584"/>
    <w:multiLevelType w:val="hybridMultilevel"/>
    <w:tmpl w:val="1D84B7D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6">
    <w:nsid w:val="4E9731CA"/>
    <w:multiLevelType w:val="hybridMultilevel"/>
    <w:tmpl w:val="9258AC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7">
    <w:nsid w:val="4F646E40"/>
    <w:multiLevelType w:val="multilevel"/>
    <w:tmpl w:val="C564279C"/>
    <w:lvl w:ilvl="0">
      <w:start w:val="1"/>
      <w:numFmt w:val="bullet"/>
      <w:pStyle w:val="ndice1"/>
      <w:lvlText w:val=""/>
      <w:lvlJc w:val="left"/>
      <w:pPr>
        <w:tabs>
          <w:tab w:val="num" w:pos="600"/>
        </w:tabs>
        <w:ind w:left="600" w:hanging="600"/>
      </w:pPr>
      <w:rPr>
        <w:rFonts w:ascii="Symbol" w:hAnsi="Symbol" w:hint="default"/>
      </w:rPr>
    </w:lvl>
    <w:lvl w:ilvl="1">
      <w:start w:val="2"/>
      <w:numFmt w:val="decimal"/>
      <w:lvlText w:val="%1.%2."/>
      <w:lvlJc w:val="left"/>
      <w:pPr>
        <w:tabs>
          <w:tab w:val="num" w:pos="720"/>
        </w:tabs>
        <w:ind w:left="720" w:hanging="720"/>
      </w:pPr>
      <w:rPr>
        <w:rFonts w:hint="default"/>
        <w:b/>
        <w:bCs/>
        <w:i w:val="0"/>
        <w:iCs w:val="0"/>
      </w:rPr>
    </w:lvl>
    <w:lvl w:ilvl="2">
      <w:start w:val="1"/>
      <w:numFmt w:val="bullet"/>
      <w:lvlText w:val=""/>
      <w:lvlJc w:val="left"/>
      <w:pPr>
        <w:tabs>
          <w:tab w:val="num" w:pos="720"/>
        </w:tabs>
        <w:ind w:left="720" w:hanging="720"/>
      </w:pPr>
      <w:rPr>
        <w:rFonts w:ascii="Symbol" w:hAnsi="Symbol" w:hint="default"/>
        <w:b/>
        <w:bCs/>
        <w:i w:val="0"/>
        <w:iCs w:val="0"/>
        <w:lang w:val="es-MX"/>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8">
    <w:nsid w:val="50C54E77"/>
    <w:multiLevelType w:val="hybridMultilevel"/>
    <w:tmpl w:val="2E04C2D8"/>
    <w:lvl w:ilvl="0" w:tplc="8CF8A2B2">
      <w:start w:val="1"/>
      <w:numFmt w:val="decimal"/>
      <w:lvlText w:val="%1."/>
      <w:lvlJc w:val="left"/>
      <w:pPr>
        <w:ind w:left="720" w:hanging="360"/>
      </w:pPr>
      <w:rPr>
        <w:rFonts w:ascii="Arial Narrow" w:eastAsiaTheme="minorEastAsia" w:hAnsi="Arial Narrow" w:cstheme="minorHAnsi"/>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9">
    <w:nsid w:val="52333B0B"/>
    <w:multiLevelType w:val="hybridMultilevel"/>
    <w:tmpl w:val="55CE28C2"/>
    <w:lvl w:ilvl="0" w:tplc="D8304C5E">
      <w:start w:val="1"/>
      <w:numFmt w:val="bullet"/>
      <w:lvlText w:val=""/>
      <w:lvlJc w:val="left"/>
      <w:pPr>
        <w:ind w:left="720" w:hanging="360"/>
      </w:pPr>
      <w:rPr>
        <w:rFonts w:ascii="Symbol" w:eastAsiaTheme="minorHAnsi" w:hAnsi="Symbol" w:cstheme="minorBidi" w:hint="default"/>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0">
    <w:nsid w:val="531D447D"/>
    <w:multiLevelType w:val="hybridMultilevel"/>
    <w:tmpl w:val="E056E81E"/>
    <w:lvl w:ilvl="0" w:tplc="D8304C5E">
      <w:start w:val="1"/>
      <w:numFmt w:val="bullet"/>
      <w:lvlText w:val=""/>
      <w:lvlJc w:val="left"/>
      <w:pPr>
        <w:ind w:left="720" w:hanging="360"/>
      </w:pPr>
      <w:rPr>
        <w:rFonts w:ascii="Symbol" w:eastAsiaTheme="minorHAnsi" w:hAnsi="Symbol" w:cstheme="minorBidi" w:hint="default"/>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1">
    <w:nsid w:val="534422F8"/>
    <w:multiLevelType w:val="hybridMultilevel"/>
    <w:tmpl w:val="21EA8AFC"/>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nsid w:val="53A403AB"/>
    <w:multiLevelType w:val="hybridMultilevel"/>
    <w:tmpl w:val="7B4EDEEC"/>
    <w:lvl w:ilvl="0" w:tplc="5784E172">
      <w:numFmt w:val="bullet"/>
      <w:lvlText w:val="-"/>
      <w:lvlJc w:val="left"/>
      <w:pPr>
        <w:ind w:left="720" w:hanging="360"/>
      </w:pPr>
      <w:rPr>
        <w:rFonts w:ascii="Calibri" w:eastAsia="Calibri" w:hAnsi="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3">
    <w:nsid w:val="554A39A5"/>
    <w:multiLevelType w:val="hybridMultilevel"/>
    <w:tmpl w:val="7402F0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nsid w:val="55B01932"/>
    <w:multiLevelType w:val="hybridMultilevel"/>
    <w:tmpl w:val="FFA61D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5">
    <w:nsid w:val="56320831"/>
    <w:multiLevelType w:val="hybridMultilevel"/>
    <w:tmpl w:val="CAE2CB20"/>
    <w:lvl w:ilvl="0" w:tplc="D8304C5E">
      <w:start w:val="1"/>
      <w:numFmt w:val="bullet"/>
      <w:lvlText w:val=""/>
      <w:lvlJc w:val="left"/>
      <w:pPr>
        <w:ind w:left="1080" w:hanging="360"/>
      </w:pPr>
      <w:rPr>
        <w:rFonts w:ascii="Symbol" w:eastAsiaTheme="minorHAnsi" w:hAnsi="Symbol" w:cstheme="minorBidi" w:hint="default"/>
        <w:b w:val="0"/>
        <w:i w:val="0"/>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6">
    <w:nsid w:val="571872D6"/>
    <w:multiLevelType w:val="hybridMultilevel"/>
    <w:tmpl w:val="563E1616"/>
    <w:lvl w:ilvl="0" w:tplc="447E02B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7">
    <w:nsid w:val="57E53252"/>
    <w:multiLevelType w:val="hybridMultilevel"/>
    <w:tmpl w:val="78E45B7A"/>
    <w:lvl w:ilvl="0" w:tplc="240A0019">
      <w:start w:val="1"/>
      <w:numFmt w:val="lowerLetter"/>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28">
    <w:nsid w:val="58236FE3"/>
    <w:multiLevelType w:val="hybridMultilevel"/>
    <w:tmpl w:val="1AE638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9">
    <w:nsid w:val="58796BD5"/>
    <w:multiLevelType w:val="multilevel"/>
    <w:tmpl w:val="672C6458"/>
    <w:lvl w:ilvl="0">
      <w:start w:val="1"/>
      <w:numFmt w:val="decimal"/>
      <w:lvlText w:val="%1."/>
      <w:lvlJc w:val="left"/>
      <w:pPr>
        <w:tabs>
          <w:tab w:val="num" w:pos="283"/>
        </w:tabs>
        <w:ind w:left="510" w:firstLine="0"/>
      </w:pPr>
      <w:rPr>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53"/>
        </w:tabs>
        <w:ind w:left="426" w:firstLine="0"/>
      </w:pPr>
      <w:rPr>
        <w:rFonts w:ascii="Trebuchet MS" w:hAnsi="Trebuchet MS" w:hint="default"/>
        <w:b/>
        <w:i w:val="0"/>
        <w:caps w:val="0"/>
        <w:strike w:val="0"/>
        <w:dstrike w:val="0"/>
        <w:outline w:val="0"/>
        <w:shadow w:val="0"/>
        <w:emboss w:val="0"/>
        <w:imprint w:val="0"/>
        <w:vanish w:val="0"/>
        <w:color w:val="auto"/>
        <w:sz w:val="24"/>
        <w:szCs w:val="24"/>
        <w:u w:val="none"/>
        <w:vertAlign w:val="baseline"/>
        <w:em w:val="none"/>
      </w:rPr>
    </w:lvl>
    <w:lvl w:ilvl="2">
      <w:start w:val="1"/>
      <w:numFmt w:val="decimal"/>
      <w:lvlText w:val="%1.%2.%3"/>
      <w:lvlJc w:val="left"/>
      <w:pPr>
        <w:tabs>
          <w:tab w:val="num" w:pos="1923"/>
        </w:tabs>
        <w:ind w:left="1923" w:hanging="504"/>
      </w:pPr>
      <w:rPr>
        <w:rFonts w:ascii="Trebuchet MS" w:eastAsia="Arial Unicode MS" w:hAnsi="Trebuchet MS" w:hint="default"/>
        <w:b/>
        <w:i w:val="0"/>
        <w:caps w:val="0"/>
        <w:strike w:val="0"/>
        <w:dstrike w:val="0"/>
        <w:outline w:val="0"/>
        <w:shadow w:val="0"/>
        <w:emboss w:val="0"/>
        <w:imprint w:val="0"/>
        <w:vanish w:val="0"/>
        <w:color w:val="auto"/>
        <w:sz w:val="22"/>
        <w:szCs w:val="22"/>
        <w:u w:val="none"/>
        <w:vertAlign w:val="baseline"/>
        <w:em w:val="none"/>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130">
    <w:nsid w:val="595F5172"/>
    <w:multiLevelType w:val="hybridMultilevel"/>
    <w:tmpl w:val="A678F0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1">
    <w:nsid w:val="59A02605"/>
    <w:multiLevelType w:val="hybridMultilevel"/>
    <w:tmpl w:val="DCE012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2">
    <w:nsid w:val="59CF315A"/>
    <w:multiLevelType w:val="hybridMultilevel"/>
    <w:tmpl w:val="64C2C5CC"/>
    <w:lvl w:ilvl="0" w:tplc="9C389D10">
      <w:start w:val="1"/>
      <w:numFmt w:val="decimal"/>
      <w:lvlText w:val="%1-"/>
      <w:lvlJc w:val="left"/>
      <w:pPr>
        <w:ind w:left="720" w:hanging="360"/>
      </w:pPr>
      <w:rPr>
        <w:rFonts w:ascii="Arial Narrow" w:eastAsiaTheme="minorEastAsia" w:hAnsi="Arial Narrow" w:cstheme="minorBidi"/>
        <w:sz w:val="22"/>
        <w:szCs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3">
    <w:nsid w:val="5AEB25BF"/>
    <w:multiLevelType w:val="hybridMultilevel"/>
    <w:tmpl w:val="2902AAAC"/>
    <w:lvl w:ilvl="0" w:tplc="9A286626">
      <w:start w:val="1"/>
      <w:numFmt w:val="decimal"/>
      <w:lvlText w:val="%1."/>
      <w:lvlJc w:val="left"/>
      <w:pPr>
        <w:ind w:left="629" w:hanging="360"/>
      </w:pPr>
      <w:rPr>
        <w:rFonts w:hint="default"/>
      </w:rPr>
    </w:lvl>
    <w:lvl w:ilvl="1" w:tplc="240A0019" w:tentative="1">
      <w:start w:val="1"/>
      <w:numFmt w:val="lowerLetter"/>
      <w:lvlText w:val="%2."/>
      <w:lvlJc w:val="left"/>
      <w:pPr>
        <w:ind w:left="1349" w:hanging="360"/>
      </w:pPr>
    </w:lvl>
    <w:lvl w:ilvl="2" w:tplc="240A001B" w:tentative="1">
      <w:start w:val="1"/>
      <w:numFmt w:val="lowerRoman"/>
      <w:lvlText w:val="%3."/>
      <w:lvlJc w:val="right"/>
      <w:pPr>
        <w:ind w:left="2069" w:hanging="180"/>
      </w:pPr>
    </w:lvl>
    <w:lvl w:ilvl="3" w:tplc="240A000F" w:tentative="1">
      <w:start w:val="1"/>
      <w:numFmt w:val="decimal"/>
      <w:lvlText w:val="%4."/>
      <w:lvlJc w:val="left"/>
      <w:pPr>
        <w:ind w:left="2789" w:hanging="360"/>
      </w:pPr>
    </w:lvl>
    <w:lvl w:ilvl="4" w:tplc="240A0019" w:tentative="1">
      <w:start w:val="1"/>
      <w:numFmt w:val="lowerLetter"/>
      <w:lvlText w:val="%5."/>
      <w:lvlJc w:val="left"/>
      <w:pPr>
        <w:ind w:left="3509" w:hanging="360"/>
      </w:pPr>
    </w:lvl>
    <w:lvl w:ilvl="5" w:tplc="240A001B" w:tentative="1">
      <w:start w:val="1"/>
      <w:numFmt w:val="lowerRoman"/>
      <w:lvlText w:val="%6."/>
      <w:lvlJc w:val="right"/>
      <w:pPr>
        <w:ind w:left="4229" w:hanging="180"/>
      </w:pPr>
    </w:lvl>
    <w:lvl w:ilvl="6" w:tplc="240A000F" w:tentative="1">
      <w:start w:val="1"/>
      <w:numFmt w:val="decimal"/>
      <w:lvlText w:val="%7."/>
      <w:lvlJc w:val="left"/>
      <w:pPr>
        <w:ind w:left="4949" w:hanging="360"/>
      </w:pPr>
    </w:lvl>
    <w:lvl w:ilvl="7" w:tplc="240A0019" w:tentative="1">
      <w:start w:val="1"/>
      <w:numFmt w:val="lowerLetter"/>
      <w:lvlText w:val="%8."/>
      <w:lvlJc w:val="left"/>
      <w:pPr>
        <w:ind w:left="5669" w:hanging="360"/>
      </w:pPr>
    </w:lvl>
    <w:lvl w:ilvl="8" w:tplc="240A001B" w:tentative="1">
      <w:start w:val="1"/>
      <w:numFmt w:val="lowerRoman"/>
      <w:lvlText w:val="%9."/>
      <w:lvlJc w:val="right"/>
      <w:pPr>
        <w:ind w:left="6389" w:hanging="180"/>
      </w:pPr>
    </w:lvl>
  </w:abstractNum>
  <w:abstractNum w:abstractNumId="134">
    <w:nsid w:val="5AF10D29"/>
    <w:multiLevelType w:val="hybridMultilevel"/>
    <w:tmpl w:val="FDF64AC4"/>
    <w:lvl w:ilvl="0" w:tplc="D79ABF42">
      <w:start w:val="1"/>
      <w:numFmt w:val="bullet"/>
      <w:lvlText w:val="-"/>
      <w:lvlJc w:val="left"/>
      <w:pPr>
        <w:ind w:left="720" w:hanging="360"/>
      </w:pPr>
      <w:rPr>
        <w:rFonts w:ascii="Arial" w:eastAsia="Times New Roman"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5">
    <w:nsid w:val="5B730B35"/>
    <w:multiLevelType w:val="multilevel"/>
    <w:tmpl w:val="0458F6C0"/>
    <w:lvl w:ilvl="0">
      <w:start w:val="1"/>
      <w:numFmt w:val="lowerLetter"/>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nsid w:val="5B9101CE"/>
    <w:multiLevelType w:val="hybridMultilevel"/>
    <w:tmpl w:val="B54EEB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nsid w:val="5C0F7E60"/>
    <w:multiLevelType w:val="hybridMultilevel"/>
    <w:tmpl w:val="1458DF06"/>
    <w:lvl w:ilvl="0" w:tplc="D8304C5E">
      <w:start w:val="1"/>
      <w:numFmt w:val="bullet"/>
      <w:lvlText w:val=""/>
      <w:lvlJc w:val="left"/>
      <w:pPr>
        <w:ind w:left="720" w:hanging="360"/>
      </w:pPr>
      <w:rPr>
        <w:rFonts w:ascii="Symbol" w:eastAsiaTheme="minorHAnsi" w:hAnsi="Symbol" w:cstheme="minorBidi"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8">
    <w:nsid w:val="5D432089"/>
    <w:multiLevelType w:val="hybridMultilevel"/>
    <w:tmpl w:val="A6269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9">
    <w:nsid w:val="5D8928C8"/>
    <w:multiLevelType w:val="hybridMultilevel"/>
    <w:tmpl w:val="B1D606C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0">
    <w:nsid w:val="5F2F4AFD"/>
    <w:multiLevelType w:val="hybridMultilevel"/>
    <w:tmpl w:val="2D1E2D58"/>
    <w:lvl w:ilvl="0" w:tplc="E9EEFECC">
      <w:start w:val="1"/>
      <w:numFmt w:val="bullet"/>
      <w:lvlText w:val=""/>
      <w:lvlJc w:val="left"/>
      <w:pPr>
        <w:ind w:left="720" w:hanging="360"/>
      </w:pPr>
      <w:rPr>
        <w:rFonts w:ascii="Symbol" w:hAnsi="Symbol" w:hint="default"/>
        <w:color w:val="000000" w:themeColor="text1"/>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1">
    <w:nsid w:val="5FEB0119"/>
    <w:multiLevelType w:val="hybridMultilevel"/>
    <w:tmpl w:val="7C6E22F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2">
    <w:nsid w:val="600A3A72"/>
    <w:multiLevelType w:val="hybridMultilevel"/>
    <w:tmpl w:val="BAC2129C"/>
    <w:lvl w:ilvl="0" w:tplc="504E52E4">
      <w:start w:val="1"/>
      <w:numFmt w:val="decimal"/>
      <w:lvlText w:val="%1."/>
      <w:lvlJc w:val="left"/>
      <w:pPr>
        <w:tabs>
          <w:tab w:val="num" w:pos="720"/>
        </w:tabs>
        <w:ind w:left="720" w:hanging="360"/>
      </w:pPr>
    </w:lvl>
    <w:lvl w:ilvl="1" w:tplc="60D2EC20" w:tentative="1">
      <w:start w:val="1"/>
      <w:numFmt w:val="decimal"/>
      <w:lvlText w:val="%2."/>
      <w:lvlJc w:val="left"/>
      <w:pPr>
        <w:tabs>
          <w:tab w:val="num" w:pos="1440"/>
        </w:tabs>
        <w:ind w:left="1440" w:hanging="360"/>
      </w:pPr>
    </w:lvl>
    <w:lvl w:ilvl="2" w:tplc="2E0019C6" w:tentative="1">
      <w:start w:val="1"/>
      <w:numFmt w:val="decimal"/>
      <w:lvlText w:val="%3."/>
      <w:lvlJc w:val="left"/>
      <w:pPr>
        <w:tabs>
          <w:tab w:val="num" w:pos="2160"/>
        </w:tabs>
        <w:ind w:left="2160" w:hanging="360"/>
      </w:pPr>
    </w:lvl>
    <w:lvl w:ilvl="3" w:tplc="3E8E1D68" w:tentative="1">
      <w:start w:val="1"/>
      <w:numFmt w:val="decimal"/>
      <w:lvlText w:val="%4."/>
      <w:lvlJc w:val="left"/>
      <w:pPr>
        <w:tabs>
          <w:tab w:val="num" w:pos="2880"/>
        </w:tabs>
        <w:ind w:left="2880" w:hanging="360"/>
      </w:pPr>
    </w:lvl>
    <w:lvl w:ilvl="4" w:tplc="8872EB3A" w:tentative="1">
      <w:start w:val="1"/>
      <w:numFmt w:val="decimal"/>
      <w:lvlText w:val="%5."/>
      <w:lvlJc w:val="left"/>
      <w:pPr>
        <w:tabs>
          <w:tab w:val="num" w:pos="3600"/>
        </w:tabs>
        <w:ind w:left="3600" w:hanging="360"/>
      </w:pPr>
    </w:lvl>
    <w:lvl w:ilvl="5" w:tplc="C5EEF162" w:tentative="1">
      <w:start w:val="1"/>
      <w:numFmt w:val="decimal"/>
      <w:lvlText w:val="%6."/>
      <w:lvlJc w:val="left"/>
      <w:pPr>
        <w:tabs>
          <w:tab w:val="num" w:pos="4320"/>
        </w:tabs>
        <w:ind w:left="4320" w:hanging="360"/>
      </w:pPr>
    </w:lvl>
    <w:lvl w:ilvl="6" w:tplc="CBD074F6" w:tentative="1">
      <w:start w:val="1"/>
      <w:numFmt w:val="decimal"/>
      <w:lvlText w:val="%7."/>
      <w:lvlJc w:val="left"/>
      <w:pPr>
        <w:tabs>
          <w:tab w:val="num" w:pos="5040"/>
        </w:tabs>
        <w:ind w:left="5040" w:hanging="360"/>
      </w:pPr>
    </w:lvl>
    <w:lvl w:ilvl="7" w:tplc="8EE202F6" w:tentative="1">
      <w:start w:val="1"/>
      <w:numFmt w:val="decimal"/>
      <w:lvlText w:val="%8."/>
      <w:lvlJc w:val="left"/>
      <w:pPr>
        <w:tabs>
          <w:tab w:val="num" w:pos="5760"/>
        </w:tabs>
        <w:ind w:left="5760" w:hanging="360"/>
      </w:pPr>
    </w:lvl>
    <w:lvl w:ilvl="8" w:tplc="D39219A4" w:tentative="1">
      <w:start w:val="1"/>
      <w:numFmt w:val="decimal"/>
      <w:lvlText w:val="%9."/>
      <w:lvlJc w:val="left"/>
      <w:pPr>
        <w:tabs>
          <w:tab w:val="num" w:pos="6480"/>
        </w:tabs>
        <w:ind w:left="6480" w:hanging="360"/>
      </w:pPr>
    </w:lvl>
  </w:abstractNum>
  <w:abstractNum w:abstractNumId="143">
    <w:nsid w:val="606B2D93"/>
    <w:multiLevelType w:val="hybridMultilevel"/>
    <w:tmpl w:val="2C08B826"/>
    <w:lvl w:ilvl="0" w:tplc="28860038">
      <w:start w:val="1"/>
      <w:numFmt w:val="bullet"/>
      <w:lvlText w:val=""/>
      <w:lvlJc w:val="left"/>
      <w:pPr>
        <w:ind w:left="720" w:hanging="360"/>
      </w:pPr>
      <w:rPr>
        <w:rFonts w:ascii="Symbol" w:hAnsi="Symbo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4">
    <w:nsid w:val="62327509"/>
    <w:multiLevelType w:val="hybridMultilevel"/>
    <w:tmpl w:val="475ADE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5">
    <w:nsid w:val="625220D9"/>
    <w:multiLevelType w:val="hybridMultilevel"/>
    <w:tmpl w:val="8140EA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6">
    <w:nsid w:val="62952731"/>
    <w:multiLevelType w:val="hybridMultilevel"/>
    <w:tmpl w:val="4B6272C0"/>
    <w:lvl w:ilvl="0" w:tplc="FD204324">
      <w:start w:val="100"/>
      <w:numFmt w:val="bullet"/>
      <w:lvlText w:val="-"/>
      <w:lvlJc w:val="left"/>
      <w:pPr>
        <w:ind w:left="405" w:hanging="360"/>
      </w:pPr>
      <w:rPr>
        <w:rFonts w:ascii="Arial Narrow" w:eastAsiaTheme="minorEastAsia" w:hAnsi="Arial Narrow" w:cstheme="minorBidi"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147">
    <w:nsid w:val="630873B5"/>
    <w:multiLevelType w:val="hybridMultilevel"/>
    <w:tmpl w:val="854E8D5A"/>
    <w:lvl w:ilvl="0" w:tplc="18AC07A8">
      <w:start w:val="1"/>
      <w:numFmt w:val="decimal"/>
      <w:lvlText w:val="%1."/>
      <w:lvlJc w:val="left"/>
      <w:pPr>
        <w:ind w:left="535" w:hanging="360"/>
      </w:pPr>
      <w:rPr>
        <w:sz w:val="22"/>
        <w:szCs w:val="22"/>
      </w:rPr>
    </w:lvl>
    <w:lvl w:ilvl="1" w:tplc="240A0019">
      <w:start w:val="1"/>
      <w:numFmt w:val="lowerLetter"/>
      <w:lvlText w:val="%2."/>
      <w:lvlJc w:val="left"/>
      <w:pPr>
        <w:ind w:left="1255" w:hanging="360"/>
      </w:pPr>
    </w:lvl>
    <w:lvl w:ilvl="2" w:tplc="240A001B">
      <w:start w:val="1"/>
      <w:numFmt w:val="lowerRoman"/>
      <w:lvlText w:val="%3."/>
      <w:lvlJc w:val="right"/>
      <w:pPr>
        <w:ind w:left="1975" w:hanging="180"/>
      </w:pPr>
    </w:lvl>
    <w:lvl w:ilvl="3" w:tplc="240A000F">
      <w:start w:val="1"/>
      <w:numFmt w:val="decimal"/>
      <w:lvlText w:val="%4."/>
      <w:lvlJc w:val="left"/>
      <w:pPr>
        <w:ind w:left="2695" w:hanging="360"/>
      </w:pPr>
    </w:lvl>
    <w:lvl w:ilvl="4" w:tplc="240A0019">
      <w:start w:val="1"/>
      <w:numFmt w:val="lowerLetter"/>
      <w:lvlText w:val="%5."/>
      <w:lvlJc w:val="left"/>
      <w:pPr>
        <w:ind w:left="3415" w:hanging="360"/>
      </w:pPr>
    </w:lvl>
    <w:lvl w:ilvl="5" w:tplc="240A001B">
      <w:start w:val="1"/>
      <w:numFmt w:val="lowerRoman"/>
      <w:lvlText w:val="%6."/>
      <w:lvlJc w:val="right"/>
      <w:pPr>
        <w:ind w:left="4135" w:hanging="180"/>
      </w:pPr>
    </w:lvl>
    <w:lvl w:ilvl="6" w:tplc="240A000F">
      <w:start w:val="1"/>
      <w:numFmt w:val="decimal"/>
      <w:lvlText w:val="%7."/>
      <w:lvlJc w:val="left"/>
      <w:pPr>
        <w:ind w:left="4855" w:hanging="360"/>
      </w:pPr>
    </w:lvl>
    <w:lvl w:ilvl="7" w:tplc="240A0019">
      <w:start w:val="1"/>
      <w:numFmt w:val="lowerLetter"/>
      <w:lvlText w:val="%8."/>
      <w:lvlJc w:val="left"/>
      <w:pPr>
        <w:ind w:left="5575" w:hanging="360"/>
      </w:pPr>
    </w:lvl>
    <w:lvl w:ilvl="8" w:tplc="240A001B">
      <w:start w:val="1"/>
      <w:numFmt w:val="lowerRoman"/>
      <w:lvlText w:val="%9."/>
      <w:lvlJc w:val="right"/>
      <w:pPr>
        <w:ind w:left="6295" w:hanging="180"/>
      </w:pPr>
    </w:lvl>
  </w:abstractNum>
  <w:abstractNum w:abstractNumId="148">
    <w:nsid w:val="639A5622"/>
    <w:multiLevelType w:val="hybridMultilevel"/>
    <w:tmpl w:val="FA785FC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9">
    <w:nsid w:val="65302DD5"/>
    <w:multiLevelType w:val="hybridMultilevel"/>
    <w:tmpl w:val="005C1082"/>
    <w:lvl w:ilvl="0" w:tplc="D8304C5E">
      <w:start w:val="1"/>
      <w:numFmt w:val="bullet"/>
      <w:lvlText w:val=""/>
      <w:lvlJc w:val="left"/>
      <w:pPr>
        <w:ind w:left="720" w:hanging="360"/>
      </w:pPr>
      <w:rPr>
        <w:rFonts w:ascii="Symbol" w:eastAsiaTheme="minorHAnsi" w:hAnsi="Symbol" w:cstheme="minorBidi" w:hint="default"/>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0">
    <w:nsid w:val="65DC646A"/>
    <w:multiLevelType w:val="hybridMultilevel"/>
    <w:tmpl w:val="E91A1892"/>
    <w:lvl w:ilvl="0" w:tplc="24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1">
    <w:nsid w:val="65EB42DB"/>
    <w:multiLevelType w:val="hybridMultilevel"/>
    <w:tmpl w:val="FFA61D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2">
    <w:nsid w:val="66D11C32"/>
    <w:multiLevelType w:val="multilevel"/>
    <w:tmpl w:val="3B06E76A"/>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3">
    <w:nsid w:val="67946E7F"/>
    <w:multiLevelType w:val="hybridMultilevel"/>
    <w:tmpl w:val="90E044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4">
    <w:nsid w:val="67BA236E"/>
    <w:multiLevelType w:val="multilevel"/>
    <w:tmpl w:val="E508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938468C"/>
    <w:multiLevelType w:val="multilevel"/>
    <w:tmpl w:val="7B60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694E1ABD"/>
    <w:multiLevelType w:val="hybridMultilevel"/>
    <w:tmpl w:val="16DC4B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7">
    <w:nsid w:val="69801A23"/>
    <w:multiLevelType w:val="hybridMultilevel"/>
    <w:tmpl w:val="ACB8B6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8">
    <w:nsid w:val="6AB56E31"/>
    <w:multiLevelType w:val="hybridMultilevel"/>
    <w:tmpl w:val="39A4A9C8"/>
    <w:lvl w:ilvl="0" w:tplc="972CDF2A">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9">
    <w:nsid w:val="6B252676"/>
    <w:multiLevelType w:val="hybridMultilevel"/>
    <w:tmpl w:val="68A4D0D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60">
    <w:nsid w:val="6DA40B62"/>
    <w:multiLevelType w:val="hybridMultilevel"/>
    <w:tmpl w:val="E4A87F6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1">
    <w:nsid w:val="6DAB13C6"/>
    <w:multiLevelType w:val="hybridMultilevel"/>
    <w:tmpl w:val="8FF2DAE8"/>
    <w:lvl w:ilvl="0" w:tplc="0C0A0001">
      <w:start w:val="1"/>
      <w:numFmt w:val="bullet"/>
      <w:lvlText w:val=""/>
      <w:lvlJc w:val="left"/>
      <w:pPr>
        <w:ind w:left="714" w:hanging="360"/>
      </w:pPr>
      <w:rPr>
        <w:rFonts w:ascii="Symbol" w:hAnsi="Symbol" w:hint="default"/>
      </w:rPr>
    </w:lvl>
    <w:lvl w:ilvl="1" w:tplc="240A0003" w:tentative="1">
      <w:start w:val="1"/>
      <w:numFmt w:val="bullet"/>
      <w:lvlText w:val="o"/>
      <w:lvlJc w:val="left"/>
      <w:pPr>
        <w:ind w:left="1434" w:hanging="360"/>
      </w:pPr>
      <w:rPr>
        <w:rFonts w:ascii="Courier New" w:hAnsi="Courier New" w:cs="Courier New" w:hint="default"/>
      </w:rPr>
    </w:lvl>
    <w:lvl w:ilvl="2" w:tplc="240A0005" w:tentative="1">
      <w:start w:val="1"/>
      <w:numFmt w:val="bullet"/>
      <w:lvlText w:val=""/>
      <w:lvlJc w:val="left"/>
      <w:pPr>
        <w:ind w:left="2154" w:hanging="360"/>
      </w:pPr>
      <w:rPr>
        <w:rFonts w:ascii="Wingdings" w:hAnsi="Wingdings" w:hint="default"/>
      </w:rPr>
    </w:lvl>
    <w:lvl w:ilvl="3" w:tplc="240A0001" w:tentative="1">
      <w:start w:val="1"/>
      <w:numFmt w:val="bullet"/>
      <w:lvlText w:val=""/>
      <w:lvlJc w:val="left"/>
      <w:pPr>
        <w:ind w:left="2874" w:hanging="360"/>
      </w:pPr>
      <w:rPr>
        <w:rFonts w:ascii="Symbol" w:hAnsi="Symbol" w:hint="default"/>
      </w:rPr>
    </w:lvl>
    <w:lvl w:ilvl="4" w:tplc="240A0003" w:tentative="1">
      <w:start w:val="1"/>
      <w:numFmt w:val="bullet"/>
      <w:lvlText w:val="o"/>
      <w:lvlJc w:val="left"/>
      <w:pPr>
        <w:ind w:left="3594" w:hanging="360"/>
      </w:pPr>
      <w:rPr>
        <w:rFonts w:ascii="Courier New" w:hAnsi="Courier New" w:cs="Courier New" w:hint="default"/>
      </w:rPr>
    </w:lvl>
    <w:lvl w:ilvl="5" w:tplc="240A0005" w:tentative="1">
      <w:start w:val="1"/>
      <w:numFmt w:val="bullet"/>
      <w:lvlText w:val=""/>
      <w:lvlJc w:val="left"/>
      <w:pPr>
        <w:ind w:left="4314" w:hanging="360"/>
      </w:pPr>
      <w:rPr>
        <w:rFonts w:ascii="Wingdings" w:hAnsi="Wingdings" w:hint="default"/>
      </w:rPr>
    </w:lvl>
    <w:lvl w:ilvl="6" w:tplc="240A0001" w:tentative="1">
      <w:start w:val="1"/>
      <w:numFmt w:val="bullet"/>
      <w:lvlText w:val=""/>
      <w:lvlJc w:val="left"/>
      <w:pPr>
        <w:ind w:left="5034" w:hanging="360"/>
      </w:pPr>
      <w:rPr>
        <w:rFonts w:ascii="Symbol" w:hAnsi="Symbol" w:hint="default"/>
      </w:rPr>
    </w:lvl>
    <w:lvl w:ilvl="7" w:tplc="240A0003" w:tentative="1">
      <w:start w:val="1"/>
      <w:numFmt w:val="bullet"/>
      <w:lvlText w:val="o"/>
      <w:lvlJc w:val="left"/>
      <w:pPr>
        <w:ind w:left="5754" w:hanging="360"/>
      </w:pPr>
      <w:rPr>
        <w:rFonts w:ascii="Courier New" w:hAnsi="Courier New" w:cs="Courier New" w:hint="default"/>
      </w:rPr>
    </w:lvl>
    <w:lvl w:ilvl="8" w:tplc="240A0005" w:tentative="1">
      <w:start w:val="1"/>
      <w:numFmt w:val="bullet"/>
      <w:lvlText w:val=""/>
      <w:lvlJc w:val="left"/>
      <w:pPr>
        <w:ind w:left="6474" w:hanging="360"/>
      </w:pPr>
      <w:rPr>
        <w:rFonts w:ascii="Wingdings" w:hAnsi="Wingdings" w:hint="default"/>
      </w:rPr>
    </w:lvl>
  </w:abstractNum>
  <w:abstractNum w:abstractNumId="162">
    <w:nsid w:val="6E212595"/>
    <w:multiLevelType w:val="hybridMultilevel"/>
    <w:tmpl w:val="B81459E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3">
    <w:nsid w:val="6E24266A"/>
    <w:multiLevelType w:val="hybridMultilevel"/>
    <w:tmpl w:val="C89EF0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4">
    <w:nsid w:val="6E9C2B20"/>
    <w:multiLevelType w:val="hybridMultilevel"/>
    <w:tmpl w:val="BA5AB1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nsid w:val="6FA02661"/>
    <w:multiLevelType w:val="hybridMultilevel"/>
    <w:tmpl w:val="032E3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6">
    <w:nsid w:val="6FCA6921"/>
    <w:multiLevelType w:val="hybridMultilevel"/>
    <w:tmpl w:val="B7BC23FA"/>
    <w:lvl w:ilvl="0" w:tplc="080A000F">
      <w:numFmt w:val="decimal"/>
      <w:lvlText w:val=""/>
      <w:lvlJc w:val="left"/>
    </w:lvl>
    <w:lvl w:ilvl="1" w:tplc="080A0019">
      <w:numFmt w:val="decimal"/>
      <w:lvlText w:val=""/>
      <w:lvlJc w:val="left"/>
    </w:lvl>
    <w:lvl w:ilvl="2" w:tplc="080A001B">
      <w:numFmt w:val="decimal"/>
      <w:lvlText w:val=""/>
      <w:lvlJc w:val="left"/>
    </w:lvl>
    <w:lvl w:ilvl="3" w:tplc="080A000F">
      <w:numFmt w:val="decimal"/>
      <w:lvlText w:val=""/>
      <w:lvlJc w:val="left"/>
    </w:lvl>
    <w:lvl w:ilvl="4" w:tplc="080A0019">
      <w:numFmt w:val="decimal"/>
      <w:lvlText w:val=""/>
      <w:lvlJc w:val="left"/>
    </w:lvl>
    <w:lvl w:ilvl="5" w:tplc="080A001B">
      <w:numFmt w:val="decimal"/>
      <w:lvlText w:val=""/>
      <w:lvlJc w:val="left"/>
    </w:lvl>
    <w:lvl w:ilvl="6" w:tplc="080A000F">
      <w:numFmt w:val="decimal"/>
      <w:lvlText w:val=""/>
      <w:lvlJc w:val="left"/>
    </w:lvl>
    <w:lvl w:ilvl="7" w:tplc="080A0019">
      <w:numFmt w:val="decimal"/>
      <w:lvlText w:val=""/>
      <w:lvlJc w:val="left"/>
    </w:lvl>
    <w:lvl w:ilvl="8" w:tplc="080A001B">
      <w:numFmt w:val="decimal"/>
      <w:lvlText w:val=""/>
      <w:lvlJc w:val="left"/>
    </w:lvl>
  </w:abstractNum>
  <w:abstractNum w:abstractNumId="167">
    <w:nsid w:val="6FD5184C"/>
    <w:multiLevelType w:val="hybridMultilevel"/>
    <w:tmpl w:val="A5D44620"/>
    <w:lvl w:ilvl="0" w:tplc="080A000D">
      <w:start w:val="1"/>
      <w:numFmt w:val="bullet"/>
      <w:lvlText w:val=""/>
      <w:lvlJc w:val="left"/>
      <w:pPr>
        <w:ind w:left="1068" w:hanging="360"/>
      </w:pPr>
      <w:rPr>
        <w:rFonts w:ascii="Wingdings" w:hAnsi="Wingdings" w:hint="default"/>
      </w:rPr>
    </w:lvl>
    <w:lvl w:ilvl="1" w:tplc="080A0011">
      <w:start w:val="1"/>
      <w:numFmt w:val="decimal"/>
      <w:lvlText w:val="%2)"/>
      <w:lvlJc w:val="left"/>
      <w:pPr>
        <w:ind w:left="1788" w:hanging="360"/>
      </w:pPr>
      <w:rPr>
        <w:rFonts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68">
    <w:nsid w:val="70181611"/>
    <w:multiLevelType w:val="hybridMultilevel"/>
    <w:tmpl w:val="D28020D2"/>
    <w:lvl w:ilvl="0" w:tplc="86526C80">
      <w:numFmt w:val="bullet"/>
      <w:lvlText w:val="-"/>
      <w:lvlJc w:val="left"/>
      <w:pPr>
        <w:ind w:left="720" w:hanging="360"/>
      </w:pPr>
      <w:rPr>
        <w:rFonts w:ascii="Arial Narrow" w:eastAsiaTheme="minorEastAsia"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9">
    <w:nsid w:val="716212BD"/>
    <w:multiLevelType w:val="hybridMultilevel"/>
    <w:tmpl w:val="FDFC2FCC"/>
    <w:lvl w:ilvl="0" w:tplc="240A0001">
      <w:start w:val="1"/>
      <w:numFmt w:val="bullet"/>
      <w:lvlText w:val=""/>
      <w:lvlJc w:val="left"/>
      <w:pPr>
        <w:ind w:left="900" w:hanging="360"/>
      </w:pPr>
      <w:rPr>
        <w:rFonts w:ascii="Symbol" w:hAnsi="Symbol" w:hint="default"/>
      </w:rPr>
    </w:lvl>
    <w:lvl w:ilvl="1" w:tplc="240A0003" w:tentative="1">
      <w:start w:val="1"/>
      <w:numFmt w:val="bullet"/>
      <w:lvlText w:val="o"/>
      <w:lvlJc w:val="left"/>
      <w:pPr>
        <w:ind w:left="1620" w:hanging="360"/>
      </w:pPr>
      <w:rPr>
        <w:rFonts w:ascii="Courier New" w:hAnsi="Courier New" w:cs="Courier New" w:hint="default"/>
      </w:rPr>
    </w:lvl>
    <w:lvl w:ilvl="2" w:tplc="240A0005" w:tentative="1">
      <w:start w:val="1"/>
      <w:numFmt w:val="bullet"/>
      <w:lvlText w:val=""/>
      <w:lvlJc w:val="left"/>
      <w:pPr>
        <w:ind w:left="2340" w:hanging="360"/>
      </w:pPr>
      <w:rPr>
        <w:rFonts w:ascii="Wingdings" w:hAnsi="Wingdings" w:hint="default"/>
      </w:rPr>
    </w:lvl>
    <w:lvl w:ilvl="3" w:tplc="240A0001" w:tentative="1">
      <w:start w:val="1"/>
      <w:numFmt w:val="bullet"/>
      <w:lvlText w:val=""/>
      <w:lvlJc w:val="left"/>
      <w:pPr>
        <w:ind w:left="3060" w:hanging="360"/>
      </w:pPr>
      <w:rPr>
        <w:rFonts w:ascii="Symbol" w:hAnsi="Symbol" w:hint="default"/>
      </w:rPr>
    </w:lvl>
    <w:lvl w:ilvl="4" w:tplc="240A0003" w:tentative="1">
      <w:start w:val="1"/>
      <w:numFmt w:val="bullet"/>
      <w:lvlText w:val="o"/>
      <w:lvlJc w:val="left"/>
      <w:pPr>
        <w:ind w:left="3780" w:hanging="360"/>
      </w:pPr>
      <w:rPr>
        <w:rFonts w:ascii="Courier New" w:hAnsi="Courier New" w:cs="Courier New" w:hint="default"/>
      </w:rPr>
    </w:lvl>
    <w:lvl w:ilvl="5" w:tplc="240A0005" w:tentative="1">
      <w:start w:val="1"/>
      <w:numFmt w:val="bullet"/>
      <w:lvlText w:val=""/>
      <w:lvlJc w:val="left"/>
      <w:pPr>
        <w:ind w:left="4500" w:hanging="360"/>
      </w:pPr>
      <w:rPr>
        <w:rFonts w:ascii="Wingdings" w:hAnsi="Wingdings" w:hint="default"/>
      </w:rPr>
    </w:lvl>
    <w:lvl w:ilvl="6" w:tplc="240A0001" w:tentative="1">
      <w:start w:val="1"/>
      <w:numFmt w:val="bullet"/>
      <w:lvlText w:val=""/>
      <w:lvlJc w:val="left"/>
      <w:pPr>
        <w:ind w:left="5220" w:hanging="360"/>
      </w:pPr>
      <w:rPr>
        <w:rFonts w:ascii="Symbol" w:hAnsi="Symbol" w:hint="default"/>
      </w:rPr>
    </w:lvl>
    <w:lvl w:ilvl="7" w:tplc="240A0003" w:tentative="1">
      <w:start w:val="1"/>
      <w:numFmt w:val="bullet"/>
      <w:lvlText w:val="o"/>
      <w:lvlJc w:val="left"/>
      <w:pPr>
        <w:ind w:left="5940" w:hanging="360"/>
      </w:pPr>
      <w:rPr>
        <w:rFonts w:ascii="Courier New" w:hAnsi="Courier New" w:cs="Courier New" w:hint="default"/>
      </w:rPr>
    </w:lvl>
    <w:lvl w:ilvl="8" w:tplc="240A0005" w:tentative="1">
      <w:start w:val="1"/>
      <w:numFmt w:val="bullet"/>
      <w:lvlText w:val=""/>
      <w:lvlJc w:val="left"/>
      <w:pPr>
        <w:ind w:left="6660" w:hanging="360"/>
      </w:pPr>
      <w:rPr>
        <w:rFonts w:ascii="Wingdings" w:hAnsi="Wingdings" w:hint="default"/>
      </w:rPr>
    </w:lvl>
  </w:abstractNum>
  <w:abstractNum w:abstractNumId="170">
    <w:nsid w:val="717F6E50"/>
    <w:multiLevelType w:val="hybridMultilevel"/>
    <w:tmpl w:val="8EDAEE96"/>
    <w:lvl w:ilvl="0" w:tplc="A76C70F0">
      <w:start w:val="1"/>
      <w:numFmt w:val="bullet"/>
      <w:lvlText w:val="-"/>
      <w:lvlJc w:val="left"/>
      <w:pPr>
        <w:ind w:left="720" w:hanging="360"/>
      </w:pPr>
      <w:rPr>
        <w:rFonts w:ascii="Arial Narrow" w:eastAsiaTheme="minorEastAsia" w:hAnsi="Arial Narrow"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1">
    <w:nsid w:val="734D1DF6"/>
    <w:multiLevelType w:val="hybridMultilevel"/>
    <w:tmpl w:val="3DA42F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2">
    <w:nsid w:val="73B77CFD"/>
    <w:multiLevelType w:val="hybridMultilevel"/>
    <w:tmpl w:val="1A9ACC8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3">
    <w:nsid w:val="73F12B31"/>
    <w:multiLevelType w:val="hybridMultilevel"/>
    <w:tmpl w:val="825C65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4">
    <w:nsid w:val="7472013F"/>
    <w:multiLevelType w:val="hybridMultilevel"/>
    <w:tmpl w:val="1E8C30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5">
    <w:nsid w:val="74C920BE"/>
    <w:multiLevelType w:val="hybridMultilevel"/>
    <w:tmpl w:val="3502110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6">
    <w:nsid w:val="752D0B17"/>
    <w:multiLevelType w:val="hybridMultilevel"/>
    <w:tmpl w:val="D116DA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7">
    <w:nsid w:val="76305051"/>
    <w:multiLevelType w:val="hybridMultilevel"/>
    <w:tmpl w:val="D26AA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8">
    <w:nsid w:val="7757249F"/>
    <w:multiLevelType w:val="hybridMultilevel"/>
    <w:tmpl w:val="1E34F9B0"/>
    <w:lvl w:ilvl="0" w:tplc="54CED446">
      <w:start w:val="33"/>
      <w:numFmt w:val="bullet"/>
      <w:lvlText w:val="-"/>
      <w:lvlJc w:val="left"/>
      <w:pPr>
        <w:ind w:left="927" w:hanging="360"/>
      </w:pPr>
      <w:rPr>
        <w:rFonts w:ascii="Arial Narrow" w:eastAsia="Times New Roman" w:hAnsi="Arial Narrow" w:cs="Times New Roman"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79">
    <w:nsid w:val="789D7C01"/>
    <w:multiLevelType w:val="hybridMultilevel"/>
    <w:tmpl w:val="865E3926"/>
    <w:lvl w:ilvl="0" w:tplc="B156DC7A">
      <w:start w:val="1"/>
      <w:numFmt w:val="decimal"/>
      <w:lvlText w:val="%1."/>
      <w:lvlJc w:val="left"/>
      <w:pPr>
        <w:ind w:left="720" w:hanging="360"/>
      </w:pPr>
      <w:rPr>
        <w:rFonts w:asciiTheme="minorHAnsi" w:eastAsiaTheme="minorEastAsia" w:hAnsiTheme="minorHAnsi" w:cstheme="minorBidi"/>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0">
    <w:nsid w:val="78C20F7A"/>
    <w:multiLevelType w:val="hybridMultilevel"/>
    <w:tmpl w:val="E83CC5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1">
    <w:nsid w:val="78F6385B"/>
    <w:multiLevelType w:val="hybridMultilevel"/>
    <w:tmpl w:val="6C7428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2">
    <w:nsid w:val="790B7CF4"/>
    <w:multiLevelType w:val="hybridMultilevel"/>
    <w:tmpl w:val="00587FC8"/>
    <w:lvl w:ilvl="0" w:tplc="99FE271E">
      <w:start w:val="1"/>
      <w:numFmt w:val="bullet"/>
      <w:lvlText w:val="•"/>
      <w:lvlJc w:val="left"/>
      <w:pPr>
        <w:tabs>
          <w:tab w:val="num" w:pos="720"/>
        </w:tabs>
        <w:ind w:left="720" w:hanging="360"/>
      </w:pPr>
      <w:rPr>
        <w:rFonts w:ascii="Arial" w:hAnsi="Arial" w:hint="default"/>
      </w:rPr>
    </w:lvl>
    <w:lvl w:ilvl="1" w:tplc="F60CDA9A" w:tentative="1">
      <w:start w:val="1"/>
      <w:numFmt w:val="bullet"/>
      <w:lvlText w:val="•"/>
      <w:lvlJc w:val="left"/>
      <w:pPr>
        <w:tabs>
          <w:tab w:val="num" w:pos="1440"/>
        </w:tabs>
        <w:ind w:left="1440" w:hanging="360"/>
      </w:pPr>
      <w:rPr>
        <w:rFonts w:ascii="Arial" w:hAnsi="Arial" w:hint="default"/>
      </w:rPr>
    </w:lvl>
    <w:lvl w:ilvl="2" w:tplc="00E0D414" w:tentative="1">
      <w:start w:val="1"/>
      <w:numFmt w:val="bullet"/>
      <w:lvlText w:val="•"/>
      <w:lvlJc w:val="left"/>
      <w:pPr>
        <w:tabs>
          <w:tab w:val="num" w:pos="2160"/>
        </w:tabs>
        <w:ind w:left="2160" w:hanging="360"/>
      </w:pPr>
      <w:rPr>
        <w:rFonts w:ascii="Arial" w:hAnsi="Arial" w:hint="default"/>
      </w:rPr>
    </w:lvl>
    <w:lvl w:ilvl="3" w:tplc="95FA2DBE" w:tentative="1">
      <w:start w:val="1"/>
      <w:numFmt w:val="bullet"/>
      <w:lvlText w:val="•"/>
      <w:lvlJc w:val="left"/>
      <w:pPr>
        <w:tabs>
          <w:tab w:val="num" w:pos="2880"/>
        </w:tabs>
        <w:ind w:left="2880" w:hanging="360"/>
      </w:pPr>
      <w:rPr>
        <w:rFonts w:ascii="Arial" w:hAnsi="Arial" w:hint="default"/>
      </w:rPr>
    </w:lvl>
    <w:lvl w:ilvl="4" w:tplc="4F5C034A" w:tentative="1">
      <w:start w:val="1"/>
      <w:numFmt w:val="bullet"/>
      <w:lvlText w:val="•"/>
      <w:lvlJc w:val="left"/>
      <w:pPr>
        <w:tabs>
          <w:tab w:val="num" w:pos="3600"/>
        </w:tabs>
        <w:ind w:left="3600" w:hanging="360"/>
      </w:pPr>
      <w:rPr>
        <w:rFonts w:ascii="Arial" w:hAnsi="Arial" w:hint="default"/>
      </w:rPr>
    </w:lvl>
    <w:lvl w:ilvl="5" w:tplc="976EEC42" w:tentative="1">
      <w:start w:val="1"/>
      <w:numFmt w:val="bullet"/>
      <w:lvlText w:val="•"/>
      <w:lvlJc w:val="left"/>
      <w:pPr>
        <w:tabs>
          <w:tab w:val="num" w:pos="4320"/>
        </w:tabs>
        <w:ind w:left="4320" w:hanging="360"/>
      </w:pPr>
      <w:rPr>
        <w:rFonts w:ascii="Arial" w:hAnsi="Arial" w:hint="default"/>
      </w:rPr>
    </w:lvl>
    <w:lvl w:ilvl="6" w:tplc="26085BEA" w:tentative="1">
      <w:start w:val="1"/>
      <w:numFmt w:val="bullet"/>
      <w:lvlText w:val="•"/>
      <w:lvlJc w:val="left"/>
      <w:pPr>
        <w:tabs>
          <w:tab w:val="num" w:pos="5040"/>
        </w:tabs>
        <w:ind w:left="5040" w:hanging="360"/>
      </w:pPr>
      <w:rPr>
        <w:rFonts w:ascii="Arial" w:hAnsi="Arial" w:hint="default"/>
      </w:rPr>
    </w:lvl>
    <w:lvl w:ilvl="7" w:tplc="95229CF4" w:tentative="1">
      <w:start w:val="1"/>
      <w:numFmt w:val="bullet"/>
      <w:lvlText w:val="•"/>
      <w:lvlJc w:val="left"/>
      <w:pPr>
        <w:tabs>
          <w:tab w:val="num" w:pos="5760"/>
        </w:tabs>
        <w:ind w:left="5760" w:hanging="360"/>
      </w:pPr>
      <w:rPr>
        <w:rFonts w:ascii="Arial" w:hAnsi="Arial" w:hint="default"/>
      </w:rPr>
    </w:lvl>
    <w:lvl w:ilvl="8" w:tplc="EE40ADCE" w:tentative="1">
      <w:start w:val="1"/>
      <w:numFmt w:val="bullet"/>
      <w:lvlText w:val="•"/>
      <w:lvlJc w:val="left"/>
      <w:pPr>
        <w:tabs>
          <w:tab w:val="num" w:pos="6480"/>
        </w:tabs>
        <w:ind w:left="6480" w:hanging="360"/>
      </w:pPr>
      <w:rPr>
        <w:rFonts w:ascii="Arial" w:hAnsi="Arial" w:hint="default"/>
      </w:rPr>
    </w:lvl>
  </w:abstractNum>
  <w:abstractNum w:abstractNumId="183">
    <w:nsid w:val="7A3355F8"/>
    <w:multiLevelType w:val="hybridMultilevel"/>
    <w:tmpl w:val="D456A346"/>
    <w:lvl w:ilvl="0" w:tplc="72D2842A">
      <w:start w:val="1"/>
      <w:numFmt w:val="decimal"/>
      <w:lvlText w:val="%1."/>
      <w:lvlJc w:val="left"/>
      <w:pPr>
        <w:ind w:left="612" w:hanging="360"/>
      </w:pPr>
      <w:rPr>
        <w:rFonts w:hint="default"/>
      </w:rPr>
    </w:lvl>
    <w:lvl w:ilvl="1" w:tplc="240A0019" w:tentative="1">
      <w:start w:val="1"/>
      <w:numFmt w:val="lowerLetter"/>
      <w:lvlText w:val="%2."/>
      <w:lvlJc w:val="left"/>
      <w:pPr>
        <w:ind w:left="1332" w:hanging="360"/>
      </w:pPr>
    </w:lvl>
    <w:lvl w:ilvl="2" w:tplc="240A001B" w:tentative="1">
      <w:start w:val="1"/>
      <w:numFmt w:val="lowerRoman"/>
      <w:lvlText w:val="%3."/>
      <w:lvlJc w:val="right"/>
      <w:pPr>
        <w:ind w:left="2052" w:hanging="180"/>
      </w:pPr>
    </w:lvl>
    <w:lvl w:ilvl="3" w:tplc="240A000F" w:tentative="1">
      <w:start w:val="1"/>
      <w:numFmt w:val="decimal"/>
      <w:lvlText w:val="%4."/>
      <w:lvlJc w:val="left"/>
      <w:pPr>
        <w:ind w:left="2772" w:hanging="360"/>
      </w:pPr>
    </w:lvl>
    <w:lvl w:ilvl="4" w:tplc="240A0019" w:tentative="1">
      <w:start w:val="1"/>
      <w:numFmt w:val="lowerLetter"/>
      <w:lvlText w:val="%5."/>
      <w:lvlJc w:val="left"/>
      <w:pPr>
        <w:ind w:left="3492" w:hanging="360"/>
      </w:pPr>
    </w:lvl>
    <w:lvl w:ilvl="5" w:tplc="240A001B" w:tentative="1">
      <w:start w:val="1"/>
      <w:numFmt w:val="lowerRoman"/>
      <w:lvlText w:val="%6."/>
      <w:lvlJc w:val="right"/>
      <w:pPr>
        <w:ind w:left="4212" w:hanging="180"/>
      </w:pPr>
    </w:lvl>
    <w:lvl w:ilvl="6" w:tplc="240A000F" w:tentative="1">
      <w:start w:val="1"/>
      <w:numFmt w:val="decimal"/>
      <w:lvlText w:val="%7."/>
      <w:lvlJc w:val="left"/>
      <w:pPr>
        <w:ind w:left="4932" w:hanging="360"/>
      </w:pPr>
    </w:lvl>
    <w:lvl w:ilvl="7" w:tplc="240A0019" w:tentative="1">
      <w:start w:val="1"/>
      <w:numFmt w:val="lowerLetter"/>
      <w:lvlText w:val="%8."/>
      <w:lvlJc w:val="left"/>
      <w:pPr>
        <w:ind w:left="5652" w:hanging="360"/>
      </w:pPr>
    </w:lvl>
    <w:lvl w:ilvl="8" w:tplc="240A001B" w:tentative="1">
      <w:start w:val="1"/>
      <w:numFmt w:val="lowerRoman"/>
      <w:lvlText w:val="%9."/>
      <w:lvlJc w:val="right"/>
      <w:pPr>
        <w:ind w:left="6372" w:hanging="180"/>
      </w:pPr>
    </w:lvl>
  </w:abstractNum>
  <w:abstractNum w:abstractNumId="184">
    <w:nsid w:val="7A4D2D9F"/>
    <w:multiLevelType w:val="hybridMultilevel"/>
    <w:tmpl w:val="DE7A6D92"/>
    <w:lvl w:ilvl="0" w:tplc="0C0A000F">
      <w:numFmt w:val="decimal"/>
      <w:lvlText w:val=""/>
      <w:lvlJc w:val="left"/>
    </w:lvl>
    <w:lvl w:ilvl="1" w:tplc="0C0A0019">
      <w:numFmt w:val="decimal"/>
      <w:lvlText w:val=""/>
      <w:lvlJc w:val="left"/>
    </w:lvl>
    <w:lvl w:ilvl="2" w:tplc="0C0A001B">
      <w:numFmt w:val="decimal"/>
      <w:lvlText w:val=""/>
      <w:lvlJc w:val="left"/>
    </w:lvl>
    <w:lvl w:ilvl="3" w:tplc="0C0A000F">
      <w:numFmt w:val="decimal"/>
      <w:lvlText w:val=""/>
      <w:lvlJc w:val="left"/>
    </w:lvl>
    <w:lvl w:ilvl="4" w:tplc="0C0A0019">
      <w:numFmt w:val="decimal"/>
      <w:lvlText w:val=""/>
      <w:lvlJc w:val="left"/>
    </w:lvl>
    <w:lvl w:ilvl="5" w:tplc="0C0A001B">
      <w:numFmt w:val="decimal"/>
      <w:lvlText w:val=""/>
      <w:lvlJc w:val="left"/>
    </w:lvl>
    <w:lvl w:ilvl="6" w:tplc="0C0A000F">
      <w:numFmt w:val="decimal"/>
      <w:lvlText w:val=""/>
      <w:lvlJc w:val="left"/>
    </w:lvl>
    <w:lvl w:ilvl="7" w:tplc="0C0A0019">
      <w:numFmt w:val="decimal"/>
      <w:lvlText w:val=""/>
      <w:lvlJc w:val="left"/>
    </w:lvl>
    <w:lvl w:ilvl="8" w:tplc="0C0A001B">
      <w:numFmt w:val="decimal"/>
      <w:lvlText w:val=""/>
      <w:lvlJc w:val="left"/>
    </w:lvl>
  </w:abstractNum>
  <w:abstractNum w:abstractNumId="185">
    <w:nsid w:val="7B12369E"/>
    <w:multiLevelType w:val="hybridMultilevel"/>
    <w:tmpl w:val="CB52BEA4"/>
    <w:lvl w:ilvl="0" w:tplc="0C0A000F">
      <w:start w:val="1"/>
      <w:numFmt w:val="decimal"/>
      <w:lvlText w:val="%1."/>
      <w:lvlJc w:val="left"/>
      <w:pPr>
        <w:ind w:left="765" w:hanging="360"/>
      </w:pPr>
    </w:lvl>
    <w:lvl w:ilvl="1" w:tplc="0C0A0019">
      <w:start w:val="1"/>
      <w:numFmt w:val="lowerLetter"/>
      <w:lvlText w:val="%2."/>
      <w:lvlJc w:val="left"/>
      <w:pPr>
        <w:ind w:left="1485" w:hanging="360"/>
      </w:pPr>
    </w:lvl>
    <w:lvl w:ilvl="2" w:tplc="0C0A001B">
      <w:start w:val="1"/>
      <w:numFmt w:val="lowerRoman"/>
      <w:lvlText w:val="%3."/>
      <w:lvlJc w:val="right"/>
      <w:pPr>
        <w:ind w:left="2205" w:hanging="180"/>
      </w:pPr>
    </w:lvl>
    <w:lvl w:ilvl="3" w:tplc="0C0A000F">
      <w:start w:val="1"/>
      <w:numFmt w:val="decimal"/>
      <w:lvlText w:val="%4."/>
      <w:lvlJc w:val="left"/>
      <w:pPr>
        <w:ind w:left="2925" w:hanging="360"/>
      </w:pPr>
    </w:lvl>
    <w:lvl w:ilvl="4" w:tplc="0C0A0019">
      <w:start w:val="1"/>
      <w:numFmt w:val="lowerLetter"/>
      <w:lvlText w:val="%5."/>
      <w:lvlJc w:val="left"/>
      <w:pPr>
        <w:ind w:left="3645" w:hanging="360"/>
      </w:pPr>
    </w:lvl>
    <w:lvl w:ilvl="5" w:tplc="0C0A001B">
      <w:start w:val="1"/>
      <w:numFmt w:val="lowerRoman"/>
      <w:lvlText w:val="%6."/>
      <w:lvlJc w:val="right"/>
      <w:pPr>
        <w:ind w:left="4365" w:hanging="180"/>
      </w:pPr>
    </w:lvl>
    <w:lvl w:ilvl="6" w:tplc="0C0A000F">
      <w:start w:val="1"/>
      <w:numFmt w:val="decimal"/>
      <w:lvlText w:val="%7."/>
      <w:lvlJc w:val="left"/>
      <w:pPr>
        <w:ind w:left="5085" w:hanging="360"/>
      </w:pPr>
    </w:lvl>
    <w:lvl w:ilvl="7" w:tplc="0C0A0019">
      <w:start w:val="1"/>
      <w:numFmt w:val="lowerLetter"/>
      <w:lvlText w:val="%8."/>
      <w:lvlJc w:val="left"/>
      <w:pPr>
        <w:ind w:left="5805" w:hanging="360"/>
      </w:pPr>
    </w:lvl>
    <w:lvl w:ilvl="8" w:tplc="0C0A001B">
      <w:start w:val="1"/>
      <w:numFmt w:val="lowerRoman"/>
      <w:lvlText w:val="%9."/>
      <w:lvlJc w:val="right"/>
      <w:pPr>
        <w:ind w:left="6525" w:hanging="180"/>
      </w:pPr>
    </w:lvl>
  </w:abstractNum>
  <w:abstractNum w:abstractNumId="186">
    <w:nsid w:val="7B605E90"/>
    <w:multiLevelType w:val="hybridMultilevel"/>
    <w:tmpl w:val="814E009E"/>
    <w:lvl w:ilvl="0" w:tplc="5ABA0D0A">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nsid w:val="7CB62A4B"/>
    <w:multiLevelType w:val="hybridMultilevel"/>
    <w:tmpl w:val="1F16D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8">
    <w:nsid w:val="7D296E86"/>
    <w:multiLevelType w:val="singleLevel"/>
    <w:tmpl w:val="0C0A0001"/>
    <w:lvl w:ilvl="0">
      <w:start w:val="1"/>
      <w:numFmt w:val="bullet"/>
      <w:lvlText w:val=""/>
      <w:lvlJc w:val="left"/>
      <w:pPr>
        <w:ind w:left="720" w:hanging="360"/>
      </w:pPr>
      <w:rPr>
        <w:rFonts w:ascii="Symbol" w:hAnsi="Symbol" w:hint="default"/>
      </w:rPr>
    </w:lvl>
  </w:abstractNum>
  <w:abstractNum w:abstractNumId="189">
    <w:nsid w:val="7D504672"/>
    <w:multiLevelType w:val="hybridMultilevel"/>
    <w:tmpl w:val="69C4F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0">
    <w:nsid w:val="7E705C43"/>
    <w:multiLevelType w:val="hybridMultilevel"/>
    <w:tmpl w:val="643CADA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nsid w:val="7F647A06"/>
    <w:multiLevelType w:val="multilevel"/>
    <w:tmpl w:val="69844AD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2">
    <w:nsid w:val="7FA115BB"/>
    <w:multiLevelType w:val="hybridMultilevel"/>
    <w:tmpl w:val="4498D682"/>
    <w:lvl w:ilvl="0" w:tplc="B9C4475E">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6"/>
  </w:num>
  <w:num w:numId="2">
    <w:abstractNumId w:val="124"/>
  </w:num>
  <w:num w:numId="3">
    <w:abstractNumId w:val="1"/>
  </w:num>
  <w:num w:numId="4">
    <w:abstractNumId w:val="151"/>
  </w:num>
  <w:num w:numId="5">
    <w:abstractNumId w:val="111"/>
  </w:num>
  <w:num w:numId="6">
    <w:abstractNumId w:val="76"/>
  </w:num>
  <w:num w:numId="7">
    <w:abstractNumId w:val="88"/>
  </w:num>
  <w:num w:numId="8">
    <w:abstractNumId w:val="6"/>
  </w:num>
  <w:num w:numId="9">
    <w:abstractNumId w:val="50"/>
  </w:num>
  <w:num w:numId="10">
    <w:abstractNumId w:val="52"/>
  </w:num>
  <w:num w:numId="11">
    <w:abstractNumId w:val="21"/>
  </w:num>
  <w:num w:numId="12">
    <w:abstractNumId w:val="80"/>
  </w:num>
  <w:num w:numId="13">
    <w:abstractNumId w:val="152"/>
  </w:num>
  <w:num w:numId="14">
    <w:abstractNumId w:val="56"/>
  </w:num>
  <w:num w:numId="15">
    <w:abstractNumId w:val="93"/>
  </w:num>
  <w:num w:numId="16">
    <w:abstractNumId w:val="150"/>
  </w:num>
  <w:num w:numId="17">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1"/>
  </w:num>
  <w:num w:numId="19">
    <w:abstractNumId w:val="136"/>
  </w:num>
  <w:num w:numId="20">
    <w:abstractNumId w:val="112"/>
  </w:num>
  <w:num w:numId="21">
    <w:abstractNumId w:val="53"/>
  </w:num>
  <w:num w:numId="22">
    <w:abstractNumId w:val="77"/>
  </w:num>
  <w:num w:numId="23">
    <w:abstractNumId w:val="78"/>
  </w:num>
  <w:num w:numId="24">
    <w:abstractNumId w:val="42"/>
  </w:num>
  <w:num w:numId="25">
    <w:abstractNumId w:val="120"/>
  </w:num>
  <w:num w:numId="26">
    <w:abstractNumId w:val="119"/>
  </w:num>
  <w:num w:numId="27">
    <w:abstractNumId w:val="60"/>
  </w:num>
  <w:num w:numId="28">
    <w:abstractNumId w:val="9"/>
  </w:num>
  <w:num w:numId="29">
    <w:abstractNumId w:val="57"/>
  </w:num>
  <w:num w:numId="30">
    <w:abstractNumId w:val="4"/>
  </w:num>
  <w:num w:numId="31">
    <w:abstractNumId w:val="191"/>
  </w:num>
  <w:num w:numId="32">
    <w:abstractNumId w:val="116"/>
  </w:num>
  <w:num w:numId="33">
    <w:abstractNumId w:val="105"/>
  </w:num>
  <w:num w:numId="34">
    <w:abstractNumId w:val="85"/>
  </w:num>
  <w:num w:numId="35">
    <w:abstractNumId w:val="113"/>
  </w:num>
  <w:num w:numId="36">
    <w:abstractNumId w:val="107"/>
  </w:num>
  <w:num w:numId="37">
    <w:abstractNumId w:val="35"/>
  </w:num>
  <w:num w:numId="38">
    <w:abstractNumId w:val="72"/>
  </w:num>
  <w:num w:numId="39">
    <w:abstractNumId w:val="94"/>
  </w:num>
  <w:num w:numId="40">
    <w:abstractNumId w:val="100"/>
  </w:num>
  <w:num w:numId="41">
    <w:abstractNumId w:val="73"/>
  </w:num>
  <w:num w:numId="42">
    <w:abstractNumId w:val="23"/>
  </w:num>
  <w:num w:numId="43">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5"/>
  </w:num>
  <w:num w:numId="55">
    <w:abstractNumId w:val="7"/>
  </w:num>
  <w:num w:numId="56">
    <w:abstractNumId w:val="11"/>
  </w:num>
  <w:num w:numId="57">
    <w:abstractNumId w:val="96"/>
  </w:num>
  <w:num w:numId="58">
    <w:abstractNumId w:val="103"/>
  </w:num>
  <w:num w:numId="59">
    <w:abstractNumId w:val="169"/>
  </w:num>
  <w:num w:numId="60">
    <w:abstractNumId w:val="24"/>
  </w:num>
  <w:num w:numId="61">
    <w:abstractNumId w:val="89"/>
  </w:num>
  <w:num w:numId="62">
    <w:abstractNumId w:val="39"/>
  </w:num>
  <w:num w:numId="63">
    <w:abstractNumId w:val="182"/>
  </w:num>
  <w:num w:numId="64">
    <w:abstractNumId w:val="102"/>
  </w:num>
  <w:num w:numId="65">
    <w:abstractNumId w:val="99"/>
  </w:num>
  <w:num w:numId="66">
    <w:abstractNumId w:val="158"/>
  </w:num>
  <w:num w:numId="67">
    <w:abstractNumId w:val="108"/>
  </w:num>
  <w:num w:numId="68">
    <w:abstractNumId w:val="54"/>
  </w:num>
  <w:num w:numId="69">
    <w:abstractNumId w:val="8"/>
  </w:num>
  <w:num w:numId="70">
    <w:abstractNumId w:val="26"/>
  </w:num>
  <w:num w:numId="71">
    <w:abstractNumId w:val="168"/>
  </w:num>
  <w:num w:numId="72">
    <w:abstractNumId w:val="190"/>
  </w:num>
  <w:num w:numId="73">
    <w:abstractNumId w:val="31"/>
  </w:num>
  <w:num w:numId="74">
    <w:abstractNumId w:val="109"/>
  </w:num>
  <w:num w:numId="75">
    <w:abstractNumId w:val="162"/>
  </w:num>
  <w:num w:numId="76">
    <w:abstractNumId w:val="139"/>
  </w:num>
  <w:num w:numId="77">
    <w:abstractNumId w:val="30"/>
  </w:num>
  <w:num w:numId="78">
    <w:abstractNumId w:val="115"/>
  </w:num>
  <w:num w:numId="79">
    <w:abstractNumId w:val="132"/>
  </w:num>
  <w:num w:numId="80">
    <w:abstractNumId w:val="185"/>
  </w:num>
  <w:num w:numId="81">
    <w:abstractNumId w:val="179"/>
  </w:num>
  <w:num w:numId="82">
    <w:abstractNumId w:val="125"/>
  </w:num>
  <w:num w:numId="83">
    <w:abstractNumId w:val="149"/>
  </w:num>
  <w:num w:numId="84">
    <w:abstractNumId w:val="32"/>
  </w:num>
  <w:num w:numId="85">
    <w:abstractNumId w:val="41"/>
  </w:num>
  <w:num w:numId="86">
    <w:abstractNumId w:val="55"/>
  </w:num>
  <w:num w:numId="87">
    <w:abstractNumId w:val="133"/>
  </w:num>
  <w:num w:numId="88">
    <w:abstractNumId w:val="183"/>
  </w:num>
  <w:num w:numId="89">
    <w:abstractNumId w:val="137"/>
  </w:num>
  <w:num w:numId="90">
    <w:abstractNumId w:val="144"/>
  </w:num>
  <w:num w:numId="91">
    <w:abstractNumId w:val="175"/>
  </w:num>
  <w:num w:numId="92">
    <w:abstractNumId w:val="62"/>
  </w:num>
  <w:num w:numId="93">
    <w:abstractNumId w:val="81"/>
  </w:num>
  <w:num w:numId="94">
    <w:abstractNumId w:val="114"/>
  </w:num>
  <w:num w:numId="95">
    <w:abstractNumId w:val="17"/>
  </w:num>
  <w:num w:numId="96">
    <w:abstractNumId w:val="63"/>
  </w:num>
  <w:num w:numId="97">
    <w:abstractNumId w:val="172"/>
  </w:num>
  <w:num w:numId="98">
    <w:abstractNumId w:val="40"/>
  </w:num>
  <w:num w:numId="99">
    <w:abstractNumId w:val="12"/>
  </w:num>
  <w:num w:numId="100">
    <w:abstractNumId w:val="174"/>
  </w:num>
  <w:num w:numId="101">
    <w:abstractNumId w:val="67"/>
  </w:num>
  <w:num w:numId="102">
    <w:abstractNumId w:val="83"/>
  </w:num>
  <w:num w:numId="103">
    <w:abstractNumId w:val="153"/>
  </w:num>
  <w:num w:numId="104">
    <w:abstractNumId w:val="156"/>
  </w:num>
  <w:num w:numId="105">
    <w:abstractNumId w:val="34"/>
  </w:num>
  <w:num w:numId="106">
    <w:abstractNumId w:val="64"/>
  </w:num>
  <w:num w:numId="107">
    <w:abstractNumId w:val="37"/>
  </w:num>
  <w:num w:numId="108">
    <w:abstractNumId w:val="148"/>
  </w:num>
  <w:num w:numId="109">
    <w:abstractNumId w:val="170"/>
  </w:num>
  <w:num w:numId="110">
    <w:abstractNumId w:val="43"/>
  </w:num>
  <w:num w:numId="111">
    <w:abstractNumId w:val="129"/>
  </w:num>
  <w:num w:numId="112">
    <w:abstractNumId w:val="27"/>
  </w:num>
  <w:num w:numId="113">
    <w:abstractNumId w:val="38"/>
  </w:num>
  <w:num w:numId="114">
    <w:abstractNumId w:val="127"/>
  </w:num>
  <w:num w:numId="115">
    <w:abstractNumId w:val="131"/>
  </w:num>
  <w:num w:numId="116">
    <w:abstractNumId w:val="187"/>
  </w:num>
  <w:num w:numId="117">
    <w:abstractNumId w:val="97"/>
  </w:num>
  <w:num w:numId="118">
    <w:abstractNumId w:val="91"/>
  </w:num>
  <w:num w:numId="119">
    <w:abstractNumId w:val="5"/>
  </w:num>
  <w:num w:numId="120">
    <w:abstractNumId w:val="66"/>
  </w:num>
  <w:num w:numId="121">
    <w:abstractNumId w:val="20"/>
  </w:num>
  <w:num w:numId="122">
    <w:abstractNumId w:val="130"/>
  </w:num>
  <w:num w:numId="123">
    <w:abstractNumId w:val="178"/>
  </w:num>
  <w:num w:numId="124">
    <w:abstractNumId w:val="126"/>
  </w:num>
  <w:num w:numId="125">
    <w:abstractNumId w:val="177"/>
  </w:num>
  <w:num w:numId="126">
    <w:abstractNumId w:val="45"/>
  </w:num>
  <w:num w:numId="127">
    <w:abstractNumId w:val="22"/>
  </w:num>
  <w:num w:numId="128">
    <w:abstractNumId w:val="3"/>
  </w:num>
  <w:num w:numId="129">
    <w:abstractNumId w:val="128"/>
  </w:num>
  <w:num w:numId="130">
    <w:abstractNumId w:val="44"/>
  </w:num>
  <w:num w:numId="131">
    <w:abstractNumId w:val="48"/>
  </w:num>
  <w:num w:numId="132">
    <w:abstractNumId w:val="188"/>
  </w:num>
  <w:num w:numId="133">
    <w:abstractNumId w:val="47"/>
  </w:num>
  <w:num w:numId="134">
    <w:abstractNumId w:val="117"/>
  </w:num>
  <w:num w:numId="135">
    <w:abstractNumId w:val="28"/>
  </w:num>
  <w:num w:numId="136">
    <w:abstractNumId w:val="86"/>
  </w:num>
  <w:num w:numId="137">
    <w:abstractNumId w:val="10"/>
  </w:num>
  <w:num w:numId="138">
    <w:abstractNumId w:val="143"/>
  </w:num>
  <w:num w:numId="139">
    <w:abstractNumId w:val="189"/>
  </w:num>
  <w:num w:numId="140">
    <w:abstractNumId w:val="36"/>
  </w:num>
  <w:num w:numId="141">
    <w:abstractNumId w:val="176"/>
  </w:num>
  <w:num w:numId="142">
    <w:abstractNumId w:val="25"/>
  </w:num>
  <w:num w:numId="143">
    <w:abstractNumId w:val="141"/>
  </w:num>
  <w:num w:numId="144">
    <w:abstractNumId w:val="161"/>
  </w:num>
  <w:num w:numId="145">
    <w:abstractNumId w:val="164"/>
  </w:num>
  <w:num w:numId="146">
    <w:abstractNumId w:val="160"/>
  </w:num>
  <w:num w:numId="147">
    <w:abstractNumId w:val="101"/>
  </w:num>
  <w:num w:numId="148">
    <w:abstractNumId w:val="92"/>
  </w:num>
  <w:num w:numId="149">
    <w:abstractNumId w:val="18"/>
  </w:num>
  <w:num w:numId="150">
    <w:abstractNumId w:val="192"/>
  </w:num>
  <w:num w:numId="151">
    <w:abstractNumId w:val="90"/>
  </w:num>
  <w:num w:numId="152">
    <w:abstractNumId w:val="13"/>
  </w:num>
  <w:num w:numId="153">
    <w:abstractNumId w:val="58"/>
  </w:num>
  <w:num w:numId="154">
    <w:abstractNumId w:val="186"/>
  </w:num>
  <w:num w:numId="155">
    <w:abstractNumId w:val="2"/>
  </w:num>
  <w:num w:numId="156">
    <w:abstractNumId w:val="106"/>
  </w:num>
  <w:num w:numId="157">
    <w:abstractNumId w:val="68"/>
  </w:num>
  <w:num w:numId="158">
    <w:abstractNumId w:val="123"/>
  </w:num>
  <w:num w:numId="159">
    <w:abstractNumId w:val="157"/>
  </w:num>
  <w:num w:numId="160">
    <w:abstractNumId w:val="167"/>
  </w:num>
  <w:num w:numId="161">
    <w:abstractNumId w:val="171"/>
  </w:num>
  <w:num w:numId="162">
    <w:abstractNumId w:val="98"/>
  </w:num>
  <w:num w:numId="163">
    <w:abstractNumId w:val="70"/>
  </w:num>
  <w:num w:numId="164">
    <w:abstractNumId w:val="79"/>
  </w:num>
  <w:num w:numId="165">
    <w:abstractNumId w:val="29"/>
  </w:num>
  <w:num w:numId="166">
    <w:abstractNumId w:val="0"/>
  </w:num>
  <w:num w:numId="167">
    <w:abstractNumId w:val="180"/>
  </w:num>
  <w:num w:numId="168">
    <w:abstractNumId w:val="159"/>
  </w:num>
  <w:num w:numId="169">
    <w:abstractNumId w:val="74"/>
  </w:num>
  <w:num w:numId="170">
    <w:abstractNumId w:val="154"/>
  </w:num>
  <w:num w:numId="171">
    <w:abstractNumId w:val="155"/>
  </w:num>
  <w:num w:numId="172">
    <w:abstractNumId w:val="104"/>
  </w:num>
  <w:num w:numId="173">
    <w:abstractNumId w:val="110"/>
  </w:num>
  <w:num w:numId="174">
    <w:abstractNumId w:val="82"/>
  </w:num>
  <w:num w:numId="175">
    <w:abstractNumId w:val="19"/>
  </w:num>
  <w:num w:numId="176">
    <w:abstractNumId w:val="95"/>
  </w:num>
  <w:num w:numId="177">
    <w:abstractNumId w:val="59"/>
  </w:num>
  <w:num w:numId="178">
    <w:abstractNumId w:val="69"/>
  </w:num>
  <w:num w:numId="179">
    <w:abstractNumId w:val="181"/>
  </w:num>
  <w:num w:numId="180">
    <w:abstractNumId w:val="71"/>
  </w:num>
  <w:num w:numId="181">
    <w:abstractNumId w:val="87"/>
  </w:num>
  <w:num w:numId="182">
    <w:abstractNumId w:val="135"/>
  </w:num>
  <w:num w:numId="183">
    <w:abstractNumId w:val="33"/>
  </w:num>
  <w:num w:numId="184">
    <w:abstractNumId w:val="138"/>
  </w:num>
  <w:num w:numId="185">
    <w:abstractNumId w:val="65"/>
  </w:num>
  <w:num w:numId="186">
    <w:abstractNumId w:val="166"/>
  </w:num>
  <w:num w:numId="187">
    <w:abstractNumId w:val="184"/>
  </w:num>
  <w:num w:numId="188">
    <w:abstractNumId w:val="142"/>
  </w:num>
  <w:num w:numId="189">
    <w:abstractNumId w:val="14"/>
  </w:num>
  <w:num w:numId="190">
    <w:abstractNumId w:val="16"/>
  </w:num>
  <w:num w:numId="191">
    <w:abstractNumId w:val="145"/>
  </w:num>
  <w:num w:numId="192">
    <w:abstractNumId w:val="122"/>
  </w:num>
  <w:num w:numId="193">
    <w:abstractNumId w:val="46"/>
  </w:num>
  <w:num w:numId="194">
    <w:abstractNumId w:val="51"/>
  </w:num>
  <w:num w:numId="195">
    <w:abstractNumId w:val="165"/>
  </w:num>
  <w:num w:numId="196">
    <w:abstractNumId w:val="163"/>
  </w:num>
  <w:num w:numId="197">
    <w:abstractNumId w:val="84"/>
  </w:num>
  <w:num w:numId="198">
    <w:abstractNumId w:val="49"/>
  </w:num>
  <w:num w:numId="199">
    <w:abstractNumId w:val="134"/>
  </w:num>
  <w:num w:numId="200">
    <w:abstractNumId w:val="15"/>
  </w:num>
  <w:num w:numId="201">
    <w:abstractNumId w:val="173"/>
  </w:num>
  <w:num w:numId="202">
    <w:abstractNumId w:val="61"/>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trackedChanges" w:enforcement="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E7D"/>
    <w:rsid w:val="00000DF9"/>
    <w:rsid w:val="000042B8"/>
    <w:rsid w:val="00006007"/>
    <w:rsid w:val="00012B69"/>
    <w:rsid w:val="00012BF7"/>
    <w:rsid w:val="00016FCC"/>
    <w:rsid w:val="000178E5"/>
    <w:rsid w:val="00033FC7"/>
    <w:rsid w:val="00035B21"/>
    <w:rsid w:val="00035D37"/>
    <w:rsid w:val="00036E3B"/>
    <w:rsid w:val="00040ECD"/>
    <w:rsid w:val="00042CC9"/>
    <w:rsid w:val="0004583B"/>
    <w:rsid w:val="0004638B"/>
    <w:rsid w:val="00054223"/>
    <w:rsid w:val="0005612C"/>
    <w:rsid w:val="0005655B"/>
    <w:rsid w:val="00057352"/>
    <w:rsid w:val="00057A85"/>
    <w:rsid w:val="00060AA2"/>
    <w:rsid w:val="0006200B"/>
    <w:rsid w:val="00062083"/>
    <w:rsid w:val="000631D5"/>
    <w:rsid w:val="0007345F"/>
    <w:rsid w:val="0007647E"/>
    <w:rsid w:val="00090442"/>
    <w:rsid w:val="000977DF"/>
    <w:rsid w:val="000A030E"/>
    <w:rsid w:val="000A3C9C"/>
    <w:rsid w:val="000B385E"/>
    <w:rsid w:val="000B3CF5"/>
    <w:rsid w:val="000B76C8"/>
    <w:rsid w:val="000B79DE"/>
    <w:rsid w:val="000C1E26"/>
    <w:rsid w:val="000C5F64"/>
    <w:rsid w:val="000D51FE"/>
    <w:rsid w:val="000D524B"/>
    <w:rsid w:val="000E06F3"/>
    <w:rsid w:val="000E42F0"/>
    <w:rsid w:val="000E4D31"/>
    <w:rsid w:val="000E56AD"/>
    <w:rsid w:val="000E5F2E"/>
    <w:rsid w:val="000E7AEA"/>
    <w:rsid w:val="000F5AD2"/>
    <w:rsid w:val="001004BE"/>
    <w:rsid w:val="00102592"/>
    <w:rsid w:val="001115CC"/>
    <w:rsid w:val="00116A19"/>
    <w:rsid w:val="00117C34"/>
    <w:rsid w:val="00122DC6"/>
    <w:rsid w:val="00123EF3"/>
    <w:rsid w:val="0012790A"/>
    <w:rsid w:val="00132A50"/>
    <w:rsid w:val="00134D1F"/>
    <w:rsid w:val="0013531D"/>
    <w:rsid w:val="00136443"/>
    <w:rsid w:val="0014043A"/>
    <w:rsid w:val="0015247C"/>
    <w:rsid w:val="00152533"/>
    <w:rsid w:val="0015543D"/>
    <w:rsid w:val="00155BF8"/>
    <w:rsid w:val="0015720F"/>
    <w:rsid w:val="0016058A"/>
    <w:rsid w:val="0016201D"/>
    <w:rsid w:val="0016203E"/>
    <w:rsid w:val="00165EE4"/>
    <w:rsid w:val="00180622"/>
    <w:rsid w:val="00180844"/>
    <w:rsid w:val="001817FF"/>
    <w:rsid w:val="00185967"/>
    <w:rsid w:val="0019410C"/>
    <w:rsid w:val="0019444A"/>
    <w:rsid w:val="001A152C"/>
    <w:rsid w:val="001A5283"/>
    <w:rsid w:val="001B06F9"/>
    <w:rsid w:val="001C068A"/>
    <w:rsid w:val="001C4325"/>
    <w:rsid w:val="001C437D"/>
    <w:rsid w:val="001C6716"/>
    <w:rsid w:val="001D2CF5"/>
    <w:rsid w:val="001D348B"/>
    <w:rsid w:val="001D5E8B"/>
    <w:rsid w:val="001D7738"/>
    <w:rsid w:val="001E0E14"/>
    <w:rsid w:val="001E1374"/>
    <w:rsid w:val="001F2751"/>
    <w:rsid w:val="00200C4D"/>
    <w:rsid w:val="00201E7D"/>
    <w:rsid w:val="00203542"/>
    <w:rsid w:val="0020664E"/>
    <w:rsid w:val="00214DBC"/>
    <w:rsid w:val="002175C9"/>
    <w:rsid w:val="00220770"/>
    <w:rsid w:val="00224ABF"/>
    <w:rsid w:val="00225618"/>
    <w:rsid w:val="00226A4F"/>
    <w:rsid w:val="002419C6"/>
    <w:rsid w:val="0025429B"/>
    <w:rsid w:val="00257932"/>
    <w:rsid w:val="002712B4"/>
    <w:rsid w:val="00293BE0"/>
    <w:rsid w:val="00295D3C"/>
    <w:rsid w:val="00296ECD"/>
    <w:rsid w:val="002A346A"/>
    <w:rsid w:val="002A4063"/>
    <w:rsid w:val="002A44F0"/>
    <w:rsid w:val="002A494E"/>
    <w:rsid w:val="002A5480"/>
    <w:rsid w:val="002A73C9"/>
    <w:rsid w:val="002A7A9B"/>
    <w:rsid w:val="002B3B4D"/>
    <w:rsid w:val="002B3F67"/>
    <w:rsid w:val="002B6394"/>
    <w:rsid w:val="002C0877"/>
    <w:rsid w:val="002C2248"/>
    <w:rsid w:val="002C37C1"/>
    <w:rsid w:val="002C3F95"/>
    <w:rsid w:val="002C56BF"/>
    <w:rsid w:val="002C6924"/>
    <w:rsid w:val="002D112D"/>
    <w:rsid w:val="002D265E"/>
    <w:rsid w:val="002D3485"/>
    <w:rsid w:val="002D4BF1"/>
    <w:rsid w:val="002D5366"/>
    <w:rsid w:val="002D5B1A"/>
    <w:rsid w:val="002D683A"/>
    <w:rsid w:val="002E6168"/>
    <w:rsid w:val="002F1811"/>
    <w:rsid w:val="002F18B9"/>
    <w:rsid w:val="002F1AAC"/>
    <w:rsid w:val="002F4F01"/>
    <w:rsid w:val="002F508E"/>
    <w:rsid w:val="002F6B75"/>
    <w:rsid w:val="002F6F16"/>
    <w:rsid w:val="002F7330"/>
    <w:rsid w:val="003143FB"/>
    <w:rsid w:val="00315902"/>
    <w:rsid w:val="00326CDA"/>
    <w:rsid w:val="003326CB"/>
    <w:rsid w:val="003351EA"/>
    <w:rsid w:val="003417DC"/>
    <w:rsid w:val="00345B6D"/>
    <w:rsid w:val="00346823"/>
    <w:rsid w:val="00346D24"/>
    <w:rsid w:val="00350389"/>
    <w:rsid w:val="00350B9D"/>
    <w:rsid w:val="00353B42"/>
    <w:rsid w:val="00355520"/>
    <w:rsid w:val="003637DA"/>
    <w:rsid w:val="00366D6E"/>
    <w:rsid w:val="00367551"/>
    <w:rsid w:val="0037346F"/>
    <w:rsid w:val="00373F7C"/>
    <w:rsid w:val="00383A4B"/>
    <w:rsid w:val="00383D23"/>
    <w:rsid w:val="00384CF4"/>
    <w:rsid w:val="0039168D"/>
    <w:rsid w:val="003A1A80"/>
    <w:rsid w:val="003C0C15"/>
    <w:rsid w:val="003C147A"/>
    <w:rsid w:val="003C604E"/>
    <w:rsid w:val="003C7838"/>
    <w:rsid w:val="003D09B5"/>
    <w:rsid w:val="003D13B4"/>
    <w:rsid w:val="003D4820"/>
    <w:rsid w:val="003D48CB"/>
    <w:rsid w:val="003D5F89"/>
    <w:rsid w:val="003E358B"/>
    <w:rsid w:val="003E42D4"/>
    <w:rsid w:val="003E643D"/>
    <w:rsid w:val="003E6884"/>
    <w:rsid w:val="003E7F64"/>
    <w:rsid w:val="003F0005"/>
    <w:rsid w:val="003F194E"/>
    <w:rsid w:val="003F3541"/>
    <w:rsid w:val="003F7B2A"/>
    <w:rsid w:val="00415523"/>
    <w:rsid w:val="004157C8"/>
    <w:rsid w:val="004235F8"/>
    <w:rsid w:val="004311A8"/>
    <w:rsid w:val="00435481"/>
    <w:rsid w:val="00436D1F"/>
    <w:rsid w:val="0044040B"/>
    <w:rsid w:val="00442C8A"/>
    <w:rsid w:val="00444132"/>
    <w:rsid w:val="00446404"/>
    <w:rsid w:val="00446FE9"/>
    <w:rsid w:val="0045207E"/>
    <w:rsid w:val="004550B3"/>
    <w:rsid w:val="00455CCA"/>
    <w:rsid w:val="0045700B"/>
    <w:rsid w:val="00460FC2"/>
    <w:rsid w:val="00471E98"/>
    <w:rsid w:val="0047359A"/>
    <w:rsid w:val="00476DC1"/>
    <w:rsid w:val="00480048"/>
    <w:rsid w:val="004850A2"/>
    <w:rsid w:val="00485D7D"/>
    <w:rsid w:val="00486C1D"/>
    <w:rsid w:val="00496D36"/>
    <w:rsid w:val="004A013D"/>
    <w:rsid w:val="004A3D29"/>
    <w:rsid w:val="004A5B39"/>
    <w:rsid w:val="004B0B31"/>
    <w:rsid w:val="004B66E0"/>
    <w:rsid w:val="004C319E"/>
    <w:rsid w:val="004C4506"/>
    <w:rsid w:val="004C6980"/>
    <w:rsid w:val="004C7666"/>
    <w:rsid w:val="004D2A8A"/>
    <w:rsid w:val="004D3B9F"/>
    <w:rsid w:val="004D54EC"/>
    <w:rsid w:val="004D5628"/>
    <w:rsid w:val="004E32BE"/>
    <w:rsid w:val="004F044B"/>
    <w:rsid w:val="004F095C"/>
    <w:rsid w:val="004F32F9"/>
    <w:rsid w:val="00503016"/>
    <w:rsid w:val="005034FF"/>
    <w:rsid w:val="005047C3"/>
    <w:rsid w:val="00504ACC"/>
    <w:rsid w:val="00506810"/>
    <w:rsid w:val="00522F66"/>
    <w:rsid w:val="00525BE7"/>
    <w:rsid w:val="00525F5F"/>
    <w:rsid w:val="00541BCE"/>
    <w:rsid w:val="0054297D"/>
    <w:rsid w:val="00544FE2"/>
    <w:rsid w:val="00545968"/>
    <w:rsid w:val="00550660"/>
    <w:rsid w:val="00554AA6"/>
    <w:rsid w:val="00560EE2"/>
    <w:rsid w:val="0056102A"/>
    <w:rsid w:val="00561EE0"/>
    <w:rsid w:val="0056259B"/>
    <w:rsid w:val="00564704"/>
    <w:rsid w:val="00567017"/>
    <w:rsid w:val="00572636"/>
    <w:rsid w:val="00572EE8"/>
    <w:rsid w:val="00574A88"/>
    <w:rsid w:val="00576A5E"/>
    <w:rsid w:val="005810A9"/>
    <w:rsid w:val="005827E2"/>
    <w:rsid w:val="0058416C"/>
    <w:rsid w:val="00586937"/>
    <w:rsid w:val="00590DFA"/>
    <w:rsid w:val="0059241F"/>
    <w:rsid w:val="0059486D"/>
    <w:rsid w:val="005A3C70"/>
    <w:rsid w:val="005A699F"/>
    <w:rsid w:val="005B32C3"/>
    <w:rsid w:val="005B364B"/>
    <w:rsid w:val="005B5C5D"/>
    <w:rsid w:val="005C04BD"/>
    <w:rsid w:val="005C4FD6"/>
    <w:rsid w:val="005C6885"/>
    <w:rsid w:val="005D12DE"/>
    <w:rsid w:val="005E01A9"/>
    <w:rsid w:val="005E3892"/>
    <w:rsid w:val="005F1B44"/>
    <w:rsid w:val="005F5AA7"/>
    <w:rsid w:val="005F7E1F"/>
    <w:rsid w:val="00606765"/>
    <w:rsid w:val="00606D6F"/>
    <w:rsid w:val="00613DD2"/>
    <w:rsid w:val="006222CA"/>
    <w:rsid w:val="00622451"/>
    <w:rsid w:val="00624210"/>
    <w:rsid w:val="00624F6B"/>
    <w:rsid w:val="00631F80"/>
    <w:rsid w:val="0063586F"/>
    <w:rsid w:val="00640E59"/>
    <w:rsid w:val="00646621"/>
    <w:rsid w:val="00646DE7"/>
    <w:rsid w:val="00652857"/>
    <w:rsid w:val="0065352B"/>
    <w:rsid w:val="0065522A"/>
    <w:rsid w:val="00657CBE"/>
    <w:rsid w:val="006606B6"/>
    <w:rsid w:val="00660F1C"/>
    <w:rsid w:val="00661AF9"/>
    <w:rsid w:val="0066243D"/>
    <w:rsid w:val="00665863"/>
    <w:rsid w:val="00671A2F"/>
    <w:rsid w:val="00675778"/>
    <w:rsid w:val="0068284C"/>
    <w:rsid w:val="006843D5"/>
    <w:rsid w:val="00684AE4"/>
    <w:rsid w:val="00687A5E"/>
    <w:rsid w:val="0069199D"/>
    <w:rsid w:val="00693133"/>
    <w:rsid w:val="006A3B21"/>
    <w:rsid w:val="006A46FC"/>
    <w:rsid w:val="006A6690"/>
    <w:rsid w:val="006A7AE4"/>
    <w:rsid w:val="006C1D52"/>
    <w:rsid w:val="006C25B6"/>
    <w:rsid w:val="006C2C9C"/>
    <w:rsid w:val="006C37B4"/>
    <w:rsid w:val="006C3A41"/>
    <w:rsid w:val="006C66CA"/>
    <w:rsid w:val="006C69BE"/>
    <w:rsid w:val="006D0589"/>
    <w:rsid w:val="006D0D19"/>
    <w:rsid w:val="006D1FD4"/>
    <w:rsid w:val="006D5703"/>
    <w:rsid w:val="006E1CC0"/>
    <w:rsid w:val="006E2ED9"/>
    <w:rsid w:val="006E6006"/>
    <w:rsid w:val="006F1328"/>
    <w:rsid w:val="006F5191"/>
    <w:rsid w:val="006F7621"/>
    <w:rsid w:val="006F7DC5"/>
    <w:rsid w:val="006F7E6D"/>
    <w:rsid w:val="00700B0B"/>
    <w:rsid w:val="00700F4D"/>
    <w:rsid w:val="00701544"/>
    <w:rsid w:val="007036D1"/>
    <w:rsid w:val="007056B3"/>
    <w:rsid w:val="00707AB2"/>
    <w:rsid w:val="00714D7F"/>
    <w:rsid w:val="00720182"/>
    <w:rsid w:val="00723E05"/>
    <w:rsid w:val="007344F3"/>
    <w:rsid w:val="00735092"/>
    <w:rsid w:val="00735E3C"/>
    <w:rsid w:val="00741063"/>
    <w:rsid w:val="00742481"/>
    <w:rsid w:val="00743A6B"/>
    <w:rsid w:val="00751DB6"/>
    <w:rsid w:val="00752ED4"/>
    <w:rsid w:val="00753A09"/>
    <w:rsid w:val="007548B7"/>
    <w:rsid w:val="007567EE"/>
    <w:rsid w:val="00760649"/>
    <w:rsid w:val="00760864"/>
    <w:rsid w:val="00771886"/>
    <w:rsid w:val="00776A28"/>
    <w:rsid w:val="00791731"/>
    <w:rsid w:val="007948FE"/>
    <w:rsid w:val="00794BF1"/>
    <w:rsid w:val="007A14AA"/>
    <w:rsid w:val="007A23E2"/>
    <w:rsid w:val="007A736A"/>
    <w:rsid w:val="007B0993"/>
    <w:rsid w:val="007B11E5"/>
    <w:rsid w:val="007B2042"/>
    <w:rsid w:val="007B3729"/>
    <w:rsid w:val="007B6836"/>
    <w:rsid w:val="007C0459"/>
    <w:rsid w:val="007C3ED0"/>
    <w:rsid w:val="007D07A6"/>
    <w:rsid w:val="007D4A2E"/>
    <w:rsid w:val="007D4DD3"/>
    <w:rsid w:val="007D5177"/>
    <w:rsid w:val="007D5991"/>
    <w:rsid w:val="007D7DE5"/>
    <w:rsid w:val="007E0126"/>
    <w:rsid w:val="007E3AC2"/>
    <w:rsid w:val="007E4250"/>
    <w:rsid w:val="007F1393"/>
    <w:rsid w:val="007F2D00"/>
    <w:rsid w:val="007F2F5F"/>
    <w:rsid w:val="00806518"/>
    <w:rsid w:val="008277D2"/>
    <w:rsid w:val="00831F30"/>
    <w:rsid w:val="00832EAE"/>
    <w:rsid w:val="0083639A"/>
    <w:rsid w:val="00843D29"/>
    <w:rsid w:val="00847C4C"/>
    <w:rsid w:val="00850536"/>
    <w:rsid w:val="0085192F"/>
    <w:rsid w:val="0085647A"/>
    <w:rsid w:val="00860312"/>
    <w:rsid w:val="0086211C"/>
    <w:rsid w:val="0086552F"/>
    <w:rsid w:val="008661A8"/>
    <w:rsid w:val="00866757"/>
    <w:rsid w:val="0087273A"/>
    <w:rsid w:val="00882D84"/>
    <w:rsid w:val="008921F6"/>
    <w:rsid w:val="00894A78"/>
    <w:rsid w:val="00894A95"/>
    <w:rsid w:val="00897E51"/>
    <w:rsid w:val="008A1BA1"/>
    <w:rsid w:val="008A4D5E"/>
    <w:rsid w:val="008A523A"/>
    <w:rsid w:val="008A60D0"/>
    <w:rsid w:val="008A7483"/>
    <w:rsid w:val="008B17CF"/>
    <w:rsid w:val="008B7DA2"/>
    <w:rsid w:val="008C38C5"/>
    <w:rsid w:val="008C5C3F"/>
    <w:rsid w:val="008D4077"/>
    <w:rsid w:val="008D4F60"/>
    <w:rsid w:val="008D7A06"/>
    <w:rsid w:val="008E7981"/>
    <w:rsid w:val="008F227B"/>
    <w:rsid w:val="008F32A0"/>
    <w:rsid w:val="008F7223"/>
    <w:rsid w:val="00900E25"/>
    <w:rsid w:val="00904CF3"/>
    <w:rsid w:val="00906B08"/>
    <w:rsid w:val="00907632"/>
    <w:rsid w:val="009114D1"/>
    <w:rsid w:val="0091272D"/>
    <w:rsid w:val="00924B27"/>
    <w:rsid w:val="00925409"/>
    <w:rsid w:val="009255E0"/>
    <w:rsid w:val="00926956"/>
    <w:rsid w:val="0092739F"/>
    <w:rsid w:val="00930F62"/>
    <w:rsid w:val="00932353"/>
    <w:rsid w:val="00934DAC"/>
    <w:rsid w:val="00936135"/>
    <w:rsid w:val="00950929"/>
    <w:rsid w:val="00955C8F"/>
    <w:rsid w:val="009572B1"/>
    <w:rsid w:val="00963B18"/>
    <w:rsid w:val="00974774"/>
    <w:rsid w:val="009779E4"/>
    <w:rsid w:val="00984AA8"/>
    <w:rsid w:val="00987B83"/>
    <w:rsid w:val="009909B2"/>
    <w:rsid w:val="00992623"/>
    <w:rsid w:val="009A1220"/>
    <w:rsid w:val="009A2D2E"/>
    <w:rsid w:val="009A39D9"/>
    <w:rsid w:val="009A3D83"/>
    <w:rsid w:val="009A6E95"/>
    <w:rsid w:val="009B04DB"/>
    <w:rsid w:val="009B6434"/>
    <w:rsid w:val="009C121C"/>
    <w:rsid w:val="009C7725"/>
    <w:rsid w:val="009D2950"/>
    <w:rsid w:val="009D3EE7"/>
    <w:rsid w:val="009D4C99"/>
    <w:rsid w:val="009D4D5F"/>
    <w:rsid w:val="009D559F"/>
    <w:rsid w:val="009D561E"/>
    <w:rsid w:val="009D6F51"/>
    <w:rsid w:val="009E16AB"/>
    <w:rsid w:val="009E4060"/>
    <w:rsid w:val="009E4D3D"/>
    <w:rsid w:val="009E5EC7"/>
    <w:rsid w:val="009E60CE"/>
    <w:rsid w:val="00A02BEB"/>
    <w:rsid w:val="00A03807"/>
    <w:rsid w:val="00A041D6"/>
    <w:rsid w:val="00A052A9"/>
    <w:rsid w:val="00A1158C"/>
    <w:rsid w:val="00A12F6F"/>
    <w:rsid w:val="00A17010"/>
    <w:rsid w:val="00A22777"/>
    <w:rsid w:val="00A241AB"/>
    <w:rsid w:val="00A32D08"/>
    <w:rsid w:val="00A405B3"/>
    <w:rsid w:val="00A429A6"/>
    <w:rsid w:val="00A463AA"/>
    <w:rsid w:val="00A50ACE"/>
    <w:rsid w:val="00A52BA3"/>
    <w:rsid w:val="00A53954"/>
    <w:rsid w:val="00A552DA"/>
    <w:rsid w:val="00A60D06"/>
    <w:rsid w:val="00A779A5"/>
    <w:rsid w:val="00A83327"/>
    <w:rsid w:val="00A90997"/>
    <w:rsid w:val="00A917C6"/>
    <w:rsid w:val="00A969F9"/>
    <w:rsid w:val="00A9772B"/>
    <w:rsid w:val="00AA0D7A"/>
    <w:rsid w:val="00AA404C"/>
    <w:rsid w:val="00AB0F18"/>
    <w:rsid w:val="00AB5080"/>
    <w:rsid w:val="00AB5769"/>
    <w:rsid w:val="00AB659C"/>
    <w:rsid w:val="00AC02FF"/>
    <w:rsid w:val="00AC10AA"/>
    <w:rsid w:val="00AC21F8"/>
    <w:rsid w:val="00AC340A"/>
    <w:rsid w:val="00AC350A"/>
    <w:rsid w:val="00AD1C4A"/>
    <w:rsid w:val="00AD24E9"/>
    <w:rsid w:val="00AD571C"/>
    <w:rsid w:val="00AE467E"/>
    <w:rsid w:val="00AE5EA3"/>
    <w:rsid w:val="00AE7AF6"/>
    <w:rsid w:val="00AF078A"/>
    <w:rsid w:val="00AF1F48"/>
    <w:rsid w:val="00AF7C14"/>
    <w:rsid w:val="00B02920"/>
    <w:rsid w:val="00B127EF"/>
    <w:rsid w:val="00B139E3"/>
    <w:rsid w:val="00B13A45"/>
    <w:rsid w:val="00B13B53"/>
    <w:rsid w:val="00B14381"/>
    <w:rsid w:val="00B15CB7"/>
    <w:rsid w:val="00B172F0"/>
    <w:rsid w:val="00B17304"/>
    <w:rsid w:val="00B1756C"/>
    <w:rsid w:val="00B17808"/>
    <w:rsid w:val="00B247A8"/>
    <w:rsid w:val="00B26BD0"/>
    <w:rsid w:val="00B327A9"/>
    <w:rsid w:val="00B374DD"/>
    <w:rsid w:val="00B40667"/>
    <w:rsid w:val="00B43330"/>
    <w:rsid w:val="00B4492E"/>
    <w:rsid w:val="00B47D56"/>
    <w:rsid w:val="00B51CFB"/>
    <w:rsid w:val="00B612A7"/>
    <w:rsid w:val="00B64A0F"/>
    <w:rsid w:val="00B7401D"/>
    <w:rsid w:val="00B827F4"/>
    <w:rsid w:val="00B84078"/>
    <w:rsid w:val="00B96E72"/>
    <w:rsid w:val="00BA010F"/>
    <w:rsid w:val="00BA26F1"/>
    <w:rsid w:val="00BA29F3"/>
    <w:rsid w:val="00BA2FEB"/>
    <w:rsid w:val="00BB4F6F"/>
    <w:rsid w:val="00BB5C80"/>
    <w:rsid w:val="00BB675A"/>
    <w:rsid w:val="00BC0D9E"/>
    <w:rsid w:val="00BC4256"/>
    <w:rsid w:val="00BC4A85"/>
    <w:rsid w:val="00BC6960"/>
    <w:rsid w:val="00BC6A3A"/>
    <w:rsid w:val="00BD353C"/>
    <w:rsid w:val="00BD44F4"/>
    <w:rsid w:val="00BD5393"/>
    <w:rsid w:val="00BE1577"/>
    <w:rsid w:val="00BE437E"/>
    <w:rsid w:val="00BE4F25"/>
    <w:rsid w:val="00BE670E"/>
    <w:rsid w:val="00BF102C"/>
    <w:rsid w:val="00BF41EF"/>
    <w:rsid w:val="00BF44B4"/>
    <w:rsid w:val="00BF650E"/>
    <w:rsid w:val="00C01907"/>
    <w:rsid w:val="00C01AF0"/>
    <w:rsid w:val="00C0580F"/>
    <w:rsid w:val="00C144DC"/>
    <w:rsid w:val="00C25124"/>
    <w:rsid w:val="00C313D4"/>
    <w:rsid w:val="00C32C1C"/>
    <w:rsid w:val="00C359B5"/>
    <w:rsid w:val="00C3699C"/>
    <w:rsid w:val="00C41CEC"/>
    <w:rsid w:val="00C541CF"/>
    <w:rsid w:val="00C57073"/>
    <w:rsid w:val="00C57910"/>
    <w:rsid w:val="00C6476D"/>
    <w:rsid w:val="00C64B60"/>
    <w:rsid w:val="00C66212"/>
    <w:rsid w:val="00C71384"/>
    <w:rsid w:val="00C718EE"/>
    <w:rsid w:val="00C74E79"/>
    <w:rsid w:val="00C82E76"/>
    <w:rsid w:val="00C852F1"/>
    <w:rsid w:val="00C86F2E"/>
    <w:rsid w:val="00C873EE"/>
    <w:rsid w:val="00CA0AF4"/>
    <w:rsid w:val="00CA13C9"/>
    <w:rsid w:val="00CA4D38"/>
    <w:rsid w:val="00CA5804"/>
    <w:rsid w:val="00CC3514"/>
    <w:rsid w:val="00CD78D2"/>
    <w:rsid w:val="00CE0BFA"/>
    <w:rsid w:val="00CE59FE"/>
    <w:rsid w:val="00CF0E68"/>
    <w:rsid w:val="00CF5616"/>
    <w:rsid w:val="00CF66B6"/>
    <w:rsid w:val="00CF6A38"/>
    <w:rsid w:val="00D136FD"/>
    <w:rsid w:val="00D15F27"/>
    <w:rsid w:val="00D228F2"/>
    <w:rsid w:val="00D23F8A"/>
    <w:rsid w:val="00D24C74"/>
    <w:rsid w:val="00D30415"/>
    <w:rsid w:val="00D30935"/>
    <w:rsid w:val="00D349C7"/>
    <w:rsid w:val="00D402D1"/>
    <w:rsid w:val="00D42851"/>
    <w:rsid w:val="00D458F9"/>
    <w:rsid w:val="00D470C3"/>
    <w:rsid w:val="00D523AA"/>
    <w:rsid w:val="00D6050C"/>
    <w:rsid w:val="00D61484"/>
    <w:rsid w:val="00D6205C"/>
    <w:rsid w:val="00D62497"/>
    <w:rsid w:val="00D62679"/>
    <w:rsid w:val="00D62E91"/>
    <w:rsid w:val="00D721FE"/>
    <w:rsid w:val="00D73701"/>
    <w:rsid w:val="00D7499C"/>
    <w:rsid w:val="00D749B1"/>
    <w:rsid w:val="00D74F8D"/>
    <w:rsid w:val="00D8029E"/>
    <w:rsid w:val="00D80930"/>
    <w:rsid w:val="00D81F93"/>
    <w:rsid w:val="00D87BD4"/>
    <w:rsid w:val="00D903D0"/>
    <w:rsid w:val="00D94482"/>
    <w:rsid w:val="00D978B6"/>
    <w:rsid w:val="00DA498A"/>
    <w:rsid w:val="00DA7903"/>
    <w:rsid w:val="00DB1B59"/>
    <w:rsid w:val="00DB5088"/>
    <w:rsid w:val="00DC25DB"/>
    <w:rsid w:val="00DC46A8"/>
    <w:rsid w:val="00DC47FE"/>
    <w:rsid w:val="00DD1B3E"/>
    <w:rsid w:val="00DE074A"/>
    <w:rsid w:val="00DE16FB"/>
    <w:rsid w:val="00DE1701"/>
    <w:rsid w:val="00DE1E61"/>
    <w:rsid w:val="00DF178E"/>
    <w:rsid w:val="00DF181E"/>
    <w:rsid w:val="00DF42BE"/>
    <w:rsid w:val="00DF5E15"/>
    <w:rsid w:val="00E0326D"/>
    <w:rsid w:val="00E04835"/>
    <w:rsid w:val="00E10542"/>
    <w:rsid w:val="00E11915"/>
    <w:rsid w:val="00E11A76"/>
    <w:rsid w:val="00E1361D"/>
    <w:rsid w:val="00E17301"/>
    <w:rsid w:val="00E20734"/>
    <w:rsid w:val="00E2180B"/>
    <w:rsid w:val="00E25A28"/>
    <w:rsid w:val="00E263E9"/>
    <w:rsid w:val="00E26C10"/>
    <w:rsid w:val="00E27064"/>
    <w:rsid w:val="00E310DF"/>
    <w:rsid w:val="00E4001F"/>
    <w:rsid w:val="00E43A28"/>
    <w:rsid w:val="00E45496"/>
    <w:rsid w:val="00E51964"/>
    <w:rsid w:val="00E657BA"/>
    <w:rsid w:val="00E668D0"/>
    <w:rsid w:val="00E67B63"/>
    <w:rsid w:val="00E7759C"/>
    <w:rsid w:val="00E91000"/>
    <w:rsid w:val="00EA26AB"/>
    <w:rsid w:val="00EA2AE6"/>
    <w:rsid w:val="00EA72A0"/>
    <w:rsid w:val="00EB08EF"/>
    <w:rsid w:val="00EB29A3"/>
    <w:rsid w:val="00EB3CF8"/>
    <w:rsid w:val="00EB5918"/>
    <w:rsid w:val="00EB697E"/>
    <w:rsid w:val="00EC448A"/>
    <w:rsid w:val="00EC6F16"/>
    <w:rsid w:val="00EC7083"/>
    <w:rsid w:val="00ED06B6"/>
    <w:rsid w:val="00ED0AB2"/>
    <w:rsid w:val="00ED1915"/>
    <w:rsid w:val="00EE099A"/>
    <w:rsid w:val="00EE2AA5"/>
    <w:rsid w:val="00EE3088"/>
    <w:rsid w:val="00EE62A7"/>
    <w:rsid w:val="00EE68DA"/>
    <w:rsid w:val="00EF1B6C"/>
    <w:rsid w:val="00EF3CF0"/>
    <w:rsid w:val="00EF4AE1"/>
    <w:rsid w:val="00EF5686"/>
    <w:rsid w:val="00EF7B3A"/>
    <w:rsid w:val="00F00A94"/>
    <w:rsid w:val="00F0249C"/>
    <w:rsid w:val="00F02F8F"/>
    <w:rsid w:val="00F06990"/>
    <w:rsid w:val="00F153D2"/>
    <w:rsid w:val="00F15606"/>
    <w:rsid w:val="00F21140"/>
    <w:rsid w:val="00F21444"/>
    <w:rsid w:val="00F322BB"/>
    <w:rsid w:val="00F376EC"/>
    <w:rsid w:val="00F41D65"/>
    <w:rsid w:val="00F420D8"/>
    <w:rsid w:val="00F42C9B"/>
    <w:rsid w:val="00F45C8B"/>
    <w:rsid w:val="00F47B5F"/>
    <w:rsid w:val="00F552F1"/>
    <w:rsid w:val="00F60DDF"/>
    <w:rsid w:val="00F61A82"/>
    <w:rsid w:val="00F6318D"/>
    <w:rsid w:val="00F63DA0"/>
    <w:rsid w:val="00F64B17"/>
    <w:rsid w:val="00F64DC4"/>
    <w:rsid w:val="00F65B3F"/>
    <w:rsid w:val="00F717D5"/>
    <w:rsid w:val="00F81391"/>
    <w:rsid w:val="00F91A25"/>
    <w:rsid w:val="00F95D7B"/>
    <w:rsid w:val="00FA06E9"/>
    <w:rsid w:val="00FA0CB1"/>
    <w:rsid w:val="00FA17CF"/>
    <w:rsid w:val="00FA375F"/>
    <w:rsid w:val="00FA56DD"/>
    <w:rsid w:val="00FA7E62"/>
    <w:rsid w:val="00FB0D99"/>
    <w:rsid w:val="00FB55DB"/>
    <w:rsid w:val="00FB5B0A"/>
    <w:rsid w:val="00FB6C91"/>
    <w:rsid w:val="00FC5304"/>
    <w:rsid w:val="00FD198B"/>
    <w:rsid w:val="00FD67C2"/>
    <w:rsid w:val="00FD710B"/>
    <w:rsid w:val="00FD797E"/>
    <w:rsid w:val="00FE0227"/>
    <w:rsid w:val="00FE144F"/>
    <w:rsid w:val="00FF25F2"/>
    <w:rsid w:val="00FF373D"/>
    <w:rsid w:val="00FF682D"/>
    <w:rsid w:val="00FF7B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6448732F"/>
  <w15:docId w15:val="{A1361000-AEDD-4FF1-8A86-9D36E806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B5B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E56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qFormat/>
    <w:rsid w:val="00E7759C"/>
    <w:pPr>
      <w:keepNext/>
      <w:tabs>
        <w:tab w:val="num" w:pos="1923"/>
      </w:tabs>
      <w:spacing w:before="120" w:after="60" w:line="240" w:lineRule="auto"/>
      <w:ind w:left="1923" w:hanging="504"/>
      <w:jc w:val="both"/>
      <w:outlineLvl w:val="2"/>
    </w:pPr>
    <w:rPr>
      <w:rFonts w:ascii="Trebuchet MS" w:eastAsia="MS Mincho" w:hAnsi="Trebuchet MS" w:cs="Times New Roman"/>
      <w:b/>
      <w:bCs/>
      <w:szCs w:val="26"/>
      <w:lang w:val="es-ES" w:eastAsia="ja-JP"/>
    </w:rPr>
  </w:style>
  <w:style w:type="paragraph" w:styleId="Ttulo4">
    <w:name w:val="heading 4"/>
    <w:basedOn w:val="Normal"/>
    <w:next w:val="Normal"/>
    <w:link w:val="Ttulo4Car"/>
    <w:uiPriority w:val="9"/>
    <w:qFormat/>
    <w:rsid w:val="00E7759C"/>
    <w:pPr>
      <w:keepNext/>
      <w:numPr>
        <w:numId w:val="110"/>
      </w:numPr>
      <w:spacing w:before="120" w:after="0" w:line="240" w:lineRule="auto"/>
      <w:outlineLvl w:val="3"/>
    </w:pPr>
    <w:rPr>
      <w:rFonts w:ascii="Trebuchet MS" w:eastAsia="Times New Roman" w:hAnsi="Trebuchet MS" w:cs="Arial"/>
      <w:bCs/>
      <w:i/>
      <w:szCs w:val="20"/>
      <w:lang w:val="es-ES_tradnl" w:eastAsia="es-ES"/>
    </w:rPr>
  </w:style>
  <w:style w:type="paragraph" w:styleId="Ttulo5">
    <w:name w:val="heading 5"/>
    <w:basedOn w:val="Normal"/>
    <w:next w:val="Normal"/>
    <w:link w:val="Ttulo5Car"/>
    <w:uiPriority w:val="9"/>
    <w:qFormat/>
    <w:rsid w:val="00E7759C"/>
    <w:pPr>
      <w:keepNext/>
      <w:autoSpaceDE w:val="0"/>
      <w:autoSpaceDN w:val="0"/>
      <w:adjustRightInd w:val="0"/>
      <w:spacing w:after="0" w:line="240" w:lineRule="auto"/>
      <w:jc w:val="right"/>
      <w:outlineLvl w:val="4"/>
    </w:pPr>
    <w:rPr>
      <w:rFonts w:ascii="Trebuchet MS" w:eastAsia="Times New Roman" w:hAnsi="Trebuchet MS" w:cs="Arial"/>
      <w:b/>
      <w:bCs/>
      <w:color w:val="000000"/>
      <w:sz w:val="20"/>
      <w:szCs w:val="20"/>
      <w:lang w:val="es-ES" w:eastAsia="es-ES"/>
    </w:rPr>
  </w:style>
  <w:style w:type="paragraph" w:styleId="Ttulo6">
    <w:name w:val="heading 6"/>
    <w:basedOn w:val="Normal"/>
    <w:next w:val="Normal"/>
    <w:link w:val="Ttulo6Car"/>
    <w:qFormat/>
    <w:rsid w:val="00E7759C"/>
    <w:pPr>
      <w:keepNext/>
      <w:autoSpaceDE w:val="0"/>
      <w:autoSpaceDN w:val="0"/>
      <w:adjustRightInd w:val="0"/>
      <w:spacing w:after="0" w:line="240" w:lineRule="auto"/>
      <w:outlineLvl w:val="5"/>
    </w:pPr>
    <w:rPr>
      <w:rFonts w:ascii="Trebuchet MS" w:eastAsia="Times New Roman" w:hAnsi="Trebuchet MS" w:cs="Arial"/>
      <w:b/>
      <w:bCs/>
      <w:color w:val="000000"/>
      <w:sz w:val="20"/>
      <w:szCs w:val="20"/>
      <w:lang w:val="es-ES" w:eastAsia="es-ES"/>
    </w:rPr>
  </w:style>
  <w:style w:type="paragraph" w:styleId="Ttulo7">
    <w:name w:val="heading 7"/>
    <w:basedOn w:val="Normal"/>
    <w:next w:val="Normal"/>
    <w:link w:val="Ttulo7Car"/>
    <w:qFormat/>
    <w:rsid w:val="00E7759C"/>
    <w:pPr>
      <w:keepNext/>
      <w:autoSpaceDE w:val="0"/>
      <w:autoSpaceDN w:val="0"/>
      <w:adjustRightInd w:val="0"/>
      <w:spacing w:after="0" w:line="240" w:lineRule="auto"/>
      <w:jc w:val="center"/>
      <w:outlineLvl w:val="6"/>
    </w:pPr>
    <w:rPr>
      <w:rFonts w:ascii="Trebuchet MS" w:eastAsia="Times New Roman" w:hAnsi="Trebuchet MS" w:cs="Arial"/>
      <w:b/>
      <w:bCs/>
      <w:color w:val="000000"/>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B0A"/>
    <w:rPr>
      <w:rFonts w:asciiTheme="majorHAnsi" w:eastAsiaTheme="majorEastAsia" w:hAnsiTheme="majorHAnsi" w:cstheme="majorBidi"/>
      <w:b/>
      <w:bCs/>
      <w:color w:val="365F91" w:themeColor="accent1" w:themeShade="BF"/>
      <w:sz w:val="28"/>
      <w:szCs w:val="28"/>
    </w:rPr>
  </w:style>
  <w:style w:type="paragraph" w:styleId="Prrafodelista">
    <w:name w:val="List Paragraph"/>
    <w:aliases w:val="Pбrrafo de lista"/>
    <w:basedOn w:val="Normal"/>
    <w:link w:val="PrrafodelistaCar"/>
    <w:uiPriority w:val="34"/>
    <w:qFormat/>
    <w:rsid w:val="003417DC"/>
    <w:pPr>
      <w:ind w:left="720"/>
      <w:contextualSpacing/>
    </w:pPr>
  </w:style>
  <w:style w:type="table" w:styleId="Tablaconcuadrcula">
    <w:name w:val="Table Grid"/>
    <w:basedOn w:val="Tablanormal"/>
    <w:uiPriority w:val="39"/>
    <w:rsid w:val="007B0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476DC1"/>
    <w:pPr>
      <w:spacing w:after="0" w:line="240" w:lineRule="auto"/>
    </w:pPr>
    <w:rPr>
      <w:lang w:val="es-ES"/>
    </w:rPr>
  </w:style>
  <w:style w:type="paragraph" w:styleId="Textodeglobo">
    <w:name w:val="Balloon Text"/>
    <w:basedOn w:val="Normal"/>
    <w:link w:val="TextodegloboCar"/>
    <w:uiPriority w:val="99"/>
    <w:unhideWhenUsed/>
    <w:rsid w:val="000B76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0B76C8"/>
    <w:rPr>
      <w:rFonts w:ascii="Tahoma" w:hAnsi="Tahoma" w:cs="Tahoma"/>
      <w:sz w:val="16"/>
      <w:szCs w:val="16"/>
    </w:rPr>
  </w:style>
  <w:style w:type="paragraph" w:styleId="NormalWeb">
    <w:name w:val="Normal (Web)"/>
    <w:basedOn w:val="Normal"/>
    <w:uiPriority w:val="99"/>
    <w:unhideWhenUsed/>
    <w:rsid w:val="00DA7903"/>
    <w:pPr>
      <w:spacing w:after="0" w:line="240" w:lineRule="auto"/>
    </w:pPr>
    <w:rPr>
      <w:rFonts w:ascii="Times New Roman" w:hAnsi="Times New Roman" w:cs="Times New Roman"/>
      <w:sz w:val="24"/>
      <w:szCs w:val="24"/>
    </w:rPr>
  </w:style>
  <w:style w:type="character" w:customStyle="1" w:styleId="TextonotapieCar">
    <w:name w:val="Texto nota pie Car"/>
    <w:basedOn w:val="Fuentedeprrafopredeter"/>
    <w:link w:val="Textonotapie"/>
    <w:uiPriority w:val="99"/>
    <w:rsid w:val="00DA7903"/>
    <w:rPr>
      <w:sz w:val="20"/>
      <w:szCs w:val="20"/>
    </w:rPr>
  </w:style>
  <w:style w:type="paragraph" w:styleId="Textonotapie">
    <w:name w:val="footnote text"/>
    <w:basedOn w:val="Normal"/>
    <w:link w:val="TextonotapieCar"/>
    <w:uiPriority w:val="99"/>
    <w:unhideWhenUsed/>
    <w:rsid w:val="00DA7903"/>
    <w:pPr>
      <w:spacing w:after="0" w:line="240" w:lineRule="auto"/>
    </w:pPr>
    <w:rPr>
      <w:sz w:val="20"/>
      <w:szCs w:val="20"/>
    </w:rPr>
  </w:style>
  <w:style w:type="character" w:styleId="Refdenotaalpie">
    <w:name w:val="footnote reference"/>
    <w:basedOn w:val="Fuentedeprrafopredeter"/>
    <w:unhideWhenUsed/>
    <w:rsid w:val="00DA7903"/>
    <w:rPr>
      <w:vertAlign w:val="superscript"/>
    </w:rPr>
  </w:style>
  <w:style w:type="character" w:customStyle="1" w:styleId="noleidos">
    <w:name w:val="noleidos"/>
    <w:basedOn w:val="Fuentedeprrafopredeter"/>
    <w:rsid w:val="00DA7903"/>
  </w:style>
  <w:style w:type="character" w:customStyle="1" w:styleId="vinculos">
    <w:name w:val="vinculos"/>
    <w:basedOn w:val="Fuentedeprrafopredeter"/>
    <w:rsid w:val="00DA7903"/>
  </w:style>
  <w:style w:type="paragraph" w:styleId="Encabezado">
    <w:name w:val="header"/>
    <w:aliases w:val="encabezado,Encabezado1,para doc. Metro"/>
    <w:basedOn w:val="Normal"/>
    <w:link w:val="EncabezadoCar"/>
    <w:uiPriority w:val="99"/>
    <w:unhideWhenUsed/>
    <w:rsid w:val="00DA7903"/>
    <w:pPr>
      <w:tabs>
        <w:tab w:val="center" w:pos="4419"/>
        <w:tab w:val="right" w:pos="8838"/>
      </w:tabs>
      <w:spacing w:after="0" w:line="240" w:lineRule="auto"/>
    </w:pPr>
    <w:rPr>
      <w:rFonts w:ascii="Times New Roman" w:hAnsi="Times New Roman" w:cs="Times New Roman"/>
      <w:sz w:val="24"/>
      <w:szCs w:val="24"/>
    </w:rPr>
  </w:style>
  <w:style w:type="character" w:customStyle="1" w:styleId="EncabezadoCar">
    <w:name w:val="Encabezado Car"/>
    <w:aliases w:val="encabezado Car,Encabezado1 Car,para doc. Metro Car"/>
    <w:basedOn w:val="Fuentedeprrafopredeter"/>
    <w:link w:val="Encabezado"/>
    <w:uiPriority w:val="99"/>
    <w:rsid w:val="00DA7903"/>
    <w:rPr>
      <w:rFonts w:ascii="Times New Roman" w:hAnsi="Times New Roman" w:cs="Times New Roman"/>
      <w:sz w:val="24"/>
      <w:szCs w:val="24"/>
      <w:lang w:eastAsia="es-CO"/>
    </w:rPr>
  </w:style>
  <w:style w:type="paragraph" w:styleId="Piedepgina">
    <w:name w:val="footer"/>
    <w:basedOn w:val="Normal"/>
    <w:link w:val="PiedepginaCar"/>
    <w:uiPriority w:val="99"/>
    <w:unhideWhenUsed/>
    <w:rsid w:val="00DA7903"/>
    <w:pPr>
      <w:tabs>
        <w:tab w:val="center" w:pos="4419"/>
        <w:tab w:val="right" w:pos="8838"/>
      </w:tabs>
      <w:spacing w:after="0" w:line="240" w:lineRule="auto"/>
    </w:pPr>
    <w:rPr>
      <w:rFonts w:ascii="Times New Roman" w:hAnsi="Times New Roman" w:cs="Times New Roman"/>
      <w:sz w:val="24"/>
      <w:szCs w:val="24"/>
    </w:rPr>
  </w:style>
  <w:style w:type="character" w:customStyle="1" w:styleId="PiedepginaCar">
    <w:name w:val="Pie de página Car"/>
    <w:basedOn w:val="Fuentedeprrafopredeter"/>
    <w:link w:val="Piedepgina"/>
    <w:uiPriority w:val="99"/>
    <w:rsid w:val="00DA7903"/>
    <w:rPr>
      <w:rFonts w:ascii="Times New Roman" w:hAnsi="Times New Roman" w:cs="Times New Roman"/>
      <w:sz w:val="24"/>
      <w:szCs w:val="24"/>
      <w:lang w:eastAsia="es-CO"/>
    </w:rPr>
  </w:style>
  <w:style w:type="character" w:customStyle="1" w:styleId="SinespaciadoCar">
    <w:name w:val="Sin espaciado Car"/>
    <w:link w:val="Sinespaciado"/>
    <w:uiPriority w:val="1"/>
    <w:rsid w:val="00D74F8D"/>
    <w:rPr>
      <w:lang w:val="es-ES"/>
    </w:rPr>
  </w:style>
  <w:style w:type="paragraph" w:customStyle="1" w:styleId="textoelt">
    <w:name w:val="textoelt"/>
    <w:basedOn w:val="Normal"/>
    <w:rsid w:val="00D74F8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tulodeTDC">
    <w:name w:val="TOC Heading"/>
    <w:basedOn w:val="Ttulo1"/>
    <w:next w:val="Normal"/>
    <w:uiPriority w:val="39"/>
    <w:semiHidden/>
    <w:unhideWhenUsed/>
    <w:qFormat/>
    <w:rsid w:val="000E56AD"/>
    <w:pPr>
      <w:outlineLvl w:val="9"/>
    </w:pPr>
    <w:rPr>
      <w:lang w:val="es-ES"/>
    </w:rPr>
  </w:style>
  <w:style w:type="paragraph" w:styleId="TDC1">
    <w:name w:val="toc 1"/>
    <w:basedOn w:val="Normal"/>
    <w:next w:val="Normal"/>
    <w:autoRedefine/>
    <w:uiPriority w:val="39"/>
    <w:unhideWhenUsed/>
    <w:qFormat/>
    <w:rsid w:val="009D6F51"/>
    <w:pPr>
      <w:tabs>
        <w:tab w:val="left" w:pos="440"/>
        <w:tab w:val="right" w:leader="dot" w:pos="8830"/>
      </w:tabs>
      <w:spacing w:after="100"/>
      <w:jc w:val="both"/>
    </w:pPr>
    <w:rPr>
      <w:sz w:val="32"/>
      <w:szCs w:val="32"/>
    </w:rPr>
  </w:style>
  <w:style w:type="character" w:styleId="Hipervnculo">
    <w:name w:val="Hyperlink"/>
    <w:basedOn w:val="Fuentedeprrafopredeter"/>
    <w:uiPriority w:val="99"/>
    <w:unhideWhenUsed/>
    <w:rsid w:val="000E56AD"/>
    <w:rPr>
      <w:color w:val="0000FF" w:themeColor="hyperlink"/>
      <w:u w:val="single"/>
    </w:rPr>
  </w:style>
  <w:style w:type="character" w:customStyle="1" w:styleId="Ttulo2Car">
    <w:name w:val="Título 2 Car"/>
    <w:basedOn w:val="Fuentedeprrafopredeter"/>
    <w:link w:val="Ttulo2"/>
    <w:uiPriority w:val="9"/>
    <w:rsid w:val="000E56AD"/>
    <w:rPr>
      <w:rFonts w:asciiTheme="majorHAnsi" w:eastAsiaTheme="majorEastAsia" w:hAnsiTheme="majorHAnsi" w:cstheme="majorBidi"/>
      <w:b/>
      <w:bCs/>
      <w:color w:val="4F81BD" w:themeColor="accent1"/>
      <w:sz w:val="26"/>
      <w:szCs w:val="26"/>
    </w:rPr>
  </w:style>
  <w:style w:type="character" w:styleId="nfasis">
    <w:name w:val="Emphasis"/>
    <w:uiPriority w:val="20"/>
    <w:qFormat/>
    <w:rsid w:val="00F60DDF"/>
    <w:rPr>
      <w:i/>
      <w:iCs/>
    </w:rPr>
  </w:style>
  <w:style w:type="paragraph" w:styleId="TDC2">
    <w:name w:val="toc 2"/>
    <w:basedOn w:val="Normal"/>
    <w:next w:val="Normal"/>
    <w:autoRedefine/>
    <w:uiPriority w:val="39"/>
    <w:unhideWhenUsed/>
    <w:qFormat/>
    <w:rsid w:val="009D6F51"/>
    <w:pPr>
      <w:spacing w:after="100"/>
      <w:ind w:left="220"/>
    </w:pPr>
  </w:style>
  <w:style w:type="character" w:styleId="Refdecomentario">
    <w:name w:val="annotation reference"/>
    <w:basedOn w:val="Fuentedeprrafopredeter"/>
    <w:unhideWhenUsed/>
    <w:rsid w:val="00E11915"/>
    <w:rPr>
      <w:sz w:val="16"/>
      <w:szCs w:val="16"/>
    </w:rPr>
  </w:style>
  <w:style w:type="paragraph" w:styleId="Textocomentario">
    <w:name w:val="annotation text"/>
    <w:basedOn w:val="Normal"/>
    <w:link w:val="TextocomentarioCar"/>
    <w:uiPriority w:val="99"/>
    <w:unhideWhenUsed/>
    <w:rsid w:val="00E11915"/>
    <w:pPr>
      <w:spacing w:line="240" w:lineRule="auto"/>
    </w:pPr>
    <w:rPr>
      <w:sz w:val="20"/>
      <w:szCs w:val="20"/>
    </w:rPr>
  </w:style>
  <w:style w:type="character" w:customStyle="1" w:styleId="TextocomentarioCar">
    <w:name w:val="Texto comentario Car"/>
    <w:basedOn w:val="Fuentedeprrafopredeter"/>
    <w:link w:val="Textocomentario"/>
    <w:uiPriority w:val="99"/>
    <w:rsid w:val="00E11915"/>
    <w:rPr>
      <w:sz w:val="20"/>
      <w:szCs w:val="20"/>
    </w:rPr>
  </w:style>
  <w:style w:type="paragraph" w:styleId="Asuntodelcomentario">
    <w:name w:val="annotation subject"/>
    <w:basedOn w:val="Textocomentario"/>
    <w:next w:val="Textocomentario"/>
    <w:link w:val="AsuntodelcomentarioCar"/>
    <w:unhideWhenUsed/>
    <w:rsid w:val="00CC3514"/>
    <w:rPr>
      <w:b/>
      <w:bCs/>
    </w:rPr>
  </w:style>
  <w:style w:type="character" w:customStyle="1" w:styleId="AsuntodelcomentarioCar">
    <w:name w:val="Asunto del comentario Car"/>
    <w:basedOn w:val="TextocomentarioCar"/>
    <w:link w:val="Asuntodelcomentario"/>
    <w:rsid w:val="00CC3514"/>
    <w:rPr>
      <w:b/>
      <w:bCs/>
      <w:sz w:val="20"/>
      <w:szCs w:val="20"/>
    </w:rPr>
  </w:style>
  <w:style w:type="table" w:customStyle="1" w:styleId="Tablaconcuadrcula1">
    <w:name w:val="Tabla con cuadrícula1"/>
    <w:basedOn w:val="Tablanormal"/>
    <w:next w:val="Tablaconcuadrcula"/>
    <w:uiPriority w:val="39"/>
    <w:rsid w:val="0060676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rsid w:val="00760864"/>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uiPriority w:val="59"/>
    <w:rsid w:val="00486C1D"/>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4">
    <w:name w:val="Tabla con cuadrícula4"/>
    <w:basedOn w:val="Tablanormal"/>
    <w:uiPriority w:val="59"/>
    <w:rsid w:val="0007647E"/>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5">
    <w:name w:val="Tabla con cuadrícula5"/>
    <w:basedOn w:val="Tablanormal"/>
    <w:uiPriority w:val="59"/>
    <w:rsid w:val="00035B21"/>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3">
    <w:name w:val="toc 3"/>
    <w:basedOn w:val="Normal"/>
    <w:next w:val="Normal"/>
    <w:autoRedefine/>
    <w:uiPriority w:val="39"/>
    <w:unhideWhenUsed/>
    <w:qFormat/>
    <w:rsid w:val="004D2A8A"/>
    <w:pPr>
      <w:spacing w:after="100"/>
      <w:ind w:left="440"/>
    </w:pPr>
  </w:style>
  <w:style w:type="character" w:customStyle="1" w:styleId="nfasisintenso1">
    <w:name w:val="nfasisintenso1"/>
    <w:basedOn w:val="Fuentedeprrafopredeter"/>
    <w:rsid w:val="00B247A8"/>
    <w:rPr>
      <w:b/>
      <w:bCs/>
      <w:i/>
      <w:iCs/>
      <w:color w:val="4F81BD"/>
    </w:rPr>
  </w:style>
  <w:style w:type="paragraph" w:styleId="Textonotaalfinal">
    <w:name w:val="endnote text"/>
    <w:basedOn w:val="Normal"/>
    <w:link w:val="TextonotaalfinalCar"/>
    <w:unhideWhenUsed/>
    <w:rsid w:val="004235F8"/>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rsid w:val="004235F8"/>
    <w:rPr>
      <w:rFonts w:eastAsiaTheme="minorHAnsi"/>
      <w:sz w:val="20"/>
      <w:szCs w:val="20"/>
      <w:lang w:eastAsia="en-US"/>
    </w:rPr>
  </w:style>
  <w:style w:type="character" w:styleId="Refdenotaalfinal">
    <w:name w:val="endnote reference"/>
    <w:basedOn w:val="Fuentedeprrafopredeter"/>
    <w:unhideWhenUsed/>
    <w:rsid w:val="004235F8"/>
    <w:rPr>
      <w:vertAlign w:val="superscript"/>
    </w:rPr>
  </w:style>
  <w:style w:type="paragraph" w:customStyle="1" w:styleId="Listavistosa-nfasis11">
    <w:name w:val="Lista vistosa - Énfasis 11"/>
    <w:basedOn w:val="Normal"/>
    <w:uiPriority w:val="34"/>
    <w:qFormat/>
    <w:rsid w:val="004235F8"/>
    <w:pPr>
      <w:ind w:left="720"/>
      <w:contextualSpacing/>
    </w:pPr>
    <w:rPr>
      <w:rFonts w:ascii="Calibri" w:eastAsia="Times New Roman" w:hAnsi="Calibri" w:cs="Times New Roman"/>
    </w:rPr>
  </w:style>
  <w:style w:type="character" w:customStyle="1" w:styleId="leidos">
    <w:name w:val="leidos"/>
    <w:basedOn w:val="Fuentedeprrafopredeter"/>
    <w:rsid w:val="004235F8"/>
  </w:style>
  <w:style w:type="character" w:customStyle="1" w:styleId="Ttulo3Car">
    <w:name w:val="Título 3 Car"/>
    <w:basedOn w:val="Fuentedeprrafopredeter"/>
    <w:link w:val="Ttulo3"/>
    <w:uiPriority w:val="9"/>
    <w:rsid w:val="00E7759C"/>
    <w:rPr>
      <w:rFonts w:ascii="Trebuchet MS" w:eastAsia="MS Mincho" w:hAnsi="Trebuchet MS" w:cs="Times New Roman"/>
      <w:b/>
      <w:bCs/>
      <w:szCs w:val="26"/>
      <w:lang w:val="es-ES" w:eastAsia="ja-JP"/>
    </w:rPr>
  </w:style>
  <w:style w:type="character" w:customStyle="1" w:styleId="Ttulo4Car">
    <w:name w:val="Título 4 Car"/>
    <w:basedOn w:val="Fuentedeprrafopredeter"/>
    <w:link w:val="Ttulo4"/>
    <w:uiPriority w:val="9"/>
    <w:rsid w:val="00E7759C"/>
    <w:rPr>
      <w:rFonts w:ascii="Trebuchet MS" w:eastAsia="Times New Roman" w:hAnsi="Trebuchet MS" w:cs="Arial"/>
      <w:bCs/>
      <w:i/>
      <w:szCs w:val="20"/>
      <w:lang w:val="es-ES_tradnl" w:eastAsia="es-ES"/>
    </w:rPr>
  </w:style>
  <w:style w:type="character" w:customStyle="1" w:styleId="Ttulo5Car">
    <w:name w:val="Título 5 Car"/>
    <w:basedOn w:val="Fuentedeprrafopredeter"/>
    <w:link w:val="Ttulo5"/>
    <w:uiPriority w:val="9"/>
    <w:rsid w:val="00E7759C"/>
    <w:rPr>
      <w:rFonts w:ascii="Trebuchet MS" w:eastAsia="Times New Roman" w:hAnsi="Trebuchet MS" w:cs="Arial"/>
      <w:b/>
      <w:bCs/>
      <w:color w:val="000000"/>
      <w:sz w:val="20"/>
      <w:szCs w:val="20"/>
      <w:lang w:val="es-ES" w:eastAsia="es-ES"/>
    </w:rPr>
  </w:style>
  <w:style w:type="character" w:customStyle="1" w:styleId="Ttulo6Car">
    <w:name w:val="Título 6 Car"/>
    <w:basedOn w:val="Fuentedeprrafopredeter"/>
    <w:link w:val="Ttulo6"/>
    <w:rsid w:val="00E7759C"/>
    <w:rPr>
      <w:rFonts w:ascii="Trebuchet MS" w:eastAsia="Times New Roman" w:hAnsi="Trebuchet MS" w:cs="Arial"/>
      <w:b/>
      <w:bCs/>
      <w:color w:val="000000"/>
      <w:sz w:val="20"/>
      <w:szCs w:val="20"/>
      <w:lang w:val="es-ES" w:eastAsia="es-ES"/>
    </w:rPr>
  </w:style>
  <w:style w:type="character" w:customStyle="1" w:styleId="Ttulo7Car">
    <w:name w:val="Título 7 Car"/>
    <w:basedOn w:val="Fuentedeprrafopredeter"/>
    <w:link w:val="Ttulo7"/>
    <w:rsid w:val="00E7759C"/>
    <w:rPr>
      <w:rFonts w:ascii="Trebuchet MS" w:eastAsia="Times New Roman" w:hAnsi="Trebuchet MS" w:cs="Arial"/>
      <w:b/>
      <w:bCs/>
      <w:color w:val="000000"/>
      <w:sz w:val="18"/>
      <w:szCs w:val="24"/>
      <w:lang w:val="es-ES" w:eastAsia="es-ES"/>
    </w:rPr>
  </w:style>
  <w:style w:type="numbering" w:customStyle="1" w:styleId="Sinlista1">
    <w:name w:val="Sin lista1"/>
    <w:next w:val="Sinlista"/>
    <w:uiPriority w:val="99"/>
    <w:semiHidden/>
    <w:rsid w:val="00E7759C"/>
  </w:style>
  <w:style w:type="paragraph" w:customStyle="1" w:styleId="Car">
    <w:name w:val="Car"/>
    <w:basedOn w:val="Normal"/>
    <w:rsid w:val="00E7759C"/>
    <w:pPr>
      <w:spacing w:after="160" w:line="240" w:lineRule="exact"/>
    </w:pPr>
    <w:rPr>
      <w:rFonts w:ascii="Trebuchet MS" w:eastAsia="MS Mincho" w:hAnsi="Trebuchet MS" w:cs="Times New Roman"/>
      <w:sz w:val="24"/>
      <w:szCs w:val="24"/>
      <w:lang w:val="es-ES" w:eastAsia="ja-JP"/>
    </w:rPr>
  </w:style>
  <w:style w:type="character" w:styleId="Nmerodepgina">
    <w:name w:val="page number"/>
    <w:uiPriority w:val="99"/>
    <w:rsid w:val="00E7759C"/>
    <w:rPr>
      <w:rFonts w:ascii="Arial" w:hAnsi="Arial"/>
      <w:sz w:val="20"/>
    </w:rPr>
  </w:style>
  <w:style w:type="paragraph" w:styleId="Textoindependiente3">
    <w:name w:val="Body Text 3"/>
    <w:basedOn w:val="Normal"/>
    <w:link w:val="Textoindependiente3Car"/>
    <w:rsid w:val="00E7759C"/>
    <w:pPr>
      <w:spacing w:after="0" w:line="240" w:lineRule="auto"/>
      <w:jc w:val="both"/>
    </w:pPr>
    <w:rPr>
      <w:rFonts w:ascii="Tahoma" w:eastAsia="Times New Roman" w:hAnsi="Tahoma" w:cs="Tahoma"/>
      <w:szCs w:val="24"/>
      <w:lang w:val="es-ES" w:eastAsia="es-ES"/>
    </w:rPr>
  </w:style>
  <w:style w:type="character" w:customStyle="1" w:styleId="Textoindependiente3Car">
    <w:name w:val="Texto independiente 3 Car"/>
    <w:basedOn w:val="Fuentedeprrafopredeter"/>
    <w:link w:val="Textoindependiente3"/>
    <w:rsid w:val="00E7759C"/>
    <w:rPr>
      <w:rFonts w:ascii="Tahoma" w:eastAsia="Times New Roman" w:hAnsi="Tahoma" w:cs="Tahoma"/>
      <w:szCs w:val="24"/>
      <w:lang w:val="es-ES" w:eastAsia="es-ES"/>
    </w:rPr>
  </w:style>
  <w:style w:type="paragraph" w:styleId="Textoindependiente">
    <w:name w:val="Body Text"/>
    <w:basedOn w:val="Normal"/>
    <w:link w:val="TextoindependienteCar"/>
    <w:rsid w:val="00E7759C"/>
    <w:pPr>
      <w:spacing w:after="0" w:line="240" w:lineRule="auto"/>
      <w:jc w:val="both"/>
    </w:pPr>
    <w:rPr>
      <w:rFonts w:ascii="Tahoma" w:eastAsia="Times New Roman" w:hAnsi="Tahoma" w:cs="Times New Roman"/>
      <w:sz w:val="24"/>
      <w:szCs w:val="20"/>
      <w:lang w:val="es-ES" w:eastAsia="es-ES"/>
    </w:rPr>
  </w:style>
  <w:style w:type="character" w:customStyle="1" w:styleId="TextoindependienteCar">
    <w:name w:val="Texto independiente Car"/>
    <w:basedOn w:val="Fuentedeprrafopredeter"/>
    <w:link w:val="Textoindependiente"/>
    <w:rsid w:val="00E7759C"/>
    <w:rPr>
      <w:rFonts w:ascii="Tahoma" w:eastAsia="Times New Roman" w:hAnsi="Tahoma" w:cs="Times New Roman"/>
      <w:sz w:val="24"/>
      <w:szCs w:val="20"/>
      <w:lang w:val="es-ES" w:eastAsia="es-ES"/>
    </w:rPr>
  </w:style>
  <w:style w:type="paragraph" w:styleId="Sangra2detindependiente">
    <w:name w:val="Body Text Indent 2"/>
    <w:basedOn w:val="Normal"/>
    <w:link w:val="Sangra2detindependienteCar"/>
    <w:rsid w:val="00E7759C"/>
    <w:pPr>
      <w:spacing w:after="120" w:line="480" w:lineRule="auto"/>
      <w:ind w:left="283"/>
    </w:pPr>
    <w:rPr>
      <w:rFonts w:ascii="Times New Roman" w:eastAsia="Times New Roman" w:hAnsi="Times New Roman"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E7759C"/>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E7759C"/>
    <w:pPr>
      <w:spacing w:after="120" w:line="480" w:lineRule="auto"/>
    </w:pPr>
    <w:rPr>
      <w:rFonts w:ascii="Times New Roman" w:eastAsia="Times New Roman" w:hAnsi="Times New Roman" w:cs="Times New Roman"/>
      <w:sz w:val="20"/>
      <w:szCs w:val="20"/>
      <w:lang w:val="es-ES_tradnl" w:eastAsia="es-ES"/>
    </w:rPr>
  </w:style>
  <w:style w:type="character" w:customStyle="1" w:styleId="Textoindependiente2Car">
    <w:name w:val="Texto independiente 2 Car"/>
    <w:basedOn w:val="Fuentedeprrafopredeter"/>
    <w:link w:val="Textoindependiente2"/>
    <w:rsid w:val="00E7759C"/>
    <w:rPr>
      <w:rFonts w:ascii="Times New Roman" w:eastAsia="Times New Roman" w:hAnsi="Times New Roman" w:cs="Times New Roman"/>
      <w:sz w:val="20"/>
      <w:szCs w:val="20"/>
      <w:lang w:val="es-ES_tradnl" w:eastAsia="es-ES"/>
    </w:rPr>
  </w:style>
  <w:style w:type="paragraph" w:styleId="Sangradetextonormal">
    <w:name w:val="Body Text Indent"/>
    <w:basedOn w:val="Normal"/>
    <w:link w:val="SangradetextonormalCar"/>
    <w:rsid w:val="00E7759C"/>
    <w:pPr>
      <w:autoSpaceDE w:val="0"/>
      <w:autoSpaceDN w:val="0"/>
      <w:adjustRightInd w:val="0"/>
      <w:spacing w:after="0" w:line="240" w:lineRule="auto"/>
      <w:ind w:left="2880"/>
      <w:jc w:val="both"/>
    </w:pPr>
    <w:rPr>
      <w:rFonts w:ascii="Trebuchet MS" w:eastAsia="Times New Roman" w:hAnsi="Trebuchet MS" w:cs="Arial"/>
      <w:sz w:val="24"/>
      <w:szCs w:val="24"/>
      <w:lang w:eastAsia="es-ES"/>
    </w:rPr>
  </w:style>
  <w:style w:type="character" w:customStyle="1" w:styleId="SangradetextonormalCar">
    <w:name w:val="Sangría de texto normal Car"/>
    <w:basedOn w:val="Fuentedeprrafopredeter"/>
    <w:link w:val="Sangradetextonormal"/>
    <w:rsid w:val="00E7759C"/>
    <w:rPr>
      <w:rFonts w:ascii="Trebuchet MS" w:eastAsia="Times New Roman" w:hAnsi="Trebuchet MS" w:cs="Arial"/>
      <w:sz w:val="24"/>
      <w:szCs w:val="24"/>
      <w:lang w:eastAsia="es-ES"/>
    </w:rPr>
  </w:style>
  <w:style w:type="paragraph" w:customStyle="1" w:styleId="Car4">
    <w:name w:val="Car4"/>
    <w:basedOn w:val="Normal"/>
    <w:rsid w:val="00E7759C"/>
    <w:pPr>
      <w:spacing w:after="160" w:line="240" w:lineRule="exact"/>
    </w:pPr>
    <w:rPr>
      <w:rFonts w:ascii="Verdana" w:eastAsia="Times New Roman" w:hAnsi="Verdana" w:cs="Times New Roman"/>
      <w:sz w:val="20"/>
      <w:szCs w:val="20"/>
      <w:lang w:val="en-US" w:eastAsia="en-US"/>
    </w:rPr>
  </w:style>
  <w:style w:type="paragraph" w:styleId="Textosinformato">
    <w:name w:val="Plain Text"/>
    <w:basedOn w:val="Normal"/>
    <w:link w:val="TextosinformatoCar"/>
    <w:uiPriority w:val="99"/>
    <w:rsid w:val="00E7759C"/>
    <w:pPr>
      <w:spacing w:after="0" w:line="240" w:lineRule="auto"/>
    </w:pPr>
    <w:rPr>
      <w:rFonts w:ascii="Courier New" w:eastAsia="MS Mincho"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E7759C"/>
    <w:rPr>
      <w:rFonts w:ascii="Courier New" w:eastAsia="MS Mincho" w:hAnsi="Courier New" w:cs="Times New Roman"/>
      <w:sz w:val="20"/>
      <w:szCs w:val="20"/>
      <w:lang w:val="es-ES" w:eastAsia="es-ES"/>
    </w:rPr>
  </w:style>
  <w:style w:type="table" w:customStyle="1" w:styleId="Tablaconcuadrcula6">
    <w:name w:val="Tabla con cuadrícula6"/>
    <w:basedOn w:val="Tablanormal"/>
    <w:next w:val="Tablaconcuadrcula"/>
    <w:uiPriority w:val="59"/>
    <w:rsid w:val="00E775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0">
    <w:name w:val="sinespaciado"/>
    <w:basedOn w:val="Normal"/>
    <w:rsid w:val="00E7759C"/>
    <w:pPr>
      <w:spacing w:after="0" w:line="240" w:lineRule="auto"/>
    </w:pPr>
    <w:rPr>
      <w:rFonts w:ascii="Calibri" w:eastAsia="Calibri" w:hAnsi="Calibri" w:cs="Times New Roman"/>
      <w:lang w:val="es-ES" w:eastAsia="es-ES"/>
    </w:rPr>
  </w:style>
  <w:style w:type="character" w:customStyle="1" w:styleId="miltonramirez">
    <w:name w:val="milton.ramirez"/>
    <w:semiHidden/>
    <w:rsid w:val="00E7759C"/>
    <w:rPr>
      <w:rFonts w:ascii="Arial" w:hAnsi="Arial" w:cs="Arial"/>
      <w:color w:val="000080"/>
      <w:sz w:val="20"/>
      <w:szCs w:val="20"/>
    </w:rPr>
  </w:style>
  <w:style w:type="paragraph" w:customStyle="1" w:styleId="ww-textoindependiente2">
    <w:name w:val="ww-textoindependiente2"/>
    <w:basedOn w:val="Normal"/>
    <w:rsid w:val="00E7759C"/>
    <w:pPr>
      <w:spacing w:after="0" w:line="240" w:lineRule="auto"/>
      <w:jc w:val="both"/>
    </w:pPr>
    <w:rPr>
      <w:rFonts w:ascii="Trebuchet MS" w:eastAsia="Times New Roman" w:hAnsi="Trebuchet MS" w:cs="Arial"/>
      <w:i/>
      <w:iCs/>
      <w:sz w:val="24"/>
      <w:szCs w:val="24"/>
      <w:lang w:val="es-ES" w:eastAsia="es-ES"/>
    </w:rPr>
  </w:style>
  <w:style w:type="character" w:customStyle="1" w:styleId="Marthacaldas">
    <w:name w:val="Martha.caldas"/>
    <w:semiHidden/>
    <w:rsid w:val="00E7759C"/>
    <w:rPr>
      <w:rFonts w:ascii="Arial" w:hAnsi="Arial" w:cs="Arial"/>
      <w:color w:val="000080"/>
      <w:sz w:val="20"/>
      <w:szCs w:val="20"/>
    </w:rPr>
  </w:style>
  <w:style w:type="paragraph" w:customStyle="1" w:styleId="EstiloTtulo1TrebuchetMS">
    <w:name w:val="Estilo Título 1 + Trebuchet MS"/>
    <w:basedOn w:val="Ttulo1"/>
    <w:next w:val="Normal"/>
    <w:rsid w:val="00E7759C"/>
    <w:pPr>
      <w:keepLines w:val="0"/>
      <w:tabs>
        <w:tab w:val="num" w:pos="283"/>
      </w:tabs>
      <w:spacing w:before="240" w:after="60" w:line="240" w:lineRule="auto"/>
      <w:ind w:left="510"/>
      <w:jc w:val="both"/>
    </w:pPr>
    <w:rPr>
      <w:rFonts w:ascii="Trebuchet MS" w:eastAsia="MS Mincho" w:hAnsi="Trebuchet MS" w:cs="Times New Roman"/>
      <w:color w:val="auto"/>
      <w:kern w:val="32"/>
      <w:sz w:val="24"/>
      <w:szCs w:val="32"/>
      <w:lang w:val="es-ES" w:eastAsia="ja-JP"/>
    </w:rPr>
  </w:style>
  <w:style w:type="paragraph" w:styleId="TDC4">
    <w:name w:val="toc 4"/>
    <w:basedOn w:val="Normal"/>
    <w:next w:val="Normal"/>
    <w:autoRedefine/>
    <w:semiHidden/>
    <w:rsid w:val="00E7759C"/>
    <w:pPr>
      <w:spacing w:after="0" w:line="240" w:lineRule="auto"/>
      <w:ind w:left="660"/>
      <w:jc w:val="both"/>
    </w:pPr>
    <w:rPr>
      <w:rFonts w:ascii="Trebuchet MS" w:eastAsia="MS Mincho" w:hAnsi="Trebuchet MS" w:cs="Times New Roman"/>
      <w:szCs w:val="24"/>
      <w:lang w:val="es-ES" w:eastAsia="ja-JP"/>
    </w:rPr>
  </w:style>
  <w:style w:type="paragraph" w:styleId="HTMLconformatoprevio">
    <w:name w:val="HTML Preformatted"/>
    <w:basedOn w:val="Normal"/>
    <w:link w:val="HTMLconformatoprevioCar"/>
    <w:rsid w:val="00E7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sz w:val="20"/>
      <w:szCs w:val="20"/>
      <w:lang w:val="x-none" w:eastAsia="zh-CN"/>
    </w:rPr>
  </w:style>
  <w:style w:type="character" w:customStyle="1" w:styleId="HTMLconformatoprevioCar">
    <w:name w:val="HTML con formato previo Car"/>
    <w:basedOn w:val="Fuentedeprrafopredeter"/>
    <w:link w:val="HTMLconformatoprevio"/>
    <w:rsid w:val="00E7759C"/>
    <w:rPr>
      <w:rFonts w:ascii="Courier New" w:eastAsia="SimSun" w:hAnsi="Courier New" w:cs="Times New Roman"/>
      <w:sz w:val="20"/>
      <w:szCs w:val="20"/>
      <w:lang w:val="x-none" w:eastAsia="zh-CN"/>
    </w:rPr>
  </w:style>
  <w:style w:type="paragraph" w:customStyle="1" w:styleId="Prrafodelista1">
    <w:name w:val="Párrafo de lista1"/>
    <w:basedOn w:val="Normal"/>
    <w:rsid w:val="00E7759C"/>
    <w:pPr>
      <w:spacing w:line="120" w:lineRule="auto"/>
      <w:ind w:left="720"/>
    </w:pPr>
    <w:rPr>
      <w:rFonts w:ascii="Calibri" w:eastAsia="Times New Roman" w:hAnsi="Calibri" w:cs="Times New Roman"/>
      <w:lang w:val="es-ES" w:eastAsia="es-ES"/>
    </w:rPr>
  </w:style>
  <w:style w:type="paragraph" w:customStyle="1" w:styleId="Prrafo">
    <w:name w:val="Párrafo"/>
    <w:basedOn w:val="Textonotapie"/>
    <w:link w:val="PrrafoCar"/>
    <w:rsid w:val="00E7759C"/>
    <w:pPr>
      <w:spacing w:line="360" w:lineRule="auto"/>
      <w:ind w:firstLine="709"/>
      <w:jc w:val="both"/>
    </w:pPr>
    <w:rPr>
      <w:rFonts w:ascii="Times New Roman" w:eastAsia="Calibri" w:hAnsi="Times New Roman" w:cs="Times New Roman"/>
      <w:sz w:val="24"/>
      <w:szCs w:val="24"/>
      <w:lang w:val="x-none" w:eastAsia="x-none"/>
    </w:rPr>
  </w:style>
  <w:style w:type="character" w:customStyle="1" w:styleId="PrrafoCar">
    <w:name w:val="Párrafo Car"/>
    <w:link w:val="Prrafo"/>
    <w:locked/>
    <w:rsid w:val="00E7759C"/>
    <w:rPr>
      <w:rFonts w:ascii="Times New Roman" w:eastAsia="Calibri" w:hAnsi="Times New Roman" w:cs="Times New Roman"/>
      <w:sz w:val="24"/>
      <w:szCs w:val="24"/>
      <w:lang w:val="x-none" w:eastAsia="x-none"/>
    </w:rPr>
  </w:style>
  <w:style w:type="paragraph" w:customStyle="1" w:styleId="TablaNo">
    <w:name w:val="Tabla No"/>
    <w:basedOn w:val="Normal"/>
    <w:next w:val="Normal"/>
    <w:link w:val="TablaNoCar"/>
    <w:qFormat/>
    <w:rsid w:val="00E7759C"/>
    <w:pPr>
      <w:autoSpaceDE w:val="0"/>
      <w:autoSpaceDN w:val="0"/>
      <w:adjustRightInd w:val="0"/>
      <w:spacing w:after="0" w:line="360" w:lineRule="auto"/>
      <w:ind w:left="4100" w:hanging="360"/>
      <w:jc w:val="center"/>
    </w:pPr>
    <w:rPr>
      <w:rFonts w:ascii="Times New Roman" w:eastAsia="Times New Roman" w:hAnsi="Times New Roman" w:cs="Times New Roman"/>
      <w:b/>
      <w:sz w:val="24"/>
      <w:szCs w:val="24"/>
      <w:lang w:val="es-ES" w:eastAsia="ko-KR"/>
    </w:rPr>
  </w:style>
  <w:style w:type="character" w:customStyle="1" w:styleId="TablaNoCar">
    <w:name w:val="Tabla No Car"/>
    <w:link w:val="TablaNo"/>
    <w:locked/>
    <w:rsid w:val="00E7759C"/>
    <w:rPr>
      <w:rFonts w:ascii="Times New Roman" w:eastAsia="Times New Roman" w:hAnsi="Times New Roman" w:cs="Times New Roman"/>
      <w:b/>
      <w:sz w:val="24"/>
      <w:szCs w:val="24"/>
      <w:lang w:val="es-ES" w:eastAsia="ko-KR"/>
    </w:rPr>
  </w:style>
  <w:style w:type="paragraph" w:customStyle="1" w:styleId="GeomaticaEpgrafe">
    <w:name w:val="Geomatica_Epígrafe"/>
    <w:aliases w:val="Epígrafe Car,Tablas Car"/>
    <w:basedOn w:val="Normal"/>
    <w:next w:val="Normal"/>
    <w:qFormat/>
    <w:rsid w:val="00E7759C"/>
    <w:pPr>
      <w:spacing w:before="240" w:after="60" w:line="240" w:lineRule="auto"/>
      <w:jc w:val="center"/>
      <w:outlineLvl w:val="0"/>
    </w:pPr>
    <w:rPr>
      <w:rFonts w:ascii="Cambria" w:eastAsia="Times New Roman" w:hAnsi="Cambria" w:cs="Times New Roman"/>
      <w:b/>
      <w:bCs/>
      <w:kern w:val="28"/>
      <w:sz w:val="32"/>
      <w:szCs w:val="32"/>
      <w:lang w:val="es-ES" w:eastAsia="ja-JP"/>
    </w:rPr>
  </w:style>
  <w:style w:type="table" w:styleId="Cuadrculamedia3-nfasis3">
    <w:name w:val="Medium Grid 3 Accent 3"/>
    <w:basedOn w:val="Tablanormal"/>
    <w:uiPriority w:val="69"/>
    <w:rsid w:val="00E7759C"/>
    <w:pPr>
      <w:spacing w:after="0" w:line="240" w:lineRule="auto"/>
    </w:pPr>
    <w:rPr>
      <w:rFonts w:ascii="Calibri" w:eastAsia="Calibri" w:hAnsi="Calibri" w:cs="Times New Roman"/>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Textoennegrita">
    <w:name w:val="Strong"/>
    <w:qFormat/>
    <w:rsid w:val="00E7759C"/>
    <w:rPr>
      <w:b/>
      <w:bCs/>
    </w:rPr>
  </w:style>
  <w:style w:type="paragraph" w:styleId="Lista">
    <w:name w:val="List"/>
    <w:basedOn w:val="Normal"/>
    <w:rsid w:val="00E7759C"/>
    <w:pPr>
      <w:widowControl w:val="0"/>
      <w:spacing w:after="0" w:line="240" w:lineRule="auto"/>
      <w:ind w:left="283" w:hanging="283"/>
    </w:pPr>
    <w:rPr>
      <w:rFonts w:ascii="Times New Roman" w:eastAsia="Times New Roman" w:hAnsi="Times New Roman" w:cs="Times New Roman"/>
      <w:color w:val="000000"/>
      <w:sz w:val="20"/>
      <w:szCs w:val="20"/>
      <w:lang w:val="es-ES" w:eastAsia="es-ES"/>
    </w:rPr>
  </w:style>
  <w:style w:type="paragraph" w:customStyle="1" w:styleId="textocaja">
    <w:name w:val="textocaja"/>
    <w:basedOn w:val="Normal"/>
    <w:rsid w:val="00E7759C"/>
    <w:pPr>
      <w:spacing w:before="100" w:beforeAutospacing="1" w:after="100" w:afterAutospacing="1" w:line="240" w:lineRule="auto"/>
      <w:jc w:val="both"/>
    </w:pPr>
    <w:rPr>
      <w:rFonts w:ascii="Georgia" w:eastAsia="Times New Roman" w:hAnsi="Georgia" w:cs="Times New Roman"/>
    </w:rPr>
  </w:style>
  <w:style w:type="character" w:customStyle="1" w:styleId="apple-converted-space">
    <w:name w:val="apple-converted-space"/>
    <w:rsid w:val="00E7759C"/>
  </w:style>
  <w:style w:type="table" w:customStyle="1" w:styleId="Cuadrculaclara-nfasis11">
    <w:name w:val="Cuadrícula clara - Énfasis 11"/>
    <w:basedOn w:val="Tablanormal"/>
    <w:uiPriority w:val="62"/>
    <w:rsid w:val="00E7759C"/>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uiPriority w:val="99"/>
    <w:unhideWhenUsed/>
    <w:rsid w:val="00E7759C"/>
    <w:rPr>
      <w:color w:val="800080"/>
      <w:u w:val="single"/>
    </w:rPr>
  </w:style>
  <w:style w:type="paragraph" w:customStyle="1" w:styleId="default">
    <w:name w:val="default"/>
    <w:basedOn w:val="Normal"/>
    <w:rsid w:val="00E7759C"/>
    <w:pPr>
      <w:spacing w:after="0" w:line="240" w:lineRule="auto"/>
    </w:pPr>
    <w:rPr>
      <w:rFonts w:ascii="Arial" w:eastAsia="Calibri" w:hAnsi="Arial" w:cs="Arial"/>
      <w:color w:val="000000"/>
      <w:sz w:val="24"/>
      <w:szCs w:val="24"/>
    </w:rPr>
  </w:style>
  <w:style w:type="character" w:customStyle="1" w:styleId="PrrafodelistaCar">
    <w:name w:val="Párrafo de lista Car"/>
    <w:aliases w:val="Pбrrafo de lista Car"/>
    <w:link w:val="Prrafodelista"/>
    <w:uiPriority w:val="99"/>
    <w:locked/>
    <w:rsid w:val="00E7759C"/>
  </w:style>
  <w:style w:type="character" w:styleId="nfasisintenso">
    <w:name w:val="Intense Emphasis"/>
    <w:uiPriority w:val="21"/>
    <w:qFormat/>
    <w:rsid w:val="00E7759C"/>
    <w:rPr>
      <w:b/>
      <w:bCs/>
      <w:i/>
      <w:iCs/>
      <w:color w:val="4F81BD"/>
    </w:rPr>
  </w:style>
  <w:style w:type="character" w:customStyle="1" w:styleId="nfasisintenso10">
    <w:name w:val="Énfasis intenso1"/>
    <w:uiPriority w:val="21"/>
    <w:qFormat/>
    <w:rsid w:val="00E7759C"/>
    <w:rPr>
      <w:b/>
      <w:bCs/>
      <w:i/>
      <w:iCs/>
      <w:color w:val="4F81BD"/>
    </w:rPr>
  </w:style>
  <w:style w:type="paragraph" w:customStyle="1" w:styleId="EstiloJustificado">
    <w:name w:val="Estilo Justificado"/>
    <w:basedOn w:val="Normal"/>
    <w:rsid w:val="00E7759C"/>
    <w:pPr>
      <w:spacing w:after="0" w:line="240" w:lineRule="auto"/>
      <w:jc w:val="both"/>
    </w:pPr>
    <w:rPr>
      <w:rFonts w:ascii="Arial Narrow" w:eastAsia="Times New Roman" w:hAnsi="Arial Narrow" w:cs="Times New Roman"/>
      <w:sz w:val="24"/>
      <w:szCs w:val="20"/>
      <w:lang w:val="es-ES" w:eastAsia="es-ES"/>
    </w:rPr>
  </w:style>
  <w:style w:type="paragraph" w:customStyle="1" w:styleId="CUADRO">
    <w:name w:val="CUADRO"/>
    <w:basedOn w:val="Normal"/>
    <w:autoRedefine/>
    <w:rsid w:val="00E7759C"/>
    <w:pPr>
      <w:spacing w:after="0" w:line="240" w:lineRule="auto"/>
      <w:jc w:val="both"/>
    </w:pPr>
    <w:rPr>
      <w:rFonts w:ascii="Calibri" w:eastAsia="Times New Roman" w:hAnsi="Calibri" w:cs="Arial"/>
      <w:lang w:eastAsia="es-ES"/>
    </w:rPr>
  </w:style>
  <w:style w:type="character" w:customStyle="1" w:styleId="PuestoCar1">
    <w:name w:val="Puesto Car1"/>
    <w:link w:val="Puesto"/>
    <w:rsid w:val="00E7759C"/>
    <w:rPr>
      <w:rFonts w:ascii="Cambria" w:eastAsia="Times New Roman" w:hAnsi="Cambria" w:cs="Times New Roman"/>
      <w:b/>
      <w:bCs/>
      <w:kern w:val="28"/>
      <w:sz w:val="32"/>
      <w:szCs w:val="32"/>
      <w:lang w:val="es-ES" w:eastAsia="ja-JP"/>
    </w:rPr>
  </w:style>
  <w:style w:type="paragraph" w:styleId="Subttulo">
    <w:name w:val="Subtitle"/>
    <w:basedOn w:val="Normal"/>
    <w:next w:val="Normal"/>
    <w:link w:val="SubttuloCar"/>
    <w:qFormat/>
    <w:rsid w:val="00E7759C"/>
    <w:pPr>
      <w:spacing w:after="60" w:line="240" w:lineRule="auto"/>
      <w:jc w:val="center"/>
      <w:outlineLvl w:val="1"/>
    </w:pPr>
    <w:rPr>
      <w:rFonts w:ascii="Cambria" w:eastAsia="Times New Roman" w:hAnsi="Cambria" w:cs="Times New Roman"/>
      <w:sz w:val="24"/>
      <w:szCs w:val="24"/>
      <w:lang w:val="es-ES" w:eastAsia="ja-JP"/>
    </w:rPr>
  </w:style>
  <w:style w:type="character" w:customStyle="1" w:styleId="SubttuloCar">
    <w:name w:val="Subtítulo Car"/>
    <w:basedOn w:val="Fuentedeprrafopredeter"/>
    <w:link w:val="Subttulo"/>
    <w:rsid w:val="00E7759C"/>
    <w:rPr>
      <w:rFonts w:ascii="Cambria" w:eastAsia="Times New Roman" w:hAnsi="Cambria" w:cs="Times New Roman"/>
      <w:sz w:val="24"/>
      <w:szCs w:val="24"/>
      <w:lang w:val="es-ES" w:eastAsia="ja-JP"/>
    </w:rPr>
  </w:style>
  <w:style w:type="paragraph" w:styleId="Puesto">
    <w:name w:val="Title"/>
    <w:basedOn w:val="Normal"/>
    <w:next w:val="Normal"/>
    <w:link w:val="PuestoCar1"/>
    <w:qFormat/>
    <w:rsid w:val="00E7759C"/>
    <w:pPr>
      <w:spacing w:after="0" w:line="240" w:lineRule="auto"/>
      <w:contextualSpacing/>
    </w:pPr>
    <w:rPr>
      <w:rFonts w:ascii="Cambria" w:eastAsia="Times New Roman" w:hAnsi="Cambria" w:cs="Times New Roman"/>
      <w:b/>
      <w:bCs/>
      <w:kern w:val="28"/>
      <w:sz w:val="32"/>
      <w:szCs w:val="32"/>
      <w:lang w:val="es-ES" w:eastAsia="ja-JP"/>
    </w:rPr>
  </w:style>
  <w:style w:type="character" w:customStyle="1" w:styleId="PuestoCar">
    <w:name w:val="Puesto Car"/>
    <w:basedOn w:val="Fuentedeprrafopredeter"/>
    <w:uiPriority w:val="10"/>
    <w:rsid w:val="00E7759C"/>
    <w:rPr>
      <w:rFonts w:asciiTheme="majorHAnsi" w:eastAsiaTheme="majorEastAsia" w:hAnsiTheme="majorHAnsi" w:cstheme="majorBidi"/>
      <w:spacing w:val="-10"/>
      <w:kern w:val="28"/>
      <w:sz w:val="56"/>
      <w:szCs w:val="56"/>
    </w:rPr>
  </w:style>
  <w:style w:type="table" w:customStyle="1" w:styleId="Tabladecuadrcula5oscura-nfasis31">
    <w:name w:val="Tabla de cuadrícula 5 oscura - Énfasis 31"/>
    <w:basedOn w:val="Tablanormal"/>
    <w:uiPriority w:val="50"/>
    <w:rsid w:val="00224ABF"/>
    <w:pPr>
      <w:spacing w:after="0" w:line="240" w:lineRule="auto"/>
    </w:pPr>
    <w:rPr>
      <w:rFonts w:ascii="Calibri" w:eastAsia="Calibri" w:hAnsi="Calibri" w:cs="Times New Roman"/>
      <w:sz w:val="20"/>
      <w:szCs w:val="20"/>
      <w:lang w:val="es-MX"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EGHB">
    <w:name w:val="EGHB"/>
    <w:basedOn w:val="Normal"/>
    <w:link w:val="EGHBCar"/>
    <w:qFormat/>
    <w:rsid w:val="00224ABF"/>
    <w:pPr>
      <w:pBdr>
        <w:bottom w:val="single" w:sz="4" w:space="1" w:color="auto"/>
      </w:pBdr>
      <w:jc w:val="both"/>
    </w:pPr>
    <w:rPr>
      <w:rFonts w:ascii="Arial Narrow" w:eastAsia="Calibri" w:hAnsi="Arial Narrow" w:cs="Arial"/>
      <w:b/>
      <w:sz w:val="24"/>
      <w:szCs w:val="24"/>
      <w:lang w:val="es-ES" w:eastAsia="en-US"/>
    </w:rPr>
  </w:style>
  <w:style w:type="character" w:customStyle="1" w:styleId="EGHBCar">
    <w:name w:val="EGHB Car"/>
    <w:link w:val="EGHB"/>
    <w:rsid w:val="00224ABF"/>
    <w:rPr>
      <w:rFonts w:ascii="Arial Narrow" w:eastAsia="Calibri" w:hAnsi="Arial Narrow" w:cs="Arial"/>
      <w:b/>
      <w:sz w:val="24"/>
      <w:szCs w:val="24"/>
      <w:lang w:val="es-ES" w:eastAsia="en-US"/>
    </w:rPr>
  </w:style>
  <w:style w:type="paragraph" w:styleId="Lista2">
    <w:name w:val="List 2"/>
    <w:basedOn w:val="Normal"/>
    <w:rsid w:val="00224ABF"/>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customStyle="1" w:styleId="Default0">
    <w:name w:val="Default"/>
    <w:rsid w:val="00224ABF"/>
    <w:pPr>
      <w:autoSpaceDE w:val="0"/>
      <w:autoSpaceDN w:val="0"/>
      <w:adjustRightInd w:val="0"/>
      <w:spacing w:after="0" w:line="240" w:lineRule="auto"/>
    </w:pPr>
    <w:rPr>
      <w:rFonts w:ascii="Calibri" w:eastAsia="Calibri" w:hAnsi="Calibri" w:cs="Calibri"/>
      <w:color w:val="000000"/>
      <w:sz w:val="24"/>
      <w:szCs w:val="24"/>
      <w:lang w:val="es-MX" w:eastAsia="en-US"/>
    </w:rPr>
  </w:style>
  <w:style w:type="paragraph" w:customStyle="1" w:styleId="Estilo">
    <w:name w:val="Estilo"/>
    <w:rsid w:val="00224AB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styleId="ndice1">
    <w:name w:val="index 1"/>
    <w:basedOn w:val="Normal"/>
    <w:next w:val="Normal"/>
    <w:autoRedefine/>
    <w:semiHidden/>
    <w:rsid w:val="00224ABF"/>
    <w:pPr>
      <w:numPr>
        <w:numId w:val="134"/>
      </w:numPr>
      <w:spacing w:after="0" w:line="240" w:lineRule="auto"/>
      <w:jc w:val="both"/>
    </w:pPr>
    <w:rPr>
      <w:rFonts w:ascii="Arial" w:eastAsia="Times New Roman" w:hAnsi="Arial" w:cs="Arial"/>
      <w:b/>
      <w:bCs/>
      <w:sz w:val="24"/>
      <w:szCs w:val="24"/>
      <w:lang w:val="es-ES" w:eastAsia="es-ES"/>
    </w:rPr>
  </w:style>
  <w:style w:type="paragraph" w:customStyle="1" w:styleId="Textoindependiente21">
    <w:name w:val="Texto independiente 21"/>
    <w:basedOn w:val="Normal"/>
    <w:rsid w:val="00224ABF"/>
    <w:pPr>
      <w:widowControl w:val="0"/>
      <w:spacing w:after="0" w:line="240" w:lineRule="auto"/>
      <w:jc w:val="both"/>
    </w:pPr>
    <w:rPr>
      <w:rFonts w:ascii="Arial" w:eastAsia="Times New Roman" w:hAnsi="Arial" w:cs="Times New Roman"/>
      <w:szCs w:val="20"/>
      <w:lang w:eastAsia="es-ES"/>
    </w:rPr>
  </w:style>
  <w:style w:type="character" w:customStyle="1" w:styleId="Ttulo20">
    <w:name w:val="Título #2_"/>
    <w:link w:val="Ttulo21"/>
    <w:rsid w:val="00224ABF"/>
    <w:rPr>
      <w:rFonts w:ascii="Arial" w:eastAsia="Arial" w:hAnsi="Arial" w:cs="Arial"/>
      <w:sz w:val="23"/>
      <w:szCs w:val="23"/>
      <w:shd w:val="clear" w:color="auto" w:fill="FFFFFF"/>
    </w:rPr>
  </w:style>
  <w:style w:type="paragraph" w:customStyle="1" w:styleId="Ttulo21">
    <w:name w:val="Título #2"/>
    <w:basedOn w:val="Normal"/>
    <w:link w:val="Ttulo20"/>
    <w:rsid w:val="00224ABF"/>
    <w:pPr>
      <w:shd w:val="clear" w:color="auto" w:fill="FFFFFF"/>
      <w:spacing w:after="120" w:line="0" w:lineRule="atLeast"/>
      <w:outlineLvl w:val="1"/>
    </w:pPr>
    <w:rPr>
      <w:rFonts w:ascii="Arial" w:eastAsia="Arial" w:hAnsi="Arial" w:cs="Arial"/>
      <w:sz w:val="23"/>
      <w:szCs w:val="23"/>
    </w:rPr>
  </w:style>
  <w:style w:type="character" w:customStyle="1" w:styleId="Cuerpodeltexto5">
    <w:name w:val="Cuerpo del texto (5)_"/>
    <w:link w:val="Cuerpodeltexto50"/>
    <w:rsid w:val="00224ABF"/>
    <w:rPr>
      <w:rFonts w:ascii="Times New Roman" w:eastAsia="Times New Roman" w:hAnsi="Times New Roman" w:cs="Times New Roman"/>
      <w:sz w:val="17"/>
      <w:szCs w:val="17"/>
      <w:shd w:val="clear" w:color="auto" w:fill="FFFFFF"/>
    </w:rPr>
  </w:style>
  <w:style w:type="paragraph" w:customStyle="1" w:styleId="Cuerpodeltexto50">
    <w:name w:val="Cuerpo del texto (5)"/>
    <w:basedOn w:val="Normal"/>
    <w:link w:val="Cuerpodeltexto5"/>
    <w:rsid w:val="00224ABF"/>
    <w:pPr>
      <w:shd w:val="clear" w:color="auto" w:fill="FFFFFF"/>
      <w:spacing w:after="0" w:line="0" w:lineRule="atLeast"/>
    </w:pPr>
    <w:rPr>
      <w:rFonts w:ascii="Times New Roman" w:eastAsia="Times New Roman" w:hAnsi="Times New Roman" w:cs="Times New Roman"/>
      <w:sz w:val="17"/>
      <w:szCs w:val="17"/>
    </w:rPr>
  </w:style>
  <w:style w:type="character" w:customStyle="1" w:styleId="Cuerpodeltexto">
    <w:name w:val="Cuerpo del texto_"/>
    <w:link w:val="Cuerpodeltexto0"/>
    <w:rsid w:val="00224ABF"/>
    <w:rPr>
      <w:rFonts w:ascii="Times New Roman" w:eastAsia="Times New Roman" w:hAnsi="Times New Roman" w:cs="Times New Roman"/>
      <w:sz w:val="17"/>
      <w:szCs w:val="17"/>
      <w:shd w:val="clear" w:color="auto" w:fill="FFFFFF"/>
    </w:rPr>
  </w:style>
  <w:style w:type="paragraph" w:customStyle="1" w:styleId="Cuerpodeltexto0">
    <w:name w:val="Cuerpo del texto"/>
    <w:basedOn w:val="Normal"/>
    <w:link w:val="Cuerpodeltexto"/>
    <w:rsid w:val="00224ABF"/>
    <w:pPr>
      <w:shd w:val="clear" w:color="auto" w:fill="FFFFFF"/>
      <w:spacing w:after="0" w:line="0" w:lineRule="atLeast"/>
    </w:pPr>
    <w:rPr>
      <w:rFonts w:ascii="Times New Roman" w:eastAsia="Times New Roman" w:hAnsi="Times New Roman" w:cs="Times New Roman"/>
      <w:sz w:val="17"/>
      <w:szCs w:val="17"/>
    </w:rPr>
  </w:style>
  <w:style w:type="character" w:customStyle="1" w:styleId="Ttulo40">
    <w:name w:val="Título #4_"/>
    <w:link w:val="Ttulo41"/>
    <w:rsid w:val="00224ABF"/>
    <w:rPr>
      <w:rFonts w:ascii="Times New Roman" w:eastAsia="Times New Roman" w:hAnsi="Times New Roman" w:cs="Times New Roman"/>
      <w:sz w:val="19"/>
      <w:szCs w:val="19"/>
      <w:shd w:val="clear" w:color="auto" w:fill="FFFFFF"/>
    </w:rPr>
  </w:style>
  <w:style w:type="paragraph" w:customStyle="1" w:styleId="Ttulo41">
    <w:name w:val="Título #4"/>
    <w:basedOn w:val="Normal"/>
    <w:link w:val="Ttulo40"/>
    <w:rsid w:val="00224ABF"/>
    <w:pPr>
      <w:shd w:val="clear" w:color="auto" w:fill="FFFFFF"/>
      <w:spacing w:after="0" w:line="228" w:lineRule="exact"/>
      <w:outlineLvl w:val="3"/>
    </w:pPr>
    <w:rPr>
      <w:rFonts w:ascii="Times New Roman" w:eastAsia="Times New Roman" w:hAnsi="Times New Roman" w:cs="Times New Roman"/>
      <w:sz w:val="19"/>
      <w:szCs w:val="19"/>
    </w:rPr>
  </w:style>
  <w:style w:type="character" w:customStyle="1" w:styleId="Ttulo485ptoNegrita">
    <w:name w:val="Título #4 + 8;5 pto;Negrita"/>
    <w:rsid w:val="00224ABF"/>
    <w:rPr>
      <w:rFonts w:ascii="Times New Roman" w:eastAsia="Times New Roman" w:hAnsi="Times New Roman" w:cs="Times New Roman"/>
      <w:b/>
      <w:bCs/>
      <w:sz w:val="17"/>
      <w:szCs w:val="17"/>
      <w:shd w:val="clear" w:color="auto" w:fill="FFFFFF"/>
    </w:rPr>
  </w:style>
  <w:style w:type="character" w:customStyle="1" w:styleId="Ttulo42">
    <w:name w:val="Título #4 (2)_"/>
    <w:link w:val="Ttulo420"/>
    <w:rsid w:val="00224ABF"/>
    <w:rPr>
      <w:rFonts w:ascii="Times New Roman" w:eastAsia="Times New Roman" w:hAnsi="Times New Roman" w:cs="Times New Roman"/>
      <w:sz w:val="19"/>
      <w:szCs w:val="19"/>
      <w:shd w:val="clear" w:color="auto" w:fill="FFFFFF"/>
    </w:rPr>
  </w:style>
  <w:style w:type="paragraph" w:customStyle="1" w:styleId="Ttulo420">
    <w:name w:val="Título #4 (2)"/>
    <w:basedOn w:val="Normal"/>
    <w:link w:val="Ttulo42"/>
    <w:rsid w:val="00224ABF"/>
    <w:pPr>
      <w:shd w:val="clear" w:color="auto" w:fill="FFFFFF"/>
      <w:spacing w:after="0" w:line="228" w:lineRule="exact"/>
      <w:outlineLvl w:val="3"/>
    </w:pPr>
    <w:rPr>
      <w:rFonts w:ascii="Times New Roman" w:eastAsia="Times New Roman" w:hAnsi="Times New Roman" w:cs="Times New Roman"/>
      <w:sz w:val="19"/>
      <w:szCs w:val="19"/>
    </w:rPr>
  </w:style>
  <w:style w:type="character" w:customStyle="1" w:styleId="Ttulo42Sincursiva">
    <w:name w:val="Título #4 (2) + Sin cursiva"/>
    <w:rsid w:val="00224ABF"/>
    <w:rPr>
      <w:rFonts w:ascii="Times New Roman" w:eastAsia="Times New Roman" w:hAnsi="Times New Roman" w:cs="Times New Roman"/>
      <w:i/>
      <w:iCs/>
      <w:sz w:val="19"/>
      <w:szCs w:val="19"/>
      <w:shd w:val="clear" w:color="auto" w:fill="FFFFFF"/>
    </w:rPr>
  </w:style>
  <w:style w:type="character" w:customStyle="1" w:styleId="Ttulo4285ptoNegritaSincursiva">
    <w:name w:val="Título #4 (2) + 8;5 pto;Negrita;Sin cursiva"/>
    <w:rsid w:val="00224ABF"/>
    <w:rPr>
      <w:rFonts w:ascii="Times New Roman" w:eastAsia="Times New Roman" w:hAnsi="Times New Roman" w:cs="Times New Roman"/>
      <w:b/>
      <w:bCs/>
      <w:i/>
      <w:iCs/>
      <w:sz w:val="17"/>
      <w:szCs w:val="17"/>
      <w:shd w:val="clear" w:color="auto" w:fill="FFFFFF"/>
    </w:rPr>
  </w:style>
  <w:style w:type="character" w:customStyle="1" w:styleId="Ttulo43">
    <w:name w:val="Título #4 (3)_"/>
    <w:link w:val="Ttulo430"/>
    <w:rsid w:val="00224ABF"/>
    <w:rPr>
      <w:rFonts w:ascii="Arial" w:eastAsia="Arial" w:hAnsi="Arial" w:cs="Arial"/>
      <w:sz w:val="17"/>
      <w:szCs w:val="17"/>
      <w:shd w:val="clear" w:color="auto" w:fill="FFFFFF"/>
    </w:rPr>
  </w:style>
  <w:style w:type="paragraph" w:customStyle="1" w:styleId="Ttulo430">
    <w:name w:val="Título #4 (3)"/>
    <w:basedOn w:val="Normal"/>
    <w:link w:val="Ttulo43"/>
    <w:rsid w:val="00224ABF"/>
    <w:pPr>
      <w:shd w:val="clear" w:color="auto" w:fill="FFFFFF"/>
      <w:spacing w:before="780" w:after="0" w:line="218" w:lineRule="exact"/>
      <w:outlineLvl w:val="3"/>
    </w:pPr>
    <w:rPr>
      <w:rFonts w:ascii="Arial" w:eastAsia="Arial" w:hAnsi="Arial" w:cs="Arial"/>
      <w:sz w:val="17"/>
      <w:szCs w:val="17"/>
    </w:rPr>
  </w:style>
  <w:style w:type="character" w:customStyle="1" w:styleId="Listavistosa-nfasis1Car">
    <w:name w:val="Lista vistosa - Énfasis 1 Car"/>
    <w:link w:val="Listavistosa-nfasis1"/>
    <w:uiPriority w:val="99"/>
    <w:semiHidden/>
    <w:locked/>
    <w:rsid w:val="00224ABF"/>
  </w:style>
  <w:style w:type="table" w:styleId="Listavistosa-nfasis1">
    <w:name w:val="Colorful List Accent 1"/>
    <w:basedOn w:val="Tablanormal"/>
    <w:link w:val="Listavistosa-nfasis1Car"/>
    <w:uiPriority w:val="99"/>
    <w:semiHidden/>
    <w:unhideWhenUsed/>
    <w:rsid w:val="00224ABF"/>
    <w:pPr>
      <w:spacing w:after="0" w:line="240" w:lineRule="auto"/>
    </w:p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23954">
      <w:bodyDiv w:val="1"/>
      <w:marLeft w:val="0"/>
      <w:marRight w:val="0"/>
      <w:marTop w:val="0"/>
      <w:marBottom w:val="0"/>
      <w:divBdr>
        <w:top w:val="none" w:sz="0" w:space="0" w:color="auto"/>
        <w:left w:val="none" w:sz="0" w:space="0" w:color="auto"/>
        <w:bottom w:val="none" w:sz="0" w:space="0" w:color="auto"/>
        <w:right w:val="none" w:sz="0" w:space="0" w:color="auto"/>
      </w:divBdr>
    </w:div>
    <w:div w:id="231744545">
      <w:bodyDiv w:val="1"/>
      <w:marLeft w:val="0"/>
      <w:marRight w:val="0"/>
      <w:marTop w:val="0"/>
      <w:marBottom w:val="0"/>
      <w:divBdr>
        <w:top w:val="none" w:sz="0" w:space="0" w:color="auto"/>
        <w:left w:val="none" w:sz="0" w:space="0" w:color="auto"/>
        <w:bottom w:val="none" w:sz="0" w:space="0" w:color="auto"/>
        <w:right w:val="none" w:sz="0" w:space="0" w:color="auto"/>
      </w:divBdr>
    </w:div>
    <w:div w:id="352079323">
      <w:bodyDiv w:val="1"/>
      <w:marLeft w:val="0"/>
      <w:marRight w:val="0"/>
      <w:marTop w:val="0"/>
      <w:marBottom w:val="0"/>
      <w:divBdr>
        <w:top w:val="none" w:sz="0" w:space="0" w:color="auto"/>
        <w:left w:val="none" w:sz="0" w:space="0" w:color="auto"/>
        <w:bottom w:val="none" w:sz="0" w:space="0" w:color="auto"/>
        <w:right w:val="none" w:sz="0" w:space="0" w:color="auto"/>
      </w:divBdr>
    </w:div>
    <w:div w:id="439376059">
      <w:bodyDiv w:val="1"/>
      <w:marLeft w:val="0"/>
      <w:marRight w:val="0"/>
      <w:marTop w:val="0"/>
      <w:marBottom w:val="0"/>
      <w:divBdr>
        <w:top w:val="none" w:sz="0" w:space="0" w:color="auto"/>
        <w:left w:val="none" w:sz="0" w:space="0" w:color="auto"/>
        <w:bottom w:val="none" w:sz="0" w:space="0" w:color="auto"/>
        <w:right w:val="none" w:sz="0" w:space="0" w:color="auto"/>
      </w:divBdr>
    </w:div>
    <w:div w:id="574322355">
      <w:bodyDiv w:val="1"/>
      <w:marLeft w:val="0"/>
      <w:marRight w:val="0"/>
      <w:marTop w:val="0"/>
      <w:marBottom w:val="0"/>
      <w:divBdr>
        <w:top w:val="none" w:sz="0" w:space="0" w:color="auto"/>
        <w:left w:val="none" w:sz="0" w:space="0" w:color="auto"/>
        <w:bottom w:val="none" w:sz="0" w:space="0" w:color="auto"/>
        <w:right w:val="none" w:sz="0" w:space="0" w:color="auto"/>
      </w:divBdr>
    </w:div>
    <w:div w:id="626551891">
      <w:bodyDiv w:val="1"/>
      <w:marLeft w:val="0"/>
      <w:marRight w:val="0"/>
      <w:marTop w:val="0"/>
      <w:marBottom w:val="0"/>
      <w:divBdr>
        <w:top w:val="none" w:sz="0" w:space="0" w:color="auto"/>
        <w:left w:val="none" w:sz="0" w:space="0" w:color="auto"/>
        <w:bottom w:val="none" w:sz="0" w:space="0" w:color="auto"/>
        <w:right w:val="none" w:sz="0" w:space="0" w:color="auto"/>
      </w:divBdr>
    </w:div>
    <w:div w:id="676469709">
      <w:bodyDiv w:val="1"/>
      <w:marLeft w:val="0"/>
      <w:marRight w:val="0"/>
      <w:marTop w:val="0"/>
      <w:marBottom w:val="0"/>
      <w:divBdr>
        <w:top w:val="none" w:sz="0" w:space="0" w:color="auto"/>
        <w:left w:val="none" w:sz="0" w:space="0" w:color="auto"/>
        <w:bottom w:val="none" w:sz="0" w:space="0" w:color="auto"/>
        <w:right w:val="none" w:sz="0" w:space="0" w:color="auto"/>
      </w:divBdr>
    </w:div>
    <w:div w:id="677119267">
      <w:bodyDiv w:val="1"/>
      <w:marLeft w:val="0"/>
      <w:marRight w:val="0"/>
      <w:marTop w:val="0"/>
      <w:marBottom w:val="0"/>
      <w:divBdr>
        <w:top w:val="none" w:sz="0" w:space="0" w:color="auto"/>
        <w:left w:val="none" w:sz="0" w:space="0" w:color="auto"/>
        <w:bottom w:val="none" w:sz="0" w:space="0" w:color="auto"/>
        <w:right w:val="none" w:sz="0" w:space="0" w:color="auto"/>
      </w:divBdr>
    </w:div>
    <w:div w:id="695155468">
      <w:bodyDiv w:val="1"/>
      <w:marLeft w:val="0"/>
      <w:marRight w:val="0"/>
      <w:marTop w:val="0"/>
      <w:marBottom w:val="0"/>
      <w:divBdr>
        <w:top w:val="none" w:sz="0" w:space="0" w:color="auto"/>
        <w:left w:val="none" w:sz="0" w:space="0" w:color="auto"/>
        <w:bottom w:val="none" w:sz="0" w:space="0" w:color="auto"/>
        <w:right w:val="none" w:sz="0" w:space="0" w:color="auto"/>
      </w:divBdr>
    </w:div>
    <w:div w:id="716471587">
      <w:bodyDiv w:val="1"/>
      <w:marLeft w:val="0"/>
      <w:marRight w:val="0"/>
      <w:marTop w:val="0"/>
      <w:marBottom w:val="0"/>
      <w:divBdr>
        <w:top w:val="none" w:sz="0" w:space="0" w:color="auto"/>
        <w:left w:val="none" w:sz="0" w:space="0" w:color="auto"/>
        <w:bottom w:val="none" w:sz="0" w:space="0" w:color="auto"/>
        <w:right w:val="none" w:sz="0" w:space="0" w:color="auto"/>
      </w:divBdr>
    </w:div>
    <w:div w:id="722096221">
      <w:bodyDiv w:val="1"/>
      <w:marLeft w:val="0"/>
      <w:marRight w:val="0"/>
      <w:marTop w:val="0"/>
      <w:marBottom w:val="0"/>
      <w:divBdr>
        <w:top w:val="none" w:sz="0" w:space="0" w:color="auto"/>
        <w:left w:val="none" w:sz="0" w:space="0" w:color="auto"/>
        <w:bottom w:val="none" w:sz="0" w:space="0" w:color="auto"/>
        <w:right w:val="none" w:sz="0" w:space="0" w:color="auto"/>
      </w:divBdr>
    </w:div>
    <w:div w:id="856499461">
      <w:bodyDiv w:val="1"/>
      <w:marLeft w:val="0"/>
      <w:marRight w:val="0"/>
      <w:marTop w:val="0"/>
      <w:marBottom w:val="0"/>
      <w:divBdr>
        <w:top w:val="none" w:sz="0" w:space="0" w:color="auto"/>
        <w:left w:val="none" w:sz="0" w:space="0" w:color="auto"/>
        <w:bottom w:val="none" w:sz="0" w:space="0" w:color="auto"/>
        <w:right w:val="none" w:sz="0" w:space="0" w:color="auto"/>
      </w:divBdr>
    </w:div>
    <w:div w:id="892274066">
      <w:bodyDiv w:val="1"/>
      <w:marLeft w:val="0"/>
      <w:marRight w:val="0"/>
      <w:marTop w:val="0"/>
      <w:marBottom w:val="0"/>
      <w:divBdr>
        <w:top w:val="none" w:sz="0" w:space="0" w:color="auto"/>
        <w:left w:val="none" w:sz="0" w:space="0" w:color="auto"/>
        <w:bottom w:val="none" w:sz="0" w:space="0" w:color="auto"/>
        <w:right w:val="none" w:sz="0" w:space="0" w:color="auto"/>
      </w:divBdr>
    </w:div>
    <w:div w:id="917329447">
      <w:bodyDiv w:val="1"/>
      <w:marLeft w:val="0"/>
      <w:marRight w:val="0"/>
      <w:marTop w:val="0"/>
      <w:marBottom w:val="0"/>
      <w:divBdr>
        <w:top w:val="none" w:sz="0" w:space="0" w:color="auto"/>
        <w:left w:val="none" w:sz="0" w:space="0" w:color="auto"/>
        <w:bottom w:val="none" w:sz="0" w:space="0" w:color="auto"/>
        <w:right w:val="none" w:sz="0" w:space="0" w:color="auto"/>
      </w:divBdr>
    </w:div>
    <w:div w:id="919095202">
      <w:bodyDiv w:val="1"/>
      <w:marLeft w:val="0"/>
      <w:marRight w:val="0"/>
      <w:marTop w:val="0"/>
      <w:marBottom w:val="0"/>
      <w:divBdr>
        <w:top w:val="none" w:sz="0" w:space="0" w:color="auto"/>
        <w:left w:val="none" w:sz="0" w:space="0" w:color="auto"/>
        <w:bottom w:val="none" w:sz="0" w:space="0" w:color="auto"/>
        <w:right w:val="none" w:sz="0" w:space="0" w:color="auto"/>
      </w:divBdr>
    </w:div>
    <w:div w:id="964388431">
      <w:bodyDiv w:val="1"/>
      <w:marLeft w:val="0"/>
      <w:marRight w:val="0"/>
      <w:marTop w:val="0"/>
      <w:marBottom w:val="0"/>
      <w:divBdr>
        <w:top w:val="none" w:sz="0" w:space="0" w:color="auto"/>
        <w:left w:val="none" w:sz="0" w:space="0" w:color="auto"/>
        <w:bottom w:val="none" w:sz="0" w:space="0" w:color="auto"/>
        <w:right w:val="none" w:sz="0" w:space="0" w:color="auto"/>
      </w:divBdr>
    </w:div>
    <w:div w:id="1096095442">
      <w:bodyDiv w:val="1"/>
      <w:marLeft w:val="0"/>
      <w:marRight w:val="0"/>
      <w:marTop w:val="0"/>
      <w:marBottom w:val="0"/>
      <w:divBdr>
        <w:top w:val="none" w:sz="0" w:space="0" w:color="auto"/>
        <w:left w:val="none" w:sz="0" w:space="0" w:color="auto"/>
        <w:bottom w:val="none" w:sz="0" w:space="0" w:color="auto"/>
        <w:right w:val="none" w:sz="0" w:space="0" w:color="auto"/>
      </w:divBdr>
    </w:div>
    <w:div w:id="1147892864">
      <w:bodyDiv w:val="1"/>
      <w:marLeft w:val="0"/>
      <w:marRight w:val="0"/>
      <w:marTop w:val="0"/>
      <w:marBottom w:val="0"/>
      <w:divBdr>
        <w:top w:val="none" w:sz="0" w:space="0" w:color="auto"/>
        <w:left w:val="none" w:sz="0" w:space="0" w:color="auto"/>
        <w:bottom w:val="none" w:sz="0" w:space="0" w:color="auto"/>
        <w:right w:val="none" w:sz="0" w:space="0" w:color="auto"/>
      </w:divBdr>
    </w:div>
    <w:div w:id="1272397195">
      <w:bodyDiv w:val="1"/>
      <w:marLeft w:val="0"/>
      <w:marRight w:val="0"/>
      <w:marTop w:val="0"/>
      <w:marBottom w:val="0"/>
      <w:divBdr>
        <w:top w:val="none" w:sz="0" w:space="0" w:color="auto"/>
        <w:left w:val="none" w:sz="0" w:space="0" w:color="auto"/>
        <w:bottom w:val="none" w:sz="0" w:space="0" w:color="auto"/>
        <w:right w:val="none" w:sz="0" w:space="0" w:color="auto"/>
      </w:divBdr>
    </w:div>
    <w:div w:id="1300114991">
      <w:bodyDiv w:val="1"/>
      <w:marLeft w:val="0"/>
      <w:marRight w:val="0"/>
      <w:marTop w:val="0"/>
      <w:marBottom w:val="0"/>
      <w:divBdr>
        <w:top w:val="none" w:sz="0" w:space="0" w:color="auto"/>
        <w:left w:val="none" w:sz="0" w:space="0" w:color="auto"/>
        <w:bottom w:val="none" w:sz="0" w:space="0" w:color="auto"/>
        <w:right w:val="none" w:sz="0" w:space="0" w:color="auto"/>
      </w:divBdr>
    </w:div>
    <w:div w:id="1327398262">
      <w:bodyDiv w:val="1"/>
      <w:marLeft w:val="0"/>
      <w:marRight w:val="0"/>
      <w:marTop w:val="0"/>
      <w:marBottom w:val="0"/>
      <w:divBdr>
        <w:top w:val="none" w:sz="0" w:space="0" w:color="auto"/>
        <w:left w:val="none" w:sz="0" w:space="0" w:color="auto"/>
        <w:bottom w:val="none" w:sz="0" w:space="0" w:color="auto"/>
        <w:right w:val="none" w:sz="0" w:space="0" w:color="auto"/>
      </w:divBdr>
    </w:div>
    <w:div w:id="1410694745">
      <w:bodyDiv w:val="1"/>
      <w:marLeft w:val="0"/>
      <w:marRight w:val="0"/>
      <w:marTop w:val="0"/>
      <w:marBottom w:val="0"/>
      <w:divBdr>
        <w:top w:val="none" w:sz="0" w:space="0" w:color="auto"/>
        <w:left w:val="none" w:sz="0" w:space="0" w:color="auto"/>
        <w:bottom w:val="none" w:sz="0" w:space="0" w:color="auto"/>
        <w:right w:val="none" w:sz="0" w:space="0" w:color="auto"/>
      </w:divBdr>
    </w:div>
    <w:div w:id="1465077833">
      <w:bodyDiv w:val="1"/>
      <w:marLeft w:val="0"/>
      <w:marRight w:val="0"/>
      <w:marTop w:val="0"/>
      <w:marBottom w:val="0"/>
      <w:divBdr>
        <w:top w:val="none" w:sz="0" w:space="0" w:color="auto"/>
        <w:left w:val="none" w:sz="0" w:space="0" w:color="auto"/>
        <w:bottom w:val="none" w:sz="0" w:space="0" w:color="auto"/>
        <w:right w:val="none" w:sz="0" w:space="0" w:color="auto"/>
      </w:divBdr>
    </w:div>
    <w:div w:id="1503811492">
      <w:bodyDiv w:val="1"/>
      <w:marLeft w:val="0"/>
      <w:marRight w:val="0"/>
      <w:marTop w:val="0"/>
      <w:marBottom w:val="0"/>
      <w:divBdr>
        <w:top w:val="none" w:sz="0" w:space="0" w:color="auto"/>
        <w:left w:val="none" w:sz="0" w:space="0" w:color="auto"/>
        <w:bottom w:val="none" w:sz="0" w:space="0" w:color="auto"/>
        <w:right w:val="none" w:sz="0" w:space="0" w:color="auto"/>
      </w:divBdr>
    </w:div>
    <w:div w:id="1627194722">
      <w:bodyDiv w:val="1"/>
      <w:marLeft w:val="0"/>
      <w:marRight w:val="0"/>
      <w:marTop w:val="0"/>
      <w:marBottom w:val="0"/>
      <w:divBdr>
        <w:top w:val="none" w:sz="0" w:space="0" w:color="auto"/>
        <w:left w:val="none" w:sz="0" w:space="0" w:color="auto"/>
        <w:bottom w:val="none" w:sz="0" w:space="0" w:color="auto"/>
        <w:right w:val="none" w:sz="0" w:space="0" w:color="auto"/>
      </w:divBdr>
    </w:div>
    <w:div w:id="1657103901">
      <w:bodyDiv w:val="1"/>
      <w:marLeft w:val="0"/>
      <w:marRight w:val="0"/>
      <w:marTop w:val="0"/>
      <w:marBottom w:val="0"/>
      <w:divBdr>
        <w:top w:val="none" w:sz="0" w:space="0" w:color="auto"/>
        <w:left w:val="none" w:sz="0" w:space="0" w:color="auto"/>
        <w:bottom w:val="none" w:sz="0" w:space="0" w:color="auto"/>
        <w:right w:val="none" w:sz="0" w:space="0" w:color="auto"/>
      </w:divBdr>
    </w:div>
    <w:div w:id="1870217413">
      <w:bodyDiv w:val="1"/>
      <w:marLeft w:val="0"/>
      <w:marRight w:val="0"/>
      <w:marTop w:val="0"/>
      <w:marBottom w:val="0"/>
      <w:divBdr>
        <w:top w:val="none" w:sz="0" w:space="0" w:color="auto"/>
        <w:left w:val="none" w:sz="0" w:space="0" w:color="auto"/>
        <w:bottom w:val="none" w:sz="0" w:space="0" w:color="auto"/>
        <w:right w:val="none" w:sz="0" w:space="0" w:color="auto"/>
      </w:divBdr>
    </w:div>
    <w:div w:id="1954558752">
      <w:bodyDiv w:val="1"/>
      <w:marLeft w:val="0"/>
      <w:marRight w:val="0"/>
      <w:marTop w:val="0"/>
      <w:marBottom w:val="0"/>
      <w:divBdr>
        <w:top w:val="none" w:sz="0" w:space="0" w:color="auto"/>
        <w:left w:val="none" w:sz="0" w:space="0" w:color="auto"/>
        <w:bottom w:val="none" w:sz="0" w:space="0" w:color="auto"/>
        <w:right w:val="none" w:sz="0" w:space="0" w:color="auto"/>
      </w:divBdr>
    </w:div>
    <w:div w:id="1986466740">
      <w:bodyDiv w:val="1"/>
      <w:marLeft w:val="0"/>
      <w:marRight w:val="0"/>
      <w:marTop w:val="0"/>
      <w:marBottom w:val="0"/>
      <w:divBdr>
        <w:top w:val="none" w:sz="0" w:space="0" w:color="auto"/>
        <w:left w:val="none" w:sz="0" w:space="0" w:color="auto"/>
        <w:bottom w:val="none" w:sz="0" w:space="0" w:color="auto"/>
        <w:right w:val="none" w:sz="0" w:space="0" w:color="auto"/>
      </w:divBdr>
    </w:div>
    <w:div w:id="2006780535">
      <w:bodyDiv w:val="1"/>
      <w:marLeft w:val="0"/>
      <w:marRight w:val="0"/>
      <w:marTop w:val="0"/>
      <w:marBottom w:val="0"/>
      <w:divBdr>
        <w:top w:val="none" w:sz="0" w:space="0" w:color="auto"/>
        <w:left w:val="none" w:sz="0" w:space="0" w:color="auto"/>
        <w:bottom w:val="none" w:sz="0" w:space="0" w:color="auto"/>
        <w:right w:val="none" w:sz="0" w:space="0" w:color="auto"/>
      </w:divBdr>
    </w:div>
    <w:div w:id="213779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http://web.presidencia.gov.co/asiescolombia/escudocolgar.jpg" TargetMode="External"/><Relationship Id="rId14" Type="http://schemas.openxmlformats.org/officeDocument/2006/relationships/chart" Target="charts/chart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a:t>Presupuesto Gastos 2014</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dPt>
          <c:dPt>
            <c:idx val="1"/>
            <c:bubble3D val="0"/>
            <c:spPr>
              <a:solidFill>
                <a:srgbClr val="FF0000"/>
              </a:solidFill>
              <a:ln w="25400">
                <a:solidFill>
                  <a:schemeClr val="lt1"/>
                </a:solidFill>
              </a:ln>
              <a:effectLst/>
              <a:sp3d contourW="25400">
                <a:contourClr>
                  <a:schemeClr val="lt1"/>
                </a:contourClr>
              </a:sp3d>
            </c:spPr>
          </c:dPt>
          <c:dPt>
            <c:idx val="2"/>
            <c:bubble3D val="0"/>
            <c:spPr>
              <a:solidFill>
                <a:srgbClr val="00B0F0"/>
              </a:solidFill>
              <a:ln w="25400">
                <a:solidFill>
                  <a:schemeClr val="lt1"/>
                </a:solidFill>
              </a:ln>
              <a:effectLst/>
              <a:sp3d contourW="25400">
                <a:contourClr>
                  <a:schemeClr val="lt1"/>
                </a:contourClr>
              </a:sp3d>
            </c:spPr>
          </c:dPt>
          <c:dLbls>
            <c:dLbl>
              <c:idx val="0"/>
              <c:layout>
                <c:manualLayout>
                  <c:x val="0.1044205449928515"/>
                  <c:y val="-1.922195383816745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7308864847178657"/>
                  <c:y val="-0.1237362366034249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701285306816295E-2"/>
                  <c:y val="1.035954580917792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Hoja1!$C$13:$C$15</c:f>
              <c:strCache>
                <c:ptCount val="3"/>
                <c:pt idx="0">
                  <c:v>Funcionamiento</c:v>
                </c:pt>
                <c:pt idx="1">
                  <c:v>Inversión</c:v>
                </c:pt>
                <c:pt idx="2">
                  <c:v>Servicio de la deuda</c:v>
                </c:pt>
              </c:strCache>
            </c:strRef>
          </c:cat>
          <c:val>
            <c:numRef>
              <c:f>Hoja1!$D$13:$D$15</c:f>
              <c:numCache>
                <c:formatCode>0.00%</c:formatCode>
                <c:ptCount val="3"/>
                <c:pt idx="0">
                  <c:v>2.8404904237884217E-2</c:v>
                </c:pt>
                <c:pt idx="1">
                  <c:v>0.90149340073087658</c:v>
                </c:pt>
                <c:pt idx="2">
                  <c:v>7.0101695031239225E-2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0994A-E774-4795-A109-0BFBE83A7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4684</TotalTime>
  <Pages>77</Pages>
  <Words>24219</Words>
  <Characters>133205</Characters>
  <Application>Microsoft Office Word</Application>
  <DocSecurity>0</DocSecurity>
  <Lines>1110</Lines>
  <Paragraphs>314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157110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fhernandez</dc:creator>
  <cp:lastModifiedBy>Ricardo Aguilera Wilches</cp:lastModifiedBy>
  <cp:revision>143</cp:revision>
  <cp:lastPrinted>2014-06-13T15:38:00Z</cp:lastPrinted>
  <dcterms:created xsi:type="dcterms:W3CDTF">2014-06-06T14:19:00Z</dcterms:created>
  <dcterms:modified xsi:type="dcterms:W3CDTF">2014-12-26T20:27:00Z</dcterms:modified>
</cp:coreProperties>
</file>