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drawings/drawing1.xml" ContentType="application/vnd.openxmlformats-officedocument.drawingml.chartshapes+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2.xml" ContentType="application/vnd.openxmlformats-officedocument.themeOverride+xml"/>
  <Override PartName="/word/drawings/drawing2.xml" ContentType="application/vnd.openxmlformats-officedocument.drawingml.chartshapes+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D08" w:rsidRDefault="00F60DDF" w:rsidP="00AA404C">
      <w:pPr>
        <w:jc w:val="center"/>
      </w:pPr>
      <w:r w:rsidRPr="00F60DDF">
        <w:rPr>
          <w:noProof/>
        </w:rPr>
        <w:drawing>
          <wp:anchor distT="0" distB="0" distL="114300" distR="114300" simplePos="0" relativeHeight="251659264" behindDoc="0" locked="0" layoutInCell="1" allowOverlap="1">
            <wp:simplePos x="0" y="0"/>
            <wp:positionH relativeFrom="column">
              <wp:posOffset>4444365</wp:posOffset>
            </wp:positionH>
            <wp:positionV relativeFrom="paragraph">
              <wp:posOffset>-367030</wp:posOffset>
            </wp:positionV>
            <wp:extent cx="1143000" cy="1466850"/>
            <wp:effectExtent l="19050" t="0" r="0" b="0"/>
            <wp:wrapNone/>
            <wp:docPr id="8" name="Imagen 2" descr="http://web.presidencia.gov.co/asiescolombia/escudocol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b.presidencia.gov.co/asiescolombia/escudocolgar.jpg"/>
                    <pic:cNvPicPr>
                      <a:picLocks noChangeAspect="1" noChangeArrowheads="1"/>
                    </pic:cNvPicPr>
                  </pic:nvPicPr>
                  <pic:blipFill>
                    <a:blip r:embed="rId8" r:link="rId9" cstate="print">
                      <a:clrChange>
                        <a:clrFrom>
                          <a:srgbClr val="FFFFFF"/>
                        </a:clrFrom>
                        <a:clrTo>
                          <a:srgbClr val="FFFFFF">
                            <a:alpha val="0"/>
                          </a:srgbClr>
                        </a:clrTo>
                      </a:clrChange>
                    </a:blip>
                    <a:srcRect/>
                    <a:stretch>
                      <a:fillRect/>
                    </a:stretch>
                  </pic:blipFill>
                  <pic:spPr bwMode="auto">
                    <a:xfrm>
                      <a:off x="0" y="0"/>
                      <a:ext cx="1143000" cy="1466850"/>
                    </a:xfrm>
                    <a:prstGeom prst="rect">
                      <a:avLst/>
                    </a:prstGeom>
                    <a:noFill/>
                    <a:ln w="9525">
                      <a:noFill/>
                      <a:miter lim="800000"/>
                      <a:headEnd/>
                      <a:tailEnd/>
                    </a:ln>
                  </pic:spPr>
                </pic:pic>
              </a:graphicData>
            </a:graphic>
          </wp:anchor>
        </w:drawing>
      </w: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DA1835" w:rsidP="00AA404C">
      <w:pPr>
        <w:jc w:val="center"/>
      </w:pPr>
      <w:r>
        <w:rPr>
          <w:noProof/>
        </w:rPr>
        <mc:AlternateContent>
          <mc:Choice Requires="wpg">
            <w:drawing>
              <wp:anchor distT="0" distB="0" distL="114300" distR="114300" simplePos="0" relativeHeight="251660288" behindDoc="0" locked="0" layoutInCell="0" allowOverlap="1">
                <wp:simplePos x="0" y="0"/>
                <wp:positionH relativeFrom="page">
                  <wp:posOffset>-51435</wp:posOffset>
                </wp:positionH>
                <wp:positionV relativeFrom="margin">
                  <wp:posOffset>1547495</wp:posOffset>
                </wp:positionV>
                <wp:extent cx="7773670" cy="6233795"/>
                <wp:effectExtent l="0" t="0" r="0" b="0"/>
                <wp:wrapNone/>
                <wp:docPr id="4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3670" cy="6233795"/>
                          <a:chOff x="0" y="1440"/>
                          <a:chExt cx="12239" cy="12960"/>
                        </a:xfrm>
                      </wpg:grpSpPr>
                      <wpg:grpSp>
                        <wpg:cNvPr id="43" name="Group 3"/>
                        <wpg:cNvGrpSpPr>
                          <a:grpSpLocks/>
                        </wpg:cNvGrpSpPr>
                        <wpg:grpSpPr bwMode="auto">
                          <a:xfrm>
                            <a:off x="0" y="9661"/>
                            <a:ext cx="12239" cy="4739"/>
                            <a:chOff x="-6" y="3399"/>
                            <a:chExt cx="12197" cy="4253"/>
                          </a:xfrm>
                        </wpg:grpSpPr>
                        <wpg:grpSp>
                          <wpg:cNvPr id="46" name="Group 4"/>
                          <wpg:cNvGrpSpPr>
                            <a:grpSpLocks/>
                          </wpg:cNvGrpSpPr>
                          <wpg:grpSpPr bwMode="auto">
                            <a:xfrm>
                              <a:off x="-6" y="3717"/>
                              <a:ext cx="12189" cy="3550"/>
                              <a:chOff x="18" y="7468"/>
                              <a:chExt cx="12189" cy="3550"/>
                            </a:xfrm>
                          </wpg:grpSpPr>
                          <wps:wsp>
                            <wps:cNvPr id="48" name="Freeform 5"/>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noFill/>
                              <a:ln>
                                <a:noFill/>
                              </a:ln>
                              <a:extLst>
                                <a:ext uri="{909E8E84-426E-40DD-AFC4-6F175D3DCCD1}">
                                  <a14:hiddenFill xmlns:a14="http://schemas.microsoft.com/office/drawing/2010/main">
                                    <a:solidFill>
                                      <a:srgbClr val="A7BFD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6"/>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noFill/>
                              <a:ln>
                                <a:noFill/>
                              </a:ln>
                              <a:extLst>
                                <a:ext uri="{909E8E84-426E-40DD-AFC4-6F175D3DCCD1}">
                                  <a14:hiddenFill xmlns:a14="http://schemas.microsoft.com/office/drawing/2010/main">
                                    <a:solidFill>
                                      <a:srgbClr val="D3DFE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7"/>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noFill/>
                              <a:ln>
                                <a:noFill/>
                              </a:ln>
                              <a:extLst>
                                <a:ext uri="{909E8E84-426E-40DD-AFC4-6F175D3DCCD1}">
                                  <a14:hiddenFill xmlns:a14="http://schemas.microsoft.com/office/drawing/2010/main">
                                    <a:solidFill>
                                      <a:srgbClr val="A7BFD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2" name="Freeform 8"/>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9"/>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noFill/>
                            <a:ln>
                              <a:noFill/>
                            </a:ln>
                            <a:extLst>
                              <a:ext uri="{909E8E84-426E-40DD-AFC4-6F175D3DCCD1}">
                                <a14:hiddenFill xmlns:a14="http://schemas.microsoft.com/office/drawing/2010/main">
                                  <a:solidFill>
                                    <a:srgbClr val="BFBFB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0"/>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1"/>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noFill/>
                            <a:ln>
                              <a:noFill/>
                            </a:ln>
                            <a:extLst>
                              <a:ext uri="{909E8E84-426E-40DD-AFC4-6F175D3DCCD1}">
                                <a14:hiddenFill xmlns:a14="http://schemas.microsoft.com/office/drawing/2010/main">
                                  <a:solidFill>
                                    <a:srgbClr val="D3DFE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2"/>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noFill/>
                            <a:ln>
                              <a:noFill/>
                            </a:ln>
                            <a:extLst>
                              <a:ext uri="{909E8E84-426E-40DD-AFC4-6F175D3DCCD1}">
                                <a14:hiddenFill xmlns:a14="http://schemas.microsoft.com/office/drawing/2010/main">
                                  <a:solidFill>
                                    <a:srgbClr val="A7BFD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3"/>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noFill/>
                            <a:ln>
                              <a:noFill/>
                            </a:ln>
                            <a:extLst>
                              <a:ext uri="{909E8E84-426E-40DD-AFC4-6F175D3DCCD1}">
                                <a14:hiddenFill xmlns:a14="http://schemas.microsoft.com/office/drawing/2010/main">
                                  <a:solidFill>
                                    <a:srgbClr val="D3DFE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4" name="Rectangle 14"/>
                        <wps:cNvSpPr>
                          <a:spLocks noChangeArrowheads="1"/>
                        </wps:cNvSpPr>
                        <wps:spPr bwMode="auto">
                          <a:xfrm>
                            <a:off x="1800" y="1440"/>
                            <a:ext cx="8638"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EA7" w:rsidRPr="00336B81" w:rsidRDefault="009D1EA7" w:rsidP="00F60DDF">
                              <w:pPr>
                                <w:rPr>
                                  <w:rStyle w:val="nfasis"/>
                                  <w:sz w:val="32"/>
                                </w:rPr>
                              </w:pPr>
                              <w:r w:rsidRPr="00336B81">
                                <w:rPr>
                                  <w:rStyle w:val="nfasis"/>
                                  <w:sz w:val="32"/>
                                </w:rPr>
                                <w:t>Agencia Nacional de Infraestructura</w:t>
                              </w:r>
                            </w:p>
                            <w:p w:rsidR="009D1EA7" w:rsidRPr="003F6476" w:rsidRDefault="009D1EA7" w:rsidP="00F60DDF">
                              <w:pPr>
                                <w:rPr>
                                  <w:rStyle w:val="nfasis"/>
                                </w:rPr>
                              </w:pPr>
                            </w:p>
                          </w:txbxContent>
                        </wps:txbx>
                        <wps:bodyPr rot="0" vert="horz" wrap="square" lIns="91440" tIns="45720" rIns="91440" bIns="45720" anchor="t" anchorCtr="0" upright="1">
                          <a:noAutofit/>
                        </wps:bodyPr>
                      </wps:wsp>
                      <wps:wsp>
                        <wps:cNvPr id="65" name="Rectangle 15"/>
                        <wps:cNvSpPr>
                          <a:spLocks noChangeArrowheads="1"/>
                        </wps:cNvSpPr>
                        <wps:spPr bwMode="auto">
                          <a:xfrm>
                            <a:off x="6494" y="11160"/>
                            <a:ext cx="4998" cy="1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EA7" w:rsidRDefault="009D1EA7" w:rsidP="00F60DDF">
                              <w:pPr>
                                <w:jc w:val="right"/>
                                <w:rPr>
                                  <w:sz w:val="96"/>
                                  <w:szCs w:val="96"/>
                                </w:rPr>
                              </w:pPr>
                            </w:p>
                          </w:txbxContent>
                        </wps:txbx>
                        <wps:bodyPr rot="0" vert="horz" wrap="square" lIns="91440" tIns="45720" rIns="91440" bIns="45720" anchor="t" anchorCtr="0" upright="1">
                          <a:noAutofit/>
                        </wps:bodyPr>
                      </wps:wsp>
                      <wps:wsp>
                        <wps:cNvPr id="66" name="Rectangle 16"/>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EA7" w:rsidRPr="00F60DDF" w:rsidRDefault="009D1EA7" w:rsidP="00F60DDF">
                              <w:pPr>
                                <w:rPr>
                                  <w:b/>
                                  <w:bCs/>
                                  <w:color w:val="808080"/>
                                  <w:sz w:val="56"/>
                                  <w:szCs w:val="72"/>
                                </w:rPr>
                              </w:pPr>
                              <w:r w:rsidRPr="00F60DDF">
                                <w:rPr>
                                  <w:b/>
                                  <w:bCs/>
                                  <w:color w:val="808080"/>
                                  <w:sz w:val="56"/>
                                  <w:szCs w:val="72"/>
                                </w:rPr>
                                <w:t>SEGUIMIENTO PLAN DE ACCIÓN</w:t>
                              </w:r>
                            </w:p>
                            <w:p w:rsidR="009D1EA7" w:rsidRPr="00F60DDF" w:rsidRDefault="009D1EA7" w:rsidP="00F60DDF">
                              <w:pPr>
                                <w:rPr>
                                  <w:b/>
                                  <w:bCs/>
                                  <w:color w:val="808080"/>
                                  <w:sz w:val="48"/>
                                  <w:szCs w:val="72"/>
                                </w:rPr>
                              </w:pPr>
                              <w:r>
                                <w:rPr>
                                  <w:b/>
                                  <w:bCs/>
                                  <w:color w:val="808080"/>
                                  <w:sz w:val="48"/>
                                  <w:szCs w:val="72"/>
                                </w:rPr>
                                <w:t>Segundo</w:t>
                              </w:r>
                              <w:r w:rsidRPr="00F60DDF">
                                <w:rPr>
                                  <w:b/>
                                  <w:bCs/>
                                  <w:color w:val="808080"/>
                                  <w:sz w:val="48"/>
                                  <w:szCs w:val="72"/>
                                </w:rPr>
                                <w:t xml:space="preserve"> Trimestre 201</w:t>
                              </w:r>
                              <w:r>
                                <w:rPr>
                                  <w:b/>
                                  <w:bCs/>
                                  <w:color w:val="808080"/>
                                  <w:sz w:val="48"/>
                                  <w:szCs w:val="72"/>
                                </w:rPr>
                                <w:t>5</w:t>
                              </w:r>
                            </w:p>
                            <w:p w:rsidR="009D1EA7" w:rsidRPr="00904F45" w:rsidRDefault="009D1EA7" w:rsidP="00F60DDF">
                              <w:pPr>
                                <w:rPr>
                                  <w:b/>
                                  <w:bCs/>
                                  <w:color w:val="808080"/>
                                  <w:sz w:val="32"/>
                                  <w:szCs w:val="32"/>
                                </w:rPr>
                              </w:pPr>
                              <w:r>
                                <w:rPr>
                                  <w:b/>
                                  <w:bCs/>
                                  <w:noProof/>
                                  <w:color w:val="808080"/>
                                  <w:sz w:val="32"/>
                                  <w:szCs w:val="32"/>
                                </w:rPr>
                                <w:drawing>
                                  <wp:inline distT="0" distB="0" distL="0" distR="0">
                                    <wp:extent cx="5153025" cy="1676400"/>
                                    <wp:effectExtent l="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1676400"/>
                                            </a:xfrm>
                                            <a:prstGeom prst="rect">
                                              <a:avLst/>
                                            </a:prstGeom>
                                            <a:noFill/>
                                            <a:ln>
                                              <a:noFill/>
                                            </a:ln>
                                          </pic:spPr>
                                        </pic:pic>
                                      </a:graphicData>
                                    </a:graphic>
                                  </wp:inline>
                                </w:drawing>
                              </w: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id="Group 2" o:spid="_x0000_s1026" style="position:absolute;left:0;text-align:left;margin-left:-4.05pt;margin-top:121.85pt;width:612.1pt;height:490.85pt;z-index:251660288;mso-width-percent:1000;mso-position-horizontal-relative:page;mso-position-vertical-relative:margin;mso-width-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" o:allowincell="f">
                <v:group id="Group 3"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group id="Group 4"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TqcAA&#10;AADbAAAADwAAAGRycy9kb3ducmV2LnhtbERPW2vCMBR+F/YfwhnsbaZuIrUaZYxNRBh4o74emmNb&#10;1pyUJNr6782D4OPHd58ve9OIKzlfW1YwGiYgiAuray4VHA+/7ykIH5A1NpZJwY08LBcvgzlm2na8&#10;o+s+lCKGsM9QQRVCm0npi4oM+qFtiSN3ts5giNCVUjvsYrhp5EeSTKTBmmNDhS19V1T87y9GQc6f&#10;XepG9dblfz+pm/LktMo3Sr299l8zEIH68BQ/3GutYBzHxi/xB8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zCTqcAAAADbAAAADwAAAAAAAAAAAAAAAACYAgAAZHJzL2Rvd25y&#10;ZXYueG1sUEsFBgAAAAAEAAQA9QAAAIUDAAAAAA==&#10;" path="m,l17,2863,7132,2578r,-2378l,xe" filled="f" fillcolor="#a7bfde" stroked="f">
                      <v:fill opacity="32896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cqk8UA&#10;AADbAAAADwAAAGRycy9kb3ducmV2LnhtbESPT2vCQBTE7wW/w/KE3uqmthWN2YgKhZ5a/IN4fGSf&#10;2djs25Bdk/TbdwsFj8PM/IbJVoOtRUetrxwreJ4kIIgLpysuFRwP709zED4ga6wdk4If8rDKRw8Z&#10;ptr1vKNuH0oRIexTVGBCaFIpfWHIop+4hjh6F9daDFG2pdQt9hFuazlNkpm0WHFcMNjQ1lDxvb9Z&#10;BZ/dzvLt+tJ/nS/b0/ptPtSN2Sj1OB7WSxCBhnAP/7c/tILXB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FyqTxQAAANsAAAAPAAAAAAAAAAAAAAAAAJgCAABkcnMv&#10;ZG93bnJldi54bWxQSwUGAAAAAAQABAD1AAAAigMAAAAA&#10;" path="m,569l,2930r3466,620l3466,,,569xe" filled="f" fillcolor="#d3dfee" stroked="f">
                      <v:fill opacity="32896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Z8AA&#10;AADbAAAADwAAAGRycy9kb3ducmV2LnhtbESP0YrCMBRE3xf8h3AF39a0wspuNYoIBV9X9wMuyd2m&#10;2NzUJtrWrzeC4OMwM2eY9XZwjbhRF2rPCvJ5BoJYe1NzpeDvVH5+gwgR2WDjmRSMFGC7mXyssTC+&#10;51+6HWMlEoRDgQpsjG0hZdCWHIa5b4mT9+87hzHJrpKmwz7BXSMXWbaUDmtOCxZb2lvS5+PVKThp&#10;q/fjj8vvC9svxwuXpuRGqdl02K1ARBriO/xqH4yCrxyeX9IP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GQZ8AAAADbAAAADwAAAAAAAAAAAAAAAACYAgAAZHJzL2Rvd25y&#10;ZXYueG1sUEsFBgAAAAAEAAQA9QAAAIUDAAAAAA==&#10;" path="m,l,3550,1591,2746r,-2009l,xe" filled="f" fillcolor="#a7bfde" stroked="f">
                      <v:fill opacity="32896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KPtsMA&#10;AADbAAAADwAAAGRycy9kb3ducmV2LnhtbESPX2vCMBTF34V9h3AHe9N0TsfojCID2V4KtW7vl+au&#10;LTY3NYlt9dObwcDHw/nz46w2o2lFT843lhU8zxIQxKXVDVcKvg+76RsIH5A1tpZJwYU8bNYPkxWm&#10;2g68p74IlYgj7FNUUIfQpVL6siaDfmY74uj9WmcwROkqqR0Ocdy0cp4kr9Jgw5FQY0cfNZXH4mwU&#10;XBdZ5Bx/8uz0yfnpZTnst25Q6ulx3L6DCDSGe/i//aUVLOfw9yX+A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KPtsMAAADbAAAADwAAAAAAAAAAAAAAAACYAgAAZHJzL2Rv&#10;d25yZXYueG1sUEsFBgAAAAAEAAQA9QAAAIgDAAAAAA==&#10;" path="m1,251l,2662r4120,251l4120,,1,251xe" filled="f" fillcolor="#d8d8d8"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BqocQA&#10;AADbAAAADwAAAGRycy9kb3ducmV2LnhtbESPX2vCQBDE34V+h2MLfdNLBaOkniKCJQ+V4h/6vOTW&#10;JDa3l+ZWjd++Vyj4OMzMb5j5sneNulIXas8GXkcJKOLC25pLA8fDZjgDFQTZYuOZDNwpwHLxNJhj&#10;Zv2Nd3TdS6kihEOGBiqRNtM6FBU5DCPfEkfv5DuHEmVXatvhLcJdo8dJkmqHNceFCltaV1R87y/O&#10;wDTfru/55rM5p/g+G3+J/Hystsa8PPerN1BCvTzC/+3cGpik8Pcl/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QaqHEAAAA2wAAAA8AAAAAAAAAAAAAAAAAmAIAAGRycy9k&#10;b3ducmV2LnhtbFBLBQYAAAAABAAEAPUAAACJAwAAAAA=&#10;" path="m,l,4236,3985,3349r,-2428l,xe" filled="f" fillcolor="#bfbfbf"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ScEA&#10;AADbAAAADwAAAGRycy9kb3ducmV2LnhtbERP3WqDMBS+H/Qdwinsbo0V2hXXKCLb2GVr9wAHc2qk&#10;5sSZaN2efrkY7PLj+z8Wi+3FTKPvHCvYbhIQxI3THbcKPi9vTwcQPiBr7B2Tgm/yUOSrhyNm2t35&#10;THMdWhFD2GeowIQwZFL6xpBFv3EDceSubrQYIhxbqUe8x3DbyzRJ9tJix7HB4ECVoeZWT1bB82mu&#10;klN5tuYn/ZpeD7f3ere3Sj2ul/IFRKAl/Iv/3B9awS6OjV/iD5D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If0nBAAAA2wAAAA8AAAAAAAAAAAAAAAAAmAIAAGRycy9kb3du&#10;cmV2LnhtbFBLBQYAAAAABAAEAPUAAACGAwAAAAA=&#10;" path="m4086,r-2,4253l,3198,,1072,4086,xe" filled="f" fillcolor="#d8d8d8"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dD8UA&#10;AADbAAAADwAAAGRycy9kb3ducmV2LnhtbESPT2vCQBTE74V+h+UVvOlGodqmWcVaLeJFknrp7ZF9&#10;+YPZtyG7xvjt3YLQ4zAzv2GS1WAa0VPnassKppMIBHFudc2lgtPPbvwGwnlkjY1lUnAjB6vl81OC&#10;sbZXTqnPfCkChF2MCirv21hKl1dk0E1sSxy8wnYGfZBdKXWH1wA3jZxF0VwarDksVNjSpqL8nF2M&#10;gq/P3+/5eXE4nlIq1tt0erRD1is1ehnWHyA8Df4//GjvtYLXd/j7En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u90PxQAAANsAAAAPAAAAAAAAAAAAAAAAAJgCAABkcnMv&#10;ZG93bnJldi54bWxQSwUGAAAAAAQABAD1AAAAigMAAAAA&#10;" path="m,921l2060,r16,3851l,2981,,921xe" filled="f" fillcolor="#d3dfee" stroked="f">
                    <v:fill opacity="46003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Vt8QA&#10;AADbAAAADwAAAGRycy9kb3ducmV2LnhtbESPQWsCMRSE74L/ITyhF9GsCmu7GkWE0tqbWsTeHpvn&#10;7uLmZU1S3frrm0LB4zAz3zDzZWtqcSXnK8sKRsMEBHFudcWFgs/96+AZhA/IGmvLpOCHPCwX3c4c&#10;M21vvKXrLhQiQthnqKAMocmk9HlJBv3QNsTRO1lnMETpCqkd3iLc1HKcJKk0WHFcKLGhdUn5efdt&#10;IsUdvu4bPF5Ob5NpevQTenEffaWeeu1qBiJQGx7h//a7VpCO4e9L/A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8FbfEAAAA2wAAAA8AAAAAAAAAAAAAAAAAmAIAAGRycy9k&#10;b3ducmV2LnhtbFBLBQYAAAAABAAEAPUAAACJAwAAAAA=&#10;" path="m,l17,3835,6011,2629r,-1390l,xe" filled="f" fillcolor="#a7bfde"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FAh8QA&#10;AADbAAAADwAAAGRycy9kb3ducmV2LnhtbESPQWvCQBSE7wX/w/KE3urGChKiq4ggrXhpU0G8PbPP&#10;bDT7NmS3Sfz33UKhx2FmvmGW68HWoqPWV44VTCcJCOLC6YpLBcev3UsKwgdkjbVjUvAgD+vV6GmJ&#10;mXY9f1KXh1JECPsMFZgQmkxKXxiy6CeuIY7e1bUWQ5RtKXWLfYTbWr4myVxarDguGGxoa6i4599W&#10;QX85pofuvJenx1t6O3zk8mR0p9TzeNgsQAQawn/4r/2uFcxn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RQIfEAAAA2wAAAA8AAAAAAAAAAAAAAAAAmAIAAGRycy9k&#10;b3ducmV2LnhtbFBLBQYAAAAABAAEAPUAAACJAwAAAAA=&#10;" path="m,1038l,2411,4102,3432,4102,,,1038xe" filled="f" fillcolor="#d3dfee" stroked="f">
                    <v:fill opacity="46003f"/>
                    <v:path arrowok="t" o:connecttype="custom" o:connectlocs="0,1038;0,2411;4102,3432;4102,0;0,1038" o:connectangles="0,0,0,0,0"/>
                  </v:shape>
                </v:group>
                <v:rect id="Rectangle 14" o:spid="_x0000_s1038" style="position:absolute;left:1800;top:1440;width:8638;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CYcUA&#10;AADbAAAADwAAAGRycy9kb3ducmV2LnhtbESPQWvCQBSE7wX/w/KEXkrdWEQ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YJhxQAAANsAAAAPAAAAAAAAAAAAAAAAAJgCAABkcnMv&#10;ZG93bnJldi54bWxQSwUGAAAAAAQABAD1AAAAigMAAAAA&#10;" filled="f" stroked="f">
                  <v:textbox>
                    <w:txbxContent>
                      <w:p w:rsidR="009D1EA7" w:rsidRPr="00336B81" w:rsidRDefault="009D1EA7" w:rsidP="00F60DDF">
                        <w:pPr>
                          <w:rPr>
                            <w:rStyle w:val="nfasis"/>
                            <w:sz w:val="32"/>
                          </w:rPr>
                        </w:pPr>
                        <w:r w:rsidRPr="00336B81">
                          <w:rPr>
                            <w:rStyle w:val="nfasis"/>
                            <w:sz w:val="32"/>
                          </w:rPr>
                          <w:t>Agencia Nacional de Infraestructura</w:t>
                        </w:r>
                      </w:p>
                      <w:p w:rsidR="009D1EA7" w:rsidRPr="003F6476" w:rsidRDefault="009D1EA7" w:rsidP="00F60DDF">
                        <w:pPr>
                          <w:rPr>
                            <w:rStyle w:val="nfasis"/>
                          </w:rPr>
                        </w:pPr>
                      </w:p>
                    </w:txbxContent>
                  </v:textbox>
                </v:rect>
                <v:rect id="Rectangle 15" o:spid="_x0000_s1039" style="position:absolute;left:6494;top:11160;width:4998;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0n+sUA&#10;AADbAAAADwAAAGRycy9kb3ducmV2LnhtbESPQWvCQBSE7wX/w/KEXkrdWFA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Sf6xQAAANsAAAAPAAAAAAAAAAAAAAAAAJgCAABkcnMv&#10;ZG93bnJldi54bWxQSwUGAAAAAAQABAD1AAAAigMAAAAA&#10;" filled="f" stroked="f">
                  <v:textbox>
                    <w:txbxContent>
                      <w:p w:rsidR="009D1EA7" w:rsidRDefault="009D1EA7" w:rsidP="00F60DDF">
                        <w:pPr>
                          <w:jc w:val="right"/>
                          <w:rPr>
                            <w:sz w:val="96"/>
                            <w:szCs w:val="96"/>
                          </w:rPr>
                        </w:pPr>
                      </w:p>
                    </w:txbxContent>
                  </v:textbox>
                </v:rect>
                <v:rect id="Rectangle 16"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TF28QA&#10;AADbAAAADwAAAGRycy9kb3ducmV2LnhtbESP0WrCQBRE3wv9h+UWfKubthBKmlXEEFpBBTUfcJu9&#10;JsHs3bC71fj3riD0cZiZM0w+H00vzuR8Z1nB2zQBQVxb3XGjoDqUr58gfEDW2FsmBVfyMJ89P+WY&#10;aXvhHZ33oRERwj5DBW0IQyalr1sy6Kd2II7e0TqDIUrXSO3wEuGml+9JkkqDHceFFgdatlSf9n9G&#10;wcd6u3Wb4lSmSVGt2Lpx+f27U2ryMi6+QAQaw3/40f7RCtIU7l/i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kxdvEAAAA2wAAAA8AAAAAAAAAAAAAAAAAmAIAAGRycy9k&#10;b3ducmV2LnhtbFBLBQYAAAAABAAEAPUAAACJAwAAAAA=&#10;" filled="f" stroked="f">
                  <v:textbox>
                    <w:txbxContent>
                      <w:p w:rsidR="009D1EA7" w:rsidRPr="00F60DDF" w:rsidRDefault="009D1EA7" w:rsidP="00F60DDF">
                        <w:pPr>
                          <w:rPr>
                            <w:b/>
                            <w:bCs/>
                            <w:color w:val="808080"/>
                            <w:sz w:val="56"/>
                            <w:szCs w:val="72"/>
                          </w:rPr>
                        </w:pPr>
                        <w:r w:rsidRPr="00F60DDF">
                          <w:rPr>
                            <w:b/>
                            <w:bCs/>
                            <w:color w:val="808080"/>
                            <w:sz w:val="56"/>
                            <w:szCs w:val="72"/>
                          </w:rPr>
                          <w:t>SEGUIMIENTO PLAN DE ACCIÓN</w:t>
                        </w:r>
                      </w:p>
                      <w:p w:rsidR="009D1EA7" w:rsidRPr="00F60DDF" w:rsidRDefault="009D1EA7" w:rsidP="00F60DDF">
                        <w:pPr>
                          <w:rPr>
                            <w:b/>
                            <w:bCs/>
                            <w:color w:val="808080"/>
                            <w:sz w:val="48"/>
                            <w:szCs w:val="72"/>
                          </w:rPr>
                        </w:pPr>
                        <w:r>
                          <w:rPr>
                            <w:b/>
                            <w:bCs/>
                            <w:color w:val="808080"/>
                            <w:sz w:val="48"/>
                            <w:szCs w:val="72"/>
                          </w:rPr>
                          <w:t>Segundo</w:t>
                        </w:r>
                        <w:r w:rsidRPr="00F60DDF">
                          <w:rPr>
                            <w:b/>
                            <w:bCs/>
                            <w:color w:val="808080"/>
                            <w:sz w:val="48"/>
                            <w:szCs w:val="72"/>
                          </w:rPr>
                          <w:t xml:space="preserve"> Trimestre 201</w:t>
                        </w:r>
                        <w:r>
                          <w:rPr>
                            <w:b/>
                            <w:bCs/>
                            <w:color w:val="808080"/>
                            <w:sz w:val="48"/>
                            <w:szCs w:val="72"/>
                          </w:rPr>
                          <w:t>5</w:t>
                        </w:r>
                      </w:p>
                      <w:p w:rsidR="009D1EA7" w:rsidRPr="00904F45" w:rsidRDefault="009D1EA7" w:rsidP="00F60DDF">
                        <w:pPr>
                          <w:rPr>
                            <w:b/>
                            <w:bCs/>
                            <w:color w:val="808080"/>
                            <w:sz w:val="32"/>
                            <w:szCs w:val="32"/>
                          </w:rPr>
                        </w:pPr>
                        <w:r>
                          <w:rPr>
                            <w:b/>
                            <w:bCs/>
                            <w:noProof/>
                            <w:color w:val="808080"/>
                            <w:sz w:val="32"/>
                            <w:szCs w:val="32"/>
                          </w:rPr>
                          <w:drawing>
                            <wp:inline distT="0" distB="0" distL="0" distR="0">
                              <wp:extent cx="5153025" cy="1676400"/>
                              <wp:effectExtent l="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1676400"/>
                                      </a:xfrm>
                                      <a:prstGeom prst="rect">
                                        <a:avLst/>
                                      </a:prstGeom>
                                      <a:noFill/>
                                      <a:ln>
                                        <a:noFill/>
                                      </a:ln>
                                    </pic:spPr>
                                  </pic:pic>
                                </a:graphicData>
                              </a:graphic>
                            </wp:inline>
                          </w:drawing>
                        </w:r>
                      </w:p>
                    </w:txbxContent>
                  </v:textbox>
                </v:rect>
                <w10:wrap anchorx="page" anchory="margin"/>
              </v:group>
            </w:pict>
          </mc:Fallback>
        </mc:AlternateContent>
      </w: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F60DDF" w:rsidP="00AA404C">
      <w:pPr>
        <w:jc w:val="center"/>
      </w:pPr>
    </w:p>
    <w:p w:rsidR="00F60DDF" w:rsidRDefault="002419C6" w:rsidP="002419C6">
      <w:pPr>
        <w:tabs>
          <w:tab w:val="left" w:pos="2605"/>
        </w:tabs>
      </w:pPr>
      <w:r>
        <w:tab/>
      </w:r>
    </w:p>
    <w:p w:rsidR="00F60DDF" w:rsidRDefault="00F60DDF" w:rsidP="00AA404C">
      <w:pPr>
        <w:jc w:val="center"/>
      </w:pPr>
    </w:p>
    <w:p w:rsidR="004D2A8A" w:rsidRDefault="004D2A8A" w:rsidP="00AA404C">
      <w:pPr>
        <w:jc w:val="center"/>
        <w:rPr>
          <w:sz w:val="28"/>
          <w:szCs w:val="28"/>
        </w:rPr>
      </w:pPr>
    </w:p>
    <w:p w:rsidR="0016203E" w:rsidRDefault="00AA404C" w:rsidP="00AA404C">
      <w:pPr>
        <w:jc w:val="center"/>
        <w:rPr>
          <w:sz w:val="28"/>
          <w:szCs w:val="28"/>
        </w:rPr>
      </w:pPr>
      <w:r w:rsidRPr="00AA404C">
        <w:rPr>
          <w:sz w:val="28"/>
          <w:szCs w:val="28"/>
        </w:rPr>
        <w:lastRenderedPageBreak/>
        <w:t>CO</w:t>
      </w:r>
      <w:r w:rsidR="0016203E" w:rsidRPr="00AA404C">
        <w:rPr>
          <w:sz w:val="28"/>
          <w:szCs w:val="28"/>
        </w:rPr>
        <w:t>NTENIDO</w:t>
      </w:r>
    </w:p>
    <w:p w:rsidR="004D2A8A" w:rsidRDefault="004D2A8A" w:rsidP="00AA404C">
      <w:pPr>
        <w:jc w:val="center"/>
        <w:rPr>
          <w:sz w:val="28"/>
          <w:szCs w:val="28"/>
        </w:rPr>
      </w:pPr>
    </w:p>
    <w:sdt>
      <w:sdtPr>
        <w:rPr>
          <w:rFonts w:asciiTheme="minorHAnsi" w:eastAsiaTheme="minorEastAsia" w:hAnsiTheme="minorHAnsi" w:cstheme="minorBidi"/>
          <w:b w:val="0"/>
          <w:bCs w:val="0"/>
          <w:color w:val="auto"/>
          <w:sz w:val="22"/>
          <w:szCs w:val="22"/>
          <w:lang w:val="es-CO"/>
        </w:rPr>
        <w:id w:val="1494139211"/>
        <w:docPartObj>
          <w:docPartGallery w:val="Table of Contents"/>
          <w:docPartUnique/>
        </w:docPartObj>
      </w:sdtPr>
      <w:sdtContent>
        <w:p w:rsidR="009F6D8B" w:rsidRDefault="009F6D8B">
          <w:pPr>
            <w:pStyle w:val="TtulodeTDC"/>
          </w:pPr>
          <w:r>
            <w:t>Contenido</w:t>
          </w:r>
        </w:p>
        <w:p w:rsidR="0005003A" w:rsidRDefault="009F6D8B">
          <w:pPr>
            <w:pStyle w:val="TDC1"/>
            <w:rPr>
              <w:noProof/>
              <w:sz w:val="22"/>
              <w:szCs w:val="22"/>
            </w:rPr>
          </w:pPr>
          <w:r>
            <w:fldChar w:fldCharType="begin"/>
          </w:r>
          <w:r>
            <w:instrText xml:space="preserve"> TOC \o "1-3" \h \z \u </w:instrText>
          </w:r>
          <w:r>
            <w:fldChar w:fldCharType="separate"/>
          </w:r>
          <w:hyperlink w:anchor="_Toc426559209" w:history="1">
            <w:r w:rsidR="0005003A" w:rsidRPr="004C5E95">
              <w:rPr>
                <w:rStyle w:val="Hipervnculo"/>
                <w:noProof/>
              </w:rPr>
              <w:t>1.</w:t>
            </w:r>
            <w:r w:rsidR="0005003A">
              <w:rPr>
                <w:noProof/>
                <w:sz w:val="22"/>
                <w:szCs w:val="22"/>
              </w:rPr>
              <w:tab/>
            </w:r>
            <w:r w:rsidR="0005003A" w:rsidRPr="004C5E95">
              <w:rPr>
                <w:rStyle w:val="Hipervnculo"/>
                <w:noProof/>
              </w:rPr>
              <w:t>SEGUIMIENTO METAS POR DEPENDENCIA</w:t>
            </w:r>
            <w:r w:rsidR="0005003A">
              <w:rPr>
                <w:noProof/>
                <w:webHidden/>
              </w:rPr>
              <w:tab/>
            </w:r>
            <w:r w:rsidR="0005003A">
              <w:rPr>
                <w:noProof/>
                <w:webHidden/>
              </w:rPr>
              <w:fldChar w:fldCharType="begin"/>
            </w:r>
            <w:r w:rsidR="0005003A">
              <w:rPr>
                <w:noProof/>
                <w:webHidden/>
              </w:rPr>
              <w:instrText xml:space="preserve"> PAGEREF _Toc426559209 \h </w:instrText>
            </w:r>
            <w:r w:rsidR="0005003A">
              <w:rPr>
                <w:noProof/>
                <w:webHidden/>
              </w:rPr>
            </w:r>
            <w:r w:rsidR="0005003A">
              <w:rPr>
                <w:noProof/>
                <w:webHidden/>
              </w:rPr>
              <w:fldChar w:fldCharType="separate"/>
            </w:r>
            <w:r w:rsidR="00063051">
              <w:rPr>
                <w:noProof/>
                <w:webHidden/>
              </w:rPr>
              <w:t>3</w:t>
            </w:r>
            <w:r w:rsidR="0005003A">
              <w:rPr>
                <w:noProof/>
                <w:webHidden/>
              </w:rPr>
              <w:fldChar w:fldCharType="end"/>
            </w:r>
          </w:hyperlink>
        </w:p>
        <w:p w:rsidR="0005003A" w:rsidRDefault="0005003A">
          <w:pPr>
            <w:pStyle w:val="TDC1"/>
            <w:rPr>
              <w:noProof/>
              <w:sz w:val="22"/>
              <w:szCs w:val="22"/>
            </w:rPr>
          </w:pPr>
          <w:hyperlink w:anchor="_Toc426559210" w:history="1">
            <w:r w:rsidRPr="004C5E95">
              <w:rPr>
                <w:rStyle w:val="Hipervnculo"/>
                <w:noProof/>
              </w:rPr>
              <w:t>1.1</w:t>
            </w:r>
            <w:r>
              <w:rPr>
                <w:noProof/>
                <w:sz w:val="22"/>
                <w:szCs w:val="22"/>
              </w:rPr>
              <w:tab/>
            </w:r>
            <w:r w:rsidRPr="004C5E95">
              <w:rPr>
                <w:rStyle w:val="Hipervnculo"/>
                <w:noProof/>
              </w:rPr>
              <w:t>VICEPRESIDENCIA ADMINISTRATIVA Y FINANCIERA</w:t>
            </w:r>
            <w:r>
              <w:rPr>
                <w:noProof/>
                <w:webHidden/>
              </w:rPr>
              <w:tab/>
            </w:r>
            <w:r>
              <w:rPr>
                <w:noProof/>
                <w:webHidden/>
              </w:rPr>
              <w:fldChar w:fldCharType="begin"/>
            </w:r>
            <w:r>
              <w:rPr>
                <w:noProof/>
                <w:webHidden/>
              </w:rPr>
              <w:instrText xml:space="preserve"> PAGEREF _Toc426559210 \h </w:instrText>
            </w:r>
            <w:r>
              <w:rPr>
                <w:noProof/>
                <w:webHidden/>
              </w:rPr>
            </w:r>
            <w:r>
              <w:rPr>
                <w:noProof/>
                <w:webHidden/>
              </w:rPr>
              <w:fldChar w:fldCharType="separate"/>
            </w:r>
            <w:r w:rsidR="00063051">
              <w:rPr>
                <w:noProof/>
                <w:webHidden/>
              </w:rPr>
              <w:t>3</w:t>
            </w:r>
            <w:r>
              <w:rPr>
                <w:noProof/>
                <w:webHidden/>
              </w:rPr>
              <w:fldChar w:fldCharType="end"/>
            </w:r>
          </w:hyperlink>
        </w:p>
        <w:p w:rsidR="0005003A" w:rsidRDefault="0005003A">
          <w:pPr>
            <w:pStyle w:val="TDC1"/>
            <w:rPr>
              <w:noProof/>
              <w:sz w:val="22"/>
              <w:szCs w:val="22"/>
            </w:rPr>
          </w:pPr>
          <w:hyperlink w:anchor="_Toc426559211" w:history="1">
            <w:r w:rsidRPr="004C5E95">
              <w:rPr>
                <w:rStyle w:val="Hipervnculo"/>
                <w:noProof/>
              </w:rPr>
              <w:t>1.2</w:t>
            </w:r>
            <w:r>
              <w:rPr>
                <w:noProof/>
                <w:sz w:val="22"/>
                <w:szCs w:val="22"/>
              </w:rPr>
              <w:tab/>
            </w:r>
            <w:r w:rsidRPr="004C5E95">
              <w:rPr>
                <w:rStyle w:val="Hipervnculo"/>
                <w:noProof/>
              </w:rPr>
              <w:t>VICEPRESIDENCIA JURÍDICA</w:t>
            </w:r>
            <w:r>
              <w:rPr>
                <w:noProof/>
                <w:webHidden/>
              </w:rPr>
              <w:tab/>
            </w:r>
            <w:r>
              <w:rPr>
                <w:noProof/>
                <w:webHidden/>
              </w:rPr>
              <w:fldChar w:fldCharType="begin"/>
            </w:r>
            <w:r>
              <w:rPr>
                <w:noProof/>
                <w:webHidden/>
              </w:rPr>
              <w:instrText xml:space="preserve"> PAGEREF _Toc426559211 \h </w:instrText>
            </w:r>
            <w:r>
              <w:rPr>
                <w:noProof/>
                <w:webHidden/>
              </w:rPr>
            </w:r>
            <w:r>
              <w:rPr>
                <w:noProof/>
                <w:webHidden/>
              </w:rPr>
              <w:fldChar w:fldCharType="separate"/>
            </w:r>
            <w:r w:rsidR="00063051">
              <w:rPr>
                <w:noProof/>
                <w:webHidden/>
              </w:rPr>
              <w:t>7</w:t>
            </w:r>
            <w:r>
              <w:rPr>
                <w:noProof/>
                <w:webHidden/>
              </w:rPr>
              <w:fldChar w:fldCharType="end"/>
            </w:r>
          </w:hyperlink>
        </w:p>
        <w:p w:rsidR="0005003A" w:rsidRDefault="0005003A">
          <w:pPr>
            <w:pStyle w:val="TDC1"/>
            <w:rPr>
              <w:noProof/>
              <w:sz w:val="22"/>
              <w:szCs w:val="22"/>
            </w:rPr>
          </w:pPr>
          <w:hyperlink w:anchor="_Toc426559212" w:history="1">
            <w:r w:rsidRPr="004C5E95">
              <w:rPr>
                <w:rStyle w:val="Hipervnculo"/>
                <w:noProof/>
              </w:rPr>
              <w:t>1.3</w:t>
            </w:r>
            <w:r>
              <w:rPr>
                <w:noProof/>
                <w:sz w:val="22"/>
                <w:szCs w:val="22"/>
              </w:rPr>
              <w:tab/>
            </w:r>
            <w:r w:rsidRPr="004C5E95">
              <w:rPr>
                <w:rStyle w:val="Hipervnculo"/>
                <w:noProof/>
              </w:rPr>
              <w:t>VICEPRESIDENCIA DE GESTIÓN CONTRACTUAL Y EJECUTIVA</w:t>
            </w:r>
            <w:r>
              <w:rPr>
                <w:noProof/>
                <w:webHidden/>
              </w:rPr>
              <w:tab/>
            </w:r>
            <w:r>
              <w:rPr>
                <w:noProof/>
                <w:webHidden/>
              </w:rPr>
              <w:fldChar w:fldCharType="begin"/>
            </w:r>
            <w:r>
              <w:rPr>
                <w:noProof/>
                <w:webHidden/>
              </w:rPr>
              <w:instrText xml:space="preserve"> PAGEREF _Toc426559212 \h </w:instrText>
            </w:r>
            <w:r>
              <w:rPr>
                <w:noProof/>
                <w:webHidden/>
              </w:rPr>
            </w:r>
            <w:r>
              <w:rPr>
                <w:noProof/>
                <w:webHidden/>
              </w:rPr>
              <w:fldChar w:fldCharType="separate"/>
            </w:r>
            <w:r w:rsidR="00063051">
              <w:rPr>
                <w:noProof/>
                <w:webHidden/>
              </w:rPr>
              <w:t>95</w:t>
            </w:r>
            <w:r>
              <w:rPr>
                <w:noProof/>
                <w:webHidden/>
              </w:rPr>
              <w:fldChar w:fldCharType="end"/>
            </w:r>
          </w:hyperlink>
        </w:p>
        <w:p w:rsidR="0005003A" w:rsidRDefault="0005003A">
          <w:pPr>
            <w:pStyle w:val="TDC1"/>
            <w:rPr>
              <w:noProof/>
              <w:sz w:val="22"/>
              <w:szCs w:val="22"/>
            </w:rPr>
          </w:pPr>
          <w:hyperlink w:anchor="_Toc426559275" w:history="1">
            <w:r w:rsidRPr="004C5E95">
              <w:rPr>
                <w:rStyle w:val="Hipervnculo"/>
                <w:noProof/>
              </w:rPr>
              <w:t>1.4</w:t>
            </w:r>
            <w:r>
              <w:rPr>
                <w:noProof/>
                <w:sz w:val="22"/>
                <w:szCs w:val="22"/>
              </w:rPr>
              <w:tab/>
            </w:r>
            <w:r w:rsidRPr="004C5E95">
              <w:rPr>
                <w:rStyle w:val="Hipervnculo"/>
                <w:noProof/>
              </w:rPr>
              <w:t>VICEPRESIDENCIA DE PLANEACIÓN, RIESGOS Y ENTORNO</w:t>
            </w:r>
            <w:r>
              <w:rPr>
                <w:noProof/>
                <w:webHidden/>
              </w:rPr>
              <w:tab/>
            </w:r>
            <w:r>
              <w:rPr>
                <w:noProof/>
                <w:webHidden/>
              </w:rPr>
              <w:fldChar w:fldCharType="begin"/>
            </w:r>
            <w:r>
              <w:rPr>
                <w:noProof/>
                <w:webHidden/>
              </w:rPr>
              <w:instrText xml:space="preserve"> PAGEREF _Toc426559275 \h </w:instrText>
            </w:r>
            <w:r>
              <w:rPr>
                <w:noProof/>
                <w:webHidden/>
              </w:rPr>
            </w:r>
            <w:r>
              <w:rPr>
                <w:noProof/>
                <w:webHidden/>
              </w:rPr>
              <w:fldChar w:fldCharType="separate"/>
            </w:r>
            <w:r w:rsidR="00063051">
              <w:rPr>
                <w:noProof/>
                <w:webHidden/>
              </w:rPr>
              <w:t>263</w:t>
            </w:r>
            <w:r>
              <w:rPr>
                <w:noProof/>
                <w:webHidden/>
              </w:rPr>
              <w:fldChar w:fldCharType="end"/>
            </w:r>
          </w:hyperlink>
        </w:p>
        <w:p w:rsidR="0005003A" w:rsidRDefault="0005003A">
          <w:pPr>
            <w:pStyle w:val="TDC1"/>
            <w:rPr>
              <w:noProof/>
              <w:sz w:val="22"/>
              <w:szCs w:val="22"/>
            </w:rPr>
          </w:pPr>
          <w:hyperlink w:anchor="_Toc426559276" w:history="1">
            <w:r w:rsidRPr="004C5E95">
              <w:rPr>
                <w:rStyle w:val="Hipervnculo"/>
                <w:noProof/>
              </w:rPr>
              <w:t>1.5</w:t>
            </w:r>
            <w:r>
              <w:rPr>
                <w:noProof/>
                <w:sz w:val="22"/>
                <w:szCs w:val="22"/>
              </w:rPr>
              <w:tab/>
            </w:r>
            <w:r w:rsidRPr="004C5E95">
              <w:rPr>
                <w:rStyle w:val="Hipervnculo"/>
                <w:noProof/>
              </w:rPr>
              <w:t>VICEPRESIDENCIA DE ESTRUCTURACIÓN</w:t>
            </w:r>
            <w:r>
              <w:rPr>
                <w:noProof/>
                <w:webHidden/>
              </w:rPr>
              <w:tab/>
            </w:r>
            <w:r>
              <w:rPr>
                <w:noProof/>
                <w:webHidden/>
              </w:rPr>
              <w:fldChar w:fldCharType="begin"/>
            </w:r>
            <w:r>
              <w:rPr>
                <w:noProof/>
                <w:webHidden/>
              </w:rPr>
              <w:instrText xml:space="preserve"> PAGEREF _Toc426559276 \h </w:instrText>
            </w:r>
            <w:r>
              <w:rPr>
                <w:noProof/>
                <w:webHidden/>
              </w:rPr>
            </w:r>
            <w:r>
              <w:rPr>
                <w:noProof/>
                <w:webHidden/>
              </w:rPr>
              <w:fldChar w:fldCharType="separate"/>
            </w:r>
            <w:r w:rsidR="00063051">
              <w:rPr>
                <w:noProof/>
                <w:webHidden/>
              </w:rPr>
              <w:t>267</w:t>
            </w:r>
            <w:r>
              <w:rPr>
                <w:noProof/>
                <w:webHidden/>
              </w:rPr>
              <w:fldChar w:fldCharType="end"/>
            </w:r>
          </w:hyperlink>
        </w:p>
        <w:p w:rsidR="0005003A" w:rsidRDefault="0005003A">
          <w:pPr>
            <w:pStyle w:val="TDC1"/>
            <w:rPr>
              <w:noProof/>
              <w:sz w:val="22"/>
              <w:szCs w:val="22"/>
            </w:rPr>
          </w:pPr>
          <w:hyperlink w:anchor="_Toc426559277" w:history="1">
            <w:r w:rsidRPr="004C5E95">
              <w:rPr>
                <w:rStyle w:val="Hipervnculo"/>
                <w:noProof/>
              </w:rPr>
              <w:t>1.6</w:t>
            </w:r>
            <w:r>
              <w:rPr>
                <w:noProof/>
                <w:sz w:val="22"/>
                <w:szCs w:val="22"/>
              </w:rPr>
              <w:tab/>
            </w:r>
            <w:r w:rsidRPr="004C5E95">
              <w:rPr>
                <w:rStyle w:val="Hipervnculo"/>
                <w:noProof/>
              </w:rPr>
              <w:t>OFICINA DE CONTROL INTERNO</w:t>
            </w:r>
            <w:r>
              <w:rPr>
                <w:noProof/>
                <w:webHidden/>
              </w:rPr>
              <w:tab/>
            </w:r>
            <w:r>
              <w:rPr>
                <w:noProof/>
                <w:webHidden/>
              </w:rPr>
              <w:fldChar w:fldCharType="begin"/>
            </w:r>
            <w:r>
              <w:rPr>
                <w:noProof/>
                <w:webHidden/>
              </w:rPr>
              <w:instrText xml:space="preserve"> PAGEREF _Toc426559277 \h </w:instrText>
            </w:r>
            <w:r>
              <w:rPr>
                <w:noProof/>
                <w:webHidden/>
              </w:rPr>
            </w:r>
            <w:r>
              <w:rPr>
                <w:noProof/>
                <w:webHidden/>
              </w:rPr>
              <w:fldChar w:fldCharType="separate"/>
            </w:r>
            <w:r w:rsidR="00063051">
              <w:rPr>
                <w:noProof/>
                <w:webHidden/>
              </w:rPr>
              <w:t>273</w:t>
            </w:r>
            <w:r>
              <w:rPr>
                <w:noProof/>
                <w:webHidden/>
              </w:rPr>
              <w:fldChar w:fldCharType="end"/>
            </w:r>
          </w:hyperlink>
        </w:p>
        <w:p w:rsidR="0005003A" w:rsidRDefault="0005003A">
          <w:pPr>
            <w:pStyle w:val="TDC1"/>
            <w:rPr>
              <w:noProof/>
              <w:sz w:val="22"/>
              <w:szCs w:val="22"/>
            </w:rPr>
          </w:pPr>
          <w:hyperlink w:anchor="_Toc426559278" w:history="1">
            <w:r w:rsidRPr="004C5E95">
              <w:rPr>
                <w:rStyle w:val="Hipervnculo"/>
                <w:noProof/>
              </w:rPr>
              <w:t>1.7</w:t>
            </w:r>
            <w:r>
              <w:rPr>
                <w:noProof/>
                <w:sz w:val="22"/>
                <w:szCs w:val="22"/>
              </w:rPr>
              <w:tab/>
            </w:r>
            <w:r w:rsidRPr="004C5E95">
              <w:rPr>
                <w:rStyle w:val="Hipervnculo"/>
                <w:noProof/>
              </w:rPr>
              <w:t>OFICINA DE COMUNICACIONES</w:t>
            </w:r>
            <w:r>
              <w:rPr>
                <w:noProof/>
                <w:webHidden/>
              </w:rPr>
              <w:tab/>
            </w:r>
            <w:r>
              <w:rPr>
                <w:noProof/>
                <w:webHidden/>
              </w:rPr>
              <w:fldChar w:fldCharType="begin"/>
            </w:r>
            <w:r>
              <w:rPr>
                <w:noProof/>
                <w:webHidden/>
              </w:rPr>
              <w:instrText xml:space="preserve"> PAGEREF _Toc426559278 \h </w:instrText>
            </w:r>
            <w:r>
              <w:rPr>
                <w:noProof/>
                <w:webHidden/>
              </w:rPr>
            </w:r>
            <w:r>
              <w:rPr>
                <w:noProof/>
                <w:webHidden/>
              </w:rPr>
              <w:fldChar w:fldCharType="separate"/>
            </w:r>
            <w:r w:rsidR="00063051">
              <w:rPr>
                <w:noProof/>
                <w:webHidden/>
              </w:rPr>
              <w:t>276</w:t>
            </w:r>
            <w:r>
              <w:rPr>
                <w:noProof/>
                <w:webHidden/>
              </w:rPr>
              <w:fldChar w:fldCharType="end"/>
            </w:r>
          </w:hyperlink>
        </w:p>
        <w:p w:rsidR="0005003A" w:rsidRDefault="0005003A">
          <w:pPr>
            <w:pStyle w:val="TDC1"/>
            <w:rPr>
              <w:noProof/>
              <w:sz w:val="22"/>
              <w:szCs w:val="22"/>
            </w:rPr>
          </w:pPr>
          <w:hyperlink w:anchor="_Toc426559279" w:history="1">
            <w:r w:rsidRPr="004C5E95">
              <w:rPr>
                <w:rStyle w:val="Hipervnculo"/>
                <w:noProof/>
              </w:rPr>
              <w:t>2.</w:t>
            </w:r>
            <w:r>
              <w:rPr>
                <w:noProof/>
                <w:sz w:val="22"/>
                <w:szCs w:val="22"/>
              </w:rPr>
              <w:tab/>
            </w:r>
            <w:r w:rsidRPr="004C5E95">
              <w:rPr>
                <w:rStyle w:val="Hipervnculo"/>
                <w:noProof/>
              </w:rPr>
              <w:t>CONCLUSIONES</w:t>
            </w:r>
            <w:r>
              <w:rPr>
                <w:noProof/>
                <w:webHidden/>
              </w:rPr>
              <w:tab/>
            </w:r>
            <w:r>
              <w:rPr>
                <w:noProof/>
                <w:webHidden/>
              </w:rPr>
              <w:fldChar w:fldCharType="begin"/>
            </w:r>
            <w:r>
              <w:rPr>
                <w:noProof/>
                <w:webHidden/>
              </w:rPr>
              <w:instrText xml:space="preserve"> PAGEREF _Toc426559279 \h </w:instrText>
            </w:r>
            <w:r>
              <w:rPr>
                <w:noProof/>
                <w:webHidden/>
              </w:rPr>
            </w:r>
            <w:r>
              <w:rPr>
                <w:noProof/>
                <w:webHidden/>
              </w:rPr>
              <w:fldChar w:fldCharType="separate"/>
            </w:r>
            <w:r w:rsidR="00063051">
              <w:rPr>
                <w:noProof/>
                <w:webHidden/>
              </w:rPr>
              <w:t>278</w:t>
            </w:r>
            <w:r>
              <w:rPr>
                <w:noProof/>
                <w:webHidden/>
              </w:rPr>
              <w:fldChar w:fldCharType="end"/>
            </w:r>
          </w:hyperlink>
        </w:p>
        <w:p w:rsidR="009F6D8B" w:rsidRDefault="009F6D8B">
          <w:r>
            <w:rPr>
              <w:b/>
              <w:bCs/>
              <w:lang w:val="es-ES"/>
            </w:rPr>
            <w:fldChar w:fldCharType="end"/>
          </w:r>
        </w:p>
      </w:sdtContent>
    </w:sdt>
    <w:p w:rsidR="004D2A8A" w:rsidRPr="00AA404C" w:rsidRDefault="004D2A8A" w:rsidP="00AA404C">
      <w:pPr>
        <w:jc w:val="center"/>
        <w:rPr>
          <w:sz w:val="28"/>
          <w:szCs w:val="28"/>
        </w:rPr>
      </w:pPr>
    </w:p>
    <w:p w:rsidR="0016203E" w:rsidRDefault="0016203E" w:rsidP="009D6F51">
      <w:pPr>
        <w:pStyle w:val="TDC1"/>
      </w:pPr>
    </w:p>
    <w:p w:rsidR="004D2A8A" w:rsidRDefault="004D2A8A">
      <w:pPr>
        <w:rPr>
          <w:rFonts w:ascii="Arial Narrow" w:hAnsi="Arial Narrow"/>
          <w:b/>
          <w:sz w:val="32"/>
          <w:szCs w:val="32"/>
        </w:rPr>
      </w:pPr>
      <w:r>
        <w:rPr>
          <w:rFonts w:ascii="Arial Narrow" w:hAnsi="Arial Narrow"/>
          <w:b/>
        </w:rPr>
        <w:br w:type="page"/>
      </w:r>
      <w:bookmarkStart w:id="0" w:name="_GoBack"/>
      <w:bookmarkEnd w:id="0"/>
    </w:p>
    <w:p w:rsidR="00A00E24" w:rsidRPr="006B7384" w:rsidRDefault="00A00E24" w:rsidP="006B7384">
      <w:pPr>
        <w:jc w:val="both"/>
      </w:pPr>
      <w:bookmarkStart w:id="1" w:name="_Toc360176969"/>
      <w:bookmarkStart w:id="2" w:name="_Toc360177068"/>
      <w:bookmarkStart w:id="3" w:name="_Toc360177561"/>
      <w:bookmarkStart w:id="4" w:name="_Toc360177585"/>
      <w:bookmarkStart w:id="5" w:name="_Toc390088259"/>
      <w:bookmarkStart w:id="6" w:name="_Toc390088690"/>
      <w:bookmarkStart w:id="7" w:name="_Toc390089008"/>
      <w:bookmarkStart w:id="8" w:name="_Toc390089044"/>
      <w:bookmarkStart w:id="9" w:name="_Toc390089079"/>
      <w:bookmarkStart w:id="10" w:name="_Toc390089113"/>
      <w:bookmarkStart w:id="11" w:name="_Toc390089146"/>
      <w:bookmarkStart w:id="12" w:name="_Toc390089176"/>
      <w:bookmarkStart w:id="13" w:name="_Toc390089213"/>
      <w:bookmarkStart w:id="14" w:name="_Toc390089285"/>
      <w:bookmarkStart w:id="15" w:name="_Toc390331661"/>
      <w:bookmarkStart w:id="16" w:name="_Toc390333001"/>
      <w:bookmarkStart w:id="17" w:name="_Toc390333870"/>
      <w:bookmarkStart w:id="18" w:name="_Toc360176970"/>
      <w:bookmarkStart w:id="19" w:name="_Toc360177069"/>
      <w:bookmarkStart w:id="20" w:name="_Toc360177562"/>
      <w:bookmarkStart w:id="21" w:name="_Toc360177586"/>
      <w:bookmarkStart w:id="22" w:name="_Toc390088260"/>
      <w:bookmarkStart w:id="23" w:name="_Toc390088691"/>
      <w:bookmarkStart w:id="24" w:name="_Toc390089009"/>
      <w:bookmarkStart w:id="25" w:name="_Toc390089045"/>
      <w:bookmarkStart w:id="26" w:name="_Toc390089080"/>
      <w:bookmarkStart w:id="27" w:name="_Toc390089114"/>
      <w:bookmarkStart w:id="28" w:name="_Toc390089147"/>
      <w:bookmarkStart w:id="29" w:name="_Toc390089177"/>
      <w:bookmarkStart w:id="30" w:name="_Toc390089214"/>
      <w:bookmarkStart w:id="31" w:name="_Toc390089286"/>
      <w:bookmarkStart w:id="32" w:name="_Toc390331662"/>
      <w:bookmarkStart w:id="33" w:name="_Toc390333002"/>
      <w:bookmarkStart w:id="34" w:name="_Toc39033387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D74F8D" w:rsidRDefault="0045207E" w:rsidP="00DF168C">
      <w:pPr>
        <w:pStyle w:val="Ttulo1"/>
        <w:numPr>
          <w:ilvl w:val="0"/>
          <w:numId w:val="2"/>
        </w:numPr>
      </w:pPr>
      <w:bookmarkStart w:id="35" w:name="_Toc357434709"/>
      <w:bookmarkStart w:id="36" w:name="_Toc357434975"/>
      <w:bookmarkStart w:id="37" w:name="_Toc360175791"/>
      <w:bookmarkStart w:id="38" w:name="_Toc360176857"/>
      <w:bookmarkStart w:id="39" w:name="_Toc360177564"/>
      <w:bookmarkStart w:id="40" w:name="_Toc426559209"/>
      <w:r>
        <w:t>SEGUIMIENTO METAS POR DEPENDENCIA</w:t>
      </w:r>
      <w:bookmarkEnd w:id="35"/>
      <w:bookmarkEnd w:id="36"/>
      <w:bookmarkEnd w:id="37"/>
      <w:bookmarkEnd w:id="38"/>
      <w:bookmarkEnd w:id="39"/>
      <w:bookmarkEnd w:id="40"/>
    </w:p>
    <w:p w:rsidR="00EE62A7" w:rsidRDefault="00EE62A7" w:rsidP="00DF168C">
      <w:pPr>
        <w:pStyle w:val="Ttulo1"/>
        <w:numPr>
          <w:ilvl w:val="1"/>
          <w:numId w:val="2"/>
        </w:numPr>
      </w:pPr>
      <w:bookmarkStart w:id="41" w:name="_Toc357434710"/>
      <w:bookmarkStart w:id="42" w:name="_Toc357434976"/>
      <w:bookmarkStart w:id="43" w:name="_Toc360175792"/>
      <w:bookmarkStart w:id="44" w:name="_Toc360177565"/>
      <w:bookmarkStart w:id="45" w:name="_Toc426559210"/>
      <w:r>
        <w:t>VICEPRESIDENCIA ADMIN</w:t>
      </w:r>
      <w:r w:rsidR="00EB08EF">
        <w:t>I</w:t>
      </w:r>
      <w:r>
        <w:t>STRATIVA Y FINANCIERA</w:t>
      </w:r>
      <w:bookmarkEnd w:id="41"/>
      <w:bookmarkEnd w:id="42"/>
      <w:bookmarkEnd w:id="43"/>
      <w:bookmarkEnd w:id="44"/>
      <w:bookmarkEnd w:id="45"/>
    </w:p>
    <w:tbl>
      <w:tblPr>
        <w:tblW w:w="9229" w:type="dxa"/>
        <w:tblInd w:w="55" w:type="dxa"/>
        <w:tblCellMar>
          <w:left w:w="70" w:type="dxa"/>
          <w:right w:w="70" w:type="dxa"/>
        </w:tblCellMar>
        <w:tblLook w:val="04A0" w:firstRow="1" w:lastRow="0" w:firstColumn="1" w:lastColumn="0" w:noHBand="0" w:noVBand="1"/>
      </w:tblPr>
      <w:tblGrid>
        <w:gridCol w:w="5320"/>
        <w:gridCol w:w="1499"/>
        <w:gridCol w:w="1276"/>
        <w:gridCol w:w="1134"/>
      </w:tblGrid>
      <w:tr w:rsidR="00FE0227" w:rsidRPr="00FE0227" w:rsidTr="00FE0227">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ACTIVIDAD</w:t>
            </w:r>
          </w:p>
        </w:tc>
        <w:tc>
          <w:tcPr>
            <w:tcW w:w="1499" w:type="dxa"/>
            <w:tcBorders>
              <w:top w:val="single" w:sz="4" w:space="0" w:color="auto"/>
              <w:left w:val="nil"/>
              <w:bottom w:val="single" w:sz="4" w:space="0" w:color="auto"/>
              <w:right w:val="single" w:sz="4" w:space="0" w:color="auto"/>
            </w:tcBorders>
            <w:shd w:val="clear" w:color="000000" w:fill="A5A5A5"/>
            <w:vAlign w:val="center"/>
            <w:hideMark/>
          </w:tcPr>
          <w:p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UNIDAD DE MEDIDA</w:t>
            </w:r>
          </w:p>
        </w:tc>
        <w:tc>
          <w:tcPr>
            <w:tcW w:w="1276" w:type="dxa"/>
            <w:tcBorders>
              <w:top w:val="single" w:sz="4" w:space="0" w:color="auto"/>
              <w:left w:val="nil"/>
              <w:bottom w:val="single" w:sz="4" w:space="0" w:color="auto"/>
              <w:right w:val="single" w:sz="4" w:space="0" w:color="auto"/>
            </w:tcBorders>
            <w:shd w:val="clear" w:color="000000" w:fill="A5A5A5"/>
            <w:noWrap/>
            <w:vAlign w:val="center"/>
            <w:hideMark/>
          </w:tcPr>
          <w:p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META AÑO</w:t>
            </w:r>
          </w:p>
        </w:tc>
        <w:tc>
          <w:tcPr>
            <w:tcW w:w="113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FE0227" w:rsidRDefault="00FE0227" w:rsidP="00FE022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rsidR="00FE0227" w:rsidRPr="00FE0227" w:rsidRDefault="00FE0227" w:rsidP="001C4B03">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Pr="00FE0227">
              <w:rPr>
                <w:rFonts w:ascii="Calibri" w:eastAsia="Times New Roman" w:hAnsi="Calibri" w:cs="Calibri"/>
                <w:b/>
                <w:bCs/>
                <w:color w:val="000000"/>
                <w:sz w:val="20"/>
                <w:szCs w:val="20"/>
              </w:rPr>
              <w:t xml:space="preserve"> </w:t>
            </w:r>
            <w:r w:rsidR="001C4B03">
              <w:rPr>
                <w:rFonts w:ascii="Calibri" w:eastAsia="Times New Roman" w:hAnsi="Calibri" w:cs="Calibri"/>
                <w:b/>
                <w:bCs/>
                <w:color w:val="000000"/>
                <w:sz w:val="20"/>
                <w:szCs w:val="20"/>
              </w:rPr>
              <w:t>2</w:t>
            </w:r>
          </w:p>
        </w:tc>
      </w:tr>
      <w:tr w:rsidR="00FE0227" w:rsidRPr="00FE0227" w:rsidTr="001C4B03">
        <w:trPr>
          <w:trHeight w:val="445"/>
        </w:trPr>
        <w:tc>
          <w:tcPr>
            <w:tcW w:w="5320" w:type="dxa"/>
            <w:tcBorders>
              <w:top w:val="nil"/>
              <w:left w:val="single" w:sz="4" w:space="0" w:color="auto"/>
              <w:bottom w:val="single" w:sz="4" w:space="0" w:color="auto"/>
              <w:right w:val="single" w:sz="4" w:space="0" w:color="auto"/>
            </w:tcBorders>
            <w:shd w:val="clear" w:color="auto" w:fill="auto"/>
            <w:vAlign w:val="center"/>
          </w:tcPr>
          <w:p w:rsidR="00FE0227" w:rsidRPr="001C4B03" w:rsidRDefault="001C4B03" w:rsidP="001C4B03">
            <w:pPr>
              <w:rPr>
                <w:rFonts w:ascii="Calibri" w:hAnsi="Calibri" w:cs="Calibri"/>
                <w:color w:val="000000"/>
                <w:sz w:val="20"/>
                <w:szCs w:val="20"/>
              </w:rPr>
            </w:pPr>
            <w:r>
              <w:rPr>
                <w:rFonts w:ascii="Calibri" w:hAnsi="Calibri" w:cs="Calibri"/>
                <w:color w:val="000000"/>
                <w:sz w:val="20"/>
                <w:szCs w:val="20"/>
              </w:rPr>
              <w:t>Actualizar el Manual de Presupuesto</w:t>
            </w:r>
          </w:p>
        </w:tc>
        <w:tc>
          <w:tcPr>
            <w:tcW w:w="1499" w:type="dxa"/>
            <w:tcBorders>
              <w:top w:val="nil"/>
              <w:left w:val="nil"/>
              <w:bottom w:val="single" w:sz="4" w:space="0" w:color="auto"/>
              <w:right w:val="single" w:sz="4" w:space="0" w:color="auto"/>
            </w:tcBorders>
            <w:shd w:val="clear" w:color="auto" w:fill="auto"/>
            <w:vAlign w:val="center"/>
          </w:tcPr>
          <w:p w:rsidR="00FE0227" w:rsidRPr="00FE0227" w:rsidRDefault="001C4B0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Manual</w:t>
            </w:r>
          </w:p>
        </w:tc>
        <w:tc>
          <w:tcPr>
            <w:tcW w:w="1276" w:type="dxa"/>
            <w:tcBorders>
              <w:top w:val="nil"/>
              <w:left w:val="nil"/>
              <w:bottom w:val="single" w:sz="4" w:space="0" w:color="auto"/>
              <w:right w:val="single" w:sz="4" w:space="0" w:color="auto"/>
            </w:tcBorders>
            <w:shd w:val="clear" w:color="auto" w:fill="auto"/>
            <w:noWrap/>
            <w:vAlign w:val="center"/>
          </w:tcPr>
          <w:p w:rsidR="00FE0227" w:rsidRPr="00FE0227" w:rsidRDefault="001C4B0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E0227" w:rsidRPr="00FE0227" w:rsidRDefault="00C628C4"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FE0227" w:rsidRPr="00FE0227" w:rsidTr="001C4B03">
        <w:trPr>
          <w:trHeight w:val="255"/>
        </w:trPr>
        <w:tc>
          <w:tcPr>
            <w:tcW w:w="5320" w:type="dxa"/>
            <w:tcBorders>
              <w:top w:val="nil"/>
              <w:left w:val="single" w:sz="4" w:space="0" w:color="auto"/>
              <w:bottom w:val="single" w:sz="4" w:space="0" w:color="auto"/>
              <w:right w:val="single" w:sz="4" w:space="0" w:color="auto"/>
            </w:tcBorders>
            <w:shd w:val="clear" w:color="auto" w:fill="auto"/>
            <w:vAlign w:val="center"/>
          </w:tcPr>
          <w:p w:rsidR="00FE0227" w:rsidRPr="001C4B03" w:rsidRDefault="001C4B03" w:rsidP="001C4B03">
            <w:pPr>
              <w:rPr>
                <w:rFonts w:ascii="Calibri" w:hAnsi="Calibri" w:cs="Calibri"/>
                <w:color w:val="000000"/>
                <w:sz w:val="20"/>
                <w:szCs w:val="20"/>
              </w:rPr>
            </w:pPr>
            <w:r>
              <w:rPr>
                <w:rFonts w:ascii="Calibri" w:hAnsi="Calibri" w:cs="Calibri"/>
                <w:color w:val="000000"/>
                <w:sz w:val="20"/>
                <w:szCs w:val="20"/>
              </w:rPr>
              <w:t>Actualizar el Manual de Tesorería</w:t>
            </w:r>
          </w:p>
        </w:tc>
        <w:tc>
          <w:tcPr>
            <w:tcW w:w="1499" w:type="dxa"/>
            <w:tcBorders>
              <w:top w:val="nil"/>
              <w:left w:val="nil"/>
              <w:bottom w:val="single" w:sz="4" w:space="0" w:color="auto"/>
              <w:right w:val="single" w:sz="4" w:space="0" w:color="auto"/>
            </w:tcBorders>
            <w:shd w:val="clear" w:color="auto" w:fill="auto"/>
            <w:vAlign w:val="center"/>
          </w:tcPr>
          <w:p w:rsidR="00FE0227" w:rsidRPr="00FE0227" w:rsidRDefault="001C4B0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Manual</w:t>
            </w:r>
          </w:p>
        </w:tc>
        <w:tc>
          <w:tcPr>
            <w:tcW w:w="1276" w:type="dxa"/>
            <w:tcBorders>
              <w:top w:val="nil"/>
              <w:left w:val="nil"/>
              <w:bottom w:val="single" w:sz="4" w:space="0" w:color="auto"/>
              <w:right w:val="single" w:sz="4" w:space="0" w:color="auto"/>
            </w:tcBorders>
            <w:shd w:val="clear" w:color="auto" w:fill="auto"/>
            <w:noWrap/>
            <w:vAlign w:val="center"/>
          </w:tcPr>
          <w:p w:rsidR="00FE0227" w:rsidRPr="00FE0227" w:rsidRDefault="001C4B0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C628C4"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FE0227" w:rsidRPr="00FE0227" w:rsidTr="001C4B03">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E0227" w:rsidRPr="001C4B03" w:rsidRDefault="001C4B03" w:rsidP="001C4B03">
            <w:pPr>
              <w:rPr>
                <w:rFonts w:ascii="Calibri" w:hAnsi="Calibri" w:cs="Calibri"/>
                <w:color w:val="000000"/>
                <w:sz w:val="20"/>
                <w:szCs w:val="20"/>
              </w:rPr>
            </w:pPr>
            <w:r>
              <w:rPr>
                <w:rFonts w:ascii="Calibri" w:hAnsi="Calibri" w:cs="Calibri"/>
                <w:color w:val="000000"/>
                <w:sz w:val="20"/>
                <w:szCs w:val="20"/>
              </w:rPr>
              <w:t>Implementar el formato de conservación de archivos por medios electrónicos PDF/A</w:t>
            </w:r>
          </w:p>
        </w:tc>
        <w:tc>
          <w:tcPr>
            <w:tcW w:w="1499" w:type="dxa"/>
            <w:tcBorders>
              <w:top w:val="nil"/>
              <w:left w:val="nil"/>
              <w:bottom w:val="single" w:sz="4" w:space="0" w:color="auto"/>
              <w:right w:val="single" w:sz="4" w:space="0" w:color="auto"/>
            </w:tcBorders>
            <w:shd w:val="clear" w:color="auto" w:fill="auto"/>
            <w:vAlign w:val="center"/>
          </w:tcPr>
          <w:p w:rsidR="00FE0227" w:rsidRPr="00FE0227" w:rsidRDefault="001C4B0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Formato</w:t>
            </w:r>
          </w:p>
        </w:tc>
        <w:tc>
          <w:tcPr>
            <w:tcW w:w="1276" w:type="dxa"/>
            <w:tcBorders>
              <w:top w:val="nil"/>
              <w:left w:val="nil"/>
              <w:bottom w:val="single" w:sz="4" w:space="0" w:color="auto"/>
              <w:right w:val="single" w:sz="4" w:space="0" w:color="auto"/>
            </w:tcBorders>
            <w:shd w:val="clear" w:color="auto" w:fill="auto"/>
            <w:noWrap/>
            <w:vAlign w:val="center"/>
          </w:tcPr>
          <w:p w:rsidR="00FE0227" w:rsidRPr="00FE0227" w:rsidRDefault="001C4B0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C628C4"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w:t>
            </w:r>
          </w:p>
        </w:tc>
      </w:tr>
      <w:tr w:rsidR="00FE0227" w:rsidRPr="00FE0227" w:rsidTr="001C4B03">
        <w:trPr>
          <w:trHeight w:val="255"/>
        </w:trPr>
        <w:tc>
          <w:tcPr>
            <w:tcW w:w="5320" w:type="dxa"/>
            <w:tcBorders>
              <w:top w:val="nil"/>
              <w:left w:val="single" w:sz="4" w:space="0" w:color="auto"/>
              <w:bottom w:val="single" w:sz="4" w:space="0" w:color="auto"/>
              <w:right w:val="single" w:sz="4" w:space="0" w:color="auto"/>
            </w:tcBorders>
            <w:shd w:val="clear" w:color="auto" w:fill="auto"/>
            <w:vAlign w:val="center"/>
          </w:tcPr>
          <w:p w:rsidR="001C4B03" w:rsidRDefault="001C4B03" w:rsidP="001C4B03">
            <w:pPr>
              <w:rPr>
                <w:rFonts w:ascii="Calibri" w:hAnsi="Calibri" w:cs="Calibri"/>
                <w:color w:val="000000"/>
                <w:sz w:val="20"/>
                <w:szCs w:val="20"/>
              </w:rPr>
            </w:pPr>
            <w:r>
              <w:rPr>
                <w:rFonts w:ascii="Calibri" w:hAnsi="Calibri" w:cs="Calibri"/>
                <w:color w:val="000000"/>
                <w:sz w:val="20"/>
                <w:szCs w:val="20"/>
              </w:rPr>
              <w:t>Afianzamiento cultura servicio ciudadano</w:t>
            </w:r>
          </w:p>
          <w:p w:rsidR="00FE0227" w:rsidRPr="00FE0227" w:rsidRDefault="00FE0227" w:rsidP="00FE0227">
            <w:pPr>
              <w:spacing w:after="0" w:line="240" w:lineRule="auto"/>
              <w:rPr>
                <w:rFonts w:ascii="Calibri" w:eastAsia="Times New Roman" w:hAnsi="Calibri" w:cs="Calibri"/>
                <w:color w:val="000000"/>
                <w:sz w:val="20"/>
                <w:szCs w:val="20"/>
              </w:rPr>
            </w:pPr>
          </w:p>
        </w:tc>
        <w:tc>
          <w:tcPr>
            <w:tcW w:w="1499" w:type="dxa"/>
            <w:tcBorders>
              <w:top w:val="nil"/>
              <w:left w:val="nil"/>
              <w:bottom w:val="single" w:sz="4" w:space="0" w:color="auto"/>
              <w:right w:val="single" w:sz="4" w:space="0" w:color="auto"/>
            </w:tcBorders>
            <w:shd w:val="clear" w:color="auto" w:fill="auto"/>
            <w:vAlign w:val="center"/>
          </w:tcPr>
          <w:p w:rsidR="00FE0227" w:rsidRPr="00FE0227" w:rsidRDefault="001C4B0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Charlas de Capacitación</w:t>
            </w:r>
          </w:p>
        </w:tc>
        <w:tc>
          <w:tcPr>
            <w:tcW w:w="1276" w:type="dxa"/>
            <w:tcBorders>
              <w:top w:val="nil"/>
              <w:left w:val="nil"/>
              <w:bottom w:val="single" w:sz="4" w:space="0" w:color="auto"/>
              <w:right w:val="single" w:sz="4" w:space="0" w:color="auto"/>
            </w:tcBorders>
            <w:shd w:val="clear" w:color="auto" w:fill="auto"/>
            <w:noWrap/>
            <w:vAlign w:val="center"/>
          </w:tcPr>
          <w:p w:rsidR="00FE0227" w:rsidRPr="00FE0227" w:rsidRDefault="001C4B0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c>
          <w:tcPr>
            <w:tcW w:w="1134" w:type="dxa"/>
            <w:tcBorders>
              <w:top w:val="nil"/>
              <w:left w:val="nil"/>
              <w:bottom w:val="single" w:sz="4" w:space="0" w:color="auto"/>
              <w:right w:val="single" w:sz="4" w:space="0" w:color="auto"/>
            </w:tcBorders>
            <w:shd w:val="clear" w:color="auto" w:fill="auto"/>
            <w:noWrap/>
            <w:vAlign w:val="center"/>
          </w:tcPr>
          <w:p w:rsidR="00FE0227" w:rsidRPr="00FE0227" w:rsidRDefault="00C628C4"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r>
      <w:tr w:rsidR="00FE0227" w:rsidRPr="00FE0227" w:rsidTr="001C4B03">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E0227" w:rsidRPr="001C4B03" w:rsidRDefault="001C4B03" w:rsidP="001C4B03">
            <w:pPr>
              <w:rPr>
                <w:rFonts w:ascii="Calibri" w:hAnsi="Calibri" w:cs="Calibri"/>
                <w:color w:val="000000"/>
                <w:sz w:val="20"/>
                <w:szCs w:val="20"/>
              </w:rPr>
            </w:pPr>
            <w:r>
              <w:rPr>
                <w:rFonts w:ascii="Calibri" w:hAnsi="Calibri" w:cs="Calibri"/>
                <w:color w:val="000000"/>
                <w:sz w:val="20"/>
                <w:szCs w:val="20"/>
              </w:rPr>
              <w:t>Diseñar PIC de acuerdo con necesidades de la entidad</w:t>
            </w:r>
          </w:p>
        </w:tc>
        <w:tc>
          <w:tcPr>
            <w:tcW w:w="1499" w:type="dxa"/>
            <w:tcBorders>
              <w:top w:val="nil"/>
              <w:left w:val="nil"/>
              <w:bottom w:val="single" w:sz="4" w:space="0" w:color="auto"/>
              <w:right w:val="single" w:sz="4" w:space="0" w:color="auto"/>
            </w:tcBorders>
            <w:shd w:val="clear" w:color="auto" w:fill="auto"/>
            <w:vAlign w:val="center"/>
          </w:tcPr>
          <w:p w:rsidR="00FE0227" w:rsidRPr="00FE0227" w:rsidRDefault="00C628C4"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PIC diseñado</w:t>
            </w:r>
          </w:p>
        </w:tc>
        <w:tc>
          <w:tcPr>
            <w:tcW w:w="1276" w:type="dxa"/>
            <w:tcBorders>
              <w:top w:val="nil"/>
              <w:left w:val="nil"/>
              <w:bottom w:val="single" w:sz="4" w:space="0" w:color="auto"/>
              <w:right w:val="single" w:sz="4" w:space="0" w:color="auto"/>
            </w:tcBorders>
            <w:shd w:val="clear" w:color="auto" w:fill="auto"/>
            <w:noWrap/>
            <w:vAlign w:val="center"/>
          </w:tcPr>
          <w:p w:rsidR="00FE0227" w:rsidRPr="00FE0227" w:rsidRDefault="00C628C4"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rsidR="001215C8" w:rsidRPr="00FE0227" w:rsidRDefault="00C628C4"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bl>
    <w:p w:rsidR="00EE62A7" w:rsidRDefault="00EE62A7" w:rsidP="00CF0E68">
      <w:pPr>
        <w:jc w:val="both"/>
        <w:rPr>
          <w:rFonts w:ascii="Arial Narrow" w:hAnsi="Arial Narrow"/>
          <w:b/>
        </w:rPr>
      </w:pPr>
    </w:p>
    <w:p w:rsidR="00CF0E68" w:rsidRDefault="00CF0E68" w:rsidP="00CF0E68">
      <w:pPr>
        <w:jc w:val="both"/>
      </w:pPr>
      <w:r w:rsidRPr="00E4001F">
        <w:t xml:space="preserve">Durante el </w:t>
      </w:r>
      <w:r w:rsidR="00C628C4">
        <w:t xml:space="preserve">Segundo </w:t>
      </w:r>
      <w:r w:rsidRPr="00E4001F">
        <w:t xml:space="preserve">trimestre, la </w:t>
      </w:r>
      <w:r w:rsidR="00CC3514">
        <w:t>V</w:t>
      </w:r>
      <w:r w:rsidRPr="00E4001F">
        <w:t>icepresidencia Administrativa y Financiera desarrolló las actividades, planes y programas esta</w:t>
      </w:r>
      <w:r w:rsidR="00F95D7B" w:rsidRPr="00E4001F">
        <w:t>blecidos para esta dependencia; cada uno de los grupos que la componen llevaron a cabo las actividades necesarias pare el cumplimiento de las mismas, a continuación se presenta un resumen por Grupos, así:</w:t>
      </w:r>
    </w:p>
    <w:p w:rsidR="00FB5B0A" w:rsidRPr="00452DEF" w:rsidRDefault="00FB5B0A" w:rsidP="0086211C">
      <w:pPr>
        <w:rPr>
          <w:b/>
          <w:color w:val="00B0F0"/>
          <w:sz w:val="26"/>
          <w:szCs w:val="26"/>
        </w:rPr>
      </w:pPr>
      <w:bookmarkStart w:id="46" w:name="_Toc357434711"/>
      <w:r w:rsidRPr="0086211C">
        <w:rPr>
          <w:b/>
          <w:color w:val="00B0F0"/>
          <w:sz w:val="26"/>
          <w:szCs w:val="26"/>
        </w:rPr>
        <w:t xml:space="preserve">Grupo Interno de Trabajo de </w:t>
      </w:r>
      <w:r w:rsidR="008F227B" w:rsidRPr="0086211C">
        <w:rPr>
          <w:b/>
          <w:color w:val="00B0F0"/>
          <w:sz w:val="26"/>
          <w:szCs w:val="26"/>
        </w:rPr>
        <w:t>Administrativo</w:t>
      </w:r>
      <w:bookmarkEnd w:id="46"/>
    </w:p>
    <w:p w:rsidR="00C628C4" w:rsidRPr="00C628C4" w:rsidRDefault="00C628C4" w:rsidP="00C628C4">
      <w:pPr>
        <w:rPr>
          <w:rFonts w:ascii="Calibri" w:hAnsi="Calibri" w:cs="Calibri"/>
          <w:b/>
          <w:u w:val="single"/>
          <w:lang w:val="es-ES"/>
        </w:rPr>
      </w:pPr>
      <w:r w:rsidRPr="00C628C4">
        <w:rPr>
          <w:rFonts w:ascii="Calibri" w:hAnsi="Calibri" w:cs="Calibri"/>
          <w:b/>
          <w:lang w:val="es-ES"/>
        </w:rPr>
        <w:t>ARCHIVO Y CORRESPONDENCIA</w:t>
      </w:r>
    </w:p>
    <w:p w:rsidR="00C628C4" w:rsidRPr="00C628C4" w:rsidRDefault="00C628C4" w:rsidP="00C628C4">
      <w:pPr>
        <w:jc w:val="both"/>
        <w:rPr>
          <w:rFonts w:ascii="Calibri" w:hAnsi="Calibri" w:cs="Calibri"/>
          <w:lang w:val="es-ES"/>
        </w:rPr>
      </w:pPr>
      <w:r w:rsidRPr="00C628C4">
        <w:rPr>
          <w:rFonts w:ascii="Calibri" w:hAnsi="Calibri" w:cs="Calibri"/>
          <w:lang w:val="es-ES"/>
        </w:rPr>
        <w:t>En materia de archivo y correspondencia se ha venido realizando una labor continua y permanente para el desarrollo de permisos en línea, radicación y seguimiento de documentos para el cliente interno y externo con la  consolidación de las tecnologías de la información y comunicación como un hábito y el refuerzo de la firma digital.</w:t>
      </w:r>
      <w:r w:rsidRPr="00C628C4">
        <w:rPr>
          <w:rFonts w:ascii="Calibri" w:hAnsi="Calibri" w:cs="Calibri"/>
          <w:b/>
          <w:bCs/>
          <w:color w:val="000000"/>
        </w:rPr>
        <w:t xml:space="preserve"> </w:t>
      </w:r>
    </w:p>
    <w:p w:rsidR="00C628C4" w:rsidRPr="00C628C4" w:rsidRDefault="00C628C4" w:rsidP="00C628C4">
      <w:pPr>
        <w:jc w:val="both"/>
        <w:rPr>
          <w:rFonts w:ascii="Calibri" w:hAnsi="Calibri" w:cs="Calibri"/>
          <w:b/>
          <w:lang w:val="es-ES"/>
        </w:rPr>
      </w:pPr>
      <w:r w:rsidRPr="00C628C4">
        <w:rPr>
          <w:rFonts w:ascii="Calibri" w:hAnsi="Calibri" w:cs="Calibri"/>
          <w:b/>
          <w:lang w:val="es-ES"/>
        </w:rPr>
        <w:t>CONTABILIDAD</w:t>
      </w:r>
    </w:p>
    <w:p w:rsidR="00C628C4" w:rsidRPr="00C628C4" w:rsidRDefault="00C628C4" w:rsidP="00C628C4">
      <w:pPr>
        <w:jc w:val="both"/>
        <w:rPr>
          <w:rFonts w:ascii="Calibri" w:hAnsi="Calibri" w:cs="Calibri"/>
          <w:lang w:val="es-ES"/>
        </w:rPr>
      </w:pPr>
      <w:r w:rsidRPr="00C628C4">
        <w:rPr>
          <w:rFonts w:ascii="Calibri" w:hAnsi="Calibri" w:cs="Calibri"/>
          <w:lang w:val="es-ES"/>
        </w:rPr>
        <w:t>Se han realizado todos los registros contables relacionados con la información financiera, económica y social de la Agencia correspondiente al segundo trimestre de 2015 y mensualmente se han realizado los cierres contables con toda la información recibida de las diferentes dependencias de la Entidad, concesionarios e interventorías. Igualmente se han elaborados los balances y Estados de Resultados mensuales los cuales están publicados en la página Web de la Entidad y se han remitidos los informes pertinentes a los entes de control en las fechas establecidas.</w:t>
      </w:r>
    </w:p>
    <w:p w:rsidR="00C628C4" w:rsidRPr="00C628C4" w:rsidRDefault="00C628C4" w:rsidP="00C628C4">
      <w:pPr>
        <w:jc w:val="both"/>
        <w:rPr>
          <w:rFonts w:ascii="Calibri" w:hAnsi="Calibri" w:cs="Calibri"/>
          <w:lang w:val="es-ES"/>
        </w:rPr>
      </w:pPr>
      <w:r w:rsidRPr="00C628C4">
        <w:rPr>
          <w:rFonts w:ascii="Calibri" w:hAnsi="Calibri" w:cs="Calibri"/>
          <w:lang w:val="es-ES"/>
        </w:rPr>
        <w:lastRenderedPageBreak/>
        <w:t>Compilación, revisión  y análisis de documentos conducentes a lograr la conciliación de saldos de inventarios iniciales de concesiones portuarias entre INVIAS y la ANI, obteniendo como resultado matriz remitida a INVIAS y cuadro comparativo a corte junio 30 de 2015.</w:t>
      </w:r>
    </w:p>
    <w:p w:rsidR="00C628C4" w:rsidRPr="00C628C4" w:rsidRDefault="00C628C4" w:rsidP="00C628C4">
      <w:pPr>
        <w:jc w:val="both"/>
        <w:rPr>
          <w:rFonts w:ascii="Calibri" w:hAnsi="Calibri" w:cs="Calibri"/>
          <w:lang w:val="es-ES"/>
        </w:rPr>
      </w:pPr>
      <w:r w:rsidRPr="00C628C4">
        <w:rPr>
          <w:rFonts w:ascii="Calibri" w:hAnsi="Calibri" w:cs="Calibri"/>
          <w:lang w:val="es-ES"/>
        </w:rPr>
        <w:t>Proceso de identificación y depuración de saldos contables para conciliación de partidas contables antes de cada cierre mensual.</w:t>
      </w:r>
      <w:r>
        <w:rPr>
          <w:rFonts w:ascii="Calibri" w:hAnsi="Calibri" w:cs="Calibri"/>
          <w:lang w:val="es-ES"/>
        </w:rPr>
        <w:t xml:space="preserve"> </w:t>
      </w:r>
      <w:r w:rsidRPr="00C628C4">
        <w:rPr>
          <w:rFonts w:ascii="Calibri" w:hAnsi="Calibri" w:cs="Calibri"/>
          <w:lang w:val="es-ES"/>
        </w:rPr>
        <w:t>Revisión de operaciones reciprocas con periodicidad trimestral, seguimiento y concertación de los saldos correspondientes. Se elaboraron los planes de mejoramiento para las acciones preventivas y correctivas de los hallazgos de la Contraloría General de la República a los estados financieros de la vigencia 2014.</w:t>
      </w:r>
    </w:p>
    <w:p w:rsidR="00C628C4" w:rsidRPr="00C628C4" w:rsidRDefault="00C628C4" w:rsidP="00C628C4">
      <w:pPr>
        <w:jc w:val="both"/>
        <w:rPr>
          <w:rFonts w:ascii="Calibri" w:hAnsi="Calibri" w:cs="Calibri"/>
          <w:b/>
          <w:lang w:val="es-ES"/>
        </w:rPr>
      </w:pPr>
      <w:r w:rsidRPr="00C628C4">
        <w:rPr>
          <w:rFonts w:ascii="Calibri" w:hAnsi="Calibri" w:cs="Calibri"/>
          <w:b/>
          <w:lang w:val="es-ES"/>
        </w:rPr>
        <w:t>SERVICIOS GENERALES</w:t>
      </w:r>
    </w:p>
    <w:p w:rsidR="00C628C4" w:rsidRPr="00C628C4" w:rsidRDefault="00C628C4" w:rsidP="00C628C4">
      <w:pPr>
        <w:jc w:val="both"/>
        <w:rPr>
          <w:rFonts w:ascii="Calibri" w:hAnsi="Calibri" w:cs="Calibri"/>
          <w:lang w:val="es-ES"/>
        </w:rPr>
      </w:pPr>
      <w:r w:rsidRPr="00C628C4">
        <w:rPr>
          <w:rFonts w:ascii="Calibri" w:hAnsi="Calibri" w:cs="Calibri"/>
          <w:lang w:val="es-ES"/>
        </w:rPr>
        <w:t>Contratos de aseo, papelería, mantenimiento de instalaciones y zonas comunes, vehículos, grabaciones de audiencias, expedición de pólizas de cobertura y cumplimiento de funcionarios, fotocopias, suscripciones y vigilancia.</w:t>
      </w:r>
    </w:p>
    <w:p w:rsidR="00C628C4" w:rsidRPr="00C628C4" w:rsidRDefault="00C628C4" w:rsidP="00C628C4">
      <w:pPr>
        <w:jc w:val="both"/>
        <w:rPr>
          <w:rFonts w:ascii="Calibri" w:hAnsi="Calibri" w:cs="Calibri"/>
          <w:b/>
          <w:lang w:val="es-ES"/>
        </w:rPr>
      </w:pPr>
      <w:r w:rsidRPr="00C628C4">
        <w:rPr>
          <w:rFonts w:ascii="Calibri" w:hAnsi="Calibri" w:cs="Calibri"/>
          <w:b/>
          <w:lang w:val="es-ES"/>
        </w:rPr>
        <w:t>PRESUPUESTO</w:t>
      </w:r>
    </w:p>
    <w:p w:rsidR="00C628C4" w:rsidRPr="00C628C4" w:rsidRDefault="00C628C4" w:rsidP="00C628C4">
      <w:pPr>
        <w:jc w:val="both"/>
        <w:rPr>
          <w:rFonts w:ascii="Calibri" w:hAnsi="Calibri" w:cs="Calibri"/>
          <w:lang w:val="es-ES"/>
        </w:rPr>
      </w:pPr>
      <w:r w:rsidRPr="00C628C4">
        <w:rPr>
          <w:rFonts w:ascii="Calibri" w:hAnsi="Calibri" w:cs="Calibri"/>
          <w:lang w:val="es-ES"/>
        </w:rPr>
        <w:t xml:space="preserve">El Área de Presupuesto durante el primer y segundo trimestre de la vigencia 2015 ha expedido 908 Certificados de Disponibilidad Presupuestal –CDP-, 1.576 Registros Presupuestales y se han tramitado para pago 2.125 entre cumplidos, ordenación de pago y facturas de concesionarios, contratistas y proveedores. </w:t>
      </w:r>
    </w:p>
    <w:p w:rsidR="00C628C4" w:rsidRPr="00C628C4" w:rsidRDefault="00C628C4" w:rsidP="00C628C4">
      <w:pPr>
        <w:jc w:val="both"/>
        <w:rPr>
          <w:rFonts w:ascii="Calibri" w:hAnsi="Calibri" w:cs="Calibri"/>
          <w:lang w:val="es-ES"/>
        </w:rPr>
      </w:pPr>
      <w:r w:rsidRPr="00C628C4">
        <w:rPr>
          <w:rFonts w:ascii="Calibri" w:hAnsi="Calibri" w:cs="Calibri"/>
          <w:lang w:val="es-ES"/>
        </w:rPr>
        <w:t xml:space="preserve">Así mismo, se han realizado diez (10) traslados presupuestales de los cuales nueve (9) no modifican los rubros del Decreto de Liquidación (traslados internos) y corresponden al Presupuesto de Gastos de Funcionamiento y uno (1) que modifica los rubros del Decreto de Liquidación en lo concerniente al Presupuesto de Gastos de Inversión, se encuentra reflejado en el Acuerdo No. 002 del 24 de abril de 2015 aprobado por la Dirección General del Presupuesto Público Nacional del Ministerio de Hacienda y Crédito Público. </w:t>
      </w:r>
    </w:p>
    <w:p w:rsidR="00C628C4" w:rsidRPr="00C628C4" w:rsidRDefault="00C628C4" w:rsidP="00C628C4">
      <w:pPr>
        <w:jc w:val="both"/>
        <w:rPr>
          <w:rFonts w:ascii="Calibri" w:hAnsi="Calibri" w:cs="Calibri"/>
          <w:lang w:val="es-ES"/>
        </w:rPr>
      </w:pPr>
      <w:r w:rsidRPr="00C628C4">
        <w:rPr>
          <w:rFonts w:ascii="Calibri" w:hAnsi="Calibri" w:cs="Calibri"/>
          <w:lang w:val="es-ES"/>
        </w:rPr>
        <w:t xml:space="preserve">Como parte de las funciones de esta Área se ha realizado mes a mes la revisión y seguimiento al presupuesto de la entidad y se han generado los correspondientes Informes de Ejecución Presupuestal de Ingresos, Gastos Vigencia y Gastos Reservas y Cuentas por Pagar.  De igual manera, al cierre de cada trimestre se envía a las diferentes dependencias el listado de CDP, registros presupuestales y reservas con saldo, en lo de su competencia, como parte del seguimiento y control que ejerce esta Área sobre el Presupuesto asignado a la entidad.  </w:t>
      </w:r>
    </w:p>
    <w:p w:rsidR="00C628C4" w:rsidRPr="00C628C4" w:rsidRDefault="00C628C4" w:rsidP="00C628C4">
      <w:pPr>
        <w:jc w:val="both"/>
        <w:rPr>
          <w:rFonts w:ascii="Calibri" w:hAnsi="Calibri" w:cs="Calibri"/>
          <w:lang w:val="es-ES"/>
        </w:rPr>
      </w:pPr>
      <w:r w:rsidRPr="00C628C4">
        <w:rPr>
          <w:rFonts w:ascii="Calibri" w:hAnsi="Calibri" w:cs="Calibri"/>
          <w:lang w:val="es-ES"/>
        </w:rPr>
        <w:t>Por otra parte, se remitió al Grupo Interno de Trabajo de Planeación de la Vicepresidencia de Planeación, Riesgos y Entorno el anteproyecto de presupuesto de gastos de funcionamiento de la vigencia 2016.</w:t>
      </w:r>
    </w:p>
    <w:p w:rsidR="00EF7B3A" w:rsidRPr="00B23476" w:rsidRDefault="00EF7B3A" w:rsidP="0086211C">
      <w:pPr>
        <w:rPr>
          <w:b/>
          <w:color w:val="00B0F0"/>
          <w:sz w:val="26"/>
          <w:szCs w:val="26"/>
        </w:rPr>
      </w:pPr>
      <w:bookmarkStart w:id="47" w:name="_Toc357434712"/>
      <w:r w:rsidRPr="0086211C">
        <w:rPr>
          <w:b/>
          <w:color w:val="00B0F0"/>
          <w:sz w:val="26"/>
          <w:szCs w:val="26"/>
        </w:rPr>
        <w:t>Grupo Interno de Recurso Humano</w:t>
      </w:r>
      <w:bookmarkEnd w:id="47"/>
    </w:p>
    <w:p w:rsidR="00C628C4" w:rsidRPr="00C628C4" w:rsidRDefault="00C628C4" w:rsidP="00C628C4">
      <w:pPr>
        <w:spacing w:line="240" w:lineRule="auto"/>
        <w:jc w:val="both"/>
        <w:rPr>
          <w:rFonts w:ascii="Calibri" w:hAnsi="Calibri" w:cs="Calibri"/>
          <w:lang w:val="es-ES"/>
        </w:rPr>
      </w:pPr>
      <w:bookmarkStart w:id="48" w:name="_Toc357434713"/>
      <w:r w:rsidRPr="00C628C4">
        <w:rPr>
          <w:rFonts w:ascii="Calibri" w:hAnsi="Calibri" w:cs="Calibri"/>
          <w:lang w:val="es-ES"/>
        </w:rPr>
        <w:t xml:space="preserve">Actividades desplegadas en el proceso de construcción de ambientes de bienestar: Celebración Día de la Secretaria, vacaciones recreativas para hijos de funcionarios, campañas de promoción y </w:t>
      </w:r>
      <w:r w:rsidRPr="00C628C4">
        <w:rPr>
          <w:rFonts w:ascii="Calibri" w:hAnsi="Calibri" w:cs="Calibri"/>
          <w:lang w:val="es-ES"/>
        </w:rPr>
        <w:lastRenderedPageBreak/>
        <w:t>prevención de la salud visual, pausas activas, ergonomía en el trabajo, hábitos nutricionales, autoestima, brigadas de emergencia, promoción de servicios bancarios, vivienda, medicina pre pagada, seguros de vida; programas de capacitación: diseño plan institucional de capacitación y de la UNIANI.</w:t>
      </w:r>
    </w:p>
    <w:p w:rsidR="00F63DA0" w:rsidRPr="007D5991" w:rsidRDefault="00F63DA0" w:rsidP="0086211C">
      <w:pPr>
        <w:rPr>
          <w:color w:val="00B0F0"/>
        </w:rPr>
      </w:pPr>
      <w:r w:rsidRPr="0086211C">
        <w:rPr>
          <w:b/>
          <w:color w:val="00B0F0"/>
          <w:sz w:val="26"/>
          <w:szCs w:val="26"/>
        </w:rPr>
        <w:t>Grupo Interno de Trabajo de Control Interno Disciplinario y Atención al Ciudadano</w:t>
      </w:r>
      <w:bookmarkEnd w:id="48"/>
    </w:p>
    <w:p w:rsidR="00E105A9" w:rsidRPr="00E105A9" w:rsidRDefault="00E105A9" w:rsidP="00E105A9">
      <w:pPr>
        <w:jc w:val="both"/>
        <w:rPr>
          <w:rFonts w:ascii="Calibri" w:hAnsi="Calibri" w:cs="Calibri"/>
          <w:lang w:val="es-ES"/>
        </w:rPr>
      </w:pPr>
      <w:r w:rsidRPr="00E105A9">
        <w:rPr>
          <w:rFonts w:ascii="Calibri" w:hAnsi="Calibri" w:cs="Calibri"/>
          <w:lang w:val="es-ES"/>
        </w:rPr>
        <w:t>En materia disciplinaria el compromiso estatuido es la presentación de un informe trimestral ante la Gerencia de Planeación de la Agencia Nacional de Infraestructura, para completar en el año un total de cuatro (4) informes, de manera que el segundo (2) de ellos se presentó en el mes de Junio.</w:t>
      </w:r>
    </w:p>
    <w:p w:rsidR="00E105A9" w:rsidRPr="00E105A9" w:rsidRDefault="00E105A9" w:rsidP="00E105A9">
      <w:pPr>
        <w:jc w:val="both"/>
        <w:rPr>
          <w:rFonts w:ascii="Calibri" w:hAnsi="Calibri" w:cs="Calibri"/>
          <w:lang w:val="es-ES"/>
        </w:rPr>
      </w:pPr>
      <w:r w:rsidRPr="00E105A9">
        <w:rPr>
          <w:rFonts w:ascii="Calibri" w:hAnsi="Calibri" w:cs="Calibri"/>
          <w:lang w:val="es-ES"/>
        </w:rPr>
        <w:t>Frente a las acciones planteadas por Atención al Ciudadano, si bien se estandarizó un total de dos (2) durante la presente vigencia, para este segundo trimestre se tiene que:</w:t>
      </w:r>
    </w:p>
    <w:p w:rsidR="00E105A9" w:rsidRPr="00E105A9" w:rsidRDefault="00E105A9" w:rsidP="00E105A9">
      <w:pPr>
        <w:jc w:val="both"/>
        <w:rPr>
          <w:rFonts w:ascii="Calibri" w:hAnsi="Calibri" w:cs="Calibri"/>
          <w:lang w:val="es-ES"/>
        </w:rPr>
      </w:pPr>
      <w:r w:rsidRPr="00E105A9">
        <w:rPr>
          <w:rFonts w:ascii="Calibri" w:hAnsi="Calibri" w:cs="Calibri"/>
          <w:lang w:val="es-ES"/>
        </w:rPr>
        <w:t>La encuesta realizada espontáneamente por los ciudadanos vía Web consolidó lo percibido por ocho (8) de ellos, arrojando una ponderación de 75% para respuesta no oportuna,  no clara, incompleta (completo), no de fondo (de fondo) y sin notificar calificada uno (1); y 25% para respuesta oportuna, (no) claro, no completa o de fondo y notificada, calificada dos (2). Sin embargo, efectuado el seguimiento a cada radicado pudo evidenciarse circunstancias como: No contemplar radicados correctos, es decir, pertenecientes a la ANI; calificar negativamente no por falta de respuesta sino por enviar las comunicaciones de la ANI a otra dirección suministrada por el peticionario diferente a la de Bogotá, pese a que aún está en trámite su solicitud de permiso de intervención, cinco (5) radicados no son de la ANI y aun así nos calificaron negativamente como si no hubiese mediado gestión alguna por la entidad.</w:t>
      </w:r>
    </w:p>
    <w:p w:rsidR="00E105A9" w:rsidRPr="00E105A9" w:rsidRDefault="00E105A9" w:rsidP="00E105A9">
      <w:pPr>
        <w:jc w:val="both"/>
        <w:rPr>
          <w:rFonts w:ascii="Calibri" w:hAnsi="Calibri" w:cs="Calibri"/>
          <w:lang w:val="es-ES"/>
        </w:rPr>
      </w:pPr>
      <w:r w:rsidRPr="00E105A9">
        <w:rPr>
          <w:rFonts w:ascii="Calibri" w:hAnsi="Calibri" w:cs="Calibri"/>
          <w:lang w:val="es-ES"/>
        </w:rPr>
        <w:t>Estos no son elementos contundentes para la estandarización porcentual que se expone, máxime cuando únicamente en un (1) evento se dio la falta oportuna de respuesta.</w:t>
      </w:r>
    </w:p>
    <w:p w:rsidR="00E105A9" w:rsidRDefault="00E105A9" w:rsidP="00E105A9">
      <w:pPr>
        <w:jc w:val="center"/>
        <w:rPr>
          <w:rFonts w:ascii="Calibri" w:hAnsi="Calibri" w:cs="Arial"/>
          <w:color w:val="002060"/>
          <w:sz w:val="24"/>
          <w:szCs w:val="24"/>
          <w:lang w:val="es-ES"/>
        </w:rPr>
      </w:pPr>
      <w:r>
        <w:rPr>
          <w:noProof/>
        </w:rPr>
        <w:drawing>
          <wp:inline distT="0" distB="0" distL="0" distR="0" wp14:anchorId="5397F0EB" wp14:editId="07025705">
            <wp:extent cx="3895726" cy="2071687"/>
            <wp:effectExtent l="0" t="0" r="9525" b="5080"/>
            <wp:docPr id="67" name="Gráfico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105A9" w:rsidRPr="00E105A9" w:rsidRDefault="00E105A9" w:rsidP="00E105A9">
      <w:pPr>
        <w:jc w:val="both"/>
        <w:rPr>
          <w:rFonts w:ascii="Calibri" w:hAnsi="Calibri" w:cs="Calibri"/>
          <w:lang w:val="es-ES"/>
        </w:rPr>
      </w:pPr>
      <w:r w:rsidRPr="00E105A9">
        <w:rPr>
          <w:rFonts w:ascii="Calibri" w:hAnsi="Calibri" w:cs="Calibri"/>
          <w:lang w:val="es-ES"/>
        </w:rPr>
        <w:t xml:space="preserve">Las encuestas de percepción por Atención Directa al Público, durante el periodo comprendido entre el primero (1) de abril y el treinta (30) de junio de 2015, recibidas a través de las personas de recepción, ascienden a veinte dos (22), de ellas se concluye este comportamiento: </w:t>
      </w:r>
    </w:p>
    <w:tbl>
      <w:tblPr>
        <w:tblpPr w:leftFromText="141" w:rightFromText="141" w:vertAnchor="text" w:horzAnchor="margin" w:tblpXSpec="center" w:tblpY="365"/>
        <w:tblW w:w="6384" w:type="dxa"/>
        <w:tblCellMar>
          <w:left w:w="70" w:type="dxa"/>
          <w:right w:w="70" w:type="dxa"/>
        </w:tblCellMar>
        <w:tblLook w:val="04A0" w:firstRow="1" w:lastRow="0" w:firstColumn="1" w:lastColumn="0" w:noHBand="0" w:noVBand="1"/>
      </w:tblPr>
      <w:tblGrid>
        <w:gridCol w:w="3315"/>
        <w:gridCol w:w="2348"/>
        <w:gridCol w:w="721"/>
      </w:tblGrid>
      <w:tr w:rsidR="00E105A9" w:rsidRPr="00457CEB" w:rsidTr="00E105A9">
        <w:trPr>
          <w:trHeight w:val="835"/>
        </w:trPr>
        <w:tc>
          <w:tcPr>
            <w:tcW w:w="63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E105A9" w:rsidRPr="00457CEB" w:rsidRDefault="00E105A9" w:rsidP="00E105A9">
            <w:pPr>
              <w:spacing w:after="0" w:line="240" w:lineRule="auto"/>
              <w:jc w:val="both"/>
              <w:rPr>
                <w:rFonts w:ascii="Calibri" w:eastAsia="Times New Roman" w:hAnsi="Calibri" w:cs="Times New Roman"/>
                <w:b/>
                <w:color w:val="000000"/>
              </w:rPr>
            </w:pPr>
            <w:r w:rsidRPr="00457CEB">
              <w:rPr>
                <w:rFonts w:ascii="Calibri" w:eastAsia="Times New Roman" w:hAnsi="Calibri" w:cs="Times New Roman"/>
                <w:b/>
                <w:color w:val="F33F07"/>
              </w:rPr>
              <w:lastRenderedPageBreak/>
              <w:t>PERCEPCIÓN ATENCIÓN DIRECTA AL PÚBLICO</w:t>
            </w:r>
          </w:p>
        </w:tc>
      </w:tr>
      <w:tr w:rsidR="00E105A9" w:rsidRPr="00457CEB" w:rsidTr="00E105A9">
        <w:trPr>
          <w:trHeight w:val="720"/>
        </w:trPr>
        <w:tc>
          <w:tcPr>
            <w:tcW w:w="3315" w:type="dxa"/>
            <w:tcBorders>
              <w:top w:val="nil"/>
              <w:left w:val="single" w:sz="4" w:space="0" w:color="auto"/>
              <w:bottom w:val="single" w:sz="4" w:space="0" w:color="auto"/>
              <w:right w:val="single" w:sz="4" w:space="0" w:color="auto"/>
            </w:tcBorders>
            <w:shd w:val="clear" w:color="auto" w:fill="auto"/>
            <w:vAlign w:val="bottom"/>
            <w:hideMark/>
          </w:tcPr>
          <w:p w:rsidR="00E105A9" w:rsidRPr="00457CEB" w:rsidRDefault="00E105A9" w:rsidP="00E105A9">
            <w:pPr>
              <w:spacing w:after="0" w:line="240" w:lineRule="auto"/>
              <w:jc w:val="both"/>
              <w:rPr>
                <w:rFonts w:ascii="Calibri" w:eastAsia="Times New Roman" w:hAnsi="Calibri" w:cs="Times New Roman"/>
                <w:b/>
                <w:color w:val="000000"/>
              </w:rPr>
            </w:pPr>
            <w:r w:rsidRPr="00457CEB">
              <w:rPr>
                <w:rFonts w:ascii="Calibri" w:eastAsia="Times New Roman" w:hAnsi="Calibri" w:cs="Times New Roman"/>
                <w:b/>
                <w:color w:val="002060"/>
              </w:rPr>
              <w:t>PERCIBE ATENCIÓN CLARA OPORTUNA Y COMPLETA</w:t>
            </w:r>
          </w:p>
        </w:tc>
        <w:tc>
          <w:tcPr>
            <w:tcW w:w="2348" w:type="dxa"/>
            <w:tcBorders>
              <w:top w:val="single" w:sz="4" w:space="0" w:color="auto"/>
              <w:left w:val="nil"/>
              <w:bottom w:val="single" w:sz="4" w:space="0" w:color="auto"/>
              <w:right w:val="single" w:sz="4" w:space="0" w:color="000000"/>
            </w:tcBorders>
            <w:shd w:val="clear" w:color="auto" w:fill="auto"/>
            <w:vAlign w:val="bottom"/>
            <w:hideMark/>
          </w:tcPr>
          <w:p w:rsidR="00E105A9" w:rsidRPr="00457CEB" w:rsidRDefault="00E105A9" w:rsidP="00E105A9">
            <w:pPr>
              <w:spacing w:after="0" w:line="240" w:lineRule="auto"/>
              <w:jc w:val="both"/>
              <w:rPr>
                <w:rFonts w:ascii="Calibri" w:eastAsia="Times New Roman" w:hAnsi="Calibri" w:cs="Times New Roman"/>
                <w:color w:val="000000"/>
              </w:rPr>
            </w:pPr>
            <w:r w:rsidRPr="00457CEB">
              <w:rPr>
                <w:rFonts w:ascii="Calibri" w:eastAsia="Times New Roman" w:hAnsi="Calibri" w:cs="Times New Roman"/>
                <w:color w:val="000000"/>
              </w:rPr>
              <w:t>14</w:t>
            </w:r>
          </w:p>
        </w:tc>
        <w:tc>
          <w:tcPr>
            <w:tcW w:w="721" w:type="dxa"/>
            <w:tcBorders>
              <w:top w:val="nil"/>
              <w:left w:val="nil"/>
              <w:bottom w:val="single" w:sz="4" w:space="0" w:color="auto"/>
              <w:right w:val="single" w:sz="4" w:space="0" w:color="auto"/>
            </w:tcBorders>
            <w:shd w:val="clear" w:color="auto" w:fill="auto"/>
            <w:noWrap/>
            <w:vAlign w:val="bottom"/>
            <w:hideMark/>
          </w:tcPr>
          <w:p w:rsidR="00E105A9" w:rsidRPr="00457CEB" w:rsidRDefault="00E105A9" w:rsidP="00E105A9">
            <w:pPr>
              <w:spacing w:after="0" w:line="240" w:lineRule="auto"/>
              <w:jc w:val="both"/>
              <w:rPr>
                <w:rFonts w:ascii="Calibri" w:eastAsia="Times New Roman" w:hAnsi="Calibri" w:cs="Times New Roman"/>
                <w:b/>
                <w:color w:val="000000"/>
              </w:rPr>
            </w:pPr>
            <w:r w:rsidRPr="00457CEB">
              <w:rPr>
                <w:rFonts w:ascii="Calibri" w:eastAsia="Times New Roman" w:hAnsi="Calibri" w:cs="Times New Roman"/>
                <w:b/>
                <w:color w:val="002060"/>
              </w:rPr>
              <w:t>63%</w:t>
            </w:r>
          </w:p>
        </w:tc>
      </w:tr>
      <w:tr w:rsidR="00E105A9" w:rsidRPr="00457CEB" w:rsidTr="00E105A9">
        <w:trPr>
          <w:trHeight w:val="420"/>
        </w:trPr>
        <w:tc>
          <w:tcPr>
            <w:tcW w:w="3315" w:type="dxa"/>
            <w:tcBorders>
              <w:top w:val="nil"/>
              <w:left w:val="single" w:sz="4" w:space="0" w:color="auto"/>
              <w:bottom w:val="single" w:sz="4" w:space="0" w:color="auto"/>
              <w:right w:val="single" w:sz="4" w:space="0" w:color="auto"/>
            </w:tcBorders>
            <w:shd w:val="clear" w:color="auto" w:fill="auto"/>
            <w:vAlign w:val="bottom"/>
            <w:hideMark/>
          </w:tcPr>
          <w:p w:rsidR="00E105A9" w:rsidRPr="00457CEB" w:rsidRDefault="00E105A9" w:rsidP="00E105A9">
            <w:pPr>
              <w:spacing w:after="0" w:line="240" w:lineRule="auto"/>
              <w:jc w:val="both"/>
              <w:rPr>
                <w:rFonts w:ascii="Calibri" w:eastAsia="Times New Roman" w:hAnsi="Calibri" w:cs="Times New Roman"/>
                <w:b/>
                <w:color w:val="000000"/>
              </w:rPr>
            </w:pPr>
            <w:r w:rsidRPr="00457CEB">
              <w:rPr>
                <w:rFonts w:ascii="Calibri" w:eastAsia="Times New Roman" w:hAnsi="Calibri" w:cs="Times New Roman"/>
                <w:b/>
                <w:color w:val="F33F07"/>
              </w:rPr>
              <w:t>NO RESPONDE</w:t>
            </w:r>
          </w:p>
        </w:tc>
        <w:tc>
          <w:tcPr>
            <w:tcW w:w="2348" w:type="dxa"/>
            <w:tcBorders>
              <w:top w:val="single" w:sz="4" w:space="0" w:color="auto"/>
              <w:left w:val="nil"/>
              <w:bottom w:val="single" w:sz="4" w:space="0" w:color="auto"/>
              <w:right w:val="single" w:sz="4" w:space="0" w:color="000000"/>
            </w:tcBorders>
            <w:shd w:val="clear" w:color="auto" w:fill="auto"/>
            <w:vAlign w:val="bottom"/>
            <w:hideMark/>
          </w:tcPr>
          <w:p w:rsidR="00E105A9" w:rsidRPr="00457CEB" w:rsidRDefault="00E105A9" w:rsidP="00E105A9">
            <w:pPr>
              <w:spacing w:after="0" w:line="240" w:lineRule="auto"/>
              <w:jc w:val="both"/>
              <w:rPr>
                <w:rFonts w:ascii="Calibri" w:eastAsia="Times New Roman" w:hAnsi="Calibri" w:cs="Times New Roman"/>
                <w:color w:val="000000"/>
              </w:rPr>
            </w:pPr>
            <w:r w:rsidRPr="00457CEB">
              <w:rPr>
                <w:rFonts w:ascii="Calibri" w:eastAsia="Times New Roman" w:hAnsi="Calibri" w:cs="Times New Roman"/>
                <w:color w:val="000000"/>
              </w:rPr>
              <w:t>5</w:t>
            </w:r>
          </w:p>
        </w:tc>
        <w:tc>
          <w:tcPr>
            <w:tcW w:w="721" w:type="dxa"/>
            <w:tcBorders>
              <w:top w:val="nil"/>
              <w:left w:val="nil"/>
              <w:bottom w:val="single" w:sz="4" w:space="0" w:color="auto"/>
              <w:right w:val="single" w:sz="4" w:space="0" w:color="auto"/>
            </w:tcBorders>
            <w:shd w:val="clear" w:color="auto" w:fill="auto"/>
            <w:noWrap/>
            <w:vAlign w:val="bottom"/>
            <w:hideMark/>
          </w:tcPr>
          <w:p w:rsidR="00E105A9" w:rsidRPr="00457CEB" w:rsidRDefault="00E105A9" w:rsidP="00E105A9">
            <w:pPr>
              <w:spacing w:after="0" w:line="240" w:lineRule="auto"/>
              <w:jc w:val="both"/>
              <w:rPr>
                <w:rFonts w:ascii="Calibri" w:eastAsia="Times New Roman" w:hAnsi="Calibri" w:cs="Times New Roman"/>
                <w:b/>
                <w:color w:val="000000"/>
              </w:rPr>
            </w:pPr>
            <w:r w:rsidRPr="00457CEB">
              <w:rPr>
                <w:rFonts w:ascii="Calibri" w:eastAsia="Times New Roman" w:hAnsi="Calibri" w:cs="Times New Roman"/>
                <w:b/>
                <w:color w:val="F33F07"/>
              </w:rPr>
              <w:t>22%</w:t>
            </w:r>
          </w:p>
        </w:tc>
      </w:tr>
      <w:tr w:rsidR="00E105A9" w:rsidRPr="00457CEB" w:rsidTr="00E105A9">
        <w:trPr>
          <w:trHeight w:val="300"/>
        </w:trPr>
        <w:tc>
          <w:tcPr>
            <w:tcW w:w="3315" w:type="dxa"/>
            <w:tcBorders>
              <w:top w:val="nil"/>
              <w:left w:val="single" w:sz="4" w:space="0" w:color="auto"/>
              <w:bottom w:val="single" w:sz="4" w:space="0" w:color="auto"/>
              <w:right w:val="single" w:sz="4" w:space="0" w:color="auto"/>
            </w:tcBorders>
            <w:shd w:val="clear" w:color="auto" w:fill="auto"/>
            <w:noWrap/>
            <w:vAlign w:val="bottom"/>
            <w:hideMark/>
          </w:tcPr>
          <w:p w:rsidR="00E105A9" w:rsidRPr="00457CEB" w:rsidRDefault="00E105A9" w:rsidP="00E105A9">
            <w:pPr>
              <w:spacing w:after="0" w:line="240" w:lineRule="auto"/>
              <w:jc w:val="both"/>
              <w:rPr>
                <w:rFonts w:ascii="Calibri" w:eastAsia="Times New Roman" w:hAnsi="Calibri" w:cs="Times New Roman"/>
                <w:b/>
                <w:color w:val="000000"/>
              </w:rPr>
            </w:pPr>
            <w:r w:rsidRPr="00457CEB">
              <w:rPr>
                <w:rFonts w:ascii="Calibri" w:eastAsia="Times New Roman" w:hAnsi="Calibri" w:cs="Times New Roman"/>
                <w:b/>
                <w:color w:val="002060"/>
              </w:rPr>
              <w:t>PERCEPCIÓN NEGATIVA</w:t>
            </w:r>
          </w:p>
        </w:tc>
        <w:tc>
          <w:tcPr>
            <w:tcW w:w="2348" w:type="dxa"/>
            <w:tcBorders>
              <w:top w:val="single" w:sz="4" w:space="0" w:color="auto"/>
              <w:left w:val="nil"/>
              <w:bottom w:val="single" w:sz="4" w:space="0" w:color="auto"/>
              <w:right w:val="single" w:sz="4" w:space="0" w:color="000000"/>
            </w:tcBorders>
            <w:shd w:val="clear" w:color="auto" w:fill="auto"/>
            <w:vAlign w:val="bottom"/>
            <w:hideMark/>
          </w:tcPr>
          <w:p w:rsidR="00E105A9" w:rsidRPr="00457CEB" w:rsidRDefault="00E105A9" w:rsidP="00E105A9">
            <w:pPr>
              <w:spacing w:after="0" w:line="240" w:lineRule="auto"/>
              <w:jc w:val="both"/>
              <w:rPr>
                <w:rFonts w:ascii="Calibri" w:eastAsia="Times New Roman" w:hAnsi="Calibri" w:cs="Times New Roman"/>
                <w:color w:val="000000"/>
              </w:rPr>
            </w:pPr>
            <w:r w:rsidRPr="00457CEB">
              <w:rPr>
                <w:rFonts w:ascii="Calibri" w:eastAsia="Times New Roman" w:hAnsi="Calibri" w:cs="Times New Roman"/>
                <w:color w:val="000000"/>
              </w:rPr>
              <w:t>3</w:t>
            </w:r>
          </w:p>
        </w:tc>
        <w:tc>
          <w:tcPr>
            <w:tcW w:w="721" w:type="dxa"/>
            <w:tcBorders>
              <w:top w:val="nil"/>
              <w:left w:val="nil"/>
              <w:bottom w:val="single" w:sz="4" w:space="0" w:color="auto"/>
              <w:right w:val="single" w:sz="4" w:space="0" w:color="auto"/>
            </w:tcBorders>
            <w:shd w:val="clear" w:color="auto" w:fill="auto"/>
            <w:noWrap/>
            <w:vAlign w:val="bottom"/>
            <w:hideMark/>
          </w:tcPr>
          <w:p w:rsidR="00E105A9" w:rsidRPr="00457CEB" w:rsidRDefault="00E105A9" w:rsidP="00E105A9">
            <w:pPr>
              <w:spacing w:after="0" w:line="240" w:lineRule="auto"/>
              <w:jc w:val="both"/>
              <w:rPr>
                <w:rFonts w:ascii="Calibri" w:eastAsia="Times New Roman" w:hAnsi="Calibri" w:cs="Times New Roman"/>
                <w:b/>
                <w:color w:val="000000"/>
              </w:rPr>
            </w:pPr>
            <w:r w:rsidRPr="00457CEB">
              <w:rPr>
                <w:rFonts w:ascii="Calibri" w:eastAsia="Times New Roman" w:hAnsi="Calibri" w:cs="Times New Roman"/>
                <w:b/>
                <w:color w:val="002060"/>
              </w:rPr>
              <w:t>14%</w:t>
            </w:r>
          </w:p>
        </w:tc>
      </w:tr>
      <w:tr w:rsidR="00E105A9" w:rsidRPr="00457CEB" w:rsidTr="00E105A9">
        <w:trPr>
          <w:trHeight w:val="300"/>
        </w:trPr>
        <w:tc>
          <w:tcPr>
            <w:tcW w:w="3315" w:type="dxa"/>
            <w:tcBorders>
              <w:top w:val="nil"/>
              <w:left w:val="single" w:sz="4" w:space="0" w:color="auto"/>
              <w:bottom w:val="single" w:sz="4" w:space="0" w:color="auto"/>
              <w:right w:val="single" w:sz="4" w:space="0" w:color="auto"/>
            </w:tcBorders>
            <w:shd w:val="clear" w:color="auto" w:fill="auto"/>
            <w:noWrap/>
            <w:vAlign w:val="bottom"/>
            <w:hideMark/>
          </w:tcPr>
          <w:p w:rsidR="00E105A9" w:rsidRPr="00457CEB" w:rsidRDefault="00E105A9" w:rsidP="00E105A9">
            <w:pPr>
              <w:spacing w:after="0" w:line="240" w:lineRule="auto"/>
              <w:jc w:val="both"/>
              <w:rPr>
                <w:rFonts w:ascii="Calibri" w:eastAsia="Times New Roman" w:hAnsi="Calibri" w:cs="Times New Roman"/>
                <w:b/>
                <w:color w:val="000000"/>
              </w:rPr>
            </w:pPr>
            <w:r w:rsidRPr="00457CEB">
              <w:rPr>
                <w:rFonts w:ascii="Calibri" w:eastAsia="Times New Roman" w:hAnsi="Calibri" w:cs="Times New Roman"/>
                <w:b/>
                <w:color w:val="000000"/>
              </w:rPr>
              <w:t>TOTAL</w:t>
            </w:r>
          </w:p>
        </w:tc>
        <w:tc>
          <w:tcPr>
            <w:tcW w:w="2348" w:type="dxa"/>
            <w:tcBorders>
              <w:top w:val="single" w:sz="4" w:space="0" w:color="auto"/>
              <w:left w:val="nil"/>
              <w:bottom w:val="single" w:sz="4" w:space="0" w:color="auto"/>
              <w:right w:val="single" w:sz="4" w:space="0" w:color="000000"/>
            </w:tcBorders>
            <w:shd w:val="clear" w:color="auto" w:fill="auto"/>
            <w:vAlign w:val="bottom"/>
            <w:hideMark/>
          </w:tcPr>
          <w:p w:rsidR="00E105A9" w:rsidRPr="00457CEB" w:rsidRDefault="00E105A9" w:rsidP="00E105A9">
            <w:pPr>
              <w:spacing w:after="0" w:line="240" w:lineRule="auto"/>
              <w:jc w:val="both"/>
              <w:rPr>
                <w:rFonts w:ascii="Calibri" w:eastAsia="Times New Roman" w:hAnsi="Calibri" w:cs="Times New Roman"/>
                <w:color w:val="000000"/>
              </w:rPr>
            </w:pPr>
            <w:r w:rsidRPr="00457CEB">
              <w:rPr>
                <w:rFonts w:ascii="Calibri" w:eastAsia="Times New Roman" w:hAnsi="Calibri" w:cs="Times New Roman"/>
                <w:color w:val="000000"/>
              </w:rPr>
              <w:t>22</w:t>
            </w:r>
          </w:p>
        </w:tc>
        <w:tc>
          <w:tcPr>
            <w:tcW w:w="721" w:type="dxa"/>
            <w:tcBorders>
              <w:top w:val="nil"/>
              <w:left w:val="nil"/>
              <w:bottom w:val="single" w:sz="4" w:space="0" w:color="auto"/>
              <w:right w:val="single" w:sz="4" w:space="0" w:color="auto"/>
            </w:tcBorders>
            <w:shd w:val="clear" w:color="auto" w:fill="auto"/>
            <w:noWrap/>
            <w:vAlign w:val="bottom"/>
            <w:hideMark/>
          </w:tcPr>
          <w:p w:rsidR="00E105A9" w:rsidRPr="00457CEB" w:rsidRDefault="00E105A9" w:rsidP="00E105A9">
            <w:pPr>
              <w:spacing w:after="0" w:line="240" w:lineRule="auto"/>
              <w:jc w:val="both"/>
              <w:rPr>
                <w:rFonts w:ascii="Calibri" w:eastAsia="Times New Roman" w:hAnsi="Calibri" w:cs="Times New Roman"/>
                <w:color w:val="000000"/>
              </w:rPr>
            </w:pPr>
            <w:r w:rsidRPr="00457CEB">
              <w:rPr>
                <w:rFonts w:ascii="Calibri" w:eastAsia="Times New Roman" w:hAnsi="Calibri" w:cs="Times New Roman"/>
                <w:color w:val="000000"/>
              </w:rPr>
              <w:t>100%</w:t>
            </w:r>
          </w:p>
        </w:tc>
      </w:tr>
    </w:tbl>
    <w:p w:rsidR="00E105A9" w:rsidRDefault="00E105A9" w:rsidP="00E105A9">
      <w:pPr>
        <w:jc w:val="both"/>
        <w:rPr>
          <w:rFonts w:ascii="Calibri" w:eastAsia="Calibri" w:hAnsi="Calibri" w:cs="Times New Roman"/>
          <w:color w:val="002060"/>
          <w:sz w:val="24"/>
          <w:szCs w:val="24"/>
        </w:rPr>
      </w:pPr>
    </w:p>
    <w:p w:rsidR="00E105A9" w:rsidRDefault="00E105A9" w:rsidP="00E105A9">
      <w:pPr>
        <w:jc w:val="both"/>
        <w:rPr>
          <w:rFonts w:ascii="Calibri" w:eastAsia="Calibri" w:hAnsi="Calibri" w:cs="Times New Roman"/>
          <w:color w:val="002060"/>
          <w:sz w:val="24"/>
          <w:szCs w:val="24"/>
        </w:rPr>
      </w:pPr>
    </w:p>
    <w:p w:rsidR="00E105A9" w:rsidRDefault="00E105A9" w:rsidP="00E105A9">
      <w:pPr>
        <w:jc w:val="both"/>
      </w:pPr>
      <w:r>
        <w:t xml:space="preserve"> </w:t>
      </w:r>
    </w:p>
    <w:p w:rsidR="00E105A9" w:rsidRPr="00142564" w:rsidRDefault="00E105A9" w:rsidP="00E105A9"/>
    <w:p w:rsidR="00E105A9" w:rsidRDefault="00E105A9" w:rsidP="00E105A9"/>
    <w:p w:rsidR="00E105A9" w:rsidRDefault="00E105A9" w:rsidP="00E105A9">
      <w:pPr>
        <w:tabs>
          <w:tab w:val="left" w:pos="7305"/>
        </w:tabs>
      </w:pPr>
      <w:r>
        <w:tab/>
      </w:r>
    </w:p>
    <w:p w:rsidR="00E105A9" w:rsidRPr="00E105A9" w:rsidRDefault="00E105A9" w:rsidP="00E105A9">
      <w:pPr>
        <w:jc w:val="both"/>
        <w:rPr>
          <w:rFonts w:ascii="Calibri" w:hAnsi="Calibri" w:cs="Calibri"/>
          <w:lang w:val="es-ES"/>
        </w:rPr>
      </w:pPr>
      <w:r w:rsidRPr="00E105A9">
        <w:rPr>
          <w:rFonts w:ascii="Calibri" w:hAnsi="Calibri" w:cs="Calibri"/>
          <w:lang w:val="es-ES"/>
        </w:rPr>
        <w:t>La caracterización de usuarios se llevó a cabo desde el último trimestre del año 2014, con la intervención activa de las diferentes áreas de la entidad, y su consolidación se logró en marzo de 2015. Se fijó el formato para llevar a cabo la caracterización de usuarios ante el Grupo de Calidad de Vicepresidencia de Planeación de la Agencia, de modo que al momento está habilitado para su uso por parte de servidores y colaboradores. (http://www.ani.gov.co/basic-page/caracterizacion-ciudadana-17023).</w:t>
      </w:r>
    </w:p>
    <w:p w:rsidR="00E105A9" w:rsidRPr="00E105A9" w:rsidRDefault="00E105A9" w:rsidP="00E105A9">
      <w:pPr>
        <w:jc w:val="both"/>
        <w:rPr>
          <w:rFonts w:ascii="Calibri" w:hAnsi="Calibri" w:cs="Calibri"/>
          <w:lang w:val="es-ES"/>
        </w:rPr>
      </w:pPr>
      <w:r w:rsidRPr="00E105A9">
        <w:rPr>
          <w:rFonts w:ascii="Calibri" w:hAnsi="Calibri" w:cs="Calibri"/>
          <w:lang w:val="es-ES"/>
        </w:rPr>
        <w:t>4. El afianzamiento de la cultura de servicio al ciudadano inició su proceso en mayo de 2015, con cinco (5) charlas sobre temas puntuales relativos a derecho de petición y procedimiento en el Sistema Integrado de Gestión de la entidad, a las gerencias que componen el modo carretero de la Vicepresidencia de Gestión Contractual.</w:t>
      </w:r>
      <w:r>
        <w:rPr>
          <w:rFonts w:ascii="Calibri" w:hAnsi="Calibri" w:cs="Calibri"/>
          <w:lang w:val="es-ES"/>
        </w:rPr>
        <w:t xml:space="preserve"> </w:t>
      </w:r>
      <w:r w:rsidRPr="00E105A9">
        <w:rPr>
          <w:rFonts w:ascii="Calibri" w:hAnsi="Calibri" w:cs="Calibri"/>
          <w:lang w:val="es-ES"/>
        </w:rPr>
        <w:t>Esta actividad debe ser la de mayor desarrollo y atención para la vigencia 2015</w:t>
      </w:r>
    </w:p>
    <w:p w:rsidR="00E105A9" w:rsidRPr="00E105A9" w:rsidRDefault="00E105A9" w:rsidP="00E105A9">
      <w:pPr>
        <w:tabs>
          <w:tab w:val="left" w:pos="7305"/>
        </w:tabs>
        <w:jc w:val="both"/>
        <w:rPr>
          <w:rFonts w:ascii="Calibri" w:hAnsi="Calibri" w:cs="Calibri"/>
          <w:lang w:val="es-ES"/>
        </w:rPr>
      </w:pPr>
      <w:r w:rsidRPr="00E105A9">
        <w:rPr>
          <w:rFonts w:ascii="Calibri" w:hAnsi="Calibri" w:cs="Calibri"/>
          <w:lang w:val="es-ES"/>
        </w:rPr>
        <w:t xml:space="preserve">La oficina de Apoyo a la Gestión en la parte Contractual tiene como objetivo principal velar para que cada uno de los contratos suscritos cumpla con los requisitos Precontractuales, Contractuales y Pos- Contractuales consagrados en la Ley 80 de 1993,  y demás normas que regulan la Contratación Estatal, aplicando los principios de Transparencia, Idoneidad, Eficacia, Publicidad y Eficiencia. </w:t>
      </w:r>
    </w:p>
    <w:p w:rsidR="009D1EA7" w:rsidRDefault="00E105A9" w:rsidP="00E105A9">
      <w:pPr>
        <w:spacing w:after="0" w:line="240" w:lineRule="auto"/>
        <w:jc w:val="both"/>
        <w:rPr>
          <w:rFonts w:ascii="Calibri" w:hAnsi="Calibri" w:cs="Calibri"/>
          <w:lang w:val="es-ES"/>
        </w:rPr>
      </w:pPr>
      <w:r w:rsidRPr="00FE61C6">
        <w:rPr>
          <w:rFonts w:ascii="Calibri" w:hAnsi="Calibri" w:cs="Calibri"/>
          <w:lang w:val="es-ES"/>
        </w:rPr>
        <w:t>En materia de Apoyo a la Gestión han sido rendidos, dentro de los términos, los informes solicitados por el Congreso de la República y los Órganos de Control y se han adelantado todos los trámites contractuales necesarios para la Agencia.</w:t>
      </w:r>
    </w:p>
    <w:p w:rsidR="009D1EA7" w:rsidRDefault="009D1EA7" w:rsidP="009D1EA7">
      <w:pPr>
        <w:rPr>
          <w:lang w:val="es-ES"/>
        </w:rPr>
      </w:pPr>
      <w:r>
        <w:rPr>
          <w:lang w:val="es-ES"/>
        </w:rPr>
        <w:br w:type="page"/>
      </w:r>
    </w:p>
    <w:p w:rsidR="003D5F89" w:rsidRDefault="003D5F89" w:rsidP="00DF168C">
      <w:pPr>
        <w:pStyle w:val="Ttulo1"/>
        <w:numPr>
          <w:ilvl w:val="1"/>
          <w:numId w:val="2"/>
        </w:numPr>
      </w:pPr>
      <w:bookmarkStart w:id="49" w:name="_Toc357434714"/>
      <w:bookmarkStart w:id="50" w:name="_Toc357434977"/>
      <w:bookmarkStart w:id="51" w:name="_Toc360175793"/>
      <w:bookmarkStart w:id="52" w:name="_Toc360176858"/>
      <w:bookmarkStart w:id="53" w:name="_Toc360177566"/>
      <w:bookmarkStart w:id="54" w:name="_Toc426559211"/>
      <w:r>
        <w:lastRenderedPageBreak/>
        <w:t xml:space="preserve">VICEPRESIDENCIA </w:t>
      </w:r>
      <w:r w:rsidR="008D7A06">
        <w:t>JURÍDICA</w:t>
      </w:r>
      <w:bookmarkEnd w:id="49"/>
      <w:bookmarkEnd w:id="50"/>
      <w:bookmarkEnd w:id="51"/>
      <w:bookmarkEnd w:id="52"/>
      <w:bookmarkEnd w:id="53"/>
      <w:bookmarkEnd w:id="54"/>
    </w:p>
    <w:p w:rsidR="00E2180B" w:rsidRDefault="00E2180B" w:rsidP="00E2180B"/>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94329F" w:rsidRPr="0005612C" w:rsidTr="001C4B03">
        <w:trPr>
          <w:trHeight w:val="480"/>
          <w:jc w:val="center"/>
        </w:trPr>
        <w:tc>
          <w:tcPr>
            <w:tcW w:w="484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94329F" w:rsidRPr="0005612C" w:rsidRDefault="0094329F" w:rsidP="001C4B03">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ACTIVIDAD</w:t>
            </w:r>
          </w:p>
        </w:tc>
        <w:tc>
          <w:tcPr>
            <w:tcW w:w="1612" w:type="dxa"/>
            <w:tcBorders>
              <w:top w:val="single" w:sz="4" w:space="0" w:color="auto"/>
              <w:left w:val="nil"/>
              <w:bottom w:val="single" w:sz="4" w:space="0" w:color="auto"/>
              <w:right w:val="single" w:sz="4" w:space="0" w:color="auto"/>
            </w:tcBorders>
            <w:shd w:val="clear" w:color="000000" w:fill="A5A5A5"/>
            <w:vAlign w:val="center"/>
            <w:hideMark/>
          </w:tcPr>
          <w:p w:rsidR="0094329F" w:rsidRPr="0005612C" w:rsidRDefault="0094329F" w:rsidP="001C4B03">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UNIDAD DE MEDIDA</w:t>
            </w:r>
          </w:p>
        </w:tc>
        <w:tc>
          <w:tcPr>
            <w:tcW w:w="1230" w:type="dxa"/>
            <w:tcBorders>
              <w:top w:val="single" w:sz="4" w:space="0" w:color="auto"/>
              <w:left w:val="nil"/>
              <w:bottom w:val="single" w:sz="4" w:space="0" w:color="auto"/>
              <w:right w:val="single" w:sz="4" w:space="0" w:color="auto"/>
            </w:tcBorders>
            <w:shd w:val="clear" w:color="000000" w:fill="A5A5A5"/>
            <w:noWrap/>
            <w:vAlign w:val="center"/>
            <w:hideMark/>
          </w:tcPr>
          <w:p w:rsidR="0094329F" w:rsidRPr="0005612C" w:rsidRDefault="0094329F" w:rsidP="001C4B03">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META AÑO</w:t>
            </w:r>
          </w:p>
        </w:tc>
        <w:tc>
          <w:tcPr>
            <w:tcW w:w="1139"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94329F" w:rsidRPr="0005612C" w:rsidRDefault="0094329F" w:rsidP="001C4B03">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05612C">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 3</w:t>
            </w:r>
          </w:p>
        </w:tc>
      </w:tr>
      <w:tr w:rsidR="0094329F" w:rsidRPr="0005612C" w:rsidTr="001C4B03">
        <w:trPr>
          <w:trHeight w:val="240"/>
          <w:jc w:val="center"/>
        </w:trPr>
        <w:tc>
          <w:tcPr>
            <w:tcW w:w="4847" w:type="dxa"/>
            <w:tcBorders>
              <w:top w:val="nil"/>
              <w:left w:val="nil"/>
              <w:bottom w:val="nil"/>
              <w:right w:val="nil"/>
            </w:tcBorders>
            <w:shd w:val="clear" w:color="auto" w:fill="auto"/>
            <w:noWrap/>
            <w:vAlign w:val="center"/>
            <w:hideMark/>
          </w:tcPr>
          <w:p w:rsidR="0094329F" w:rsidRPr="0005612C" w:rsidRDefault="0094329F" w:rsidP="0094329F">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Gerencia Jurídico Predial</w:t>
            </w:r>
          </w:p>
        </w:tc>
        <w:tc>
          <w:tcPr>
            <w:tcW w:w="1612" w:type="dxa"/>
            <w:tcBorders>
              <w:top w:val="nil"/>
              <w:left w:val="nil"/>
              <w:bottom w:val="nil"/>
              <w:right w:val="nil"/>
            </w:tcBorders>
            <w:shd w:val="clear" w:color="auto" w:fill="auto"/>
            <w:noWrap/>
            <w:vAlign w:val="center"/>
            <w:hideMark/>
          </w:tcPr>
          <w:p w:rsidR="0094329F" w:rsidRPr="0005612C" w:rsidRDefault="0094329F" w:rsidP="001C4B03">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94329F" w:rsidRPr="0005612C" w:rsidRDefault="0094329F" w:rsidP="001C4B03">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94329F" w:rsidRPr="0005612C" w:rsidRDefault="0094329F" w:rsidP="001C4B03">
            <w:pPr>
              <w:spacing w:after="0" w:line="240" w:lineRule="auto"/>
              <w:rPr>
                <w:rFonts w:ascii="Calibri" w:eastAsia="Times New Roman" w:hAnsi="Calibri" w:cs="Calibri"/>
                <w:color w:val="000000"/>
                <w:sz w:val="20"/>
                <w:szCs w:val="20"/>
              </w:rPr>
            </w:pPr>
          </w:p>
        </w:tc>
      </w:tr>
      <w:tr w:rsidR="0094329F" w:rsidRPr="0005612C" w:rsidTr="0094329F">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4329F" w:rsidRPr="00C74A5E" w:rsidRDefault="00C74A5E" w:rsidP="00C74A5E">
            <w:pPr>
              <w:rPr>
                <w:rFonts w:ascii="Calibri" w:hAnsi="Calibri" w:cs="Calibri"/>
                <w:sz w:val="16"/>
                <w:szCs w:val="16"/>
              </w:rPr>
            </w:pPr>
            <w:r>
              <w:rPr>
                <w:rFonts w:ascii="Calibri" w:hAnsi="Calibri" w:cs="Calibri"/>
                <w:sz w:val="16"/>
                <w:szCs w:val="16"/>
              </w:rPr>
              <w:t>Realizar la  revisión Jurídica de las ofertas de Compra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94329F" w:rsidRPr="0005612C" w:rsidRDefault="00C74A5E"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Oferta revisada</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94329F" w:rsidRPr="0005612C" w:rsidRDefault="00C74A5E"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94329F"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w:t>
            </w:r>
          </w:p>
        </w:tc>
      </w:tr>
      <w:tr w:rsidR="00C74A5E" w:rsidRPr="0005612C" w:rsidTr="0094329F">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74A5E" w:rsidRPr="00C74A5E" w:rsidRDefault="00C74A5E" w:rsidP="00C74A5E">
            <w:pPr>
              <w:rPr>
                <w:rFonts w:ascii="Calibri" w:hAnsi="Calibri" w:cs="Calibri"/>
                <w:sz w:val="16"/>
                <w:szCs w:val="16"/>
              </w:rPr>
            </w:pPr>
            <w:r>
              <w:rPr>
                <w:rFonts w:ascii="Calibri" w:hAnsi="Calibri" w:cs="Calibri"/>
                <w:sz w:val="16"/>
                <w:szCs w:val="16"/>
              </w:rPr>
              <w:t>Realizar la  revisión Jurídica de las Resoluciones que resuelven  recursos de reposición</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C74A5E"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Resolución</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C74A5E"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67%</w:t>
            </w:r>
          </w:p>
        </w:tc>
      </w:tr>
      <w:tr w:rsidR="00C74A5E" w:rsidRPr="0005612C" w:rsidTr="0094329F">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74A5E" w:rsidRPr="00C74A5E" w:rsidRDefault="00C74A5E" w:rsidP="00C74A5E">
            <w:pPr>
              <w:rPr>
                <w:rFonts w:ascii="Calibri" w:hAnsi="Calibri" w:cs="Calibri"/>
                <w:sz w:val="16"/>
                <w:szCs w:val="16"/>
              </w:rPr>
            </w:pPr>
            <w:r>
              <w:rPr>
                <w:rFonts w:ascii="Calibri" w:hAnsi="Calibri" w:cs="Calibri"/>
                <w:sz w:val="16"/>
                <w:szCs w:val="16"/>
              </w:rPr>
              <w:t xml:space="preserve">Realizar la  revisión Jurídica de Resoluciones de </w:t>
            </w:r>
            <w:r>
              <w:rPr>
                <w:rFonts w:ascii="Calibri" w:hAnsi="Calibri" w:cs="Calibri"/>
                <w:sz w:val="16"/>
                <w:szCs w:val="16"/>
              </w:rPr>
              <w:br/>
              <w:t>expropiación judicial y  administrativas.</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Resolución revisada</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w:t>
            </w:r>
          </w:p>
        </w:tc>
      </w:tr>
      <w:tr w:rsidR="00C74A5E" w:rsidRPr="0005612C" w:rsidTr="0094329F">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74A5E" w:rsidRPr="00C74A5E" w:rsidRDefault="00C74A5E" w:rsidP="00C74A5E">
            <w:pPr>
              <w:rPr>
                <w:rFonts w:ascii="Calibri" w:hAnsi="Calibri" w:cs="Calibri"/>
                <w:sz w:val="16"/>
                <w:szCs w:val="16"/>
              </w:rPr>
            </w:pPr>
            <w:r>
              <w:rPr>
                <w:rFonts w:ascii="Calibri" w:hAnsi="Calibri" w:cs="Calibri"/>
                <w:sz w:val="16"/>
                <w:szCs w:val="16"/>
              </w:rPr>
              <w:t>Realizar la  revisión Jurídica de las Promesas de compraventa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Promesas revisadas</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w:t>
            </w:r>
          </w:p>
        </w:tc>
      </w:tr>
      <w:tr w:rsidR="00C74A5E" w:rsidRPr="0005612C" w:rsidTr="0094329F">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74A5E" w:rsidRPr="00C74A5E" w:rsidRDefault="00C74A5E" w:rsidP="00C74A5E">
            <w:pPr>
              <w:rPr>
                <w:rFonts w:ascii="Calibri" w:hAnsi="Calibri" w:cs="Calibri"/>
                <w:sz w:val="16"/>
                <w:szCs w:val="16"/>
              </w:rPr>
            </w:pPr>
            <w:r>
              <w:rPr>
                <w:rFonts w:ascii="Calibri" w:hAnsi="Calibri" w:cs="Calibri"/>
                <w:sz w:val="16"/>
                <w:szCs w:val="16"/>
              </w:rPr>
              <w:t>Realizar la  revisión Jurídica de las Escrituras de Compraventa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Escrituras revisadas</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w:t>
            </w:r>
          </w:p>
        </w:tc>
      </w:tr>
      <w:tr w:rsidR="00C74A5E" w:rsidRPr="0005612C" w:rsidTr="0094329F">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74A5E" w:rsidRPr="00C74A5E" w:rsidRDefault="00C74A5E" w:rsidP="00C74A5E">
            <w:pPr>
              <w:rPr>
                <w:rFonts w:ascii="Calibri" w:hAnsi="Calibri" w:cs="Calibri"/>
                <w:sz w:val="16"/>
                <w:szCs w:val="16"/>
              </w:rPr>
            </w:pPr>
            <w:r>
              <w:rPr>
                <w:rFonts w:ascii="Calibri" w:hAnsi="Calibri" w:cs="Calibri"/>
                <w:sz w:val="16"/>
                <w:szCs w:val="16"/>
              </w:rPr>
              <w:t>Realizar la  revisión Jurídica de las actas de entrega de predios</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Actas</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C74A5E"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w:t>
            </w:r>
          </w:p>
        </w:tc>
      </w:tr>
      <w:tr w:rsidR="0094329F" w:rsidRPr="0005612C" w:rsidTr="0094329F">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94329F" w:rsidRPr="00C74A5E" w:rsidRDefault="00C74A5E" w:rsidP="00C74A5E">
            <w:pPr>
              <w:rPr>
                <w:rFonts w:ascii="Calibri" w:hAnsi="Calibri" w:cs="Calibri"/>
                <w:sz w:val="16"/>
                <w:szCs w:val="16"/>
              </w:rPr>
            </w:pPr>
            <w:r>
              <w:rPr>
                <w:rFonts w:ascii="Calibri" w:hAnsi="Calibri" w:cs="Calibri"/>
                <w:sz w:val="16"/>
                <w:szCs w:val="16"/>
              </w:rPr>
              <w:t xml:space="preserve">Atender los requerimientos (Derechos de Petición y </w:t>
            </w:r>
            <w:r>
              <w:rPr>
                <w:rFonts w:ascii="Calibri" w:hAnsi="Calibri" w:cs="Calibri"/>
                <w:sz w:val="16"/>
                <w:szCs w:val="16"/>
              </w:rPr>
              <w:br/>
              <w:t>solicitud de conceptos) externos e internos, respecto de las situaciones relevantes que se presenten en cada concesión en temas prediales.</w:t>
            </w:r>
          </w:p>
        </w:tc>
        <w:tc>
          <w:tcPr>
            <w:tcW w:w="1612" w:type="dxa"/>
            <w:tcBorders>
              <w:top w:val="nil"/>
              <w:left w:val="nil"/>
              <w:bottom w:val="single" w:sz="4" w:space="0" w:color="auto"/>
              <w:right w:val="single" w:sz="4" w:space="0" w:color="auto"/>
            </w:tcBorders>
            <w:shd w:val="clear" w:color="auto" w:fill="auto"/>
            <w:noWrap/>
            <w:vAlign w:val="center"/>
          </w:tcPr>
          <w:p w:rsidR="0094329F"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Requerimiento atendido</w:t>
            </w:r>
          </w:p>
        </w:tc>
        <w:tc>
          <w:tcPr>
            <w:tcW w:w="1230" w:type="dxa"/>
            <w:tcBorders>
              <w:top w:val="nil"/>
              <w:left w:val="nil"/>
              <w:bottom w:val="single" w:sz="4" w:space="0" w:color="auto"/>
              <w:right w:val="single" w:sz="4" w:space="0" w:color="auto"/>
            </w:tcBorders>
            <w:shd w:val="clear" w:color="auto" w:fill="auto"/>
            <w:noWrap/>
            <w:vAlign w:val="center"/>
          </w:tcPr>
          <w:p w:rsidR="0094329F"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nil"/>
              <w:left w:val="nil"/>
              <w:bottom w:val="single" w:sz="4" w:space="0" w:color="auto"/>
              <w:right w:val="single" w:sz="4" w:space="0" w:color="auto"/>
            </w:tcBorders>
            <w:shd w:val="clear" w:color="auto" w:fill="auto"/>
            <w:noWrap/>
            <w:vAlign w:val="center"/>
          </w:tcPr>
          <w:p w:rsidR="0094329F"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r>
      <w:tr w:rsidR="0094329F" w:rsidRPr="0005612C" w:rsidTr="0094329F">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94329F" w:rsidRPr="00C74A5E" w:rsidRDefault="00C74A5E" w:rsidP="00C74A5E">
            <w:pPr>
              <w:rPr>
                <w:rFonts w:ascii="Calibri" w:hAnsi="Calibri" w:cs="Calibri"/>
                <w:sz w:val="16"/>
                <w:szCs w:val="16"/>
              </w:rPr>
            </w:pPr>
            <w:r>
              <w:rPr>
                <w:rFonts w:ascii="Calibri" w:hAnsi="Calibri" w:cs="Calibri"/>
                <w:sz w:val="16"/>
                <w:szCs w:val="16"/>
              </w:rPr>
              <w:t>Suscripción de la ejecutoria de los actos administrativos de la gestión jurídico predial</w:t>
            </w:r>
          </w:p>
        </w:tc>
        <w:tc>
          <w:tcPr>
            <w:tcW w:w="1612" w:type="dxa"/>
            <w:tcBorders>
              <w:top w:val="nil"/>
              <w:left w:val="nil"/>
              <w:bottom w:val="single" w:sz="4" w:space="0" w:color="auto"/>
              <w:right w:val="single" w:sz="4" w:space="0" w:color="auto"/>
            </w:tcBorders>
            <w:shd w:val="clear" w:color="auto" w:fill="auto"/>
            <w:noWrap/>
            <w:vAlign w:val="center"/>
          </w:tcPr>
          <w:p w:rsidR="0094329F" w:rsidRPr="0005612C" w:rsidRDefault="00AE300A"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Eje</w:t>
            </w:r>
            <w:r w:rsidR="0021345D">
              <w:rPr>
                <w:rFonts w:ascii="Calibri" w:eastAsia="Times New Roman" w:hAnsi="Calibri" w:cs="Calibri"/>
                <w:color w:val="000000"/>
                <w:sz w:val="20"/>
                <w:szCs w:val="20"/>
              </w:rPr>
              <w:t>cutoría realizada</w:t>
            </w:r>
          </w:p>
        </w:tc>
        <w:tc>
          <w:tcPr>
            <w:tcW w:w="1230" w:type="dxa"/>
            <w:tcBorders>
              <w:top w:val="nil"/>
              <w:left w:val="nil"/>
              <w:bottom w:val="single" w:sz="4" w:space="0" w:color="auto"/>
              <w:right w:val="single" w:sz="4" w:space="0" w:color="auto"/>
            </w:tcBorders>
            <w:shd w:val="clear" w:color="auto" w:fill="auto"/>
            <w:noWrap/>
            <w:vAlign w:val="center"/>
          </w:tcPr>
          <w:p w:rsidR="0094329F" w:rsidRPr="0005612C" w:rsidRDefault="0021345D"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139" w:type="dxa"/>
            <w:tcBorders>
              <w:top w:val="nil"/>
              <w:left w:val="nil"/>
              <w:bottom w:val="single" w:sz="4" w:space="0" w:color="auto"/>
              <w:right w:val="single" w:sz="4" w:space="0" w:color="auto"/>
            </w:tcBorders>
            <w:shd w:val="clear" w:color="auto" w:fill="auto"/>
            <w:noWrap/>
            <w:vAlign w:val="center"/>
          </w:tcPr>
          <w:p w:rsidR="0094329F" w:rsidRPr="0005612C" w:rsidRDefault="0021345D"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r>
      <w:tr w:rsidR="0094329F" w:rsidRPr="0005612C" w:rsidTr="001C4B03">
        <w:trPr>
          <w:trHeight w:val="255"/>
          <w:jc w:val="center"/>
        </w:trPr>
        <w:tc>
          <w:tcPr>
            <w:tcW w:w="4847" w:type="dxa"/>
            <w:tcBorders>
              <w:top w:val="nil"/>
              <w:left w:val="nil"/>
              <w:bottom w:val="nil"/>
              <w:right w:val="nil"/>
            </w:tcBorders>
            <w:shd w:val="clear" w:color="auto" w:fill="auto"/>
            <w:noWrap/>
            <w:vAlign w:val="center"/>
            <w:hideMark/>
          </w:tcPr>
          <w:p w:rsidR="00734036" w:rsidRDefault="00734036" w:rsidP="001C4B03">
            <w:pPr>
              <w:spacing w:after="0" w:line="240" w:lineRule="auto"/>
              <w:rPr>
                <w:rFonts w:ascii="Calibri" w:eastAsia="Times New Roman" w:hAnsi="Calibri" w:cs="Calibri"/>
                <w:b/>
                <w:bCs/>
                <w:color w:val="000000"/>
                <w:sz w:val="20"/>
                <w:szCs w:val="20"/>
              </w:rPr>
            </w:pPr>
          </w:p>
          <w:p w:rsidR="0094329F" w:rsidRPr="0005612C" w:rsidRDefault="0094329F" w:rsidP="001C4B03">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Gerencia Defensa Judicial</w:t>
            </w:r>
          </w:p>
        </w:tc>
        <w:tc>
          <w:tcPr>
            <w:tcW w:w="1612" w:type="dxa"/>
            <w:tcBorders>
              <w:top w:val="nil"/>
              <w:left w:val="nil"/>
              <w:bottom w:val="nil"/>
              <w:right w:val="nil"/>
            </w:tcBorders>
            <w:shd w:val="clear" w:color="auto" w:fill="auto"/>
            <w:noWrap/>
            <w:vAlign w:val="center"/>
            <w:hideMark/>
          </w:tcPr>
          <w:p w:rsidR="0094329F" w:rsidRPr="0005612C" w:rsidRDefault="0094329F" w:rsidP="001C4B03">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94329F" w:rsidRPr="0005612C" w:rsidRDefault="0094329F" w:rsidP="001C4B03">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94329F" w:rsidRPr="0005612C" w:rsidRDefault="0094329F" w:rsidP="001C4B03">
            <w:pPr>
              <w:spacing w:after="0" w:line="240" w:lineRule="auto"/>
              <w:rPr>
                <w:rFonts w:ascii="Calibri" w:eastAsia="Times New Roman" w:hAnsi="Calibri" w:cs="Calibri"/>
                <w:color w:val="000000"/>
                <w:sz w:val="20"/>
                <w:szCs w:val="20"/>
              </w:rPr>
            </w:pPr>
          </w:p>
        </w:tc>
      </w:tr>
      <w:tr w:rsidR="0094329F" w:rsidRPr="0005612C" w:rsidTr="0094329F">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94329F" w:rsidRPr="00053505" w:rsidRDefault="00646041" w:rsidP="00646041">
            <w:pPr>
              <w:rPr>
                <w:rFonts w:ascii="Calibri" w:hAnsi="Calibri" w:cs="Calibri"/>
                <w:sz w:val="16"/>
                <w:szCs w:val="16"/>
              </w:rPr>
            </w:pPr>
            <w:r w:rsidRPr="00053505">
              <w:rPr>
                <w:rFonts w:ascii="Calibri" w:hAnsi="Calibri" w:cs="Calibri"/>
                <w:sz w:val="16"/>
                <w:szCs w:val="16"/>
              </w:rPr>
              <w:t>Defender de manera oportuna los intereses de la Entidad dentro de los tribunales de Arbitramento en los que la Agencia sea convocante o convocada</w:t>
            </w:r>
          </w:p>
        </w:tc>
        <w:tc>
          <w:tcPr>
            <w:tcW w:w="1612" w:type="dxa"/>
            <w:tcBorders>
              <w:top w:val="single" w:sz="4" w:space="0" w:color="auto"/>
              <w:left w:val="nil"/>
              <w:bottom w:val="single" w:sz="4" w:space="0" w:color="auto"/>
              <w:right w:val="single" w:sz="4" w:space="0" w:color="auto"/>
            </w:tcBorders>
            <w:shd w:val="clear" w:color="auto" w:fill="auto"/>
            <w:vAlign w:val="center"/>
          </w:tcPr>
          <w:p w:rsidR="00646041" w:rsidRPr="00053505" w:rsidRDefault="00646041" w:rsidP="00646041">
            <w:pPr>
              <w:jc w:val="center"/>
              <w:rPr>
                <w:rFonts w:ascii="Calibri" w:hAnsi="Calibri" w:cs="Calibri"/>
                <w:sz w:val="16"/>
                <w:szCs w:val="16"/>
              </w:rPr>
            </w:pPr>
            <w:r w:rsidRPr="00053505">
              <w:rPr>
                <w:rFonts w:ascii="Calibri" w:hAnsi="Calibri" w:cs="Calibri"/>
                <w:sz w:val="16"/>
                <w:szCs w:val="16"/>
              </w:rPr>
              <w:t>Trámites administrativos ambientales</w:t>
            </w:r>
          </w:p>
        </w:tc>
        <w:tc>
          <w:tcPr>
            <w:tcW w:w="1230" w:type="dxa"/>
            <w:tcBorders>
              <w:top w:val="single" w:sz="4" w:space="0" w:color="auto"/>
              <w:left w:val="nil"/>
              <w:bottom w:val="single" w:sz="4" w:space="0" w:color="auto"/>
              <w:right w:val="single" w:sz="4" w:space="0" w:color="auto"/>
            </w:tcBorders>
            <w:shd w:val="clear" w:color="auto" w:fill="auto"/>
            <w:vAlign w:val="center"/>
          </w:tcPr>
          <w:p w:rsidR="0094329F" w:rsidRPr="00053505" w:rsidRDefault="00646041" w:rsidP="001C4B03">
            <w:pPr>
              <w:spacing w:after="0" w:line="240" w:lineRule="auto"/>
              <w:jc w:val="center"/>
              <w:rPr>
                <w:rFonts w:ascii="Calibri" w:eastAsia="Times New Roman" w:hAnsi="Calibri" w:cs="Calibri"/>
                <w:sz w:val="16"/>
                <w:szCs w:val="16"/>
              </w:rPr>
            </w:pPr>
            <w:r w:rsidRPr="00053505">
              <w:rPr>
                <w:rFonts w:ascii="Calibri" w:eastAsia="Times New Roman" w:hAnsi="Calibri" w:cs="Calibri"/>
                <w:sz w:val="16"/>
                <w:szCs w:val="16"/>
              </w:rPr>
              <w:t>15</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94329F" w:rsidRPr="00053505" w:rsidRDefault="00646041" w:rsidP="001C4B03">
            <w:pPr>
              <w:spacing w:after="0" w:line="240" w:lineRule="auto"/>
              <w:jc w:val="center"/>
              <w:rPr>
                <w:rFonts w:ascii="Calibri" w:eastAsia="Times New Roman" w:hAnsi="Calibri" w:cs="Calibri"/>
                <w:color w:val="000000"/>
                <w:sz w:val="16"/>
                <w:szCs w:val="16"/>
              </w:rPr>
            </w:pPr>
            <w:r w:rsidRPr="00053505">
              <w:rPr>
                <w:rFonts w:ascii="Calibri" w:eastAsia="Times New Roman" w:hAnsi="Calibri" w:cs="Calibri"/>
                <w:color w:val="000000"/>
                <w:sz w:val="16"/>
                <w:szCs w:val="16"/>
              </w:rPr>
              <w:t>0</w:t>
            </w:r>
          </w:p>
        </w:tc>
      </w:tr>
      <w:tr w:rsidR="0094329F"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94329F" w:rsidRPr="00053505" w:rsidRDefault="00646041" w:rsidP="00646041">
            <w:pPr>
              <w:rPr>
                <w:rFonts w:ascii="Calibri" w:hAnsi="Calibri" w:cs="Calibri"/>
                <w:sz w:val="16"/>
                <w:szCs w:val="16"/>
              </w:rPr>
            </w:pPr>
            <w:r w:rsidRPr="00053505">
              <w:rPr>
                <w:rFonts w:ascii="Calibri" w:hAnsi="Calibri" w:cs="Calibri"/>
                <w:sz w:val="16"/>
                <w:szCs w:val="16"/>
              </w:rPr>
              <w:t>Ejercer la representación de la Agencia dentro de los procesos judiciales y extrajudiciales  en los que la Entidad sea parte activa o pasiva, convocante o convocada</w:t>
            </w:r>
          </w:p>
        </w:tc>
        <w:tc>
          <w:tcPr>
            <w:tcW w:w="1612" w:type="dxa"/>
            <w:tcBorders>
              <w:top w:val="nil"/>
              <w:left w:val="nil"/>
              <w:bottom w:val="single" w:sz="4" w:space="0" w:color="auto"/>
              <w:right w:val="single" w:sz="4" w:space="0" w:color="auto"/>
            </w:tcBorders>
            <w:shd w:val="clear" w:color="auto" w:fill="auto"/>
            <w:vAlign w:val="center"/>
          </w:tcPr>
          <w:p w:rsidR="0094329F" w:rsidRPr="00053505" w:rsidRDefault="00646041" w:rsidP="00646041">
            <w:pPr>
              <w:jc w:val="center"/>
              <w:rPr>
                <w:rFonts w:ascii="Calibri" w:hAnsi="Calibri" w:cs="Calibri"/>
                <w:sz w:val="16"/>
                <w:szCs w:val="16"/>
              </w:rPr>
            </w:pPr>
            <w:r w:rsidRPr="00053505">
              <w:rPr>
                <w:rFonts w:ascii="Calibri" w:hAnsi="Calibri" w:cs="Calibri"/>
                <w:sz w:val="16"/>
                <w:szCs w:val="16"/>
              </w:rPr>
              <w:t>Trámites sancionatorios contractuales</w:t>
            </w:r>
          </w:p>
        </w:tc>
        <w:tc>
          <w:tcPr>
            <w:tcW w:w="1230" w:type="dxa"/>
            <w:tcBorders>
              <w:top w:val="nil"/>
              <w:left w:val="nil"/>
              <w:bottom w:val="single" w:sz="4" w:space="0" w:color="auto"/>
              <w:right w:val="single" w:sz="4" w:space="0" w:color="auto"/>
            </w:tcBorders>
            <w:shd w:val="clear" w:color="auto" w:fill="auto"/>
            <w:vAlign w:val="center"/>
          </w:tcPr>
          <w:p w:rsidR="0094329F" w:rsidRPr="00053505" w:rsidRDefault="00646041" w:rsidP="001C4B03">
            <w:pPr>
              <w:spacing w:after="0" w:line="240" w:lineRule="auto"/>
              <w:jc w:val="center"/>
              <w:rPr>
                <w:rFonts w:ascii="Calibri" w:eastAsia="Times New Roman" w:hAnsi="Calibri" w:cs="Calibri"/>
                <w:sz w:val="16"/>
                <w:szCs w:val="16"/>
              </w:rPr>
            </w:pPr>
            <w:r w:rsidRPr="00053505">
              <w:rPr>
                <w:rFonts w:ascii="Calibri" w:eastAsia="Times New Roman" w:hAnsi="Calibri" w:cs="Calibri"/>
                <w:sz w:val="16"/>
                <w:szCs w:val="16"/>
              </w:rPr>
              <w:t>12</w:t>
            </w:r>
          </w:p>
        </w:tc>
        <w:tc>
          <w:tcPr>
            <w:tcW w:w="1139" w:type="dxa"/>
            <w:tcBorders>
              <w:top w:val="nil"/>
              <w:left w:val="nil"/>
              <w:bottom w:val="single" w:sz="4" w:space="0" w:color="auto"/>
              <w:right w:val="single" w:sz="4" w:space="0" w:color="auto"/>
            </w:tcBorders>
            <w:shd w:val="clear" w:color="auto" w:fill="auto"/>
            <w:noWrap/>
            <w:vAlign w:val="center"/>
          </w:tcPr>
          <w:p w:rsidR="0094329F" w:rsidRPr="00053505" w:rsidRDefault="00646041" w:rsidP="001C4B03">
            <w:pPr>
              <w:spacing w:after="0" w:line="240" w:lineRule="auto"/>
              <w:jc w:val="center"/>
              <w:rPr>
                <w:rFonts w:ascii="Calibri" w:eastAsia="Times New Roman" w:hAnsi="Calibri" w:cs="Calibri"/>
                <w:color w:val="000000"/>
                <w:sz w:val="16"/>
                <w:szCs w:val="16"/>
              </w:rPr>
            </w:pPr>
            <w:r w:rsidRPr="00053505">
              <w:rPr>
                <w:rFonts w:ascii="Calibri" w:eastAsia="Times New Roman" w:hAnsi="Calibri" w:cs="Calibri"/>
                <w:color w:val="000000"/>
                <w:sz w:val="16"/>
                <w:szCs w:val="16"/>
              </w:rPr>
              <w:t>18</w:t>
            </w:r>
          </w:p>
        </w:tc>
      </w:tr>
      <w:tr w:rsidR="00646041"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646041" w:rsidRPr="00053505" w:rsidRDefault="00646041" w:rsidP="00646041">
            <w:pPr>
              <w:rPr>
                <w:rFonts w:ascii="Calibri" w:hAnsi="Calibri" w:cs="Calibri"/>
                <w:sz w:val="16"/>
                <w:szCs w:val="16"/>
              </w:rPr>
            </w:pPr>
            <w:r w:rsidRPr="00053505">
              <w:rPr>
                <w:rFonts w:ascii="Calibri" w:hAnsi="Calibri" w:cs="Calibri"/>
                <w:sz w:val="16"/>
                <w:szCs w:val="16"/>
              </w:rPr>
              <w:t>Reunir mínimo dos (2) vez al mes al Comité de Conciliación.- Grupo Interno de Trabajo de Defensa Judicial.</w:t>
            </w:r>
          </w:p>
        </w:tc>
        <w:tc>
          <w:tcPr>
            <w:tcW w:w="1612" w:type="dxa"/>
            <w:tcBorders>
              <w:top w:val="nil"/>
              <w:left w:val="nil"/>
              <w:bottom w:val="single" w:sz="4" w:space="0" w:color="auto"/>
              <w:right w:val="single" w:sz="4" w:space="0" w:color="auto"/>
            </w:tcBorders>
            <w:shd w:val="clear" w:color="auto" w:fill="auto"/>
            <w:vAlign w:val="center"/>
          </w:tcPr>
          <w:p w:rsidR="00646041" w:rsidRPr="00053505" w:rsidRDefault="00646041" w:rsidP="00646041">
            <w:pPr>
              <w:jc w:val="center"/>
              <w:rPr>
                <w:rFonts w:ascii="Calibri" w:hAnsi="Calibri" w:cs="Calibri"/>
                <w:sz w:val="16"/>
                <w:szCs w:val="16"/>
              </w:rPr>
            </w:pPr>
            <w:r w:rsidRPr="00053505">
              <w:rPr>
                <w:rFonts w:ascii="Calibri" w:hAnsi="Calibri" w:cs="Calibri"/>
                <w:sz w:val="16"/>
                <w:szCs w:val="16"/>
              </w:rPr>
              <w:t>Tribunales de arbitramento</w:t>
            </w:r>
          </w:p>
        </w:tc>
        <w:tc>
          <w:tcPr>
            <w:tcW w:w="1230" w:type="dxa"/>
            <w:tcBorders>
              <w:top w:val="nil"/>
              <w:left w:val="nil"/>
              <w:bottom w:val="single" w:sz="4" w:space="0" w:color="auto"/>
              <w:right w:val="single" w:sz="4" w:space="0" w:color="auto"/>
            </w:tcBorders>
            <w:shd w:val="clear" w:color="auto" w:fill="auto"/>
            <w:vAlign w:val="center"/>
          </w:tcPr>
          <w:p w:rsidR="00646041" w:rsidRPr="00053505" w:rsidRDefault="00646041" w:rsidP="001C4B03">
            <w:pPr>
              <w:spacing w:after="0" w:line="240" w:lineRule="auto"/>
              <w:jc w:val="center"/>
              <w:rPr>
                <w:rFonts w:ascii="Calibri" w:eastAsia="Times New Roman" w:hAnsi="Calibri" w:cs="Calibri"/>
                <w:sz w:val="16"/>
                <w:szCs w:val="16"/>
              </w:rPr>
            </w:pPr>
            <w:r w:rsidRPr="00053505">
              <w:rPr>
                <w:rFonts w:ascii="Calibri" w:eastAsia="Times New Roman" w:hAnsi="Calibri" w:cs="Calibri"/>
                <w:sz w:val="16"/>
                <w:szCs w:val="16"/>
              </w:rPr>
              <w:t>20</w:t>
            </w:r>
          </w:p>
        </w:tc>
        <w:tc>
          <w:tcPr>
            <w:tcW w:w="1139" w:type="dxa"/>
            <w:tcBorders>
              <w:top w:val="nil"/>
              <w:left w:val="nil"/>
              <w:bottom w:val="single" w:sz="4" w:space="0" w:color="auto"/>
              <w:right w:val="single" w:sz="4" w:space="0" w:color="auto"/>
            </w:tcBorders>
            <w:shd w:val="clear" w:color="auto" w:fill="auto"/>
            <w:noWrap/>
            <w:vAlign w:val="center"/>
          </w:tcPr>
          <w:p w:rsidR="00646041" w:rsidRPr="00053505" w:rsidRDefault="00646041" w:rsidP="001C4B03">
            <w:pPr>
              <w:spacing w:after="0" w:line="240" w:lineRule="auto"/>
              <w:jc w:val="center"/>
              <w:rPr>
                <w:rFonts w:ascii="Calibri" w:eastAsia="Times New Roman" w:hAnsi="Calibri" w:cs="Calibri"/>
                <w:color w:val="000000"/>
                <w:sz w:val="16"/>
                <w:szCs w:val="16"/>
              </w:rPr>
            </w:pPr>
            <w:r w:rsidRPr="00053505">
              <w:rPr>
                <w:rFonts w:ascii="Calibri" w:eastAsia="Times New Roman" w:hAnsi="Calibri" w:cs="Calibri"/>
                <w:color w:val="000000"/>
                <w:sz w:val="16"/>
                <w:szCs w:val="16"/>
              </w:rPr>
              <w:t>28</w:t>
            </w:r>
          </w:p>
        </w:tc>
      </w:tr>
      <w:tr w:rsidR="00646041"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646041" w:rsidRPr="00053505" w:rsidRDefault="00646041" w:rsidP="00646041">
            <w:pPr>
              <w:rPr>
                <w:rFonts w:ascii="Calibri" w:hAnsi="Calibri" w:cs="Calibri"/>
                <w:sz w:val="16"/>
                <w:szCs w:val="16"/>
              </w:rPr>
            </w:pPr>
            <w:r w:rsidRPr="00053505">
              <w:rPr>
                <w:rFonts w:ascii="Calibri" w:hAnsi="Calibri" w:cs="Calibri"/>
                <w:sz w:val="16"/>
                <w:szCs w:val="16"/>
              </w:rPr>
              <w:t>Ejercer la representación de la Agencia dentro de los procesos de expropiación que conforme a las disposiciones contractuales le corresponda adelantar.</w:t>
            </w:r>
          </w:p>
        </w:tc>
        <w:tc>
          <w:tcPr>
            <w:tcW w:w="1612" w:type="dxa"/>
            <w:tcBorders>
              <w:top w:val="nil"/>
              <w:left w:val="nil"/>
              <w:bottom w:val="single" w:sz="4" w:space="0" w:color="auto"/>
              <w:right w:val="single" w:sz="4" w:space="0" w:color="auto"/>
            </w:tcBorders>
            <w:shd w:val="clear" w:color="auto" w:fill="auto"/>
            <w:vAlign w:val="center"/>
          </w:tcPr>
          <w:p w:rsidR="00646041" w:rsidRPr="00053505" w:rsidRDefault="00646041" w:rsidP="00646041">
            <w:pPr>
              <w:jc w:val="center"/>
              <w:rPr>
                <w:rFonts w:ascii="Calibri" w:hAnsi="Calibri" w:cs="Calibri"/>
                <w:sz w:val="16"/>
                <w:szCs w:val="16"/>
              </w:rPr>
            </w:pPr>
            <w:r w:rsidRPr="00053505">
              <w:rPr>
                <w:rFonts w:ascii="Calibri" w:hAnsi="Calibri" w:cs="Calibri"/>
                <w:sz w:val="16"/>
                <w:szCs w:val="16"/>
              </w:rPr>
              <w:t>Procesos judiciales y extrajudiciales</w:t>
            </w:r>
          </w:p>
        </w:tc>
        <w:tc>
          <w:tcPr>
            <w:tcW w:w="1230" w:type="dxa"/>
            <w:tcBorders>
              <w:top w:val="nil"/>
              <w:left w:val="nil"/>
              <w:bottom w:val="single" w:sz="4" w:space="0" w:color="auto"/>
              <w:right w:val="single" w:sz="4" w:space="0" w:color="auto"/>
            </w:tcBorders>
            <w:shd w:val="clear" w:color="auto" w:fill="auto"/>
            <w:vAlign w:val="center"/>
          </w:tcPr>
          <w:p w:rsidR="00646041" w:rsidRPr="00053505" w:rsidRDefault="00646041" w:rsidP="001C4B03">
            <w:pPr>
              <w:spacing w:after="0" w:line="240" w:lineRule="auto"/>
              <w:jc w:val="center"/>
              <w:rPr>
                <w:rFonts w:ascii="Calibri" w:eastAsia="Times New Roman" w:hAnsi="Calibri" w:cs="Calibri"/>
                <w:sz w:val="16"/>
                <w:szCs w:val="16"/>
              </w:rPr>
            </w:pPr>
            <w:r w:rsidRPr="00053505">
              <w:rPr>
                <w:rFonts w:ascii="Calibri" w:eastAsia="Times New Roman" w:hAnsi="Calibri" w:cs="Calibri"/>
                <w:sz w:val="16"/>
                <w:szCs w:val="16"/>
              </w:rPr>
              <w:t>800</w:t>
            </w:r>
          </w:p>
        </w:tc>
        <w:tc>
          <w:tcPr>
            <w:tcW w:w="1139" w:type="dxa"/>
            <w:tcBorders>
              <w:top w:val="nil"/>
              <w:left w:val="nil"/>
              <w:bottom w:val="single" w:sz="4" w:space="0" w:color="auto"/>
              <w:right w:val="single" w:sz="4" w:space="0" w:color="auto"/>
            </w:tcBorders>
            <w:shd w:val="clear" w:color="auto" w:fill="auto"/>
            <w:noWrap/>
            <w:vAlign w:val="center"/>
          </w:tcPr>
          <w:p w:rsidR="00646041" w:rsidRPr="00053505" w:rsidRDefault="00646041" w:rsidP="001C4B03">
            <w:pPr>
              <w:spacing w:after="0" w:line="240" w:lineRule="auto"/>
              <w:jc w:val="center"/>
              <w:rPr>
                <w:rFonts w:ascii="Calibri" w:eastAsia="Times New Roman" w:hAnsi="Calibri" w:cs="Calibri"/>
                <w:color w:val="000000"/>
                <w:sz w:val="16"/>
                <w:szCs w:val="16"/>
              </w:rPr>
            </w:pPr>
            <w:r w:rsidRPr="00053505">
              <w:rPr>
                <w:rFonts w:ascii="Calibri" w:eastAsia="Times New Roman" w:hAnsi="Calibri" w:cs="Calibri"/>
                <w:color w:val="000000"/>
                <w:sz w:val="16"/>
                <w:szCs w:val="16"/>
              </w:rPr>
              <w:t>1760</w:t>
            </w:r>
          </w:p>
        </w:tc>
      </w:tr>
      <w:tr w:rsidR="00646041"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646041" w:rsidRPr="00053505" w:rsidRDefault="00646041" w:rsidP="00646041">
            <w:pPr>
              <w:rPr>
                <w:rFonts w:ascii="Calibri" w:hAnsi="Calibri" w:cs="Calibri"/>
                <w:sz w:val="16"/>
                <w:szCs w:val="16"/>
              </w:rPr>
            </w:pPr>
            <w:r w:rsidRPr="00053505">
              <w:rPr>
                <w:rFonts w:ascii="Calibri" w:hAnsi="Calibri" w:cs="Calibri"/>
                <w:sz w:val="16"/>
                <w:szCs w:val="16"/>
              </w:rPr>
              <w:t>Realizar reportes trimestrales en relación con los procesos judiciales y trámites prejudiciales a nivel nacional en los cuales la Agencia Nacional de Infraestructura funja como demandante, demandada o tercero vinculado y/o convocado - Grupo Interno de Trabajo de Defensa Judicial.</w:t>
            </w:r>
          </w:p>
        </w:tc>
        <w:tc>
          <w:tcPr>
            <w:tcW w:w="1612" w:type="dxa"/>
            <w:tcBorders>
              <w:top w:val="nil"/>
              <w:left w:val="nil"/>
              <w:bottom w:val="single" w:sz="4" w:space="0" w:color="auto"/>
              <w:right w:val="single" w:sz="4" w:space="0" w:color="auto"/>
            </w:tcBorders>
            <w:shd w:val="clear" w:color="auto" w:fill="auto"/>
            <w:vAlign w:val="center"/>
          </w:tcPr>
          <w:p w:rsidR="00646041" w:rsidRPr="00053505" w:rsidRDefault="00646041" w:rsidP="00646041">
            <w:pPr>
              <w:jc w:val="center"/>
              <w:rPr>
                <w:rFonts w:ascii="Calibri" w:hAnsi="Calibri" w:cs="Calibri"/>
                <w:sz w:val="16"/>
                <w:szCs w:val="16"/>
              </w:rPr>
            </w:pPr>
            <w:r w:rsidRPr="00053505">
              <w:rPr>
                <w:rFonts w:ascii="Calibri" w:hAnsi="Calibri" w:cs="Calibri"/>
                <w:sz w:val="16"/>
                <w:szCs w:val="16"/>
              </w:rPr>
              <w:t>Sesiones de comité</w:t>
            </w:r>
          </w:p>
        </w:tc>
        <w:tc>
          <w:tcPr>
            <w:tcW w:w="1230" w:type="dxa"/>
            <w:tcBorders>
              <w:top w:val="nil"/>
              <w:left w:val="nil"/>
              <w:bottom w:val="single" w:sz="4" w:space="0" w:color="auto"/>
              <w:right w:val="single" w:sz="4" w:space="0" w:color="auto"/>
            </w:tcBorders>
            <w:shd w:val="clear" w:color="auto" w:fill="auto"/>
            <w:vAlign w:val="center"/>
          </w:tcPr>
          <w:p w:rsidR="00646041" w:rsidRPr="00053505" w:rsidRDefault="00646041" w:rsidP="001C4B03">
            <w:pPr>
              <w:spacing w:after="0" w:line="240" w:lineRule="auto"/>
              <w:jc w:val="center"/>
              <w:rPr>
                <w:rFonts w:ascii="Calibri" w:eastAsia="Times New Roman" w:hAnsi="Calibri" w:cs="Calibri"/>
                <w:sz w:val="16"/>
                <w:szCs w:val="16"/>
              </w:rPr>
            </w:pPr>
            <w:r w:rsidRPr="00053505">
              <w:rPr>
                <w:rFonts w:ascii="Calibri" w:eastAsia="Times New Roman" w:hAnsi="Calibri" w:cs="Calibri"/>
                <w:sz w:val="16"/>
                <w:szCs w:val="16"/>
              </w:rPr>
              <w:t>24</w:t>
            </w:r>
          </w:p>
        </w:tc>
        <w:tc>
          <w:tcPr>
            <w:tcW w:w="1139" w:type="dxa"/>
            <w:tcBorders>
              <w:top w:val="nil"/>
              <w:left w:val="nil"/>
              <w:bottom w:val="single" w:sz="4" w:space="0" w:color="auto"/>
              <w:right w:val="single" w:sz="4" w:space="0" w:color="auto"/>
            </w:tcBorders>
            <w:shd w:val="clear" w:color="auto" w:fill="auto"/>
            <w:noWrap/>
            <w:vAlign w:val="center"/>
          </w:tcPr>
          <w:p w:rsidR="00646041" w:rsidRPr="00053505" w:rsidRDefault="00646041" w:rsidP="001C4B03">
            <w:pPr>
              <w:spacing w:after="0" w:line="240" w:lineRule="auto"/>
              <w:jc w:val="center"/>
              <w:rPr>
                <w:rFonts w:ascii="Calibri" w:eastAsia="Times New Roman" w:hAnsi="Calibri" w:cs="Calibri"/>
                <w:color w:val="000000"/>
                <w:sz w:val="16"/>
                <w:szCs w:val="16"/>
              </w:rPr>
            </w:pPr>
            <w:r w:rsidRPr="00053505">
              <w:rPr>
                <w:rFonts w:ascii="Calibri" w:eastAsia="Times New Roman" w:hAnsi="Calibri" w:cs="Calibri"/>
                <w:color w:val="000000"/>
                <w:sz w:val="16"/>
                <w:szCs w:val="16"/>
              </w:rPr>
              <w:t>22</w:t>
            </w:r>
          </w:p>
        </w:tc>
      </w:tr>
      <w:tr w:rsidR="00646041"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646041" w:rsidRPr="00053505" w:rsidRDefault="00646041" w:rsidP="00646041">
            <w:pPr>
              <w:ind w:firstLineChars="100" w:firstLine="160"/>
              <w:rPr>
                <w:rFonts w:ascii="Calibri" w:hAnsi="Calibri" w:cs="Calibri"/>
                <w:sz w:val="16"/>
                <w:szCs w:val="16"/>
              </w:rPr>
            </w:pPr>
            <w:r w:rsidRPr="00053505">
              <w:rPr>
                <w:rFonts w:ascii="Calibri" w:hAnsi="Calibri" w:cs="Calibri"/>
                <w:sz w:val="16"/>
                <w:szCs w:val="16"/>
              </w:rPr>
              <w:t>Ejercer la representación de la Agencia dentro de los procesos y acciones de carácter penal y policivo que se requieran para la defensa del interés público.</w:t>
            </w:r>
          </w:p>
        </w:tc>
        <w:tc>
          <w:tcPr>
            <w:tcW w:w="1612" w:type="dxa"/>
            <w:tcBorders>
              <w:top w:val="nil"/>
              <w:left w:val="nil"/>
              <w:bottom w:val="single" w:sz="4" w:space="0" w:color="auto"/>
              <w:right w:val="single" w:sz="4" w:space="0" w:color="auto"/>
            </w:tcBorders>
            <w:shd w:val="clear" w:color="auto" w:fill="auto"/>
            <w:vAlign w:val="center"/>
          </w:tcPr>
          <w:p w:rsidR="00646041" w:rsidRPr="00053505" w:rsidRDefault="00646041" w:rsidP="00646041">
            <w:pPr>
              <w:jc w:val="center"/>
              <w:rPr>
                <w:rFonts w:ascii="Calibri" w:hAnsi="Calibri" w:cs="Calibri"/>
                <w:sz w:val="16"/>
                <w:szCs w:val="16"/>
              </w:rPr>
            </w:pPr>
            <w:r w:rsidRPr="00053505">
              <w:rPr>
                <w:rFonts w:ascii="Calibri" w:hAnsi="Calibri" w:cs="Calibri"/>
                <w:sz w:val="16"/>
                <w:szCs w:val="16"/>
              </w:rPr>
              <w:t>Procesos de expropiación</w:t>
            </w:r>
          </w:p>
        </w:tc>
        <w:tc>
          <w:tcPr>
            <w:tcW w:w="1230" w:type="dxa"/>
            <w:tcBorders>
              <w:top w:val="nil"/>
              <w:left w:val="nil"/>
              <w:bottom w:val="single" w:sz="4" w:space="0" w:color="auto"/>
              <w:right w:val="single" w:sz="4" w:space="0" w:color="auto"/>
            </w:tcBorders>
            <w:shd w:val="clear" w:color="auto" w:fill="auto"/>
            <w:vAlign w:val="center"/>
          </w:tcPr>
          <w:p w:rsidR="00646041" w:rsidRPr="00053505" w:rsidRDefault="00646041" w:rsidP="001C4B03">
            <w:pPr>
              <w:spacing w:after="0" w:line="240" w:lineRule="auto"/>
              <w:jc w:val="center"/>
              <w:rPr>
                <w:rFonts w:ascii="Calibri" w:eastAsia="Times New Roman" w:hAnsi="Calibri" w:cs="Calibri"/>
                <w:sz w:val="16"/>
                <w:szCs w:val="16"/>
              </w:rPr>
            </w:pPr>
            <w:r w:rsidRPr="00053505">
              <w:rPr>
                <w:rFonts w:ascii="Calibri" w:eastAsia="Times New Roman" w:hAnsi="Calibri" w:cs="Calibri"/>
                <w:sz w:val="16"/>
                <w:szCs w:val="16"/>
              </w:rPr>
              <w:t>200</w:t>
            </w:r>
          </w:p>
        </w:tc>
        <w:tc>
          <w:tcPr>
            <w:tcW w:w="1139" w:type="dxa"/>
            <w:tcBorders>
              <w:top w:val="nil"/>
              <w:left w:val="nil"/>
              <w:bottom w:val="single" w:sz="4" w:space="0" w:color="auto"/>
              <w:right w:val="single" w:sz="4" w:space="0" w:color="auto"/>
            </w:tcBorders>
            <w:shd w:val="clear" w:color="auto" w:fill="auto"/>
            <w:noWrap/>
            <w:vAlign w:val="center"/>
          </w:tcPr>
          <w:p w:rsidR="00646041" w:rsidRPr="00053505" w:rsidRDefault="00646041" w:rsidP="001C4B03">
            <w:pPr>
              <w:spacing w:after="0" w:line="240" w:lineRule="auto"/>
              <w:jc w:val="center"/>
              <w:rPr>
                <w:rFonts w:ascii="Calibri" w:eastAsia="Times New Roman" w:hAnsi="Calibri" w:cs="Calibri"/>
                <w:color w:val="000000"/>
                <w:sz w:val="16"/>
                <w:szCs w:val="16"/>
              </w:rPr>
            </w:pPr>
            <w:r w:rsidRPr="00053505">
              <w:rPr>
                <w:rFonts w:ascii="Calibri" w:eastAsia="Times New Roman" w:hAnsi="Calibri" w:cs="Calibri"/>
                <w:color w:val="000000"/>
                <w:sz w:val="16"/>
                <w:szCs w:val="16"/>
              </w:rPr>
              <w:t>0</w:t>
            </w:r>
          </w:p>
        </w:tc>
      </w:tr>
      <w:tr w:rsidR="00053505"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053505" w:rsidRPr="00053505" w:rsidRDefault="00053505" w:rsidP="00053505">
            <w:pPr>
              <w:rPr>
                <w:rFonts w:ascii="Calibri" w:hAnsi="Calibri" w:cs="Calibri"/>
                <w:sz w:val="16"/>
                <w:szCs w:val="16"/>
              </w:rPr>
            </w:pPr>
            <w:r w:rsidRPr="00053505">
              <w:rPr>
                <w:rFonts w:ascii="Calibri" w:hAnsi="Calibri" w:cs="Calibri"/>
                <w:sz w:val="16"/>
                <w:szCs w:val="16"/>
              </w:rPr>
              <w:t xml:space="preserve">Realizar reportes trimestrales en relación con los procesos judiciales y trámites prejudiciales a nivel nacional en los cuales la Agencia Nacional </w:t>
            </w:r>
            <w:r w:rsidRPr="00053505">
              <w:rPr>
                <w:rFonts w:ascii="Calibri" w:hAnsi="Calibri" w:cs="Calibri"/>
                <w:sz w:val="16"/>
                <w:szCs w:val="16"/>
              </w:rPr>
              <w:lastRenderedPageBreak/>
              <w:t>de Infraestructura funja como demandante, demandada o tercero vinculado y/o convocado - Grupo Interno de Trabajo de Defensa Judicial.</w:t>
            </w:r>
          </w:p>
        </w:tc>
        <w:tc>
          <w:tcPr>
            <w:tcW w:w="1612" w:type="dxa"/>
            <w:tcBorders>
              <w:top w:val="nil"/>
              <w:left w:val="nil"/>
              <w:bottom w:val="single" w:sz="4" w:space="0" w:color="auto"/>
              <w:right w:val="single" w:sz="4" w:space="0" w:color="auto"/>
            </w:tcBorders>
            <w:shd w:val="clear" w:color="auto" w:fill="auto"/>
            <w:vAlign w:val="center"/>
          </w:tcPr>
          <w:p w:rsidR="00053505" w:rsidRPr="00053505" w:rsidRDefault="00053505" w:rsidP="00053505">
            <w:pPr>
              <w:jc w:val="center"/>
              <w:rPr>
                <w:rFonts w:ascii="Calibri" w:hAnsi="Calibri" w:cs="Calibri"/>
                <w:sz w:val="16"/>
                <w:szCs w:val="16"/>
              </w:rPr>
            </w:pPr>
            <w:r w:rsidRPr="00053505">
              <w:rPr>
                <w:rFonts w:ascii="Calibri" w:hAnsi="Calibri" w:cs="Calibri"/>
                <w:sz w:val="16"/>
                <w:szCs w:val="16"/>
              </w:rPr>
              <w:lastRenderedPageBreak/>
              <w:t>Reportes trimestrales</w:t>
            </w:r>
          </w:p>
        </w:tc>
        <w:tc>
          <w:tcPr>
            <w:tcW w:w="1230" w:type="dxa"/>
            <w:tcBorders>
              <w:top w:val="nil"/>
              <w:left w:val="nil"/>
              <w:bottom w:val="single" w:sz="4" w:space="0" w:color="auto"/>
              <w:right w:val="single" w:sz="4" w:space="0" w:color="auto"/>
            </w:tcBorders>
            <w:shd w:val="clear" w:color="auto" w:fill="auto"/>
            <w:vAlign w:val="center"/>
          </w:tcPr>
          <w:p w:rsidR="00053505" w:rsidRPr="00053505" w:rsidRDefault="00053505" w:rsidP="001C4B03">
            <w:pPr>
              <w:spacing w:after="0" w:line="240" w:lineRule="auto"/>
              <w:jc w:val="center"/>
              <w:rPr>
                <w:rFonts w:ascii="Calibri" w:eastAsia="Times New Roman" w:hAnsi="Calibri" w:cs="Calibri"/>
                <w:sz w:val="16"/>
                <w:szCs w:val="16"/>
              </w:rPr>
            </w:pPr>
            <w:r w:rsidRPr="00053505">
              <w:rPr>
                <w:rFonts w:ascii="Calibri" w:eastAsia="Times New Roman" w:hAnsi="Calibri" w:cs="Calibri"/>
                <w:sz w:val="16"/>
                <w:szCs w:val="16"/>
              </w:rPr>
              <w:t>4</w:t>
            </w:r>
          </w:p>
        </w:tc>
        <w:tc>
          <w:tcPr>
            <w:tcW w:w="1139" w:type="dxa"/>
            <w:tcBorders>
              <w:top w:val="nil"/>
              <w:left w:val="nil"/>
              <w:bottom w:val="single" w:sz="4" w:space="0" w:color="auto"/>
              <w:right w:val="single" w:sz="4" w:space="0" w:color="auto"/>
            </w:tcBorders>
            <w:shd w:val="clear" w:color="auto" w:fill="auto"/>
            <w:noWrap/>
            <w:vAlign w:val="center"/>
          </w:tcPr>
          <w:p w:rsidR="00053505" w:rsidRPr="00053505" w:rsidRDefault="00053505" w:rsidP="001C4B03">
            <w:pPr>
              <w:spacing w:after="0" w:line="240" w:lineRule="auto"/>
              <w:jc w:val="center"/>
              <w:rPr>
                <w:rFonts w:ascii="Calibri" w:eastAsia="Times New Roman" w:hAnsi="Calibri" w:cs="Calibri"/>
                <w:color w:val="000000"/>
                <w:sz w:val="16"/>
                <w:szCs w:val="16"/>
              </w:rPr>
            </w:pPr>
            <w:r w:rsidRPr="00053505">
              <w:rPr>
                <w:rFonts w:ascii="Calibri" w:eastAsia="Times New Roman" w:hAnsi="Calibri" w:cs="Calibri"/>
                <w:color w:val="000000"/>
                <w:sz w:val="16"/>
                <w:szCs w:val="16"/>
              </w:rPr>
              <w:t>2</w:t>
            </w:r>
          </w:p>
        </w:tc>
      </w:tr>
      <w:tr w:rsidR="00053505" w:rsidRPr="0005612C" w:rsidTr="0094329F">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053505" w:rsidRPr="00053505" w:rsidRDefault="00053505" w:rsidP="00053505">
            <w:pPr>
              <w:rPr>
                <w:rFonts w:ascii="Calibri" w:hAnsi="Calibri" w:cs="Calibri"/>
                <w:sz w:val="16"/>
                <w:szCs w:val="16"/>
              </w:rPr>
            </w:pPr>
            <w:r w:rsidRPr="00053505">
              <w:rPr>
                <w:rFonts w:ascii="Calibri" w:hAnsi="Calibri" w:cs="Calibri"/>
                <w:sz w:val="16"/>
                <w:szCs w:val="16"/>
              </w:rPr>
              <w:lastRenderedPageBreak/>
              <w:t>Ejercer la representación de la Agencia dentro de los procesos y acciones de carácter penal y policivo que se requieran para la defensa del interés público.</w:t>
            </w:r>
          </w:p>
        </w:tc>
        <w:tc>
          <w:tcPr>
            <w:tcW w:w="1612" w:type="dxa"/>
            <w:tcBorders>
              <w:top w:val="nil"/>
              <w:left w:val="nil"/>
              <w:bottom w:val="single" w:sz="4" w:space="0" w:color="auto"/>
              <w:right w:val="single" w:sz="4" w:space="0" w:color="auto"/>
            </w:tcBorders>
            <w:shd w:val="clear" w:color="auto" w:fill="auto"/>
            <w:vAlign w:val="center"/>
          </w:tcPr>
          <w:p w:rsidR="00053505" w:rsidRPr="00053505" w:rsidRDefault="00053505" w:rsidP="00053505">
            <w:pPr>
              <w:rPr>
                <w:rFonts w:ascii="Calibri" w:hAnsi="Calibri" w:cs="Calibri"/>
                <w:sz w:val="16"/>
                <w:szCs w:val="16"/>
              </w:rPr>
            </w:pPr>
            <w:r w:rsidRPr="00053505">
              <w:rPr>
                <w:rFonts w:ascii="Calibri" w:hAnsi="Calibri" w:cs="Calibri"/>
                <w:sz w:val="16"/>
                <w:szCs w:val="16"/>
              </w:rPr>
              <w:t>Acciones penales y policivas</w:t>
            </w:r>
          </w:p>
        </w:tc>
        <w:tc>
          <w:tcPr>
            <w:tcW w:w="1230" w:type="dxa"/>
            <w:tcBorders>
              <w:top w:val="nil"/>
              <w:left w:val="nil"/>
              <w:bottom w:val="single" w:sz="4" w:space="0" w:color="auto"/>
              <w:right w:val="single" w:sz="4" w:space="0" w:color="auto"/>
            </w:tcBorders>
            <w:shd w:val="clear" w:color="auto" w:fill="auto"/>
            <w:vAlign w:val="center"/>
          </w:tcPr>
          <w:p w:rsidR="00053505" w:rsidRPr="00053505" w:rsidRDefault="00053505" w:rsidP="001C4B03">
            <w:pPr>
              <w:spacing w:after="0" w:line="240" w:lineRule="auto"/>
              <w:jc w:val="center"/>
              <w:rPr>
                <w:rFonts w:ascii="Calibri" w:eastAsia="Times New Roman" w:hAnsi="Calibri" w:cs="Calibri"/>
                <w:sz w:val="16"/>
                <w:szCs w:val="16"/>
              </w:rPr>
            </w:pPr>
            <w:r w:rsidRPr="00053505">
              <w:rPr>
                <w:rFonts w:ascii="Calibri" w:eastAsia="Times New Roman" w:hAnsi="Calibri" w:cs="Calibri"/>
                <w:sz w:val="16"/>
                <w:szCs w:val="16"/>
              </w:rPr>
              <w:t>20</w:t>
            </w:r>
          </w:p>
        </w:tc>
        <w:tc>
          <w:tcPr>
            <w:tcW w:w="1139" w:type="dxa"/>
            <w:tcBorders>
              <w:top w:val="nil"/>
              <w:left w:val="nil"/>
              <w:bottom w:val="single" w:sz="4" w:space="0" w:color="auto"/>
              <w:right w:val="single" w:sz="4" w:space="0" w:color="auto"/>
            </w:tcBorders>
            <w:shd w:val="clear" w:color="auto" w:fill="auto"/>
            <w:noWrap/>
            <w:vAlign w:val="center"/>
          </w:tcPr>
          <w:p w:rsidR="00053505" w:rsidRPr="00053505" w:rsidRDefault="00053505" w:rsidP="001C4B03">
            <w:pPr>
              <w:spacing w:after="0" w:line="240" w:lineRule="auto"/>
              <w:jc w:val="center"/>
              <w:rPr>
                <w:rFonts w:ascii="Calibri" w:eastAsia="Times New Roman" w:hAnsi="Calibri" w:cs="Calibri"/>
                <w:color w:val="000000"/>
                <w:sz w:val="16"/>
                <w:szCs w:val="16"/>
              </w:rPr>
            </w:pPr>
            <w:r w:rsidRPr="00053505">
              <w:rPr>
                <w:rFonts w:ascii="Calibri" w:eastAsia="Times New Roman" w:hAnsi="Calibri" w:cs="Calibri"/>
                <w:color w:val="000000"/>
                <w:sz w:val="16"/>
                <w:szCs w:val="16"/>
              </w:rPr>
              <w:t>58</w:t>
            </w:r>
          </w:p>
        </w:tc>
      </w:tr>
      <w:tr w:rsidR="0094329F" w:rsidRPr="0005612C" w:rsidTr="00976636">
        <w:trPr>
          <w:trHeight w:val="255"/>
          <w:jc w:val="center"/>
        </w:trPr>
        <w:tc>
          <w:tcPr>
            <w:tcW w:w="4847" w:type="dxa"/>
            <w:tcBorders>
              <w:top w:val="nil"/>
              <w:left w:val="nil"/>
              <w:bottom w:val="nil"/>
              <w:right w:val="nil"/>
            </w:tcBorders>
            <w:shd w:val="clear" w:color="auto" w:fill="auto"/>
            <w:noWrap/>
            <w:vAlign w:val="center"/>
          </w:tcPr>
          <w:p w:rsidR="00976636" w:rsidRPr="0005612C" w:rsidRDefault="00976636" w:rsidP="001C4B03">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tcPr>
          <w:p w:rsidR="0094329F" w:rsidRPr="0005612C" w:rsidRDefault="0094329F" w:rsidP="001C4B03">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tcPr>
          <w:p w:rsidR="0094329F" w:rsidRPr="0005612C" w:rsidRDefault="0094329F" w:rsidP="001C4B03">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tcPr>
          <w:p w:rsidR="0094329F" w:rsidRPr="0005612C" w:rsidRDefault="0094329F" w:rsidP="001C4B03">
            <w:pPr>
              <w:spacing w:after="0" w:line="240" w:lineRule="auto"/>
              <w:jc w:val="center"/>
              <w:rPr>
                <w:rFonts w:ascii="Calibri" w:eastAsia="Times New Roman" w:hAnsi="Calibri" w:cs="Calibri"/>
                <w:color w:val="000000"/>
                <w:sz w:val="20"/>
                <w:szCs w:val="20"/>
              </w:rPr>
            </w:pPr>
          </w:p>
        </w:tc>
      </w:tr>
      <w:tr w:rsidR="00B45B88" w:rsidRPr="0005612C" w:rsidTr="001C4B03">
        <w:trPr>
          <w:trHeight w:val="255"/>
          <w:jc w:val="center"/>
        </w:trPr>
        <w:tc>
          <w:tcPr>
            <w:tcW w:w="4847" w:type="dxa"/>
            <w:tcBorders>
              <w:top w:val="nil"/>
              <w:left w:val="nil"/>
              <w:bottom w:val="nil"/>
              <w:right w:val="nil"/>
            </w:tcBorders>
            <w:shd w:val="clear" w:color="auto" w:fill="auto"/>
            <w:noWrap/>
            <w:vAlign w:val="center"/>
          </w:tcPr>
          <w:p w:rsidR="00B45B88" w:rsidRPr="0005612C" w:rsidRDefault="00B45B88" w:rsidP="001C4B03">
            <w:pPr>
              <w:spacing w:after="0" w:line="240" w:lineRule="auto"/>
              <w:rPr>
                <w:rFonts w:ascii="Calibri" w:eastAsia="Times New Roman" w:hAnsi="Calibri" w:cs="Calibri"/>
                <w:color w:val="000000"/>
                <w:sz w:val="20"/>
                <w:szCs w:val="20"/>
              </w:rPr>
            </w:pPr>
            <w:r w:rsidRPr="00B45B88">
              <w:rPr>
                <w:rFonts w:ascii="Calibri" w:eastAsia="Times New Roman" w:hAnsi="Calibri" w:cs="Calibri"/>
                <w:b/>
                <w:bCs/>
                <w:color w:val="000000"/>
                <w:sz w:val="20"/>
                <w:szCs w:val="20"/>
              </w:rPr>
              <w:t>Gerencia Gestión jurídica Contractual 2</w:t>
            </w:r>
          </w:p>
        </w:tc>
        <w:tc>
          <w:tcPr>
            <w:tcW w:w="1612" w:type="dxa"/>
            <w:tcBorders>
              <w:top w:val="nil"/>
              <w:left w:val="nil"/>
              <w:bottom w:val="nil"/>
              <w:right w:val="nil"/>
            </w:tcBorders>
            <w:shd w:val="clear" w:color="auto" w:fill="auto"/>
            <w:noWrap/>
            <w:vAlign w:val="center"/>
          </w:tcPr>
          <w:p w:rsidR="00B45B88" w:rsidRPr="0005612C" w:rsidRDefault="00B45B88" w:rsidP="001C4B03">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tcPr>
          <w:p w:rsidR="00B45B88" w:rsidRPr="0005612C" w:rsidRDefault="00B45B88" w:rsidP="001C4B03">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tcPr>
          <w:p w:rsidR="00B45B88" w:rsidRPr="0005612C" w:rsidRDefault="00B45B88" w:rsidP="001C4B03">
            <w:pPr>
              <w:spacing w:after="0" w:line="240" w:lineRule="auto"/>
              <w:jc w:val="center"/>
              <w:rPr>
                <w:rFonts w:ascii="Calibri" w:eastAsia="Times New Roman" w:hAnsi="Calibri" w:cs="Calibri"/>
                <w:color w:val="000000"/>
                <w:sz w:val="20"/>
                <w:szCs w:val="20"/>
              </w:rPr>
            </w:pPr>
          </w:p>
        </w:tc>
      </w:tr>
      <w:tr w:rsidR="00B45B88" w:rsidRPr="0005612C" w:rsidTr="001C4B03">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B45B88" w:rsidRPr="00847C5C" w:rsidRDefault="003B4544" w:rsidP="003B4544">
            <w:pPr>
              <w:rPr>
                <w:rFonts w:ascii="Calibri" w:hAnsi="Calibri" w:cs="Calibri"/>
                <w:sz w:val="16"/>
                <w:szCs w:val="16"/>
              </w:rPr>
            </w:pPr>
            <w:r w:rsidRPr="00847C5C">
              <w:rPr>
                <w:rFonts w:ascii="Calibri" w:hAnsi="Calibri" w:cs="Calibri"/>
                <w:sz w:val="16"/>
                <w:szCs w:val="16"/>
              </w:rPr>
              <w:t>Elaborar la Resolución por medio de la cual se reglamenta el trámite de Permiso de ocupación temporal en vías Férreas y Carreteras.</w:t>
            </w:r>
          </w:p>
        </w:tc>
        <w:tc>
          <w:tcPr>
            <w:tcW w:w="1612" w:type="dxa"/>
            <w:tcBorders>
              <w:top w:val="single" w:sz="4" w:space="0" w:color="auto"/>
              <w:left w:val="nil"/>
              <w:bottom w:val="single" w:sz="4" w:space="0" w:color="auto"/>
              <w:right w:val="single" w:sz="4" w:space="0" w:color="auto"/>
            </w:tcBorders>
            <w:shd w:val="clear" w:color="auto" w:fill="auto"/>
            <w:vAlign w:val="center"/>
          </w:tcPr>
          <w:p w:rsidR="00B45B88" w:rsidRPr="00847C5C" w:rsidRDefault="00847C5C" w:rsidP="00847C5C">
            <w:pPr>
              <w:jc w:val="center"/>
              <w:rPr>
                <w:rFonts w:ascii="Calibri" w:hAnsi="Calibri" w:cs="Calibri"/>
                <w:sz w:val="16"/>
                <w:szCs w:val="16"/>
              </w:rPr>
            </w:pPr>
            <w:r w:rsidRPr="00847C5C">
              <w:rPr>
                <w:rFonts w:ascii="Calibri" w:hAnsi="Calibri" w:cs="Calibri"/>
                <w:sz w:val="16"/>
                <w:szCs w:val="16"/>
              </w:rPr>
              <w:t>Proyecto de Resolución</w:t>
            </w:r>
          </w:p>
        </w:tc>
        <w:tc>
          <w:tcPr>
            <w:tcW w:w="1230" w:type="dxa"/>
            <w:tcBorders>
              <w:top w:val="single" w:sz="4" w:space="0" w:color="auto"/>
              <w:left w:val="nil"/>
              <w:bottom w:val="single" w:sz="4" w:space="0" w:color="auto"/>
              <w:right w:val="single" w:sz="4" w:space="0" w:color="auto"/>
            </w:tcBorders>
            <w:shd w:val="clear" w:color="auto" w:fill="auto"/>
            <w:vAlign w:val="center"/>
          </w:tcPr>
          <w:p w:rsidR="00B45B88" w:rsidRPr="00847C5C" w:rsidRDefault="00847C5C" w:rsidP="001C4B03">
            <w:pPr>
              <w:spacing w:after="0" w:line="240" w:lineRule="auto"/>
              <w:jc w:val="center"/>
              <w:rPr>
                <w:rFonts w:ascii="Calibri" w:eastAsia="Times New Roman" w:hAnsi="Calibri" w:cs="Calibri"/>
                <w:sz w:val="16"/>
                <w:szCs w:val="16"/>
              </w:rPr>
            </w:pPr>
            <w:r w:rsidRPr="00847C5C">
              <w:rPr>
                <w:rFonts w:ascii="Calibri" w:eastAsia="Times New Roman" w:hAnsi="Calibri" w:cs="Calibri"/>
                <w:sz w:val="16"/>
                <w:szCs w:val="16"/>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45B88" w:rsidRPr="00847C5C" w:rsidRDefault="00847C5C" w:rsidP="001C4B03">
            <w:pPr>
              <w:spacing w:after="0" w:line="240" w:lineRule="auto"/>
              <w:jc w:val="center"/>
              <w:rPr>
                <w:rFonts w:ascii="Calibri" w:eastAsia="Times New Roman" w:hAnsi="Calibri" w:cs="Calibri"/>
                <w:color w:val="000000"/>
                <w:sz w:val="16"/>
                <w:szCs w:val="16"/>
              </w:rPr>
            </w:pPr>
            <w:r w:rsidRPr="00847C5C">
              <w:rPr>
                <w:rFonts w:ascii="Calibri" w:eastAsia="Times New Roman" w:hAnsi="Calibri" w:cs="Calibri"/>
                <w:color w:val="000000"/>
                <w:sz w:val="16"/>
                <w:szCs w:val="16"/>
              </w:rPr>
              <w:t>1</w:t>
            </w:r>
          </w:p>
        </w:tc>
      </w:tr>
      <w:tr w:rsidR="00B45B88"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B45B88" w:rsidRPr="00847C5C" w:rsidRDefault="003B4544" w:rsidP="003B4544">
            <w:pPr>
              <w:rPr>
                <w:rFonts w:ascii="Calibri" w:hAnsi="Calibri" w:cs="Calibri"/>
                <w:sz w:val="16"/>
                <w:szCs w:val="16"/>
              </w:rPr>
            </w:pPr>
            <w:r w:rsidRPr="00847C5C">
              <w:rPr>
                <w:rFonts w:ascii="Calibri" w:hAnsi="Calibri" w:cs="Calibri"/>
                <w:sz w:val="16"/>
                <w:szCs w:val="16"/>
              </w:rPr>
              <w:t>Realizar Informe mensual por cada Concesión vial de los temas tratados en los comités de regularización  primarios y que se encuentren a cargo del Grupo Interno de Trabajo de Asesoría Gestión Contractual 2.</w:t>
            </w:r>
          </w:p>
        </w:tc>
        <w:tc>
          <w:tcPr>
            <w:tcW w:w="1612" w:type="dxa"/>
            <w:tcBorders>
              <w:top w:val="nil"/>
              <w:left w:val="nil"/>
              <w:bottom w:val="single" w:sz="4" w:space="0" w:color="auto"/>
              <w:right w:val="single" w:sz="4" w:space="0" w:color="auto"/>
            </w:tcBorders>
            <w:shd w:val="clear" w:color="auto" w:fill="auto"/>
            <w:vAlign w:val="center"/>
          </w:tcPr>
          <w:p w:rsidR="00B45B88" w:rsidRPr="00847C5C" w:rsidRDefault="00847C5C" w:rsidP="00847C5C">
            <w:pPr>
              <w:jc w:val="center"/>
              <w:rPr>
                <w:rFonts w:ascii="Calibri" w:hAnsi="Calibri" w:cs="Calibri"/>
                <w:sz w:val="16"/>
                <w:szCs w:val="16"/>
              </w:rPr>
            </w:pPr>
            <w:r w:rsidRPr="00847C5C">
              <w:rPr>
                <w:rFonts w:ascii="Calibri" w:hAnsi="Calibri" w:cs="Calibri"/>
                <w:sz w:val="16"/>
                <w:szCs w:val="16"/>
              </w:rPr>
              <w:t>Informe UNO (1)  por cada proyecto vial.</w:t>
            </w:r>
          </w:p>
        </w:tc>
        <w:tc>
          <w:tcPr>
            <w:tcW w:w="1230" w:type="dxa"/>
            <w:tcBorders>
              <w:top w:val="nil"/>
              <w:left w:val="nil"/>
              <w:bottom w:val="single" w:sz="4" w:space="0" w:color="auto"/>
              <w:right w:val="single" w:sz="4" w:space="0" w:color="auto"/>
            </w:tcBorders>
            <w:shd w:val="clear" w:color="auto" w:fill="auto"/>
            <w:vAlign w:val="center"/>
          </w:tcPr>
          <w:p w:rsidR="00B45B88" w:rsidRPr="00847C5C" w:rsidRDefault="00847C5C" w:rsidP="001C4B03">
            <w:pPr>
              <w:spacing w:after="0" w:line="240" w:lineRule="auto"/>
              <w:jc w:val="center"/>
              <w:rPr>
                <w:rFonts w:ascii="Calibri" w:eastAsia="Times New Roman" w:hAnsi="Calibri" w:cs="Calibri"/>
                <w:sz w:val="16"/>
                <w:szCs w:val="16"/>
              </w:rPr>
            </w:pPr>
            <w:r w:rsidRPr="00847C5C">
              <w:rPr>
                <w:rFonts w:ascii="Calibri" w:eastAsia="Times New Roman" w:hAnsi="Calibri" w:cs="Calibri"/>
                <w:sz w:val="16"/>
                <w:szCs w:val="16"/>
              </w:rPr>
              <w:t>168</w:t>
            </w:r>
          </w:p>
        </w:tc>
        <w:tc>
          <w:tcPr>
            <w:tcW w:w="1139" w:type="dxa"/>
            <w:tcBorders>
              <w:top w:val="nil"/>
              <w:left w:val="nil"/>
              <w:bottom w:val="single" w:sz="4" w:space="0" w:color="auto"/>
              <w:right w:val="single" w:sz="4" w:space="0" w:color="auto"/>
            </w:tcBorders>
            <w:shd w:val="clear" w:color="auto" w:fill="auto"/>
            <w:noWrap/>
            <w:vAlign w:val="center"/>
          </w:tcPr>
          <w:p w:rsidR="00B45B88" w:rsidRPr="00847C5C" w:rsidRDefault="00847C5C" w:rsidP="001C4B03">
            <w:pPr>
              <w:spacing w:after="0" w:line="240" w:lineRule="auto"/>
              <w:jc w:val="center"/>
              <w:rPr>
                <w:rFonts w:ascii="Calibri" w:eastAsia="Times New Roman" w:hAnsi="Calibri" w:cs="Calibri"/>
                <w:color w:val="000000"/>
                <w:sz w:val="16"/>
                <w:szCs w:val="16"/>
              </w:rPr>
            </w:pPr>
            <w:r w:rsidRPr="00847C5C">
              <w:rPr>
                <w:rFonts w:ascii="Calibri" w:eastAsia="Times New Roman" w:hAnsi="Calibri" w:cs="Calibri"/>
                <w:color w:val="000000"/>
                <w:sz w:val="16"/>
                <w:szCs w:val="16"/>
              </w:rPr>
              <w:t>85</w:t>
            </w:r>
          </w:p>
        </w:tc>
      </w:tr>
      <w:tr w:rsidR="003B4544"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3B4544" w:rsidRPr="00847C5C" w:rsidRDefault="003B4544" w:rsidP="005C5894">
            <w:pPr>
              <w:rPr>
                <w:rFonts w:ascii="Calibri" w:hAnsi="Calibri" w:cs="Calibri"/>
                <w:sz w:val="16"/>
                <w:szCs w:val="16"/>
              </w:rPr>
            </w:pPr>
            <w:r w:rsidRPr="00847C5C">
              <w:rPr>
                <w:rFonts w:ascii="Calibri" w:hAnsi="Calibri" w:cs="Calibri"/>
                <w:sz w:val="16"/>
                <w:szCs w:val="16"/>
              </w:rPr>
              <w:t>Realizar el Informe mensual de las acciones por cada una de las  Concesiones Férreas</w:t>
            </w:r>
          </w:p>
        </w:tc>
        <w:tc>
          <w:tcPr>
            <w:tcW w:w="1612" w:type="dxa"/>
            <w:tcBorders>
              <w:top w:val="nil"/>
              <w:left w:val="nil"/>
              <w:bottom w:val="single" w:sz="4" w:space="0" w:color="auto"/>
              <w:right w:val="single" w:sz="4" w:space="0" w:color="auto"/>
            </w:tcBorders>
            <w:shd w:val="clear" w:color="auto" w:fill="auto"/>
            <w:vAlign w:val="center"/>
          </w:tcPr>
          <w:p w:rsidR="003B4544" w:rsidRPr="00847C5C" w:rsidRDefault="00847C5C" w:rsidP="00847C5C">
            <w:pPr>
              <w:jc w:val="center"/>
              <w:rPr>
                <w:rFonts w:ascii="Calibri" w:hAnsi="Calibri" w:cs="Calibri"/>
                <w:sz w:val="16"/>
                <w:szCs w:val="16"/>
              </w:rPr>
            </w:pPr>
            <w:r w:rsidRPr="00847C5C">
              <w:rPr>
                <w:rFonts w:ascii="Calibri" w:hAnsi="Calibri" w:cs="Calibri"/>
                <w:sz w:val="16"/>
                <w:szCs w:val="16"/>
              </w:rPr>
              <w:t>Informe UNO (1)  por Red Férrea del Pacífico y los dos Contratos de Obras y (2) por Red Férrea del Atlántico.</w:t>
            </w:r>
          </w:p>
        </w:tc>
        <w:tc>
          <w:tcPr>
            <w:tcW w:w="1230" w:type="dxa"/>
            <w:tcBorders>
              <w:top w:val="nil"/>
              <w:left w:val="nil"/>
              <w:bottom w:val="single" w:sz="4" w:space="0" w:color="auto"/>
              <w:right w:val="single" w:sz="4" w:space="0" w:color="auto"/>
            </w:tcBorders>
            <w:shd w:val="clear" w:color="auto" w:fill="auto"/>
            <w:vAlign w:val="center"/>
          </w:tcPr>
          <w:p w:rsidR="003B4544" w:rsidRPr="00847C5C" w:rsidRDefault="00847C5C" w:rsidP="001C4B03">
            <w:pPr>
              <w:spacing w:after="0" w:line="240" w:lineRule="auto"/>
              <w:jc w:val="center"/>
              <w:rPr>
                <w:rFonts w:ascii="Calibri" w:eastAsia="Times New Roman" w:hAnsi="Calibri" w:cs="Calibri"/>
                <w:sz w:val="16"/>
                <w:szCs w:val="16"/>
              </w:rPr>
            </w:pPr>
            <w:r w:rsidRPr="00847C5C">
              <w:rPr>
                <w:rFonts w:ascii="Calibri" w:eastAsia="Times New Roman" w:hAnsi="Calibri" w:cs="Calibri"/>
                <w:sz w:val="16"/>
                <w:szCs w:val="16"/>
              </w:rPr>
              <w:t>24</w:t>
            </w:r>
          </w:p>
        </w:tc>
        <w:tc>
          <w:tcPr>
            <w:tcW w:w="1139" w:type="dxa"/>
            <w:tcBorders>
              <w:top w:val="nil"/>
              <w:left w:val="nil"/>
              <w:bottom w:val="single" w:sz="4" w:space="0" w:color="auto"/>
              <w:right w:val="single" w:sz="4" w:space="0" w:color="auto"/>
            </w:tcBorders>
            <w:shd w:val="clear" w:color="auto" w:fill="auto"/>
            <w:noWrap/>
            <w:vAlign w:val="center"/>
          </w:tcPr>
          <w:p w:rsidR="003B4544" w:rsidRPr="00847C5C" w:rsidRDefault="00847C5C" w:rsidP="001C4B03">
            <w:pPr>
              <w:spacing w:after="0" w:line="240" w:lineRule="auto"/>
              <w:jc w:val="center"/>
              <w:rPr>
                <w:rFonts w:ascii="Calibri" w:eastAsia="Times New Roman" w:hAnsi="Calibri" w:cs="Calibri"/>
                <w:color w:val="000000"/>
                <w:sz w:val="16"/>
                <w:szCs w:val="16"/>
              </w:rPr>
            </w:pPr>
            <w:r w:rsidRPr="00847C5C">
              <w:rPr>
                <w:rFonts w:ascii="Calibri" w:eastAsia="Times New Roman" w:hAnsi="Calibri" w:cs="Calibri"/>
                <w:color w:val="000000"/>
                <w:sz w:val="16"/>
                <w:szCs w:val="16"/>
              </w:rPr>
              <w:t>12</w:t>
            </w:r>
          </w:p>
        </w:tc>
      </w:tr>
      <w:tr w:rsidR="003B4544"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3B4544" w:rsidRPr="00847C5C" w:rsidRDefault="003B4544" w:rsidP="005C5894">
            <w:pPr>
              <w:rPr>
                <w:rFonts w:ascii="Calibri" w:hAnsi="Calibri" w:cs="Calibri"/>
                <w:sz w:val="16"/>
                <w:szCs w:val="16"/>
              </w:rPr>
            </w:pPr>
            <w:r w:rsidRPr="00847C5C">
              <w:rPr>
                <w:rFonts w:ascii="Calibri" w:hAnsi="Calibri" w:cs="Calibri"/>
                <w:sz w:val="16"/>
                <w:szCs w:val="16"/>
              </w:rPr>
              <w:t>Realizar el Informe mensual por cada una de las siguientes Concesiones Aeroportuario</w:t>
            </w:r>
          </w:p>
        </w:tc>
        <w:tc>
          <w:tcPr>
            <w:tcW w:w="1612" w:type="dxa"/>
            <w:tcBorders>
              <w:top w:val="nil"/>
              <w:left w:val="nil"/>
              <w:bottom w:val="single" w:sz="4" w:space="0" w:color="auto"/>
              <w:right w:val="single" w:sz="4" w:space="0" w:color="auto"/>
            </w:tcBorders>
            <w:shd w:val="clear" w:color="auto" w:fill="auto"/>
            <w:vAlign w:val="center"/>
          </w:tcPr>
          <w:p w:rsidR="003B4544" w:rsidRPr="00847C5C" w:rsidRDefault="00847C5C" w:rsidP="00847C5C">
            <w:pPr>
              <w:jc w:val="center"/>
              <w:rPr>
                <w:rFonts w:ascii="Calibri" w:hAnsi="Calibri" w:cs="Calibri"/>
                <w:sz w:val="16"/>
                <w:szCs w:val="16"/>
              </w:rPr>
            </w:pPr>
            <w:r w:rsidRPr="00847C5C">
              <w:rPr>
                <w:rFonts w:ascii="Calibri" w:hAnsi="Calibri" w:cs="Calibri"/>
                <w:sz w:val="16"/>
                <w:szCs w:val="16"/>
              </w:rPr>
              <w:t>Informe UNO (1)  por cada proyecto.</w:t>
            </w:r>
          </w:p>
        </w:tc>
        <w:tc>
          <w:tcPr>
            <w:tcW w:w="1230" w:type="dxa"/>
            <w:tcBorders>
              <w:top w:val="nil"/>
              <w:left w:val="nil"/>
              <w:bottom w:val="single" w:sz="4" w:space="0" w:color="auto"/>
              <w:right w:val="single" w:sz="4" w:space="0" w:color="auto"/>
            </w:tcBorders>
            <w:shd w:val="clear" w:color="auto" w:fill="auto"/>
            <w:vAlign w:val="center"/>
          </w:tcPr>
          <w:p w:rsidR="003B4544" w:rsidRPr="00847C5C" w:rsidRDefault="00847C5C" w:rsidP="001C4B03">
            <w:pPr>
              <w:spacing w:after="0" w:line="240" w:lineRule="auto"/>
              <w:jc w:val="center"/>
              <w:rPr>
                <w:rFonts w:ascii="Calibri" w:eastAsia="Times New Roman" w:hAnsi="Calibri" w:cs="Calibri"/>
                <w:sz w:val="16"/>
                <w:szCs w:val="16"/>
              </w:rPr>
            </w:pPr>
            <w:r w:rsidRPr="00847C5C">
              <w:rPr>
                <w:rFonts w:ascii="Calibri" w:eastAsia="Times New Roman" w:hAnsi="Calibri" w:cs="Calibri"/>
                <w:sz w:val="16"/>
                <w:szCs w:val="16"/>
              </w:rPr>
              <w:t>84</w:t>
            </w:r>
          </w:p>
        </w:tc>
        <w:tc>
          <w:tcPr>
            <w:tcW w:w="1139" w:type="dxa"/>
            <w:tcBorders>
              <w:top w:val="nil"/>
              <w:left w:val="nil"/>
              <w:bottom w:val="single" w:sz="4" w:space="0" w:color="auto"/>
              <w:right w:val="single" w:sz="4" w:space="0" w:color="auto"/>
            </w:tcBorders>
            <w:shd w:val="clear" w:color="auto" w:fill="auto"/>
            <w:noWrap/>
            <w:vAlign w:val="center"/>
          </w:tcPr>
          <w:p w:rsidR="003B4544" w:rsidRPr="00847C5C" w:rsidRDefault="00847C5C" w:rsidP="001C4B03">
            <w:pPr>
              <w:spacing w:after="0" w:line="240" w:lineRule="auto"/>
              <w:jc w:val="center"/>
              <w:rPr>
                <w:rFonts w:ascii="Calibri" w:eastAsia="Times New Roman" w:hAnsi="Calibri" w:cs="Calibri"/>
                <w:color w:val="000000"/>
                <w:sz w:val="16"/>
                <w:szCs w:val="16"/>
              </w:rPr>
            </w:pPr>
            <w:r w:rsidRPr="00847C5C">
              <w:rPr>
                <w:rFonts w:ascii="Calibri" w:eastAsia="Times New Roman" w:hAnsi="Calibri" w:cs="Calibri"/>
                <w:color w:val="000000"/>
                <w:sz w:val="16"/>
                <w:szCs w:val="16"/>
              </w:rPr>
              <w:t>45</w:t>
            </w:r>
          </w:p>
        </w:tc>
      </w:tr>
      <w:tr w:rsidR="003B4544"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3B4544" w:rsidRPr="00847C5C" w:rsidRDefault="003B4544" w:rsidP="005C5894">
            <w:pPr>
              <w:rPr>
                <w:rFonts w:ascii="Calibri" w:hAnsi="Calibri" w:cs="Calibri"/>
                <w:sz w:val="16"/>
                <w:szCs w:val="16"/>
              </w:rPr>
            </w:pPr>
            <w:r w:rsidRPr="00847C5C">
              <w:rPr>
                <w:rFonts w:ascii="Calibri" w:hAnsi="Calibri" w:cs="Calibri"/>
                <w:sz w:val="16"/>
                <w:szCs w:val="16"/>
              </w:rPr>
              <w:t xml:space="preserve">Emitir los conceptos jurídicos en materias relacionadas con modificaciones a los Contratos, declaraciones de incumplimiento, </w:t>
            </w:r>
            <w:r w:rsidR="005C5894" w:rsidRPr="00847C5C">
              <w:rPr>
                <w:rFonts w:ascii="Calibri" w:hAnsi="Calibri" w:cs="Calibri"/>
                <w:sz w:val="16"/>
                <w:szCs w:val="16"/>
              </w:rPr>
              <w:t>declaración</w:t>
            </w:r>
            <w:r w:rsidRPr="00847C5C">
              <w:rPr>
                <w:rFonts w:ascii="Calibri" w:hAnsi="Calibri" w:cs="Calibri"/>
                <w:sz w:val="16"/>
                <w:szCs w:val="16"/>
              </w:rPr>
              <w:t xml:space="preserve"> y aplicación de cláusulas excepcionales, imposición de multas y sanciones por incumplimiento contractual.</w:t>
            </w:r>
          </w:p>
        </w:tc>
        <w:tc>
          <w:tcPr>
            <w:tcW w:w="1612" w:type="dxa"/>
            <w:tcBorders>
              <w:top w:val="nil"/>
              <w:left w:val="nil"/>
              <w:bottom w:val="single" w:sz="4" w:space="0" w:color="auto"/>
              <w:right w:val="single" w:sz="4" w:space="0" w:color="auto"/>
            </w:tcBorders>
            <w:shd w:val="clear" w:color="auto" w:fill="auto"/>
            <w:vAlign w:val="center"/>
          </w:tcPr>
          <w:p w:rsidR="003B4544" w:rsidRPr="00847C5C" w:rsidRDefault="00847C5C" w:rsidP="00847C5C">
            <w:pPr>
              <w:jc w:val="center"/>
              <w:rPr>
                <w:rFonts w:ascii="Calibri" w:hAnsi="Calibri" w:cs="Calibri"/>
                <w:sz w:val="16"/>
                <w:szCs w:val="16"/>
              </w:rPr>
            </w:pPr>
            <w:r w:rsidRPr="00847C5C">
              <w:rPr>
                <w:rFonts w:ascii="Calibri" w:hAnsi="Calibri" w:cs="Calibri"/>
                <w:sz w:val="16"/>
                <w:szCs w:val="16"/>
              </w:rPr>
              <w:t>Conceptos Emitidos</w:t>
            </w:r>
          </w:p>
        </w:tc>
        <w:tc>
          <w:tcPr>
            <w:tcW w:w="1230" w:type="dxa"/>
            <w:tcBorders>
              <w:top w:val="nil"/>
              <w:left w:val="nil"/>
              <w:bottom w:val="single" w:sz="4" w:space="0" w:color="auto"/>
              <w:right w:val="single" w:sz="4" w:space="0" w:color="auto"/>
            </w:tcBorders>
            <w:shd w:val="clear" w:color="auto" w:fill="auto"/>
            <w:vAlign w:val="center"/>
          </w:tcPr>
          <w:p w:rsidR="003B4544" w:rsidRPr="00847C5C" w:rsidRDefault="00847C5C" w:rsidP="001C4B03">
            <w:pPr>
              <w:spacing w:after="0" w:line="240" w:lineRule="auto"/>
              <w:jc w:val="center"/>
              <w:rPr>
                <w:rFonts w:ascii="Calibri" w:eastAsia="Times New Roman" w:hAnsi="Calibri" w:cs="Calibri"/>
                <w:sz w:val="16"/>
                <w:szCs w:val="16"/>
              </w:rPr>
            </w:pPr>
            <w:r w:rsidRPr="00847C5C">
              <w:rPr>
                <w:rFonts w:ascii="Calibri" w:eastAsia="Times New Roman" w:hAnsi="Calibri" w:cs="Calibri"/>
                <w:sz w:val="16"/>
                <w:szCs w:val="16"/>
              </w:rPr>
              <w:t>100%</w:t>
            </w:r>
          </w:p>
        </w:tc>
        <w:tc>
          <w:tcPr>
            <w:tcW w:w="1139" w:type="dxa"/>
            <w:tcBorders>
              <w:top w:val="nil"/>
              <w:left w:val="nil"/>
              <w:bottom w:val="single" w:sz="4" w:space="0" w:color="auto"/>
              <w:right w:val="single" w:sz="4" w:space="0" w:color="auto"/>
            </w:tcBorders>
            <w:shd w:val="clear" w:color="auto" w:fill="auto"/>
            <w:noWrap/>
            <w:vAlign w:val="center"/>
          </w:tcPr>
          <w:p w:rsidR="003B4544" w:rsidRPr="00847C5C" w:rsidRDefault="00847C5C" w:rsidP="001C4B03">
            <w:pPr>
              <w:spacing w:after="0" w:line="240" w:lineRule="auto"/>
              <w:jc w:val="center"/>
              <w:rPr>
                <w:rFonts w:ascii="Calibri" w:eastAsia="Times New Roman" w:hAnsi="Calibri" w:cs="Calibri"/>
                <w:color w:val="000000"/>
                <w:sz w:val="16"/>
                <w:szCs w:val="16"/>
              </w:rPr>
            </w:pPr>
            <w:r w:rsidRPr="00847C5C">
              <w:rPr>
                <w:rFonts w:ascii="Calibri" w:eastAsia="Times New Roman" w:hAnsi="Calibri" w:cs="Calibri"/>
                <w:color w:val="000000"/>
                <w:sz w:val="16"/>
                <w:szCs w:val="16"/>
              </w:rPr>
              <w:t>49.8%</w:t>
            </w:r>
          </w:p>
        </w:tc>
      </w:tr>
      <w:tr w:rsidR="003B4544"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3B4544" w:rsidRPr="00847C5C" w:rsidRDefault="003B4544" w:rsidP="005C5894">
            <w:pPr>
              <w:rPr>
                <w:rFonts w:ascii="Calibri" w:hAnsi="Calibri" w:cs="Calibri"/>
                <w:sz w:val="16"/>
                <w:szCs w:val="16"/>
              </w:rPr>
            </w:pPr>
            <w:r w:rsidRPr="00847C5C">
              <w:rPr>
                <w:rFonts w:ascii="Calibri" w:hAnsi="Calibri" w:cs="Calibri"/>
                <w:sz w:val="16"/>
                <w:szCs w:val="16"/>
              </w:rPr>
              <w:t>Elaborar las Resoluciones por las cuales se resuelve las solicitudes en los temas relacionados con los permisos férreos y carreteros y/o conceptos requiriendo información y/o aclaración y/o complementación de los mismos</w:t>
            </w:r>
          </w:p>
        </w:tc>
        <w:tc>
          <w:tcPr>
            <w:tcW w:w="1612" w:type="dxa"/>
            <w:tcBorders>
              <w:top w:val="nil"/>
              <w:left w:val="nil"/>
              <w:bottom w:val="single" w:sz="4" w:space="0" w:color="auto"/>
              <w:right w:val="single" w:sz="4" w:space="0" w:color="auto"/>
            </w:tcBorders>
            <w:shd w:val="clear" w:color="auto" w:fill="auto"/>
            <w:vAlign w:val="center"/>
          </w:tcPr>
          <w:p w:rsidR="003B4544" w:rsidRPr="00847C5C" w:rsidRDefault="00847C5C" w:rsidP="00847C5C">
            <w:pPr>
              <w:jc w:val="center"/>
              <w:rPr>
                <w:rFonts w:ascii="Calibri" w:hAnsi="Calibri" w:cs="Calibri"/>
                <w:sz w:val="16"/>
                <w:szCs w:val="16"/>
              </w:rPr>
            </w:pPr>
            <w:r w:rsidRPr="00847C5C">
              <w:rPr>
                <w:rFonts w:ascii="Calibri" w:hAnsi="Calibri" w:cs="Calibri"/>
                <w:sz w:val="16"/>
                <w:szCs w:val="16"/>
              </w:rPr>
              <w:t>Proyecto de Resolución/Concepto emitido</w:t>
            </w:r>
          </w:p>
        </w:tc>
        <w:tc>
          <w:tcPr>
            <w:tcW w:w="1230" w:type="dxa"/>
            <w:tcBorders>
              <w:top w:val="nil"/>
              <w:left w:val="nil"/>
              <w:bottom w:val="single" w:sz="4" w:space="0" w:color="auto"/>
              <w:right w:val="single" w:sz="4" w:space="0" w:color="auto"/>
            </w:tcBorders>
            <w:shd w:val="clear" w:color="auto" w:fill="auto"/>
            <w:vAlign w:val="center"/>
          </w:tcPr>
          <w:p w:rsidR="003B4544" w:rsidRPr="00847C5C" w:rsidRDefault="00847C5C" w:rsidP="001C4B03">
            <w:pPr>
              <w:spacing w:after="0" w:line="240" w:lineRule="auto"/>
              <w:jc w:val="center"/>
              <w:rPr>
                <w:rFonts w:ascii="Calibri" w:eastAsia="Times New Roman" w:hAnsi="Calibri" w:cs="Calibri"/>
                <w:sz w:val="16"/>
                <w:szCs w:val="16"/>
              </w:rPr>
            </w:pPr>
            <w:r w:rsidRPr="00847C5C">
              <w:rPr>
                <w:rFonts w:ascii="Calibri" w:eastAsia="Times New Roman" w:hAnsi="Calibri" w:cs="Calibri"/>
                <w:sz w:val="16"/>
                <w:szCs w:val="16"/>
              </w:rPr>
              <w:t>100%</w:t>
            </w:r>
          </w:p>
        </w:tc>
        <w:tc>
          <w:tcPr>
            <w:tcW w:w="1139" w:type="dxa"/>
            <w:tcBorders>
              <w:top w:val="nil"/>
              <w:left w:val="nil"/>
              <w:bottom w:val="single" w:sz="4" w:space="0" w:color="auto"/>
              <w:right w:val="single" w:sz="4" w:space="0" w:color="auto"/>
            </w:tcBorders>
            <w:shd w:val="clear" w:color="auto" w:fill="auto"/>
            <w:noWrap/>
            <w:vAlign w:val="center"/>
          </w:tcPr>
          <w:p w:rsidR="00847C5C" w:rsidRPr="00847C5C" w:rsidRDefault="00847C5C" w:rsidP="00847C5C">
            <w:pPr>
              <w:spacing w:after="0" w:line="240" w:lineRule="auto"/>
              <w:jc w:val="center"/>
              <w:rPr>
                <w:rFonts w:ascii="Calibri" w:eastAsia="Times New Roman" w:hAnsi="Calibri" w:cs="Calibri"/>
                <w:color w:val="000000"/>
                <w:sz w:val="16"/>
                <w:szCs w:val="16"/>
              </w:rPr>
            </w:pPr>
            <w:r w:rsidRPr="00847C5C">
              <w:rPr>
                <w:rFonts w:ascii="Calibri" w:eastAsia="Times New Roman" w:hAnsi="Calibri" w:cs="Calibri"/>
                <w:color w:val="000000"/>
                <w:sz w:val="16"/>
                <w:szCs w:val="16"/>
              </w:rPr>
              <w:t>50%</w:t>
            </w:r>
          </w:p>
        </w:tc>
      </w:tr>
      <w:tr w:rsidR="003B4544"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3B4544" w:rsidRPr="00847C5C" w:rsidRDefault="003B4544" w:rsidP="005C5894">
            <w:pPr>
              <w:rPr>
                <w:rFonts w:ascii="Calibri" w:hAnsi="Calibri" w:cs="Calibri"/>
                <w:sz w:val="16"/>
                <w:szCs w:val="16"/>
              </w:rPr>
            </w:pPr>
            <w:r w:rsidRPr="00847C5C">
              <w:rPr>
                <w:rFonts w:ascii="Calibri" w:hAnsi="Calibri" w:cs="Calibri"/>
                <w:sz w:val="16"/>
                <w:szCs w:val="16"/>
              </w:rPr>
              <w:t>Elaborar las Actas de Aprobación de las Pólizas de los Permisos Otorgados.</w:t>
            </w:r>
          </w:p>
        </w:tc>
        <w:tc>
          <w:tcPr>
            <w:tcW w:w="1612" w:type="dxa"/>
            <w:tcBorders>
              <w:top w:val="nil"/>
              <w:left w:val="nil"/>
              <w:bottom w:val="single" w:sz="4" w:space="0" w:color="auto"/>
              <w:right w:val="single" w:sz="4" w:space="0" w:color="auto"/>
            </w:tcBorders>
            <w:shd w:val="clear" w:color="auto" w:fill="auto"/>
            <w:vAlign w:val="center"/>
          </w:tcPr>
          <w:p w:rsidR="003B4544" w:rsidRPr="00847C5C" w:rsidRDefault="00847C5C" w:rsidP="00847C5C">
            <w:pPr>
              <w:jc w:val="center"/>
              <w:rPr>
                <w:rFonts w:ascii="Calibri" w:hAnsi="Calibri" w:cs="Calibri"/>
                <w:sz w:val="16"/>
                <w:szCs w:val="16"/>
              </w:rPr>
            </w:pPr>
            <w:r w:rsidRPr="00847C5C">
              <w:rPr>
                <w:rFonts w:ascii="Calibri" w:hAnsi="Calibri" w:cs="Calibri"/>
                <w:sz w:val="16"/>
                <w:szCs w:val="16"/>
              </w:rPr>
              <w:t>Conceptos emitidos</w:t>
            </w:r>
          </w:p>
        </w:tc>
        <w:tc>
          <w:tcPr>
            <w:tcW w:w="1230" w:type="dxa"/>
            <w:tcBorders>
              <w:top w:val="nil"/>
              <w:left w:val="nil"/>
              <w:bottom w:val="single" w:sz="4" w:space="0" w:color="auto"/>
              <w:right w:val="single" w:sz="4" w:space="0" w:color="auto"/>
            </w:tcBorders>
            <w:shd w:val="clear" w:color="auto" w:fill="auto"/>
            <w:vAlign w:val="center"/>
          </w:tcPr>
          <w:p w:rsidR="003B4544" w:rsidRPr="00847C5C" w:rsidRDefault="00847C5C" w:rsidP="001C4B03">
            <w:pPr>
              <w:spacing w:after="0" w:line="240" w:lineRule="auto"/>
              <w:jc w:val="center"/>
              <w:rPr>
                <w:rFonts w:ascii="Calibri" w:eastAsia="Times New Roman" w:hAnsi="Calibri" w:cs="Calibri"/>
                <w:sz w:val="16"/>
                <w:szCs w:val="16"/>
              </w:rPr>
            </w:pPr>
            <w:r w:rsidRPr="00847C5C">
              <w:rPr>
                <w:rFonts w:ascii="Calibri" w:eastAsia="Times New Roman" w:hAnsi="Calibri" w:cs="Calibri"/>
                <w:sz w:val="16"/>
                <w:szCs w:val="16"/>
              </w:rPr>
              <w:t>100%</w:t>
            </w:r>
          </w:p>
        </w:tc>
        <w:tc>
          <w:tcPr>
            <w:tcW w:w="1139" w:type="dxa"/>
            <w:tcBorders>
              <w:top w:val="nil"/>
              <w:left w:val="nil"/>
              <w:bottom w:val="single" w:sz="4" w:space="0" w:color="auto"/>
              <w:right w:val="single" w:sz="4" w:space="0" w:color="auto"/>
            </w:tcBorders>
            <w:shd w:val="clear" w:color="auto" w:fill="auto"/>
            <w:noWrap/>
            <w:vAlign w:val="center"/>
          </w:tcPr>
          <w:p w:rsidR="003B4544" w:rsidRPr="00847C5C" w:rsidRDefault="00847C5C" w:rsidP="001C4B03">
            <w:pPr>
              <w:spacing w:after="0" w:line="240" w:lineRule="auto"/>
              <w:jc w:val="center"/>
              <w:rPr>
                <w:rFonts w:ascii="Calibri" w:eastAsia="Times New Roman" w:hAnsi="Calibri" w:cs="Calibri"/>
                <w:color w:val="000000"/>
                <w:sz w:val="16"/>
                <w:szCs w:val="16"/>
              </w:rPr>
            </w:pPr>
            <w:r w:rsidRPr="00847C5C">
              <w:rPr>
                <w:rFonts w:ascii="Calibri" w:eastAsia="Times New Roman" w:hAnsi="Calibri" w:cs="Calibri"/>
                <w:color w:val="000000"/>
                <w:sz w:val="16"/>
                <w:szCs w:val="16"/>
              </w:rPr>
              <w:t>50%</w:t>
            </w:r>
          </w:p>
        </w:tc>
      </w:tr>
      <w:tr w:rsidR="00B45B88"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B45B88" w:rsidRPr="00847C5C" w:rsidRDefault="003B4544" w:rsidP="005C5894">
            <w:pPr>
              <w:rPr>
                <w:rFonts w:ascii="Calibri" w:hAnsi="Calibri" w:cs="Calibri"/>
                <w:sz w:val="16"/>
                <w:szCs w:val="16"/>
              </w:rPr>
            </w:pPr>
            <w:r w:rsidRPr="00847C5C">
              <w:rPr>
                <w:rFonts w:ascii="Calibri" w:hAnsi="Calibri" w:cs="Calibri"/>
                <w:sz w:val="16"/>
                <w:szCs w:val="16"/>
              </w:rPr>
              <w:t>Emitir conceptos respecto de las garantías de los proyectos viales, férreos y aeroportuarios</w:t>
            </w:r>
          </w:p>
        </w:tc>
        <w:tc>
          <w:tcPr>
            <w:tcW w:w="1612" w:type="dxa"/>
            <w:tcBorders>
              <w:top w:val="nil"/>
              <w:left w:val="nil"/>
              <w:bottom w:val="single" w:sz="4" w:space="0" w:color="auto"/>
              <w:right w:val="single" w:sz="4" w:space="0" w:color="auto"/>
            </w:tcBorders>
            <w:shd w:val="clear" w:color="auto" w:fill="auto"/>
            <w:vAlign w:val="center"/>
          </w:tcPr>
          <w:p w:rsidR="00B45B88" w:rsidRPr="00847C5C" w:rsidRDefault="00847C5C" w:rsidP="00847C5C">
            <w:pPr>
              <w:jc w:val="center"/>
              <w:rPr>
                <w:rFonts w:ascii="Calibri" w:hAnsi="Calibri" w:cs="Calibri"/>
                <w:sz w:val="16"/>
                <w:szCs w:val="16"/>
              </w:rPr>
            </w:pPr>
            <w:r w:rsidRPr="00847C5C">
              <w:rPr>
                <w:rFonts w:ascii="Calibri" w:hAnsi="Calibri" w:cs="Calibri"/>
                <w:sz w:val="16"/>
                <w:szCs w:val="16"/>
              </w:rPr>
              <w:t>Conceptos emitidos</w:t>
            </w:r>
          </w:p>
        </w:tc>
        <w:tc>
          <w:tcPr>
            <w:tcW w:w="1230" w:type="dxa"/>
            <w:tcBorders>
              <w:top w:val="nil"/>
              <w:left w:val="nil"/>
              <w:bottom w:val="single" w:sz="4" w:space="0" w:color="auto"/>
              <w:right w:val="single" w:sz="4" w:space="0" w:color="auto"/>
            </w:tcBorders>
            <w:shd w:val="clear" w:color="auto" w:fill="auto"/>
            <w:vAlign w:val="center"/>
          </w:tcPr>
          <w:p w:rsidR="00B45B88" w:rsidRPr="00847C5C" w:rsidRDefault="00847C5C" w:rsidP="001C4B03">
            <w:pPr>
              <w:spacing w:after="0" w:line="240" w:lineRule="auto"/>
              <w:jc w:val="center"/>
              <w:rPr>
                <w:rFonts w:ascii="Calibri" w:eastAsia="Times New Roman" w:hAnsi="Calibri" w:cs="Calibri"/>
                <w:sz w:val="16"/>
                <w:szCs w:val="16"/>
              </w:rPr>
            </w:pPr>
            <w:r w:rsidRPr="00847C5C">
              <w:rPr>
                <w:rFonts w:ascii="Calibri" w:eastAsia="Times New Roman" w:hAnsi="Calibri" w:cs="Calibri"/>
                <w:sz w:val="16"/>
                <w:szCs w:val="16"/>
              </w:rPr>
              <w:t>100%</w:t>
            </w:r>
          </w:p>
        </w:tc>
        <w:tc>
          <w:tcPr>
            <w:tcW w:w="1139" w:type="dxa"/>
            <w:tcBorders>
              <w:top w:val="nil"/>
              <w:left w:val="nil"/>
              <w:bottom w:val="single" w:sz="4" w:space="0" w:color="auto"/>
              <w:right w:val="single" w:sz="4" w:space="0" w:color="auto"/>
            </w:tcBorders>
            <w:shd w:val="clear" w:color="auto" w:fill="auto"/>
            <w:noWrap/>
            <w:vAlign w:val="center"/>
          </w:tcPr>
          <w:p w:rsidR="00B45B88" w:rsidRPr="00847C5C" w:rsidRDefault="00847C5C" w:rsidP="001C4B03">
            <w:pPr>
              <w:spacing w:after="0" w:line="240" w:lineRule="auto"/>
              <w:jc w:val="center"/>
              <w:rPr>
                <w:rFonts w:ascii="Calibri" w:eastAsia="Times New Roman" w:hAnsi="Calibri" w:cs="Calibri"/>
                <w:color w:val="000000"/>
                <w:sz w:val="16"/>
                <w:szCs w:val="16"/>
              </w:rPr>
            </w:pPr>
            <w:r w:rsidRPr="00847C5C">
              <w:rPr>
                <w:rFonts w:ascii="Calibri" w:eastAsia="Times New Roman" w:hAnsi="Calibri" w:cs="Calibri"/>
                <w:color w:val="000000"/>
                <w:sz w:val="16"/>
                <w:szCs w:val="16"/>
              </w:rPr>
              <w:t>50%</w:t>
            </w:r>
          </w:p>
        </w:tc>
      </w:tr>
    </w:tbl>
    <w:p w:rsidR="0094329F" w:rsidRDefault="0094329F" w:rsidP="00E2180B"/>
    <w:p w:rsidR="00976636" w:rsidRDefault="00976636" w:rsidP="00E2180B">
      <w:r w:rsidRPr="00B45B88">
        <w:rPr>
          <w:rFonts w:ascii="Calibri" w:eastAsia="Times New Roman" w:hAnsi="Calibri" w:cs="Calibri"/>
          <w:b/>
          <w:bCs/>
          <w:color w:val="000000"/>
          <w:sz w:val="20"/>
          <w:szCs w:val="20"/>
        </w:rPr>
        <w:t>Gerenci</w:t>
      </w:r>
      <w:r>
        <w:rPr>
          <w:rFonts w:ascii="Calibri" w:eastAsia="Times New Roman" w:hAnsi="Calibri" w:cs="Calibri"/>
          <w:b/>
          <w:bCs/>
          <w:color w:val="000000"/>
          <w:sz w:val="20"/>
          <w:szCs w:val="20"/>
        </w:rPr>
        <w:t>a Gestión jurídica Contractual 1</w:t>
      </w: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Elaborar conceptos jurídicos de acuerdo a las solicitudes planteadas por las demás dependencias</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Concepto</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right"/>
              <w:rPr>
                <w:rFonts w:ascii="Calibri" w:hAnsi="Calibri" w:cs="Calibri"/>
                <w:sz w:val="16"/>
                <w:szCs w:val="16"/>
              </w:rPr>
            </w:pPr>
            <w:r w:rsidRPr="00E30DB6">
              <w:rPr>
                <w:rFonts w:ascii="Calibri" w:hAnsi="Calibri" w:cs="Calibri"/>
                <w:sz w:val="16"/>
                <w:szCs w:val="16"/>
              </w:rPr>
              <w:t>80%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center"/>
              <w:rPr>
                <w:rFonts w:ascii="Calibri" w:hAnsi="Calibri" w:cs="Calibri"/>
                <w:sz w:val="16"/>
                <w:szCs w:val="16"/>
              </w:rPr>
            </w:pPr>
            <w:r w:rsidRPr="00E30DB6">
              <w:rPr>
                <w:rFonts w:ascii="Calibri" w:hAnsi="Calibri" w:cs="Calibri"/>
                <w:sz w:val="16"/>
                <w:szCs w:val="16"/>
              </w:rPr>
              <w:t>29.1%</w:t>
            </w:r>
          </w:p>
        </w:tc>
      </w:tr>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Realizar análisis de viabilidad de las modificaciones contractuales y convenios</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 xml:space="preserve">Concepto de viabilidad </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spacing w:after="0" w:line="240" w:lineRule="auto"/>
              <w:jc w:val="center"/>
              <w:rPr>
                <w:rFonts w:ascii="Calibri" w:hAnsi="Calibri" w:cs="Calibri"/>
                <w:sz w:val="16"/>
                <w:szCs w:val="16"/>
              </w:rPr>
            </w:pPr>
            <w:r>
              <w:rPr>
                <w:rFonts w:ascii="Calibri" w:hAnsi="Calibri" w:cs="Calibri"/>
                <w:sz w:val="16"/>
                <w:szCs w:val="16"/>
              </w:rPr>
              <w:t>90%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32.7%</w:t>
            </w:r>
          </w:p>
        </w:tc>
      </w:tr>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Realizar acompañamiento y soporte a la Vicepresidencia de Gestión Contractual en las sesión de Comité de Asuntos Contractuales en que se someta a consideración  la modificación del contrato</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 xml:space="preserve">Presentación al comité + Acta de asistencia </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80%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33.3%</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687CFB" w:rsidRDefault="00687CFB" w:rsidP="00687CFB">
            <w:pPr>
              <w:rPr>
                <w:rFonts w:ascii="Calibri" w:hAnsi="Calibri" w:cs="Calibri"/>
                <w:sz w:val="16"/>
                <w:szCs w:val="16"/>
              </w:rPr>
            </w:pPr>
            <w:r>
              <w:rPr>
                <w:rFonts w:ascii="Calibri" w:hAnsi="Calibri" w:cs="Calibri"/>
                <w:sz w:val="16"/>
                <w:szCs w:val="16"/>
              </w:rPr>
              <w:lastRenderedPageBreak/>
              <w:t>Elaborar las modificaciones contractuales viables y/o convenios solicitados a la dependencia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Minuta Otrosí</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100%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33.3%</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687CFB" w:rsidRDefault="00687CFB" w:rsidP="00687CFB">
            <w:pPr>
              <w:rPr>
                <w:rFonts w:ascii="Calibri" w:hAnsi="Calibri" w:cs="Calibri"/>
                <w:sz w:val="16"/>
                <w:szCs w:val="16"/>
              </w:rPr>
            </w:pPr>
            <w:r>
              <w:rPr>
                <w:rFonts w:ascii="Calibri" w:hAnsi="Calibri" w:cs="Calibri"/>
                <w:sz w:val="16"/>
                <w:szCs w:val="16"/>
              </w:rPr>
              <w:t>Asistir a los planes de seguimiento</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Actas de asistencia</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90%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31.5%</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687CFB" w:rsidRDefault="00687CFB" w:rsidP="00687CFB">
            <w:pPr>
              <w:rPr>
                <w:rFonts w:ascii="Calibri" w:hAnsi="Calibri" w:cs="Calibri"/>
                <w:sz w:val="16"/>
                <w:szCs w:val="16"/>
              </w:rPr>
            </w:pPr>
            <w:r>
              <w:rPr>
                <w:rFonts w:ascii="Calibri" w:hAnsi="Calibri" w:cs="Calibri"/>
                <w:sz w:val="16"/>
                <w:szCs w:val="16"/>
              </w:rPr>
              <w:t>Generar alternativas  jurídicas para la solución de problemáticas y controversias</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Concepto</w:t>
            </w:r>
            <w:r>
              <w:rPr>
                <w:rFonts w:ascii="Calibri" w:hAnsi="Calibri" w:cs="Calibri"/>
                <w:sz w:val="16"/>
                <w:szCs w:val="16"/>
              </w:rPr>
              <w:br/>
              <w:t>Acta</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100%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33%</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687CFB" w:rsidRDefault="00687CFB" w:rsidP="00687CFB">
            <w:pPr>
              <w:rPr>
                <w:rFonts w:ascii="Calibri" w:hAnsi="Calibri" w:cs="Calibri"/>
                <w:sz w:val="16"/>
                <w:szCs w:val="16"/>
              </w:rPr>
            </w:pPr>
            <w:r>
              <w:rPr>
                <w:rFonts w:ascii="Calibri" w:hAnsi="Calibri" w:cs="Calibri"/>
                <w:sz w:val="16"/>
                <w:szCs w:val="16"/>
              </w:rPr>
              <w:t>Proyectar las resoluciones por las cuales se  resuelven  las solicitudes  en los temas relacionados  con permisos  carreteros  y/o conceptos requiriendo información  y/o aclaración y/o complementación de los mismos</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Resolución</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100%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33%</w:t>
            </w:r>
          </w:p>
        </w:tc>
      </w:tr>
      <w:tr w:rsidR="00E30DB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0DB6" w:rsidRPr="00687CFB" w:rsidRDefault="00E30DB6" w:rsidP="00E30DB6">
            <w:pPr>
              <w:rPr>
                <w:rFonts w:ascii="Calibri" w:hAnsi="Calibri" w:cs="Calibri"/>
                <w:sz w:val="16"/>
                <w:szCs w:val="16"/>
              </w:rPr>
            </w:pPr>
            <w:r>
              <w:rPr>
                <w:rFonts w:ascii="Calibri" w:hAnsi="Calibri" w:cs="Calibri"/>
                <w:sz w:val="16"/>
                <w:szCs w:val="16"/>
              </w:rPr>
              <w:t>Proyectar actas de liquidación</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0DB6" w:rsidRPr="00E30DB6" w:rsidRDefault="00E30DB6" w:rsidP="00E30DB6">
            <w:pPr>
              <w:jc w:val="center"/>
              <w:rPr>
                <w:rFonts w:ascii="Calibri" w:hAnsi="Calibri" w:cs="Calibri"/>
                <w:sz w:val="16"/>
                <w:szCs w:val="16"/>
              </w:rPr>
            </w:pPr>
            <w:r>
              <w:rPr>
                <w:rFonts w:ascii="Calibri" w:hAnsi="Calibri" w:cs="Calibri"/>
                <w:sz w:val="16"/>
                <w:szCs w:val="16"/>
              </w:rPr>
              <w:t>Minuta acta de liquidación</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0DB6" w:rsidRPr="00E30DB6" w:rsidRDefault="00E30DB6" w:rsidP="00E30DB6">
            <w:pPr>
              <w:spacing w:after="0" w:line="240" w:lineRule="auto"/>
              <w:jc w:val="right"/>
              <w:rPr>
                <w:rFonts w:ascii="Calibri" w:hAnsi="Calibri" w:cs="Calibri"/>
                <w:sz w:val="16"/>
                <w:szCs w:val="16"/>
              </w:rPr>
            </w:pPr>
            <w:r>
              <w:rPr>
                <w:rFonts w:ascii="Calibri" w:hAnsi="Calibri" w:cs="Calibri"/>
                <w:sz w:val="16"/>
                <w:szCs w:val="16"/>
              </w:rPr>
              <w:t>100%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0DB6" w:rsidRPr="00E30DB6" w:rsidRDefault="00E30DB6" w:rsidP="00E30DB6">
            <w:pPr>
              <w:spacing w:after="0" w:line="240" w:lineRule="auto"/>
              <w:jc w:val="center"/>
              <w:rPr>
                <w:rFonts w:ascii="Calibri" w:hAnsi="Calibri" w:cs="Calibri"/>
                <w:sz w:val="16"/>
                <w:szCs w:val="16"/>
              </w:rPr>
            </w:pPr>
            <w:r>
              <w:rPr>
                <w:rFonts w:ascii="Calibri" w:hAnsi="Calibri" w:cs="Calibri"/>
                <w:sz w:val="16"/>
                <w:szCs w:val="16"/>
              </w:rPr>
              <w:t>33%</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687CFB" w:rsidRDefault="00687CFB" w:rsidP="00687CFB">
            <w:pPr>
              <w:rPr>
                <w:rFonts w:ascii="Calibri" w:hAnsi="Calibri" w:cs="Calibri"/>
                <w:sz w:val="16"/>
                <w:szCs w:val="16"/>
              </w:rPr>
            </w:pPr>
            <w:r>
              <w:rPr>
                <w:rFonts w:ascii="Calibri" w:hAnsi="Calibri" w:cs="Calibri"/>
                <w:sz w:val="16"/>
                <w:szCs w:val="16"/>
              </w:rPr>
              <w:t>Estructurar actas de reversión</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Acta de reversión</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100%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687CFB" w:rsidRDefault="00687CFB" w:rsidP="00687CFB">
            <w:pPr>
              <w:rPr>
                <w:rFonts w:ascii="Calibri" w:hAnsi="Calibri" w:cs="Calibri"/>
                <w:sz w:val="16"/>
                <w:szCs w:val="16"/>
              </w:rPr>
            </w:pPr>
            <w:r>
              <w:rPr>
                <w:rFonts w:ascii="Calibri" w:hAnsi="Calibri" w:cs="Calibri"/>
                <w:sz w:val="16"/>
                <w:szCs w:val="16"/>
              </w:rPr>
              <w:t>Realizar talleres de actualización por parte de la Gerencia Asesoría legal para la revisión de los avances jurisprudenciales, normativos y doctrinales</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Acta del Taller</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3</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1</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687CFB" w:rsidRDefault="00687CFB" w:rsidP="00687CFB">
            <w:pPr>
              <w:rPr>
                <w:rFonts w:ascii="Calibri" w:hAnsi="Calibri" w:cs="Calibri"/>
                <w:sz w:val="16"/>
                <w:szCs w:val="16"/>
              </w:rPr>
            </w:pPr>
            <w:r>
              <w:rPr>
                <w:rFonts w:ascii="Calibri" w:hAnsi="Calibri" w:cs="Calibri"/>
                <w:sz w:val="16"/>
                <w:szCs w:val="16"/>
              </w:rPr>
              <w:t>Elaboración del proyecto de Pliego de Cargo</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Minuta del pliego de Cargos</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90%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25%</w:t>
            </w:r>
          </w:p>
        </w:tc>
      </w:tr>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Emitir conceptos analizando las solicitudes de modificación a las condiciones de otorgamiento de contratos de concesión portuaria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Concepto</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80%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w:t>
            </w:r>
          </w:p>
        </w:tc>
      </w:tr>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Emitir resoluciones que deciden las solicitudes de modificación a las condiciones de otorgamiento de contratos de concesión portuaria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Resolución</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80%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w:t>
            </w:r>
          </w:p>
        </w:tc>
      </w:tr>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Realizar acompañamiento y soporte a la Vicepresidencia de Gestión Contractual en las sesión de Comité de Asuntos Contractuales en que se someta a consideración  la modificación de las condiciones de otorgamiento de contratos de concesión portuaria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 xml:space="preserve">Presentación al comité + Acta de asistencia </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80%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spacing w:after="0" w:line="240" w:lineRule="auto"/>
              <w:jc w:val="center"/>
              <w:rPr>
                <w:rFonts w:ascii="Calibri" w:hAnsi="Calibri" w:cs="Calibri"/>
                <w:sz w:val="16"/>
                <w:szCs w:val="16"/>
              </w:rPr>
            </w:pPr>
            <w:r>
              <w:rPr>
                <w:rFonts w:ascii="Calibri" w:hAnsi="Calibri" w:cs="Calibri"/>
                <w:sz w:val="16"/>
                <w:szCs w:val="16"/>
              </w:rPr>
              <w:t>-</w:t>
            </w:r>
          </w:p>
        </w:tc>
      </w:tr>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Elaborar minuta de Otrosí modificatorio de las condiciones de otorgamiento de contratos de concesión portuaria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Otrosí</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80%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8%</w:t>
            </w:r>
          </w:p>
        </w:tc>
      </w:tr>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Elaborar y remitir a la Gerencia de Defensa Judicial del Pliego de Cargos para iniciar actuación administrativa sancionatoria, contando para el efecto con: el informe de supervisión respectivo, la cuantificación de la multa o sanción aplicable por parte del área financiera, y los demás documentos exigidos para el efecto por dicha dependencia.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Pliego de cargos</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90%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w:t>
            </w:r>
          </w:p>
        </w:tc>
      </w:tr>
      <w:tr w:rsidR="00976636"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687CFB" w:rsidRDefault="00687CFB" w:rsidP="00687CFB">
            <w:pPr>
              <w:rPr>
                <w:rFonts w:ascii="Calibri" w:hAnsi="Calibri" w:cs="Calibri"/>
                <w:sz w:val="16"/>
                <w:szCs w:val="16"/>
              </w:rPr>
            </w:pPr>
            <w:r>
              <w:rPr>
                <w:rFonts w:ascii="Calibri" w:hAnsi="Calibri" w:cs="Calibri"/>
                <w:sz w:val="16"/>
                <w:szCs w:val="16"/>
              </w:rPr>
              <w:t>Asistir a reuniones con otras dependencias de la entidad y con los Concesionarios</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E30DB6">
            <w:pPr>
              <w:jc w:val="center"/>
              <w:rPr>
                <w:rFonts w:ascii="Calibri" w:hAnsi="Calibri" w:cs="Calibri"/>
                <w:sz w:val="16"/>
                <w:szCs w:val="16"/>
              </w:rPr>
            </w:pPr>
            <w:r>
              <w:rPr>
                <w:rFonts w:ascii="Calibri" w:hAnsi="Calibri" w:cs="Calibri"/>
                <w:sz w:val="16"/>
                <w:szCs w:val="16"/>
              </w:rPr>
              <w:t>Informe ejecutivo de reunión</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70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6636"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155</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Default="00687CFB" w:rsidP="00687CFB">
            <w:pPr>
              <w:rPr>
                <w:rFonts w:ascii="Calibri" w:hAnsi="Calibri" w:cs="Calibri"/>
                <w:sz w:val="16"/>
                <w:szCs w:val="16"/>
              </w:rPr>
            </w:pPr>
            <w:r>
              <w:rPr>
                <w:rFonts w:ascii="Calibri" w:hAnsi="Calibri" w:cs="Calibri"/>
                <w:sz w:val="16"/>
                <w:szCs w:val="16"/>
              </w:rPr>
              <w:t>Realizar acompañamiento a la supervisión de los contratos de concesión portuaria en las visitas a las instalaciones de los concesionarios</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Copia formato de legalización de comisión</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5</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2</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Default="00687CFB" w:rsidP="00687CFB">
            <w:pPr>
              <w:rPr>
                <w:rFonts w:ascii="Calibri" w:hAnsi="Calibri" w:cs="Calibri"/>
                <w:sz w:val="16"/>
                <w:szCs w:val="16"/>
              </w:rPr>
            </w:pPr>
            <w:r>
              <w:rPr>
                <w:rFonts w:ascii="Calibri" w:hAnsi="Calibri" w:cs="Calibri"/>
                <w:sz w:val="16"/>
                <w:szCs w:val="16"/>
              </w:rPr>
              <w:t>Elaborar actas de reversión con ocasión de la terminación de los contratos de concesión portuaria, contando con los insumos requeridos para el efecto</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Acta de reversión</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80%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Default="00687CFB" w:rsidP="00687CFB">
            <w:pPr>
              <w:rPr>
                <w:rFonts w:ascii="Calibri" w:hAnsi="Calibri" w:cs="Calibri"/>
                <w:sz w:val="16"/>
                <w:szCs w:val="16"/>
              </w:rPr>
            </w:pPr>
            <w:r>
              <w:rPr>
                <w:rFonts w:ascii="Calibri" w:hAnsi="Calibri" w:cs="Calibri"/>
                <w:sz w:val="16"/>
                <w:szCs w:val="16"/>
              </w:rPr>
              <w:lastRenderedPageBreak/>
              <w:t>Elaborar actos administrativos que resuelvan asuntos distintos a las solicitudes de modificación a las condiciones de otorgamiento de contratos de concesión portuaria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Resolución</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80%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47%</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Default="00687CFB" w:rsidP="00E30DB6">
            <w:pPr>
              <w:rPr>
                <w:rFonts w:ascii="Calibri" w:hAnsi="Calibri" w:cs="Calibri"/>
                <w:sz w:val="16"/>
                <w:szCs w:val="16"/>
              </w:rPr>
            </w:pPr>
            <w:r>
              <w:rPr>
                <w:rFonts w:ascii="Calibri" w:hAnsi="Calibri" w:cs="Calibri"/>
                <w:sz w:val="16"/>
                <w:szCs w:val="16"/>
              </w:rPr>
              <w:t xml:space="preserve">Participar en </w:t>
            </w:r>
            <w:r w:rsidR="00E30DB6">
              <w:rPr>
                <w:rFonts w:ascii="Calibri" w:hAnsi="Calibri" w:cs="Calibri"/>
                <w:sz w:val="16"/>
                <w:szCs w:val="16"/>
              </w:rPr>
              <w:t>iniciativas</w:t>
            </w:r>
            <w:r>
              <w:rPr>
                <w:rFonts w:ascii="Calibri" w:hAnsi="Calibri" w:cs="Calibri"/>
                <w:sz w:val="16"/>
                <w:szCs w:val="16"/>
              </w:rPr>
              <w:t xml:space="preserve"> de modificación y/o reglamentación de la normatividad aplicable a la actividad portuaria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Informe ejecutivo</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2</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4</w:t>
            </w:r>
          </w:p>
        </w:tc>
      </w:tr>
      <w:tr w:rsidR="00687CFB" w:rsidRPr="00847C5C" w:rsidTr="00976636">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Default="00E30DB6" w:rsidP="00E30DB6">
            <w:pPr>
              <w:rPr>
                <w:rFonts w:ascii="Calibri" w:hAnsi="Calibri" w:cs="Calibri"/>
                <w:sz w:val="16"/>
                <w:szCs w:val="16"/>
              </w:rPr>
            </w:pPr>
            <w:r>
              <w:rPr>
                <w:rFonts w:ascii="Calibri" w:hAnsi="Calibri" w:cs="Calibri"/>
                <w:sz w:val="16"/>
                <w:szCs w:val="16"/>
              </w:rPr>
              <w:t>Realizar Talleres de actualización por parte de la Gerencia Asesoría legal para la revisión de los avances jurisprudenciales, normativos y doctrinales</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E30DB6">
            <w:pPr>
              <w:jc w:val="center"/>
              <w:rPr>
                <w:rFonts w:ascii="Calibri" w:hAnsi="Calibri" w:cs="Calibri"/>
                <w:sz w:val="16"/>
                <w:szCs w:val="16"/>
              </w:rPr>
            </w:pPr>
            <w:r>
              <w:rPr>
                <w:rFonts w:ascii="Calibri" w:hAnsi="Calibri" w:cs="Calibri"/>
                <w:sz w:val="16"/>
                <w:szCs w:val="16"/>
              </w:rPr>
              <w:t>Acta del Taller</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right"/>
              <w:rPr>
                <w:rFonts w:ascii="Calibri" w:hAnsi="Calibri" w:cs="Calibri"/>
                <w:sz w:val="16"/>
                <w:szCs w:val="16"/>
              </w:rPr>
            </w:pPr>
            <w:r>
              <w:rPr>
                <w:rFonts w:ascii="Calibri" w:hAnsi="Calibri" w:cs="Calibri"/>
                <w:sz w:val="16"/>
                <w:szCs w:val="16"/>
              </w:rPr>
              <w:t>3</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7CFB" w:rsidRPr="00E30DB6" w:rsidRDefault="00E30DB6" w:rsidP="00976636">
            <w:pPr>
              <w:spacing w:after="0" w:line="240" w:lineRule="auto"/>
              <w:jc w:val="center"/>
              <w:rPr>
                <w:rFonts w:ascii="Calibri" w:hAnsi="Calibri" w:cs="Calibri"/>
                <w:sz w:val="16"/>
                <w:szCs w:val="16"/>
              </w:rPr>
            </w:pPr>
            <w:r>
              <w:rPr>
                <w:rFonts w:ascii="Calibri" w:hAnsi="Calibri" w:cs="Calibri"/>
                <w:sz w:val="16"/>
                <w:szCs w:val="16"/>
              </w:rPr>
              <w:t>1</w:t>
            </w:r>
          </w:p>
        </w:tc>
      </w:tr>
      <w:tr w:rsidR="00F310E3" w:rsidRPr="0005612C" w:rsidTr="00976636">
        <w:trPr>
          <w:trHeight w:val="255"/>
          <w:jc w:val="center"/>
        </w:trPr>
        <w:tc>
          <w:tcPr>
            <w:tcW w:w="4847" w:type="dxa"/>
            <w:tcBorders>
              <w:top w:val="single" w:sz="4" w:space="0" w:color="auto"/>
              <w:left w:val="nil"/>
              <w:bottom w:val="nil"/>
              <w:right w:val="nil"/>
            </w:tcBorders>
            <w:shd w:val="clear" w:color="auto" w:fill="auto"/>
            <w:noWrap/>
            <w:vAlign w:val="center"/>
          </w:tcPr>
          <w:p w:rsidR="00F310E3" w:rsidRPr="0005612C" w:rsidRDefault="00F310E3" w:rsidP="001C4B03">
            <w:pPr>
              <w:spacing w:after="0" w:line="240" w:lineRule="auto"/>
              <w:rPr>
                <w:rFonts w:ascii="Calibri" w:eastAsia="Times New Roman" w:hAnsi="Calibri" w:cs="Calibri"/>
                <w:color w:val="000000"/>
                <w:sz w:val="20"/>
                <w:szCs w:val="20"/>
              </w:rPr>
            </w:pPr>
            <w:r>
              <w:rPr>
                <w:rFonts w:ascii="Calibri" w:eastAsia="Times New Roman" w:hAnsi="Calibri" w:cs="Calibri"/>
                <w:b/>
                <w:bCs/>
                <w:color w:val="000000"/>
                <w:sz w:val="20"/>
                <w:szCs w:val="20"/>
              </w:rPr>
              <w:t>Gerencia Gestión jurí</w:t>
            </w:r>
            <w:r w:rsidRPr="00F310E3">
              <w:rPr>
                <w:rFonts w:ascii="Calibri" w:eastAsia="Times New Roman" w:hAnsi="Calibri" w:cs="Calibri"/>
                <w:b/>
                <w:bCs/>
                <w:color w:val="000000"/>
                <w:sz w:val="20"/>
                <w:szCs w:val="20"/>
              </w:rPr>
              <w:t>dica estructuración</w:t>
            </w:r>
          </w:p>
        </w:tc>
        <w:tc>
          <w:tcPr>
            <w:tcW w:w="1612" w:type="dxa"/>
            <w:tcBorders>
              <w:top w:val="single" w:sz="4" w:space="0" w:color="auto"/>
              <w:left w:val="nil"/>
              <w:bottom w:val="nil"/>
              <w:right w:val="nil"/>
            </w:tcBorders>
            <w:shd w:val="clear" w:color="auto" w:fill="auto"/>
            <w:noWrap/>
            <w:vAlign w:val="center"/>
          </w:tcPr>
          <w:p w:rsidR="00F310E3" w:rsidRPr="0005612C" w:rsidRDefault="00F310E3" w:rsidP="001C4B03">
            <w:pPr>
              <w:spacing w:after="0" w:line="240" w:lineRule="auto"/>
              <w:jc w:val="center"/>
              <w:rPr>
                <w:rFonts w:ascii="Calibri" w:eastAsia="Times New Roman" w:hAnsi="Calibri" w:cs="Calibri"/>
                <w:color w:val="000000"/>
                <w:sz w:val="20"/>
                <w:szCs w:val="20"/>
              </w:rPr>
            </w:pPr>
          </w:p>
        </w:tc>
        <w:tc>
          <w:tcPr>
            <w:tcW w:w="1230" w:type="dxa"/>
            <w:tcBorders>
              <w:top w:val="single" w:sz="4" w:space="0" w:color="auto"/>
              <w:left w:val="nil"/>
              <w:bottom w:val="nil"/>
              <w:right w:val="nil"/>
            </w:tcBorders>
            <w:shd w:val="clear" w:color="auto" w:fill="auto"/>
            <w:noWrap/>
            <w:vAlign w:val="center"/>
          </w:tcPr>
          <w:p w:rsidR="00F310E3" w:rsidRPr="0005612C" w:rsidRDefault="00F310E3" w:rsidP="001C4B03">
            <w:pPr>
              <w:spacing w:after="0" w:line="240" w:lineRule="auto"/>
              <w:jc w:val="right"/>
              <w:rPr>
                <w:rFonts w:ascii="Calibri" w:eastAsia="Times New Roman" w:hAnsi="Calibri" w:cs="Calibri"/>
                <w:color w:val="000000"/>
                <w:sz w:val="20"/>
                <w:szCs w:val="20"/>
              </w:rPr>
            </w:pPr>
          </w:p>
        </w:tc>
        <w:tc>
          <w:tcPr>
            <w:tcW w:w="1139" w:type="dxa"/>
            <w:tcBorders>
              <w:top w:val="single" w:sz="4" w:space="0" w:color="auto"/>
              <w:left w:val="nil"/>
              <w:bottom w:val="nil"/>
              <w:right w:val="nil"/>
            </w:tcBorders>
            <w:shd w:val="clear" w:color="auto" w:fill="auto"/>
            <w:noWrap/>
            <w:vAlign w:val="center"/>
          </w:tcPr>
          <w:p w:rsidR="00F310E3" w:rsidRPr="0005612C" w:rsidRDefault="00F310E3" w:rsidP="001C4B03">
            <w:pPr>
              <w:spacing w:after="0" w:line="240" w:lineRule="auto"/>
              <w:jc w:val="center"/>
              <w:rPr>
                <w:rFonts w:ascii="Calibri" w:eastAsia="Times New Roman" w:hAnsi="Calibri" w:cs="Calibri"/>
                <w:color w:val="000000"/>
                <w:sz w:val="20"/>
                <w:szCs w:val="20"/>
              </w:rPr>
            </w:pPr>
          </w:p>
        </w:tc>
      </w:tr>
      <w:tr w:rsidR="00F310E3" w:rsidRPr="0005612C" w:rsidTr="001C4B03">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F310E3" w:rsidRPr="00771FD3" w:rsidRDefault="00771FD3" w:rsidP="00771FD3">
            <w:pPr>
              <w:rPr>
                <w:rFonts w:ascii="Calibri" w:hAnsi="Calibri" w:cs="Calibri"/>
                <w:sz w:val="16"/>
                <w:szCs w:val="16"/>
              </w:rPr>
            </w:pPr>
            <w:r>
              <w:rPr>
                <w:rFonts w:ascii="Calibri" w:hAnsi="Calibri" w:cs="Calibri"/>
                <w:sz w:val="16"/>
                <w:szCs w:val="16"/>
              </w:rPr>
              <w:t>Apoyar jurídicamente la estructuración y progreso de los documentos estándar de los proyectos de la cuarta generación, mediante el suministro de insumos jurídicos y el acompañamiento jurídico, tanto de las APP de iniciativa pública como de iniciativa privada, de acuerdo con los requerimientos de la Vicepresidencia de Estructuración</w:t>
            </w:r>
          </w:p>
        </w:tc>
        <w:tc>
          <w:tcPr>
            <w:tcW w:w="1612" w:type="dxa"/>
            <w:tcBorders>
              <w:top w:val="single" w:sz="4" w:space="0" w:color="auto"/>
              <w:left w:val="nil"/>
              <w:bottom w:val="single" w:sz="4" w:space="0" w:color="auto"/>
              <w:right w:val="single" w:sz="4" w:space="0" w:color="auto"/>
            </w:tcBorders>
            <w:shd w:val="clear" w:color="auto" w:fill="auto"/>
            <w:vAlign w:val="center"/>
          </w:tcPr>
          <w:p w:rsidR="00F310E3" w:rsidRPr="0005612C" w:rsidRDefault="00771FD3"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w:t>
            </w:r>
          </w:p>
        </w:tc>
        <w:tc>
          <w:tcPr>
            <w:tcW w:w="1230" w:type="dxa"/>
            <w:tcBorders>
              <w:top w:val="single" w:sz="4" w:space="0" w:color="auto"/>
              <w:left w:val="nil"/>
              <w:bottom w:val="single" w:sz="4" w:space="0" w:color="auto"/>
              <w:right w:val="single" w:sz="4" w:space="0" w:color="auto"/>
            </w:tcBorders>
            <w:shd w:val="clear" w:color="auto" w:fill="auto"/>
            <w:vAlign w:val="center"/>
          </w:tcPr>
          <w:p w:rsidR="00F310E3" w:rsidRPr="0005612C" w:rsidRDefault="00771FD3"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F310E3" w:rsidRPr="0005612C" w:rsidRDefault="00771FD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w:t>
            </w:r>
          </w:p>
        </w:tc>
      </w:tr>
      <w:tr w:rsidR="00F310E3"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F310E3" w:rsidRPr="00771FD3" w:rsidRDefault="00771FD3" w:rsidP="00771FD3">
            <w:pPr>
              <w:ind w:firstLineChars="100" w:firstLine="160"/>
              <w:rPr>
                <w:rFonts w:ascii="Calibri" w:hAnsi="Calibri" w:cs="Calibri"/>
                <w:sz w:val="16"/>
                <w:szCs w:val="16"/>
              </w:rPr>
            </w:pPr>
            <w:r>
              <w:rPr>
                <w:rFonts w:ascii="Calibri" w:hAnsi="Calibri" w:cs="Calibri"/>
                <w:sz w:val="16"/>
                <w:szCs w:val="16"/>
              </w:rPr>
              <w:t>Generar elementos que permitan establecer trazabilidad de las actividades a cargo de la Gerencia Jurídica de Estructuración, así como llevar a cabo la autosocialización del Código de ética y Buen Gobierno,  el Estatuto Anticorrupción, la Ley Antitrámites y la Ley de información</w:t>
            </w:r>
          </w:p>
        </w:tc>
        <w:tc>
          <w:tcPr>
            <w:tcW w:w="1612" w:type="dxa"/>
            <w:tcBorders>
              <w:top w:val="nil"/>
              <w:left w:val="nil"/>
              <w:bottom w:val="single" w:sz="4" w:space="0" w:color="auto"/>
              <w:right w:val="single" w:sz="4" w:space="0" w:color="auto"/>
            </w:tcBorders>
            <w:shd w:val="clear" w:color="auto" w:fill="auto"/>
            <w:vAlign w:val="center"/>
          </w:tcPr>
          <w:p w:rsidR="00F310E3" w:rsidRPr="0005612C" w:rsidRDefault="00771FD3"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w:t>
            </w:r>
          </w:p>
        </w:tc>
        <w:tc>
          <w:tcPr>
            <w:tcW w:w="1230" w:type="dxa"/>
            <w:tcBorders>
              <w:top w:val="nil"/>
              <w:left w:val="nil"/>
              <w:bottom w:val="single" w:sz="4" w:space="0" w:color="auto"/>
              <w:right w:val="single" w:sz="4" w:space="0" w:color="auto"/>
            </w:tcBorders>
            <w:shd w:val="clear" w:color="auto" w:fill="auto"/>
            <w:vAlign w:val="center"/>
          </w:tcPr>
          <w:p w:rsidR="00F310E3" w:rsidRPr="0005612C" w:rsidRDefault="00771FD3"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1005</w:t>
            </w:r>
          </w:p>
        </w:tc>
        <w:tc>
          <w:tcPr>
            <w:tcW w:w="1139" w:type="dxa"/>
            <w:tcBorders>
              <w:top w:val="nil"/>
              <w:left w:val="nil"/>
              <w:bottom w:val="single" w:sz="4" w:space="0" w:color="auto"/>
              <w:right w:val="single" w:sz="4" w:space="0" w:color="auto"/>
            </w:tcBorders>
            <w:shd w:val="clear" w:color="auto" w:fill="auto"/>
            <w:noWrap/>
            <w:vAlign w:val="center"/>
          </w:tcPr>
          <w:p w:rsidR="00F310E3" w:rsidRPr="0005612C" w:rsidRDefault="00771FD3"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w:t>
            </w:r>
          </w:p>
        </w:tc>
      </w:tr>
      <w:tr w:rsidR="00F310E3"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F310E3" w:rsidRPr="00A223AF" w:rsidRDefault="00A223AF" w:rsidP="00A223AF">
            <w:pPr>
              <w:rPr>
                <w:rFonts w:ascii="Calibri" w:hAnsi="Calibri" w:cs="Calibri"/>
                <w:sz w:val="16"/>
                <w:szCs w:val="16"/>
              </w:rPr>
            </w:pPr>
            <w:r>
              <w:rPr>
                <w:rFonts w:ascii="Calibri" w:hAnsi="Calibri" w:cs="Calibri"/>
                <w:sz w:val="16"/>
                <w:szCs w:val="16"/>
              </w:rPr>
              <w:t>Realizar reuniones de seguimiento y toma de decisiones de asuntos a cargo del grupo Gerencial, así como llevar a cabo reuniones y actividades de mejorar del clima organizacional.</w:t>
            </w:r>
          </w:p>
        </w:tc>
        <w:tc>
          <w:tcPr>
            <w:tcW w:w="1612" w:type="dxa"/>
            <w:tcBorders>
              <w:top w:val="nil"/>
              <w:left w:val="nil"/>
              <w:bottom w:val="single" w:sz="4" w:space="0" w:color="auto"/>
              <w:right w:val="single" w:sz="4" w:space="0" w:color="auto"/>
            </w:tcBorders>
            <w:shd w:val="clear" w:color="auto" w:fill="auto"/>
            <w:vAlign w:val="center"/>
          </w:tcPr>
          <w:p w:rsidR="00F310E3" w:rsidRPr="0005612C" w:rsidRDefault="00A223AF"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w:t>
            </w:r>
          </w:p>
        </w:tc>
        <w:tc>
          <w:tcPr>
            <w:tcW w:w="1230" w:type="dxa"/>
            <w:tcBorders>
              <w:top w:val="nil"/>
              <w:left w:val="nil"/>
              <w:bottom w:val="single" w:sz="4" w:space="0" w:color="auto"/>
              <w:right w:val="single" w:sz="4" w:space="0" w:color="auto"/>
            </w:tcBorders>
            <w:shd w:val="clear" w:color="auto" w:fill="auto"/>
            <w:vAlign w:val="center"/>
          </w:tcPr>
          <w:p w:rsidR="00F310E3" w:rsidRPr="0005612C" w:rsidRDefault="00A223AF"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100%</w:t>
            </w:r>
          </w:p>
        </w:tc>
        <w:tc>
          <w:tcPr>
            <w:tcW w:w="1139" w:type="dxa"/>
            <w:tcBorders>
              <w:top w:val="nil"/>
              <w:left w:val="nil"/>
              <w:bottom w:val="single" w:sz="4" w:space="0" w:color="auto"/>
              <w:right w:val="single" w:sz="4" w:space="0" w:color="auto"/>
            </w:tcBorders>
            <w:shd w:val="clear" w:color="auto" w:fill="auto"/>
            <w:noWrap/>
            <w:vAlign w:val="center"/>
          </w:tcPr>
          <w:p w:rsidR="00F310E3" w:rsidRPr="0005612C" w:rsidRDefault="00A223AF"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w:t>
            </w:r>
          </w:p>
        </w:tc>
      </w:tr>
    </w:tbl>
    <w:p w:rsidR="00F310E3" w:rsidRPr="00E2180B" w:rsidRDefault="00F310E3" w:rsidP="00E2180B"/>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F310E3" w:rsidRPr="0005612C" w:rsidTr="001C4B03">
        <w:trPr>
          <w:trHeight w:val="255"/>
          <w:jc w:val="center"/>
        </w:trPr>
        <w:tc>
          <w:tcPr>
            <w:tcW w:w="4847" w:type="dxa"/>
            <w:tcBorders>
              <w:top w:val="nil"/>
              <w:left w:val="nil"/>
              <w:bottom w:val="nil"/>
              <w:right w:val="nil"/>
            </w:tcBorders>
            <w:shd w:val="clear" w:color="auto" w:fill="auto"/>
            <w:noWrap/>
            <w:vAlign w:val="center"/>
          </w:tcPr>
          <w:p w:rsidR="00F310E3" w:rsidRPr="0005612C" w:rsidRDefault="00F310E3" w:rsidP="00F310E3">
            <w:pPr>
              <w:spacing w:after="0" w:line="240" w:lineRule="auto"/>
              <w:rPr>
                <w:rFonts w:ascii="Calibri" w:eastAsia="Times New Roman" w:hAnsi="Calibri" w:cs="Calibri"/>
                <w:color w:val="000000"/>
                <w:sz w:val="20"/>
                <w:szCs w:val="20"/>
              </w:rPr>
            </w:pPr>
            <w:bookmarkStart w:id="55" w:name="_Toc357434719"/>
            <w:bookmarkStart w:id="56" w:name="_Toc357434978"/>
            <w:r>
              <w:rPr>
                <w:rFonts w:ascii="Calibri" w:eastAsia="Times New Roman" w:hAnsi="Calibri" w:cs="Calibri"/>
                <w:b/>
                <w:bCs/>
                <w:color w:val="000000"/>
                <w:sz w:val="20"/>
                <w:szCs w:val="20"/>
              </w:rPr>
              <w:t>Gerencia de Contratación</w:t>
            </w:r>
          </w:p>
        </w:tc>
        <w:tc>
          <w:tcPr>
            <w:tcW w:w="1612" w:type="dxa"/>
            <w:tcBorders>
              <w:top w:val="nil"/>
              <w:left w:val="nil"/>
              <w:bottom w:val="nil"/>
              <w:right w:val="nil"/>
            </w:tcBorders>
            <w:shd w:val="clear" w:color="auto" w:fill="auto"/>
            <w:noWrap/>
            <w:vAlign w:val="center"/>
          </w:tcPr>
          <w:p w:rsidR="00F310E3" w:rsidRPr="0005612C" w:rsidRDefault="00F310E3" w:rsidP="001C4B03">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tcPr>
          <w:p w:rsidR="00F310E3" w:rsidRPr="0005612C" w:rsidRDefault="00F310E3" w:rsidP="001C4B03">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tcPr>
          <w:p w:rsidR="00F310E3" w:rsidRPr="0005612C" w:rsidRDefault="00F310E3" w:rsidP="001C4B03">
            <w:pPr>
              <w:spacing w:after="0" w:line="240" w:lineRule="auto"/>
              <w:jc w:val="center"/>
              <w:rPr>
                <w:rFonts w:ascii="Calibri" w:eastAsia="Times New Roman" w:hAnsi="Calibri" w:cs="Calibri"/>
                <w:color w:val="000000"/>
                <w:sz w:val="20"/>
                <w:szCs w:val="20"/>
              </w:rPr>
            </w:pPr>
          </w:p>
        </w:tc>
      </w:tr>
      <w:tr w:rsidR="00F310E3" w:rsidRPr="0005612C" w:rsidTr="001C4B03">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F310E3" w:rsidRPr="00A2475F" w:rsidRDefault="00A2475F" w:rsidP="00A2475F">
            <w:pPr>
              <w:rPr>
                <w:rFonts w:ascii="Calibri" w:hAnsi="Calibri" w:cs="Calibri"/>
                <w:sz w:val="16"/>
                <w:szCs w:val="16"/>
              </w:rPr>
            </w:pPr>
            <w:r>
              <w:rPr>
                <w:rFonts w:ascii="Calibri" w:hAnsi="Calibri" w:cs="Calibri"/>
                <w:sz w:val="16"/>
                <w:szCs w:val="16"/>
              </w:rPr>
              <w:t>Apoyar jurídicamente la contratación de los procesos de la ANI.  Dentro de estos están los proyectos de la cuarta generación; mediante el suministro de insumos jurídicos y el acompañamiento jurídico, tanto de las APP de iniciativa pública como de iniciativa privada, de acuerdo con los requerimientos de cada Vicepresidencia</w:t>
            </w:r>
          </w:p>
        </w:tc>
        <w:tc>
          <w:tcPr>
            <w:tcW w:w="1612" w:type="dxa"/>
            <w:tcBorders>
              <w:top w:val="single" w:sz="4" w:space="0" w:color="auto"/>
              <w:left w:val="nil"/>
              <w:bottom w:val="single" w:sz="4" w:space="0" w:color="auto"/>
              <w:right w:val="single" w:sz="4" w:space="0" w:color="auto"/>
            </w:tcBorders>
            <w:shd w:val="clear" w:color="auto" w:fill="auto"/>
            <w:vAlign w:val="center"/>
          </w:tcPr>
          <w:p w:rsidR="00A2475F" w:rsidRPr="00A2475F" w:rsidRDefault="00A2475F" w:rsidP="00A2475F">
            <w:pPr>
              <w:spacing w:after="0" w:line="240" w:lineRule="auto"/>
              <w:jc w:val="center"/>
              <w:rPr>
                <w:rFonts w:ascii="Calibri" w:eastAsia="Times New Roman" w:hAnsi="Calibri" w:cs="Calibri"/>
                <w:sz w:val="16"/>
                <w:szCs w:val="16"/>
              </w:rPr>
            </w:pPr>
            <w:r w:rsidRPr="00A2475F">
              <w:rPr>
                <w:rFonts w:ascii="Calibri" w:eastAsia="Times New Roman" w:hAnsi="Calibri" w:cs="Calibri"/>
                <w:sz w:val="16"/>
                <w:szCs w:val="16"/>
              </w:rPr>
              <w:t xml:space="preserve">N° de Proyectos APP adjudicados </w:t>
            </w:r>
          </w:p>
          <w:p w:rsidR="00F310E3" w:rsidRPr="0005612C" w:rsidRDefault="00F310E3" w:rsidP="00A2475F">
            <w:pPr>
              <w:spacing w:after="0" w:line="240" w:lineRule="auto"/>
              <w:rPr>
                <w:rFonts w:ascii="Calibri" w:eastAsia="Times New Roman" w:hAnsi="Calibri" w:cs="Calibri"/>
                <w:sz w:val="16"/>
                <w:szCs w:val="16"/>
              </w:rPr>
            </w:pPr>
          </w:p>
        </w:tc>
        <w:tc>
          <w:tcPr>
            <w:tcW w:w="1230" w:type="dxa"/>
            <w:tcBorders>
              <w:top w:val="single" w:sz="4" w:space="0" w:color="auto"/>
              <w:left w:val="nil"/>
              <w:bottom w:val="single" w:sz="4" w:space="0" w:color="auto"/>
              <w:right w:val="single" w:sz="4" w:space="0" w:color="auto"/>
            </w:tcBorders>
            <w:shd w:val="clear" w:color="auto" w:fill="auto"/>
            <w:vAlign w:val="center"/>
          </w:tcPr>
          <w:p w:rsidR="00F310E3" w:rsidRPr="0005612C" w:rsidRDefault="00A2475F"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10</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F310E3" w:rsidRPr="0005612C" w:rsidRDefault="00A2475F"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w:t>
            </w:r>
          </w:p>
        </w:tc>
      </w:tr>
      <w:tr w:rsidR="00F310E3"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F310E3" w:rsidRPr="00A2475F" w:rsidRDefault="00A2475F" w:rsidP="00A2475F">
            <w:pPr>
              <w:rPr>
                <w:rFonts w:ascii="Calibri" w:hAnsi="Calibri" w:cs="Calibri"/>
                <w:sz w:val="16"/>
                <w:szCs w:val="16"/>
              </w:rPr>
            </w:pPr>
            <w:r>
              <w:rPr>
                <w:rFonts w:ascii="Calibri" w:hAnsi="Calibri" w:cs="Calibri"/>
                <w:sz w:val="16"/>
                <w:szCs w:val="16"/>
              </w:rPr>
              <w:t>Establecer mejores prácticas de contratación en los procesos de selección de la Agencia Nacional de Infraestructura. Implementar el reporte unificado de contratación que incluye indicadores operativos y seguimiento al PAA. Que permitan establecer trazabilidad de las actividades a cargo de la Gerencia de Contratación, así como llevar a cabo la autosocialización del Código de ética y Buen Gobierno,  el Estatuto Anticorrupción, la Ley Antitrámites y la Ley de información.</w:t>
            </w:r>
          </w:p>
        </w:tc>
        <w:tc>
          <w:tcPr>
            <w:tcW w:w="1612" w:type="dxa"/>
            <w:tcBorders>
              <w:top w:val="nil"/>
              <w:left w:val="nil"/>
              <w:bottom w:val="single" w:sz="4" w:space="0" w:color="auto"/>
              <w:right w:val="single" w:sz="4" w:space="0" w:color="auto"/>
            </w:tcBorders>
            <w:shd w:val="clear" w:color="auto" w:fill="auto"/>
            <w:vAlign w:val="center"/>
          </w:tcPr>
          <w:p w:rsidR="00F310E3" w:rsidRPr="00A2475F" w:rsidRDefault="00A2475F" w:rsidP="00A2475F">
            <w:pPr>
              <w:jc w:val="center"/>
              <w:rPr>
                <w:rFonts w:ascii="Calibri" w:hAnsi="Calibri" w:cs="Calibri"/>
                <w:sz w:val="16"/>
                <w:szCs w:val="16"/>
              </w:rPr>
            </w:pPr>
            <w:r>
              <w:rPr>
                <w:rFonts w:ascii="Calibri" w:hAnsi="Calibri" w:cs="Calibri"/>
                <w:sz w:val="16"/>
                <w:szCs w:val="16"/>
              </w:rPr>
              <w:t>Reporte Unificado de Contratación</w:t>
            </w:r>
          </w:p>
        </w:tc>
        <w:tc>
          <w:tcPr>
            <w:tcW w:w="1230" w:type="dxa"/>
            <w:tcBorders>
              <w:top w:val="nil"/>
              <w:left w:val="nil"/>
              <w:bottom w:val="single" w:sz="4" w:space="0" w:color="auto"/>
              <w:right w:val="single" w:sz="4" w:space="0" w:color="auto"/>
            </w:tcBorders>
            <w:shd w:val="clear" w:color="auto" w:fill="auto"/>
            <w:vAlign w:val="center"/>
          </w:tcPr>
          <w:p w:rsidR="00F310E3" w:rsidRPr="0005612C" w:rsidRDefault="00A2475F"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w:t>
            </w:r>
          </w:p>
        </w:tc>
        <w:tc>
          <w:tcPr>
            <w:tcW w:w="1139" w:type="dxa"/>
            <w:tcBorders>
              <w:top w:val="nil"/>
              <w:left w:val="nil"/>
              <w:bottom w:val="single" w:sz="4" w:space="0" w:color="auto"/>
              <w:right w:val="single" w:sz="4" w:space="0" w:color="auto"/>
            </w:tcBorders>
            <w:shd w:val="clear" w:color="auto" w:fill="auto"/>
            <w:noWrap/>
            <w:vAlign w:val="center"/>
          </w:tcPr>
          <w:p w:rsidR="00F310E3" w:rsidRPr="0005612C" w:rsidRDefault="00A2475F"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A2475F"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A2475F" w:rsidRPr="00A2475F" w:rsidRDefault="00A2475F" w:rsidP="00A2475F">
            <w:pPr>
              <w:rPr>
                <w:rFonts w:ascii="Calibri" w:hAnsi="Calibri" w:cs="Calibri"/>
                <w:sz w:val="16"/>
                <w:szCs w:val="16"/>
              </w:rPr>
            </w:pPr>
            <w:r>
              <w:rPr>
                <w:rFonts w:ascii="Calibri" w:hAnsi="Calibri" w:cs="Calibri"/>
                <w:sz w:val="16"/>
                <w:szCs w:val="16"/>
              </w:rPr>
              <w:t>Realizar el Comité de Contratación de la Agencia con la periodicidad requerida</w:t>
            </w:r>
          </w:p>
        </w:tc>
        <w:tc>
          <w:tcPr>
            <w:tcW w:w="1612" w:type="dxa"/>
            <w:tcBorders>
              <w:top w:val="nil"/>
              <w:left w:val="nil"/>
              <w:bottom w:val="single" w:sz="4" w:space="0" w:color="auto"/>
              <w:right w:val="single" w:sz="4" w:space="0" w:color="auto"/>
            </w:tcBorders>
            <w:shd w:val="clear" w:color="auto" w:fill="auto"/>
            <w:vAlign w:val="center"/>
          </w:tcPr>
          <w:p w:rsidR="00A2475F" w:rsidRPr="0005612C" w:rsidRDefault="00A2475F"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Actas</w:t>
            </w:r>
          </w:p>
        </w:tc>
        <w:tc>
          <w:tcPr>
            <w:tcW w:w="1230" w:type="dxa"/>
            <w:tcBorders>
              <w:top w:val="nil"/>
              <w:left w:val="nil"/>
              <w:bottom w:val="single" w:sz="4" w:space="0" w:color="auto"/>
              <w:right w:val="single" w:sz="4" w:space="0" w:color="auto"/>
            </w:tcBorders>
            <w:shd w:val="clear" w:color="auto" w:fill="auto"/>
            <w:vAlign w:val="center"/>
          </w:tcPr>
          <w:p w:rsidR="00A2475F" w:rsidRPr="0005612C" w:rsidRDefault="00A2475F"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24</w:t>
            </w:r>
          </w:p>
        </w:tc>
        <w:tc>
          <w:tcPr>
            <w:tcW w:w="1139" w:type="dxa"/>
            <w:tcBorders>
              <w:top w:val="nil"/>
              <w:left w:val="nil"/>
              <w:bottom w:val="single" w:sz="4" w:space="0" w:color="auto"/>
              <w:right w:val="single" w:sz="4" w:space="0" w:color="auto"/>
            </w:tcBorders>
            <w:shd w:val="clear" w:color="auto" w:fill="auto"/>
            <w:noWrap/>
            <w:vAlign w:val="center"/>
          </w:tcPr>
          <w:p w:rsidR="00A2475F" w:rsidRPr="0005612C" w:rsidRDefault="00A2475F"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69</w:t>
            </w:r>
          </w:p>
        </w:tc>
      </w:tr>
      <w:tr w:rsidR="00F310E3" w:rsidRPr="0005612C" w:rsidTr="001C4B03">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F310E3" w:rsidRPr="00A2475F" w:rsidRDefault="00A2475F" w:rsidP="00A2475F">
            <w:pPr>
              <w:rPr>
                <w:rFonts w:ascii="Calibri" w:hAnsi="Calibri" w:cs="Calibri"/>
                <w:sz w:val="16"/>
                <w:szCs w:val="16"/>
              </w:rPr>
            </w:pPr>
            <w:r>
              <w:rPr>
                <w:rFonts w:ascii="Calibri" w:hAnsi="Calibri" w:cs="Calibri"/>
                <w:sz w:val="16"/>
                <w:szCs w:val="16"/>
              </w:rPr>
              <w:t>Continuar con la medición de indicadores operativos del GIT de Contratación.  Continuar con el Mecanismo seguimiento del PAA.</w:t>
            </w:r>
          </w:p>
        </w:tc>
        <w:tc>
          <w:tcPr>
            <w:tcW w:w="1612" w:type="dxa"/>
            <w:tcBorders>
              <w:top w:val="nil"/>
              <w:left w:val="nil"/>
              <w:bottom w:val="single" w:sz="4" w:space="0" w:color="auto"/>
              <w:right w:val="single" w:sz="4" w:space="0" w:color="auto"/>
            </w:tcBorders>
            <w:shd w:val="clear" w:color="auto" w:fill="auto"/>
            <w:vAlign w:val="center"/>
          </w:tcPr>
          <w:p w:rsidR="00F310E3" w:rsidRPr="00A2475F" w:rsidRDefault="00A2475F" w:rsidP="00A2475F">
            <w:pPr>
              <w:jc w:val="center"/>
              <w:rPr>
                <w:rFonts w:ascii="Calibri" w:hAnsi="Calibri" w:cs="Calibri"/>
                <w:sz w:val="16"/>
                <w:szCs w:val="16"/>
              </w:rPr>
            </w:pPr>
            <w:r>
              <w:rPr>
                <w:rFonts w:ascii="Calibri" w:hAnsi="Calibri" w:cs="Calibri"/>
                <w:sz w:val="16"/>
                <w:szCs w:val="16"/>
              </w:rPr>
              <w:t>Reporte Unificado de Contratación</w:t>
            </w:r>
          </w:p>
        </w:tc>
        <w:tc>
          <w:tcPr>
            <w:tcW w:w="1230" w:type="dxa"/>
            <w:tcBorders>
              <w:top w:val="nil"/>
              <w:left w:val="nil"/>
              <w:bottom w:val="single" w:sz="4" w:space="0" w:color="auto"/>
              <w:right w:val="single" w:sz="4" w:space="0" w:color="auto"/>
            </w:tcBorders>
            <w:shd w:val="clear" w:color="auto" w:fill="auto"/>
            <w:vAlign w:val="center"/>
          </w:tcPr>
          <w:p w:rsidR="00F310E3" w:rsidRPr="0005612C" w:rsidRDefault="00A2475F" w:rsidP="001C4B03">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w:t>
            </w:r>
          </w:p>
        </w:tc>
        <w:tc>
          <w:tcPr>
            <w:tcW w:w="1139" w:type="dxa"/>
            <w:tcBorders>
              <w:top w:val="nil"/>
              <w:left w:val="nil"/>
              <w:bottom w:val="single" w:sz="4" w:space="0" w:color="auto"/>
              <w:right w:val="single" w:sz="4" w:space="0" w:color="auto"/>
            </w:tcBorders>
            <w:shd w:val="clear" w:color="auto" w:fill="auto"/>
            <w:noWrap/>
            <w:vAlign w:val="center"/>
          </w:tcPr>
          <w:p w:rsidR="00F310E3" w:rsidRPr="0005612C" w:rsidRDefault="00A2475F" w:rsidP="001C4B0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r>
    </w:tbl>
    <w:p w:rsidR="00A74362" w:rsidRPr="00D17EAF" w:rsidRDefault="00A74362" w:rsidP="00A74362">
      <w:pPr>
        <w:spacing w:after="0" w:line="240" w:lineRule="auto"/>
        <w:jc w:val="both"/>
        <w:rPr>
          <w:rFonts w:eastAsia="Times New Roman" w:cs="Calibri"/>
          <w:b/>
          <w:color w:val="000000"/>
          <w:u w:val="single"/>
        </w:rPr>
      </w:pPr>
      <w:r>
        <w:rPr>
          <w:rFonts w:eastAsia="Times New Roman" w:cs="Calibri"/>
          <w:b/>
          <w:color w:val="000000"/>
          <w:u w:val="single"/>
        </w:rPr>
        <w:t>GERENCIA JURÍDICO CONTRATACIÓN</w:t>
      </w:r>
    </w:p>
    <w:p w:rsidR="00A74362" w:rsidRDefault="00A74362" w:rsidP="00A74362">
      <w:pPr>
        <w:contextualSpacing/>
        <w:jc w:val="both"/>
        <w:rPr>
          <w:rFonts w:ascii="Arial Narrow" w:hAnsi="Arial Narrow"/>
          <w:b/>
        </w:rPr>
      </w:pPr>
    </w:p>
    <w:p w:rsidR="00A74362" w:rsidRPr="002C05C2" w:rsidRDefault="00A74362" w:rsidP="00A74362">
      <w:pPr>
        <w:contextualSpacing/>
        <w:jc w:val="both"/>
        <w:rPr>
          <w:rFonts w:cstheme="minorHAnsi"/>
          <w:b/>
        </w:rPr>
      </w:pPr>
      <w:r w:rsidRPr="002C05C2">
        <w:rPr>
          <w:rFonts w:cstheme="minorHAnsi"/>
          <w:b/>
        </w:rPr>
        <w:t>PROCESOS DE CONTRATACIÓN ADELANTADOS EN LA VIGENCIA 2015:</w:t>
      </w:r>
    </w:p>
    <w:p w:rsidR="000577A7" w:rsidRPr="002C05C2" w:rsidRDefault="000577A7"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r w:rsidRPr="002C05C2">
        <w:rPr>
          <w:rFonts w:eastAsia="Times New Roman" w:cstheme="minorHAnsi"/>
          <w:b/>
          <w:color w:val="000000"/>
        </w:rPr>
        <w:t>Objetivo:</w:t>
      </w:r>
      <w:r w:rsidRPr="002C05C2">
        <w:rPr>
          <w:rFonts w:eastAsia="Times New Roman" w:cstheme="minorHAnsi"/>
          <w:color w:val="000000"/>
        </w:rPr>
        <w:t xml:space="preserve"> 1.1.Finalizar la Estructuración y adjudicar los proyectos restantes del programa 4G de INICIATIVA PUBLICA en el 2015.</w:t>
      </w: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themeColor="text1"/>
        </w:rPr>
      </w:pPr>
      <w:r w:rsidRPr="002C05C2">
        <w:rPr>
          <w:rFonts w:eastAsia="Times New Roman" w:cstheme="minorHAnsi"/>
          <w:color w:val="000000" w:themeColor="text1"/>
        </w:rPr>
        <w:t>En el primer semestre de 2015 se han adjudicado cinco (5) proyectos de APP de iniciativa pública, así:</w:t>
      </w:r>
    </w:p>
    <w:p w:rsidR="00A74362" w:rsidRPr="002C05C2" w:rsidRDefault="00A74362" w:rsidP="00A74362">
      <w:pPr>
        <w:spacing w:after="0" w:line="240" w:lineRule="auto"/>
        <w:jc w:val="both"/>
        <w:rPr>
          <w:rFonts w:eastAsia="Times New Roman" w:cstheme="minorHAnsi"/>
          <w:color w:val="000000"/>
        </w:rPr>
      </w:pPr>
    </w:p>
    <w:p w:rsidR="00A74362" w:rsidRPr="002C05C2" w:rsidRDefault="009D1EA7" w:rsidP="00A74362">
      <w:pPr>
        <w:spacing w:after="0" w:line="240" w:lineRule="auto"/>
        <w:jc w:val="both"/>
        <w:rPr>
          <w:rFonts w:eastAsia="Times New Roman" w:cstheme="minorHAnsi"/>
          <w:color w:val="000000"/>
        </w:rPr>
      </w:pPr>
      <w:r w:rsidRPr="002C05C2">
        <w:rPr>
          <w:rFonts w:cstheme="minorHAnsi"/>
          <w:noProof/>
        </w:rPr>
        <w:drawing>
          <wp:anchor distT="0" distB="0" distL="114300" distR="114300" simplePos="0" relativeHeight="251756544" behindDoc="0" locked="0" layoutInCell="1" allowOverlap="1" wp14:anchorId="0241B4CB" wp14:editId="2DC1941F">
            <wp:simplePos x="0" y="0"/>
            <wp:positionH relativeFrom="margin">
              <wp:align>left</wp:align>
            </wp:positionH>
            <wp:positionV relativeFrom="paragraph">
              <wp:posOffset>8279</wp:posOffset>
            </wp:positionV>
            <wp:extent cx="6378515" cy="6606229"/>
            <wp:effectExtent l="0" t="0" r="0" b="444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78515" cy="66062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b/>
          <w:color w:val="000000"/>
        </w:rPr>
      </w:pPr>
      <w:r w:rsidRPr="002C05C2">
        <w:rPr>
          <w:rFonts w:eastAsia="Times New Roman" w:cstheme="minorHAnsi"/>
          <w:color w:val="000000"/>
        </w:rPr>
        <w:br/>
      </w:r>
    </w:p>
    <w:p w:rsidR="009D1EA7" w:rsidRPr="002C05C2" w:rsidRDefault="009D1EA7" w:rsidP="00A74362">
      <w:pPr>
        <w:spacing w:after="0" w:line="240" w:lineRule="auto"/>
        <w:jc w:val="both"/>
        <w:rPr>
          <w:rFonts w:eastAsia="Times New Roman" w:cstheme="minorHAnsi"/>
          <w:b/>
          <w:color w:val="000000"/>
        </w:rPr>
      </w:pPr>
    </w:p>
    <w:p w:rsidR="009D1EA7" w:rsidRPr="002C05C2" w:rsidRDefault="009D1EA7" w:rsidP="00A74362">
      <w:pPr>
        <w:spacing w:after="0" w:line="240" w:lineRule="auto"/>
        <w:jc w:val="both"/>
        <w:rPr>
          <w:rFonts w:eastAsia="Times New Roman" w:cstheme="minorHAnsi"/>
          <w:b/>
          <w:color w:val="000000"/>
        </w:rPr>
      </w:pPr>
    </w:p>
    <w:p w:rsidR="009D1EA7" w:rsidRPr="002C05C2" w:rsidRDefault="009D1EA7" w:rsidP="00A74362">
      <w:pPr>
        <w:spacing w:after="0" w:line="240" w:lineRule="auto"/>
        <w:jc w:val="both"/>
        <w:rPr>
          <w:rFonts w:eastAsia="Times New Roman" w:cstheme="minorHAnsi"/>
          <w:b/>
          <w:color w:val="000000"/>
        </w:rPr>
      </w:pPr>
    </w:p>
    <w:p w:rsidR="00A74362" w:rsidRPr="002C05C2" w:rsidRDefault="00A74362" w:rsidP="00A74362">
      <w:pPr>
        <w:spacing w:after="0" w:line="240" w:lineRule="auto"/>
        <w:jc w:val="both"/>
        <w:rPr>
          <w:rFonts w:eastAsia="Times New Roman" w:cstheme="minorHAnsi"/>
          <w:color w:val="000000"/>
        </w:rPr>
      </w:pPr>
      <w:r w:rsidRPr="002C05C2">
        <w:rPr>
          <w:rFonts w:eastAsia="Times New Roman" w:cstheme="minorHAnsi"/>
          <w:b/>
          <w:color w:val="000000"/>
        </w:rPr>
        <w:t>Objetivo:</w:t>
      </w:r>
      <w:r w:rsidRPr="002C05C2">
        <w:rPr>
          <w:rFonts w:eastAsia="Times New Roman" w:cstheme="minorHAnsi"/>
          <w:color w:val="000000"/>
        </w:rPr>
        <w:t xml:space="preserve"> 1.2. Adjudicar como mínimo 15 proyectos del programa de 4G de INICIATIVA PRIVADA al 2018.</w:t>
      </w: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themeColor="text1"/>
        </w:rPr>
      </w:pPr>
      <w:r w:rsidRPr="002C05C2">
        <w:rPr>
          <w:rFonts w:eastAsia="Times New Roman" w:cstheme="minorHAnsi"/>
          <w:color w:val="000000" w:themeColor="text1"/>
        </w:rPr>
        <w:t>En el primer semestre de 2015 se han adjudicado cinco (5) proyectos de APP de iniciativa Privada.</w:t>
      </w:r>
    </w:p>
    <w:p w:rsidR="00A74362" w:rsidRPr="002C05C2" w:rsidRDefault="009D1EA7" w:rsidP="00A74362">
      <w:pPr>
        <w:spacing w:after="0" w:line="240" w:lineRule="auto"/>
        <w:jc w:val="both"/>
        <w:rPr>
          <w:rFonts w:eastAsia="Times New Roman" w:cstheme="minorHAnsi"/>
          <w:color w:val="000000" w:themeColor="text1"/>
        </w:rPr>
      </w:pPr>
      <w:r w:rsidRPr="002C05C2">
        <w:rPr>
          <w:rFonts w:eastAsia="Times New Roman" w:cstheme="minorHAnsi"/>
          <w:noProof/>
          <w:color w:val="000000" w:themeColor="text1"/>
          <w:lang w:eastAsia="en-US"/>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2.05pt;margin-top:12.95pt;width:7in;height:310.25pt;z-index:251755520;mso-position-horizontal:absolute;mso-position-horizontal-relative:text;mso-position-vertical:absolute;mso-position-vertical-relative:text" o:allowoverlap="f">
            <v:imagedata r:id="rId13" o:title=""/>
            <w10:wrap type="square"/>
          </v:shape>
          <o:OLEObject Type="Embed" ProgID="Excel.Sheet.8" ShapeID="_x0000_s1028" DrawAspect="Content" ObjectID="_1500302008" r:id="rId14"/>
        </w:object>
      </w:r>
    </w:p>
    <w:p w:rsidR="00A74362" w:rsidRPr="002C05C2" w:rsidRDefault="00A74362" w:rsidP="00A74362">
      <w:pPr>
        <w:spacing w:after="0" w:line="240" w:lineRule="auto"/>
        <w:jc w:val="both"/>
        <w:rPr>
          <w:rFonts w:eastAsia="Times New Roman" w:cstheme="minorHAnsi"/>
          <w:color w:val="000000" w:themeColor="text1"/>
        </w:rPr>
      </w:pPr>
    </w:p>
    <w:p w:rsidR="00A74362" w:rsidRPr="002C05C2" w:rsidRDefault="00A74362" w:rsidP="00A74362">
      <w:pPr>
        <w:spacing w:after="0" w:line="240" w:lineRule="auto"/>
        <w:jc w:val="both"/>
        <w:rPr>
          <w:rFonts w:eastAsia="Times New Roman" w:cstheme="minorHAnsi"/>
          <w:lang w:val="es-MX" w:eastAsia="es-MX"/>
        </w:rPr>
      </w:pPr>
      <w:r w:rsidRPr="002C05C2">
        <w:rPr>
          <w:rFonts w:eastAsia="Times New Roman" w:cstheme="minorHAnsi"/>
          <w:lang w:val="es-MX" w:eastAsia="es-MX"/>
        </w:rPr>
        <w:t>Hasta el momento no se han adjudicado procesos de éste modo de transporte.</w:t>
      </w:r>
    </w:p>
    <w:p w:rsidR="00A74362" w:rsidRPr="002C05C2" w:rsidRDefault="00A74362" w:rsidP="00A74362">
      <w:pPr>
        <w:spacing w:after="0" w:line="240" w:lineRule="auto"/>
        <w:jc w:val="both"/>
        <w:rPr>
          <w:rFonts w:eastAsia="Times New Roman" w:cstheme="minorHAnsi"/>
          <w:lang w:val="es-MX" w:eastAsia="es-MX"/>
        </w:rPr>
      </w:pPr>
    </w:p>
    <w:p w:rsidR="00A74362" w:rsidRPr="002C05C2" w:rsidRDefault="00A74362" w:rsidP="00A74362">
      <w:pPr>
        <w:spacing w:after="0" w:line="240" w:lineRule="auto"/>
        <w:jc w:val="both"/>
        <w:rPr>
          <w:rFonts w:eastAsia="Times New Roman" w:cstheme="minorHAnsi"/>
          <w:lang w:val="es-MX" w:eastAsia="es-MX"/>
        </w:rPr>
      </w:pPr>
      <w:r w:rsidRPr="002C05C2">
        <w:rPr>
          <w:rFonts w:eastAsia="Times New Roman" w:cstheme="minorHAnsi"/>
          <w:b/>
          <w:lang w:val="es-MX" w:eastAsia="es-MX"/>
        </w:rPr>
        <w:t>Actividad:</w:t>
      </w:r>
      <w:r w:rsidRPr="002C05C2">
        <w:rPr>
          <w:rFonts w:eastAsia="Times New Roman" w:cstheme="minorHAnsi"/>
          <w:lang w:val="es-MX" w:eastAsia="es-MX"/>
        </w:rPr>
        <w:t xml:space="preserve"> Adelantar los procesos de selección radicados en la Gerencia de Contratación de conformidad con la normatividad vigente.</w:t>
      </w:r>
    </w:p>
    <w:p w:rsidR="00A74362" w:rsidRPr="002C05C2" w:rsidRDefault="00A74362" w:rsidP="00A74362">
      <w:pPr>
        <w:spacing w:after="0" w:line="240" w:lineRule="auto"/>
        <w:jc w:val="both"/>
        <w:rPr>
          <w:rFonts w:eastAsia="Times New Roman" w:cstheme="minorHAnsi"/>
          <w:lang w:val="es-MX" w:eastAsia="es-MX"/>
        </w:rPr>
      </w:pPr>
    </w:p>
    <w:p w:rsidR="00A74362" w:rsidRPr="002C05C2" w:rsidRDefault="00A74362" w:rsidP="00A74362">
      <w:pPr>
        <w:spacing w:after="0" w:line="240" w:lineRule="auto"/>
        <w:jc w:val="both"/>
        <w:rPr>
          <w:rFonts w:eastAsia="Times New Roman" w:cstheme="minorHAnsi"/>
          <w:b/>
          <w:lang w:val="es-MX" w:eastAsia="es-MX"/>
        </w:rPr>
      </w:pPr>
    </w:p>
    <w:p w:rsidR="00A74362" w:rsidRPr="002C05C2" w:rsidRDefault="00A74362" w:rsidP="00A74362">
      <w:pPr>
        <w:spacing w:after="0" w:line="240" w:lineRule="auto"/>
        <w:jc w:val="both"/>
        <w:rPr>
          <w:rFonts w:eastAsia="Times New Roman" w:cstheme="minorHAnsi"/>
          <w:b/>
          <w:color w:val="000000"/>
        </w:rPr>
      </w:pPr>
      <w:r w:rsidRPr="002C05C2">
        <w:rPr>
          <w:rFonts w:eastAsia="Times New Roman" w:cstheme="minorHAnsi"/>
          <w:b/>
          <w:color w:val="000000"/>
        </w:rPr>
        <w:t xml:space="preserve">REPORTE: </w:t>
      </w: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themeColor="text1"/>
        </w:rPr>
      </w:pPr>
      <w:r w:rsidRPr="002C05C2">
        <w:rPr>
          <w:rFonts w:eastAsia="Times New Roman" w:cstheme="minorHAnsi"/>
          <w:color w:val="000000" w:themeColor="text1"/>
        </w:rPr>
        <w:t>Según los datos obtenidos el 77% de los contratos de la ANI, por modalidad de selección, son adjudicados por Contratación directa con aproximadamente 244 contratos, de los cuales 26 son convenios interadministrativos.</w:t>
      </w:r>
    </w:p>
    <w:p w:rsidR="00A74362" w:rsidRPr="002C05C2" w:rsidRDefault="00A74362" w:rsidP="00A74362">
      <w:pPr>
        <w:spacing w:after="0" w:line="240" w:lineRule="auto"/>
        <w:jc w:val="both"/>
        <w:rPr>
          <w:rFonts w:eastAsia="Times New Roman" w:cstheme="minorHAnsi"/>
          <w:color w:val="000000" w:themeColor="text1"/>
        </w:rPr>
      </w:pPr>
    </w:p>
    <w:p w:rsidR="00A74362" w:rsidRPr="002C05C2" w:rsidRDefault="00A74362" w:rsidP="00A74362">
      <w:pPr>
        <w:spacing w:after="0" w:line="240" w:lineRule="auto"/>
        <w:jc w:val="both"/>
        <w:rPr>
          <w:rFonts w:eastAsia="Times New Roman" w:cstheme="minorHAnsi"/>
          <w:color w:val="000000" w:themeColor="text1"/>
        </w:rPr>
      </w:pPr>
      <w:r w:rsidRPr="002C05C2">
        <w:rPr>
          <w:rFonts w:eastAsia="Times New Roman" w:cstheme="minorHAnsi"/>
          <w:color w:val="000000" w:themeColor="text1"/>
        </w:rPr>
        <w:t xml:space="preserve"> </w:t>
      </w:r>
    </w:p>
    <w:p w:rsidR="00A74362" w:rsidRPr="002C05C2" w:rsidRDefault="00A74362" w:rsidP="00A74362">
      <w:pPr>
        <w:spacing w:after="0" w:line="240" w:lineRule="auto"/>
        <w:jc w:val="both"/>
        <w:rPr>
          <w:rFonts w:eastAsia="Times New Roman" w:cstheme="minorHAnsi"/>
          <w:color w:val="000000" w:themeColor="text1"/>
        </w:rPr>
      </w:pPr>
      <w:r w:rsidRPr="002C05C2">
        <w:rPr>
          <w:rFonts w:eastAsia="Times New Roman" w:cstheme="minorHAnsi"/>
          <w:color w:val="000000" w:themeColor="text1"/>
        </w:rPr>
        <w:t xml:space="preserve">En el primer semestre del año 2015, se han tramitado por parte del GIT de Contratación 318 procesos de selección, así: </w:t>
      </w: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both"/>
        <w:rPr>
          <w:rFonts w:eastAsia="Times New Roman" w:cstheme="minorHAnsi"/>
          <w:color w:val="000000"/>
        </w:rPr>
      </w:pPr>
      <w:r w:rsidRPr="002C05C2">
        <w:rPr>
          <w:rFonts w:cstheme="minorHAnsi"/>
          <w:noProof/>
        </w:rPr>
        <w:lastRenderedPageBreak/>
        <w:drawing>
          <wp:inline distT="0" distB="0" distL="0" distR="0" wp14:anchorId="436BDCA9" wp14:editId="1BFD162A">
            <wp:extent cx="5612130" cy="4461328"/>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4461328"/>
                    </a:xfrm>
                    <a:prstGeom prst="rect">
                      <a:avLst/>
                    </a:prstGeom>
                    <a:noFill/>
                    <a:ln>
                      <a:noFill/>
                    </a:ln>
                  </pic:spPr>
                </pic:pic>
              </a:graphicData>
            </a:graphic>
          </wp:inline>
        </w:drawing>
      </w:r>
    </w:p>
    <w:p w:rsidR="00A74362" w:rsidRPr="002C05C2" w:rsidRDefault="00A74362" w:rsidP="00A74362">
      <w:pPr>
        <w:spacing w:after="0" w:line="240" w:lineRule="auto"/>
        <w:jc w:val="both"/>
        <w:rPr>
          <w:rFonts w:eastAsia="Times New Roman" w:cstheme="minorHAnsi"/>
          <w:color w:val="000000"/>
        </w:rPr>
      </w:pPr>
    </w:p>
    <w:p w:rsidR="00A74362" w:rsidRPr="002C05C2" w:rsidRDefault="00A74362" w:rsidP="00A74362">
      <w:pPr>
        <w:spacing w:after="0" w:line="240" w:lineRule="auto"/>
        <w:jc w:val="center"/>
        <w:rPr>
          <w:rFonts w:eastAsia="Times New Roman" w:cstheme="minorHAnsi"/>
          <w:color w:val="000000"/>
        </w:rPr>
      </w:pPr>
    </w:p>
    <w:p w:rsidR="00A74362" w:rsidRPr="002C05C2" w:rsidRDefault="00A74362" w:rsidP="000577A7">
      <w:pPr>
        <w:contextualSpacing/>
        <w:jc w:val="both"/>
        <w:rPr>
          <w:rFonts w:cstheme="minorHAnsi"/>
          <w:b/>
        </w:rPr>
      </w:pPr>
      <w:r w:rsidRPr="002C05C2">
        <w:rPr>
          <w:rFonts w:cstheme="minorHAnsi"/>
          <w:b/>
        </w:rPr>
        <w:t>ACTAS DE COMITÉ</w:t>
      </w:r>
    </w:p>
    <w:p w:rsidR="00A74362" w:rsidRPr="002C05C2" w:rsidRDefault="00A74362" w:rsidP="00A74362">
      <w:pPr>
        <w:ind w:left="720"/>
        <w:contextualSpacing/>
        <w:jc w:val="both"/>
        <w:rPr>
          <w:rFonts w:cstheme="minorHAnsi"/>
          <w:b/>
        </w:rPr>
      </w:pPr>
    </w:p>
    <w:p w:rsidR="00A74362" w:rsidRPr="002C05C2" w:rsidRDefault="00A74362" w:rsidP="00A74362">
      <w:pPr>
        <w:contextualSpacing/>
        <w:jc w:val="both"/>
        <w:rPr>
          <w:rFonts w:eastAsia="Times New Roman" w:cstheme="minorHAnsi"/>
          <w:lang w:val="es-MX" w:eastAsia="es-MX"/>
        </w:rPr>
      </w:pPr>
      <w:r w:rsidRPr="002C05C2">
        <w:rPr>
          <w:rFonts w:eastAsia="Times New Roman" w:cstheme="minorHAnsi"/>
          <w:b/>
          <w:lang w:val="es-MX" w:eastAsia="es-MX"/>
        </w:rPr>
        <w:t xml:space="preserve">Actividad: </w:t>
      </w:r>
      <w:r w:rsidRPr="002C05C2">
        <w:rPr>
          <w:rFonts w:eastAsia="Times New Roman" w:cstheme="minorHAnsi"/>
          <w:lang w:val="es-MX" w:eastAsia="es-MX"/>
        </w:rPr>
        <w:t>Reuniones del comité asesor de asuntos contractuales - Grupo Interno de Trabajo de Contratación.</w:t>
      </w:r>
    </w:p>
    <w:p w:rsidR="00A74362" w:rsidRPr="002C05C2" w:rsidRDefault="00A74362" w:rsidP="00A74362">
      <w:pPr>
        <w:contextualSpacing/>
        <w:jc w:val="both"/>
        <w:rPr>
          <w:rFonts w:eastAsia="Times New Roman" w:cstheme="minorHAnsi"/>
          <w:b/>
          <w:lang w:val="es-MX" w:eastAsia="es-MX"/>
        </w:rPr>
      </w:pPr>
    </w:p>
    <w:p w:rsidR="00A74362" w:rsidRPr="002C05C2" w:rsidRDefault="00A74362" w:rsidP="00A74362">
      <w:pPr>
        <w:contextualSpacing/>
        <w:jc w:val="both"/>
        <w:rPr>
          <w:rFonts w:cstheme="minorHAnsi"/>
          <w:b/>
        </w:rPr>
      </w:pPr>
    </w:p>
    <w:p w:rsidR="00A74362" w:rsidRPr="002C05C2" w:rsidRDefault="00A74362" w:rsidP="00A74362">
      <w:pPr>
        <w:spacing w:after="0" w:line="240" w:lineRule="auto"/>
        <w:jc w:val="both"/>
        <w:rPr>
          <w:rFonts w:eastAsia="Times New Roman" w:cstheme="minorHAnsi"/>
        </w:rPr>
      </w:pPr>
      <w:r w:rsidRPr="002C05C2">
        <w:rPr>
          <w:rFonts w:eastAsia="Times New Roman" w:cstheme="minorHAnsi"/>
        </w:rPr>
        <w:t>De conformidad con lo establecido en la Resolución 308 del 27 de marzo de 2013, se estableció en el título XI El Comité de Contratación de la Agencia Nacional de Infraestructura como una instancia asesora para la actividad pre contractual y contractual de la entidad.  Al 30 de junio de 2014, se han adelantado 100 comités de contratación, cuyas actas enuncio a continuación:</w:t>
      </w:r>
    </w:p>
    <w:p w:rsidR="00A74362" w:rsidRPr="002C05C2" w:rsidRDefault="00A74362" w:rsidP="00A74362">
      <w:pPr>
        <w:spacing w:after="0" w:line="240" w:lineRule="auto"/>
        <w:rPr>
          <w:rFonts w:eastAsia="Times New Roman" w:cstheme="minorHAnsi"/>
        </w:rPr>
      </w:pPr>
    </w:p>
    <w:tbl>
      <w:tblPr>
        <w:tblStyle w:val="Tablaconcuadrcula"/>
        <w:tblW w:w="9498" w:type="dxa"/>
        <w:jc w:val="center"/>
        <w:tblLook w:val="04A0" w:firstRow="1" w:lastRow="0" w:firstColumn="1" w:lastColumn="0" w:noHBand="0" w:noVBand="1"/>
      </w:tblPr>
      <w:tblGrid>
        <w:gridCol w:w="2836"/>
        <w:gridCol w:w="3196"/>
        <w:gridCol w:w="3466"/>
      </w:tblGrid>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Acta No. 4 del 19 de enero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Acta No. 5 del 20 de enero de 2015.</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Acta No. 6 del 22 de enero de 2015.</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rPr>
                <w:rFonts w:cstheme="minorHAnsi"/>
              </w:rPr>
            </w:pPr>
            <w:r w:rsidRPr="002C05C2">
              <w:rPr>
                <w:rFonts w:eastAsia="Times New Roman" w:cstheme="minorHAnsi"/>
              </w:rPr>
              <w:t>Acta No. 7 del 26 de enero de 2015.</w:t>
            </w: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Acta No. 8 del 30 de enero de 2015.</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Acta No. 9 del 2 de febrero de 2015.</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Acta No. 10 del 4 de febrero de 2015.</w:t>
            </w:r>
          </w:p>
          <w:p w:rsidR="00A74362" w:rsidRPr="002C05C2" w:rsidRDefault="00A74362" w:rsidP="00F331D7">
            <w:pPr>
              <w:rPr>
                <w:rFonts w:cstheme="minorHAnsi"/>
              </w:rPr>
            </w:pPr>
          </w:p>
        </w:tc>
        <w:tc>
          <w:tcPr>
            <w:tcW w:w="3196" w:type="dxa"/>
          </w:tcPr>
          <w:p w:rsidR="00A74362" w:rsidRPr="002C05C2" w:rsidRDefault="00A74362" w:rsidP="00F331D7">
            <w:pPr>
              <w:rPr>
                <w:rFonts w:cstheme="minorHAnsi"/>
              </w:rPr>
            </w:pPr>
            <w:r w:rsidRPr="002C05C2">
              <w:rPr>
                <w:rFonts w:eastAsia="Times New Roman" w:cstheme="minorHAnsi"/>
              </w:rPr>
              <w:lastRenderedPageBreak/>
              <w:t>Acta No. 11 del 9 de febrero de 2015.</w:t>
            </w: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Acta No. 12 del 10 de febrero de 2015.</w:t>
            </w:r>
          </w:p>
          <w:p w:rsidR="00A74362" w:rsidRPr="002C05C2" w:rsidRDefault="00A74362" w:rsidP="00F331D7">
            <w:pPr>
              <w:rPr>
                <w:rFonts w:cstheme="minorHAnsi"/>
              </w:rPr>
            </w:pPr>
          </w:p>
        </w:tc>
      </w:tr>
      <w:tr w:rsidR="00A74362" w:rsidRPr="002C05C2" w:rsidTr="00F331D7">
        <w:trPr>
          <w:jc w:val="center"/>
        </w:trPr>
        <w:tc>
          <w:tcPr>
            <w:tcW w:w="2836" w:type="dxa"/>
            <w:tcBorders>
              <w:bottom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lastRenderedPageBreak/>
              <w:t>Acta No. 13 del 12 de febrero de 2015.</w:t>
            </w:r>
          </w:p>
          <w:p w:rsidR="00A74362" w:rsidRPr="002C05C2" w:rsidRDefault="00A74362" w:rsidP="00F331D7">
            <w:pPr>
              <w:rPr>
                <w:rFonts w:cstheme="minorHAnsi"/>
              </w:rPr>
            </w:pPr>
          </w:p>
        </w:tc>
        <w:tc>
          <w:tcPr>
            <w:tcW w:w="3196" w:type="dxa"/>
            <w:tcBorders>
              <w:bottom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t>Acta No. 14 del 16 de febrero de 2015.</w:t>
            </w:r>
          </w:p>
          <w:p w:rsidR="00A74362" w:rsidRPr="002C05C2" w:rsidRDefault="00A74362" w:rsidP="00F331D7">
            <w:pPr>
              <w:jc w:val="center"/>
              <w:rPr>
                <w:rFonts w:cstheme="minorHAnsi"/>
              </w:rPr>
            </w:pPr>
          </w:p>
        </w:tc>
        <w:tc>
          <w:tcPr>
            <w:tcW w:w="3466" w:type="dxa"/>
            <w:tcBorders>
              <w:bottom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t>Acta No. 15 del 18 de febrero de 2015.</w:t>
            </w:r>
          </w:p>
          <w:p w:rsidR="00A74362" w:rsidRPr="002C05C2" w:rsidRDefault="00A74362" w:rsidP="00F331D7">
            <w:pPr>
              <w:rPr>
                <w:rFonts w:cstheme="minorHAnsi"/>
              </w:rPr>
            </w:pPr>
          </w:p>
        </w:tc>
      </w:tr>
      <w:tr w:rsidR="00A74362" w:rsidRPr="002C05C2" w:rsidTr="00F331D7">
        <w:trPr>
          <w:jc w:val="center"/>
        </w:trPr>
        <w:tc>
          <w:tcPr>
            <w:tcW w:w="2836" w:type="dxa"/>
            <w:tcBorders>
              <w:top w:val="single" w:sz="4" w:space="0" w:color="auto"/>
              <w:left w:val="single" w:sz="4" w:space="0" w:color="auto"/>
              <w:bottom w:val="single" w:sz="4" w:space="0" w:color="auto"/>
              <w:right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t>Acta No. 16 del 19 de febrero de 2015.</w:t>
            </w:r>
          </w:p>
          <w:p w:rsidR="00A74362" w:rsidRPr="002C05C2" w:rsidRDefault="00A74362" w:rsidP="00F331D7">
            <w:pPr>
              <w:rPr>
                <w:rFonts w:cstheme="minorHAnsi"/>
              </w:rPr>
            </w:pPr>
          </w:p>
        </w:tc>
        <w:tc>
          <w:tcPr>
            <w:tcW w:w="3196" w:type="dxa"/>
            <w:tcBorders>
              <w:top w:val="single" w:sz="4" w:space="0" w:color="auto"/>
              <w:left w:val="single" w:sz="4" w:space="0" w:color="auto"/>
              <w:bottom w:val="single" w:sz="4" w:space="0" w:color="auto"/>
              <w:right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t>Acta No. 17 del 23 de febrero de 2015.</w:t>
            </w:r>
          </w:p>
          <w:p w:rsidR="00A74362" w:rsidRPr="002C05C2" w:rsidRDefault="00A74362" w:rsidP="00F331D7">
            <w:pPr>
              <w:rPr>
                <w:rFonts w:cstheme="minorHAnsi"/>
              </w:rPr>
            </w:pPr>
          </w:p>
        </w:tc>
        <w:tc>
          <w:tcPr>
            <w:tcW w:w="3466" w:type="dxa"/>
            <w:tcBorders>
              <w:top w:val="single" w:sz="4" w:space="0" w:color="auto"/>
              <w:left w:val="single" w:sz="4" w:space="0" w:color="auto"/>
              <w:bottom w:val="single" w:sz="4" w:space="0" w:color="auto"/>
              <w:right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t>Acta No. 18 del 26 de febrero de 2015 (Primera Sesión).</w:t>
            </w:r>
          </w:p>
          <w:p w:rsidR="00A74362" w:rsidRPr="002C05C2" w:rsidRDefault="00A74362" w:rsidP="00F331D7">
            <w:pPr>
              <w:rPr>
                <w:rFonts w:cstheme="minorHAnsi"/>
              </w:rPr>
            </w:pPr>
          </w:p>
        </w:tc>
      </w:tr>
      <w:tr w:rsidR="00A74362" w:rsidRPr="002C05C2" w:rsidTr="00F331D7">
        <w:trPr>
          <w:jc w:val="center"/>
        </w:trPr>
        <w:tc>
          <w:tcPr>
            <w:tcW w:w="2836" w:type="dxa"/>
            <w:tcBorders>
              <w:top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t>Acta No. 19 del 26 de febrero de 2015 (Segunda Sesión).</w:t>
            </w:r>
          </w:p>
          <w:p w:rsidR="00A74362" w:rsidRPr="002C05C2" w:rsidRDefault="00A74362" w:rsidP="00F331D7">
            <w:pPr>
              <w:rPr>
                <w:rFonts w:cstheme="minorHAnsi"/>
              </w:rPr>
            </w:pPr>
          </w:p>
        </w:tc>
        <w:tc>
          <w:tcPr>
            <w:tcW w:w="3196" w:type="dxa"/>
            <w:tcBorders>
              <w:top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t>Acta No. 20 del 27 de febrero de 2015.</w:t>
            </w:r>
          </w:p>
          <w:p w:rsidR="00A74362" w:rsidRPr="002C05C2" w:rsidRDefault="00A74362" w:rsidP="00F331D7">
            <w:pPr>
              <w:rPr>
                <w:rFonts w:cstheme="minorHAnsi"/>
              </w:rPr>
            </w:pPr>
          </w:p>
        </w:tc>
        <w:tc>
          <w:tcPr>
            <w:tcW w:w="3466" w:type="dxa"/>
            <w:tcBorders>
              <w:top w:val="single" w:sz="4" w:space="0" w:color="auto"/>
            </w:tcBorders>
          </w:tcPr>
          <w:p w:rsidR="00A74362" w:rsidRPr="002C05C2" w:rsidRDefault="00A74362" w:rsidP="00F331D7">
            <w:pPr>
              <w:jc w:val="both"/>
              <w:rPr>
                <w:rFonts w:eastAsia="Times New Roman" w:cstheme="minorHAnsi"/>
              </w:rPr>
            </w:pPr>
            <w:r w:rsidRPr="002C05C2">
              <w:rPr>
                <w:rFonts w:eastAsia="Times New Roman" w:cstheme="minorHAnsi"/>
              </w:rPr>
              <w:t>Acta No. 21 del 2 de marzo de 2015.</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Acta No. 22 del 4 de marzo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Acta No. 23 del 10 de marzo de 2015 (Primera Sesión).</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Acta No. 24 del 10 de marzo de 2015(Segunda Sesión).</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Acta No. 25 del 12 de marzo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Acta No. 26 del 13 de marzo de 2015.</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Acta No. 27 del 16 de marzo de 2015.</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Acta No. 28 del 19 de marzo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Acta No. 29 del 20 de marzo de 2015.</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Acta No. 30 del 24 de marzo de 2015.</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Acta No. 31 del 25 de marzo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Acta No. 32 del 26 de marzo de 2015.</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Acta No. 33 del 27 de marzo de 2015.</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Acta No. 34 del 30 de marzo de 2015.</w:t>
            </w:r>
          </w:p>
          <w:p w:rsidR="00A74362" w:rsidRPr="002C05C2" w:rsidRDefault="00A74362" w:rsidP="00F331D7">
            <w:pPr>
              <w:rPr>
                <w:rFonts w:cstheme="minorHAnsi"/>
              </w:rPr>
            </w:pPr>
          </w:p>
        </w:tc>
        <w:tc>
          <w:tcPr>
            <w:tcW w:w="3196" w:type="dxa"/>
          </w:tcPr>
          <w:p w:rsidR="00A74362" w:rsidRPr="002C05C2" w:rsidRDefault="00A74362" w:rsidP="00F331D7">
            <w:pPr>
              <w:rPr>
                <w:rFonts w:cstheme="minorHAnsi"/>
              </w:rPr>
            </w:pPr>
            <w:r w:rsidRPr="002C05C2">
              <w:rPr>
                <w:rFonts w:eastAsia="Times New Roman" w:cstheme="minorHAnsi"/>
              </w:rPr>
              <w:t>No. 35 del 6 de abril de 2015.</w:t>
            </w:r>
          </w:p>
        </w:tc>
        <w:tc>
          <w:tcPr>
            <w:tcW w:w="3466" w:type="dxa"/>
          </w:tcPr>
          <w:p w:rsidR="00A74362" w:rsidRPr="002C05C2" w:rsidRDefault="00A74362" w:rsidP="00F331D7">
            <w:pPr>
              <w:rPr>
                <w:rFonts w:cstheme="minorHAnsi"/>
              </w:rPr>
            </w:pPr>
            <w:r w:rsidRPr="002C05C2">
              <w:rPr>
                <w:rFonts w:eastAsia="Times New Roman" w:cstheme="minorHAnsi"/>
              </w:rPr>
              <w:t>No. 36 del 7 de abril de 2015</w:t>
            </w: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37 del 10 de abril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38 del 13 de abril de 2015.</w:t>
            </w:r>
          </w:p>
          <w:p w:rsidR="00A74362" w:rsidRPr="002C05C2" w:rsidRDefault="00A74362" w:rsidP="00F331D7">
            <w:pPr>
              <w:rPr>
                <w:rFonts w:cstheme="minorHAnsi"/>
              </w:rPr>
            </w:pPr>
          </w:p>
        </w:tc>
        <w:tc>
          <w:tcPr>
            <w:tcW w:w="3466" w:type="dxa"/>
          </w:tcPr>
          <w:p w:rsidR="00A74362" w:rsidRPr="002C05C2" w:rsidRDefault="00A74362" w:rsidP="00F331D7">
            <w:pPr>
              <w:rPr>
                <w:rFonts w:cstheme="minorHAnsi"/>
              </w:rPr>
            </w:pPr>
            <w:r w:rsidRPr="002C05C2">
              <w:rPr>
                <w:rFonts w:eastAsia="Times New Roman" w:cstheme="minorHAnsi"/>
              </w:rPr>
              <w:t>No. 39 del 14 de abril de 2015</w:t>
            </w: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40 del 16 de abril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41 del 17 de abril de 2015.</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42 del 20 de abril de 2015.</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43 del 22 de abril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44 del 27 de abril de 2015.</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45 del 28 de abril de 2015.</w:t>
            </w:r>
          </w:p>
          <w:p w:rsidR="00A74362" w:rsidRPr="002C05C2" w:rsidRDefault="00A74362" w:rsidP="00F331D7">
            <w:pPr>
              <w:rPr>
                <w:rFonts w:cstheme="minorHAnsi"/>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46 del 29 de abril de 2015.</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47 del 30 de abril de 2015.</w:t>
            </w:r>
          </w:p>
          <w:p w:rsidR="00A74362" w:rsidRPr="002C05C2" w:rsidRDefault="00A74362" w:rsidP="00F331D7">
            <w:pPr>
              <w:rPr>
                <w:rFonts w:cstheme="minorHAnsi"/>
                <w:color w:val="FF0000"/>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48 del 4 de mayo de 2015.</w:t>
            </w:r>
          </w:p>
          <w:p w:rsidR="00A74362" w:rsidRPr="002C05C2" w:rsidRDefault="00A74362" w:rsidP="00F331D7">
            <w:pPr>
              <w:rPr>
                <w:rFonts w:cstheme="minorHAnsi"/>
                <w:color w:val="FF0000"/>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49 del 8 de mayo de 2015.</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50 del 11 de mayo de 2015.</w:t>
            </w:r>
          </w:p>
          <w:p w:rsidR="00A74362" w:rsidRPr="002C05C2" w:rsidRDefault="00A74362" w:rsidP="00F331D7">
            <w:pPr>
              <w:rPr>
                <w:rFonts w:cstheme="minorHAnsi"/>
                <w:color w:val="FF0000"/>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51 del 14 de mayo de 2015.</w:t>
            </w:r>
          </w:p>
          <w:p w:rsidR="00A74362" w:rsidRPr="002C05C2" w:rsidRDefault="00A74362" w:rsidP="00F331D7">
            <w:pPr>
              <w:rPr>
                <w:rFonts w:cstheme="minorHAnsi"/>
                <w:color w:val="FF0000"/>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52 del 15 de mayo de 2015.</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53 del 19 de mayo de 2015.</w:t>
            </w:r>
          </w:p>
          <w:p w:rsidR="00A74362" w:rsidRPr="002C05C2" w:rsidRDefault="00A74362" w:rsidP="00F331D7">
            <w:pPr>
              <w:rPr>
                <w:rFonts w:cstheme="minorHAnsi"/>
                <w:color w:val="FF0000"/>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54 del 20 de mayo de 2015.</w:t>
            </w:r>
          </w:p>
          <w:p w:rsidR="00A74362" w:rsidRPr="002C05C2" w:rsidRDefault="00A74362" w:rsidP="00F331D7">
            <w:pPr>
              <w:rPr>
                <w:rFonts w:cstheme="minorHAnsi"/>
                <w:color w:val="FF0000"/>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55 del 22 de mayo de 2015.</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56 del 25 de mayo de 2015 (1ª. Sesión).</w:t>
            </w:r>
          </w:p>
          <w:p w:rsidR="00A74362" w:rsidRPr="002C05C2" w:rsidRDefault="00A74362" w:rsidP="00F331D7">
            <w:pPr>
              <w:rPr>
                <w:rFonts w:cstheme="minorHAnsi"/>
                <w:color w:val="FF0000"/>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57 del 25 de mayo de 2015 (2ª. Sesión)</w:t>
            </w: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lastRenderedPageBreak/>
              <w:t>No. 58 del 25 de mayo de 2015 (3ª. Sesión)</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59 del 27 de mayo de 2015.</w:t>
            </w:r>
          </w:p>
          <w:p w:rsidR="00A74362" w:rsidRPr="002C05C2" w:rsidRDefault="00A74362" w:rsidP="00F331D7">
            <w:pPr>
              <w:rPr>
                <w:rFonts w:cstheme="minorHAnsi"/>
                <w:color w:val="FF0000"/>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60 del 28 de mayo de 2015.</w:t>
            </w:r>
          </w:p>
          <w:p w:rsidR="00A74362" w:rsidRPr="002C05C2" w:rsidRDefault="00A74362" w:rsidP="00F331D7">
            <w:pPr>
              <w:rPr>
                <w:rFonts w:cstheme="minorHAnsi"/>
                <w:color w:val="FF0000"/>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61 del 29 de mayo de 2015.</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62 del 1º. de junio de 2015.</w:t>
            </w:r>
          </w:p>
          <w:p w:rsidR="00A74362" w:rsidRPr="002C05C2" w:rsidRDefault="00A74362" w:rsidP="00F331D7">
            <w:pPr>
              <w:rPr>
                <w:rFonts w:cstheme="minorHAnsi"/>
                <w:color w:val="FF0000"/>
              </w:rPr>
            </w:pPr>
          </w:p>
        </w:tc>
        <w:tc>
          <w:tcPr>
            <w:tcW w:w="3466" w:type="dxa"/>
          </w:tcPr>
          <w:p w:rsidR="00A74362" w:rsidRPr="002C05C2" w:rsidRDefault="00A74362" w:rsidP="00F331D7">
            <w:pPr>
              <w:rPr>
                <w:rFonts w:cstheme="minorHAnsi"/>
                <w:color w:val="FF0000"/>
              </w:rPr>
            </w:pPr>
            <w:r w:rsidRPr="002C05C2">
              <w:rPr>
                <w:rFonts w:eastAsia="Times New Roman" w:cstheme="minorHAnsi"/>
              </w:rPr>
              <w:t>No. 63 del 4 de junio de 2015</w:t>
            </w: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64 del 5 de junio de 2015.</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65 del 9 de junio de 2015.</w:t>
            </w:r>
          </w:p>
          <w:p w:rsidR="00A74362" w:rsidRPr="002C05C2" w:rsidRDefault="00A74362" w:rsidP="00F331D7">
            <w:pPr>
              <w:rPr>
                <w:rFonts w:cstheme="minorHAnsi"/>
                <w:color w:val="FF0000"/>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66 del 12 de junio de 2015.</w:t>
            </w:r>
          </w:p>
          <w:p w:rsidR="00A74362" w:rsidRPr="002C05C2" w:rsidRDefault="00A74362" w:rsidP="00F331D7">
            <w:pPr>
              <w:rPr>
                <w:rFonts w:cstheme="minorHAnsi"/>
                <w:color w:val="FF0000"/>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67 del 17 de junio de 2015.</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68 del 22 de junio de 2015.</w:t>
            </w:r>
          </w:p>
          <w:p w:rsidR="00A74362" w:rsidRPr="002C05C2" w:rsidRDefault="00A74362" w:rsidP="00F331D7">
            <w:pPr>
              <w:rPr>
                <w:rFonts w:cstheme="minorHAnsi"/>
                <w:color w:val="FF0000"/>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69 del 30 de junio de 2015.</w:t>
            </w:r>
          </w:p>
          <w:p w:rsidR="00A74362" w:rsidRPr="002C05C2" w:rsidRDefault="00A74362" w:rsidP="00F331D7">
            <w:pPr>
              <w:rPr>
                <w:rFonts w:cstheme="minorHAnsi"/>
                <w:color w:val="FF0000"/>
              </w:rPr>
            </w:pP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70 del 2 de julio de 2015.</w:t>
            </w:r>
          </w:p>
          <w:p w:rsidR="00A74362" w:rsidRPr="002C05C2" w:rsidRDefault="00A74362" w:rsidP="00F331D7">
            <w:pPr>
              <w:rPr>
                <w:rFonts w:cstheme="minorHAnsi"/>
                <w:color w:val="FF0000"/>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71 del 3 de julio de 2015.</w:t>
            </w:r>
          </w:p>
          <w:p w:rsidR="00A74362" w:rsidRPr="002C05C2" w:rsidRDefault="00A74362" w:rsidP="00F331D7">
            <w:pPr>
              <w:rPr>
                <w:rFonts w:cstheme="minorHAnsi"/>
                <w:color w:val="FF0000"/>
              </w:rPr>
            </w:pPr>
          </w:p>
        </w:tc>
        <w:tc>
          <w:tcPr>
            <w:tcW w:w="3466" w:type="dxa"/>
          </w:tcPr>
          <w:p w:rsidR="00A74362" w:rsidRPr="002C05C2" w:rsidRDefault="00A74362" w:rsidP="00F331D7">
            <w:pPr>
              <w:rPr>
                <w:rFonts w:cstheme="minorHAnsi"/>
                <w:color w:val="FF0000"/>
              </w:rPr>
            </w:pPr>
            <w:r w:rsidRPr="002C05C2">
              <w:rPr>
                <w:rFonts w:eastAsia="Times New Roman" w:cstheme="minorHAnsi"/>
              </w:rPr>
              <w:t>No. 72 del 6 de julio de 2015</w:t>
            </w:r>
          </w:p>
        </w:tc>
      </w:tr>
      <w:tr w:rsidR="00A74362" w:rsidRPr="002C05C2" w:rsidTr="00F331D7">
        <w:trPr>
          <w:jc w:val="center"/>
        </w:trPr>
        <w:tc>
          <w:tcPr>
            <w:tcW w:w="2836" w:type="dxa"/>
          </w:tcPr>
          <w:p w:rsidR="00A74362" w:rsidRPr="002C05C2" w:rsidRDefault="00A74362" w:rsidP="00F331D7">
            <w:pPr>
              <w:jc w:val="both"/>
              <w:rPr>
                <w:rFonts w:eastAsia="Times New Roman" w:cstheme="minorHAnsi"/>
              </w:rPr>
            </w:pPr>
            <w:r w:rsidRPr="002C05C2">
              <w:rPr>
                <w:rFonts w:eastAsia="Times New Roman" w:cstheme="minorHAnsi"/>
              </w:rPr>
              <w:t>No. 73 del 9 de julio de 2015.</w:t>
            </w:r>
          </w:p>
          <w:p w:rsidR="00A74362" w:rsidRPr="002C05C2" w:rsidRDefault="00A74362" w:rsidP="00F331D7">
            <w:pPr>
              <w:rPr>
                <w:rFonts w:cstheme="minorHAnsi"/>
              </w:rPr>
            </w:pPr>
          </w:p>
        </w:tc>
        <w:tc>
          <w:tcPr>
            <w:tcW w:w="3196" w:type="dxa"/>
          </w:tcPr>
          <w:p w:rsidR="00A74362" w:rsidRPr="002C05C2" w:rsidRDefault="00A74362" w:rsidP="00F331D7">
            <w:pPr>
              <w:jc w:val="both"/>
              <w:rPr>
                <w:rFonts w:eastAsia="Times New Roman" w:cstheme="minorHAnsi"/>
              </w:rPr>
            </w:pPr>
            <w:r w:rsidRPr="002C05C2">
              <w:rPr>
                <w:rFonts w:eastAsia="Times New Roman" w:cstheme="minorHAnsi"/>
              </w:rPr>
              <w:t>No. 74 del 13 de julio de 2015.</w:t>
            </w:r>
          </w:p>
          <w:p w:rsidR="00A74362" w:rsidRPr="002C05C2" w:rsidRDefault="00A74362" w:rsidP="00F331D7">
            <w:pPr>
              <w:rPr>
                <w:rFonts w:cstheme="minorHAnsi"/>
              </w:rPr>
            </w:pPr>
          </w:p>
        </w:tc>
        <w:tc>
          <w:tcPr>
            <w:tcW w:w="3466" w:type="dxa"/>
          </w:tcPr>
          <w:p w:rsidR="00A74362" w:rsidRPr="002C05C2" w:rsidRDefault="00A74362" w:rsidP="00F331D7">
            <w:pPr>
              <w:jc w:val="both"/>
              <w:rPr>
                <w:rFonts w:eastAsia="Times New Roman" w:cstheme="minorHAnsi"/>
              </w:rPr>
            </w:pPr>
            <w:r w:rsidRPr="002C05C2">
              <w:rPr>
                <w:rFonts w:eastAsia="Times New Roman" w:cstheme="minorHAnsi"/>
              </w:rPr>
              <w:t>No. 75 del 15 de julio de 2015.</w:t>
            </w:r>
          </w:p>
          <w:p w:rsidR="00A74362" w:rsidRPr="002C05C2" w:rsidRDefault="00A74362" w:rsidP="00F331D7">
            <w:pPr>
              <w:rPr>
                <w:rFonts w:cstheme="minorHAnsi"/>
              </w:rPr>
            </w:pPr>
          </w:p>
        </w:tc>
      </w:tr>
    </w:tbl>
    <w:p w:rsidR="00A74362" w:rsidRPr="002C05C2" w:rsidRDefault="00A74362" w:rsidP="00A74362">
      <w:pPr>
        <w:spacing w:after="0" w:line="240" w:lineRule="auto"/>
        <w:ind w:left="720"/>
        <w:jc w:val="center"/>
        <w:rPr>
          <w:rFonts w:eastAsia="Times New Roman" w:cstheme="minorHAnsi"/>
          <w:color w:val="FF0000"/>
        </w:rPr>
      </w:pPr>
    </w:p>
    <w:p w:rsidR="00A74362" w:rsidRPr="002C05C2" w:rsidRDefault="00A74362" w:rsidP="00A74362">
      <w:pPr>
        <w:rPr>
          <w:rFonts w:cstheme="minorHAnsi"/>
        </w:rPr>
      </w:pPr>
      <w:r w:rsidRPr="002C05C2">
        <w:rPr>
          <w:rFonts w:eastAsia="Times New Roman" w:cstheme="minorHAnsi"/>
        </w:rPr>
        <w:br w:type="page"/>
      </w:r>
    </w:p>
    <w:p w:rsidR="00A74362" w:rsidRPr="002C05C2" w:rsidRDefault="00A74362" w:rsidP="000577A7">
      <w:pPr>
        <w:contextualSpacing/>
        <w:jc w:val="both"/>
        <w:rPr>
          <w:rFonts w:eastAsia="Times New Roman" w:cstheme="minorHAnsi"/>
          <w:lang w:val="es-MX" w:eastAsia="es-MX"/>
        </w:rPr>
      </w:pPr>
      <w:r w:rsidRPr="002C05C2">
        <w:rPr>
          <w:rFonts w:eastAsia="Times New Roman" w:cstheme="minorHAnsi"/>
          <w:b/>
          <w:lang w:val="es-MX" w:eastAsia="es-MX"/>
        </w:rPr>
        <w:lastRenderedPageBreak/>
        <w:t>REUNIONES DE SEGUIMIENTO</w:t>
      </w:r>
    </w:p>
    <w:p w:rsidR="00A74362" w:rsidRPr="002C05C2" w:rsidRDefault="00A74362" w:rsidP="00A74362">
      <w:pPr>
        <w:contextualSpacing/>
        <w:jc w:val="both"/>
        <w:rPr>
          <w:rFonts w:eastAsia="Times New Roman" w:cstheme="minorHAnsi"/>
          <w:lang w:val="es-MX" w:eastAsia="es-MX"/>
        </w:rPr>
      </w:pPr>
    </w:p>
    <w:p w:rsidR="00A74362" w:rsidRPr="002C05C2" w:rsidRDefault="00A74362" w:rsidP="00A74362">
      <w:pPr>
        <w:contextualSpacing/>
        <w:jc w:val="both"/>
        <w:rPr>
          <w:rFonts w:cstheme="minorHAnsi"/>
          <w:b/>
        </w:rPr>
      </w:pPr>
      <w:r w:rsidRPr="002C05C2">
        <w:rPr>
          <w:rFonts w:cstheme="minorHAnsi"/>
          <w:b/>
        </w:rPr>
        <w:t xml:space="preserve">Actividad: </w:t>
      </w:r>
      <w:r w:rsidRPr="002C05C2">
        <w:rPr>
          <w:rFonts w:cstheme="minorHAnsi"/>
        </w:rPr>
        <w:t>Realizar reuniones de seguimiento y toma de decisiones de asuntos a cargo del grupo Gerencial, así como llevar a cabo reuniones y actividades de mejorar del clima organizacional.</w:t>
      </w:r>
    </w:p>
    <w:p w:rsidR="00A74362" w:rsidRPr="002C05C2" w:rsidRDefault="00A74362" w:rsidP="00A74362">
      <w:pPr>
        <w:spacing w:after="0" w:line="240" w:lineRule="auto"/>
        <w:jc w:val="both"/>
        <w:outlineLvl w:val="3"/>
        <w:rPr>
          <w:rFonts w:eastAsia="Times New Roman" w:cstheme="minorHAnsi"/>
          <w:b/>
          <w:lang w:val="es-MX" w:eastAsia="es-MX"/>
        </w:rPr>
      </w:pPr>
    </w:p>
    <w:p w:rsidR="00A74362" w:rsidRPr="002C05C2" w:rsidRDefault="00A74362" w:rsidP="00A74362">
      <w:pPr>
        <w:contextualSpacing/>
        <w:jc w:val="both"/>
        <w:rPr>
          <w:rFonts w:cstheme="minorHAnsi"/>
        </w:rPr>
      </w:pPr>
      <w:r w:rsidRPr="002C05C2">
        <w:rPr>
          <w:rFonts w:cstheme="minorHAnsi"/>
        </w:rPr>
        <w:t>Para el primer semestre de 2015, se han realizado cuatro (4) reuniones de seguimiento una para cada mes en los meses de marzo, abril, mayo y junio.</w:t>
      </w:r>
    </w:p>
    <w:p w:rsidR="00A74362" w:rsidRPr="002C05C2" w:rsidRDefault="00A74362" w:rsidP="00A74362">
      <w:pPr>
        <w:contextualSpacing/>
        <w:jc w:val="both"/>
        <w:rPr>
          <w:rFonts w:cstheme="minorHAnsi"/>
          <w:b/>
        </w:rPr>
      </w:pPr>
    </w:p>
    <w:p w:rsidR="00A74362" w:rsidRPr="002C05C2" w:rsidRDefault="00A74362" w:rsidP="000577A7">
      <w:pPr>
        <w:contextualSpacing/>
        <w:jc w:val="both"/>
        <w:rPr>
          <w:rFonts w:cstheme="minorHAnsi"/>
          <w:b/>
        </w:rPr>
      </w:pPr>
      <w:r w:rsidRPr="002C05C2">
        <w:rPr>
          <w:rFonts w:cstheme="minorHAnsi"/>
          <w:b/>
        </w:rPr>
        <w:t>MANUAL DE CONTRATACIÓN Y ACTUALIZACION DOCUMENTAL</w:t>
      </w:r>
    </w:p>
    <w:p w:rsidR="00A74362" w:rsidRPr="002C05C2" w:rsidRDefault="00A74362" w:rsidP="00A74362">
      <w:pPr>
        <w:ind w:left="720"/>
        <w:contextualSpacing/>
        <w:jc w:val="both"/>
        <w:rPr>
          <w:rFonts w:cstheme="minorHAnsi"/>
          <w:b/>
        </w:rPr>
      </w:pPr>
    </w:p>
    <w:p w:rsidR="00A74362" w:rsidRPr="002C05C2" w:rsidRDefault="00A74362" w:rsidP="00A74362">
      <w:pPr>
        <w:spacing w:after="0" w:line="240" w:lineRule="auto"/>
        <w:contextualSpacing/>
        <w:jc w:val="both"/>
        <w:rPr>
          <w:rFonts w:eastAsia="Times New Roman" w:cstheme="minorHAnsi"/>
          <w:lang w:val="es-MX" w:eastAsia="es-MX"/>
        </w:rPr>
      </w:pPr>
      <w:r w:rsidRPr="002C05C2">
        <w:rPr>
          <w:rFonts w:eastAsia="Times New Roman" w:cstheme="minorHAnsi"/>
          <w:b/>
          <w:lang w:val="es-MX" w:eastAsia="es-MX"/>
        </w:rPr>
        <w:t xml:space="preserve">Actividad: </w:t>
      </w:r>
      <w:r w:rsidRPr="002C05C2">
        <w:rPr>
          <w:rFonts w:eastAsia="Times New Roman" w:cstheme="minorHAnsi"/>
          <w:lang w:val="es-MX" w:eastAsia="es-MX"/>
        </w:rPr>
        <w:t>Actualizar los procedimientos y el manual de contratación de la entidad, además de la elaboración de Listas de chequeo para el inicio de procesos contractuales, listas de chequeo para el contenido de los expedientes y estandarización documental, de conformidad con el Decreto 1510 de 2013.</w:t>
      </w:r>
    </w:p>
    <w:p w:rsidR="00A74362" w:rsidRPr="002C05C2" w:rsidRDefault="00A74362" w:rsidP="00A74362">
      <w:pPr>
        <w:spacing w:after="0" w:line="240" w:lineRule="auto"/>
        <w:contextualSpacing/>
        <w:jc w:val="both"/>
        <w:rPr>
          <w:rFonts w:eastAsia="Times New Roman" w:cstheme="minorHAnsi"/>
          <w:b/>
          <w:lang w:val="es-MX" w:eastAsia="es-MX"/>
        </w:rPr>
      </w:pPr>
    </w:p>
    <w:p w:rsidR="00A74362" w:rsidRPr="002C05C2" w:rsidRDefault="00A74362" w:rsidP="00A74362">
      <w:pPr>
        <w:contextualSpacing/>
        <w:jc w:val="both"/>
        <w:rPr>
          <w:rFonts w:cstheme="minorHAnsi"/>
          <w:noProof/>
          <w:lang w:val="es-MX" w:eastAsia="es-MX"/>
        </w:rPr>
      </w:pPr>
      <w:r w:rsidRPr="002C05C2">
        <w:rPr>
          <w:rFonts w:cstheme="minorHAnsi"/>
          <w:noProof/>
          <w:lang w:val="es-MX" w:eastAsia="es-MX"/>
        </w:rPr>
        <w:t>Para el primer semestre de 2015, se tuvieron los siguientes avance en cuanto a implementación normativa y estandarización de documentos y servicio del GIT de Contratación, los siguientes:</w:t>
      </w:r>
    </w:p>
    <w:p w:rsidR="00A74362" w:rsidRPr="002C05C2" w:rsidRDefault="00A74362" w:rsidP="00A74362">
      <w:pPr>
        <w:contextualSpacing/>
        <w:jc w:val="both"/>
        <w:rPr>
          <w:rFonts w:cstheme="minorHAnsi"/>
          <w:noProof/>
          <w:lang w:val="es-MX" w:eastAsia="es-MX"/>
        </w:rPr>
      </w:pPr>
    </w:p>
    <w:p w:rsidR="00A74362" w:rsidRPr="002C05C2" w:rsidRDefault="00A74362" w:rsidP="00A74362">
      <w:pPr>
        <w:contextualSpacing/>
        <w:jc w:val="both"/>
        <w:rPr>
          <w:rFonts w:cstheme="minorHAnsi"/>
          <w:noProof/>
          <w:lang w:val="es-MX" w:eastAsia="es-MX"/>
        </w:rPr>
      </w:pPr>
      <w:r w:rsidRPr="002C05C2">
        <w:rPr>
          <w:rFonts w:cstheme="minorHAnsi"/>
          <w:b/>
          <w:noProof/>
          <w:lang w:val="es-MX" w:eastAsia="es-MX"/>
        </w:rPr>
        <w:t xml:space="preserve">Actualizción del Manual de Contratación.  </w:t>
      </w:r>
      <w:r w:rsidRPr="002C05C2">
        <w:rPr>
          <w:rFonts w:cstheme="minorHAnsi"/>
          <w:noProof/>
          <w:lang w:val="es-MX" w:eastAsia="es-MX"/>
        </w:rPr>
        <w:t xml:space="preserve"> Mediante Resolución N° 113 del 30 de junio de 2015, se actualizó el manual de contratación de la Agencia, teniendo en cuenta la nueva normatividad asociada a los procesos de contratación, las necesidades de establecer las delegaciones de cuantía según la estructura organizacional y  la identificación de los procesos con los procedimientos institucionales.</w:t>
      </w:r>
    </w:p>
    <w:p w:rsidR="00A74362" w:rsidRPr="002C05C2" w:rsidRDefault="00A74362" w:rsidP="00A74362">
      <w:pPr>
        <w:contextualSpacing/>
        <w:jc w:val="both"/>
        <w:rPr>
          <w:rFonts w:cstheme="minorHAnsi"/>
          <w:noProof/>
          <w:lang w:val="es-MX" w:eastAsia="es-MX"/>
        </w:rPr>
      </w:pPr>
    </w:p>
    <w:p w:rsidR="00A74362" w:rsidRPr="002C05C2" w:rsidRDefault="00A74362" w:rsidP="00A74362">
      <w:pPr>
        <w:contextualSpacing/>
        <w:jc w:val="both"/>
        <w:rPr>
          <w:rFonts w:cstheme="minorHAnsi"/>
          <w:noProof/>
          <w:lang w:val="es-MX" w:eastAsia="es-MX"/>
        </w:rPr>
      </w:pPr>
      <w:r w:rsidRPr="002C05C2">
        <w:rPr>
          <w:rFonts w:cstheme="minorHAnsi"/>
          <w:noProof/>
          <w:lang w:val="es-MX" w:eastAsia="es-MX"/>
        </w:rPr>
        <w:t xml:space="preserve">Como medida de control de riesgos anticorrupción, se suscribió con los funcionarios y contratistas el GIT de Contratación un </w:t>
      </w:r>
      <w:r w:rsidRPr="002C05C2">
        <w:rPr>
          <w:rFonts w:cstheme="minorHAnsi"/>
          <w:b/>
          <w:noProof/>
          <w:lang w:val="es-MX" w:eastAsia="es-MX"/>
        </w:rPr>
        <w:t>COMPROMISO DE CONFIDENCIALIDAD Y TRANSPARENCIA</w:t>
      </w:r>
      <w:r w:rsidRPr="002C05C2">
        <w:rPr>
          <w:rFonts w:cstheme="minorHAnsi"/>
          <w:noProof/>
          <w:lang w:val="es-MX" w:eastAsia="es-MX"/>
        </w:rPr>
        <w:t>, independiente del que se suscribe como evaluador de los procesos de selección.</w:t>
      </w:r>
    </w:p>
    <w:p w:rsidR="00A74362" w:rsidRPr="002C05C2" w:rsidRDefault="00A74362" w:rsidP="00A74362">
      <w:pPr>
        <w:contextualSpacing/>
        <w:jc w:val="both"/>
        <w:rPr>
          <w:rFonts w:cstheme="minorHAnsi"/>
          <w:noProof/>
          <w:lang w:val="es-MX" w:eastAsia="es-MX"/>
        </w:rPr>
      </w:pPr>
    </w:p>
    <w:p w:rsidR="00A74362" w:rsidRPr="002C05C2" w:rsidRDefault="00A74362" w:rsidP="00A74362">
      <w:pPr>
        <w:contextualSpacing/>
        <w:jc w:val="both"/>
        <w:rPr>
          <w:rFonts w:cstheme="minorHAnsi"/>
          <w:noProof/>
          <w:lang w:val="es-MX" w:eastAsia="es-MX"/>
        </w:rPr>
      </w:pPr>
      <w:r w:rsidRPr="002C05C2">
        <w:rPr>
          <w:rFonts w:cstheme="minorHAnsi"/>
          <w:noProof/>
          <w:lang w:val="es-MX" w:eastAsia="es-MX"/>
        </w:rPr>
        <w:t>Se viene trabajndo en la elaboración deun protocolo de seguridad para la sala de evaluación, el cual será expedido conjuntamente entre la Vicepresidencia Jurídica y la Vicepresidencia Administrativa y Financiera de la Agencia.</w:t>
      </w:r>
    </w:p>
    <w:p w:rsidR="000577A7" w:rsidRPr="002C05C2" w:rsidRDefault="000577A7" w:rsidP="00A74362">
      <w:pPr>
        <w:contextualSpacing/>
        <w:jc w:val="both"/>
        <w:rPr>
          <w:rFonts w:eastAsia="Times New Roman" w:cstheme="minorHAnsi"/>
        </w:rPr>
      </w:pPr>
    </w:p>
    <w:p w:rsidR="00A74362" w:rsidRPr="002C05C2" w:rsidRDefault="00A74362" w:rsidP="000577A7">
      <w:pPr>
        <w:jc w:val="both"/>
        <w:rPr>
          <w:rFonts w:cstheme="minorHAnsi"/>
          <w:b/>
        </w:rPr>
      </w:pPr>
      <w:r w:rsidRPr="002C05C2">
        <w:rPr>
          <w:rFonts w:cstheme="minorHAnsi"/>
          <w:b/>
        </w:rPr>
        <w:t>SEGUIMIENTO Y CONTROL A LA EJECUCION DEL PAA</w:t>
      </w:r>
    </w:p>
    <w:p w:rsidR="00A74362" w:rsidRPr="002C05C2" w:rsidRDefault="00A74362" w:rsidP="00A74362">
      <w:pPr>
        <w:spacing w:after="0" w:line="240" w:lineRule="auto"/>
        <w:contextualSpacing/>
        <w:jc w:val="both"/>
        <w:rPr>
          <w:rFonts w:eastAsia="Times New Roman" w:cstheme="minorHAnsi"/>
          <w:lang w:val="es-MX" w:eastAsia="es-MX"/>
        </w:rPr>
      </w:pPr>
      <w:r w:rsidRPr="002C05C2">
        <w:rPr>
          <w:rFonts w:eastAsia="Times New Roman" w:cstheme="minorHAnsi"/>
          <w:b/>
          <w:lang w:val="es-MX" w:eastAsia="es-MX"/>
        </w:rPr>
        <w:t xml:space="preserve">Actividad: </w:t>
      </w:r>
      <w:r w:rsidRPr="002C05C2">
        <w:rPr>
          <w:rFonts w:eastAsia="Times New Roman" w:cstheme="minorHAnsi"/>
          <w:lang w:val="es-MX" w:eastAsia="es-MX"/>
        </w:rPr>
        <w:t>Implementar un sistema de seguimiento, control y ejecución precontractual – GIT de Contratación.</w:t>
      </w:r>
    </w:p>
    <w:p w:rsidR="00A74362" w:rsidRPr="002C05C2" w:rsidRDefault="00A74362" w:rsidP="00A74362">
      <w:pPr>
        <w:spacing w:after="0" w:line="240" w:lineRule="auto"/>
        <w:contextualSpacing/>
        <w:jc w:val="both"/>
        <w:rPr>
          <w:rFonts w:eastAsia="Times New Roman" w:cstheme="minorHAnsi"/>
          <w:lang w:val="es-MX" w:eastAsia="es-MX"/>
        </w:rPr>
      </w:pPr>
    </w:p>
    <w:p w:rsidR="00A74362" w:rsidRPr="002C05C2" w:rsidRDefault="00A74362" w:rsidP="00A74362">
      <w:pPr>
        <w:spacing w:before="100" w:beforeAutospacing="1" w:after="100" w:afterAutospacing="1" w:line="240" w:lineRule="auto"/>
        <w:jc w:val="both"/>
        <w:outlineLvl w:val="3"/>
        <w:rPr>
          <w:rFonts w:eastAsia="Times New Roman" w:cstheme="minorHAnsi"/>
          <w:lang w:val="es-MX" w:eastAsia="es-MX"/>
        </w:rPr>
      </w:pPr>
      <w:r w:rsidRPr="002C05C2">
        <w:rPr>
          <w:rFonts w:eastAsia="Times New Roman" w:cstheme="minorHAnsi"/>
          <w:lang w:val="es-MX" w:eastAsia="es-MX"/>
        </w:rPr>
        <w:t>De conformidad con la estructura de los procesos de selección adelantados por la ANI y bajo los parámetros establecidos por el Decreto 1510 de 2013, el GIT de Contratación se propuso la implementación de un sistema de seguimiento y control a la ejecución presupuestal que reflejara el avance de la gestión del Grupo y permitiera a su vez, llevar el registro de las actividades que se han planeado para la respectiva vigencia.</w:t>
      </w:r>
    </w:p>
    <w:p w:rsidR="00A74362" w:rsidRPr="002C05C2" w:rsidRDefault="00A74362" w:rsidP="00A74362">
      <w:pPr>
        <w:jc w:val="both"/>
        <w:rPr>
          <w:rFonts w:cstheme="minorHAnsi"/>
        </w:rPr>
      </w:pPr>
      <w:r w:rsidRPr="002C05C2">
        <w:rPr>
          <w:rFonts w:cstheme="minorHAnsi"/>
        </w:rPr>
        <w:lastRenderedPageBreak/>
        <w:t xml:space="preserve">Se pretende implementar un Sistema de información contractual, que resulte ser una manifestación de los objetivos estratégicos de la Agencia a partir de su Misión y la integración entre los resultados operacionales y estratégicos de la entidad, a través del PAA. </w:t>
      </w:r>
    </w:p>
    <w:p w:rsidR="00A74362" w:rsidRPr="002C05C2" w:rsidRDefault="00A74362" w:rsidP="00A74362">
      <w:pPr>
        <w:pStyle w:val="Sangradetextonormal"/>
        <w:ind w:left="0"/>
        <w:rPr>
          <w:rFonts w:asciiTheme="minorHAnsi" w:hAnsiTheme="minorHAnsi" w:cstheme="minorHAnsi"/>
          <w:b/>
          <w:sz w:val="22"/>
          <w:szCs w:val="22"/>
          <w:lang w:val="es-ES_tradnl"/>
        </w:rPr>
      </w:pPr>
      <w:r w:rsidRPr="002C05C2">
        <w:rPr>
          <w:rFonts w:asciiTheme="minorHAnsi" w:hAnsiTheme="minorHAnsi" w:cstheme="minorHAnsi"/>
          <w:sz w:val="22"/>
          <w:szCs w:val="22"/>
          <w:lang w:val="es-ES_tradnl"/>
        </w:rPr>
        <w:t>El desarrollo ordenado, eficiente, oportuno y transparente de los procesos de contratación es fundamental para ejecutar un Proyecto dentro del plazo establecido y lograr los beneficios esperados.  Las contrataciones de la ANI en el marco de los procedimientos y requisitos, los diferentes métodos de selección y contratación aplicables para contratación de bienes, obras o servicios, que pueden ser más convenientes, dependiendo del tipo de proyecto y condiciones del mercado.</w:t>
      </w:r>
    </w:p>
    <w:p w:rsidR="00A74362" w:rsidRPr="002C05C2" w:rsidRDefault="00A74362" w:rsidP="00A74362">
      <w:pPr>
        <w:pStyle w:val="Sangradetextonormal"/>
        <w:ind w:left="0"/>
        <w:rPr>
          <w:rFonts w:asciiTheme="minorHAnsi" w:hAnsiTheme="minorHAnsi" w:cstheme="minorHAnsi"/>
          <w:b/>
          <w:sz w:val="22"/>
          <w:szCs w:val="22"/>
          <w:lang w:val="es-ES_tradnl"/>
        </w:rPr>
      </w:pPr>
    </w:p>
    <w:p w:rsidR="00A74362" w:rsidRPr="002C05C2" w:rsidRDefault="00A74362" w:rsidP="00A74362">
      <w:pPr>
        <w:jc w:val="both"/>
        <w:rPr>
          <w:rFonts w:cstheme="minorHAnsi"/>
          <w:lang w:val="es-ES_tradnl"/>
        </w:rPr>
      </w:pPr>
      <w:r w:rsidRPr="002C05C2">
        <w:rPr>
          <w:rFonts w:cstheme="minorHAnsi"/>
          <w:lang w:val="es-ES_tradnl"/>
        </w:rPr>
        <w:t>La planificación debe identificar las actividades críticas de cada uno de los procesos de contratación, señalar el “camino crítico” para la ejecución total de cada Proyecto y determinar el mapa de riesgos y estudios del sector, con las instancias que requieren un monitoreo más frecuente y mayor supervisión, a fin de evitar atrasos en la ejecución del Proyecto, razón por la cual, se incluyen documentos para el seguimiento de las contrataciones del GIT de Contratación.</w:t>
      </w:r>
    </w:p>
    <w:p w:rsidR="00A74362" w:rsidRPr="002C05C2" w:rsidRDefault="00A74362" w:rsidP="00A74362">
      <w:pPr>
        <w:tabs>
          <w:tab w:val="left" w:pos="6520"/>
        </w:tabs>
        <w:jc w:val="both"/>
        <w:rPr>
          <w:rFonts w:cstheme="minorHAnsi"/>
        </w:rPr>
      </w:pPr>
      <w:r w:rsidRPr="002C05C2">
        <w:rPr>
          <w:rFonts w:cstheme="minorHAnsi"/>
        </w:rPr>
        <w:t>De acuerdo con lo anterior, el GIT de Contratación con el apoyo del GIT de Sistemas de la Vicepresidencia de Planeación, elaboró una herramienta de fácil manejo para el seguimiento y control en el cumplimiento del PAA; para esto se han creado bases de datos para seguimiento directo de cada contrato, con el fin de medir, oportunidad y eficacia de las etapas de cada proceso con base en la herramienta principal de la planeación contractual que es el PAA.</w:t>
      </w:r>
    </w:p>
    <w:p w:rsidR="00A74362" w:rsidRPr="002C05C2" w:rsidRDefault="00A74362" w:rsidP="000577A7">
      <w:pPr>
        <w:contextualSpacing/>
        <w:jc w:val="both"/>
        <w:rPr>
          <w:rFonts w:cstheme="minorHAnsi"/>
          <w:b/>
        </w:rPr>
      </w:pPr>
      <w:r w:rsidRPr="002C05C2">
        <w:rPr>
          <w:rFonts w:cstheme="minorHAnsi"/>
          <w:b/>
        </w:rPr>
        <w:t>INDICADORES DE SEGUIMIENTO/DESEMPEÑO</w:t>
      </w:r>
    </w:p>
    <w:p w:rsidR="00A74362" w:rsidRPr="002C05C2" w:rsidRDefault="00A74362" w:rsidP="00A74362">
      <w:pPr>
        <w:ind w:left="720"/>
        <w:contextualSpacing/>
        <w:jc w:val="both"/>
        <w:rPr>
          <w:rFonts w:cstheme="minorHAnsi"/>
          <w:b/>
        </w:rPr>
      </w:pPr>
    </w:p>
    <w:p w:rsidR="00A74362" w:rsidRPr="002C05C2" w:rsidRDefault="00A74362" w:rsidP="00A74362">
      <w:pPr>
        <w:jc w:val="both"/>
        <w:rPr>
          <w:rFonts w:eastAsia="Times New Roman" w:cstheme="minorHAnsi"/>
          <w:b/>
          <w:lang w:val="es-MX" w:eastAsia="es-MX"/>
        </w:rPr>
      </w:pPr>
      <w:r w:rsidRPr="002C05C2">
        <w:rPr>
          <w:rFonts w:eastAsia="Times New Roman" w:cstheme="minorHAnsi"/>
          <w:b/>
          <w:lang w:val="es-MX" w:eastAsia="es-MX"/>
        </w:rPr>
        <w:t xml:space="preserve">Actividad: </w:t>
      </w:r>
      <w:r w:rsidRPr="002C05C2">
        <w:rPr>
          <w:rFonts w:eastAsia="Times New Roman" w:cstheme="minorHAnsi"/>
          <w:lang w:val="es-MX" w:eastAsia="es-MX"/>
        </w:rPr>
        <w:t>Sistema de Indicadores – GIT de Contratación.</w:t>
      </w:r>
    </w:p>
    <w:p w:rsidR="00A74362" w:rsidRPr="002C05C2" w:rsidRDefault="00A74362" w:rsidP="00A74362">
      <w:pPr>
        <w:jc w:val="both"/>
        <w:rPr>
          <w:rFonts w:cstheme="minorHAnsi"/>
        </w:rPr>
      </w:pPr>
      <w:r w:rsidRPr="002C05C2">
        <w:rPr>
          <w:rFonts w:cstheme="minorHAnsi"/>
        </w:rPr>
        <w:t>El reporte de los indicadores para el primer semestre del año 2015 es como sigue:</w:t>
      </w:r>
    </w:p>
    <w:p w:rsidR="00A74362" w:rsidRPr="002C05C2" w:rsidRDefault="00A74362" w:rsidP="00A74362">
      <w:pPr>
        <w:jc w:val="both"/>
        <w:rPr>
          <w:rFonts w:cstheme="minorHAnsi"/>
        </w:rPr>
      </w:pPr>
      <w:r w:rsidRPr="002C05C2">
        <w:rPr>
          <w:rFonts w:cstheme="minorHAnsi"/>
          <w:b/>
        </w:rPr>
        <w:t>Publicación y convocatoria de adjudicaciones.</w:t>
      </w:r>
    </w:p>
    <w:p w:rsidR="00A74362" w:rsidRPr="002C05C2" w:rsidRDefault="00A74362" w:rsidP="00A74362">
      <w:pPr>
        <w:jc w:val="both"/>
        <w:rPr>
          <w:rFonts w:cstheme="minorHAnsi"/>
        </w:rPr>
      </w:pPr>
      <w:r w:rsidRPr="002C05C2">
        <w:rPr>
          <w:rFonts w:cstheme="minorHAnsi"/>
        </w:rPr>
        <w:t>Para el período evaluado se revisaron las publicaciones realizadas en los procesos de selección de la Agencia, incluyendo todas las etapas para cada modalidad de selección. El resultado es que se publicaron 469 documentos para todas las modalidades de selección discriminados así.</w:t>
      </w:r>
    </w:p>
    <w:p w:rsidR="00A74362" w:rsidRPr="002C05C2" w:rsidRDefault="00A74362" w:rsidP="00A74362">
      <w:pPr>
        <w:jc w:val="center"/>
        <w:rPr>
          <w:rFonts w:cstheme="minorHAnsi"/>
        </w:rPr>
      </w:pPr>
      <w:r w:rsidRPr="002C05C2">
        <w:rPr>
          <w:rFonts w:cstheme="minorHAnsi"/>
          <w:noProof/>
        </w:rPr>
        <w:lastRenderedPageBreak/>
        <w:drawing>
          <wp:inline distT="0" distB="0" distL="0" distR="0" wp14:anchorId="574809C5" wp14:editId="01ABB378">
            <wp:extent cx="5612130" cy="3957841"/>
            <wp:effectExtent l="0" t="0" r="762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3957841"/>
                    </a:xfrm>
                    <a:prstGeom prst="rect">
                      <a:avLst/>
                    </a:prstGeom>
                    <a:noFill/>
                    <a:ln>
                      <a:noFill/>
                    </a:ln>
                  </pic:spPr>
                </pic:pic>
              </a:graphicData>
            </a:graphic>
          </wp:inline>
        </w:drawing>
      </w:r>
    </w:p>
    <w:p w:rsidR="00A74362" w:rsidRPr="002C05C2" w:rsidRDefault="00A74362" w:rsidP="00A74362">
      <w:pPr>
        <w:jc w:val="center"/>
        <w:rPr>
          <w:rFonts w:cstheme="minorHAnsi"/>
        </w:rPr>
      </w:pPr>
    </w:p>
    <w:p w:rsidR="00A74362" w:rsidRPr="002C05C2" w:rsidRDefault="00A74362" w:rsidP="00A74362">
      <w:pPr>
        <w:jc w:val="both"/>
        <w:rPr>
          <w:rFonts w:cstheme="minorHAnsi"/>
          <w:b/>
        </w:rPr>
      </w:pPr>
      <w:r w:rsidRPr="002C05C2">
        <w:rPr>
          <w:rFonts w:cstheme="minorHAnsi"/>
          <w:b/>
        </w:rPr>
        <w:t>Tiempo para la preparación de las propuestas</w:t>
      </w:r>
    </w:p>
    <w:p w:rsidR="00A74362" w:rsidRPr="002C05C2" w:rsidRDefault="00A74362" w:rsidP="00A74362">
      <w:pPr>
        <w:jc w:val="both"/>
        <w:rPr>
          <w:rFonts w:cstheme="minorHAnsi"/>
        </w:rPr>
      </w:pPr>
      <w:r w:rsidRPr="002C05C2">
        <w:rPr>
          <w:rFonts w:cstheme="minorHAnsi"/>
        </w:rPr>
        <w:t xml:space="preserve">Para el período comprendido el promedio del número de días entre la apertura del proceso y la presentación de propuestas fue acorde con cada modalidad.  Se destacan los procesos de alto impacto para la Entidad (AAP´s, seguido muy por debajo por los procesos de Subasta Inversa y Concurso de Méritos).  Los procesos de Selección Abreviada tienen en promedio el mismo tiempo de los procesos de Licitación Pública para ésta etapa. </w:t>
      </w:r>
    </w:p>
    <w:p w:rsidR="00A74362" w:rsidRPr="002C05C2" w:rsidRDefault="00A74362" w:rsidP="00A74362">
      <w:pPr>
        <w:jc w:val="center"/>
        <w:rPr>
          <w:rFonts w:cstheme="minorHAnsi"/>
        </w:rPr>
      </w:pPr>
      <w:r w:rsidRPr="002C05C2">
        <w:rPr>
          <w:rFonts w:cstheme="minorHAnsi"/>
          <w:noProof/>
        </w:rPr>
        <w:lastRenderedPageBreak/>
        <w:drawing>
          <wp:inline distT="0" distB="0" distL="0" distR="0" wp14:anchorId="3310C176" wp14:editId="24DA8E8F">
            <wp:extent cx="4933950" cy="27336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3950" cy="2733675"/>
                    </a:xfrm>
                    <a:prstGeom prst="rect">
                      <a:avLst/>
                    </a:prstGeom>
                    <a:noFill/>
                    <a:ln>
                      <a:noFill/>
                    </a:ln>
                  </pic:spPr>
                </pic:pic>
              </a:graphicData>
            </a:graphic>
          </wp:inline>
        </w:drawing>
      </w:r>
    </w:p>
    <w:p w:rsidR="00A74362" w:rsidRPr="002C05C2" w:rsidRDefault="00A74362" w:rsidP="00A74362">
      <w:pPr>
        <w:jc w:val="both"/>
        <w:rPr>
          <w:rFonts w:cstheme="minorHAnsi"/>
          <w:noProof/>
          <w:lang w:val="es-MX" w:eastAsia="es-MX"/>
        </w:rPr>
      </w:pPr>
      <w:r w:rsidRPr="002C05C2">
        <w:rPr>
          <w:rFonts w:cstheme="minorHAnsi"/>
        </w:rPr>
        <w:t>Para el período comprendido el promedio del número de días entre la apertura del proceso y la adjudicación fue acorde con cada modalidad.  Se destacan los procesos de alto impacto para la Entidad (APP´s y muy por debajo se encuentran los procesos de Concurso de Méritos y Subasta inversa).  Los procesos de Selección Abreviada tienen en promedio el mismo tiempo de los procesos de Licitación Pública. Los procesos de Mínima cuantía.</w:t>
      </w:r>
    </w:p>
    <w:p w:rsidR="00A74362" w:rsidRPr="002C05C2" w:rsidRDefault="00A74362" w:rsidP="00A74362">
      <w:pPr>
        <w:jc w:val="center"/>
        <w:rPr>
          <w:rFonts w:cstheme="minorHAnsi"/>
          <w:noProof/>
          <w:lang w:val="es-MX" w:eastAsia="es-MX"/>
        </w:rPr>
      </w:pPr>
      <w:r w:rsidRPr="002C05C2">
        <w:rPr>
          <w:rFonts w:cstheme="minorHAnsi"/>
          <w:noProof/>
        </w:rPr>
        <w:drawing>
          <wp:inline distT="0" distB="0" distL="0" distR="0" wp14:anchorId="6F9BC163" wp14:editId="4556F112">
            <wp:extent cx="5019675" cy="2781300"/>
            <wp:effectExtent l="0" t="0" r="9525" b="0"/>
            <wp:docPr id="15364" name="Imagen 1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9675" cy="2781300"/>
                    </a:xfrm>
                    <a:prstGeom prst="rect">
                      <a:avLst/>
                    </a:prstGeom>
                    <a:noFill/>
                    <a:ln>
                      <a:noFill/>
                    </a:ln>
                  </pic:spPr>
                </pic:pic>
              </a:graphicData>
            </a:graphic>
          </wp:inline>
        </w:drawing>
      </w:r>
    </w:p>
    <w:p w:rsidR="00A74362" w:rsidRPr="002C05C2" w:rsidRDefault="00A74362" w:rsidP="00A74362">
      <w:pPr>
        <w:jc w:val="both"/>
        <w:rPr>
          <w:rFonts w:cstheme="minorHAnsi"/>
        </w:rPr>
      </w:pPr>
      <w:r w:rsidRPr="002C05C2">
        <w:rPr>
          <w:rFonts w:cstheme="minorHAnsi"/>
          <w:b/>
        </w:rPr>
        <w:t>Participación de Proponentes</w:t>
      </w:r>
    </w:p>
    <w:p w:rsidR="00A74362" w:rsidRPr="002C05C2" w:rsidRDefault="00A74362" w:rsidP="00A74362">
      <w:pPr>
        <w:jc w:val="both"/>
        <w:rPr>
          <w:rFonts w:cstheme="minorHAnsi"/>
        </w:rPr>
      </w:pPr>
      <w:r w:rsidRPr="002C05C2">
        <w:rPr>
          <w:rFonts w:cstheme="minorHAnsi"/>
        </w:rPr>
        <w:t>Para el período comprendido se presentaron 620 propuestas. La modalidad de selección que más proponentes atrae por el valor son los concursos de méritos con 220 propuestas en 13 procesos con un promedio de 47,6 propuestas por proceso de selección; la mínima cuantía con aproximadamente 74 propuestas para 16 procesos con un promedio de 4,6 propuestas por proceso y la selección Abreviada con 45 propuestas en 5 procesos con un promedio de 9 propuestas por proceso.</w:t>
      </w:r>
    </w:p>
    <w:p w:rsidR="00A74362" w:rsidRPr="002C05C2" w:rsidRDefault="00A74362" w:rsidP="00A74362">
      <w:pPr>
        <w:jc w:val="center"/>
        <w:rPr>
          <w:rFonts w:cstheme="minorHAnsi"/>
        </w:rPr>
      </w:pPr>
      <w:r w:rsidRPr="002C05C2">
        <w:rPr>
          <w:rFonts w:cstheme="minorHAnsi"/>
          <w:noProof/>
        </w:rPr>
        <w:lastRenderedPageBreak/>
        <w:drawing>
          <wp:inline distT="0" distB="0" distL="0" distR="0" wp14:anchorId="336B0DFD" wp14:editId="2D048392">
            <wp:extent cx="5612130" cy="3432419"/>
            <wp:effectExtent l="0" t="0" r="7620" b="0"/>
            <wp:docPr id="15365" name="Imagen 1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3432419"/>
                    </a:xfrm>
                    <a:prstGeom prst="rect">
                      <a:avLst/>
                    </a:prstGeom>
                    <a:noFill/>
                    <a:ln>
                      <a:noFill/>
                    </a:ln>
                  </pic:spPr>
                </pic:pic>
              </a:graphicData>
            </a:graphic>
          </wp:inline>
        </w:drawing>
      </w:r>
    </w:p>
    <w:p w:rsidR="00A74362" w:rsidRPr="002C05C2" w:rsidRDefault="00A74362" w:rsidP="00A74362">
      <w:pPr>
        <w:pStyle w:val="Prrafodelista"/>
        <w:jc w:val="both"/>
        <w:rPr>
          <w:rFonts w:cstheme="minorHAnsi"/>
        </w:rPr>
      </w:pPr>
    </w:p>
    <w:p w:rsidR="00A74362" w:rsidRPr="002C05C2" w:rsidRDefault="00A74362" w:rsidP="00A74362">
      <w:pPr>
        <w:pStyle w:val="Prrafodelista"/>
        <w:jc w:val="both"/>
        <w:rPr>
          <w:rFonts w:cstheme="minorHAnsi"/>
          <w:b/>
        </w:rPr>
      </w:pPr>
      <w:r w:rsidRPr="002C05C2">
        <w:rPr>
          <w:rFonts w:cstheme="minorHAnsi"/>
          <w:b/>
        </w:rPr>
        <w:t>Procesos cancelados</w:t>
      </w:r>
    </w:p>
    <w:p w:rsidR="00A74362" w:rsidRPr="002C05C2" w:rsidRDefault="00A74362" w:rsidP="00A74362">
      <w:pPr>
        <w:pStyle w:val="Prrafodelista"/>
        <w:jc w:val="both"/>
        <w:rPr>
          <w:rFonts w:cstheme="minorHAnsi"/>
          <w:b/>
        </w:rPr>
      </w:pPr>
    </w:p>
    <w:p w:rsidR="00A74362" w:rsidRPr="002C05C2" w:rsidRDefault="00A74362" w:rsidP="00A74362">
      <w:pPr>
        <w:pStyle w:val="Prrafodelista"/>
        <w:jc w:val="both"/>
        <w:rPr>
          <w:rFonts w:cstheme="minorHAnsi"/>
        </w:rPr>
      </w:pPr>
      <w:r w:rsidRPr="002C05C2">
        <w:rPr>
          <w:rFonts w:cstheme="minorHAnsi"/>
        </w:rPr>
        <w:t>Hace referencia a aquellos procesos que fueron terminados anormalmente antes de su adjudicación.  Generalmente se debe a un acto unilateral de la administración; para el período evaluado el reporte es de un (1) procesos cancelado, por modalidad de selección de concurso de méritos:</w:t>
      </w:r>
    </w:p>
    <w:p w:rsidR="009D1EA7" w:rsidRPr="002C05C2" w:rsidRDefault="009D1EA7" w:rsidP="00A74362">
      <w:pPr>
        <w:pStyle w:val="Prrafodelista"/>
        <w:jc w:val="both"/>
        <w:rPr>
          <w:rFonts w:cstheme="minorHAnsi"/>
          <w:b/>
        </w:rPr>
      </w:pPr>
    </w:p>
    <w:p w:rsidR="00A74362" w:rsidRPr="002C05C2" w:rsidRDefault="00A74362" w:rsidP="00A74362">
      <w:pPr>
        <w:pStyle w:val="Prrafodelista"/>
        <w:jc w:val="both"/>
        <w:rPr>
          <w:rFonts w:cstheme="minorHAnsi"/>
          <w:b/>
        </w:rPr>
      </w:pPr>
      <w:r w:rsidRPr="002C05C2">
        <w:rPr>
          <w:rFonts w:cstheme="minorHAnsi"/>
          <w:noProof/>
        </w:rPr>
        <w:lastRenderedPageBreak/>
        <w:drawing>
          <wp:inline distT="0" distB="0" distL="0" distR="0" wp14:anchorId="213837A8" wp14:editId="04BBE3AE">
            <wp:extent cx="4924425" cy="3143250"/>
            <wp:effectExtent l="0" t="0" r="9525" b="0"/>
            <wp:docPr id="15367" name="Imagen 1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4425" cy="3143250"/>
                    </a:xfrm>
                    <a:prstGeom prst="rect">
                      <a:avLst/>
                    </a:prstGeom>
                    <a:noFill/>
                    <a:ln>
                      <a:noFill/>
                    </a:ln>
                  </pic:spPr>
                </pic:pic>
              </a:graphicData>
            </a:graphic>
          </wp:inline>
        </w:drawing>
      </w:r>
    </w:p>
    <w:p w:rsidR="00A74362" w:rsidRPr="002C05C2" w:rsidRDefault="00A74362" w:rsidP="00A74362">
      <w:pPr>
        <w:ind w:firstLine="708"/>
        <w:rPr>
          <w:rFonts w:cstheme="minorHAnsi"/>
        </w:rPr>
      </w:pPr>
      <w:r w:rsidRPr="002C05C2">
        <w:rPr>
          <w:rFonts w:cstheme="minorHAnsi"/>
          <w:b/>
        </w:rPr>
        <w:t>Procesos Desiertos</w:t>
      </w:r>
    </w:p>
    <w:p w:rsidR="00A74362" w:rsidRPr="002C05C2" w:rsidRDefault="00A74362" w:rsidP="00A74362">
      <w:pPr>
        <w:pStyle w:val="Prrafodelista"/>
        <w:jc w:val="both"/>
        <w:rPr>
          <w:rFonts w:cstheme="minorHAnsi"/>
        </w:rPr>
      </w:pPr>
      <w:r w:rsidRPr="002C05C2">
        <w:rPr>
          <w:rFonts w:cstheme="minorHAnsi"/>
        </w:rPr>
        <w:t>Hace referencia a aquellos contratos cuya vocación de ser adjudicados, se vio truncada o por ausencia de proponentes o por que los proponentes no cumplieron con los requisitos establecidos; para el período evaluado el reporte es de 4 procesos declarados desiertos, discriminados por modalidad de selección</w:t>
      </w:r>
      <w:r w:rsidR="000577A7" w:rsidRPr="002C05C2">
        <w:rPr>
          <w:rFonts w:cstheme="minorHAnsi"/>
        </w:rPr>
        <w:t>: Dos</w:t>
      </w:r>
      <w:r w:rsidRPr="002C05C2">
        <w:rPr>
          <w:rFonts w:cstheme="minorHAnsi"/>
        </w:rPr>
        <w:t xml:space="preserve"> procesos de IPB declarados desiertos son de gran impacto para la estrategia de oportunidad en la adjudicación de los proyectos misionales de la Agencia.</w:t>
      </w:r>
    </w:p>
    <w:p w:rsidR="00A74362" w:rsidRPr="002C05C2" w:rsidRDefault="00A74362" w:rsidP="00A74362">
      <w:pPr>
        <w:pStyle w:val="Prrafodelista"/>
        <w:jc w:val="both"/>
        <w:rPr>
          <w:rFonts w:cstheme="minorHAnsi"/>
        </w:rPr>
      </w:pPr>
    </w:p>
    <w:p w:rsidR="00A74362" w:rsidRPr="002C05C2" w:rsidRDefault="00A74362" w:rsidP="00A74362">
      <w:pPr>
        <w:pStyle w:val="Prrafodelista"/>
        <w:jc w:val="center"/>
        <w:rPr>
          <w:rFonts w:cstheme="minorHAnsi"/>
        </w:rPr>
      </w:pPr>
      <w:r w:rsidRPr="002C05C2">
        <w:rPr>
          <w:rFonts w:cstheme="minorHAnsi"/>
          <w:noProof/>
        </w:rPr>
        <w:lastRenderedPageBreak/>
        <w:drawing>
          <wp:inline distT="0" distB="0" distL="0" distR="0" wp14:anchorId="371A2DCE" wp14:editId="025BF608">
            <wp:extent cx="5200650" cy="3467100"/>
            <wp:effectExtent l="0" t="0" r="0" b="0"/>
            <wp:docPr id="15368" name="Imagen 1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00650" cy="3467100"/>
                    </a:xfrm>
                    <a:prstGeom prst="rect">
                      <a:avLst/>
                    </a:prstGeom>
                    <a:noFill/>
                    <a:ln>
                      <a:noFill/>
                    </a:ln>
                  </pic:spPr>
                </pic:pic>
              </a:graphicData>
            </a:graphic>
          </wp:inline>
        </w:drawing>
      </w:r>
    </w:p>
    <w:p w:rsidR="00A74362" w:rsidRPr="002C05C2" w:rsidRDefault="00A74362" w:rsidP="00A74362">
      <w:pPr>
        <w:pStyle w:val="Prrafodelista"/>
        <w:rPr>
          <w:rFonts w:cstheme="minorHAnsi"/>
          <w:b/>
          <w:bCs/>
        </w:rPr>
      </w:pPr>
    </w:p>
    <w:p w:rsidR="00A74362" w:rsidRPr="002C05C2" w:rsidRDefault="00A74362" w:rsidP="000577A7">
      <w:pPr>
        <w:rPr>
          <w:rFonts w:cstheme="minorHAnsi"/>
          <w:b/>
          <w:bCs/>
        </w:rPr>
      </w:pPr>
      <w:r w:rsidRPr="002C05C2">
        <w:rPr>
          <w:rFonts w:cstheme="minorHAnsi"/>
          <w:b/>
          <w:bCs/>
        </w:rPr>
        <w:t>Métodos de selección</w:t>
      </w:r>
    </w:p>
    <w:p w:rsidR="00A74362" w:rsidRPr="002C05C2" w:rsidRDefault="00A74362" w:rsidP="00A74362">
      <w:pPr>
        <w:pStyle w:val="Prrafodelista"/>
        <w:jc w:val="both"/>
        <w:rPr>
          <w:rFonts w:cstheme="minorHAnsi"/>
          <w:b/>
        </w:rPr>
      </w:pPr>
    </w:p>
    <w:p w:rsidR="00A74362" w:rsidRPr="002C05C2" w:rsidRDefault="00A74362" w:rsidP="00A74362">
      <w:pPr>
        <w:pStyle w:val="Prrafodelista"/>
        <w:jc w:val="both"/>
        <w:rPr>
          <w:rFonts w:cstheme="minorHAnsi"/>
        </w:rPr>
      </w:pPr>
      <w:r w:rsidRPr="002C05C2">
        <w:rPr>
          <w:rFonts w:cstheme="minorHAnsi"/>
        </w:rPr>
        <w:t>Para el período comprendido se han adelantado 318 proceso en la ANI, discriminados de la siguiente manera, según modalidad de contratación:</w:t>
      </w:r>
    </w:p>
    <w:p w:rsidR="00A74362" w:rsidRPr="002C05C2" w:rsidRDefault="00A74362" w:rsidP="00A74362">
      <w:pPr>
        <w:pStyle w:val="Prrafodelista"/>
        <w:jc w:val="both"/>
        <w:rPr>
          <w:rFonts w:cstheme="minorHAnsi"/>
        </w:rPr>
      </w:pPr>
    </w:p>
    <w:p w:rsidR="00A74362" w:rsidRPr="002C05C2" w:rsidRDefault="00A74362" w:rsidP="00A74362">
      <w:pPr>
        <w:pStyle w:val="Prrafodelista"/>
        <w:jc w:val="center"/>
        <w:rPr>
          <w:rFonts w:cstheme="minorHAnsi"/>
        </w:rPr>
      </w:pPr>
      <w:r w:rsidRPr="002C05C2">
        <w:rPr>
          <w:rFonts w:cstheme="minorHAnsi"/>
          <w:noProof/>
        </w:rPr>
        <w:lastRenderedPageBreak/>
        <w:drawing>
          <wp:inline distT="0" distB="0" distL="0" distR="0" wp14:anchorId="1CFA3B3E" wp14:editId="46BF850E">
            <wp:extent cx="5257800" cy="4460875"/>
            <wp:effectExtent l="0" t="0" r="0" b="0"/>
            <wp:docPr id="15369" name="Imagen 1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8334" cy="4461328"/>
                    </a:xfrm>
                    <a:prstGeom prst="rect">
                      <a:avLst/>
                    </a:prstGeom>
                    <a:noFill/>
                    <a:ln>
                      <a:noFill/>
                    </a:ln>
                  </pic:spPr>
                </pic:pic>
              </a:graphicData>
            </a:graphic>
          </wp:inline>
        </w:drawing>
      </w:r>
    </w:p>
    <w:p w:rsidR="00A74362" w:rsidRPr="002C05C2" w:rsidRDefault="00A74362" w:rsidP="00A74362">
      <w:pPr>
        <w:pStyle w:val="Prrafodelista"/>
        <w:jc w:val="center"/>
        <w:rPr>
          <w:rFonts w:cstheme="minorHAnsi"/>
        </w:rPr>
      </w:pPr>
    </w:p>
    <w:p w:rsidR="00A74362" w:rsidRPr="002C05C2" w:rsidRDefault="00A74362" w:rsidP="00A74362">
      <w:pPr>
        <w:pStyle w:val="Prrafodelista"/>
        <w:rPr>
          <w:rFonts w:cstheme="minorHAnsi"/>
        </w:rPr>
      </w:pPr>
      <w:r w:rsidRPr="002C05C2">
        <w:rPr>
          <w:rFonts w:cstheme="minorHAnsi"/>
          <w:b/>
        </w:rPr>
        <w:t>Adendas</w:t>
      </w:r>
    </w:p>
    <w:p w:rsidR="00A74362" w:rsidRPr="002C05C2" w:rsidRDefault="00A74362" w:rsidP="00A74362">
      <w:pPr>
        <w:pStyle w:val="Prrafodelista"/>
        <w:rPr>
          <w:rFonts w:cstheme="minorHAnsi"/>
          <w:b/>
        </w:rPr>
      </w:pPr>
    </w:p>
    <w:p w:rsidR="00A74362" w:rsidRPr="002C05C2" w:rsidRDefault="00A74362" w:rsidP="00A74362">
      <w:pPr>
        <w:pStyle w:val="Prrafodelista"/>
        <w:jc w:val="both"/>
        <w:rPr>
          <w:rFonts w:cstheme="minorHAnsi"/>
        </w:rPr>
      </w:pPr>
      <w:r w:rsidRPr="002C05C2">
        <w:rPr>
          <w:rFonts w:cstheme="minorHAnsi"/>
        </w:rPr>
        <w:t>Hace referencia a las modificaciones realizadas a los pliegos de condiciones y a los avisos modificatorios realizados para los procesos de Asociación Público Privada.  Se discriminan por modalidad de selección y según si modifican el contenido de los pliegos de condiciones o aquellas adendas modificatorias de los plazos del proceso de selección:</w:t>
      </w:r>
    </w:p>
    <w:p w:rsidR="00A74362" w:rsidRPr="002C05C2" w:rsidRDefault="00A74362" w:rsidP="00A74362">
      <w:pPr>
        <w:pStyle w:val="Prrafodelista"/>
        <w:jc w:val="both"/>
        <w:rPr>
          <w:rFonts w:cstheme="minorHAnsi"/>
        </w:rPr>
      </w:pPr>
    </w:p>
    <w:p w:rsidR="00A74362" w:rsidRPr="002C05C2" w:rsidRDefault="00A74362" w:rsidP="00F33349">
      <w:pPr>
        <w:pStyle w:val="Prrafodelista"/>
        <w:numPr>
          <w:ilvl w:val="0"/>
          <w:numId w:val="111"/>
        </w:numPr>
        <w:jc w:val="both"/>
        <w:rPr>
          <w:rFonts w:cstheme="minorHAnsi"/>
        </w:rPr>
      </w:pPr>
      <w:r w:rsidRPr="002C05C2">
        <w:rPr>
          <w:rFonts w:cstheme="minorHAnsi"/>
        </w:rPr>
        <w:t>25 adendas modificando el plazo del contrato, siendo el concurso de méritos el proceso con mayor número de adendas (15).</w:t>
      </w:r>
    </w:p>
    <w:p w:rsidR="00A74362" w:rsidRPr="002C05C2" w:rsidRDefault="00A74362" w:rsidP="00F33349">
      <w:pPr>
        <w:pStyle w:val="Prrafodelista"/>
        <w:numPr>
          <w:ilvl w:val="0"/>
          <w:numId w:val="111"/>
        </w:numPr>
        <w:jc w:val="both"/>
        <w:rPr>
          <w:rFonts w:cstheme="minorHAnsi"/>
        </w:rPr>
      </w:pPr>
      <w:r w:rsidRPr="002C05C2">
        <w:rPr>
          <w:rFonts w:cstheme="minorHAnsi"/>
        </w:rPr>
        <w:t>56 adendas que modifican pliegos de condiciones, siendo las APP´s la modalidad con mayor número de adendas con 27, seguido de las IPB, con 19 adendas.</w:t>
      </w:r>
    </w:p>
    <w:p w:rsidR="00A74362" w:rsidRPr="002C05C2" w:rsidRDefault="00A74362" w:rsidP="00F33349">
      <w:pPr>
        <w:pStyle w:val="Prrafodelista"/>
        <w:numPr>
          <w:ilvl w:val="0"/>
          <w:numId w:val="111"/>
        </w:numPr>
        <w:jc w:val="both"/>
        <w:rPr>
          <w:rFonts w:cstheme="minorHAnsi"/>
        </w:rPr>
      </w:pPr>
      <w:r w:rsidRPr="002C05C2">
        <w:rPr>
          <w:rFonts w:cstheme="minorHAnsi"/>
        </w:rPr>
        <w:t>5 adendas mixtas que modifican tanto plazo como pliegos, siendo el concurso de méritos el proceso con mayor número de adendas mixtas (4).</w:t>
      </w:r>
    </w:p>
    <w:p w:rsidR="00A74362" w:rsidRPr="002C05C2" w:rsidRDefault="00A74362" w:rsidP="00A74362">
      <w:pPr>
        <w:pStyle w:val="Prrafodelista"/>
        <w:jc w:val="both"/>
        <w:rPr>
          <w:rFonts w:cstheme="minorHAnsi"/>
        </w:rPr>
      </w:pPr>
    </w:p>
    <w:p w:rsidR="00A74362" w:rsidRPr="002C05C2" w:rsidRDefault="00A74362" w:rsidP="000577A7">
      <w:pPr>
        <w:pStyle w:val="Prrafodelista"/>
        <w:jc w:val="center"/>
        <w:rPr>
          <w:rFonts w:cstheme="minorHAnsi"/>
        </w:rPr>
      </w:pPr>
      <w:r w:rsidRPr="002C05C2">
        <w:rPr>
          <w:rFonts w:cstheme="minorHAnsi"/>
          <w:noProof/>
        </w:rPr>
        <w:lastRenderedPageBreak/>
        <w:drawing>
          <wp:inline distT="0" distB="0" distL="0" distR="0" wp14:anchorId="3C603829" wp14:editId="52576113">
            <wp:extent cx="5553710" cy="4143038"/>
            <wp:effectExtent l="0" t="0" r="8890" b="0"/>
            <wp:docPr id="15370" name="Imagen 1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6346" cy="4152465"/>
                    </a:xfrm>
                    <a:prstGeom prst="rect">
                      <a:avLst/>
                    </a:prstGeom>
                    <a:noFill/>
                    <a:ln>
                      <a:noFill/>
                    </a:ln>
                  </pic:spPr>
                </pic:pic>
              </a:graphicData>
            </a:graphic>
          </wp:inline>
        </w:drawing>
      </w:r>
    </w:p>
    <w:p w:rsidR="00A74362" w:rsidRPr="002C05C2" w:rsidRDefault="00A74362">
      <w:pPr>
        <w:rPr>
          <w:rFonts w:cstheme="minorHAnsi"/>
        </w:rPr>
      </w:pPr>
    </w:p>
    <w:p w:rsidR="004A75CC" w:rsidRPr="002C05C2" w:rsidRDefault="004A75CC" w:rsidP="004A75CC">
      <w:pPr>
        <w:spacing w:after="0" w:line="240" w:lineRule="auto"/>
        <w:jc w:val="both"/>
        <w:rPr>
          <w:rFonts w:eastAsia="Times New Roman" w:cstheme="minorHAnsi"/>
          <w:b/>
          <w:color w:val="000000"/>
          <w:u w:val="single"/>
        </w:rPr>
      </w:pPr>
      <w:r w:rsidRPr="002C05C2">
        <w:rPr>
          <w:rFonts w:eastAsia="Times New Roman" w:cstheme="minorHAnsi"/>
          <w:b/>
          <w:color w:val="000000"/>
          <w:u w:val="single"/>
        </w:rPr>
        <w:t>GERENCIA JURÍDICO ESTRUCTURACIÓN</w:t>
      </w:r>
    </w:p>
    <w:p w:rsidR="004A75CC" w:rsidRPr="002C05C2" w:rsidRDefault="004A75CC">
      <w:pPr>
        <w:rPr>
          <w:rFonts w:cstheme="minorHAnsi"/>
        </w:rPr>
      </w:pPr>
    </w:p>
    <w:p w:rsidR="004A75CC" w:rsidRPr="002C05C2" w:rsidRDefault="004A75CC" w:rsidP="004A75CC">
      <w:pPr>
        <w:pStyle w:val="Prrafodelista"/>
        <w:ind w:left="0"/>
        <w:rPr>
          <w:rFonts w:cstheme="minorHAnsi"/>
        </w:rPr>
      </w:pPr>
      <w:r w:rsidRPr="002C05C2">
        <w:rPr>
          <w:rFonts w:cstheme="minorHAnsi"/>
        </w:rPr>
        <w:t>Se apoyó jurídicamente la estructuración y el desarrollo de los documentos estándar de los proyectos de la cuarta generación de Iniciativa Pública e iniciativa privada, mediante el suministro de insumos jurídicos y el acompañamiento jurídico, de acuerdo con los requerimientos de la Vicepresidencia de Estructuración.</w:t>
      </w:r>
    </w:p>
    <w:p w:rsidR="004A75CC" w:rsidRPr="002C05C2" w:rsidRDefault="004A75CC" w:rsidP="004A75CC">
      <w:pPr>
        <w:pStyle w:val="Prrafodelista"/>
        <w:ind w:left="0"/>
        <w:rPr>
          <w:rFonts w:cstheme="minorHAnsi"/>
        </w:rPr>
      </w:pPr>
    </w:p>
    <w:p w:rsidR="004A75CC" w:rsidRPr="002C05C2" w:rsidRDefault="004A75CC" w:rsidP="004A75CC">
      <w:pPr>
        <w:pStyle w:val="Prrafodelista"/>
        <w:ind w:left="0"/>
        <w:rPr>
          <w:rFonts w:cstheme="minorHAnsi"/>
        </w:rPr>
      </w:pPr>
    </w:p>
    <w:p w:rsidR="004A75CC" w:rsidRPr="002C05C2" w:rsidRDefault="004A75CC" w:rsidP="009D1EA7">
      <w:pPr>
        <w:spacing w:after="160" w:line="259" w:lineRule="auto"/>
        <w:rPr>
          <w:rFonts w:cstheme="minorHAnsi"/>
          <w:b/>
        </w:rPr>
      </w:pPr>
      <w:r w:rsidRPr="002C05C2">
        <w:rPr>
          <w:rFonts w:cstheme="minorHAnsi"/>
          <w:b/>
        </w:rPr>
        <w:t>INICIATIVAS PÚBLICAS (Segunda ola)</w:t>
      </w:r>
    </w:p>
    <w:p w:rsidR="004A75CC" w:rsidRPr="002C05C2" w:rsidRDefault="004A75CC" w:rsidP="004A75CC">
      <w:pPr>
        <w:pStyle w:val="Prrafodelista"/>
        <w:ind w:left="1440"/>
        <w:rPr>
          <w:rFonts w:cstheme="minorHAnsi"/>
          <w:b/>
        </w:rPr>
      </w:pPr>
    </w:p>
    <w:p w:rsidR="004A75CC" w:rsidRPr="002C05C2" w:rsidRDefault="004A75CC" w:rsidP="004A75CC">
      <w:pPr>
        <w:pStyle w:val="Prrafodelista"/>
        <w:ind w:left="1440"/>
        <w:rPr>
          <w:rFonts w:cstheme="minorHAnsi"/>
          <w:b/>
        </w:rPr>
      </w:pPr>
    </w:p>
    <w:p w:rsidR="004A75CC" w:rsidRPr="002C05C2" w:rsidRDefault="004A75CC" w:rsidP="00F33349">
      <w:pPr>
        <w:pStyle w:val="Prrafodelista"/>
        <w:numPr>
          <w:ilvl w:val="0"/>
          <w:numId w:val="110"/>
        </w:numPr>
        <w:spacing w:after="160" w:line="259" w:lineRule="auto"/>
        <w:jc w:val="both"/>
        <w:rPr>
          <w:rFonts w:cstheme="minorHAnsi"/>
          <w:b/>
        </w:rPr>
      </w:pPr>
      <w:r w:rsidRPr="002C05C2">
        <w:rPr>
          <w:rFonts w:cstheme="minorHAnsi"/>
          <w:b/>
        </w:rPr>
        <w:t>LP-16 Puerta del Hierro - Cruz del Viso. Con resolución de conformación de lista de precalificados.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para que el Concesionario realice a su cuenta y riesgo la elaboración de los estudios y los diseños definitivos, la financiación, el trámite y obtención de las Licencias Ambientales </w:t>
      </w:r>
      <w:r w:rsidRPr="002C05C2">
        <w:rPr>
          <w:rFonts w:cstheme="minorHAnsi"/>
        </w:rPr>
        <w:lastRenderedPageBreak/>
        <w:t>y demás permisos necesarios, la gestión y adquisición de los Predios, la gestión social, la construcción de la variante de Carmen de Bolívar, el mejoramiento de la vía existente Puerta de Hierro ¿ Palmar de Varela y Carreto ¿ Cruz del Viso en 195 km y la operación y el mantenimiento de todo el Corredor Vial, de acuerdo con el Apéndice Técnico 1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Bolívar</w:t>
      </w:r>
      <w:r w:rsidRPr="002C05C2">
        <w:rPr>
          <w:rFonts w:cstheme="minorHAnsi"/>
        </w:rPr>
        <w:t xml:space="preserve">: El Carmen de Bolívar, Calamar, San Jacinto, San Juan Nepomuceno;                                                                                                                                                                                                       </w:t>
      </w:r>
      <w:r w:rsidRPr="002C05C2">
        <w:rPr>
          <w:rFonts w:cstheme="minorHAnsi"/>
          <w:i/>
        </w:rPr>
        <w:t>Atlántico</w:t>
      </w:r>
      <w:r w:rsidRPr="002C05C2">
        <w:rPr>
          <w:rFonts w:cstheme="minorHAnsi"/>
        </w:rPr>
        <w:t xml:space="preserve">: Palmar de Varela; </w:t>
      </w:r>
      <w:r w:rsidRPr="002C05C2">
        <w:rPr>
          <w:rFonts w:cstheme="minorHAnsi"/>
          <w:i/>
        </w:rPr>
        <w:t>Sucre</w:t>
      </w:r>
      <w:r w:rsidRPr="002C05C2">
        <w:rPr>
          <w:rFonts w:cstheme="minorHAnsi"/>
        </w:rPr>
        <w:t>: Ovejas.</w:t>
      </w:r>
    </w:p>
    <w:p w:rsidR="004A75CC" w:rsidRPr="002C05C2" w:rsidRDefault="004A75CC" w:rsidP="004A75CC">
      <w:pPr>
        <w:jc w:val="both"/>
        <w:rPr>
          <w:rFonts w:cstheme="minorHAnsi"/>
          <w:b/>
        </w:rPr>
      </w:pPr>
      <w:r w:rsidRPr="002C05C2">
        <w:rPr>
          <w:rFonts w:cstheme="minorHAnsi"/>
          <w:b/>
        </w:rPr>
        <w:t>Cronograma:</w:t>
      </w:r>
    </w:p>
    <w:tbl>
      <w:tblPr>
        <w:tblW w:w="0" w:type="auto"/>
        <w:tblInd w:w="-5" w:type="dxa"/>
        <w:tblCellMar>
          <w:left w:w="70" w:type="dxa"/>
          <w:right w:w="70" w:type="dxa"/>
        </w:tblCellMar>
        <w:tblLook w:val="04A0" w:firstRow="1" w:lastRow="0" w:firstColumn="1" w:lastColumn="0" w:noHBand="0" w:noVBand="1"/>
      </w:tblPr>
      <w:tblGrid>
        <w:gridCol w:w="1094"/>
        <w:gridCol w:w="787"/>
        <w:gridCol w:w="1915"/>
        <w:gridCol w:w="1321"/>
        <w:gridCol w:w="1497"/>
        <w:gridCol w:w="1374"/>
      </w:tblGrid>
      <w:tr w:rsidR="004A75CC" w:rsidRPr="002C05C2" w:rsidTr="004A75CC">
        <w:trPr>
          <w:trHeight w:val="83"/>
        </w:trPr>
        <w:tc>
          <w:tcPr>
            <w:tcW w:w="0" w:type="auto"/>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0" w:type="auto"/>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0" w:type="auto"/>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0" w:type="auto"/>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0" w:type="auto"/>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0" w:type="auto"/>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b/>
                <w:bCs/>
                <w:color w:val="3D3D3D"/>
              </w:rPr>
            </w:pPr>
            <w:r w:rsidRPr="002C05C2">
              <w:rPr>
                <w:rFonts w:eastAsia="Times New Roman" w:cstheme="minorHAnsi"/>
                <w:b/>
                <w:bCs/>
                <w:color w:val="3D3D3D"/>
              </w:rPr>
              <w:t>12 dic.</w:t>
            </w:r>
          </w:p>
        </w:tc>
        <w:tc>
          <w:tcPr>
            <w:tcW w:w="0" w:type="auto"/>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b/>
                <w:bCs/>
                <w:color w:val="3D3D3D"/>
              </w:rPr>
            </w:pPr>
            <w:r w:rsidRPr="002C05C2">
              <w:rPr>
                <w:rFonts w:eastAsia="Times New Roman" w:cstheme="minorHAnsi"/>
                <w:b/>
                <w:bCs/>
                <w:color w:val="3D3D3D"/>
              </w:rPr>
              <w:t>15-ene</w:t>
            </w:r>
          </w:p>
        </w:tc>
        <w:tc>
          <w:tcPr>
            <w:tcW w:w="0" w:type="auto"/>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b/>
                <w:bCs/>
                <w:color w:val="3D3D3D"/>
              </w:rPr>
            </w:pPr>
            <w:r w:rsidRPr="002C05C2">
              <w:rPr>
                <w:rFonts w:eastAsia="Times New Roman" w:cstheme="minorHAnsi"/>
                <w:b/>
                <w:bCs/>
                <w:color w:val="3D3D3D"/>
              </w:rPr>
              <w:t>10-abr</w:t>
            </w:r>
          </w:p>
        </w:tc>
        <w:tc>
          <w:tcPr>
            <w:tcW w:w="0" w:type="auto"/>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b/>
                <w:bCs/>
                <w:color w:val="3D3D3D"/>
              </w:rPr>
            </w:pPr>
            <w:r w:rsidRPr="002C05C2">
              <w:rPr>
                <w:rFonts w:eastAsia="Times New Roman" w:cstheme="minorHAnsi"/>
                <w:b/>
                <w:bCs/>
                <w:color w:val="3D3D3D"/>
              </w:rPr>
              <w:t>19-may</w:t>
            </w:r>
          </w:p>
        </w:tc>
        <w:tc>
          <w:tcPr>
            <w:tcW w:w="0" w:type="auto"/>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b/>
                <w:bCs/>
                <w:color w:val="3D3D3D"/>
              </w:rPr>
            </w:pPr>
            <w:r w:rsidRPr="002C05C2">
              <w:rPr>
                <w:rFonts w:eastAsia="Times New Roman" w:cstheme="minorHAnsi"/>
                <w:b/>
                <w:bCs/>
                <w:color w:val="3D3D3D"/>
              </w:rPr>
              <w:t>22 jun.</w:t>
            </w:r>
          </w:p>
        </w:tc>
        <w:tc>
          <w:tcPr>
            <w:tcW w:w="0" w:type="auto"/>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b/>
                <w:bCs/>
                <w:color w:val="3D3D3D"/>
              </w:rPr>
            </w:pPr>
            <w:r w:rsidRPr="002C05C2">
              <w:rPr>
                <w:rFonts w:eastAsia="Times New Roman" w:cstheme="minorHAnsi"/>
                <w:b/>
                <w:bCs/>
                <w:color w:val="3D3D3D"/>
              </w:rPr>
              <w:t>23 jul.</w:t>
            </w:r>
          </w:p>
        </w:tc>
      </w:tr>
    </w:tbl>
    <w:p w:rsidR="004A75CC" w:rsidRPr="002C05C2" w:rsidRDefault="004A75CC" w:rsidP="004A75CC">
      <w:pPr>
        <w:jc w:val="both"/>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LP-17 Neiva- Santana Precalificación</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los estudios y diseños definitivos, financiación, gestión ambiental, predial y social, construcción, mejoramiento, rehabilitación, operación, mantenimiento y reversión de la concesión Santana, Mocoa, Neiva, de acuerdo con el Apéndice Técnico 1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 xml:space="preserve">Huila: </w:t>
      </w:r>
      <w:r w:rsidRPr="002C05C2">
        <w:rPr>
          <w:rFonts w:cstheme="minorHAnsi"/>
        </w:rPr>
        <w:t>Garzón, Pitalito</w:t>
      </w:r>
      <w:r w:rsidRPr="002C05C2">
        <w:rPr>
          <w:rFonts w:cstheme="minorHAnsi"/>
          <w:i/>
        </w:rPr>
        <w:t xml:space="preserve">; Putumayo: </w:t>
      </w:r>
      <w:r w:rsidRPr="002C05C2">
        <w:rPr>
          <w:rFonts w:cstheme="minorHAnsi"/>
        </w:rPr>
        <w:t>Villa Garzón/Villa Amazónica</w:t>
      </w:r>
      <w:r w:rsidRPr="002C05C2">
        <w:rPr>
          <w:rFonts w:cstheme="minorHAnsi"/>
          <w:i/>
        </w:rPr>
        <w:t xml:space="preserve">; Magdalena: </w:t>
      </w:r>
      <w:r w:rsidRPr="002C05C2">
        <w:rPr>
          <w:rFonts w:cstheme="minorHAnsi"/>
        </w:rPr>
        <w:t>Santa Ana</w:t>
      </w:r>
      <w:r w:rsidRPr="002C05C2">
        <w:rPr>
          <w:rFonts w:cstheme="minorHAnsi"/>
          <w:i/>
        </w:rPr>
        <w:t xml:space="preserve">; Huila: </w:t>
      </w:r>
      <w:r w:rsidRPr="002C05C2">
        <w:rPr>
          <w:rFonts w:cstheme="minorHAnsi"/>
        </w:rPr>
        <w:t>San Agustín</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
                <w:bCs/>
                <w:color w:val="3D3D3D"/>
              </w:rPr>
            </w:pPr>
            <w:r w:rsidRPr="002C05C2">
              <w:rPr>
                <w:rFonts w:cstheme="minorHAnsi"/>
                <w:b/>
                <w:bCs/>
                <w:color w:val="3D3D3D"/>
              </w:rPr>
              <w:t xml:space="preserve">19 dic. </w:t>
            </w:r>
          </w:p>
        </w:tc>
        <w:tc>
          <w:tcPr>
            <w:tcW w:w="680"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
                <w:bCs/>
                <w:color w:val="3D3D3D"/>
              </w:rPr>
            </w:pPr>
            <w:r w:rsidRPr="002C05C2">
              <w:rPr>
                <w:rFonts w:cstheme="minorHAnsi"/>
                <w:b/>
                <w:bCs/>
                <w:color w:val="3D3D3D"/>
              </w:rPr>
              <w:t>21 ene.</w:t>
            </w:r>
          </w:p>
        </w:tc>
        <w:tc>
          <w:tcPr>
            <w:tcW w:w="932"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
                <w:bCs/>
                <w:color w:val="3D3D3D"/>
              </w:rPr>
            </w:pPr>
            <w:r w:rsidRPr="002C05C2">
              <w:rPr>
                <w:rFonts w:cstheme="minorHAnsi"/>
                <w:b/>
                <w:bCs/>
                <w:color w:val="3D3D3D"/>
              </w:rPr>
              <w:t>30-abr</w:t>
            </w:r>
          </w:p>
        </w:tc>
        <w:tc>
          <w:tcPr>
            <w:tcW w:w="1045"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
                <w:bCs/>
                <w:color w:val="3D3D3D"/>
              </w:rPr>
            </w:pPr>
            <w:r w:rsidRPr="002C05C2">
              <w:rPr>
                <w:rFonts w:cstheme="minorHAnsi"/>
                <w:b/>
                <w:bCs/>
                <w:color w:val="3D3D3D"/>
              </w:rPr>
              <w:t>09 jun.</w:t>
            </w:r>
          </w:p>
        </w:tc>
        <w:tc>
          <w:tcPr>
            <w:tcW w:w="820"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
                <w:bCs/>
                <w:color w:val="3D3D3D"/>
              </w:rPr>
            </w:pPr>
            <w:r w:rsidRPr="002C05C2">
              <w:rPr>
                <w:rFonts w:cstheme="minorHAnsi"/>
                <w:b/>
                <w:bCs/>
                <w:color w:val="3D3D3D"/>
              </w:rPr>
              <w:t>10 jul.</w:t>
            </w:r>
          </w:p>
        </w:tc>
        <w:tc>
          <w:tcPr>
            <w:tcW w:w="65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
                <w:bCs/>
                <w:color w:val="3D3D3D"/>
              </w:rPr>
            </w:pPr>
            <w:r w:rsidRPr="002C05C2">
              <w:rPr>
                <w:rFonts w:cstheme="minorHAnsi"/>
                <w:b/>
                <w:bCs/>
                <w:color w:val="3D3D3D"/>
              </w:rPr>
              <w:t>11-ago</w:t>
            </w:r>
          </w:p>
        </w:tc>
      </w:tr>
    </w:tbl>
    <w:p w:rsidR="004A75CC" w:rsidRPr="002C05C2" w:rsidRDefault="004A75CC" w:rsidP="004A75CC">
      <w:pPr>
        <w:jc w:val="both"/>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LP-18 Santander de Quilichao -Popayán. Precalificación</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para que el concesionario realice a su cuenta y riesgo la realización de estudios y diseños definitivos, financiación, gestión ambiental, predial y social, construcción, mejoramiento, rehabilitación, operación, mantenimiento y reversión de la doble calzada entre Popayán y Santander de Quilichao, de acuerdo con el apéndice técnico 1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 xml:space="preserve">Cauca: </w:t>
      </w:r>
      <w:r w:rsidRPr="002C05C2">
        <w:rPr>
          <w:rFonts w:cstheme="minorHAnsi"/>
        </w:rPr>
        <w:t>Popayán, Santander de Quilichao</w:t>
      </w:r>
    </w:p>
    <w:p w:rsidR="004A75CC" w:rsidRPr="002C05C2" w:rsidRDefault="004A75CC" w:rsidP="004A75CC">
      <w:pPr>
        <w:jc w:val="both"/>
        <w:rPr>
          <w:rFonts w:cstheme="minorHAnsi"/>
          <w:b/>
        </w:rPr>
      </w:pPr>
      <w:r w:rsidRPr="002C05C2">
        <w:rPr>
          <w:rFonts w:cstheme="minorHAnsi"/>
          <w:b/>
        </w:rPr>
        <w:lastRenderedPageBreak/>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Cs/>
                <w:color w:val="3D3D3D"/>
              </w:rPr>
            </w:pPr>
            <w:r w:rsidRPr="002C05C2">
              <w:rPr>
                <w:rFonts w:cstheme="minorHAnsi"/>
                <w:bCs/>
                <w:color w:val="3D3D3D"/>
              </w:rPr>
              <w:t xml:space="preserve">19 dic. </w:t>
            </w:r>
          </w:p>
        </w:tc>
        <w:tc>
          <w:tcPr>
            <w:tcW w:w="680"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Cs/>
                <w:color w:val="3D3D3D"/>
              </w:rPr>
            </w:pPr>
            <w:r w:rsidRPr="002C05C2">
              <w:rPr>
                <w:rFonts w:cstheme="minorHAnsi"/>
                <w:bCs/>
                <w:color w:val="3D3D3D"/>
              </w:rPr>
              <w:t>22 ene.</w:t>
            </w:r>
          </w:p>
        </w:tc>
        <w:tc>
          <w:tcPr>
            <w:tcW w:w="932"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Cs/>
                <w:color w:val="3D3D3D"/>
              </w:rPr>
            </w:pPr>
            <w:r w:rsidRPr="002C05C2">
              <w:rPr>
                <w:rFonts w:cstheme="minorHAnsi"/>
                <w:bCs/>
                <w:color w:val="3D3D3D"/>
              </w:rPr>
              <w:t xml:space="preserve"> 08 may.</w:t>
            </w:r>
          </w:p>
        </w:tc>
        <w:tc>
          <w:tcPr>
            <w:tcW w:w="1045"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Cs/>
                <w:color w:val="3D3D3D"/>
              </w:rPr>
            </w:pPr>
            <w:r w:rsidRPr="002C05C2">
              <w:rPr>
                <w:rFonts w:cstheme="minorHAnsi"/>
                <w:bCs/>
                <w:color w:val="3D3D3D"/>
              </w:rPr>
              <w:t>16 jun.</w:t>
            </w:r>
          </w:p>
        </w:tc>
        <w:tc>
          <w:tcPr>
            <w:tcW w:w="820"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Cs/>
                <w:color w:val="3D3D3D"/>
              </w:rPr>
            </w:pPr>
            <w:r w:rsidRPr="002C05C2">
              <w:rPr>
                <w:rFonts w:cstheme="minorHAnsi"/>
                <w:bCs/>
                <w:color w:val="3D3D3D"/>
              </w:rPr>
              <w:t>17 ju.</w:t>
            </w:r>
          </w:p>
        </w:tc>
        <w:tc>
          <w:tcPr>
            <w:tcW w:w="65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jc w:val="center"/>
              <w:rPr>
                <w:rFonts w:cstheme="minorHAnsi"/>
                <w:bCs/>
                <w:color w:val="3D3D3D"/>
              </w:rPr>
            </w:pPr>
            <w:r w:rsidRPr="002C05C2">
              <w:rPr>
                <w:rFonts w:cstheme="minorHAnsi"/>
                <w:bCs/>
                <w:color w:val="3D3D3D"/>
              </w:rPr>
              <w:t>18 ago.</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LP-17 Villavicencio -Yopal</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los estudios y diseños, Construcción, Rehabilitación, Mejoramiento, Operación y Mantenimiento, Gestión Predial, Gestión Social y Ambiental y Reversión del corredor Villavicencio ¿ Yopal, de acuerdo con el Apéndice Técnico 1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 xml:space="preserve">Casanare: </w:t>
      </w:r>
      <w:r w:rsidRPr="002C05C2">
        <w:rPr>
          <w:rFonts w:cstheme="minorHAnsi"/>
        </w:rPr>
        <w:t xml:space="preserve">Yopal;  </w:t>
      </w:r>
      <w:r w:rsidRPr="002C05C2">
        <w:rPr>
          <w:rFonts w:cstheme="minorHAnsi"/>
          <w:i/>
        </w:rPr>
        <w:t>Meta</w:t>
      </w:r>
      <w:r w:rsidRPr="002C05C2">
        <w:rPr>
          <w:rFonts w:cstheme="minorHAnsi"/>
        </w:rPr>
        <w:t>:</w:t>
      </w:r>
      <w:r w:rsidRPr="002C05C2">
        <w:rPr>
          <w:rFonts w:cstheme="minorHAnsi"/>
          <w:i/>
        </w:rPr>
        <w:t xml:space="preserve"> </w:t>
      </w:r>
      <w:r w:rsidRPr="002C05C2">
        <w:rPr>
          <w:rFonts w:cstheme="minorHAnsi"/>
        </w:rPr>
        <w:t>Villavicencio</w:t>
      </w:r>
      <w:r w:rsidRPr="002C05C2">
        <w:rPr>
          <w:rFonts w:cstheme="minorHAnsi"/>
          <w:i/>
        </w:rPr>
        <w:t xml:space="preserve">; Arauca: </w:t>
      </w:r>
      <w:r w:rsidRPr="002C05C2">
        <w:rPr>
          <w:rFonts w:cstheme="minorHAnsi"/>
        </w:rPr>
        <w:t>Arauca.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29 dic.</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23 ene.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24 abri.</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01 jun.</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02-jul</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03-ago</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IPB-004-2014AUTOPISTA MAR 2 - PROSPERIDAD Pliegos Definitivos publicados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el otorgamiento de una concesión que, bajo el esquema de Asociación Público Privada en los términos de la Ley 1508 de 2012, que permita la selección de un Concesionario que, por su cuenta y riesgo, lleve a cabo los estudios y diseños, la financiación, gestión ambiental, predial y social, construcción, rehabilitación, mejoramiento, operación, mantenimiento y reversión de la concesión Autopista al Mar2 del Proyecto Autopistas para la Prosperidad, de acuerdo con el Apéndice Técnico 1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 xml:space="preserve">Antioquia: </w:t>
      </w:r>
      <w:r w:rsidRPr="002C05C2">
        <w:rPr>
          <w:rFonts w:cstheme="minorHAnsi"/>
        </w:rPr>
        <w:t>Mutatá, Dabeiba, Uramita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30 dic.</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05 feb.</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08 julio.</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20 ago.</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01-oct</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17 nov.</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lastRenderedPageBreak/>
        <w:t xml:space="preserve">- LP-022 AUTOPISTA MAR 1 - PROSPERIDAD Pliegos Definitivos publicados </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el otorgamiento de una concesiona que, bajo el esquema de Asociación Publico Privada en los términos de la Ley 1508 de 2012, que permita la selección de un Concesionario que, por su cuenta y riesgo, lleve a cabo los estudios y diseños, la financiación, gestión ambiental, predial y social, construcción, rehabilitación, mejoramiento, operacion, mantenimiento y reversión de la concesión Autopista al Mar 1 del Proyecto Autopistas para la Prosperidad, de acuerdo con el Apéndice Técnico 1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 xml:space="preserve">Antioquia: </w:t>
      </w:r>
      <w:r w:rsidRPr="002C05C2">
        <w:rPr>
          <w:rFonts w:cstheme="minorHAnsi"/>
        </w:rPr>
        <w:t>Medellín, Santafé de Antioquia, San Jerónimo, Venecia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 xml:space="preserve">29 dic. </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04 feb.</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17 abr.</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25 may.</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26 jun.</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27 jul.</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VJ-VE-APP-IPB-001-2015 Bucaramanga - Barrancabermeja - Yondó. Licitación Pública Abierta.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los estudios y diseños definitivos, financiación, gestión ambiental, predial y social, construcción, mejoramiento, rehabilitación, operación, mantenimiento y reversión del corredor vial Bucaramanga ¿ Barrancabermeja ¿ Yondo de acuerdo con el Apéndice Técnico 1 y demás Apéndices del Contrato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 xml:space="preserve">Santander : </w:t>
      </w:r>
      <w:r w:rsidRPr="002C05C2">
        <w:rPr>
          <w:rFonts w:cstheme="minorHAnsi"/>
        </w:rPr>
        <w:t xml:space="preserve">Bucaramanga; </w:t>
      </w:r>
      <w:r w:rsidRPr="002C05C2">
        <w:rPr>
          <w:rFonts w:cstheme="minorHAnsi"/>
          <w:i/>
        </w:rPr>
        <w:t xml:space="preserve">Antioquia : </w:t>
      </w:r>
      <w:r w:rsidRPr="002C05C2">
        <w:rPr>
          <w:rFonts w:cstheme="minorHAnsi"/>
        </w:rPr>
        <w:t>Yondó</w:t>
      </w:r>
      <w:r w:rsidRPr="002C05C2">
        <w:rPr>
          <w:rFonts w:cstheme="minorHAnsi"/>
          <w:i/>
        </w:rPr>
        <w:t xml:space="preserve">; Santander : </w:t>
      </w:r>
      <w:r w:rsidRPr="002C05C2">
        <w:rPr>
          <w:rFonts w:cstheme="minorHAnsi"/>
        </w:rPr>
        <w:t>Barrancabermeja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29 ene.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27 feb.</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29 may.</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06 jul.</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10 ago.</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11-sep</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LP-003- 2014 Sisga- El Secreto</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los estudios y diseños, construcción, rehabilitación, mejoramiento, operación, mantenimiento, gestión predial, gestión social y ambiental y reversión del corredor transversal del Sisga, de acuerdo con el apéndice técnico 1 y demás apéndices del contrato.</w:t>
      </w:r>
    </w:p>
    <w:p w:rsidR="004A75CC" w:rsidRPr="002C05C2" w:rsidRDefault="004A75CC" w:rsidP="004A75CC">
      <w:pPr>
        <w:jc w:val="both"/>
        <w:rPr>
          <w:rFonts w:cstheme="minorHAnsi"/>
        </w:rPr>
      </w:pPr>
      <w:r w:rsidRPr="002C05C2">
        <w:rPr>
          <w:rFonts w:cstheme="minorHAnsi"/>
          <w:b/>
        </w:rPr>
        <w:lastRenderedPageBreak/>
        <w:t xml:space="preserve">Ubicación del proyecto: </w:t>
      </w:r>
      <w:r w:rsidRPr="002C05C2">
        <w:rPr>
          <w:rFonts w:cstheme="minorHAnsi"/>
          <w:i/>
        </w:rPr>
        <w:t xml:space="preserve">Cundinamarca: </w:t>
      </w:r>
      <w:r w:rsidRPr="002C05C2">
        <w:rPr>
          <w:rFonts w:cstheme="minorHAnsi"/>
        </w:rPr>
        <w:t>Macheta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29-dic.</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04- feb.</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17-abr</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25-may</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26 jun.</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27 jul.</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LP -014 -2013 Rumichaca- Pasto</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el otorgamiento de un Contrato de Concesión para la realización de estudios y diseños definitivos, financiación, gestión ambiental, predial y social, construcción, mejoramiento, rehabilitación, operación, mantenimiento y reversión de la doble calzada entre Rumichaca y Pasto, de acuerdo con el Apéndice Técnico 1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 xml:space="preserve">Nariño: </w:t>
      </w:r>
      <w:r w:rsidRPr="002C05C2">
        <w:rPr>
          <w:rFonts w:cstheme="minorHAnsi"/>
        </w:rPr>
        <w:t>Pasto</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19-dic</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20- mar.</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19 jun.</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24 jul.</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09 sep.</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22 oct.</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9D1EA7">
      <w:pPr>
        <w:spacing w:after="160" w:line="259" w:lineRule="auto"/>
        <w:jc w:val="both"/>
        <w:rPr>
          <w:rFonts w:cstheme="minorHAnsi"/>
        </w:rPr>
      </w:pPr>
      <w:r w:rsidRPr="002C05C2">
        <w:rPr>
          <w:rFonts w:cstheme="minorHAnsi"/>
          <w:b/>
        </w:rPr>
        <w:t>INICIATIVAS PRIVADAS</w:t>
      </w: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Malla Vial del Meta (Odinsa)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Publicación del acuerdo en el SECOP</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La ANI anuncia su intención de adjudicar un Contrato de Asociación Publico Privada de Iniciativa Privada al Originador GRUPO ODINSA S.A., bajo las condiciones acordadas entre este y la Entidad, si no existieren otros interesados en la ejecución del proyecto, cuyo objeto es: Estudios, diseños, financiación, construcción, operación, mantenimiento, gestión social, predial y ambiental respecto de los siguientes ítems a saber: i. Corredor Granada ¿ Villavicencio ¿ Puerto López ¿ Puerto Gaitán ¿ Puente Arimena ii. Anillo Vial de Villavicencio y Accesos a la Ciudad.</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i/>
        </w:rPr>
        <w:t xml:space="preserve">Meta: </w:t>
      </w:r>
      <w:r w:rsidRPr="002C05C2">
        <w:rPr>
          <w:rFonts w:cstheme="minorHAnsi"/>
        </w:rPr>
        <w:t>Granada, Puerto Gaitán, Puerto López, Villavicencio</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lastRenderedPageBreak/>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20 ene.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22 ene.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26 ene.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31 ene.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4 feb.</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5 feb.</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Chirajará - Villavicencio (Corficolombiana)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Publicación del acuerdo en el SECOP</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Construcción de una nueva calzada en el sector Chirajará ¿Fundadores y la administración, operación y mantenimiento de la carretera Bogotá ¿ Villavicencio, de acuerdo con el Apéndice Técnico 1 de la Minuta del Contrato</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 xml:space="preserve">Bogotá D.C.; </w:t>
      </w:r>
      <w:r w:rsidRPr="002C05C2">
        <w:rPr>
          <w:rFonts w:cstheme="minorHAnsi"/>
          <w:i/>
        </w:rPr>
        <w:t>Meta</w:t>
      </w:r>
      <w:r w:rsidRPr="002C05C2">
        <w:rPr>
          <w:rFonts w:cstheme="minorHAnsi"/>
        </w:rPr>
        <w:t xml:space="preserve"> : Villavicencio</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4 feb.</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11 feb.</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13 feb.</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14 feb.</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17 feb.</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17 feb.</w:t>
            </w:r>
          </w:p>
        </w:tc>
      </w:tr>
    </w:tbl>
    <w:p w:rsidR="004A75CC" w:rsidRPr="002C05C2" w:rsidRDefault="004A75CC" w:rsidP="004A75CC">
      <w:pPr>
        <w:pStyle w:val="Sinespaciado"/>
        <w:rPr>
          <w:rFonts w:cstheme="minorHAnsi"/>
        </w:rPr>
      </w:pPr>
    </w:p>
    <w:p w:rsidR="004A75CC" w:rsidRPr="002C05C2" w:rsidRDefault="004A75CC" w:rsidP="004A75CC">
      <w:pPr>
        <w:pStyle w:val="Sinespaciado"/>
        <w:rPr>
          <w:rFonts w:cstheme="minorHAnsi"/>
        </w:rPr>
      </w:pPr>
    </w:p>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r w:rsidRPr="002C05C2">
        <w:rPr>
          <w:rFonts w:cstheme="minorHAnsi"/>
          <w:b/>
        </w:rPr>
        <w:t>- Cesar - Guajira (El Cóndor)</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La ANI anuncia su intención de adjudicar un Contrato de Asociación Público Privada de Iniciativa Privada al Originador Sociedad Construcciones El Cóndor S.A, bajo las condiciones acordadas entre este y la Entidad, si no existieren otros interesados en la ejecución del proyecto, cuyo objeto es: ¿Construcción, Rehabilitación, Operación y Mantenimiento y Reversión del sistema vial para la conexión de los Departamentos del Cesar y la Guajira.</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Cesar: Valledupar, San Diego, La Paz</w:t>
      </w:r>
    </w:p>
    <w:p w:rsidR="004A75CC" w:rsidRPr="002C05C2" w:rsidRDefault="004A75CC" w:rsidP="004A75CC">
      <w:pPr>
        <w:jc w:val="both"/>
        <w:rPr>
          <w:rFonts w:cstheme="minorHAnsi"/>
          <w:b/>
        </w:rPr>
      </w:pPr>
      <w:r w:rsidRPr="002C05C2">
        <w:rPr>
          <w:rFonts w:cstheme="minorHAnsi"/>
          <w:b/>
        </w:rPr>
        <w:t>Cronograma:</w:t>
      </w:r>
    </w:p>
    <w:p w:rsidR="009D1EA7" w:rsidRPr="002C05C2" w:rsidRDefault="009D1EA7" w:rsidP="004A75CC">
      <w:pPr>
        <w:jc w:val="both"/>
        <w:rPr>
          <w:rFonts w:cstheme="minorHAnsi"/>
          <w:b/>
        </w:rPr>
      </w:pP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3 mar.</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4 mar.</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4 mar.</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7 mar.</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7 mar.</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12 mar.</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Cambao - Manizales (Alicia Naranjo)</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Seleccionar la Oferta más favorable para la Adjudicación de un (1) Contrato de Concesión bajo el esquema de APP, cuyo objeto será La rehabilitación y mejoramiento de la vía Cambao - Manizales, y la rehabilitación del corredor vial Ibagué ¿Mariquita ¿ Honda de acuerdo al Contrato de Concesión.</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Tolima: Honda; Caldas: Manizales</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13 mar.</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12 mar.</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13 mar.</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14 mar.</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18 mar.</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18 mar.</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Antioquia -Bolivar (El Cóndor)</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La ANI anuncia su intención de adjudicar un Contrato de Asociación Público Privada de Iniciativa Privada al Originador Sociedad Construcciones El Cóndor S.A, bajo las condiciones acordadas entre este y la Entidad, si no existieren otros interesados en la ejecución del proyecto, cuyo objeto es: ¿Construcción, Rehabilitación, Operación y Mantenimiento y Reversión del sistema vial para la conexión de los Departamentos de Antioquia -Bolivar).</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Caucasia –Planeta Rica, Planeta Rica –La Ye, Variante Planeta Rica, El Viajano y Cerete, El 15 –Cerete, Planeta Rica-Montería –Santa lucia, Arboletes –Santa Lucia-San Pelayo, Cerete –Tolú, Variante Lorica y Coveñas, Tolú –El Pueblito, Tolú-Toluviejo- El Pueblito, El Pueblito-San Onofre-Cruz del Viso.</w:t>
      </w:r>
    </w:p>
    <w:p w:rsidR="004A75CC" w:rsidRPr="002C05C2" w:rsidRDefault="004A75CC" w:rsidP="004A75CC">
      <w:pPr>
        <w:jc w:val="both"/>
        <w:rPr>
          <w:rFonts w:cstheme="minorHAnsi"/>
          <w:b/>
        </w:rPr>
      </w:pPr>
      <w:r w:rsidRPr="002C05C2">
        <w:rPr>
          <w:rFonts w:cstheme="minorHAnsi"/>
          <w:b/>
        </w:rPr>
        <w:t>Cronograma:</w:t>
      </w:r>
    </w:p>
    <w:p w:rsidR="009D1EA7" w:rsidRPr="002C05C2" w:rsidRDefault="009D1EA7" w:rsidP="004A75CC">
      <w:pPr>
        <w:jc w:val="both"/>
        <w:rPr>
          <w:rFonts w:cstheme="minorHAnsi"/>
          <w:b/>
        </w:rPr>
      </w:pP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24-abr</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lastRenderedPageBreak/>
        <w:t>- Calarcá - La Paila (Odinsa)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Objeto: Construir, administrar, operar y mantener los corredores viales segunda calzada La Paila – El Alambrado, par vial El Alambrado – La Herradura, doble calzada La Herradura – Barcelona, conectante aeropuerto El Edén – Zona Franca, segunda calzada Barcelona – La Española, doble calzada La Española – Calarcá, y el de operar y mantener la doble calzada Calarcá – Cajamarca”</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Quindío, Risaralda y Tolima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Transversal del Carare (Votorantim)</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Financiación, Ejecución del Diseño, Construcción, Mejoramiento, Rehabilitación -Reconstrucción, Conservacion, Operación, Mantenimiento y explotación de la infraestructura carretera denominada Transversal del Carare.</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Tunja-Barbosa-Puerto Araujo</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Bogotá (Estación de la sabana) - Soacha (REGIOTRAM)</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Instalación de un Ligth Rail Transit (LRT) en Bogotá corredor de occidente- Estación de la Sabana –Facatativá.</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Carrera 8 siguiendo el trazado del antiguo ferrocarril del sur (salvo al atravesar Bosa) hasta el municipio de Soacha</w:t>
      </w:r>
    </w:p>
    <w:p w:rsidR="004A75CC" w:rsidRPr="002C05C2" w:rsidRDefault="004A75CC" w:rsidP="004A75CC">
      <w:pPr>
        <w:jc w:val="both"/>
        <w:rPr>
          <w:rFonts w:cstheme="minorHAnsi"/>
          <w:b/>
        </w:rPr>
      </w:pPr>
      <w:r w:rsidRPr="002C05C2">
        <w:rPr>
          <w:rFonts w:cstheme="minorHAnsi"/>
          <w:b/>
        </w:rPr>
        <w:lastRenderedPageBreak/>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r w:rsidRPr="002C05C2">
        <w:rPr>
          <w:rFonts w:cstheme="minorHAnsi"/>
          <w:b/>
        </w:rPr>
        <w:t>- Bogotá (Estación de la sabana) - Soacha (REGIOTRAM)</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Instalación de un Ligth Rail Transit (LRT) en Bogotá corredor de occidente- Estación de la Sabana –Soacha.</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Pendiente de defini</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CELA (Aeropuerto de Barranquilla)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“Construcción, equipamiento, operación, mantenimiento y conservación de un Centro Logístico Aeroportuario multimodal para la prestación de servicios de llegada, salida guarda, custodia o depósito de carga multimodal (aérea, marítima y terrestre) y servicios conexos (cuarto frio, etiquetamiento, empaque, agenciamiento aduanero, distribución a nivel nacional e internacional) en el Aeropuerto de Barranquilla”</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Barranquilla - Atlántico</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Tercer Carril Bogotá - Girardot (Infracom - Conalvias)</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lastRenderedPageBreak/>
        <w:t>Objeto</w:t>
      </w:r>
      <w:r w:rsidRPr="002C05C2">
        <w:rPr>
          <w:rFonts w:cstheme="minorHAnsi"/>
          <w:b/>
          <w:i/>
        </w:rPr>
        <w:t>:</w:t>
      </w:r>
      <w:r w:rsidRPr="002C05C2">
        <w:rPr>
          <w:rFonts w:cstheme="minorHAnsi"/>
        </w:rPr>
        <w:t xml:space="preserve"> Alcance Incial: Diseño, financiación y construcción del tercer carril en la doble calzada de la Autopista Bogotá – Girardot, así como la operación, el mantenimiento y la reversión de la totalidad de la infraestructura de la Autopista Bogotá – Girardot; cuyo alcance del objeto del proyecto es: Rehabilitación Intersección del Muña - Soacha (9.5 Km). Mejoramiento/Rehabilitación Intersección del Muña - Canecas  (64.0 Km). Mejoramiento Alto de Canecas -Boquerón (6.0 Km). Mejoramiento/Mantenimiento Boquerón - Melgar (17.0 Km). Mejoramiento Melgar – El Paso (13.5 Km). Construcción Segunda Calzada El Paso – Girardot (11.3 Km). Mejoramiento El Paso – Intersección de San Rafael (9.3 Km).</w:t>
      </w:r>
    </w:p>
    <w:p w:rsidR="004A75CC" w:rsidRPr="002C05C2" w:rsidRDefault="004A75CC" w:rsidP="004A75CC">
      <w:pPr>
        <w:jc w:val="both"/>
        <w:rPr>
          <w:rFonts w:cstheme="minorHAnsi"/>
        </w:rPr>
      </w:pPr>
      <w:r w:rsidRPr="002C05C2">
        <w:rPr>
          <w:rFonts w:cstheme="minorHAnsi"/>
        </w:rPr>
        <w:t>Ajuste Alcance: Tercer Carril entre el Sector de Muña y Peaje de Chinauta</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Corredor Bogotá - Girardot (Cundinamarca - Tolima)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xml:space="preserve">- Neiva – Aipe – Castilla – Espinal – Girardot  </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pendiente </w:t>
      </w:r>
    </w:p>
    <w:p w:rsidR="004A75CC" w:rsidRPr="002C05C2" w:rsidRDefault="004A75CC" w:rsidP="004A75CC">
      <w:pPr>
        <w:jc w:val="both"/>
        <w:rPr>
          <w:rFonts w:cstheme="minorHAnsi"/>
        </w:rPr>
      </w:pPr>
      <w:r w:rsidRPr="002C05C2">
        <w:rPr>
          <w:rFonts w:cstheme="minorHAnsi"/>
          <w:b/>
        </w:rPr>
        <w:t xml:space="preserve">Ubicación del proyecto: </w:t>
      </w:r>
      <w:r w:rsidRPr="002C05C2">
        <w:rPr>
          <w:rFonts w:cstheme="minorHAnsi"/>
        </w:rPr>
        <w:t>pendiente</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28/04/2015</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Vía al Puerto - Buenaventura – Buga (Solarte)</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“Estudios, diseños definitivos, financiación, gestión ambiental, predial y social, construcción, mejoramiento, rehabilitación, operación, mantenimiento y reversión de la concesión Buga – Buenaventura”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Corredor Buga - Buenaventura</w:t>
      </w:r>
    </w:p>
    <w:p w:rsidR="004A75CC" w:rsidRPr="002C05C2" w:rsidRDefault="004A75CC" w:rsidP="004A75CC">
      <w:pPr>
        <w:jc w:val="both"/>
        <w:rPr>
          <w:rFonts w:cstheme="minorHAnsi"/>
          <w:b/>
        </w:rPr>
      </w:pPr>
      <w:r w:rsidRPr="002C05C2">
        <w:rPr>
          <w:rFonts w:cstheme="minorHAnsi"/>
          <w:b/>
        </w:rPr>
        <w:lastRenderedPageBreak/>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rPr>
          <w:rFonts w:cstheme="minorHAnsi"/>
          <w:b/>
        </w:rPr>
      </w:pPr>
    </w:p>
    <w:p w:rsidR="004A75CC" w:rsidRPr="002C05C2" w:rsidRDefault="004A75CC" w:rsidP="004A75CC">
      <w:pPr>
        <w:jc w:val="both"/>
        <w:rPr>
          <w:rFonts w:cstheme="minorHAnsi"/>
          <w:b/>
        </w:rPr>
      </w:pPr>
      <w:r w:rsidRPr="002C05C2">
        <w:rPr>
          <w:rFonts w:cstheme="minorHAnsi"/>
          <w:b/>
        </w:rPr>
        <w:t>- Corredor férreo Bogotá (La Caro) y Belencito (SOFCA CARGA)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“Realizar estudios, diseños, rehabilitación, operación, construcción, reforzamiento, repotenciación, conservación, mantenimiento, explotación comercial, gestión social, predial y ambiental de la infraestructura de la red férrea nacional denominada Red Férrea del Nordeste y que inicia el sector La Caro (Cundinamarca) y hasta Belencito (Boyacá)”.</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Corredor Buga - Buenaventura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Corredor férreo Bogotá (La Caro) y Belencito (SOFCA CARGA)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Solución definitiva a la continuidad del corredor Bogotá - Manizales y Bogotá - Puerto Salgar, partiendo desde Villeta (Corredores integrales Villeta - Guaduas - Honda, Villeta - Guaduas - Puerto Salgar y Guaduas - Puerto Bogotá)</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Departamentos de caldas, Cundinamarca y Bogotá</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rPr>
          <w:rFonts w:cstheme="minorHAnsi"/>
          <w:b/>
        </w:rPr>
      </w:pPr>
    </w:p>
    <w:p w:rsidR="004A75CC" w:rsidRPr="002C05C2" w:rsidRDefault="004A75CC" w:rsidP="004A75CC">
      <w:pPr>
        <w:jc w:val="both"/>
        <w:rPr>
          <w:rFonts w:cstheme="minorHAnsi"/>
          <w:b/>
        </w:rPr>
      </w:pPr>
      <w:r w:rsidRPr="002C05C2">
        <w:rPr>
          <w:rFonts w:cstheme="minorHAnsi"/>
          <w:b/>
        </w:rPr>
        <w:t>- PORTA (Prel Aeropuerto El Dorado)</w:t>
      </w:r>
    </w:p>
    <w:p w:rsidR="004A75CC" w:rsidRPr="002C05C2" w:rsidRDefault="004A75CC" w:rsidP="004A75CC">
      <w:pPr>
        <w:jc w:val="both"/>
        <w:rPr>
          <w:rFonts w:cstheme="minorHAnsi"/>
        </w:rPr>
      </w:pPr>
      <w:r w:rsidRPr="002C05C2">
        <w:rPr>
          <w:rFonts w:cstheme="minorHAnsi"/>
          <w:b/>
        </w:rPr>
        <w:lastRenderedPageBreak/>
        <w:t xml:space="preserve">Etapa: </w:t>
      </w:r>
      <w:r w:rsidRPr="002C05C2">
        <w:rPr>
          <w:rFonts w:cstheme="minorHAnsi"/>
        </w:rPr>
        <w:t>Evaluación de factibilidad (propuesta presentada)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 propone una tercera concesión en predios privados contiguos a la pista norte del aeropuerto Eldorado, que operaría en conjunto con las dos concesiones existentes y está concebido para complementar de manera modular las facilidades de apoyo logístico y de bodegaje, ampliando capacidad de almacenamiento, transformación, manipulación y movilización de carga; el proyecto incluye la financiación, diseño, construcción, conservación, operación, mantenimiento y explotación de la infraestructura, por un plazo que sería de 30 años o más, al final de los cuales la infraestructura se revierte al Estado.</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Bogotá</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Sabana Norte (Accenorte)</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“Mejorar la accesibilidad por el norte de Bogotá, empleando los corredores de la Autopista Norte y la Carrera Séptima entre las calles 245 y La Caro, realizando una ampliación a las capacidades viales de los corredores para mejorar el nivel de servicio del flujo vehicular en el mediano plazo”</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Bogotá</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Sociedad Portuaria de Santa Marta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Diseño, Construcción, Mantenimiento y Operación de la variante férrea Quebrada El Doctor – Mamatoco cuyo trazado es paralelo al trazado vehicular de carga (Vía Alterna al Puerto, Plan Vial del Norte – Ruta del Sol II).</w:t>
      </w:r>
    </w:p>
    <w:p w:rsidR="004A75CC" w:rsidRPr="002C05C2" w:rsidRDefault="004A75CC" w:rsidP="004A75CC">
      <w:pPr>
        <w:jc w:val="both"/>
        <w:rPr>
          <w:rFonts w:cstheme="minorHAnsi"/>
        </w:rPr>
      </w:pPr>
      <w:r w:rsidRPr="002C05C2">
        <w:rPr>
          <w:rFonts w:cstheme="minorHAnsi"/>
        </w:rPr>
        <w:lastRenderedPageBreak/>
        <w:t>(b) Desarrollos de infraestructura que permitan resolver al acceso ferroviario al Terminal Marítimo, incorporando el modo férreo a las operaciones cotidianas del puerto sin afectar adversamente otros tipos de operación. Este ámbito abarca el corredor férreo existente entre los Talleres de Fenoco (acceso occidental) y el Puerto de Santa Marta, así como el subsuelo bajo los cerros de San Martín.</w:t>
      </w:r>
    </w:p>
    <w:p w:rsidR="004A75CC" w:rsidRPr="002C05C2" w:rsidRDefault="004A75CC" w:rsidP="004A75CC">
      <w:pPr>
        <w:jc w:val="both"/>
        <w:rPr>
          <w:rFonts w:cstheme="minorHAnsi"/>
        </w:rPr>
      </w:pPr>
      <w:r w:rsidRPr="002C05C2">
        <w:rPr>
          <w:rFonts w:cstheme="minorHAnsi"/>
        </w:rPr>
        <w:t>(c) Obras de mejoramiento a la movilidad en Santa Marta. Con el fin de tomar las medidas que mitiguen los impactos que pudiera tener una operación ferroviaria comercial sobre las comunidades circunvecinas asentadas a lo largo del corredor férreo, especialmente entre la zona de Mamatoco y el Puerto de Santa Marta. Entre estas se consideran la construcción de pasos a desnivel, cerramientos verdes y otras obras enfocadas a mejorar las condiciones de seguridad del corredor férreo en la mencionada zona.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Santa Marta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Red Férrea Interoceánica (Mariverdo)</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Fase 1. Construcción, rehabilitación y operación y mantenimiento de la red férrea la Dorado Chiriguana. Fase 2 Diseño, construcción, operación y mantenimiento de la línea Chiriguana - Barranquilla. Fase 3 Diseño, construcción, operación y mantenimiento la Dorado. La Tebaida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Santa Marta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Pereira - La Victoria - Cerritos - La Virginia (Infracon)</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lastRenderedPageBreak/>
        <w:t>Objeto</w:t>
      </w:r>
      <w:r w:rsidRPr="002C05C2">
        <w:rPr>
          <w:rFonts w:cstheme="minorHAnsi"/>
          <w:b/>
          <w:i/>
        </w:rPr>
        <w:t>:</w:t>
      </w:r>
      <w:r w:rsidRPr="002C05C2">
        <w:rPr>
          <w:rFonts w:cstheme="minorHAnsi"/>
        </w:rPr>
        <w:t xml:space="preserve"> Adecuación de la Calzada Existente a Ley 105, Construcción de la Segunda calzada entre Pereira – La Victoria, Operación y Mantenimiento de esta Doble Calzada y Operación y Mantenimiento de la vía Pereira – La Victoria.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Ubicado entre los departamentos de Risaralda y Valle del Cauca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Ferropista en la Cordillera Central - Ibagué - Cajamarca (Urbaconsult)</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Diseño, construcción, mantenimiento y operación de la Ferropista entre Ibagué y Armenia.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Ibagué y Armenia.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Vías del Nus (Hatovial)</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Estudios y diseños, financiación, gestión ambiental, predial y social, construcción, rehabilitación, mejoramiento, operación, mantenimiento y reversión de la concesión vías del NUS.</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Antioquia.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lastRenderedPageBreak/>
        <w:t>- Viaducto Soacha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"Financiación, Diseño, Construcción, Operación y Mantenimiento del Proyecto Vial Concesión Viaducto Soacha."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Soacha.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Viaducto Soacha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"Financiación, Diseño, Construcción, Operación y Mantenimiento del Proyecto Vial Concesión Viaducto Soacha."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Soacha.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4A75CC">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4A75CC">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Autopistas del Caribe (KMA)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La Construcción de la segunda calzada de Cruz del Viso – Arjona, Bayunca - Santa Catalina- Luruaco – Molineros – Sabanalarga- Campeche- Cruce vial Caracolí – Malambo, construcción de las variantes en doble calzada de Bayunca, Luruaco, Sabana Larga y la operación y mantenimiento de la infraestructura de Autopistas del sol.</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Cruz del Viso – Arjona, Bayunca - Santa Catalina- Luruaco – Molineros – Sabanalarga- Campeche- Cruce vial Caracolí – Malambo,</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lastRenderedPageBreak/>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IP Sistema Vial de Acceso a Mompox (Gercon S.A.)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"Operación y mantenimiento de las vías existentes entre el peaje santana- La Gloria y Monpox - Guamanl - El Banco - Tamalameque; Construcción Carreto - Zambrano de 44 Km de calzada sencilla; Construcción plato - Peaje de Santana y el corregimiento de peñoncito; Rehabilitación de los 55 Km existentes entre el peaje Santana y La Gloria; Construcción de la variante Monpox con una longitud aproximada de siete [(7) Km_; Mejoramiento de 25 Km entre Monpox y Guamal; Rehabilitación de 10 Km entre Monpox y Guamal; Rehabilitación de 36 Km entre Guamal y El Banco; Construcción de la variante de El Banco con una longitud aproximada de seis(6) Km; Rehabilitación de 28 Km entre el Banco y Tamalameque; Mejoramiento de 13 Km entre Tamalameque Y El Burro; Construcción segunda Calzada Peñoncito-Plato y Zambrano- Carreto"</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Cruz del Viso – Arjona, Bayunca - Santa Catalina- Luruaco – Molineros – Sabanalarga- Campeche- Cruce vial Caracolí – Malambo,</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r w:rsidRPr="002C05C2">
        <w:rPr>
          <w:rFonts w:cstheme="minorHAnsi"/>
          <w:b/>
        </w:rPr>
        <w:t xml:space="preserve">- HOTEL AEROMALL (Aeropuerto El Dorado) </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Hotel Aeromall, Centro de Negocios y Servicios Complementarios del Aeropuerto El Dorado de Bogotá.</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Bogotá D.C.</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rPr>
          <w:rFonts w:cstheme="minorHAnsi"/>
          <w:b/>
        </w:rPr>
      </w:pPr>
    </w:p>
    <w:p w:rsidR="004A75CC" w:rsidRPr="002C05C2" w:rsidRDefault="004A75CC" w:rsidP="004A75CC">
      <w:pPr>
        <w:jc w:val="both"/>
        <w:rPr>
          <w:rFonts w:cstheme="minorHAnsi"/>
          <w:b/>
        </w:rPr>
      </w:pPr>
      <w:r w:rsidRPr="002C05C2">
        <w:rPr>
          <w:rFonts w:cstheme="minorHAnsi"/>
          <w:b/>
        </w:rPr>
        <w:lastRenderedPageBreak/>
        <w:t>- Aeropuerto de Cartagena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"Estructuración, diseño y construcción de una calle de rodaje, la ampliación de la capacidad en plataforma para estacionamiento de aeronaves, la ampliación de la capacidad en terminal de pasajeros y el suministro e instalación de puentes de abordaje en el Aeropuerto Internacional Rafael Nuñez de la ciudad de Cartagena, la financiación de las obras antes descritas y la operación y mantenimiento de toda la infraestructura del Aeropuerto."</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Cartagena D.T.</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Autopista Circunvalar de Bogotá - A.C.B - UC CONSULT, S.A.S. – ARCS, Estudios y Servicios Técnicos S.L. (ARCS – URBACONSULT)</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“la ejecución de una nueva vía que, partiendo desde la Autopista Norte entre Bogotá y Chía, discurrirá por el Occidente y Sur del área metropolitana de Bogotá, cruzando las Autopistas de Medellín, Facatativá y Girardot, para concluir al Sur de Usme en la Autopista a Villavicencio”</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Bogotá D.C.</w:t>
      </w:r>
    </w:p>
    <w:p w:rsidR="009D1EA7" w:rsidRPr="002C05C2" w:rsidRDefault="009D1EA7" w:rsidP="004A75CC">
      <w:pPr>
        <w:jc w:val="both"/>
        <w:rPr>
          <w:rFonts w:cstheme="minorHAnsi"/>
          <w:b/>
        </w:rPr>
      </w:pPr>
    </w:p>
    <w:p w:rsidR="009D1EA7" w:rsidRPr="002C05C2" w:rsidRDefault="009D1EA7" w:rsidP="004A75CC">
      <w:pPr>
        <w:jc w:val="both"/>
        <w:rPr>
          <w:rFonts w:cstheme="minorHAnsi"/>
          <w:b/>
        </w:rPr>
      </w:pP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IP Ocaña - Puerto Santander (Promesa de Sociedad Futura Ocapa S.A.S.)</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lastRenderedPageBreak/>
        <w:t>Objeto</w:t>
      </w:r>
      <w:r w:rsidRPr="002C05C2">
        <w:rPr>
          <w:rFonts w:cstheme="minorHAnsi"/>
          <w:b/>
          <w:i/>
        </w:rPr>
        <w:t>:</w:t>
      </w:r>
      <w:r w:rsidRPr="002C05C2">
        <w:rPr>
          <w:rFonts w:cstheme="minorHAnsi"/>
        </w:rPr>
        <w:t xml:space="preserve"> “Realizar los estudios, diseños, mejoramiento, rehabilitación, construcción, operación, mantenimiento, gestión social, predial y ambiental del sistema vial existente entre las ciudades de Ocaña – Sardinata –Astilleros – Puerto Santander en la República de Colombia”.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Norte de Santander</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06/05/2015</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ODINSA (Aeropuerto El Dorado)</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"Estudios, diseños, financiación, construcción y mantenimiento para la adecuación de la infraestructura del lado aire al plan maestro del aeropuerto El Dorado de Bogotá"</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Bogotá D.C.</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06/05/2015</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IP Avenida Boyacá (Odebrecht)</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Evaluación de factibilidad (en plazo para presentación de propuesta)</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Se remitió para al  Distrito.</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Bogotá D.C.</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N/A</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N/A</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N/A</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N/A</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N/A</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N/A</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r w:rsidRPr="002C05C2">
        <w:rPr>
          <w:rFonts w:cstheme="minorHAnsi"/>
          <w:b/>
        </w:rPr>
        <w:t>Estado</w:t>
      </w:r>
      <w:r w:rsidRPr="002C05C2">
        <w:rPr>
          <w:rFonts w:cstheme="minorHAnsi"/>
        </w:rPr>
        <w:t>: Se remitió la Distrito la propuesta por ser de competencia</w:t>
      </w: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IP Santa Marta - Ciénega - Palermo (Gobernación del Magdalena)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 xml:space="preserve">Evaluación de factibilidad </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“Estudio, Diseño, Construcción, Operación y Mantenimiento de la vía Santa Marta – Ciénaga - Palermo”. Presentada ante la Gobernación del Magdalena”.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Magdalena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14/04/2015</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r w:rsidRPr="002C05C2">
        <w:rPr>
          <w:rFonts w:cstheme="minorHAnsi"/>
          <w:b/>
        </w:rPr>
        <w:t>Estado</w:t>
      </w:r>
      <w:r w:rsidRPr="002C05C2">
        <w:rPr>
          <w:rFonts w:cstheme="minorHAnsi"/>
        </w:rPr>
        <w:t>: Presentación de la Propuesta en Etapa de Prefactibilidad: 7 de marzo de 2014 ante la Gobernación del Magdalena. Requerimiento de Información adicional: remitido a la Gobernación del Magdalena el 24 de febrero de 2015. Entrega de Información Adicional: 14 de abril de 2015, se remitió memorando No. 20152000037321  el 28 de abril de 2015, recomendando a la Gobernación del Magdalena el rechazo de la iniciativa.</w:t>
      </w: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Variante Bucaramanga vía Piedecuesta – Girón</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 xml:space="preserve">Evaluación de factibilidad </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“La construcción, Operación y Mantenimiento de la vía Piedecuesta (Tres Esquinas) – Girón, que comunicará los municipios de Piedecuesta y Girón con una longitud origen - destino aproximada de 27 Km.”</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Magdalena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xml:space="preserve">- Zipaquirá - Bucaramanga </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 xml:space="preserve">Evaluación de factibilidad </w:t>
      </w:r>
    </w:p>
    <w:p w:rsidR="004A75CC" w:rsidRPr="002C05C2" w:rsidRDefault="004A75CC" w:rsidP="004A75CC">
      <w:pPr>
        <w:jc w:val="both"/>
        <w:rPr>
          <w:rFonts w:cstheme="minorHAnsi"/>
        </w:rPr>
      </w:pPr>
      <w:r w:rsidRPr="002C05C2">
        <w:rPr>
          <w:rFonts w:cstheme="minorHAnsi"/>
          <w:b/>
        </w:rPr>
        <w:lastRenderedPageBreak/>
        <w:t>Objeto</w:t>
      </w:r>
      <w:r w:rsidRPr="002C05C2">
        <w:rPr>
          <w:rFonts w:cstheme="minorHAnsi"/>
          <w:b/>
          <w:i/>
        </w:rPr>
        <w:t>:</w:t>
      </w:r>
      <w:r w:rsidRPr="002C05C2">
        <w:rPr>
          <w:rFonts w:cstheme="minorHAnsi"/>
        </w:rPr>
        <w:t xml:space="preserve"> "Realizar los estudios y diseños definitivos, financiación, gestión ambiental, predial y social, construcción, mejoramiento, rehabilitación, operación y mantenimiento y reversión del corredor vial Zipaquirá – Bucaramanga.”</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Zipaquirá - Bucaramanga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IP Duitama - Pamplona (Promesa de Sociedad Furura Duipam S.A.S.)</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 xml:space="preserve">Evaluación de factibilidad </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Duitama</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IP Bogotá - Girardot (Concesionaria Ruta del Sol S.A.S.)</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 xml:space="preserve">Evaluación de factibilidad </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El otorgamiento de una concesión para un sistema de carreteras Bogotá – Girardot, para que el Concesionario adelante las siguientes actividades: Operación y Mantenimiento preventivo, rutinario del corredor vial actual Bosa- Granada-Girardot con una longitud de 132 Km. y  la Elaboración de los Diseños fase III, Financiación, obtención de las licencias ambientales y demás permisos, adquisición de predios, construcción, operación y  mantenimiento preventivo rutinario y periódico de la vía alterna, diseñada en doble calzada con una longitud de 77.2 km. Y desarrollada en una primera etapa la construcción de 18 km. En calzada doble (Calle 13 – Canoas) y 59.2 Km. En calzada sencilla (Canoas – Girardot)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Salida Calle 13 - Canoas</w:t>
      </w:r>
    </w:p>
    <w:p w:rsidR="004A75CC" w:rsidRPr="002C05C2" w:rsidRDefault="004A75CC" w:rsidP="004A75CC">
      <w:pPr>
        <w:jc w:val="both"/>
        <w:rPr>
          <w:rFonts w:cstheme="minorHAnsi"/>
        </w:rPr>
      </w:pPr>
      <w:r w:rsidRPr="002C05C2">
        <w:rPr>
          <w:rFonts w:cstheme="minorHAnsi"/>
        </w:rPr>
        <w:t>Bosa - Granada - Giradot</w:t>
      </w:r>
    </w:p>
    <w:p w:rsidR="004A75CC" w:rsidRPr="002C05C2" w:rsidRDefault="004A75CC" w:rsidP="004A75CC">
      <w:pPr>
        <w:jc w:val="both"/>
        <w:rPr>
          <w:rFonts w:cstheme="minorHAnsi"/>
          <w:b/>
        </w:rPr>
      </w:pPr>
      <w:r w:rsidRPr="002C05C2">
        <w:rPr>
          <w:rFonts w:cstheme="minorHAnsi"/>
          <w:b/>
        </w:rPr>
        <w:lastRenderedPageBreak/>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Variante Yopal</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 xml:space="preserve">Evaluación de factibilidad </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“La Financiación, Diseño, Construcción, Operación y Mantenimiento de la Variante para el Municipio de Yopal y la Operación y Mantenimiento de la Vía Nacional, Yopal – Pore”.</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Casanare</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r w:rsidRPr="002C05C2">
        <w:rPr>
          <w:rFonts w:cstheme="minorHAnsi"/>
          <w:b/>
        </w:rPr>
        <w:t>- Sisga - El Secreto (Forigua)</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 xml:space="preserve">Evaluación de factibilidad </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r w:rsidRPr="002C05C2">
        <w:rPr>
          <w:rFonts w:cstheme="minorHAnsi"/>
          <w:b/>
        </w:rPr>
        <w:t>Estado</w:t>
      </w:r>
      <w:r w:rsidRPr="002C05C2">
        <w:rPr>
          <w:rFonts w:cstheme="minorHAnsi"/>
        </w:rPr>
        <w:t>: Se interpuso recurso de reposición contra la resolución que rechazó la IP por falsa motivación el 04 de diciembre de 2014. Se resuelve recurso de reposición por medio de la Resolución No. 307 del 3 de feb de 2015, que confirma resolución de rechazo de la IP.  Se notifica 12 de feb de 2015. Pendiente realizar bitácora para archivo.</w:t>
      </w:r>
    </w:p>
    <w:p w:rsidR="004A75CC" w:rsidRPr="002C05C2" w:rsidRDefault="004A75CC" w:rsidP="004A75CC">
      <w:pPr>
        <w:jc w:val="both"/>
        <w:rPr>
          <w:rFonts w:cstheme="minorHAnsi"/>
        </w:rPr>
      </w:pPr>
      <w:r w:rsidRPr="002C05C2">
        <w:rPr>
          <w:rFonts w:cstheme="minorHAnsi"/>
          <w:b/>
        </w:rPr>
        <w:t>Pendiente</w:t>
      </w:r>
      <w:r w:rsidRPr="002C05C2">
        <w:rPr>
          <w:rFonts w:cstheme="minorHAnsi"/>
        </w:rPr>
        <w:t xml:space="preserve">: Se rechazó mediante Resolución No. 1490 del 29 de octubre de 2014. Notificación: 20 de noviembre de 2014.Se presentó recurso?: Sí, 4 de diciembre de 2014.Plazo para decidir recurso: </w:t>
      </w:r>
      <w:r w:rsidRPr="002C05C2">
        <w:rPr>
          <w:rFonts w:cstheme="minorHAnsi"/>
        </w:rPr>
        <w:lastRenderedPageBreak/>
        <w:t>Se resolvió mediante Resolución No. 307 del 3 de febrero de 2015.Notificación: 12 de febrero de 2015. Ejecutoriada: Sí.</w:t>
      </w:r>
    </w:p>
    <w:p w:rsidR="004A75CC" w:rsidRPr="002C05C2" w:rsidRDefault="004A75CC" w:rsidP="004A75CC">
      <w:pPr>
        <w:jc w:val="both"/>
        <w:rPr>
          <w:rFonts w:cstheme="minorHAnsi"/>
          <w:b/>
        </w:rPr>
      </w:pPr>
      <w:r w:rsidRPr="002C05C2">
        <w:rPr>
          <w:rFonts w:cstheme="minorHAnsi"/>
          <w:b/>
        </w:rPr>
        <w:t>- Rubiales-Villavicencio LLANOPETROL</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Tren de cercanías. Tramo 1: KM5 - Calle 183 Tramo 2: Calle 183 - Zipaquirá (SOFCA PASAJEROS)</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Santander de Quilichao - Popayán (PSF Autovía Santander de Quilichao - Popayán)</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lastRenderedPageBreak/>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Puerto Carreño - Tumaco (Minfeper)</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Telepeajes- Revial</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Nueva concesión Autopista Bogotá - Girardot​</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lastRenderedPageBreak/>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Doble calzada Valledupar - La Paz (Pavcol)</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Corredor Férreo de Occidente</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Antioquia- Bolívar</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rPr>
      </w:pPr>
    </w:p>
    <w:p w:rsidR="004A75CC" w:rsidRPr="002C05C2" w:rsidRDefault="004A75CC" w:rsidP="004A75CC">
      <w:pPr>
        <w:jc w:val="both"/>
        <w:rPr>
          <w:rFonts w:cstheme="minorHAnsi"/>
          <w:b/>
        </w:rPr>
      </w:pPr>
      <w:r w:rsidRPr="002C05C2">
        <w:rPr>
          <w:rFonts w:cstheme="minorHAnsi"/>
          <w:b/>
        </w:rPr>
        <w:t>- Tumaco Fluvial</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Tumaco</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lastRenderedPageBreak/>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jc w:val="both"/>
        <w:rPr>
          <w:rFonts w:cstheme="minorHAnsi"/>
          <w:b/>
        </w:rPr>
      </w:pPr>
    </w:p>
    <w:p w:rsidR="004A75CC" w:rsidRPr="002C05C2" w:rsidRDefault="004A75CC" w:rsidP="004A75CC">
      <w:pPr>
        <w:jc w:val="both"/>
        <w:rPr>
          <w:rFonts w:cstheme="minorHAnsi"/>
          <w:b/>
        </w:rPr>
      </w:pPr>
      <w:r w:rsidRPr="002C05C2">
        <w:rPr>
          <w:rFonts w:cstheme="minorHAnsi"/>
          <w:b/>
        </w:rPr>
        <w:t>- Circunvalar de Occidente</w:t>
      </w:r>
    </w:p>
    <w:p w:rsidR="004A75CC" w:rsidRPr="002C05C2" w:rsidRDefault="004A75CC" w:rsidP="004A75CC">
      <w:pPr>
        <w:jc w:val="both"/>
        <w:rPr>
          <w:rFonts w:cstheme="minorHAnsi"/>
        </w:rPr>
      </w:pPr>
      <w:r w:rsidRPr="002C05C2">
        <w:rPr>
          <w:rFonts w:cstheme="minorHAnsi"/>
          <w:b/>
        </w:rPr>
        <w:t xml:space="preserve">Etapa: </w:t>
      </w:r>
      <w:r w:rsidRPr="002C05C2">
        <w:rPr>
          <w:rFonts w:cstheme="minorHAnsi"/>
        </w:rPr>
        <w:t>Suspensiones/rechazos</w:t>
      </w:r>
    </w:p>
    <w:p w:rsidR="004A75CC" w:rsidRPr="002C05C2" w:rsidRDefault="004A75CC" w:rsidP="004A75CC">
      <w:pPr>
        <w:jc w:val="both"/>
        <w:rPr>
          <w:rFonts w:cstheme="minorHAnsi"/>
        </w:rPr>
      </w:pPr>
      <w:r w:rsidRPr="002C05C2">
        <w:rPr>
          <w:rFonts w:cstheme="minorHAnsi"/>
          <w:b/>
        </w:rPr>
        <w:t>Objeto</w:t>
      </w:r>
      <w:r w:rsidRPr="002C05C2">
        <w:rPr>
          <w:rFonts w:cstheme="minorHAnsi"/>
          <w:b/>
          <w:i/>
        </w:rPr>
        <w:t>:</w:t>
      </w:r>
      <w:r w:rsidRPr="002C05C2">
        <w:rPr>
          <w:rFonts w:cstheme="minorHAnsi"/>
        </w:rPr>
        <w:t xml:space="preserve"> </w:t>
      </w:r>
    </w:p>
    <w:p w:rsidR="004A75CC" w:rsidRPr="002C05C2" w:rsidRDefault="004A75CC" w:rsidP="004A75CC">
      <w:pPr>
        <w:jc w:val="both"/>
        <w:rPr>
          <w:rFonts w:cstheme="minorHAnsi"/>
        </w:rPr>
      </w:pPr>
      <w:r w:rsidRPr="002C05C2">
        <w:rPr>
          <w:rFonts w:cstheme="minorHAnsi"/>
          <w:b/>
        </w:rPr>
        <w:t>Ubicación del proyecto:</w:t>
      </w:r>
      <w:r w:rsidRPr="002C05C2">
        <w:rPr>
          <w:rFonts w:cstheme="minorHAnsi"/>
        </w:rPr>
        <w:t xml:space="preserve"> </w:t>
      </w:r>
    </w:p>
    <w:p w:rsidR="004A75CC" w:rsidRPr="002C05C2" w:rsidRDefault="004A75CC" w:rsidP="004A75CC">
      <w:pPr>
        <w:jc w:val="both"/>
        <w:rPr>
          <w:rFonts w:cstheme="minorHAnsi"/>
          <w:b/>
        </w:rPr>
      </w:pPr>
      <w:r w:rsidRPr="002C05C2">
        <w:rPr>
          <w:rFonts w:cstheme="minorHAnsi"/>
          <w:b/>
        </w:rPr>
        <w:t>Cronograma:</w:t>
      </w:r>
    </w:p>
    <w:tbl>
      <w:tblPr>
        <w:tblW w:w="5000" w:type="pct"/>
        <w:tblCellMar>
          <w:left w:w="70" w:type="dxa"/>
          <w:right w:w="70" w:type="dxa"/>
        </w:tblCellMar>
        <w:tblLook w:val="04A0" w:firstRow="1" w:lastRow="0" w:firstColumn="1" w:lastColumn="0" w:noHBand="0" w:noVBand="1"/>
      </w:tblPr>
      <w:tblGrid>
        <w:gridCol w:w="1533"/>
        <w:gridCol w:w="1201"/>
        <w:gridCol w:w="1646"/>
        <w:gridCol w:w="1845"/>
        <w:gridCol w:w="1448"/>
        <w:gridCol w:w="1155"/>
      </w:tblGrid>
      <w:tr w:rsidR="004A75CC" w:rsidRPr="002C05C2" w:rsidTr="00A76E0E">
        <w:trPr>
          <w:trHeight w:val="83"/>
        </w:trPr>
        <w:tc>
          <w:tcPr>
            <w:tcW w:w="869" w:type="pct"/>
            <w:tcBorders>
              <w:top w:val="single" w:sz="4" w:space="0" w:color="auto"/>
              <w:left w:val="single" w:sz="4" w:space="0" w:color="auto"/>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Prepliegos</w:t>
            </w:r>
          </w:p>
        </w:tc>
        <w:tc>
          <w:tcPr>
            <w:tcW w:w="68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Pliegos</w:t>
            </w:r>
          </w:p>
        </w:tc>
        <w:tc>
          <w:tcPr>
            <w:tcW w:w="932"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Entrega Propuestas</w:t>
            </w:r>
          </w:p>
        </w:tc>
        <w:tc>
          <w:tcPr>
            <w:tcW w:w="1045"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Adjudicación</w:t>
            </w:r>
          </w:p>
        </w:tc>
        <w:tc>
          <w:tcPr>
            <w:tcW w:w="820"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Firma contrato</w:t>
            </w:r>
          </w:p>
        </w:tc>
        <w:tc>
          <w:tcPr>
            <w:tcW w:w="654" w:type="pct"/>
            <w:tcBorders>
              <w:top w:val="single" w:sz="4" w:space="0" w:color="auto"/>
              <w:left w:val="nil"/>
              <w:bottom w:val="single" w:sz="4" w:space="0" w:color="auto"/>
              <w:right w:val="single" w:sz="4" w:space="0" w:color="auto"/>
            </w:tcBorders>
            <w:shd w:val="clear" w:color="auto" w:fill="FFC000"/>
            <w:hideMark/>
          </w:tcPr>
          <w:p w:rsidR="004A75CC" w:rsidRPr="002C05C2" w:rsidRDefault="004A75CC" w:rsidP="004A75CC">
            <w:pPr>
              <w:spacing w:after="0" w:line="240" w:lineRule="auto"/>
              <w:rPr>
                <w:rFonts w:eastAsia="Times New Roman" w:cstheme="minorHAnsi"/>
                <w:b/>
              </w:rPr>
            </w:pPr>
            <w:r w:rsidRPr="002C05C2">
              <w:rPr>
                <w:rFonts w:eastAsia="Times New Roman" w:cstheme="minorHAnsi"/>
                <w:b/>
              </w:rPr>
              <w:t>Acta de Inicio</w:t>
            </w:r>
          </w:p>
        </w:tc>
      </w:tr>
      <w:tr w:rsidR="004A75CC" w:rsidRPr="002C05C2" w:rsidTr="00A76E0E">
        <w:trPr>
          <w:trHeight w:val="452"/>
        </w:trPr>
        <w:tc>
          <w:tcPr>
            <w:tcW w:w="869" w:type="pct"/>
            <w:tcBorders>
              <w:top w:val="nil"/>
              <w:left w:val="single" w:sz="4" w:space="0" w:color="auto"/>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8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932"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1045"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820"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c>
          <w:tcPr>
            <w:tcW w:w="654" w:type="pct"/>
            <w:tcBorders>
              <w:top w:val="nil"/>
              <w:left w:val="nil"/>
              <w:bottom w:val="single" w:sz="4" w:space="0" w:color="auto"/>
              <w:right w:val="single" w:sz="4" w:space="0" w:color="auto"/>
            </w:tcBorders>
            <w:shd w:val="clear" w:color="auto" w:fill="auto"/>
            <w:hideMark/>
          </w:tcPr>
          <w:p w:rsidR="004A75CC" w:rsidRPr="002C05C2" w:rsidRDefault="004A75CC" w:rsidP="004A75CC">
            <w:pPr>
              <w:rPr>
                <w:rFonts w:cstheme="minorHAnsi"/>
              </w:rPr>
            </w:pPr>
            <w:r w:rsidRPr="002C05C2">
              <w:rPr>
                <w:rFonts w:cstheme="minorHAnsi"/>
              </w:rPr>
              <w:t>pendiente</w:t>
            </w:r>
          </w:p>
        </w:tc>
      </w:tr>
    </w:tbl>
    <w:p w:rsidR="004A75CC" w:rsidRPr="002C05C2" w:rsidRDefault="004A75CC" w:rsidP="004A75CC">
      <w:pPr>
        <w:pStyle w:val="Sinespaciado"/>
        <w:rPr>
          <w:rFonts w:cstheme="minorHAnsi"/>
        </w:rPr>
      </w:pPr>
    </w:p>
    <w:p w:rsidR="004A75CC" w:rsidRPr="002C05C2" w:rsidRDefault="004A75CC" w:rsidP="004A75CC">
      <w:pPr>
        <w:pStyle w:val="Sinespaciado"/>
        <w:rPr>
          <w:rFonts w:cstheme="minorHAnsi"/>
        </w:rPr>
      </w:pPr>
    </w:p>
    <w:p w:rsidR="004A75CC" w:rsidRPr="002C05C2" w:rsidRDefault="004A75CC" w:rsidP="00F33349">
      <w:pPr>
        <w:pStyle w:val="Sinespaciado"/>
        <w:numPr>
          <w:ilvl w:val="1"/>
          <w:numId w:val="109"/>
        </w:numPr>
        <w:rPr>
          <w:rFonts w:cstheme="minorHAnsi"/>
          <w:b/>
        </w:rPr>
      </w:pPr>
      <w:r w:rsidRPr="002C05C2">
        <w:rPr>
          <w:rFonts w:cstheme="minorHAnsi"/>
          <w:b/>
        </w:rPr>
        <w:t>Puertos</w:t>
      </w:r>
    </w:p>
    <w:p w:rsidR="004A75CC" w:rsidRPr="002C05C2" w:rsidRDefault="004A75CC" w:rsidP="004A75CC">
      <w:pPr>
        <w:jc w:val="both"/>
        <w:rPr>
          <w:rFonts w:cstheme="minorHAnsi"/>
        </w:rPr>
      </w:pPr>
    </w:p>
    <w:tbl>
      <w:tblPr>
        <w:tblW w:w="5000" w:type="pct"/>
        <w:tblCellMar>
          <w:left w:w="70" w:type="dxa"/>
          <w:right w:w="70" w:type="dxa"/>
        </w:tblCellMar>
        <w:tblLook w:val="04A0" w:firstRow="1" w:lastRow="0" w:firstColumn="1" w:lastColumn="0" w:noHBand="0" w:noVBand="1"/>
      </w:tblPr>
      <w:tblGrid>
        <w:gridCol w:w="1685"/>
        <w:gridCol w:w="1536"/>
        <w:gridCol w:w="1457"/>
        <w:gridCol w:w="1791"/>
        <w:gridCol w:w="2354"/>
      </w:tblGrid>
      <w:tr w:rsidR="004A75CC" w:rsidRPr="002C05C2" w:rsidTr="00A76E0E">
        <w:trPr>
          <w:trHeight w:val="270"/>
        </w:trPr>
        <w:tc>
          <w:tcPr>
            <w:tcW w:w="820" w:type="pct"/>
            <w:tcBorders>
              <w:top w:val="single" w:sz="8" w:space="0" w:color="auto"/>
              <w:left w:val="single" w:sz="8" w:space="0" w:color="auto"/>
              <w:bottom w:val="single" w:sz="8" w:space="0" w:color="auto"/>
              <w:right w:val="single" w:sz="4" w:space="0" w:color="auto"/>
            </w:tcBorders>
            <w:shd w:val="clear" w:color="auto" w:fill="FFC000"/>
            <w:hideMark/>
          </w:tcPr>
          <w:p w:rsidR="004A75CC" w:rsidRPr="002C05C2" w:rsidRDefault="004A75CC" w:rsidP="004A75CC">
            <w:pPr>
              <w:spacing w:after="0" w:line="240" w:lineRule="auto"/>
              <w:jc w:val="center"/>
              <w:rPr>
                <w:rFonts w:eastAsia="Times New Roman" w:cstheme="minorHAnsi"/>
                <w:b/>
                <w:bCs/>
              </w:rPr>
            </w:pPr>
            <w:r w:rsidRPr="002C05C2">
              <w:rPr>
                <w:rFonts w:eastAsia="Times New Roman" w:cstheme="minorHAnsi"/>
                <w:b/>
                <w:bCs/>
              </w:rPr>
              <w:t>Proyecto</w:t>
            </w:r>
          </w:p>
        </w:tc>
        <w:tc>
          <w:tcPr>
            <w:tcW w:w="974" w:type="pct"/>
            <w:tcBorders>
              <w:top w:val="single" w:sz="8" w:space="0" w:color="auto"/>
              <w:left w:val="nil"/>
              <w:bottom w:val="single" w:sz="8" w:space="0" w:color="auto"/>
              <w:right w:val="single" w:sz="4" w:space="0" w:color="auto"/>
            </w:tcBorders>
            <w:shd w:val="clear" w:color="auto" w:fill="FFC000"/>
            <w:hideMark/>
          </w:tcPr>
          <w:p w:rsidR="004A75CC" w:rsidRPr="002C05C2" w:rsidRDefault="004A75CC" w:rsidP="004A75CC">
            <w:pPr>
              <w:spacing w:after="0" w:line="240" w:lineRule="auto"/>
              <w:jc w:val="center"/>
              <w:rPr>
                <w:rFonts w:eastAsia="Times New Roman" w:cstheme="minorHAnsi"/>
                <w:b/>
                <w:bCs/>
              </w:rPr>
            </w:pPr>
            <w:r w:rsidRPr="002C05C2">
              <w:rPr>
                <w:rFonts w:eastAsia="Times New Roman" w:cstheme="minorHAnsi"/>
                <w:b/>
                <w:bCs/>
              </w:rPr>
              <w:t>Objeto</w:t>
            </w:r>
          </w:p>
        </w:tc>
        <w:tc>
          <w:tcPr>
            <w:tcW w:w="651" w:type="pct"/>
            <w:tcBorders>
              <w:top w:val="single" w:sz="8" w:space="0" w:color="auto"/>
              <w:left w:val="nil"/>
              <w:bottom w:val="single" w:sz="8" w:space="0" w:color="auto"/>
              <w:right w:val="single" w:sz="4" w:space="0" w:color="auto"/>
            </w:tcBorders>
            <w:shd w:val="clear" w:color="auto" w:fill="FFC000"/>
            <w:hideMark/>
          </w:tcPr>
          <w:p w:rsidR="004A75CC" w:rsidRPr="002C05C2" w:rsidRDefault="004A75CC" w:rsidP="004A75CC">
            <w:pPr>
              <w:spacing w:after="0" w:line="240" w:lineRule="auto"/>
              <w:jc w:val="center"/>
              <w:rPr>
                <w:rFonts w:eastAsia="Times New Roman" w:cstheme="minorHAnsi"/>
                <w:b/>
                <w:bCs/>
              </w:rPr>
            </w:pPr>
            <w:r w:rsidRPr="002C05C2">
              <w:rPr>
                <w:rFonts w:eastAsia="Times New Roman" w:cstheme="minorHAnsi"/>
                <w:b/>
                <w:bCs/>
              </w:rPr>
              <w:t xml:space="preserve">Ubicación </w:t>
            </w:r>
          </w:p>
        </w:tc>
        <w:tc>
          <w:tcPr>
            <w:tcW w:w="1118" w:type="pct"/>
            <w:tcBorders>
              <w:top w:val="single" w:sz="8" w:space="0" w:color="auto"/>
              <w:left w:val="nil"/>
              <w:bottom w:val="single" w:sz="8" w:space="0" w:color="auto"/>
              <w:right w:val="single" w:sz="4" w:space="0" w:color="auto"/>
            </w:tcBorders>
            <w:shd w:val="clear" w:color="auto" w:fill="FFC000"/>
            <w:hideMark/>
          </w:tcPr>
          <w:p w:rsidR="004A75CC" w:rsidRPr="002C05C2" w:rsidRDefault="004A75CC" w:rsidP="004A75CC">
            <w:pPr>
              <w:spacing w:after="0" w:line="240" w:lineRule="auto"/>
              <w:jc w:val="center"/>
              <w:rPr>
                <w:rFonts w:eastAsia="Times New Roman" w:cstheme="minorHAnsi"/>
                <w:b/>
                <w:bCs/>
              </w:rPr>
            </w:pPr>
            <w:r w:rsidRPr="002C05C2">
              <w:rPr>
                <w:rFonts w:eastAsia="Times New Roman" w:cstheme="minorHAnsi"/>
                <w:b/>
                <w:bCs/>
              </w:rPr>
              <w:t>Estado</w:t>
            </w:r>
          </w:p>
        </w:tc>
        <w:tc>
          <w:tcPr>
            <w:tcW w:w="1437" w:type="pct"/>
            <w:tcBorders>
              <w:top w:val="single" w:sz="8" w:space="0" w:color="auto"/>
              <w:left w:val="nil"/>
              <w:bottom w:val="single" w:sz="8" w:space="0" w:color="auto"/>
              <w:right w:val="single" w:sz="4" w:space="0" w:color="auto"/>
            </w:tcBorders>
            <w:shd w:val="clear" w:color="auto" w:fill="FFC000"/>
            <w:hideMark/>
          </w:tcPr>
          <w:p w:rsidR="004A75CC" w:rsidRPr="002C05C2" w:rsidRDefault="004A75CC" w:rsidP="004A75CC">
            <w:pPr>
              <w:spacing w:after="0" w:line="240" w:lineRule="auto"/>
              <w:jc w:val="center"/>
              <w:rPr>
                <w:rFonts w:eastAsia="Times New Roman" w:cstheme="minorHAnsi"/>
                <w:b/>
                <w:bCs/>
              </w:rPr>
            </w:pPr>
            <w:r w:rsidRPr="002C05C2">
              <w:rPr>
                <w:rFonts w:eastAsia="Times New Roman" w:cstheme="minorHAnsi"/>
                <w:b/>
                <w:bCs/>
              </w:rPr>
              <w:t>Pendiente</w:t>
            </w:r>
          </w:p>
        </w:tc>
      </w:tr>
      <w:tr w:rsidR="004A75CC" w:rsidRPr="002C05C2" w:rsidTr="00A76E0E">
        <w:trPr>
          <w:trHeight w:val="2040"/>
        </w:trPr>
        <w:tc>
          <w:tcPr>
            <w:tcW w:w="820" w:type="pct"/>
            <w:tcBorders>
              <w:top w:val="single" w:sz="4" w:space="0" w:color="auto"/>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PACIFIC PORT S.A.</w:t>
            </w:r>
          </w:p>
        </w:tc>
        <w:tc>
          <w:tcPr>
            <w:tcW w:w="974" w:type="pct"/>
            <w:tcBorders>
              <w:top w:val="single" w:sz="4" w:space="0" w:color="auto"/>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Concesión portuaria para utilización, en forma temporal y exclusiva, de zona de uso público con el fin de desarrollar puerto para carbón y graneles. Servicio público</w:t>
            </w:r>
          </w:p>
        </w:tc>
        <w:tc>
          <w:tcPr>
            <w:tcW w:w="651" w:type="pct"/>
            <w:tcBorders>
              <w:top w:val="single" w:sz="4" w:space="0" w:color="auto"/>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Estero San Antonio de la Bahía de Buenaventura. </w:t>
            </w:r>
          </w:p>
        </w:tc>
        <w:tc>
          <w:tcPr>
            <w:tcW w:w="1118" w:type="pct"/>
            <w:tcBorders>
              <w:top w:val="single" w:sz="4" w:space="0" w:color="auto"/>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single" w:sz="4" w:space="0" w:color="auto"/>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Estero San Antonio de la Bahía de B+A1:F1uenaventura. </w:t>
            </w:r>
          </w:p>
        </w:tc>
      </w:tr>
      <w:tr w:rsidR="004A75CC" w:rsidRPr="002C05C2" w:rsidTr="00A76E0E">
        <w:trPr>
          <w:trHeight w:val="76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ARQUIMEDES TRIBUGÁ</w:t>
            </w:r>
          </w:p>
        </w:tc>
        <w:tc>
          <w:tcPr>
            <w:tcW w:w="974" w:type="pct"/>
            <w:tcBorders>
              <w:top w:val="nil"/>
              <w:left w:val="nil"/>
              <w:bottom w:val="nil"/>
              <w:right w:val="nil"/>
            </w:tcBorders>
            <w:shd w:val="clear" w:color="auto" w:fill="auto"/>
            <w:noWrap/>
            <w:vAlign w:val="center"/>
            <w:hideMark/>
          </w:tcPr>
          <w:p w:rsidR="004A75CC" w:rsidRPr="002C05C2" w:rsidRDefault="004A75CC" w:rsidP="004A75CC">
            <w:pPr>
              <w:spacing w:after="0" w:line="240" w:lineRule="auto"/>
              <w:rPr>
                <w:rFonts w:eastAsia="Times New Roman" w:cstheme="minorHAnsi"/>
                <w:b/>
                <w:bCs/>
              </w:rPr>
            </w:pPr>
          </w:p>
        </w:tc>
        <w:tc>
          <w:tcPr>
            <w:tcW w:w="651"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Resolución No. 1308 de 2014 Niega concesión</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Negada. Se interpuso recurso reposición. Se proyectó resolución que resuelve recurso. Pendiente revisión Dra. Liliana Coy</w:t>
            </w:r>
          </w:p>
        </w:tc>
      </w:tr>
      <w:tr w:rsidR="004A75CC" w:rsidRPr="002C05C2" w:rsidTr="00A76E0E">
        <w:trPr>
          <w:trHeight w:val="102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lastRenderedPageBreak/>
              <w:t>DELTA DEL RIO DAGUA</w:t>
            </w:r>
          </w:p>
        </w:tc>
        <w:tc>
          <w:tcPr>
            <w:tcW w:w="974" w:type="pct"/>
            <w:tcBorders>
              <w:top w:val="single" w:sz="4" w:space="0" w:color="auto"/>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Ocupar una ZUP carga general, contendores y gráneles líquidos en</w:t>
            </w:r>
            <w:r w:rsidRPr="002C05C2">
              <w:rPr>
                <w:rFonts w:eastAsia="Times New Roman" w:cstheme="minorHAnsi"/>
                <w:b/>
                <w:bCs/>
              </w:rPr>
              <w:t xml:space="preserve"> Tumaco.</w:t>
            </w:r>
            <w:r w:rsidRPr="002C05C2">
              <w:rPr>
                <w:rFonts w:eastAsia="Times New Roman" w:cstheme="minorHAnsi"/>
              </w:rPr>
              <w:t xml:space="preserve"> </w:t>
            </w:r>
            <w:r w:rsidRPr="002C05C2">
              <w:rPr>
                <w:rFonts w:eastAsia="Times New Roman" w:cstheme="minorHAnsi"/>
                <w:b/>
                <w:bCs/>
              </w:rPr>
              <w:t>Servicio público</w:t>
            </w:r>
          </w:p>
        </w:tc>
        <w:tc>
          <w:tcPr>
            <w:tcW w:w="651"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Buenaventura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Se expidió Resolución 1525 de 06/11/2014 concediendo prórroga para allegar licencia ambiental hasta 20/11/2015</w:t>
            </w:r>
          </w:p>
        </w:tc>
      </w:tr>
      <w:tr w:rsidR="004A75CC" w:rsidRPr="002C05C2" w:rsidTr="00A76E0E">
        <w:trPr>
          <w:trHeight w:val="102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GRANELES DEL GOLFO</w:t>
            </w:r>
          </w:p>
        </w:tc>
        <w:tc>
          <w:tcPr>
            <w:tcW w:w="974"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 </w:t>
            </w:r>
          </w:p>
        </w:tc>
        <w:tc>
          <w:tcPr>
            <w:tcW w:w="651"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jc w:val="center"/>
              <w:rPr>
                <w:rFonts w:eastAsia="Times New Roman" w:cstheme="minorHAnsi"/>
                <w:b/>
                <w:bCs/>
              </w:rPr>
            </w:pPr>
            <w:r w:rsidRPr="002C05C2">
              <w:rPr>
                <w:rFonts w:eastAsia="Times New Roman" w:cstheme="minorHAnsi"/>
                <w:b/>
                <w:bCs/>
              </w:rPr>
              <w:t>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Res. 079 19/02/2010. Sin término para cumplir condiciones, falta licencia ambiental</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Ya cuenta con Licencia Ambiental de CVS, peticionario interpuso recurso ante CVS. Allegaron póliza. Se remitió garantía a Contratación para aprobación. Hablar con Jairo Arguello para verificar estado de la licencia ambiental</w:t>
            </w:r>
          </w:p>
        </w:tc>
      </w:tr>
      <w:tr w:rsidR="004A75CC" w:rsidRPr="002C05C2" w:rsidTr="00A76E0E">
        <w:trPr>
          <w:trHeight w:val="153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PETRODECOL S.A.</w:t>
            </w:r>
          </w:p>
        </w:tc>
        <w:tc>
          <w:tcPr>
            <w:tcW w:w="97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Concesión portuaria para ocupar una ZUP en Tumaco. Manejo de hidrocarburos (petróleo). Servicio privado.</w:t>
            </w:r>
          </w:p>
        </w:tc>
        <w:tc>
          <w:tcPr>
            <w:tcW w:w="651"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Tumaco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A través de oficio firmado el 21/05/2015 se ofició a solicitante para que suscribiera la garantía de seriedad de la propuesta, se concedieron 5 días a partir de recibo de oficio de ANI.</w:t>
            </w:r>
          </w:p>
        </w:tc>
      </w:tr>
      <w:tr w:rsidR="004A75CC" w:rsidRPr="002C05C2" w:rsidTr="00A76E0E">
        <w:trPr>
          <w:trHeight w:val="102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PUERTO SOLO BUENAVENTURA S.A.</w:t>
            </w:r>
          </w:p>
        </w:tc>
        <w:tc>
          <w:tcPr>
            <w:tcW w:w="974"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Multipropósito</w:t>
            </w:r>
          </w:p>
        </w:tc>
        <w:tc>
          <w:tcPr>
            <w:tcW w:w="651"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Buenaventura entre los esteros de “El Piñal” y “El Aguacate”</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Resolución No. 538 24/09/2012 Por la cual se fijan condiciones para otorgar concesión, se dio plazo de 1 año para cumplimiento de condiciones. Se concedió nuevo plazo para cumplir condiciones hasta el </w:t>
            </w:r>
            <w:r w:rsidRPr="002C05C2">
              <w:rPr>
                <w:rFonts w:eastAsia="Times New Roman" w:cstheme="minorHAnsi"/>
                <w:b/>
                <w:bCs/>
              </w:rPr>
              <w:t>25/09/2015</w:t>
            </w:r>
          </w:p>
        </w:tc>
      </w:tr>
      <w:tr w:rsidR="004A75CC" w:rsidRPr="002C05C2" w:rsidTr="00A76E0E">
        <w:trPr>
          <w:trHeight w:val="153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 xml:space="preserve">TERLICA </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Carga especializada de líquidos al granel, cargue y descargue de gráneles líquidos de </w:t>
            </w:r>
            <w:r w:rsidRPr="002C05C2">
              <w:rPr>
                <w:rFonts w:eastAsia="Times New Roman" w:cstheme="minorHAnsi"/>
              </w:rPr>
              <w:lastRenderedPageBreak/>
              <w:t xml:space="preserve">importación y exportación. </w:t>
            </w:r>
          </w:p>
        </w:tc>
        <w:tc>
          <w:tcPr>
            <w:tcW w:w="651"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lastRenderedPageBreak/>
              <w:t xml:space="preserve">Santa Marta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Pendiente garantía de seriedad de la propuesta por parte de la SOCIEDAD PORTUARIA DE LAS AMÉRICAS (antes TERLICA S.A.)</w:t>
            </w:r>
          </w:p>
        </w:tc>
      </w:tr>
      <w:tr w:rsidR="004A75CC" w:rsidRPr="002C05C2" w:rsidTr="00A76E0E">
        <w:trPr>
          <w:trHeight w:val="306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lastRenderedPageBreak/>
              <w:t>PUERTO BAHIA COLOMBIA DE URABÁ (Puerto Antioquia)</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Construcción de un terminal marítimo multipropósito, de servicio público, para manejo de  tráfico y operación de carga en contenedores refrigerados, contenedores secos, carga general, carga de proyecto, gráneles sólidos y vehículos. </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Bahía Colombia, Golfo de Urabá, Mar Caribe municipio de</w:t>
            </w:r>
            <w:r w:rsidRPr="002C05C2">
              <w:rPr>
                <w:rFonts w:eastAsia="Times New Roman" w:cstheme="minorHAnsi"/>
                <w:b/>
                <w:bCs/>
              </w:rPr>
              <w:t xml:space="preserve"> Turbo (Antioquia)</w:t>
            </w:r>
          </w:p>
        </w:tc>
        <w:tc>
          <w:tcPr>
            <w:tcW w:w="1118" w:type="pct"/>
            <w:tcBorders>
              <w:top w:val="nil"/>
              <w:left w:val="nil"/>
              <w:bottom w:val="nil"/>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Resolución 606 del 06/04/2015 “Por medio de la cual se modifican las condiciones en las que se otorgó concesión portuaria a la sociedad PUERTO BAHÍA COLOMBIA DE URABÁ, mediante Resolución No. 898 del 21 de diciembre de 2012". Se concedió plazo de 1 año (hasta el 06/04/2016) para aportar documentación</w:t>
            </w:r>
          </w:p>
        </w:tc>
      </w:tr>
      <w:tr w:rsidR="004A75CC" w:rsidRPr="002C05C2" w:rsidTr="00A76E0E">
        <w:trPr>
          <w:trHeight w:val="229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ATUNAMAR LTDA</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Muelle atunero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Cartagena</w:t>
            </w:r>
          </w:p>
        </w:tc>
        <w:tc>
          <w:tcPr>
            <w:tcW w:w="1118" w:type="pct"/>
            <w:tcBorders>
              <w:top w:val="single" w:sz="4" w:space="0" w:color="auto"/>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Resolución 1516 del 19/12/2013, fija condiciones para otorgar concesión portuaria           Resolución de otorgamiento No. 1694 del 17/12/2014. Contrato de Concesión No. 001 de 24 de diciembre de 2014. Pasó a Gerencia de Contratación</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Se expidió Resolución 1525 de 06/11/2014 concediendo prórroga para allegar licencia ambiental hasta 20/11/2015. Se expidió resolución 606 del 06/04/2015 “Por medio de la cual se concede viabilidad a la solicitud de modificación de las condiciones en las que se le otorgó concesión portuaria a la sociedad PUERTO BAHÍA COLOMBIA DE URABÁ S.A., mediante Resolución No. 898 del 21 de diciembre de 2012, modificada por las resoluciones Nos. 936 del 26 de agosto de 2013 y 507 del 21 de </w:t>
            </w:r>
            <w:r w:rsidRPr="002C05C2">
              <w:rPr>
                <w:rFonts w:eastAsia="Times New Roman" w:cstheme="minorHAnsi"/>
              </w:rPr>
              <w:lastRenderedPageBreak/>
              <w:t>marzo de 2014 y se adoptan otras determinaciones”</w:t>
            </w:r>
          </w:p>
        </w:tc>
      </w:tr>
      <w:tr w:rsidR="004A75CC" w:rsidRPr="002C05C2" w:rsidTr="00A76E0E">
        <w:trPr>
          <w:trHeight w:val="153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lastRenderedPageBreak/>
              <w:t>ANTILLANA CARTAGENA</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Operación de muelle pesquero de uso privado. </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Cartagena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Verificación Preliminar de la solicitud de concesiones</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Se espera reversión de ZUP por parte de Vicepresidencia de Gestión contractual. Se hizo Resolución por la cual se levanta suspensión del trámite Resolución No. 1450 del 23/10/2014. Se elaboró concepto jurídico actualizando estado de trámite y se expidió resolución citando a Audiencia Pública para 19/06/2015.</w:t>
            </w:r>
          </w:p>
        </w:tc>
      </w:tr>
      <w:tr w:rsidR="004A75CC" w:rsidRPr="002C05C2" w:rsidTr="00A76E0E">
        <w:trPr>
          <w:trHeight w:val="204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RETRAMAR S.A.S</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Muelle cargue y descargue y manejo de suministros y provisiones para embarcaciones y buques de apoyo producción petrolera off-shore. </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Cartagena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Pendiente que se cumpla plazo de fijación para otorgar concesión (23 de septiembre de 2015)</w:t>
            </w:r>
          </w:p>
        </w:tc>
      </w:tr>
      <w:tr w:rsidR="004A75CC" w:rsidRPr="002C05C2" w:rsidTr="00A76E0E">
        <w:trPr>
          <w:trHeight w:val="76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OINSAS S.A.</w:t>
            </w:r>
          </w:p>
        </w:tc>
        <w:tc>
          <w:tcPr>
            <w:tcW w:w="97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Multipropósito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Coveñas</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Resolución No. 1764 del 26/12/2014 se fijan condiciones para otorgar concesión portuaria. Tienen plazo para cumplir condiciones hasta el 26/12/2015</w:t>
            </w:r>
          </w:p>
        </w:tc>
      </w:tr>
      <w:tr w:rsidR="004A75CC" w:rsidRPr="002C05C2" w:rsidTr="00A76E0E">
        <w:trPr>
          <w:trHeight w:val="76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CCX</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Puerto carbonífero de s</w:t>
            </w:r>
            <w:r w:rsidRPr="002C05C2">
              <w:rPr>
                <w:rFonts w:eastAsia="Times New Roman" w:cstheme="minorHAnsi"/>
                <w:b/>
                <w:bCs/>
              </w:rPr>
              <w:t>ervicio privado.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Dibulla (Guajira)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Espera cumplimiento de fijación para otorgar concesión Resolución No. 1299 del </w:t>
            </w:r>
            <w:r w:rsidRPr="002C05C2">
              <w:rPr>
                <w:rFonts w:eastAsia="Times New Roman" w:cstheme="minorHAnsi"/>
              </w:rPr>
              <w:lastRenderedPageBreak/>
              <w:t>23/09/2014 concede prórroga para cumplir condiciones plazo hasta el 14/10/2015</w:t>
            </w:r>
          </w:p>
        </w:tc>
      </w:tr>
      <w:tr w:rsidR="004A75CC" w:rsidRPr="002C05C2" w:rsidTr="00A76E0E">
        <w:trPr>
          <w:trHeight w:val="76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lastRenderedPageBreak/>
              <w:t>PUERTO DE GAS LICUADO DEL CARIBE S.A.</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Puerto privado movilización de gas licuado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Golfo de Morrosquillo.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Otorgamiento de concesiones</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Pendiente oficio de peticionario en el que solicite ampliación del término para firmar el contrato de concesión portuaria.</w:t>
            </w:r>
          </w:p>
        </w:tc>
      </w:tr>
      <w:tr w:rsidR="004A75CC" w:rsidRPr="002C05C2" w:rsidTr="00A76E0E">
        <w:trPr>
          <w:trHeight w:val="51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EL CAYAO</w:t>
            </w:r>
          </w:p>
        </w:tc>
        <w:tc>
          <w:tcPr>
            <w:tcW w:w="97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Gas Natural licuado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Cartagena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b/>
                <w:bCs/>
                <w:u w:val="single"/>
              </w:rPr>
              <w:t>Resolución No. 504 del 05/03/2015</w:t>
            </w:r>
            <w:r w:rsidRPr="002C05C2">
              <w:rPr>
                <w:rFonts w:eastAsia="Times New Roman" w:cstheme="minorHAnsi"/>
              </w:rPr>
              <w:t xml:space="preserve"> Fija condiciones. Tiene plazo hasta el 05/03/2016</w:t>
            </w:r>
          </w:p>
        </w:tc>
      </w:tr>
      <w:tr w:rsidR="004A75CC" w:rsidRPr="002C05C2" w:rsidTr="00A76E0E">
        <w:trPr>
          <w:trHeight w:val="153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PUERTO SUNGMIN</w:t>
            </w:r>
          </w:p>
        </w:tc>
        <w:tc>
          <w:tcPr>
            <w:tcW w:w="97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Terminal graneles líquidos, hidrocarburos, aceites vegetales y sus derivados. Servicio público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Buenaventura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b/>
                <w:bCs/>
                <w:u w:val="single"/>
              </w:rPr>
              <w:t xml:space="preserve">Resolución 349 del 06/02/2015 Fija condiciones. </w:t>
            </w:r>
            <w:r w:rsidRPr="002C05C2">
              <w:rPr>
                <w:rFonts w:eastAsia="Times New Roman" w:cstheme="minorHAnsi"/>
              </w:rPr>
              <w:t>Espera cumplimiento de fijación de condiciones hasta el 06/02/2016</w:t>
            </w:r>
          </w:p>
        </w:tc>
      </w:tr>
      <w:tr w:rsidR="004A75CC" w:rsidRPr="002C05C2" w:rsidTr="00A76E0E">
        <w:trPr>
          <w:trHeight w:val="102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ROMERO Y BURGOS</w:t>
            </w:r>
          </w:p>
        </w:tc>
        <w:tc>
          <w:tcPr>
            <w:tcW w:w="97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Embarcadero para manejo de combustibles (gasolina, ACPM)</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Tumaco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Comité recomendando otorgamiento de la concesión para embarcadero</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Comité ya aprobó el otorgamiento de la concesión para embarcadero</w:t>
            </w:r>
          </w:p>
        </w:tc>
      </w:tr>
      <w:tr w:rsidR="004A75CC" w:rsidRPr="002C05C2" w:rsidTr="00A76E0E">
        <w:trPr>
          <w:trHeight w:val="102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BULLPESA S.A.</w:t>
            </w:r>
          </w:p>
        </w:tc>
        <w:tc>
          <w:tcPr>
            <w:tcW w:w="97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puerto para manejo de líquidos al granel crudos y derivados (Cartagena)</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Cartagena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aprobación de condiciones </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b/>
                <w:bCs/>
                <w:u w:val="single"/>
              </w:rPr>
              <w:t>Resolución No. 763 del 07 de mayo de 201</w:t>
            </w:r>
            <w:r w:rsidRPr="002C05C2">
              <w:rPr>
                <w:rFonts w:eastAsia="Times New Roman" w:cstheme="minorHAnsi"/>
              </w:rPr>
              <w:t>5 por la cual se fijan las  condiciones para otorgar concesión. Vence plazo el 7 de mayo de 2016</w:t>
            </w:r>
          </w:p>
        </w:tc>
      </w:tr>
      <w:tr w:rsidR="004A75CC" w:rsidRPr="002C05C2" w:rsidTr="00A76E0E">
        <w:trPr>
          <w:trHeight w:val="102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PROMOTORA DE LA FUTURA SOCIEDAD PORTUARIA DEL GOLFO</w:t>
            </w:r>
          </w:p>
        </w:tc>
        <w:tc>
          <w:tcPr>
            <w:tcW w:w="974"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 </w:t>
            </w:r>
          </w:p>
        </w:tc>
        <w:tc>
          <w:tcPr>
            <w:tcW w:w="651"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Se elaboró check list jurídico; falta el financiero y el técnico. Se hicieron requerimientos 28/01/2015. Declarar desistimiento tácito por que no respondieron </w:t>
            </w:r>
            <w:r w:rsidRPr="002C05C2">
              <w:rPr>
                <w:rFonts w:eastAsia="Times New Roman" w:cstheme="minorHAnsi"/>
              </w:rPr>
              <w:lastRenderedPageBreak/>
              <w:t>(hasta 28 de marzo de 2015)</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b/>
                <w:bCs/>
                <w:u w:val="single"/>
              </w:rPr>
              <w:lastRenderedPageBreak/>
              <w:t>Resolución No. 743 del 04/05/2015</w:t>
            </w:r>
            <w:r w:rsidRPr="002C05C2">
              <w:rPr>
                <w:rFonts w:eastAsia="Times New Roman" w:cstheme="minorHAnsi"/>
              </w:rPr>
              <w:t xml:space="preserve">, Por la cual se archiva una solicitud de concesión </w:t>
            </w:r>
          </w:p>
        </w:tc>
      </w:tr>
      <w:tr w:rsidR="004A75CC" w:rsidRPr="002C05C2" w:rsidTr="00A76E0E">
        <w:trPr>
          <w:trHeight w:val="76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lastRenderedPageBreak/>
              <w:t>CONTECAR S.A.</w:t>
            </w:r>
          </w:p>
        </w:tc>
        <w:tc>
          <w:tcPr>
            <w:tcW w:w="974"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Contenedores y carga general. Servicio público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Cartagena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Verificación Preliminar de la solicitud de concesiones</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Se hicieron requerimientos Rad. 20157020080871 del 17/04/2015 (Tiene dos meses para cumplir) hasta 17/06/2015</w:t>
            </w:r>
          </w:p>
        </w:tc>
      </w:tr>
      <w:tr w:rsidR="004A75CC" w:rsidRPr="002C05C2" w:rsidTr="00A76E0E">
        <w:trPr>
          <w:trHeight w:val="76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 xml:space="preserve">EXXONMOBIL DE COLOMBIA S.A. </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Concesión para lubricantes. Servicio privado.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Cartagena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Verificación Preliminar de la solicitud de concesiones</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Concepto jurídico 20157020034813 de 16/03/2015 da viabilidad para fijar condiciones, se expidió concepto de alcance para que constituyan sociedad portuaria </w:t>
            </w:r>
          </w:p>
        </w:tc>
      </w:tr>
      <w:tr w:rsidR="004A75CC" w:rsidRPr="002C05C2" w:rsidTr="00A76E0E">
        <w:trPr>
          <w:trHeight w:val="102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BUSCAJÁ S.A.</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 Comercio local y exterior, terminal multipropósito.  Servicio público</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 Estero El Aguacate. Depto del Valle.</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Verificación Preliminar de la solicitud de concesiones</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Se expidió resolución de Audiencia pública para el martes 23/06/2015</w:t>
            </w:r>
          </w:p>
        </w:tc>
      </w:tr>
      <w:tr w:rsidR="004A75CC" w:rsidRPr="002C05C2" w:rsidTr="00A76E0E">
        <w:trPr>
          <w:trHeight w:val="51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C.I. PROBAN</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Muelle bananero </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Urabá Antioqueño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Citación a Conciliación Prejudicial.</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Se ofertó revocatoria directa dirigido a Defensa Judicial </w:t>
            </w:r>
          </w:p>
        </w:tc>
      </w:tr>
      <w:tr w:rsidR="004A75CC" w:rsidRPr="002C05C2" w:rsidTr="00A76E0E">
        <w:trPr>
          <w:trHeight w:val="1020"/>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TRANSPORTES MARÍTIMOS ARBOLEDA HERMANOS S.A.S.</w:t>
            </w:r>
          </w:p>
        </w:tc>
        <w:tc>
          <w:tcPr>
            <w:tcW w:w="974"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 </w:t>
            </w:r>
          </w:p>
        </w:tc>
        <w:tc>
          <w:tcPr>
            <w:tcW w:w="651"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 </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b/>
                <w:bCs/>
                <w:u w:val="single"/>
              </w:rPr>
              <w:t>Resolución No. 1611 del 26/11/2014</w:t>
            </w:r>
            <w:r w:rsidRPr="002C05C2">
              <w:rPr>
                <w:rFonts w:eastAsia="Times New Roman" w:cstheme="minorHAnsi"/>
              </w:rPr>
              <w:t xml:space="preserve">  por la cual se niega solicitud de concesión portuaria por indebida publicación</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b/>
                <w:bCs/>
                <w:u w:val="single"/>
              </w:rPr>
              <w:t>Resolución No. 1611 del 26/11/2014</w:t>
            </w:r>
            <w:r w:rsidRPr="002C05C2">
              <w:rPr>
                <w:rFonts w:eastAsia="Times New Roman" w:cstheme="minorHAnsi"/>
              </w:rPr>
              <w:t xml:space="preserve">  por la cual se niega solicitud de concesión portuaria por indebida publicación</w:t>
            </w:r>
          </w:p>
        </w:tc>
      </w:tr>
      <w:tr w:rsidR="004A75CC" w:rsidRPr="002C05C2" w:rsidTr="00A76E0E">
        <w:trPr>
          <w:trHeight w:val="280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t>MARETA S.A.S.</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Desarrollo de un proyecto o ZONA DE ACTIVIDAD LOGÍSTICA (ZAL), y así facilitar el manejo de operaciones de cargue y descargue de madera y </w:t>
            </w:r>
            <w:r w:rsidRPr="002C05C2">
              <w:rPr>
                <w:rFonts w:eastAsia="Times New Roman" w:cstheme="minorHAnsi"/>
              </w:rPr>
              <w:lastRenderedPageBreak/>
              <w:t xml:space="preserve">cemento, carga general que llegue y salga del predio hacia la región de Urabá </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lastRenderedPageBreak/>
              <w:t>Cartagena</w:t>
            </w:r>
          </w:p>
        </w:tc>
        <w:tc>
          <w:tcPr>
            <w:tcW w:w="1118"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Verificación Preliminar de la solicitud de concesiones</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Se citó a Audiencia Pública para el 23/06/2015</w:t>
            </w:r>
          </w:p>
        </w:tc>
      </w:tr>
      <w:tr w:rsidR="004A75CC" w:rsidRPr="002C05C2" w:rsidTr="00A76E0E">
        <w:trPr>
          <w:trHeight w:val="525"/>
        </w:trPr>
        <w:tc>
          <w:tcPr>
            <w:tcW w:w="820" w:type="pct"/>
            <w:tcBorders>
              <w:top w:val="nil"/>
              <w:left w:val="single" w:sz="4" w:space="0" w:color="auto"/>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b/>
                <w:bCs/>
              </w:rPr>
            </w:pPr>
            <w:r w:rsidRPr="002C05C2">
              <w:rPr>
                <w:rFonts w:eastAsia="Times New Roman" w:cstheme="minorHAnsi"/>
                <w:b/>
                <w:bCs/>
              </w:rPr>
              <w:lastRenderedPageBreak/>
              <w:t>MUELLE DE LA CRUZ</w:t>
            </w:r>
          </w:p>
        </w:tc>
        <w:tc>
          <w:tcPr>
            <w:tcW w:w="974" w:type="pct"/>
            <w:tcBorders>
              <w:top w:val="nil"/>
              <w:left w:val="nil"/>
              <w:bottom w:val="single" w:sz="4" w:space="0" w:color="auto"/>
              <w:right w:val="single" w:sz="4" w:space="0" w:color="auto"/>
            </w:tcBorders>
            <w:shd w:val="clear" w:color="000000" w:fill="FFFFFF"/>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 xml:space="preserve">Embarcadero para un Muelle turístico </w:t>
            </w:r>
          </w:p>
        </w:tc>
        <w:tc>
          <w:tcPr>
            <w:tcW w:w="651" w:type="pct"/>
            <w:tcBorders>
              <w:top w:val="nil"/>
              <w:left w:val="nil"/>
              <w:bottom w:val="single" w:sz="4" w:space="0" w:color="auto"/>
              <w:right w:val="single" w:sz="4" w:space="0" w:color="auto"/>
            </w:tcBorders>
            <w:shd w:val="clear" w:color="auto" w:fill="auto"/>
            <w:vAlign w:val="center"/>
            <w:hideMark/>
          </w:tcPr>
          <w:p w:rsidR="004A75CC" w:rsidRPr="002C05C2" w:rsidRDefault="004A75CC" w:rsidP="004A75CC">
            <w:pPr>
              <w:spacing w:after="0" w:line="240" w:lineRule="auto"/>
              <w:jc w:val="center"/>
              <w:rPr>
                <w:rFonts w:eastAsia="Times New Roman" w:cstheme="minorHAnsi"/>
              </w:rPr>
            </w:pPr>
            <w:r w:rsidRPr="002C05C2">
              <w:rPr>
                <w:rFonts w:eastAsia="Times New Roman" w:cstheme="minorHAnsi"/>
              </w:rPr>
              <w:t>Buenaventura</w:t>
            </w:r>
          </w:p>
        </w:tc>
        <w:tc>
          <w:tcPr>
            <w:tcW w:w="1118" w:type="pct"/>
            <w:tcBorders>
              <w:top w:val="nil"/>
              <w:left w:val="nil"/>
              <w:bottom w:val="single" w:sz="8" w:space="0" w:color="auto"/>
              <w:right w:val="single" w:sz="4" w:space="0" w:color="auto"/>
            </w:tcBorders>
            <w:shd w:val="clear" w:color="auto" w:fill="auto"/>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Verificación Preliminar de la solicitud de concesiones</w:t>
            </w:r>
          </w:p>
        </w:tc>
        <w:tc>
          <w:tcPr>
            <w:tcW w:w="1437" w:type="pct"/>
            <w:tcBorders>
              <w:top w:val="nil"/>
              <w:left w:val="nil"/>
              <w:bottom w:val="single" w:sz="4" w:space="0" w:color="auto"/>
              <w:right w:val="single" w:sz="4" w:space="0" w:color="auto"/>
            </w:tcBorders>
            <w:shd w:val="clear" w:color="000000" w:fill="FFFFFF"/>
            <w:hideMark/>
          </w:tcPr>
          <w:p w:rsidR="004A75CC" w:rsidRPr="002C05C2" w:rsidRDefault="004A75CC" w:rsidP="004A75CC">
            <w:pPr>
              <w:spacing w:after="0" w:line="240" w:lineRule="auto"/>
              <w:rPr>
                <w:rFonts w:eastAsia="Times New Roman" w:cstheme="minorHAnsi"/>
              </w:rPr>
            </w:pPr>
            <w:r w:rsidRPr="002C05C2">
              <w:rPr>
                <w:rFonts w:eastAsia="Times New Roman" w:cstheme="minorHAnsi"/>
              </w:rPr>
              <w:t xml:space="preserve">Se reunirá con el </w:t>
            </w:r>
            <w:r w:rsidR="00A76E0E" w:rsidRPr="002C05C2">
              <w:rPr>
                <w:rFonts w:eastAsia="Times New Roman" w:cstheme="minorHAnsi"/>
              </w:rPr>
              <w:t>solicitante</w:t>
            </w:r>
            <w:r w:rsidRPr="002C05C2">
              <w:rPr>
                <w:rFonts w:eastAsia="Times New Roman" w:cstheme="minorHAnsi"/>
              </w:rPr>
              <w:t xml:space="preserve"> para informar que deben conformar sociedad portuaria</w:t>
            </w:r>
          </w:p>
        </w:tc>
      </w:tr>
    </w:tbl>
    <w:p w:rsidR="004A75CC" w:rsidRPr="002C05C2" w:rsidRDefault="004A75CC">
      <w:pPr>
        <w:rPr>
          <w:rFonts w:cstheme="minorHAnsi"/>
        </w:rPr>
      </w:pPr>
    </w:p>
    <w:p w:rsidR="004A75CC" w:rsidRPr="002C05C2" w:rsidRDefault="004A75CC">
      <w:pPr>
        <w:rPr>
          <w:rFonts w:cstheme="minorHAnsi"/>
        </w:rPr>
      </w:pPr>
    </w:p>
    <w:p w:rsidR="002E2E7A" w:rsidRPr="002C05C2" w:rsidRDefault="002E2E7A" w:rsidP="002E2E7A">
      <w:pPr>
        <w:spacing w:after="0" w:line="240" w:lineRule="auto"/>
        <w:jc w:val="both"/>
        <w:rPr>
          <w:rFonts w:eastAsia="Times New Roman" w:cstheme="minorHAnsi"/>
          <w:b/>
          <w:color w:val="000000"/>
          <w:u w:val="single"/>
        </w:rPr>
      </w:pPr>
      <w:r w:rsidRPr="002C05C2">
        <w:rPr>
          <w:rFonts w:eastAsia="Times New Roman" w:cstheme="minorHAnsi"/>
          <w:b/>
          <w:color w:val="000000"/>
          <w:u w:val="single"/>
        </w:rPr>
        <w:t>GERENCIA JURÍDICO PREDIAL</w:t>
      </w:r>
    </w:p>
    <w:p w:rsidR="002E2E7A" w:rsidRPr="002C05C2" w:rsidRDefault="002E2E7A" w:rsidP="002E2E7A">
      <w:pPr>
        <w:spacing w:after="0" w:line="240" w:lineRule="auto"/>
        <w:jc w:val="both"/>
        <w:rPr>
          <w:rFonts w:eastAsia="Times New Roman" w:cstheme="minorHAnsi"/>
          <w:color w:val="000000"/>
        </w:rPr>
      </w:pPr>
    </w:p>
    <w:p w:rsidR="00734036" w:rsidRPr="002C05C2" w:rsidRDefault="00734036" w:rsidP="00734036">
      <w:pPr>
        <w:jc w:val="both"/>
        <w:rPr>
          <w:rFonts w:eastAsia="Times New Roman" w:cstheme="minorHAnsi"/>
          <w:b/>
        </w:rPr>
      </w:pPr>
      <w:r w:rsidRPr="002C05C2">
        <w:rPr>
          <w:rFonts w:eastAsia="Times New Roman" w:cstheme="minorHAnsi"/>
          <w:b/>
          <w:lang w:val="es-MX" w:eastAsia="es-MX"/>
        </w:rPr>
        <w:t xml:space="preserve">Actividad: </w:t>
      </w:r>
      <w:r w:rsidRPr="002C05C2">
        <w:rPr>
          <w:rFonts w:eastAsia="Times New Roman" w:cstheme="minorHAnsi"/>
          <w:b/>
        </w:rPr>
        <w:t>Realización y suscripción de las ofertas de compra para el inicio del proceso de adquisición predial</w:t>
      </w:r>
    </w:p>
    <w:p w:rsidR="00734036" w:rsidRPr="002C05C2" w:rsidRDefault="00734036" w:rsidP="00734036">
      <w:pPr>
        <w:spacing w:after="0" w:line="240" w:lineRule="auto"/>
        <w:jc w:val="both"/>
        <w:rPr>
          <w:rFonts w:eastAsia="Times New Roman" w:cstheme="minorHAnsi"/>
          <w:color w:val="000000" w:themeColor="text1"/>
        </w:rPr>
      </w:pPr>
      <w:r w:rsidRPr="002C05C2">
        <w:rPr>
          <w:rFonts w:eastAsia="Times New Roman" w:cstheme="minorHAnsi"/>
          <w:color w:val="000000" w:themeColor="text1"/>
        </w:rPr>
        <w:t>En el segundo trimestre de 2015 de las 28 ofertas recibidas para adelantarse procedimiento de enajenación voluntaria, se han tramitado 27 al 30 de junio de 2015, contándose con un avance del 96,4%  permitiéndose el avance de la gestión predial requerida para el desarrollo de la infraestructura del transporte.</w:t>
      </w:r>
    </w:p>
    <w:p w:rsidR="00734036" w:rsidRPr="002C05C2" w:rsidRDefault="00734036" w:rsidP="00734036">
      <w:pPr>
        <w:spacing w:after="0" w:line="240" w:lineRule="auto"/>
        <w:jc w:val="both"/>
        <w:rPr>
          <w:rFonts w:cstheme="minorHAnsi"/>
        </w:rPr>
      </w:pPr>
      <w:r w:rsidRPr="002C05C2">
        <w:rPr>
          <w:rFonts w:eastAsia="Times New Roman" w:cstheme="minorHAnsi"/>
          <w:color w:val="000000" w:themeColor="text1"/>
        </w:rPr>
        <w:t xml:space="preserve"> </w:t>
      </w:r>
    </w:p>
    <w:p w:rsidR="00734036" w:rsidRPr="002C05C2" w:rsidRDefault="00734036" w:rsidP="00734036">
      <w:pPr>
        <w:spacing w:after="0" w:line="240" w:lineRule="auto"/>
        <w:jc w:val="both"/>
        <w:rPr>
          <w:rFonts w:eastAsia="Times New Roman" w:cstheme="minorHAnsi"/>
          <w:b/>
          <w:color w:val="000000"/>
        </w:rPr>
      </w:pPr>
    </w:p>
    <w:p w:rsidR="00734036" w:rsidRPr="002C05C2" w:rsidRDefault="00734036" w:rsidP="00734036">
      <w:pPr>
        <w:jc w:val="both"/>
        <w:rPr>
          <w:rFonts w:eastAsia="Times New Roman" w:cstheme="minorHAnsi"/>
          <w:b/>
        </w:rPr>
      </w:pPr>
      <w:r w:rsidRPr="002C05C2">
        <w:rPr>
          <w:rFonts w:eastAsia="Times New Roman" w:cstheme="minorHAnsi"/>
          <w:b/>
          <w:lang w:val="es-MX" w:eastAsia="es-MX"/>
        </w:rPr>
        <w:t xml:space="preserve">Actividad: </w:t>
      </w:r>
      <w:r w:rsidRPr="002C05C2">
        <w:rPr>
          <w:rFonts w:eastAsia="Times New Roman" w:cstheme="minorHAnsi"/>
          <w:b/>
        </w:rPr>
        <w:t>Realizar la  revisión Jurídica de las Resoluciones que resuelven  recursos de reposición con el fin de contar con los predios requeridos para la ejecución de los proyectos.</w:t>
      </w:r>
    </w:p>
    <w:p w:rsidR="00734036" w:rsidRPr="002C05C2" w:rsidRDefault="00734036" w:rsidP="00734036">
      <w:pPr>
        <w:contextualSpacing/>
        <w:jc w:val="both"/>
        <w:rPr>
          <w:rFonts w:eastAsia="Times New Roman" w:cstheme="minorHAnsi"/>
          <w:lang w:val="es-MX" w:eastAsia="es-MX"/>
        </w:rPr>
      </w:pPr>
      <w:r w:rsidRPr="002C05C2">
        <w:rPr>
          <w:rFonts w:eastAsia="Times New Roman" w:cstheme="minorHAnsi"/>
          <w:lang w:val="es-MX" w:eastAsia="es-MX"/>
        </w:rPr>
        <w:t>La Gerencia Jurídico Predial en el segundo trimestre de 2015, recibió 18 recursos de reposición interpuestos en contra de las Resoluciones de expropiación, de los cuales a la fecha de presentación de este informe se había resuelto 18 de los mismos, teniendo un avance del  100%, que una vez resuelto permite dar continuidad a los procesos de expropiación judicial.</w:t>
      </w:r>
    </w:p>
    <w:p w:rsidR="00734036" w:rsidRPr="002C05C2" w:rsidRDefault="00734036" w:rsidP="00734036">
      <w:pPr>
        <w:spacing w:after="0" w:line="240" w:lineRule="auto"/>
        <w:contextualSpacing/>
        <w:jc w:val="both"/>
        <w:rPr>
          <w:rFonts w:eastAsia="Times New Roman" w:cstheme="minorHAnsi"/>
          <w:b/>
          <w:lang w:val="es-MX" w:eastAsia="es-MX"/>
        </w:rPr>
      </w:pPr>
    </w:p>
    <w:p w:rsidR="00734036" w:rsidRPr="002C05C2" w:rsidRDefault="00734036" w:rsidP="00734036">
      <w:pPr>
        <w:spacing w:after="0" w:line="240" w:lineRule="auto"/>
        <w:contextualSpacing/>
        <w:jc w:val="both"/>
        <w:rPr>
          <w:rFonts w:eastAsia="Times New Roman" w:cstheme="minorHAnsi"/>
          <w:b/>
          <w:lang w:val="es-MX" w:eastAsia="es-MX"/>
        </w:rPr>
      </w:pPr>
    </w:p>
    <w:p w:rsidR="00734036" w:rsidRPr="002C05C2" w:rsidRDefault="00734036" w:rsidP="00734036">
      <w:pPr>
        <w:jc w:val="both"/>
        <w:rPr>
          <w:rFonts w:eastAsia="Times New Roman" w:cstheme="minorHAnsi"/>
          <w:b/>
        </w:rPr>
      </w:pPr>
      <w:r w:rsidRPr="002C05C2">
        <w:rPr>
          <w:rFonts w:eastAsia="Times New Roman" w:cstheme="minorHAnsi"/>
          <w:b/>
          <w:lang w:val="es-MX" w:eastAsia="es-MX"/>
        </w:rPr>
        <w:t xml:space="preserve">Actividad: </w:t>
      </w:r>
      <w:r w:rsidRPr="002C05C2">
        <w:rPr>
          <w:rFonts w:eastAsia="Times New Roman" w:cstheme="minorHAnsi"/>
          <w:b/>
        </w:rPr>
        <w:t xml:space="preserve">Realizar la  revisión Jurídica de Resoluciones de </w:t>
      </w:r>
      <w:r w:rsidRPr="002C05C2">
        <w:rPr>
          <w:rFonts w:eastAsia="Times New Roman" w:cstheme="minorHAnsi"/>
          <w:b/>
        </w:rPr>
        <w:br/>
        <w:t>expropiación judicial y  administrativas con el fin de contar con los predios requeridos para la ejecución de los proyectos.</w:t>
      </w:r>
    </w:p>
    <w:p w:rsidR="00734036" w:rsidRPr="002C05C2" w:rsidRDefault="00734036" w:rsidP="00734036">
      <w:pPr>
        <w:contextualSpacing/>
        <w:jc w:val="both"/>
        <w:rPr>
          <w:rFonts w:eastAsia="Times New Roman" w:cstheme="minorHAnsi"/>
        </w:rPr>
      </w:pPr>
      <w:r w:rsidRPr="002C05C2">
        <w:rPr>
          <w:rFonts w:eastAsia="Times New Roman" w:cstheme="minorHAnsi"/>
        </w:rPr>
        <w:t xml:space="preserve">Respecto de la expedición de las Resoluciones mediante las cuales se ordena dar inicio a los proceso de expropiación judicial o administrativa, debemos indicar que en el segundo trimestre de 2015 se recibieron, 65 resoluciones proyectadas y se tramitaron 60, alcanzándose el 92.30% de la meta </w:t>
      </w:r>
      <w:r w:rsidRPr="002C05C2">
        <w:rPr>
          <w:rFonts w:eastAsia="Times New Roman" w:cstheme="minorHAnsi"/>
        </w:rPr>
        <w:lastRenderedPageBreak/>
        <w:t>planteada, teniendo en cuenta que el resto de las resoluciones se han venido tramitando en la forma requerida por la legislación que rige este tipo de actuaciones.</w:t>
      </w:r>
    </w:p>
    <w:p w:rsidR="00734036" w:rsidRPr="002C05C2" w:rsidRDefault="00734036" w:rsidP="00734036">
      <w:pPr>
        <w:contextualSpacing/>
        <w:jc w:val="both"/>
        <w:rPr>
          <w:rFonts w:eastAsia="Times New Roman" w:cstheme="minorHAnsi"/>
        </w:rPr>
      </w:pPr>
    </w:p>
    <w:p w:rsidR="00734036" w:rsidRPr="002C05C2" w:rsidRDefault="00734036" w:rsidP="00734036">
      <w:pPr>
        <w:jc w:val="both"/>
        <w:rPr>
          <w:rFonts w:eastAsia="Times New Roman" w:cstheme="minorHAnsi"/>
          <w:b/>
          <w:lang w:val="es-MX" w:eastAsia="es-MX"/>
        </w:rPr>
      </w:pPr>
      <w:r w:rsidRPr="002C05C2">
        <w:rPr>
          <w:rFonts w:eastAsia="Times New Roman" w:cstheme="minorHAnsi"/>
          <w:b/>
          <w:lang w:val="es-MX" w:eastAsia="es-MX"/>
        </w:rPr>
        <w:t>Actividad:</w:t>
      </w:r>
      <w:r w:rsidRPr="002C05C2">
        <w:rPr>
          <w:rFonts w:cstheme="minorHAnsi"/>
          <w:b/>
        </w:rPr>
        <w:t xml:space="preserve"> </w:t>
      </w:r>
      <w:r w:rsidRPr="002C05C2">
        <w:rPr>
          <w:rFonts w:eastAsia="Times New Roman" w:cstheme="minorHAnsi"/>
          <w:b/>
        </w:rPr>
        <w:t>Realizar la  revisión Jurídica de las Escrituras de Compraventa con el fin de contar con los predios requeridos para la ejecución de los proyectos</w:t>
      </w: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t>En cuanto al trámite de las Escrituras de Compraventa debemos indicar que la realización de las mismas no depende en su totalidad de la Gerencia Jurídico Predial, pues son remitidas por parte de los Concesionarios a esta Oficina, para nuestra aprobación y suscripción, por lo cual este trámite cuenta con gestiones que se desarrollan fuera de las competencias de esta gerencia, sin embargo, debemos indicar que para esta actividad para el segundo trimestre de 2015, contamos con un avance del 98.7% al haber recibido 83 Escrituras Públicas y haber tramitado 82 de las mismas.</w:t>
      </w:r>
    </w:p>
    <w:p w:rsidR="00734036" w:rsidRPr="002C05C2" w:rsidRDefault="00734036" w:rsidP="00734036">
      <w:pPr>
        <w:spacing w:after="0" w:line="240" w:lineRule="auto"/>
        <w:jc w:val="both"/>
        <w:outlineLvl w:val="3"/>
        <w:rPr>
          <w:rFonts w:eastAsia="Times New Roman" w:cstheme="minorHAnsi"/>
          <w:bCs/>
        </w:rPr>
      </w:pPr>
    </w:p>
    <w:p w:rsidR="00734036" w:rsidRPr="002C05C2" w:rsidRDefault="00734036" w:rsidP="00734036">
      <w:pPr>
        <w:spacing w:after="0" w:line="240" w:lineRule="auto"/>
        <w:jc w:val="both"/>
        <w:outlineLvl w:val="3"/>
        <w:rPr>
          <w:rFonts w:eastAsia="Times New Roman" w:cstheme="minorHAnsi"/>
          <w:bCs/>
        </w:rPr>
      </w:pPr>
    </w:p>
    <w:p w:rsidR="00734036" w:rsidRPr="002C05C2" w:rsidRDefault="00734036" w:rsidP="00734036">
      <w:pPr>
        <w:jc w:val="both"/>
        <w:rPr>
          <w:rFonts w:eastAsia="Times New Roman" w:cstheme="minorHAnsi"/>
        </w:rPr>
      </w:pPr>
      <w:r w:rsidRPr="002C05C2">
        <w:rPr>
          <w:rFonts w:eastAsia="Times New Roman" w:cstheme="minorHAnsi"/>
          <w:b/>
          <w:lang w:val="es-MX" w:eastAsia="es-MX"/>
        </w:rPr>
        <w:t xml:space="preserve">Actividad: </w:t>
      </w:r>
      <w:r w:rsidRPr="002C05C2">
        <w:rPr>
          <w:rFonts w:eastAsia="Times New Roman" w:cstheme="minorHAnsi"/>
          <w:b/>
        </w:rPr>
        <w:t>Realizar la  revisión Jurídica de las Promesas de compraventa con el fin de contar con los predios requeridos para la ejecución de los proyectos con el fin de contar con los predios requeridos para la ejecución de los proyectos.</w:t>
      </w: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t>Debemos indicar que para el segundo trimestre de 2015, se han recibido 18 promesas de compraventa, tramitándose en su totalidad 17 de la mismas, alcanzándose  un avance el 94.4% en esta actividad, indicándose que no se da el 100% de la meta establecida, debido a los tramites a los que se encuentran sujetos este tipo de documentos y la información que contiene los mismos, por lo cual se debe verificar a fondo la información contenida en la documentación para así proceder  a ser suscrita por la Agencia Nacional del Infraestructura,</w:t>
      </w:r>
    </w:p>
    <w:p w:rsidR="00734036" w:rsidRPr="002C05C2" w:rsidRDefault="00734036" w:rsidP="00734036">
      <w:pPr>
        <w:spacing w:after="0" w:line="240" w:lineRule="auto"/>
        <w:jc w:val="both"/>
        <w:outlineLvl w:val="3"/>
        <w:rPr>
          <w:rFonts w:eastAsia="Times New Roman" w:cstheme="minorHAnsi"/>
          <w:bCs/>
        </w:rPr>
      </w:pPr>
    </w:p>
    <w:p w:rsidR="00734036" w:rsidRPr="002C05C2" w:rsidRDefault="00734036" w:rsidP="00734036">
      <w:pPr>
        <w:jc w:val="both"/>
        <w:rPr>
          <w:rFonts w:eastAsia="Times New Roman" w:cstheme="minorHAnsi"/>
          <w:b/>
        </w:rPr>
      </w:pPr>
      <w:r w:rsidRPr="002C05C2">
        <w:rPr>
          <w:rFonts w:eastAsia="Times New Roman" w:cstheme="minorHAnsi"/>
          <w:b/>
          <w:lang w:val="es-MX" w:eastAsia="es-MX"/>
        </w:rPr>
        <w:t>Actividad:</w:t>
      </w:r>
      <w:r w:rsidRPr="002C05C2">
        <w:rPr>
          <w:rFonts w:cstheme="minorHAnsi"/>
        </w:rPr>
        <w:t xml:space="preserve"> </w:t>
      </w:r>
      <w:r w:rsidRPr="002C05C2">
        <w:rPr>
          <w:rFonts w:eastAsia="Times New Roman" w:cstheme="minorHAnsi"/>
          <w:b/>
        </w:rPr>
        <w:t>Realizar la  revisión Jurídica de las actas de entrega de predios con el fin de contar con los predios requeridos para la ejecución de los proyectos.</w:t>
      </w: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t xml:space="preserve">Respecto de la elaboración del acta de entrega de predios, debemos indicar que la expedición de la misma depende de que el predio no presente problemas de orden legal, que en oportunidades se puede presentar aun cuando ya esté suscrita la Escritura Pública, </w:t>
      </w:r>
      <w:r w:rsidR="003F21D6" w:rsidRPr="002C05C2">
        <w:rPr>
          <w:rFonts w:eastAsia="Times New Roman" w:cstheme="minorHAnsi"/>
          <w:bCs/>
        </w:rPr>
        <w:t>o</w:t>
      </w:r>
      <w:r w:rsidRPr="002C05C2">
        <w:rPr>
          <w:rFonts w:eastAsia="Times New Roman" w:cstheme="minorHAnsi"/>
          <w:bCs/>
        </w:rPr>
        <w:t xml:space="preserve"> la promesa de compraventa, así las cosas, debemos indicar que esta Oficina para el segundo trimestre de 2015, recibió 20 </w:t>
      </w:r>
      <w:r w:rsidRPr="002C05C2">
        <w:rPr>
          <w:rFonts w:eastAsia="Times New Roman" w:cstheme="minorHAnsi"/>
          <w:lang w:val="es-MX" w:eastAsia="es-MX"/>
        </w:rPr>
        <w:t>Actas de entrega de predios y tramito 19 de las mismas, alcanzando el 95% de la meta esperada.</w:t>
      </w:r>
    </w:p>
    <w:p w:rsidR="00734036" w:rsidRPr="002C05C2" w:rsidRDefault="00734036" w:rsidP="00734036">
      <w:pPr>
        <w:spacing w:after="0" w:line="240" w:lineRule="auto"/>
        <w:jc w:val="both"/>
        <w:outlineLvl w:val="3"/>
        <w:rPr>
          <w:rFonts w:eastAsia="Times New Roman" w:cstheme="minorHAnsi"/>
          <w:bCs/>
        </w:rPr>
      </w:pPr>
    </w:p>
    <w:p w:rsidR="00734036" w:rsidRPr="002C05C2" w:rsidRDefault="00734036" w:rsidP="00734036">
      <w:pPr>
        <w:jc w:val="both"/>
        <w:rPr>
          <w:rFonts w:eastAsia="Times New Roman" w:cstheme="minorHAnsi"/>
          <w:b/>
        </w:rPr>
      </w:pPr>
      <w:r w:rsidRPr="002C05C2">
        <w:rPr>
          <w:rFonts w:eastAsia="Times New Roman" w:cstheme="minorHAnsi"/>
          <w:b/>
          <w:lang w:val="es-MX" w:eastAsia="es-MX"/>
        </w:rPr>
        <w:t xml:space="preserve">Actividad: </w:t>
      </w:r>
      <w:r w:rsidRPr="002C05C2">
        <w:rPr>
          <w:rFonts w:eastAsia="Times New Roman" w:cstheme="minorHAnsi"/>
          <w:b/>
        </w:rPr>
        <w:t xml:space="preserve">Atender los requerimientos (Derechos de Petición y </w:t>
      </w:r>
      <w:r w:rsidRPr="002C05C2">
        <w:rPr>
          <w:rFonts w:eastAsia="Times New Roman" w:cstheme="minorHAnsi"/>
          <w:b/>
        </w:rPr>
        <w:br/>
        <w:t>solicitud de conceptos) externos e internos, respecto de las situaciones relevantes que se presenten en cada concesión en temas prediales con el fin de contar con los predios requeridos para la ejecución de los proyectos.</w:t>
      </w: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t>Para el trámite correspondiente a los derechos de petición y conceptos debemos indicar que para el segundo trimestre de 2015, se ha dado un avance correspondiente al 100% teniendo en cuenta que los términos establecidos para dar contestación a los mismos se encontraban vigentes al momento de la presentación del informe, recibidos 150 y tramitados 150.</w:t>
      </w:r>
    </w:p>
    <w:p w:rsidR="00734036" w:rsidRPr="002C05C2" w:rsidRDefault="00734036" w:rsidP="00734036">
      <w:pPr>
        <w:spacing w:after="0" w:line="240" w:lineRule="auto"/>
        <w:jc w:val="both"/>
        <w:outlineLvl w:val="3"/>
        <w:rPr>
          <w:rFonts w:eastAsia="Times New Roman" w:cstheme="minorHAnsi"/>
          <w:bCs/>
        </w:rPr>
      </w:pPr>
    </w:p>
    <w:p w:rsidR="00734036" w:rsidRPr="002C05C2" w:rsidRDefault="00734036" w:rsidP="00734036">
      <w:pPr>
        <w:spacing w:after="0" w:line="240" w:lineRule="auto"/>
        <w:jc w:val="both"/>
        <w:rPr>
          <w:rFonts w:eastAsia="Times New Roman" w:cstheme="minorHAnsi"/>
          <w:b/>
        </w:rPr>
      </w:pPr>
      <w:r w:rsidRPr="002C05C2">
        <w:rPr>
          <w:rFonts w:eastAsia="Times New Roman" w:cstheme="minorHAnsi"/>
          <w:b/>
        </w:rPr>
        <w:t>Actividad: Suscripción de la ejecutoria de los actos administrativos de la gestión jurídico predial con el fin de contar con los predios requeridos para la ejecución de los proyectos.</w:t>
      </w:r>
    </w:p>
    <w:p w:rsidR="00734036" w:rsidRPr="002C05C2" w:rsidRDefault="00734036" w:rsidP="00734036">
      <w:pPr>
        <w:spacing w:after="0" w:line="240" w:lineRule="auto"/>
        <w:jc w:val="both"/>
        <w:rPr>
          <w:rFonts w:eastAsia="Times New Roman" w:cstheme="minorHAnsi"/>
          <w:b/>
          <w:lang w:val="es-MX" w:eastAsia="es-MX"/>
        </w:rPr>
      </w:pP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lastRenderedPageBreak/>
        <w:t>Para el trámite correspondiente a las ejecutorias de los actos administrativos debemos indicar que para el segundo trimestre de 2015, se recibieron 60 resoluciones para realizar la ejecutoria de las mismas y se tramitaron 60, obteniéndose un avance correspondiente al 100% de la meta establecida.</w:t>
      </w: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t xml:space="preserve"> </w:t>
      </w:r>
    </w:p>
    <w:p w:rsidR="00734036" w:rsidRPr="002C05C2" w:rsidRDefault="00734036" w:rsidP="00734036">
      <w:pPr>
        <w:spacing w:after="0" w:line="240" w:lineRule="auto"/>
        <w:jc w:val="both"/>
        <w:outlineLvl w:val="3"/>
        <w:rPr>
          <w:rFonts w:eastAsia="Times New Roman" w:cstheme="minorHAnsi"/>
          <w:b/>
          <w:bCs/>
        </w:rPr>
      </w:pPr>
      <w:r w:rsidRPr="002C05C2">
        <w:rPr>
          <w:rFonts w:eastAsia="Times New Roman" w:cstheme="minorHAnsi"/>
          <w:b/>
          <w:bCs/>
        </w:rPr>
        <w:t>A partir de marzo de 2015 y de acuerdo con la Resolución 528 del 10 de marzo de 2015 “Por la cual se adopta el Manual Específico de Funciones y Competencias Laborales para los empleos de la planta de personal de la Agencia Nacional de Infraestructura y se dictan otras disposiciones” La Gerencia Jurídico Predial asumió el proceso de expropiación judicial lo cual conllevo a un incrementó de sus actividades a realizar, las cuales se relacionan a continuación:</w:t>
      </w: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t xml:space="preserve">   </w:t>
      </w:r>
    </w:p>
    <w:p w:rsidR="00734036" w:rsidRPr="002C05C2" w:rsidRDefault="00734036" w:rsidP="00734036">
      <w:pPr>
        <w:spacing w:after="0" w:line="240" w:lineRule="auto"/>
        <w:jc w:val="both"/>
        <w:rPr>
          <w:rFonts w:eastAsia="Times New Roman" w:cstheme="minorHAnsi"/>
          <w:b/>
          <w:color w:val="000000"/>
        </w:rPr>
      </w:pPr>
      <w:r w:rsidRPr="002C05C2">
        <w:rPr>
          <w:rFonts w:eastAsia="Times New Roman" w:cstheme="minorHAnsi"/>
          <w:b/>
          <w:color w:val="000000"/>
        </w:rPr>
        <w:t>Actividad: Revisión, trámites e impulso de la totalidad de los procesos de expropiación que se adelantan.</w:t>
      </w:r>
    </w:p>
    <w:p w:rsidR="00734036" w:rsidRPr="002C05C2" w:rsidRDefault="00734036" w:rsidP="00734036">
      <w:pPr>
        <w:tabs>
          <w:tab w:val="left" w:pos="3180"/>
        </w:tabs>
        <w:spacing w:after="0" w:line="240" w:lineRule="auto"/>
        <w:jc w:val="both"/>
        <w:outlineLvl w:val="3"/>
        <w:rPr>
          <w:rFonts w:eastAsia="Times New Roman" w:cstheme="minorHAnsi"/>
          <w:bCs/>
        </w:rPr>
      </w:pPr>
      <w:r w:rsidRPr="002C05C2">
        <w:rPr>
          <w:rFonts w:eastAsia="Times New Roman" w:cstheme="minorHAnsi"/>
          <w:bCs/>
        </w:rPr>
        <w:tab/>
      </w: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t>Debemos indicar que para el segundo trimestre de 2015, se han recibido 339 procesos de expropiación, tramitándose 102 procesos, alcanzándose  un avance el 30% en esta actividad, indicándose que no se da el 100% de la meta establecida, debido a que el avance de los mismos depende de la actividad propia de los juzgados y de los trámites a los que se encuentran sujetos los procesos, en el sentido que toda actuación se surtirá bajo el cumplimiento de las etapas, términos, actuaciones, pruebas, audiencias, etc, que debe cumplir por ley el proceso de expropiación.</w:t>
      </w:r>
    </w:p>
    <w:p w:rsidR="00734036" w:rsidRPr="002C05C2" w:rsidRDefault="00734036" w:rsidP="00734036">
      <w:pPr>
        <w:spacing w:after="0" w:line="240" w:lineRule="auto"/>
        <w:jc w:val="both"/>
        <w:outlineLvl w:val="3"/>
        <w:rPr>
          <w:rFonts w:eastAsia="Times New Roman" w:cstheme="minorHAnsi"/>
          <w:b/>
          <w:bCs/>
        </w:rPr>
      </w:pPr>
    </w:p>
    <w:p w:rsidR="00734036" w:rsidRPr="002C05C2" w:rsidRDefault="00734036" w:rsidP="00734036">
      <w:pPr>
        <w:spacing w:after="0" w:line="240" w:lineRule="auto"/>
        <w:jc w:val="both"/>
        <w:rPr>
          <w:rFonts w:eastAsia="Times New Roman" w:cstheme="minorHAnsi"/>
          <w:b/>
        </w:rPr>
      </w:pPr>
      <w:r w:rsidRPr="002C05C2">
        <w:rPr>
          <w:rFonts w:eastAsia="Times New Roman" w:cstheme="minorHAnsi"/>
          <w:b/>
        </w:rPr>
        <w:t xml:space="preserve">Actividad: Demandas presentadas </w:t>
      </w:r>
    </w:p>
    <w:p w:rsidR="00734036" w:rsidRPr="002C05C2" w:rsidRDefault="00734036" w:rsidP="00734036">
      <w:pPr>
        <w:contextualSpacing/>
        <w:jc w:val="both"/>
        <w:rPr>
          <w:rFonts w:eastAsia="Times New Roman" w:cstheme="minorHAnsi"/>
        </w:rPr>
      </w:pPr>
    </w:p>
    <w:p w:rsidR="00734036" w:rsidRPr="002C05C2" w:rsidRDefault="00734036" w:rsidP="00734036">
      <w:pPr>
        <w:contextualSpacing/>
        <w:jc w:val="both"/>
        <w:rPr>
          <w:rFonts w:eastAsia="Times New Roman" w:cstheme="minorHAnsi"/>
        </w:rPr>
      </w:pPr>
      <w:r w:rsidRPr="002C05C2">
        <w:rPr>
          <w:rFonts w:eastAsia="Times New Roman" w:cstheme="minorHAnsi"/>
        </w:rPr>
        <w:t>Respecto de las demandas presentadas en los procesos de expropiación judicial, debemos indicar que en el segundo trimestre de 2015 se recibieron 24 resoluciones proyectadas para presentación de demanda de expropiación  y se tramitaron 24 demandas, alcanzándose el 100% de la meta planteada, teniendo en cuenta el cumplimiento de los términos establecidos por ley.</w:t>
      </w:r>
    </w:p>
    <w:p w:rsidR="00734036" w:rsidRPr="002C05C2" w:rsidRDefault="00734036" w:rsidP="00734036">
      <w:pPr>
        <w:spacing w:after="0" w:line="240" w:lineRule="auto"/>
        <w:jc w:val="both"/>
        <w:rPr>
          <w:rFonts w:eastAsia="Times New Roman" w:cstheme="minorHAnsi"/>
          <w:b/>
        </w:rPr>
      </w:pPr>
    </w:p>
    <w:p w:rsidR="00734036" w:rsidRPr="002C05C2" w:rsidRDefault="00734036" w:rsidP="00734036">
      <w:pPr>
        <w:spacing w:after="0" w:line="240" w:lineRule="auto"/>
        <w:jc w:val="both"/>
        <w:rPr>
          <w:rFonts w:eastAsia="Times New Roman" w:cstheme="minorHAnsi"/>
          <w:b/>
          <w:color w:val="000000"/>
        </w:rPr>
      </w:pPr>
      <w:r w:rsidRPr="002C05C2">
        <w:rPr>
          <w:rFonts w:eastAsia="Times New Roman" w:cstheme="minorHAnsi"/>
          <w:b/>
          <w:color w:val="000000"/>
        </w:rPr>
        <w:t>Actividad: Diligencia de entrega anticipada</w:t>
      </w:r>
    </w:p>
    <w:p w:rsidR="00734036" w:rsidRPr="002C05C2" w:rsidRDefault="00734036" w:rsidP="00734036">
      <w:pPr>
        <w:spacing w:after="0" w:line="240" w:lineRule="auto"/>
        <w:jc w:val="both"/>
        <w:rPr>
          <w:rFonts w:eastAsia="Times New Roman" w:cstheme="minorHAnsi"/>
          <w:bCs/>
        </w:rPr>
      </w:pPr>
      <w:r w:rsidRPr="002C05C2">
        <w:rPr>
          <w:rFonts w:eastAsia="Times New Roman" w:cstheme="minorHAnsi"/>
          <w:b/>
          <w:lang w:val="es-MX" w:eastAsia="es-MX"/>
        </w:rPr>
        <w:br/>
      </w:r>
      <w:r w:rsidRPr="002C05C2">
        <w:rPr>
          <w:rFonts w:eastAsia="Times New Roman" w:cstheme="minorHAnsi"/>
          <w:bCs/>
        </w:rPr>
        <w:t>Para el trámite correspondiente a la diligencia anticipada debemos indicar que para el segundo trimestre de 2015, se ha dado un avance correspondiente al 100% teniendo en cuenta que se recibieron 30  y se tramitaron 30 diligencias de entrega anticipada.</w:t>
      </w:r>
    </w:p>
    <w:p w:rsidR="00734036" w:rsidRPr="002C05C2" w:rsidRDefault="00734036" w:rsidP="00734036">
      <w:pPr>
        <w:spacing w:after="0" w:line="240" w:lineRule="auto"/>
        <w:jc w:val="both"/>
        <w:rPr>
          <w:rFonts w:eastAsia="Times New Roman" w:cstheme="minorHAnsi"/>
          <w:b/>
        </w:rPr>
      </w:pPr>
    </w:p>
    <w:p w:rsidR="00734036" w:rsidRPr="002C05C2" w:rsidRDefault="00734036" w:rsidP="00734036">
      <w:pPr>
        <w:spacing w:after="0" w:line="240" w:lineRule="auto"/>
        <w:jc w:val="both"/>
        <w:rPr>
          <w:rFonts w:eastAsia="Times New Roman" w:cstheme="minorHAnsi"/>
          <w:b/>
          <w:color w:val="000000"/>
        </w:rPr>
      </w:pPr>
      <w:r w:rsidRPr="002C05C2">
        <w:rPr>
          <w:rFonts w:eastAsia="Times New Roman" w:cstheme="minorHAnsi"/>
          <w:b/>
          <w:color w:val="000000"/>
        </w:rPr>
        <w:t>Actividad: Procesos terminados</w:t>
      </w:r>
    </w:p>
    <w:p w:rsidR="00734036" w:rsidRPr="002C05C2" w:rsidRDefault="00734036" w:rsidP="00734036">
      <w:pPr>
        <w:spacing w:after="0" w:line="240" w:lineRule="auto"/>
        <w:jc w:val="both"/>
        <w:rPr>
          <w:rFonts w:eastAsia="Times New Roman" w:cstheme="minorHAnsi"/>
          <w:b/>
        </w:rPr>
      </w:pPr>
    </w:p>
    <w:p w:rsidR="00734036" w:rsidRPr="002C05C2" w:rsidRDefault="00734036" w:rsidP="00734036">
      <w:pPr>
        <w:spacing w:after="0" w:line="240" w:lineRule="auto"/>
        <w:jc w:val="both"/>
        <w:outlineLvl w:val="3"/>
        <w:rPr>
          <w:rFonts w:eastAsia="Times New Roman" w:cstheme="minorHAnsi"/>
          <w:bCs/>
        </w:rPr>
      </w:pPr>
      <w:r w:rsidRPr="002C05C2">
        <w:rPr>
          <w:rFonts w:eastAsia="Times New Roman" w:cstheme="minorHAnsi"/>
          <w:bCs/>
        </w:rPr>
        <w:t>Debemos indicar que para el segundo trimestre de 2015, se han recibido 339 procesos y se ha tramitado la terminación de 14 procesos de expropiación, alcanzándose  un avance del 4.12% en esta actividad, teniendo en cuenta que en los demás se están surtiendo las diferentes etapas procesales a los que se encuentran sometidos los mismos y además dependiendo de la actividad propia de los despachos judiciales para finalmente llegar a la terminación del mismo.</w:t>
      </w:r>
    </w:p>
    <w:p w:rsidR="00734036" w:rsidRPr="002C05C2" w:rsidRDefault="00734036" w:rsidP="00734036">
      <w:pPr>
        <w:spacing w:after="0" w:line="240" w:lineRule="auto"/>
        <w:jc w:val="both"/>
        <w:outlineLvl w:val="3"/>
        <w:rPr>
          <w:rFonts w:eastAsia="Times New Roman" w:cstheme="minorHAnsi"/>
          <w:bCs/>
        </w:rPr>
      </w:pPr>
    </w:p>
    <w:p w:rsidR="002E2E7A" w:rsidRPr="002C05C2" w:rsidRDefault="002E2E7A" w:rsidP="002E2E7A">
      <w:pPr>
        <w:spacing w:after="0" w:line="240" w:lineRule="auto"/>
        <w:jc w:val="both"/>
        <w:rPr>
          <w:rFonts w:eastAsia="Times New Roman" w:cstheme="minorHAnsi"/>
          <w:b/>
          <w:color w:val="000000"/>
          <w:u w:val="single"/>
        </w:rPr>
      </w:pPr>
      <w:r w:rsidRPr="002C05C2">
        <w:rPr>
          <w:rFonts w:eastAsia="Times New Roman" w:cstheme="minorHAnsi"/>
          <w:b/>
          <w:color w:val="000000"/>
          <w:u w:val="single"/>
        </w:rPr>
        <w:t>GERENCIA DEFENSA JUDICIAL</w:t>
      </w:r>
    </w:p>
    <w:p w:rsidR="002E2E7A" w:rsidRPr="002C05C2" w:rsidRDefault="002E2E7A">
      <w:pPr>
        <w:rPr>
          <w:rFonts w:eastAsiaTheme="majorEastAsia" w:cstheme="minorHAnsi"/>
          <w:bCs/>
          <w:color w:val="365F91" w:themeColor="accent1" w:themeShade="BF"/>
        </w:rPr>
      </w:pPr>
    </w:p>
    <w:p w:rsidR="003F21D6" w:rsidRPr="002C05C2" w:rsidRDefault="003F21D6" w:rsidP="003F21D6">
      <w:pPr>
        <w:contextualSpacing/>
        <w:jc w:val="both"/>
        <w:rPr>
          <w:rFonts w:cstheme="minorHAnsi"/>
          <w:b/>
        </w:rPr>
      </w:pPr>
      <w:r w:rsidRPr="002C05C2">
        <w:rPr>
          <w:rFonts w:cstheme="minorHAnsi"/>
          <w:b/>
        </w:rPr>
        <w:t>TRÁMITES ADMINISTRATIVOS AMBIENTALES:</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lastRenderedPageBreak/>
        <w:t xml:space="preserve">Actividad: </w:t>
      </w:r>
      <w:r w:rsidRPr="002C05C2">
        <w:rPr>
          <w:rFonts w:eastAsia="Times New Roman" w:cstheme="minorHAnsi"/>
          <w:lang w:val="es-MX" w:eastAsia="es-MX"/>
        </w:rPr>
        <w:t>Ejercer la representación de los intereses de la Entidad dentro de los trámites administrativos ambientales que se adelanten ante la ANLA en el marco de los proyectos 4G.</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t>Meta:</w:t>
      </w:r>
      <w:r w:rsidRPr="002C05C2">
        <w:rPr>
          <w:rFonts w:eastAsia="Times New Roman" w:cstheme="minorHAnsi"/>
          <w:lang w:val="es-MX" w:eastAsia="es-MX"/>
        </w:rPr>
        <w:t xml:space="preserve"> Adelantar al 100% los procesos</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t>Observación</w:t>
      </w:r>
      <w:r w:rsidRPr="002C05C2">
        <w:rPr>
          <w:rFonts w:eastAsia="Times New Roman" w:cstheme="minorHAnsi"/>
          <w:lang w:val="es-MX" w:eastAsia="es-MX"/>
        </w:rPr>
        <w:t>: Esta actividad no se llevó a cabo por recorte presupuestal</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ind w:left="720"/>
        <w:contextualSpacing/>
        <w:jc w:val="both"/>
        <w:rPr>
          <w:rFonts w:cstheme="minorHAnsi"/>
          <w:b/>
        </w:rPr>
      </w:pPr>
    </w:p>
    <w:p w:rsidR="003F21D6" w:rsidRPr="002C05C2" w:rsidRDefault="003F21D6" w:rsidP="003F21D6">
      <w:pPr>
        <w:contextualSpacing/>
        <w:jc w:val="both"/>
        <w:rPr>
          <w:rFonts w:cstheme="minorHAnsi"/>
          <w:b/>
        </w:rPr>
      </w:pPr>
      <w:r w:rsidRPr="002C05C2">
        <w:rPr>
          <w:rFonts w:cstheme="minorHAnsi"/>
          <w:b/>
        </w:rPr>
        <w:t>TRÁMITES SANCIONATORIOS CONTRACTUALES:</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t xml:space="preserve">Actividad: </w:t>
      </w:r>
      <w:r w:rsidRPr="002C05C2">
        <w:rPr>
          <w:rFonts w:eastAsia="Times New Roman" w:cstheme="minorHAnsi"/>
          <w:lang w:val="es-MX" w:eastAsia="es-MX"/>
        </w:rPr>
        <w:t>Adelantar el trámite sancionatorio contractual contemplado en el Art. 86 de la Ley 1474 de 2012, con observancia del debido proceso y los preceptos legales aplicables, a que haya lugar en relación con las concesiones respecto de las cuales el supervisor y la interventoría informe y soporte los retrasos en la ejecución o cualquier otro tipo de incumplimiento y solicite el adelantamiento del respectivo proceso impositivo de multas- al GIT de Defensa Judicial</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t>Meta:</w:t>
      </w:r>
      <w:r w:rsidRPr="002C05C2">
        <w:rPr>
          <w:rFonts w:eastAsia="Times New Roman" w:cstheme="minorHAnsi"/>
          <w:lang w:val="es-MX" w:eastAsia="es-MX"/>
        </w:rPr>
        <w:t xml:space="preserve"> Adelantar al 100% los procesos</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b/>
          <w:color w:val="000000"/>
        </w:rPr>
      </w:pPr>
      <w:r w:rsidRPr="002C05C2">
        <w:rPr>
          <w:rFonts w:eastAsia="Times New Roman" w:cstheme="minorHAnsi"/>
          <w:b/>
          <w:color w:val="000000"/>
        </w:rPr>
        <w:t xml:space="preserve">REPORTE: </w:t>
      </w:r>
    </w:p>
    <w:p w:rsidR="003F21D6" w:rsidRPr="002C05C2" w:rsidRDefault="003F21D6" w:rsidP="003F21D6">
      <w:pPr>
        <w:spacing w:after="0" w:line="240" w:lineRule="auto"/>
        <w:jc w:val="both"/>
        <w:rPr>
          <w:rFonts w:eastAsia="Times New Roman" w:cstheme="minorHAnsi"/>
          <w:color w:val="000000"/>
        </w:rPr>
      </w:pPr>
    </w:p>
    <w:p w:rsidR="003F21D6" w:rsidRPr="002C05C2" w:rsidRDefault="003F21D6" w:rsidP="003F21D6">
      <w:pPr>
        <w:spacing w:after="0" w:line="240" w:lineRule="auto"/>
        <w:jc w:val="both"/>
        <w:rPr>
          <w:rFonts w:eastAsia="Times New Roman" w:cstheme="minorHAnsi"/>
          <w:color w:val="000000"/>
        </w:rPr>
      </w:pPr>
      <w:r w:rsidRPr="002C05C2">
        <w:rPr>
          <w:rFonts w:eastAsia="Times New Roman" w:cstheme="minorHAnsi"/>
          <w:color w:val="000000"/>
        </w:rPr>
        <w:t>En el 2015 se ha adelantado los siguientes procesos sancionatorios, los cuales han sido iniciados y adelantada la etapa preliminar.</w:t>
      </w:r>
    </w:p>
    <w:p w:rsidR="003F21D6" w:rsidRPr="002C05C2" w:rsidRDefault="003F21D6" w:rsidP="003F21D6">
      <w:pPr>
        <w:spacing w:after="0" w:line="240" w:lineRule="auto"/>
        <w:jc w:val="both"/>
        <w:rPr>
          <w:rFonts w:eastAsia="Times New Roman" w:cstheme="minorHAnsi"/>
          <w:color w:val="000000"/>
        </w:rPr>
      </w:pPr>
    </w:p>
    <w:p w:rsidR="003F21D6" w:rsidRDefault="003F21D6" w:rsidP="003F21D6">
      <w:pPr>
        <w:rPr>
          <w:rFonts w:ascii="Arial Narrow" w:eastAsia="Times New Roman" w:hAnsi="Arial Narrow" w:cs="Calibri"/>
          <w:color w:val="000000"/>
        </w:rPr>
        <w:sectPr w:rsidR="003F21D6">
          <w:pgSz w:w="12240" w:h="15840"/>
          <w:pgMar w:top="1417" w:right="1701" w:bottom="1417" w:left="1701" w:header="708" w:footer="708" w:gutter="0"/>
          <w:cols w:space="708"/>
          <w:docGrid w:linePitch="360"/>
        </w:sectPr>
      </w:pPr>
    </w:p>
    <w:p w:rsidR="003F21D6" w:rsidRDefault="003F21D6" w:rsidP="003F21D6">
      <w:pPr>
        <w:rPr>
          <w:rFonts w:ascii="Arial Narrow" w:eastAsia="Times New Roman" w:hAnsi="Arial Narrow" w:cs="Calibri"/>
          <w:color w:val="000000"/>
        </w:rPr>
      </w:pPr>
    </w:p>
    <w:tbl>
      <w:tblPr>
        <w:tblW w:w="5000" w:type="pct"/>
        <w:tblCellMar>
          <w:left w:w="70" w:type="dxa"/>
          <w:right w:w="70" w:type="dxa"/>
        </w:tblCellMar>
        <w:tblLook w:val="04A0" w:firstRow="1" w:lastRow="0" w:firstColumn="1" w:lastColumn="0" w:noHBand="0" w:noVBand="1"/>
      </w:tblPr>
      <w:tblGrid>
        <w:gridCol w:w="662"/>
        <w:gridCol w:w="2237"/>
        <w:gridCol w:w="1917"/>
        <w:gridCol w:w="1842"/>
        <w:gridCol w:w="1855"/>
        <w:gridCol w:w="4483"/>
      </w:tblGrid>
      <w:tr w:rsidR="003F21D6" w:rsidRPr="00047051" w:rsidTr="003B4544">
        <w:trPr>
          <w:trHeight w:val="20"/>
          <w:tblHeader/>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 </w:t>
            </w:r>
          </w:p>
        </w:tc>
        <w:tc>
          <w:tcPr>
            <w:tcW w:w="669" w:type="pct"/>
            <w:tcBorders>
              <w:top w:val="single" w:sz="4" w:space="0" w:color="auto"/>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CONTRATO</w:t>
            </w:r>
          </w:p>
        </w:tc>
        <w:tc>
          <w:tcPr>
            <w:tcW w:w="776" w:type="pct"/>
            <w:tcBorders>
              <w:top w:val="single" w:sz="4" w:space="0" w:color="auto"/>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CONCESIONARIO</w:t>
            </w:r>
          </w:p>
        </w:tc>
        <w:tc>
          <w:tcPr>
            <w:tcW w:w="747" w:type="pct"/>
            <w:tcBorders>
              <w:top w:val="single" w:sz="4" w:space="0" w:color="auto"/>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PROYECTO</w:t>
            </w:r>
          </w:p>
        </w:tc>
        <w:tc>
          <w:tcPr>
            <w:tcW w:w="752" w:type="pct"/>
            <w:tcBorders>
              <w:top w:val="single" w:sz="4" w:space="0" w:color="auto"/>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POSIBLE INCUMPLIMIENTO</w:t>
            </w:r>
          </w:p>
        </w:tc>
        <w:tc>
          <w:tcPr>
            <w:tcW w:w="1763" w:type="pct"/>
            <w:tcBorders>
              <w:top w:val="single" w:sz="4" w:space="0" w:color="auto"/>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ESTADO ACTUAL</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No. 503 de 1994</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Consorcio Vía al Mar</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452661"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Vía</w:t>
            </w:r>
            <w:r w:rsidR="003F21D6" w:rsidRPr="00047051">
              <w:rPr>
                <w:rFonts w:ascii="Calibri" w:eastAsia="Times New Roman" w:hAnsi="Calibri" w:cs="Times New Roman"/>
                <w:color w:val="000000"/>
              </w:rPr>
              <w:t xml:space="preserve"> al Mar</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452661"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Construcción</w:t>
            </w:r>
            <w:r w:rsidR="003F21D6" w:rsidRPr="00047051">
              <w:rPr>
                <w:rFonts w:ascii="Calibri" w:eastAsia="Times New Roman" w:hAnsi="Calibri" w:cs="Times New Roman"/>
                <w:color w:val="000000"/>
              </w:rPr>
              <w:t xml:space="preserve"> segunda calzada tramo IV- Sector Atlántico</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Audiencia del art. 86  Ley 1474  celebrada el 28 de Agosto de 2014 suspendida</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w:t>
            </w:r>
          </w:p>
        </w:tc>
        <w:tc>
          <w:tcPr>
            <w:tcW w:w="669" w:type="pct"/>
            <w:tcBorders>
              <w:top w:val="nil"/>
              <w:left w:val="nil"/>
              <w:bottom w:val="single" w:sz="4" w:space="0" w:color="auto"/>
              <w:right w:val="single" w:sz="4" w:space="0" w:color="auto"/>
            </w:tcBorders>
            <w:shd w:val="clear" w:color="auto" w:fill="auto"/>
            <w:noWrap/>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No. 10000078-OK-2010</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Aeropuertos de Oriente S.A.S.</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Terminales Aeroportuarias de Nororiente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Cronograma de obras correspondientes al Hito 1 de los  Aeropuertos de Palonegro de Bucaramanga, Camilo Daza de Cúcuta y  Yariguíes de Barrancabermeja</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interno 2014-701-011426-3 de 02/12/2014,  la Gerencia de Defensa Judicial solicita a la Vicepresidencia de Gestión Contractual informe si se están adelantando Indagaciones Preliminares.</w:t>
            </w:r>
            <w:r w:rsidRPr="00047051">
              <w:rPr>
                <w:rFonts w:ascii="Calibri" w:eastAsia="Times New Roman" w:hAnsi="Calibri" w:cs="Times New Roman"/>
                <w:color w:val="000000"/>
              </w:rPr>
              <w:br/>
            </w:r>
            <w:r w:rsidRPr="00047051">
              <w:rPr>
                <w:rFonts w:ascii="Calibri" w:eastAsia="Times New Roman" w:hAnsi="Calibri" w:cs="Times New Roman"/>
                <w:color w:val="000000"/>
              </w:rPr>
              <w:br/>
              <w:t xml:space="preserve">En reunión de 18 de marzo de 2015, se estableció que podría ser archivado. El supervisor confirmará lo anterior el 24 de marzo de 2015. </w:t>
            </w:r>
            <w:r w:rsidRPr="00047051">
              <w:rPr>
                <w:rFonts w:ascii="Calibri" w:eastAsia="Times New Roman" w:hAnsi="Calibri" w:cs="Times New Roman"/>
                <w:color w:val="000000"/>
              </w:rPr>
              <w:br/>
            </w:r>
            <w:r w:rsidRPr="00047051">
              <w:rPr>
                <w:rFonts w:ascii="Calibri" w:eastAsia="Times New Roman" w:hAnsi="Calibri" w:cs="Times New Roman"/>
                <w:color w:val="000000"/>
              </w:rPr>
              <w:br/>
              <w:t>A 27/03/2015 no ha llegado memo por parte del supervisor solicitando el archivo.</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3</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No. 0110 O.P. </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Compañía de Desarrollo Aeropuerto el Dorado S.A.-CODAD S.A.</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Construcción de la segunda pista  del Aeropuerto El Dorado y Obras complementarias, incluyendo el suministro instalación y prueba de equipos, y el mantenimiento de </w:t>
            </w:r>
            <w:r w:rsidRPr="00047051">
              <w:rPr>
                <w:rFonts w:ascii="Calibri" w:eastAsia="Times New Roman" w:hAnsi="Calibri" w:cs="Times New Roman"/>
                <w:color w:val="000000"/>
              </w:rPr>
              <w:lastRenderedPageBreak/>
              <w:t>la segunda pista, de las obras complementarias y de la pista existente.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Actividades de la Etapa de Mantenimiento</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Con memorando 2014-704-007769-3 de 29/08/2014. Se allega a la Gerencia de Defensa Judicial informe de de Interventoría, de la Gerencia de Proyectos Aeroportuarios y Pliego de cargos.</w:t>
            </w:r>
            <w:r w:rsidRPr="00047051">
              <w:rPr>
                <w:rFonts w:ascii="Calibri" w:eastAsia="Times New Roman" w:hAnsi="Calibri" w:cs="Times New Roman"/>
                <w:color w:val="000000"/>
              </w:rPr>
              <w:br/>
            </w:r>
            <w:r w:rsidRPr="00047051">
              <w:rPr>
                <w:rFonts w:ascii="Calibri" w:eastAsia="Times New Roman" w:hAnsi="Calibri" w:cs="Times New Roman"/>
                <w:color w:val="000000"/>
              </w:rPr>
              <w:br/>
              <w:t xml:space="preserve">Con radicado 2015-701-000492-3 de 09/01/2015, se solicitó a la Vicepresidencia de Gestión Contractual que informe si ya se fueron adelantadas las indagaciones preliminares.  </w:t>
            </w:r>
            <w:r w:rsidRPr="00047051">
              <w:rPr>
                <w:rFonts w:ascii="Calibri" w:eastAsia="Times New Roman" w:hAnsi="Calibri" w:cs="Times New Roman"/>
                <w:color w:val="000000"/>
              </w:rPr>
              <w:br/>
            </w:r>
            <w:r w:rsidRPr="00047051">
              <w:rPr>
                <w:rFonts w:ascii="Calibri" w:eastAsia="Times New Roman" w:hAnsi="Calibri" w:cs="Times New Roman"/>
                <w:color w:val="000000"/>
              </w:rPr>
              <w:lastRenderedPageBreak/>
              <w:br/>
              <w:t xml:space="preserve"> </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4</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No. 012 de 1994</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Portuaria Regional de Tumaco S.A.</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Portuaria Regional de Tumaco S.A.</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Contrato de Concesión No. 012 de 1994.</w:t>
            </w:r>
            <w:r w:rsidRPr="00047051">
              <w:rPr>
                <w:rFonts w:ascii="Calibri" w:eastAsia="Times New Roman" w:hAnsi="Calibri" w:cs="Times New Roman"/>
                <w:color w:val="000000"/>
              </w:rPr>
              <w:br/>
              <w:t>Cláusula 10.</w:t>
            </w:r>
            <w:r w:rsidRPr="00047051">
              <w:rPr>
                <w:rFonts w:ascii="Calibri" w:eastAsia="Times New Roman" w:hAnsi="Calibri" w:cs="Times New Roman"/>
                <w:color w:val="000000"/>
              </w:rPr>
              <w:br/>
              <w:t>Cláusula 12. Numeral 12.25, 12.27 y 12.28.</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2015-705-001600-3 de 03/02/2015,  la Gerencia de Gestión Contractual I solicita formalmente el inicio de un proceso sancionatorio.</w:t>
            </w:r>
            <w:r w:rsidRPr="00047051">
              <w:rPr>
                <w:rFonts w:ascii="Calibri" w:eastAsia="Times New Roman" w:hAnsi="Calibri" w:cs="Times New Roman"/>
                <w:color w:val="000000"/>
              </w:rPr>
              <w:br/>
            </w:r>
            <w:r w:rsidRPr="00047051">
              <w:rPr>
                <w:rFonts w:ascii="Calibri" w:eastAsia="Times New Roman" w:hAnsi="Calibri" w:cs="Times New Roman"/>
                <w:color w:val="000000"/>
              </w:rPr>
              <w:br/>
              <w:t>Mediante memorando 2015-701-003552-3 de 17/03/2015, se solicito a la Gerencia de Gestión Contractual I adelantar las Averiguaciones preliminares.</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5</w:t>
            </w:r>
          </w:p>
        </w:tc>
        <w:tc>
          <w:tcPr>
            <w:tcW w:w="669" w:type="pct"/>
            <w:tcBorders>
              <w:top w:val="nil"/>
              <w:left w:val="nil"/>
              <w:bottom w:val="single" w:sz="4" w:space="0" w:color="auto"/>
              <w:right w:val="single" w:sz="4" w:space="0" w:color="auto"/>
            </w:tcBorders>
            <w:shd w:val="clear" w:color="000000" w:fill="FFFFFF"/>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Contrato de </w:t>
            </w:r>
            <w:r w:rsidR="00452661" w:rsidRPr="00047051">
              <w:rPr>
                <w:rFonts w:ascii="Calibri" w:eastAsia="Times New Roman" w:hAnsi="Calibri" w:cs="Times New Roman"/>
                <w:color w:val="000000"/>
              </w:rPr>
              <w:t>consultoría</w:t>
            </w:r>
            <w:r w:rsidRPr="00047051">
              <w:rPr>
                <w:rFonts w:ascii="Calibri" w:eastAsia="Times New Roman" w:hAnsi="Calibri" w:cs="Times New Roman"/>
                <w:color w:val="000000"/>
              </w:rPr>
              <w:t xml:space="preserve"> VJ 210-2013</w:t>
            </w:r>
          </w:p>
        </w:tc>
        <w:tc>
          <w:tcPr>
            <w:tcW w:w="776" w:type="pct"/>
            <w:tcBorders>
              <w:top w:val="nil"/>
              <w:left w:val="nil"/>
              <w:bottom w:val="single" w:sz="4" w:space="0" w:color="auto"/>
              <w:right w:val="single" w:sz="4" w:space="0" w:color="auto"/>
            </w:tcBorders>
            <w:shd w:val="clear" w:color="000000" w:fill="FFFFFF"/>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Tecnoconsultas S.A.S</w:t>
            </w:r>
          </w:p>
        </w:tc>
        <w:tc>
          <w:tcPr>
            <w:tcW w:w="747" w:type="pct"/>
            <w:tcBorders>
              <w:top w:val="nil"/>
              <w:left w:val="nil"/>
              <w:bottom w:val="single" w:sz="4" w:space="0" w:color="auto"/>
              <w:right w:val="single" w:sz="4" w:space="0" w:color="auto"/>
            </w:tcBorders>
            <w:shd w:val="clear" w:color="000000" w:fill="FFFFFF"/>
            <w:vAlign w:val="center"/>
            <w:hideMark/>
          </w:tcPr>
          <w:p w:rsidR="003F21D6" w:rsidRPr="00047051" w:rsidRDefault="00452661"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Concesión</w:t>
            </w:r>
            <w:r w:rsidR="003F21D6" w:rsidRPr="00047051">
              <w:rPr>
                <w:rFonts w:ascii="Calibri" w:eastAsia="Times New Roman" w:hAnsi="Calibri" w:cs="Times New Roman"/>
                <w:color w:val="000000"/>
              </w:rPr>
              <w:t xml:space="preserve"> Vial Bosa- Granada, Giradot</w:t>
            </w:r>
          </w:p>
        </w:tc>
        <w:tc>
          <w:tcPr>
            <w:tcW w:w="752" w:type="pct"/>
            <w:tcBorders>
              <w:top w:val="nil"/>
              <w:left w:val="nil"/>
              <w:bottom w:val="single" w:sz="4" w:space="0" w:color="auto"/>
              <w:right w:val="single" w:sz="4" w:space="0" w:color="auto"/>
            </w:tcBorders>
            <w:shd w:val="clear" w:color="000000" w:fill="FFFFFF"/>
            <w:vAlign w:val="center"/>
            <w:hideMark/>
          </w:tcPr>
          <w:p w:rsidR="003F21D6" w:rsidRPr="00047051" w:rsidRDefault="00452661" w:rsidP="0045266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Posible incumpliment</w:t>
            </w:r>
            <w:r w:rsidR="003F21D6" w:rsidRPr="00047051">
              <w:rPr>
                <w:rFonts w:ascii="Calibri" w:eastAsia="Times New Roman" w:hAnsi="Calibri" w:cs="Times New Roman"/>
                <w:color w:val="000000"/>
              </w:rPr>
              <w:t>o en la entrega de insumos prediales para el contrato VJ 2010-2013</w:t>
            </w:r>
          </w:p>
        </w:tc>
        <w:tc>
          <w:tcPr>
            <w:tcW w:w="1763" w:type="pct"/>
            <w:tcBorders>
              <w:top w:val="nil"/>
              <w:left w:val="nil"/>
              <w:bottom w:val="single" w:sz="4" w:space="0" w:color="auto"/>
              <w:right w:val="single" w:sz="4" w:space="0" w:color="auto"/>
            </w:tcBorders>
            <w:shd w:val="clear" w:color="000000" w:fill="FFFFFF"/>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Preliminares </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6</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Contrato de Concesión No. 6000169 OK de 2006</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Concesionaria Operadora Aeroportuaria Internacional S.A. -OPAIN</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Aeropuerto Internacional El Dorado de Bogotá </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24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br/>
            </w:r>
            <w:r w:rsidRPr="00047051">
              <w:rPr>
                <w:rFonts w:ascii="Calibri" w:eastAsia="Times New Roman" w:hAnsi="Calibri" w:cs="Times New Roman"/>
                <w:color w:val="000000"/>
              </w:rPr>
              <w:br/>
              <w:t>Cláusula 10. Obligaciones generales del concesionario.</w:t>
            </w:r>
            <w:r w:rsidRPr="00047051">
              <w:rPr>
                <w:rFonts w:ascii="Calibri" w:eastAsia="Times New Roman" w:hAnsi="Calibri" w:cs="Times New Roman"/>
                <w:color w:val="000000"/>
              </w:rPr>
              <w:br/>
              <w:t>Literal ff.</w:t>
            </w:r>
            <w:r w:rsidRPr="00047051">
              <w:rPr>
                <w:rFonts w:ascii="Calibri" w:eastAsia="Times New Roman" w:hAnsi="Calibri" w:cs="Times New Roman"/>
                <w:color w:val="000000"/>
              </w:rPr>
              <w:br/>
            </w:r>
            <w:r w:rsidRPr="00047051">
              <w:rPr>
                <w:rFonts w:ascii="Calibri" w:eastAsia="Times New Roman" w:hAnsi="Calibri" w:cs="Times New Roman"/>
                <w:color w:val="000000"/>
              </w:rPr>
              <w:br/>
              <w:t>Cláusula 14 del Otrosí No. 3.</w:t>
            </w:r>
            <w:r w:rsidRPr="00047051">
              <w:rPr>
                <w:rFonts w:ascii="Calibri" w:eastAsia="Times New Roman" w:hAnsi="Calibri" w:cs="Times New Roman"/>
                <w:color w:val="000000"/>
              </w:rPr>
              <w:br/>
            </w:r>
            <w:r w:rsidRPr="00047051">
              <w:rPr>
                <w:rFonts w:ascii="Calibri" w:eastAsia="Times New Roman" w:hAnsi="Calibri" w:cs="Times New Roman"/>
                <w:color w:val="000000"/>
              </w:rPr>
              <w:lastRenderedPageBreak/>
              <w:br/>
              <w:t xml:space="preserve">Apéndice F. Numeral 7.4.3.3 de la Cláusula 7. Servicios no Asociados a los ingresos regulados. </w:t>
            </w:r>
            <w:r w:rsidRPr="00047051">
              <w:rPr>
                <w:rFonts w:ascii="Calibri" w:eastAsia="Times New Roman" w:hAnsi="Calibri" w:cs="Times New Roman"/>
                <w:color w:val="000000"/>
              </w:rPr>
              <w:br/>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Mediante memorando interno 2014-701-011488-3 de 03/12/2014,  la Gerencia de Defensa Judicial solicita a la Vicepresidencia de Gestión Contractual informe si se están adelantando Indagaciones Preliminares.</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7</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Contrato de Concesión No. 6000169 OK de 2006</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Concesionaria Operadora Aeroportuaria Internacional S.A. -OPAIN</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Aeropuerto Internacional El Dorado de Bogotá </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No entrega de </w:t>
            </w:r>
            <w:r w:rsidR="00452661" w:rsidRPr="00047051">
              <w:rPr>
                <w:rFonts w:ascii="Calibri" w:eastAsia="Times New Roman" w:hAnsi="Calibri" w:cs="Times New Roman"/>
                <w:color w:val="000000"/>
              </w:rPr>
              <w:t>información</w:t>
            </w:r>
            <w:r w:rsidRPr="00047051">
              <w:rPr>
                <w:rFonts w:ascii="Calibri" w:eastAsia="Times New Roman" w:hAnsi="Calibri" w:cs="Times New Roman"/>
                <w:color w:val="000000"/>
              </w:rPr>
              <w:t xml:space="preserve"> solicitada al concesionario dentro del marco del contrato BOM suscrito entre opain y allied </w:t>
            </w:r>
            <w:r w:rsidR="00452661" w:rsidRPr="00047051">
              <w:rPr>
                <w:rFonts w:ascii="Calibri" w:eastAsia="Times New Roman" w:hAnsi="Calibri" w:cs="Times New Roman"/>
                <w:color w:val="000000"/>
              </w:rPr>
              <w:t>aviación</w:t>
            </w:r>
            <w:r w:rsidRPr="00047051">
              <w:rPr>
                <w:rFonts w:ascii="Calibri" w:eastAsia="Times New Roman" w:hAnsi="Calibri" w:cs="Times New Roman"/>
                <w:color w:val="000000"/>
              </w:rPr>
              <w:t xml:space="preserve"> </w:t>
            </w:r>
            <w:r w:rsidR="00452661" w:rsidRPr="00047051">
              <w:rPr>
                <w:rFonts w:ascii="Calibri" w:eastAsia="Times New Roman" w:hAnsi="Calibri" w:cs="Times New Roman"/>
                <w:color w:val="000000"/>
              </w:rPr>
              <w:t>Colombia</w:t>
            </w:r>
            <w:r w:rsidRPr="00047051">
              <w:rPr>
                <w:rFonts w:ascii="Calibri" w:eastAsia="Times New Roman" w:hAnsi="Calibri" w:cs="Times New Roman"/>
                <w:color w:val="000000"/>
              </w:rPr>
              <w:t xml:space="preserve"> para la </w:t>
            </w:r>
            <w:r w:rsidR="00452661" w:rsidRPr="00047051">
              <w:rPr>
                <w:rFonts w:ascii="Calibri" w:eastAsia="Times New Roman" w:hAnsi="Calibri" w:cs="Times New Roman"/>
                <w:color w:val="000000"/>
              </w:rPr>
              <w:t>construcción</w:t>
            </w:r>
            <w:r w:rsidRPr="00047051">
              <w:rPr>
                <w:rFonts w:ascii="Calibri" w:eastAsia="Times New Roman" w:hAnsi="Calibri" w:cs="Times New Roman"/>
                <w:color w:val="000000"/>
              </w:rPr>
              <w:t xml:space="preserve"> de un sistema de red de hidrantes y para la operación y mantenimiento de un sistema de </w:t>
            </w:r>
            <w:r w:rsidR="00452661" w:rsidRPr="00047051">
              <w:rPr>
                <w:rFonts w:ascii="Calibri" w:eastAsia="Times New Roman" w:hAnsi="Calibri" w:cs="Times New Roman"/>
                <w:color w:val="000000"/>
              </w:rPr>
              <w:t>distribución</w:t>
            </w:r>
            <w:r w:rsidRPr="00047051">
              <w:rPr>
                <w:rFonts w:ascii="Calibri" w:eastAsia="Times New Roman" w:hAnsi="Calibri" w:cs="Times New Roman"/>
                <w:color w:val="000000"/>
              </w:rPr>
              <w:t xml:space="preserve"> de combustibles mediante </w:t>
            </w:r>
            <w:r w:rsidR="00452661" w:rsidRPr="00047051">
              <w:rPr>
                <w:rFonts w:ascii="Calibri" w:eastAsia="Times New Roman" w:hAnsi="Calibri" w:cs="Times New Roman"/>
                <w:color w:val="000000"/>
              </w:rPr>
              <w:lastRenderedPageBreak/>
              <w:t>hidrantes</w:t>
            </w:r>
            <w:r w:rsidRPr="00047051">
              <w:rPr>
                <w:rFonts w:ascii="Calibri" w:eastAsia="Times New Roman" w:hAnsi="Calibri" w:cs="Times New Roman"/>
                <w:color w:val="000000"/>
              </w:rPr>
              <w:t xml:space="preserve"> y refuelers.</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memorando 2014701011488-3 se solicita a supervisor informar sobre indagaciones preliminares.</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8</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Salinas Marítimas de Manaure Ltda.</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1. Incumplimiento en la obligación de mantenimiento y reparación del muelle y las estructuras otorgadas bajo la firma de autorización temporal. </w:t>
            </w:r>
            <w:r w:rsidRPr="00047051">
              <w:rPr>
                <w:rFonts w:ascii="Calibri" w:eastAsia="Times New Roman" w:hAnsi="Calibri" w:cs="Times New Roman"/>
                <w:color w:val="000000"/>
              </w:rPr>
              <w:br/>
              <w:t>2. Incumplimiento en el pago de la contraprestación.</w:t>
            </w:r>
            <w:r w:rsidRPr="00047051">
              <w:rPr>
                <w:rFonts w:ascii="Calibri" w:eastAsia="Times New Roman" w:hAnsi="Calibri" w:cs="Times New Roman"/>
                <w:color w:val="000000"/>
              </w:rPr>
              <w:br/>
              <w:t>3. Incumplimiento en la actualización de garantías.</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24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Se </w:t>
            </w:r>
            <w:r w:rsidR="00452661" w:rsidRPr="00047051">
              <w:rPr>
                <w:rFonts w:ascii="Calibri" w:eastAsia="Times New Roman" w:hAnsi="Calibri" w:cs="Times New Roman"/>
                <w:color w:val="000000"/>
              </w:rPr>
              <w:t>llevó</w:t>
            </w:r>
            <w:r w:rsidRPr="00047051">
              <w:rPr>
                <w:rFonts w:ascii="Calibri" w:eastAsia="Times New Roman" w:hAnsi="Calibri" w:cs="Times New Roman"/>
                <w:color w:val="000000"/>
              </w:rPr>
              <w:t xml:space="preserve"> a cabo la audiencia el 04 de febrero de 2014 la cual fue suspendida con el objeto de evaluar las solicitudes y peticiones formuladas por las partes. </w:t>
            </w:r>
            <w:r w:rsidRPr="00047051">
              <w:rPr>
                <w:rFonts w:ascii="Calibri" w:eastAsia="Times New Roman" w:hAnsi="Calibri" w:cs="Times New Roman"/>
                <w:color w:val="000000"/>
              </w:rPr>
              <w:br/>
              <w:t>El día 23 de abril de 2014, se suspendió nuevamente la Audiencia.</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Se elaboró el proyecto del acto administrativo</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9</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10000078-OK-2010</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Aeropuertos de Oriente S.A.S.</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Terminales Aeroportuarias de Nororiente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Cronograma de Obras del Aeropuerto Alfonso Lopez de Valledupar y Almirante Padilla de Riohacha.</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interno 2014-701-011426-3 de 02/12/2014,  la Gerencia de Defensa Judicial solicita a la Vicepresidencia de Gestión Contractual informe si se están adelantando Indagaciones Preliminares.</w:t>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t xml:space="preserve">En reunión de 18 de marzo de 2015, se estableció que podría ser archivado. El supervisor confirmará lo anterior el 24 de marzo de 2015. </w:t>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t>A 27/03/2015 no ha llegado memo por parte del supervisor solicitando el archivo.</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10</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10000078-OK-2010</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Aeropuertos de Oriente S.A.S.</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Terminales Aeroportuarias de Nororiente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Especificaciones técnicas de operación del Aeropuerto Palonegro de Bucaramanga</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interno 2014-701-011426-3 de 02/12/2014,  la Gerencia de Defensa Judicial solicita a la Vicepresidencia de Gestión Contractual informe si se están adelantando Indagaciones Preliminares.</w:t>
            </w:r>
            <w:r w:rsidRPr="00047051">
              <w:rPr>
                <w:rFonts w:ascii="Calibri" w:eastAsia="Times New Roman" w:hAnsi="Calibri" w:cs="Times New Roman"/>
                <w:color w:val="000000"/>
              </w:rPr>
              <w:br/>
            </w:r>
            <w:r w:rsidRPr="00047051">
              <w:rPr>
                <w:rFonts w:ascii="Calibri" w:eastAsia="Times New Roman" w:hAnsi="Calibri" w:cs="Times New Roman"/>
                <w:color w:val="000000"/>
              </w:rPr>
              <w:br/>
              <w:t>En reunión de 18 de marzo de 2015, se estableció que podría ser archivado. El supervisor confirmará lo anterior el 24 de marzo de 2015.</w:t>
            </w:r>
            <w:r w:rsidRPr="00047051">
              <w:rPr>
                <w:rFonts w:ascii="Calibri" w:eastAsia="Times New Roman" w:hAnsi="Calibri" w:cs="Times New Roman"/>
                <w:color w:val="000000"/>
              </w:rPr>
              <w:br/>
            </w:r>
            <w:r w:rsidRPr="00047051">
              <w:rPr>
                <w:rFonts w:ascii="Calibri" w:eastAsia="Times New Roman" w:hAnsi="Calibri" w:cs="Times New Roman"/>
                <w:color w:val="000000"/>
              </w:rPr>
              <w:br/>
              <w:t xml:space="preserve">A 27/03/2015 no ha llegado memo por parte del supervisor solicitando el archivo. </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11</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10000078-OK-2010</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Aeropuertos de Oriente S.A.S.</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Terminales Aeroportuarias de Nororiente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Independización de servicios públicos</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interno No. 2015-309-002981-3 de 09/03/2015 la Gerencia de Proyectos Aeroportuarios, remite para evaluación de la Gerencia de Defensa Judicial sendos documentos referentes al presunto incumplimiento del concesionario de la obligación de independización de servicios de los aeropuertos objeto del contrato de concesión.</w:t>
            </w:r>
            <w:r w:rsidRPr="00047051">
              <w:rPr>
                <w:rFonts w:ascii="Calibri" w:eastAsia="Times New Roman" w:hAnsi="Calibri" w:cs="Times New Roman"/>
                <w:color w:val="000000"/>
              </w:rPr>
              <w:br/>
            </w:r>
            <w:r w:rsidRPr="00047051">
              <w:rPr>
                <w:rFonts w:ascii="Calibri" w:eastAsia="Times New Roman" w:hAnsi="Calibri" w:cs="Times New Roman"/>
                <w:color w:val="000000"/>
              </w:rPr>
              <w:br/>
              <w:t xml:space="preserve">En respuesta a lo anterior, la Gerencia de Defensa Judicial mediante radicado 2015-701-000-3583-3, solicita a la Gerencia de Proyectos Aeroportuarios que con el fin de establecer la viabilidad de iniciar un procedimiento sancionatorio por un presunto incumplimiento en la independización de los servicios públicos, </w:t>
            </w:r>
            <w:r w:rsidRPr="00047051">
              <w:rPr>
                <w:rFonts w:ascii="Calibri" w:eastAsia="Times New Roman" w:hAnsi="Calibri" w:cs="Times New Roman"/>
                <w:color w:val="000000"/>
              </w:rPr>
              <w:lastRenderedPageBreak/>
              <w:t xml:space="preserve">como primera medida se debe verificar  si el concesionario persiste en dicho incumplimiento.  </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12</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Contrato de obra No. 418 de 2013</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452661"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Unión</w:t>
            </w:r>
            <w:r w:rsidR="003F21D6" w:rsidRPr="00047051">
              <w:rPr>
                <w:rFonts w:ascii="Calibri" w:eastAsia="Times New Roman" w:hAnsi="Calibri" w:cs="Times New Roman"/>
                <w:color w:val="000000"/>
              </w:rPr>
              <w:t xml:space="preserve"> Temporal Ferroviaria Central</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Ten de Occidente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Modificación No. 1 al Contrato de Concesión No. 418 de 2013.</w:t>
            </w:r>
            <w:r w:rsidRPr="00047051">
              <w:rPr>
                <w:rFonts w:ascii="Calibri" w:eastAsia="Times New Roman" w:hAnsi="Calibri" w:cs="Times New Roman"/>
                <w:color w:val="000000"/>
              </w:rPr>
              <w:br/>
              <w:t xml:space="preserve">Cláusula 4. </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F21D6">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interno 2015-307-001406-3 de 29/01/2015 la Gerencia de Gestión Contractual II y la Gerencia de Proyectos Férreos y Portuarios, solicita formalmente la apertura e impulso de un trámite sancionatorio.</w:t>
            </w:r>
            <w:r w:rsidRPr="00047051">
              <w:rPr>
                <w:rFonts w:ascii="Calibri" w:eastAsia="Times New Roman" w:hAnsi="Calibri" w:cs="Times New Roman"/>
                <w:color w:val="000000"/>
              </w:rPr>
              <w:br/>
            </w:r>
            <w:r w:rsidRPr="00047051">
              <w:rPr>
                <w:rFonts w:ascii="Calibri" w:eastAsia="Times New Roman" w:hAnsi="Calibri" w:cs="Times New Roman"/>
                <w:color w:val="000000"/>
              </w:rPr>
              <w:br/>
              <w:t>Mediante comunicación No. 2015-307-004056-3 de 27/03/2015 la Gerencia de Proyectos Férreos y Portuarios así como la Gerencia de Gestión Contractual II solicita se d</w:t>
            </w:r>
            <w:r>
              <w:rPr>
                <w:rFonts w:ascii="Calibri" w:eastAsia="Times New Roman" w:hAnsi="Calibri" w:cs="Times New Roman"/>
                <w:color w:val="000000"/>
              </w:rPr>
              <w:t>é</w:t>
            </w:r>
            <w:r w:rsidRPr="00047051">
              <w:rPr>
                <w:rFonts w:ascii="Calibri" w:eastAsia="Times New Roman" w:hAnsi="Calibri" w:cs="Times New Roman"/>
                <w:color w:val="000000"/>
              </w:rPr>
              <w:t xml:space="preserve"> por terminado el proceso sancionatorio en la medida que el presunto incumplimiento cesó.</w:t>
            </w:r>
            <w:r w:rsidRPr="00047051">
              <w:rPr>
                <w:rFonts w:ascii="Calibri" w:eastAsia="Times New Roman" w:hAnsi="Calibri" w:cs="Times New Roman"/>
                <w:color w:val="000000"/>
              </w:rPr>
              <w:br/>
            </w:r>
            <w:r w:rsidRPr="00047051">
              <w:rPr>
                <w:rFonts w:ascii="Calibri" w:eastAsia="Times New Roman" w:hAnsi="Calibri" w:cs="Times New Roman"/>
                <w:color w:val="000000"/>
              </w:rPr>
              <w:br/>
              <w:t>A través de memorando interno 2015-701-004154-3 la Gerencia de Defensa Judicial procede a dar por terminado y a archivar las actuaciones adelantadas</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14</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8000011-OK-2008</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Operadora de Aeropuertos de Centro Norte S.A.-OACN, AIRPLAN S.A.</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Proyecto Aeropuertos Centro Norte.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No cumplir con el cronograma de actividades  del plan de adecuación y modernización.</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2014-704-005864-3 de 15/07/2014, la Gerencia de Gestión Contractual II, solicita formalmente el inicio de un proceso sancionatorio.</w:t>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t xml:space="preserve">En reunión de 18 de marzo de 2015, se estableció que las obras ya están terminadas por tanto deberá ser archivado. El supervisor confirmará lo anterior el 24 de marzo de 2015. </w:t>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t>Mediante radicado 2015-704-003606-3 de 18/03/2015, la Gerencia de Gestión Contractual II, considera procedente el archivo del procedimiento sancionatorio.</w:t>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t xml:space="preserve">Mediante Auto </w:t>
            </w:r>
            <w:r w:rsidRPr="00047051">
              <w:rPr>
                <w:rFonts w:ascii="Calibri" w:eastAsia="Times New Roman" w:hAnsi="Calibri" w:cs="Times New Roman"/>
                <w:color w:val="000000"/>
              </w:rPr>
              <w:lastRenderedPageBreak/>
              <w:t xml:space="preserve">de 07 de Abril de 2015, se dio por terminado y se </w:t>
            </w:r>
            <w:r w:rsidR="00452661" w:rsidRPr="00047051">
              <w:rPr>
                <w:rFonts w:ascii="Calibri" w:eastAsia="Times New Roman" w:hAnsi="Calibri" w:cs="Times New Roman"/>
                <w:color w:val="000000"/>
              </w:rPr>
              <w:t>ordenó</w:t>
            </w:r>
            <w:r w:rsidRPr="00047051">
              <w:rPr>
                <w:rFonts w:ascii="Calibri" w:eastAsia="Times New Roman" w:hAnsi="Calibri" w:cs="Times New Roman"/>
                <w:color w:val="000000"/>
              </w:rPr>
              <w:t xml:space="preserve"> el archivo del proceso sancionatorio iniciado contra el Concesionario.</w:t>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t xml:space="preserve">El Auto fue notificado electrónicamente mediante certimail el día 10 de abril de 2015, a los siguientes correos: evilla@airplan.aero   aespinosa@amya.com.co​ y secretariag@airplan.aero </w:t>
            </w:r>
            <w:r w:rsidRPr="00047051">
              <w:rPr>
                <w:rFonts w:ascii="Calibri" w:eastAsia="Times New Roman" w:hAnsi="Calibri" w:cs="Times New Roman"/>
                <w:color w:val="000000"/>
              </w:rPr>
              <w:br w:type="page"/>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15</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8000011-OK-2008</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Operadora de Aeropuertos de Centro Norte S.A.-OACN, AIRPLAN S.A.</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Proyecto Aeropuertos Centro Norte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Especificaciones técnicas de mantenimiento en los aeropuertos Olaya Herrera (Medellín), José Marpa Cordova (Rionegro), El Caraño (Quibdo), Los Garzones (Montería), Antonio Roldan Betancourt (Carepa) y las Brujas (Corozal) </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F21D6">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2014-704-007975-3 de 05/09/2014, la Gerencia de Gestión Contractual II remite el Proyecto de Pliego de Cargos.</w:t>
            </w:r>
            <w:r w:rsidRPr="00047051">
              <w:rPr>
                <w:rFonts w:ascii="Calibri" w:eastAsia="Times New Roman" w:hAnsi="Calibri" w:cs="Times New Roman"/>
                <w:color w:val="000000"/>
              </w:rPr>
              <w:br/>
            </w:r>
            <w:r w:rsidRPr="00047051">
              <w:rPr>
                <w:rFonts w:ascii="Calibri" w:eastAsia="Times New Roman" w:hAnsi="Calibri" w:cs="Times New Roman"/>
                <w:color w:val="000000"/>
              </w:rPr>
              <w:br/>
            </w:r>
            <w:r w:rsidRPr="00047051">
              <w:rPr>
                <w:rFonts w:ascii="Calibri" w:eastAsia="Times New Roman" w:hAnsi="Calibri" w:cs="Times New Roman"/>
                <w:color w:val="000000"/>
              </w:rPr>
              <w:br/>
              <w:t>En reunión de 18 de marzo de 2015, se estableció que las obras ya están terminadas por tanto deberá ser archivado. El supervisor confirmará lo anterior el 24 de marzo de 2015.</w:t>
            </w:r>
            <w:r w:rsidRPr="00047051">
              <w:rPr>
                <w:rFonts w:ascii="Calibri" w:eastAsia="Times New Roman" w:hAnsi="Calibri" w:cs="Times New Roman"/>
                <w:color w:val="000000"/>
              </w:rPr>
              <w:br/>
            </w:r>
            <w:r w:rsidRPr="00047051">
              <w:rPr>
                <w:rFonts w:ascii="Calibri" w:eastAsia="Times New Roman" w:hAnsi="Calibri" w:cs="Times New Roman"/>
                <w:color w:val="000000"/>
              </w:rPr>
              <w:br/>
              <w:t xml:space="preserve">Mediante radicado 2015-704-003909-3 de25/03/2015, la Gerencia de Gestión Contractual II, informa que </w:t>
            </w:r>
            <w:r w:rsidR="00452661" w:rsidRPr="00047051">
              <w:rPr>
                <w:rFonts w:ascii="Calibri" w:eastAsia="Times New Roman" w:hAnsi="Calibri" w:cs="Times New Roman"/>
                <w:color w:val="000000"/>
              </w:rPr>
              <w:t>aún</w:t>
            </w:r>
            <w:r w:rsidRPr="00047051">
              <w:rPr>
                <w:rFonts w:ascii="Calibri" w:eastAsia="Times New Roman" w:hAnsi="Calibri" w:cs="Times New Roman"/>
                <w:color w:val="000000"/>
              </w:rPr>
              <w:t xml:space="preserve"> se encuentran adelantando la etapa de indagación preliminar y por tanto solicita a la Gerencia de Defensa Judicial se abstenga de iniciar u</w:t>
            </w:r>
            <w:r>
              <w:rPr>
                <w:rFonts w:ascii="Calibri" w:eastAsia="Times New Roman" w:hAnsi="Calibri" w:cs="Times New Roman"/>
                <w:color w:val="000000"/>
              </w:rPr>
              <w:t>n procedimiento sancionatorio.</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16</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8000011-OK-2008</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Operadora de Aeropuertos de Centro Norte S.A.-</w:t>
            </w:r>
            <w:r w:rsidRPr="00047051">
              <w:rPr>
                <w:rFonts w:ascii="Calibri" w:eastAsia="Times New Roman" w:hAnsi="Calibri" w:cs="Times New Roman"/>
                <w:color w:val="000000"/>
              </w:rPr>
              <w:lastRenderedPageBreak/>
              <w:t>OACN, AIRPLAN S.A.</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Proyecto Aeropuertos Centro Norte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Desperfectos en las obras de los años 1, 2  y 3 del plan de adecuación y </w:t>
            </w:r>
            <w:r w:rsidRPr="00047051">
              <w:rPr>
                <w:rFonts w:ascii="Calibri" w:eastAsia="Times New Roman" w:hAnsi="Calibri" w:cs="Times New Roman"/>
                <w:color w:val="000000"/>
              </w:rPr>
              <w:lastRenderedPageBreak/>
              <w:t>modernización no corregidas dentro de los términos establecidos por el interventor en los aeropuertos Olaya Herrera (Medellín), Jose María Cordova (Rionegro) y las Brujas ( Corozal)</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F21D6">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Mediante memorando 2014-704-007974-3 de 05/09/2014, la Gerencia de Gestión Contractual II remite el Proyecto de Pliego de Cargos.</w:t>
            </w:r>
            <w:r w:rsidRPr="00047051">
              <w:rPr>
                <w:rFonts w:ascii="Calibri" w:eastAsia="Times New Roman" w:hAnsi="Calibri" w:cs="Times New Roman"/>
                <w:color w:val="000000"/>
              </w:rPr>
              <w:br/>
            </w:r>
            <w:r w:rsidRPr="00047051">
              <w:rPr>
                <w:rFonts w:ascii="Calibri" w:eastAsia="Times New Roman" w:hAnsi="Calibri" w:cs="Times New Roman"/>
                <w:color w:val="000000"/>
              </w:rPr>
              <w:br/>
            </w:r>
            <w:r w:rsidRPr="00047051">
              <w:rPr>
                <w:rFonts w:ascii="Calibri" w:eastAsia="Times New Roman" w:hAnsi="Calibri" w:cs="Times New Roman"/>
                <w:color w:val="000000"/>
              </w:rPr>
              <w:br/>
            </w:r>
            <w:r w:rsidRPr="00047051">
              <w:rPr>
                <w:rFonts w:ascii="Calibri" w:eastAsia="Times New Roman" w:hAnsi="Calibri" w:cs="Times New Roman"/>
                <w:color w:val="000000"/>
              </w:rPr>
              <w:lastRenderedPageBreak/>
              <w:t>En reunión de 18 de marzo de 2015, se estableció que las obras ya están terminadas por tanto deberá ser archivado. El supervisor confirmará lo anterior el 24 de marzo de 2015.</w:t>
            </w:r>
            <w:r w:rsidRPr="00047051">
              <w:rPr>
                <w:rFonts w:ascii="Calibri" w:eastAsia="Times New Roman" w:hAnsi="Calibri" w:cs="Times New Roman"/>
                <w:color w:val="000000"/>
              </w:rPr>
              <w:br/>
            </w:r>
            <w:r w:rsidRPr="00047051">
              <w:rPr>
                <w:rFonts w:ascii="Calibri" w:eastAsia="Times New Roman" w:hAnsi="Calibri" w:cs="Times New Roman"/>
                <w:color w:val="000000"/>
              </w:rPr>
              <w:br/>
              <w:t xml:space="preserve">Mediante radicado 2015-704-003909-3 de25/03/2015, la Gerencia de Gestión Contractual II, informa que </w:t>
            </w:r>
            <w:r w:rsidR="00452661" w:rsidRPr="00047051">
              <w:rPr>
                <w:rFonts w:ascii="Calibri" w:eastAsia="Times New Roman" w:hAnsi="Calibri" w:cs="Times New Roman"/>
                <w:color w:val="000000"/>
              </w:rPr>
              <w:t>aún</w:t>
            </w:r>
            <w:r w:rsidRPr="00047051">
              <w:rPr>
                <w:rFonts w:ascii="Calibri" w:eastAsia="Times New Roman" w:hAnsi="Calibri" w:cs="Times New Roman"/>
                <w:color w:val="000000"/>
              </w:rPr>
              <w:t xml:space="preserve"> se encuentran adelantando la etapa de indagación preliminar y por tanto solicita a la Gerencia de Defensa Judicial se abstenga de iniciar un procedimie</w:t>
            </w:r>
            <w:r>
              <w:rPr>
                <w:rFonts w:ascii="Calibri" w:eastAsia="Times New Roman" w:hAnsi="Calibri" w:cs="Times New Roman"/>
                <w:color w:val="000000"/>
              </w:rPr>
              <w:t>nto sancionatorio.</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17</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8000011-OK-2008</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 Operadora de Aeropuertos de Centro Norte S.A.-OACN, AIRPLAN S.A.</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Proyecto Aeropuertos Centro Norte</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Obligaciones ambientales que contractualmente le son exigibles en los Aeropuertos Olaya Herrera (Medellín), José Marpa Cordova (Rionegro), El Caraño (Quibdo), Los Garzones (Montería), Antonio Roldan Betancourt (Carepa) y las Brujas (Corozal)  </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F21D6">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Mediante memorando 2014-704-007976-3 de 05/09/2014, la Gerencia de Gestión Contractual II remite el Proyecto de Pliego de Cargos.</w:t>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t>En reunión de 18 de marzo de 2015, se estableció que las obras ya están terminadas por tanto deberá ser archivado. El supervisor confirmará lo anterior el 24 de marzo de 2015.</w:t>
            </w:r>
            <w:r w:rsidRPr="00047051">
              <w:rPr>
                <w:rFonts w:ascii="Calibri" w:eastAsia="Times New Roman" w:hAnsi="Calibri" w:cs="Times New Roman"/>
                <w:color w:val="000000"/>
              </w:rPr>
              <w:br w:type="page"/>
            </w:r>
            <w:r w:rsidRPr="00047051">
              <w:rPr>
                <w:rFonts w:ascii="Calibri" w:eastAsia="Times New Roman" w:hAnsi="Calibri" w:cs="Times New Roman"/>
                <w:color w:val="000000"/>
              </w:rPr>
              <w:br w:type="page"/>
              <w:t>Mediante radicado 2015-704-003909-3 de25/03/2015, la Gerencia de Gestión Contractual II, informa que aun se encuentran adelantando la etapa de indagación preliminar y por tanto solicita a la Gerencia de Defensa Judicial se abstenga de iniciar un procedimiento sancionatorio.</w:t>
            </w:r>
          </w:p>
        </w:tc>
      </w:tr>
      <w:tr w:rsidR="003F21D6" w:rsidRPr="00047051" w:rsidTr="003B4544">
        <w:trPr>
          <w:trHeight w:val="2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18</w:t>
            </w:r>
          </w:p>
        </w:tc>
        <w:tc>
          <w:tcPr>
            <w:tcW w:w="669"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001 de 2009</w:t>
            </w:r>
          </w:p>
        </w:tc>
        <w:tc>
          <w:tcPr>
            <w:tcW w:w="776"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 xml:space="preserve">Sociedad Portuaria de la Península S.A. </w:t>
            </w:r>
          </w:p>
        </w:tc>
        <w:tc>
          <w:tcPr>
            <w:tcW w:w="747" w:type="pct"/>
            <w:tcBorders>
              <w:top w:val="nil"/>
              <w:left w:val="nil"/>
              <w:bottom w:val="single" w:sz="4" w:space="0" w:color="auto"/>
              <w:right w:val="single" w:sz="4" w:space="0" w:color="auto"/>
            </w:tcBorders>
            <w:shd w:val="clear" w:color="auto" w:fill="auto"/>
            <w:vAlign w:val="center"/>
            <w:hideMark/>
          </w:tcPr>
          <w:p w:rsidR="003F21D6" w:rsidRPr="00047051" w:rsidRDefault="00452661"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Sociedad</w:t>
            </w:r>
            <w:r w:rsidR="003F21D6" w:rsidRPr="00047051">
              <w:rPr>
                <w:rFonts w:ascii="Calibri" w:eastAsia="Times New Roman" w:hAnsi="Calibri" w:cs="Times New Roman"/>
                <w:color w:val="000000"/>
              </w:rPr>
              <w:t xml:space="preserve"> Portuaria Puerto de la </w:t>
            </w:r>
            <w:r w:rsidRPr="00047051">
              <w:rPr>
                <w:rFonts w:ascii="Calibri" w:eastAsia="Times New Roman" w:hAnsi="Calibri" w:cs="Times New Roman"/>
                <w:color w:val="000000"/>
              </w:rPr>
              <w:t>Península</w:t>
            </w:r>
          </w:p>
        </w:tc>
        <w:tc>
          <w:tcPr>
            <w:tcW w:w="752"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Incumplimiento de la cláusula 9 del Contrato de Concesión No. 001 de 2009, al presentar mora en el pago de la contraprestación pactada</w:t>
            </w:r>
          </w:p>
        </w:tc>
        <w:tc>
          <w:tcPr>
            <w:tcW w:w="1763" w:type="pct"/>
            <w:tcBorders>
              <w:top w:val="nil"/>
              <w:left w:val="nil"/>
              <w:bottom w:val="single" w:sz="4" w:space="0" w:color="auto"/>
              <w:right w:val="single" w:sz="4" w:space="0" w:color="auto"/>
            </w:tcBorders>
            <w:shd w:val="clear" w:color="auto" w:fill="auto"/>
            <w:vAlign w:val="center"/>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Proceso suspendido por acuerdo de pago celebrado entre PENSOPORT S.A. y el INVIAS</w:t>
            </w:r>
            <w:r w:rsidRPr="00047051">
              <w:rPr>
                <w:rFonts w:ascii="Calibri" w:eastAsia="Times New Roman" w:hAnsi="Calibri" w:cs="Times New Roman"/>
                <w:color w:val="000000"/>
              </w:rPr>
              <w:br/>
            </w:r>
            <w:r w:rsidRPr="00047051">
              <w:rPr>
                <w:rFonts w:ascii="Calibri" w:eastAsia="Times New Roman" w:hAnsi="Calibri" w:cs="Times New Roman"/>
                <w:color w:val="000000"/>
              </w:rPr>
              <w:br/>
              <w:t>Se debe estar pendiente de que entre los días 18 y 24 de cada mes el INVIAS reporte cumplimiento de compromisos del Concesionario. En caso de reporte de incumplimiento: Reactivar inmediatamente  trámite, señalar fecha y hora de audiencia e imponer multa al Concesionario. A la fecha no se ha reportado incumplimiento de la obligación.</w:t>
            </w:r>
          </w:p>
        </w:tc>
      </w:tr>
    </w:tbl>
    <w:p w:rsidR="003F21D6" w:rsidRDefault="003F21D6" w:rsidP="003F21D6">
      <w:pPr>
        <w:spacing w:after="0" w:line="240" w:lineRule="auto"/>
        <w:jc w:val="center"/>
        <w:rPr>
          <w:rFonts w:ascii="Arial Narrow" w:eastAsia="Times New Roman" w:hAnsi="Arial Narrow" w:cs="Calibri"/>
          <w:color w:val="000000"/>
        </w:rPr>
      </w:pPr>
    </w:p>
    <w:p w:rsidR="003F21D6" w:rsidRDefault="003F21D6" w:rsidP="003F21D6">
      <w:pPr>
        <w:spacing w:after="0" w:line="240" w:lineRule="auto"/>
        <w:jc w:val="center"/>
        <w:rPr>
          <w:rFonts w:ascii="Arial Narrow" w:hAnsi="Arial Narrow"/>
          <w:noProof/>
          <w:szCs w:val="26"/>
        </w:rPr>
      </w:pPr>
    </w:p>
    <w:p w:rsidR="003F21D6" w:rsidRDefault="003F21D6" w:rsidP="003F21D6">
      <w:pPr>
        <w:spacing w:after="0" w:line="240" w:lineRule="auto"/>
        <w:jc w:val="center"/>
        <w:rPr>
          <w:rFonts w:ascii="Arial Narrow" w:eastAsia="Times New Roman" w:hAnsi="Arial Narrow" w:cs="Calibri"/>
          <w:color w:val="000000"/>
        </w:rPr>
      </w:pPr>
    </w:p>
    <w:p w:rsidR="003F21D6" w:rsidRDefault="003F21D6" w:rsidP="003F21D6">
      <w:pPr>
        <w:spacing w:after="0" w:line="240" w:lineRule="auto"/>
        <w:jc w:val="center"/>
        <w:rPr>
          <w:rFonts w:ascii="Arial Narrow" w:eastAsia="Times New Roman" w:hAnsi="Arial Narrow" w:cs="Calibri"/>
          <w:color w:val="000000"/>
        </w:rPr>
      </w:pPr>
    </w:p>
    <w:p w:rsidR="003F21D6" w:rsidRDefault="003F21D6" w:rsidP="003F21D6">
      <w:pPr>
        <w:spacing w:after="0" w:line="240" w:lineRule="auto"/>
        <w:jc w:val="center"/>
        <w:rPr>
          <w:rFonts w:ascii="Arial Narrow" w:eastAsia="Times New Roman" w:hAnsi="Arial Narrow" w:cs="Calibri"/>
          <w:color w:val="000000"/>
        </w:rPr>
        <w:sectPr w:rsidR="003F21D6" w:rsidSect="003B4544">
          <w:pgSz w:w="15840" w:h="12240" w:orient="landscape"/>
          <w:pgMar w:top="1701" w:right="1417" w:bottom="1701" w:left="1417" w:header="708" w:footer="708" w:gutter="0"/>
          <w:cols w:space="708"/>
          <w:docGrid w:linePitch="360"/>
        </w:sectPr>
      </w:pPr>
    </w:p>
    <w:p w:rsidR="003F21D6" w:rsidRPr="002C05C2" w:rsidRDefault="003F21D6" w:rsidP="003F21D6">
      <w:pPr>
        <w:spacing w:after="0" w:line="240" w:lineRule="auto"/>
        <w:jc w:val="center"/>
        <w:rPr>
          <w:rFonts w:eastAsia="Times New Roman" w:cstheme="minorHAnsi"/>
          <w:color w:val="000000"/>
        </w:rPr>
      </w:pPr>
    </w:p>
    <w:p w:rsidR="003F21D6" w:rsidRPr="002C05C2" w:rsidRDefault="003F21D6" w:rsidP="003F21D6">
      <w:pPr>
        <w:contextualSpacing/>
        <w:jc w:val="both"/>
        <w:rPr>
          <w:rFonts w:cstheme="minorHAnsi"/>
          <w:b/>
        </w:rPr>
      </w:pPr>
      <w:r w:rsidRPr="002C05C2">
        <w:rPr>
          <w:rFonts w:cstheme="minorHAnsi"/>
          <w:b/>
        </w:rPr>
        <w:t>TRIBUNALES DE ARBITRAMENTO:</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color w:val="000000"/>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t xml:space="preserve">Actividad: </w:t>
      </w:r>
      <w:r w:rsidRPr="002C05C2">
        <w:rPr>
          <w:rFonts w:eastAsia="Times New Roman" w:cstheme="minorHAnsi"/>
          <w:lang w:val="es-MX" w:eastAsia="es-MX"/>
        </w:rPr>
        <w:t>Defender de manera oportuna los intereses de la Entidad dentro de los tribunales de Arbitramento en los que la Agencia sea convocante o convocada</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t>Meta:</w:t>
      </w:r>
      <w:r w:rsidRPr="002C05C2">
        <w:rPr>
          <w:rFonts w:eastAsia="Times New Roman" w:cstheme="minorHAnsi"/>
          <w:lang w:val="es-MX" w:eastAsia="es-MX"/>
        </w:rPr>
        <w:t xml:space="preserve"> Adelantar al 100% los procesos</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b/>
          <w:color w:val="000000"/>
        </w:rPr>
      </w:pPr>
      <w:r w:rsidRPr="002C05C2">
        <w:rPr>
          <w:rFonts w:eastAsia="Times New Roman" w:cstheme="minorHAnsi"/>
          <w:b/>
          <w:color w:val="000000"/>
        </w:rPr>
        <w:t xml:space="preserve">REPORTE: </w:t>
      </w:r>
    </w:p>
    <w:p w:rsidR="003F21D6" w:rsidRPr="002C05C2" w:rsidRDefault="003F21D6" w:rsidP="003F21D6">
      <w:pPr>
        <w:spacing w:after="0" w:line="240" w:lineRule="auto"/>
        <w:jc w:val="both"/>
        <w:rPr>
          <w:rFonts w:eastAsia="Times New Roman" w:cstheme="minorHAnsi"/>
          <w:color w:val="000000"/>
        </w:rPr>
      </w:pPr>
    </w:p>
    <w:p w:rsidR="003F21D6" w:rsidRPr="002C05C2" w:rsidRDefault="003F21D6" w:rsidP="003F21D6">
      <w:pPr>
        <w:spacing w:after="0" w:line="240" w:lineRule="auto"/>
        <w:jc w:val="both"/>
        <w:rPr>
          <w:rFonts w:eastAsia="Times New Roman" w:cstheme="minorHAnsi"/>
          <w:color w:val="000000"/>
        </w:rPr>
      </w:pPr>
      <w:r w:rsidRPr="002C05C2">
        <w:rPr>
          <w:rFonts w:eastAsia="Times New Roman" w:cstheme="minorHAnsi"/>
          <w:color w:val="000000"/>
        </w:rPr>
        <w:t>Se ha llevado a cabo la defensa de todos los tribunales de arbitramento vigentes durante el año, cuyo estado se evidencia en la relación adjunta.</w:t>
      </w:r>
    </w:p>
    <w:p w:rsidR="003F21D6" w:rsidRDefault="003F21D6" w:rsidP="003F21D6">
      <w:pPr>
        <w:spacing w:after="0" w:line="240" w:lineRule="auto"/>
        <w:jc w:val="both"/>
        <w:rPr>
          <w:rFonts w:ascii="Arial Narrow" w:eastAsia="Times New Roman" w:hAnsi="Arial Narrow" w:cs="Calibri"/>
          <w:color w:val="000000"/>
        </w:rPr>
      </w:pPr>
    </w:p>
    <w:tbl>
      <w:tblPr>
        <w:tblW w:w="5000" w:type="pct"/>
        <w:tblCellMar>
          <w:left w:w="70" w:type="dxa"/>
          <w:right w:w="70" w:type="dxa"/>
        </w:tblCellMar>
        <w:tblLook w:val="04A0" w:firstRow="1" w:lastRow="0" w:firstColumn="1" w:lastColumn="0" w:noHBand="0" w:noVBand="1"/>
      </w:tblPr>
      <w:tblGrid>
        <w:gridCol w:w="566"/>
        <w:gridCol w:w="4091"/>
        <w:gridCol w:w="1960"/>
        <w:gridCol w:w="2211"/>
      </w:tblGrid>
      <w:tr w:rsidR="003F21D6" w:rsidRPr="00047051" w:rsidTr="003B4544">
        <w:trPr>
          <w:trHeight w:val="390"/>
          <w:tblHeader/>
        </w:trPr>
        <w:tc>
          <w:tcPr>
            <w:tcW w:w="321" w:type="pct"/>
            <w:tcBorders>
              <w:top w:val="single" w:sz="4" w:space="0" w:color="auto"/>
              <w:left w:val="single" w:sz="4" w:space="0" w:color="auto"/>
              <w:bottom w:val="nil"/>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28"/>
                <w:szCs w:val="28"/>
              </w:rPr>
            </w:pPr>
            <w:r w:rsidRPr="00047051">
              <w:rPr>
                <w:rFonts w:ascii="Calibri" w:eastAsia="Times New Roman" w:hAnsi="Calibri" w:cs="Times New Roman"/>
                <w:b/>
                <w:bCs/>
                <w:color w:val="000000"/>
                <w:sz w:val="28"/>
                <w:szCs w:val="28"/>
              </w:rPr>
              <w:t xml:space="preserve">No. </w:t>
            </w:r>
          </w:p>
        </w:tc>
        <w:tc>
          <w:tcPr>
            <w:tcW w:w="2317" w:type="pct"/>
            <w:tcBorders>
              <w:top w:val="single" w:sz="4" w:space="0" w:color="auto"/>
              <w:left w:val="nil"/>
              <w:bottom w:val="nil"/>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28"/>
                <w:szCs w:val="28"/>
              </w:rPr>
            </w:pPr>
            <w:r w:rsidRPr="00047051">
              <w:rPr>
                <w:rFonts w:ascii="Calibri" w:eastAsia="Times New Roman" w:hAnsi="Calibri" w:cs="Times New Roman"/>
                <w:b/>
                <w:bCs/>
                <w:color w:val="000000"/>
                <w:sz w:val="28"/>
                <w:szCs w:val="28"/>
              </w:rPr>
              <w:t>Proyecto</w:t>
            </w:r>
          </w:p>
        </w:tc>
        <w:tc>
          <w:tcPr>
            <w:tcW w:w="1110" w:type="pct"/>
            <w:tcBorders>
              <w:top w:val="single" w:sz="4" w:space="0" w:color="auto"/>
              <w:left w:val="nil"/>
              <w:bottom w:val="nil"/>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28"/>
                <w:szCs w:val="28"/>
              </w:rPr>
            </w:pPr>
            <w:r w:rsidRPr="00047051">
              <w:rPr>
                <w:rFonts w:ascii="Calibri" w:eastAsia="Times New Roman" w:hAnsi="Calibri" w:cs="Times New Roman"/>
                <w:b/>
                <w:bCs/>
                <w:color w:val="000000"/>
                <w:sz w:val="28"/>
                <w:szCs w:val="28"/>
              </w:rPr>
              <w:t>Estado Tribunal</w:t>
            </w:r>
          </w:p>
        </w:tc>
        <w:tc>
          <w:tcPr>
            <w:tcW w:w="1251" w:type="pct"/>
            <w:tcBorders>
              <w:top w:val="single" w:sz="4" w:space="0" w:color="auto"/>
              <w:left w:val="nil"/>
              <w:bottom w:val="nil"/>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28"/>
                <w:szCs w:val="28"/>
              </w:rPr>
            </w:pPr>
            <w:r w:rsidRPr="00047051">
              <w:rPr>
                <w:rFonts w:ascii="Calibri" w:eastAsia="Times New Roman" w:hAnsi="Calibri" w:cs="Times New Roman"/>
                <w:b/>
                <w:bCs/>
                <w:color w:val="000000"/>
                <w:sz w:val="28"/>
                <w:szCs w:val="28"/>
              </w:rPr>
              <w:t>Apoderado ANI</w:t>
            </w:r>
          </w:p>
        </w:tc>
      </w:tr>
      <w:tr w:rsidR="003F21D6" w:rsidRPr="00047051" w:rsidTr="003B4544">
        <w:trPr>
          <w:trHeight w:val="420"/>
        </w:trPr>
        <w:tc>
          <w:tcPr>
            <w:tcW w:w="5000" w:type="pct"/>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32"/>
                <w:szCs w:val="32"/>
              </w:rPr>
            </w:pPr>
            <w:r w:rsidRPr="00047051">
              <w:rPr>
                <w:rFonts w:ascii="Calibri" w:eastAsia="Times New Roman" w:hAnsi="Calibri" w:cs="Times New Roman"/>
                <w:b/>
                <w:bCs/>
                <w:color w:val="000000"/>
                <w:sz w:val="32"/>
                <w:szCs w:val="32"/>
              </w:rPr>
              <w:t>VIALES</w:t>
            </w:r>
          </w:p>
        </w:tc>
      </w:tr>
      <w:tr w:rsidR="003F21D6" w:rsidRPr="00047051" w:rsidTr="003B4544">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VICEPRESIDENCIA GESTIÓN CONTRACTUAL</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Bogotá Villavicencio</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Designación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i/>
                <w:iCs/>
                <w:color w:val="000000"/>
              </w:rPr>
            </w:pPr>
            <w:r w:rsidRPr="00047051">
              <w:rPr>
                <w:rFonts w:ascii="Calibri" w:eastAsia="Times New Roman" w:hAnsi="Calibri" w:cs="Times New Roman"/>
                <w:i/>
                <w:iCs/>
                <w:color w:val="000000"/>
              </w:rPr>
              <w:t>Carlos Medellín</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Bogotá Villavicencio</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Henry Sanabria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3</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Devinorte</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4</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Neiva-Espinal-Girardot</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5</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Neiva-Espinal-Girardot</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6</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Neiva-Espinal-Girardot</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7</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Neiva-Espinal-Girardot</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8</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Transversal de las Américas</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9</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Zipaquirá Palenque</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Designación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i/>
                <w:iCs/>
                <w:color w:val="000000"/>
              </w:rPr>
            </w:pPr>
            <w:r w:rsidRPr="00047051">
              <w:rPr>
                <w:rFonts w:ascii="Calibri" w:eastAsia="Times New Roman" w:hAnsi="Calibri" w:cs="Times New Roman"/>
                <w:i/>
                <w:iCs/>
                <w:color w:val="000000"/>
              </w:rPr>
              <w:t>Ramiro Bejarano</w:t>
            </w:r>
          </w:p>
        </w:tc>
      </w:tr>
      <w:tr w:rsidR="003F21D6" w:rsidRPr="00047051" w:rsidTr="003B4544">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VICEPRESIDENCIA EJECUTIVA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10</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Bosa Granada Girardot</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Alegatos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Ramiro Bejarano</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11</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Bosa Granada Girardot</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Ramiro Bejarano</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12</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Bosa Granada Girardot</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Designación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 </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13</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Córdoba Sucre</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Carlos Medellín</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14</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Córdoba Sucre</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Carlos Medellín</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15</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MVCCC</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Ramiro Bejarano</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16</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RPCHA</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17</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Ruta Caribe</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Carlos Medellín</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18</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Ruta del Sol 1</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Designación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i/>
                <w:iCs/>
                <w:color w:val="000000"/>
              </w:rPr>
            </w:pPr>
            <w:r w:rsidRPr="00047051">
              <w:rPr>
                <w:rFonts w:ascii="Calibri" w:eastAsia="Times New Roman" w:hAnsi="Calibri" w:cs="Times New Roman"/>
                <w:i/>
                <w:iCs/>
                <w:color w:val="000000"/>
              </w:rPr>
              <w:t>Ramiro Bejarano</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19</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Ruta del Sol 1</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Designación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 </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20</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ZMB</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15"/>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21</w:t>
            </w:r>
          </w:p>
        </w:tc>
        <w:tc>
          <w:tcPr>
            <w:tcW w:w="2317"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ZMB</w:t>
            </w:r>
          </w:p>
        </w:tc>
        <w:tc>
          <w:tcPr>
            <w:tcW w:w="1110"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8"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75"/>
        </w:trPr>
        <w:tc>
          <w:tcPr>
            <w:tcW w:w="5000" w:type="pct"/>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28"/>
                <w:szCs w:val="28"/>
              </w:rPr>
            </w:pPr>
            <w:r w:rsidRPr="00047051">
              <w:rPr>
                <w:rFonts w:ascii="Calibri" w:eastAsia="Times New Roman" w:hAnsi="Calibri" w:cs="Times New Roman"/>
                <w:b/>
                <w:bCs/>
                <w:color w:val="000000"/>
                <w:sz w:val="28"/>
                <w:szCs w:val="28"/>
              </w:rPr>
              <w:t>AEROPORTUARIOS</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22</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Aeropuertos Centro Norte</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Designación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Felipe Piquero</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23</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El Dorado</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Alegatos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Felipe Piquero</w:t>
            </w:r>
          </w:p>
        </w:tc>
      </w:tr>
      <w:tr w:rsidR="003F21D6" w:rsidRPr="00047051" w:rsidTr="003B4544">
        <w:trPr>
          <w:trHeight w:val="315"/>
        </w:trPr>
        <w:tc>
          <w:tcPr>
            <w:tcW w:w="321" w:type="pct"/>
            <w:tcBorders>
              <w:top w:val="nil"/>
              <w:left w:val="single" w:sz="8" w:space="0" w:color="auto"/>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lastRenderedPageBreak/>
              <w:t>24</w:t>
            </w:r>
          </w:p>
        </w:tc>
        <w:tc>
          <w:tcPr>
            <w:tcW w:w="2317"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El Dorado</w:t>
            </w:r>
          </w:p>
        </w:tc>
        <w:tc>
          <w:tcPr>
            <w:tcW w:w="1110"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8"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Felipe Piquero</w:t>
            </w:r>
          </w:p>
        </w:tc>
      </w:tr>
      <w:tr w:rsidR="003F21D6" w:rsidRPr="00047051" w:rsidTr="003B4544">
        <w:trPr>
          <w:trHeight w:val="375"/>
        </w:trPr>
        <w:tc>
          <w:tcPr>
            <w:tcW w:w="5000" w:type="pct"/>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28"/>
                <w:szCs w:val="28"/>
              </w:rPr>
            </w:pPr>
            <w:r w:rsidRPr="00047051">
              <w:rPr>
                <w:rFonts w:ascii="Calibri" w:eastAsia="Times New Roman" w:hAnsi="Calibri" w:cs="Times New Roman"/>
                <w:b/>
                <w:bCs/>
                <w:color w:val="000000"/>
                <w:sz w:val="28"/>
                <w:szCs w:val="28"/>
              </w:rPr>
              <w:t>FÉRREOS</w:t>
            </w:r>
          </w:p>
        </w:tc>
      </w:tr>
      <w:tr w:rsidR="003F21D6" w:rsidRPr="00047051" w:rsidTr="003B4544">
        <w:trPr>
          <w:trHeight w:val="315"/>
        </w:trPr>
        <w:tc>
          <w:tcPr>
            <w:tcW w:w="321" w:type="pct"/>
            <w:tcBorders>
              <w:top w:val="nil"/>
              <w:left w:val="single" w:sz="8" w:space="0" w:color="auto"/>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25</w:t>
            </w:r>
          </w:p>
        </w:tc>
        <w:tc>
          <w:tcPr>
            <w:tcW w:w="2317"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Tren de Occidente</w:t>
            </w:r>
          </w:p>
        </w:tc>
        <w:tc>
          <w:tcPr>
            <w:tcW w:w="1110"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Designación</w:t>
            </w:r>
          </w:p>
        </w:tc>
        <w:tc>
          <w:tcPr>
            <w:tcW w:w="1251" w:type="pct"/>
            <w:tcBorders>
              <w:top w:val="nil"/>
              <w:left w:val="nil"/>
              <w:bottom w:val="single" w:sz="8"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Gabriel de Vega</w:t>
            </w:r>
          </w:p>
        </w:tc>
      </w:tr>
      <w:tr w:rsidR="003F21D6" w:rsidRPr="00047051" w:rsidTr="003B4544">
        <w:trPr>
          <w:trHeight w:val="375"/>
        </w:trPr>
        <w:tc>
          <w:tcPr>
            <w:tcW w:w="5000" w:type="pct"/>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28"/>
                <w:szCs w:val="28"/>
              </w:rPr>
            </w:pPr>
            <w:r w:rsidRPr="00047051">
              <w:rPr>
                <w:rFonts w:ascii="Calibri" w:eastAsia="Times New Roman" w:hAnsi="Calibri" w:cs="Times New Roman"/>
                <w:b/>
                <w:bCs/>
                <w:color w:val="000000"/>
                <w:sz w:val="28"/>
                <w:szCs w:val="28"/>
              </w:rPr>
              <w:t>PORTUARIOS</w:t>
            </w:r>
          </w:p>
        </w:tc>
      </w:tr>
      <w:tr w:rsidR="003F21D6" w:rsidRPr="00047051" w:rsidTr="003B4544">
        <w:trPr>
          <w:trHeight w:val="315"/>
        </w:trPr>
        <w:tc>
          <w:tcPr>
            <w:tcW w:w="321" w:type="pct"/>
            <w:tcBorders>
              <w:top w:val="nil"/>
              <w:left w:val="single" w:sz="8" w:space="0" w:color="auto"/>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26</w:t>
            </w:r>
          </w:p>
        </w:tc>
        <w:tc>
          <w:tcPr>
            <w:tcW w:w="2317"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Sociedad Portuaria Regional de Santa Marta</w:t>
            </w:r>
          </w:p>
        </w:tc>
        <w:tc>
          <w:tcPr>
            <w:tcW w:w="1110"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8"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Ramiro Bejarano</w:t>
            </w:r>
          </w:p>
        </w:tc>
      </w:tr>
      <w:tr w:rsidR="003F21D6" w:rsidRPr="00047051" w:rsidTr="003B4544">
        <w:trPr>
          <w:trHeight w:val="375"/>
        </w:trPr>
        <w:tc>
          <w:tcPr>
            <w:tcW w:w="5000" w:type="pct"/>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sz w:val="28"/>
                <w:szCs w:val="28"/>
              </w:rPr>
            </w:pPr>
            <w:r w:rsidRPr="00047051">
              <w:rPr>
                <w:rFonts w:ascii="Calibri" w:eastAsia="Times New Roman" w:hAnsi="Calibri" w:cs="Times New Roman"/>
                <w:b/>
                <w:bCs/>
                <w:color w:val="000000"/>
                <w:sz w:val="28"/>
                <w:szCs w:val="28"/>
              </w:rPr>
              <w:t>INTERVENTORÍAS</w:t>
            </w:r>
          </w:p>
        </w:tc>
      </w:tr>
      <w:tr w:rsidR="003F21D6" w:rsidRPr="00047051" w:rsidTr="003B4544">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VICEPRESIDENCIA GESTIÓN CONTRACTUAL</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27</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Interventoría Bogotá Villavicencio</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Contestación</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Henry Sanabria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28</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Interventoría Pereira La Victoria</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Henry Sanabria</w:t>
            </w:r>
          </w:p>
        </w:tc>
      </w:tr>
      <w:tr w:rsidR="003F21D6" w:rsidRPr="00047051" w:rsidTr="003B4544">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b/>
                <w:bCs/>
                <w:color w:val="000000"/>
              </w:rPr>
            </w:pPr>
            <w:r w:rsidRPr="00047051">
              <w:rPr>
                <w:rFonts w:ascii="Calibri" w:eastAsia="Times New Roman" w:hAnsi="Calibri" w:cs="Times New Roman"/>
                <w:b/>
                <w:bCs/>
                <w:color w:val="000000"/>
              </w:rPr>
              <w:t>VICEPRESIDENCIA EJECUTIVA</w:t>
            </w:r>
          </w:p>
        </w:tc>
      </w:tr>
      <w:tr w:rsidR="003F21D6" w:rsidRPr="00047051" w:rsidTr="003B4544">
        <w:trPr>
          <w:trHeight w:val="300"/>
        </w:trPr>
        <w:tc>
          <w:tcPr>
            <w:tcW w:w="321" w:type="pct"/>
            <w:tcBorders>
              <w:top w:val="nil"/>
              <w:left w:val="single" w:sz="8" w:space="0" w:color="auto"/>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29</w:t>
            </w:r>
          </w:p>
        </w:tc>
        <w:tc>
          <w:tcPr>
            <w:tcW w:w="2317"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Interventoría RPCHA</w:t>
            </w:r>
          </w:p>
        </w:tc>
        <w:tc>
          <w:tcPr>
            <w:tcW w:w="1110" w:type="pct"/>
            <w:tcBorders>
              <w:top w:val="nil"/>
              <w:left w:val="nil"/>
              <w:bottom w:val="single" w:sz="4"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4"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Henry Sanabria</w:t>
            </w:r>
          </w:p>
        </w:tc>
      </w:tr>
      <w:tr w:rsidR="003F21D6" w:rsidRPr="00047051" w:rsidTr="003B4544">
        <w:trPr>
          <w:trHeight w:val="315"/>
        </w:trPr>
        <w:tc>
          <w:tcPr>
            <w:tcW w:w="321" w:type="pct"/>
            <w:tcBorders>
              <w:top w:val="nil"/>
              <w:left w:val="single" w:sz="8" w:space="0" w:color="auto"/>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jc w:val="center"/>
              <w:rPr>
                <w:rFonts w:ascii="Calibri" w:eastAsia="Times New Roman" w:hAnsi="Calibri" w:cs="Times New Roman"/>
                <w:color w:val="000000"/>
              </w:rPr>
            </w:pPr>
            <w:r w:rsidRPr="00047051">
              <w:rPr>
                <w:rFonts w:ascii="Calibri" w:eastAsia="Times New Roman" w:hAnsi="Calibri" w:cs="Times New Roman"/>
                <w:color w:val="000000"/>
              </w:rPr>
              <w:t>30</w:t>
            </w:r>
          </w:p>
        </w:tc>
        <w:tc>
          <w:tcPr>
            <w:tcW w:w="2317"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Interventoría Ruta Caribe</w:t>
            </w:r>
          </w:p>
        </w:tc>
        <w:tc>
          <w:tcPr>
            <w:tcW w:w="1110" w:type="pct"/>
            <w:tcBorders>
              <w:top w:val="nil"/>
              <w:left w:val="nil"/>
              <w:bottom w:val="single" w:sz="8" w:space="0" w:color="auto"/>
              <w:right w:val="single" w:sz="4"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Pruebas</w:t>
            </w:r>
          </w:p>
        </w:tc>
        <w:tc>
          <w:tcPr>
            <w:tcW w:w="1251" w:type="pct"/>
            <w:tcBorders>
              <w:top w:val="nil"/>
              <w:left w:val="nil"/>
              <w:bottom w:val="single" w:sz="8" w:space="0" w:color="auto"/>
              <w:right w:val="single" w:sz="8" w:space="0" w:color="auto"/>
            </w:tcBorders>
            <w:shd w:val="clear" w:color="auto" w:fill="auto"/>
            <w:noWrap/>
            <w:vAlign w:val="bottom"/>
            <w:hideMark/>
          </w:tcPr>
          <w:p w:rsidR="003F21D6" w:rsidRPr="00047051" w:rsidRDefault="003F21D6" w:rsidP="003B4544">
            <w:pPr>
              <w:spacing w:after="0" w:line="240" w:lineRule="auto"/>
              <w:rPr>
                <w:rFonts w:ascii="Calibri" w:eastAsia="Times New Roman" w:hAnsi="Calibri" w:cs="Times New Roman"/>
                <w:color w:val="000000"/>
              </w:rPr>
            </w:pPr>
            <w:r w:rsidRPr="00047051">
              <w:rPr>
                <w:rFonts w:ascii="Calibri" w:eastAsia="Times New Roman" w:hAnsi="Calibri" w:cs="Times New Roman"/>
                <w:color w:val="000000"/>
              </w:rPr>
              <w:t>Henry Sanabria</w:t>
            </w:r>
          </w:p>
        </w:tc>
      </w:tr>
    </w:tbl>
    <w:p w:rsidR="003F21D6" w:rsidRDefault="003F21D6" w:rsidP="003F21D6">
      <w:pPr>
        <w:spacing w:after="0" w:line="240" w:lineRule="auto"/>
        <w:jc w:val="both"/>
        <w:rPr>
          <w:rFonts w:ascii="Arial Narrow" w:eastAsia="Times New Roman" w:hAnsi="Arial Narrow" w:cs="Calibri"/>
          <w:color w:val="000000"/>
        </w:rPr>
      </w:pPr>
    </w:p>
    <w:p w:rsidR="003F21D6" w:rsidRPr="00DE50BB" w:rsidRDefault="003F21D6" w:rsidP="003F21D6">
      <w:pPr>
        <w:spacing w:after="0" w:line="240" w:lineRule="auto"/>
        <w:jc w:val="center"/>
        <w:rPr>
          <w:rFonts w:ascii="Arial Narrow" w:eastAsia="Times New Roman" w:hAnsi="Arial Narrow" w:cs="Calibri"/>
          <w:color w:val="000000"/>
        </w:rPr>
      </w:pPr>
    </w:p>
    <w:p w:rsidR="003F21D6" w:rsidRPr="002C05C2" w:rsidRDefault="003F21D6" w:rsidP="003F21D6">
      <w:pPr>
        <w:contextualSpacing/>
        <w:jc w:val="both"/>
        <w:rPr>
          <w:rFonts w:ascii="Calibri" w:hAnsi="Calibri" w:cs="Calibri"/>
          <w:b/>
        </w:rPr>
      </w:pPr>
      <w:r w:rsidRPr="002C05C2">
        <w:rPr>
          <w:rFonts w:ascii="Calibri" w:hAnsi="Calibri" w:cs="Calibri"/>
          <w:b/>
        </w:rPr>
        <w:t xml:space="preserve">PROCESOS JUDICIALES Y EXTRAJUDICIALES </w:t>
      </w:r>
    </w:p>
    <w:p w:rsidR="003F21D6" w:rsidRPr="002C05C2" w:rsidRDefault="003F21D6" w:rsidP="003F21D6">
      <w:pPr>
        <w:ind w:left="720"/>
        <w:contextualSpacing/>
        <w:jc w:val="both"/>
        <w:rPr>
          <w:rFonts w:ascii="Calibri" w:hAnsi="Calibri" w:cs="Calibri"/>
          <w:b/>
        </w:rPr>
      </w:pPr>
    </w:p>
    <w:p w:rsidR="003F21D6" w:rsidRPr="002C05C2" w:rsidRDefault="003F21D6" w:rsidP="003F21D6">
      <w:pPr>
        <w:spacing w:after="0" w:line="240" w:lineRule="auto"/>
        <w:jc w:val="both"/>
        <w:rPr>
          <w:rFonts w:ascii="Calibri" w:eastAsia="Times New Roman" w:hAnsi="Calibri" w:cs="Calibri"/>
          <w:lang w:val="es-MX" w:eastAsia="es-MX"/>
        </w:rPr>
      </w:pPr>
      <w:r w:rsidRPr="002C05C2">
        <w:rPr>
          <w:rFonts w:ascii="Calibri" w:eastAsia="Times New Roman" w:hAnsi="Calibri" w:cs="Calibri"/>
          <w:b/>
          <w:lang w:val="es-MX" w:eastAsia="es-MX"/>
        </w:rPr>
        <w:t xml:space="preserve">Actividad: </w:t>
      </w:r>
      <w:r w:rsidRPr="002C05C2">
        <w:rPr>
          <w:rFonts w:ascii="Calibri" w:eastAsia="Times New Roman" w:hAnsi="Calibri" w:cs="Calibri"/>
          <w:lang w:val="es-MX" w:eastAsia="es-MX"/>
        </w:rPr>
        <w:t>Ejercer la representación de la Agencia dentro de los procesos judiciales y extrajudiciales  en los que la Entidad sea parte activa o pasiva, convocante o convocada.</w:t>
      </w:r>
    </w:p>
    <w:p w:rsidR="003F21D6" w:rsidRPr="002C05C2" w:rsidRDefault="003F21D6" w:rsidP="003F21D6">
      <w:pPr>
        <w:spacing w:after="0" w:line="240" w:lineRule="auto"/>
        <w:jc w:val="both"/>
        <w:rPr>
          <w:rFonts w:ascii="Calibri" w:eastAsia="Times New Roman" w:hAnsi="Calibri" w:cs="Calibri"/>
          <w:lang w:val="es-MX" w:eastAsia="es-MX"/>
        </w:rPr>
      </w:pPr>
    </w:p>
    <w:p w:rsidR="003F21D6" w:rsidRPr="002C05C2" w:rsidRDefault="003F21D6" w:rsidP="003F21D6">
      <w:pPr>
        <w:contextualSpacing/>
        <w:jc w:val="both"/>
        <w:rPr>
          <w:rFonts w:ascii="Calibri" w:eastAsia="Times New Roman" w:hAnsi="Calibri" w:cs="Calibri"/>
          <w:b/>
          <w:lang w:val="es-MX" w:eastAsia="es-MX"/>
        </w:rPr>
      </w:pPr>
      <w:r w:rsidRPr="002C05C2">
        <w:rPr>
          <w:rFonts w:ascii="Calibri" w:eastAsia="Times New Roman" w:hAnsi="Calibri" w:cs="Calibri"/>
          <w:b/>
          <w:lang w:val="es-MX" w:eastAsia="es-MX"/>
        </w:rPr>
        <w:t>Avance: 100 %</w:t>
      </w:r>
    </w:p>
    <w:p w:rsidR="003F21D6" w:rsidRPr="002C05C2" w:rsidRDefault="003F21D6" w:rsidP="003F21D6">
      <w:pPr>
        <w:contextualSpacing/>
        <w:jc w:val="both"/>
        <w:rPr>
          <w:rFonts w:ascii="Calibri" w:hAnsi="Calibri" w:cs="Calibri"/>
          <w:b/>
        </w:rPr>
      </w:pPr>
    </w:p>
    <w:p w:rsidR="003F21D6" w:rsidRPr="002C05C2" w:rsidRDefault="003F21D6" w:rsidP="003F21D6">
      <w:pPr>
        <w:spacing w:after="0" w:line="240" w:lineRule="auto"/>
        <w:jc w:val="both"/>
        <w:rPr>
          <w:rFonts w:ascii="Calibri" w:eastAsia="Times New Roman" w:hAnsi="Calibri" w:cs="Calibri"/>
        </w:rPr>
      </w:pPr>
      <w:r w:rsidRPr="002C05C2">
        <w:rPr>
          <w:rFonts w:ascii="Calibri" w:eastAsia="Times New Roman" w:hAnsi="Calibri" w:cs="Calibri"/>
        </w:rPr>
        <w:t>Se ha ejercido la representación de la Entidad dentro de todos los procesos judiciales y extrajudiciales en los que la Entidad es parte</w:t>
      </w:r>
    </w:p>
    <w:p w:rsidR="003F21D6" w:rsidRPr="002C05C2" w:rsidRDefault="003F21D6" w:rsidP="003F21D6">
      <w:pPr>
        <w:spacing w:after="0" w:line="240" w:lineRule="auto"/>
        <w:jc w:val="both"/>
        <w:rPr>
          <w:rFonts w:ascii="Calibri" w:eastAsia="Times New Roman" w:hAnsi="Calibri" w:cs="Calibri"/>
        </w:rPr>
      </w:pPr>
    </w:p>
    <w:p w:rsidR="003F21D6" w:rsidRPr="002C05C2" w:rsidRDefault="003F21D6" w:rsidP="003F21D6">
      <w:pPr>
        <w:spacing w:after="0" w:line="240" w:lineRule="auto"/>
        <w:jc w:val="both"/>
        <w:rPr>
          <w:rFonts w:ascii="Calibri" w:eastAsia="Times New Roman" w:hAnsi="Calibri" w:cs="Calibri"/>
          <w:b/>
          <w:lang w:val="es-MX" w:eastAsia="es-MX"/>
        </w:rPr>
      </w:pPr>
      <w:r w:rsidRPr="002C05C2">
        <w:rPr>
          <w:rFonts w:ascii="Calibri" w:eastAsia="Times New Roman" w:hAnsi="Calibri" w:cs="Calibri"/>
        </w:rPr>
        <w:t>Se tienen activos 880 procesos judiciales así</w:t>
      </w:r>
    </w:p>
    <w:p w:rsidR="003F21D6" w:rsidRDefault="003F21D6" w:rsidP="003F21D6">
      <w:pPr>
        <w:spacing w:after="0" w:line="240" w:lineRule="auto"/>
        <w:jc w:val="center"/>
        <w:rPr>
          <w:rFonts w:ascii="Arial Narrow" w:eastAsia="Times New Roman" w:hAnsi="Arial Narrow" w:cs="Arial"/>
          <w:b/>
          <w:lang w:val="es-MX" w:eastAsia="es-MX"/>
        </w:rPr>
      </w:pPr>
      <w:r w:rsidRPr="00047051">
        <w:rPr>
          <w:rFonts w:ascii="Arial Narrow" w:eastAsia="Times New Roman" w:hAnsi="Arial Narrow" w:cs="Arial"/>
          <w:b/>
          <w:noProof/>
        </w:rPr>
        <w:drawing>
          <wp:inline distT="0" distB="0" distL="0" distR="0" wp14:anchorId="7D33EA1E" wp14:editId="4BA98765">
            <wp:extent cx="4063042" cy="2378880"/>
            <wp:effectExtent l="0" t="0" r="0" b="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24"/>
                    <a:stretch>
                      <a:fillRect/>
                    </a:stretch>
                  </pic:blipFill>
                  <pic:spPr>
                    <a:xfrm>
                      <a:off x="0" y="0"/>
                      <a:ext cx="4066126" cy="2380686"/>
                    </a:xfrm>
                    <a:prstGeom prst="rect">
                      <a:avLst/>
                    </a:prstGeom>
                  </pic:spPr>
                </pic:pic>
              </a:graphicData>
            </a:graphic>
          </wp:inline>
        </w:drawing>
      </w:r>
    </w:p>
    <w:p w:rsidR="003F21D6" w:rsidRDefault="003F21D6" w:rsidP="003F21D6">
      <w:pPr>
        <w:spacing w:after="0" w:line="240" w:lineRule="auto"/>
        <w:jc w:val="both"/>
        <w:rPr>
          <w:rFonts w:ascii="Arial Narrow" w:eastAsia="Times New Roman" w:hAnsi="Arial Narrow" w:cs="Arial"/>
          <w:b/>
          <w:lang w:val="es-MX" w:eastAsia="es-MX"/>
        </w:rPr>
      </w:pPr>
    </w:p>
    <w:p w:rsidR="003F21D6" w:rsidRPr="002C05C2" w:rsidRDefault="003F21D6" w:rsidP="003F21D6">
      <w:pPr>
        <w:contextualSpacing/>
        <w:jc w:val="both"/>
        <w:rPr>
          <w:rFonts w:cstheme="minorHAnsi"/>
          <w:b/>
        </w:rPr>
      </w:pPr>
      <w:r w:rsidRPr="002C05C2">
        <w:rPr>
          <w:rFonts w:cstheme="minorHAnsi"/>
          <w:b/>
        </w:rPr>
        <w:t>COMITÉ DE CONCILIACIÓN</w:t>
      </w:r>
    </w:p>
    <w:p w:rsidR="003F21D6" w:rsidRPr="002C05C2" w:rsidRDefault="003F21D6" w:rsidP="003F21D6">
      <w:pPr>
        <w:ind w:left="720"/>
        <w:contextualSpacing/>
        <w:jc w:val="both"/>
        <w:rPr>
          <w:rFonts w:cstheme="minorHAnsi"/>
          <w:b/>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lastRenderedPageBreak/>
        <w:t xml:space="preserve">Actividad: </w:t>
      </w:r>
      <w:r w:rsidRPr="002C05C2">
        <w:rPr>
          <w:rFonts w:eastAsia="Times New Roman" w:cstheme="minorHAnsi"/>
          <w:lang w:val="es-MX" w:eastAsia="es-MX"/>
        </w:rPr>
        <w:t>Reunir mínimo dos (2) vez al mes al Comité de Conciliación.- Grupo Interno de Trabajo de Defensa Judicial..</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b/>
          <w:color w:val="000000"/>
        </w:rPr>
      </w:pPr>
      <w:r w:rsidRPr="002C05C2">
        <w:rPr>
          <w:rFonts w:eastAsia="Times New Roman" w:cstheme="minorHAnsi"/>
          <w:b/>
          <w:color w:val="000000"/>
        </w:rPr>
        <w:t xml:space="preserve">REPORTE: </w:t>
      </w:r>
    </w:p>
    <w:p w:rsidR="003F21D6" w:rsidRPr="002C05C2" w:rsidRDefault="003F21D6" w:rsidP="003F21D6">
      <w:pPr>
        <w:spacing w:after="0" w:line="240" w:lineRule="auto"/>
        <w:jc w:val="both"/>
        <w:rPr>
          <w:rFonts w:eastAsia="Times New Roman" w:cstheme="minorHAnsi"/>
          <w:color w:val="000000"/>
        </w:rPr>
      </w:pPr>
    </w:p>
    <w:p w:rsidR="003F21D6" w:rsidRPr="002C05C2" w:rsidRDefault="003F21D6" w:rsidP="003F21D6">
      <w:pPr>
        <w:spacing w:after="0" w:line="240" w:lineRule="auto"/>
        <w:jc w:val="both"/>
        <w:rPr>
          <w:rFonts w:eastAsia="Times New Roman" w:cstheme="minorHAnsi"/>
          <w:color w:val="000000"/>
        </w:rPr>
      </w:pPr>
      <w:r w:rsidRPr="002C05C2">
        <w:rPr>
          <w:rFonts w:eastAsia="Times New Roman" w:cstheme="minorHAnsi"/>
          <w:color w:val="000000"/>
        </w:rPr>
        <w:t>A corte 30 de junio de 2015, el Comité de Conciliación ha sesionado en 22 ocasiones así:</w:t>
      </w:r>
    </w:p>
    <w:p w:rsidR="003F21D6" w:rsidRDefault="003F21D6" w:rsidP="003F21D6">
      <w:pPr>
        <w:contextualSpacing/>
        <w:jc w:val="both"/>
        <w:rPr>
          <w:rFonts w:ascii="Arial Narrow" w:hAnsi="Arial Narrow"/>
          <w:b/>
        </w:rPr>
      </w:pPr>
    </w:p>
    <w:p w:rsidR="003F21D6" w:rsidRDefault="003F21D6" w:rsidP="003F21D6">
      <w:pPr>
        <w:contextualSpacing/>
        <w:jc w:val="both"/>
        <w:rPr>
          <w:rFonts w:ascii="Arial Narrow" w:hAnsi="Arial Narrow"/>
          <w:b/>
        </w:rPr>
      </w:pPr>
    </w:p>
    <w:tbl>
      <w:tblPr>
        <w:tblW w:w="5000" w:type="pct"/>
        <w:jc w:val="center"/>
        <w:shd w:val="clear" w:color="auto" w:fill="FFFFFF"/>
        <w:tblCellMar>
          <w:left w:w="0" w:type="dxa"/>
          <w:right w:w="0" w:type="dxa"/>
        </w:tblCellMar>
        <w:tblLook w:val="04A0" w:firstRow="1" w:lastRow="0" w:firstColumn="1" w:lastColumn="0" w:noHBand="0" w:noVBand="1"/>
      </w:tblPr>
      <w:tblGrid>
        <w:gridCol w:w="811"/>
        <w:gridCol w:w="2446"/>
        <w:gridCol w:w="2446"/>
        <w:gridCol w:w="3115"/>
      </w:tblGrid>
      <w:tr w:rsidR="003F21D6" w:rsidRPr="00EA4DEF" w:rsidTr="003B4544">
        <w:trPr>
          <w:trHeight w:val="454"/>
          <w:tblHeader/>
          <w:jc w:val="center"/>
        </w:trPr>
        <w:tc>
          <w:tcPr>
            <w:tcW w:w="46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No. de Sesión</w:t>
            </w:r>
          </w:p>
        </w:tc>
        <w:tc>
          <w:tcPr>
            <w:tcW w:w="138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000000"/>
                <w:sz w:val="18"/>
                <w:szCs w:val="18"/>
              </w:rPr>
              <w:t>Tipo de sesión</w:t>
            </w:r>
          </w:p>
        </w:tc>
        <w:tc>
          <w:tcPr>
            <w:tcW w:w="138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Fecha Comité Convocado</w:t>
            </w:r>
          </w:p>
        </w:tc>
        <w:tc>
          <w:tcPr>
            <w:tcW w:w="176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Fecha de Comité celebrado</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1</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ORDINARIA</w:t>
            </w:r>
            <w:r>
              <w:rPr>
                <w:rFonts w:ascii="Arial Narrow" w:hAnsi="Arial Narrow"/>
                <w:color w:val="000000"/>
                <w:sz w:val="18"/>
                <w:szCs w:val="18"/>
              </w:rPr>
              <w:t xml:space="preserve"> </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 xml:space="preserve"> </w:t>
            </w:r>
            <w:r>
              <w:rPr>
                <w:rFonts w:ascii="Arial Narrow" w:hAnsi="Arial Narrow"/>
                <w:color w:val="000000"/>
                <w:sz w:val="18"/>
                <w:szCs w:val="18"/>
              </w:rPr>
              <w:t xml:space="preserve">13 </w:t>
            </w:r>
            <w:r w:rsidRPr="00EA4DEF">
              <w:rPr>
                <w:rFonts w:ascii="Arial Narrow" w:hAnsi="Arial Narrow"/>
                <w:color w:val="000000"/>
                <w:sz w:val="18"/>
                <w:szCs w:val="18"/>
              </w:rPr>
              <w:t>DE ENERO DE 2015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13</w:t>
            </w:r>
            <w:r w:rsidRPr="00EA4DEF">
              <w:rPr>
                <w:rFonts w:ascii="Arial Narrow" w:hAnsi="Arial Narrow"/>
                <w:color w:val="000000"/>
                <w:sz w:val="18"/>
                <w:szCs w:val="18"/>
              </w:rPr>
              <w:t xml:space="preserve"> DE ENERO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2</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ORDINARIA</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19</w:t>
            </w:r>
            <w:r w:rsidRPr="00EA4DEF">
              <w:rPr>
                <w:rFonts w:ascii="Arial Narrow" w:hAnsi="Arial Narrow"/>
                <w:color w:val="000000"/>
                <w:sz w:val="18"/>
                <w:szCs w:val="18"/>
              </w:rPr>
              <w:t xml:space="preserve"> DE ENERO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 xml:space="preserve">19 </w:t>
            </w:r>
            <w:r w:rsidRPr="00EA4DEF">
              <w:rPr>
                <w:rFonts w:ascii="Arial Narrow" w:hAnsi="Arial Narrow"/>
                <w:color w:val="000000"/>
                <w:sz w:val="18"/>
                <w:szCs w:val="18"/>
              </w:rPr>
              <w:t>DE ENERO DE 2014</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3</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EXTRAORDINARIA</w:t>
            </w:r>
            <w:r>
              <w:rPr>
                <w:rFonts w:ascii="Arial Narrow" w:hAnsi="Arial Narrow"/>
                <w:color w:val="000000"/>
                <w:sz w:val="18"/>
                <w:szCs w:val="18"/>
              </w:rPr>
              <w:t xml:space="preserve"> </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22</w:t>
            </w:r>
            <w:r w:rsidRPr="00EA4DEF">
              <w:rPr>
                <w:rFonts w:ascii="Arial Narrow" w:hAnsi="Arial Narrow"/>
                <w:color w:val="000000"/>
                <w:sz w:val="18"/>
                <w:szCs w:val="18"/>
              </w:rPr>
              <w:t xml:space="preserve"> DE ENERO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22</w:t>
            </w:r>
            <w:r w:rsidRPr="00EA4DEF">
              <w:rPr>
                <w:rFonts w:ascii="Arial Narrow" w:hAnsi="Arial Narrow"/>
                <w:color w:val="000000"/>
                <w:sz w:val="18"/>
                <w:szCs w:val="18"/>
              </w:rPr>
              <w:t xml:space="preserve"> DE ENERO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4</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EXTRAORDINARIA</w:t>
            </w:r>
            <w:r>
              <w:rPr>
                <w:rFonts w:ascii="Arial Narrow" w:hAnsi="Arial Narrow"/>
                <w:color w:val="000000"/>
                <w:sz w:val="18"/>
                <w:szCs w:val="18"/>
              </w:rPr>
              <w:t xml:space="preserve"> </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5975EA">
              <w:rPr>
                <w:rFonts w:ascii="Arial Narrow" w:hAnsi="Arial Narrow"/>
                <w:sz w:val="18"/>
                <w:szCs w:val="18"/>
              </w:rPr>
              <w:t xml:space="preserve">26 </w:t>
            </w:r>
            <w:r w:rsidRPr="00EA4DEF">
              <w:rPr>
                <w:rFonts w:ascii="Arial Narrow" w:hAnsi="Arial Narrow"/>
                <w:color w:val="000000"/>
                <w:sz w:val="18"/>
                <w:szCs w:val="18"/>
              </w:rPr>
              <w:t xml:space="preserve">DE </w:t>
            </w:r>
            <w:r>
              <w:rPr>
                <w:rFonts w:ascii="Arial Narrow" w:hAnsi="Arial Narrow"/>
                <w:color w:val="000000"/>
                <w:sz w:val="18"/>
                <w:szCs w:val="18"/>
              </w:rPr>
              <w:t xml:space="preserve">ENERO </w:t>
            </w:r>
            <w:r w:rsidRPr="00EA4DEF">
              <w:rPr>
                <w:rFonts w:ascii="Arial Narrow" w:hAnsi="Arial Narrow"/>
                <w:color w:val="000000"/>
                <w:sz w:val="18"/>
                <w:szCs w:val="18"/>
              </w:rPr>
              <w:t>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26</w:t>
            </w:r>
            <w:r w:rsidRPr="00EA4DEF">
              <w:rPr>
                <w:rFonts w:ascii="Arial Narrow" w:hAnsi="Arial Narrow"/>
                <w:color w:val="000000"/>
                <w:sz w:val="18"/>
                <w:szCs w:val="18"/>
              </w:rPr>
              <w:t xml:space="preserve"> DE </w:t>
            </w:r>
            <w:r>
              <w:rPr>
                <w:rFonts w:ascii="Arial Narrow" w:hAnsi="Arial Narrow"/>
                <w:color w:val="000000"/>
                <w:sz w:val="18"/>
                <w:szCs w:val="18"/>
              </w:rPr>
              <w:t xml:space="preserve">ENERO </w:t>
            </w:r>
            <w:r w:rsidRPr="00EA4DEF">
              <w:rPr>
                <w:rFonts w:ascii="Arial Narrow" w:hAnsi="Arial Narrow"/>
                <w:color w:val="000000"/>
                <w:sz w:val="18"/>
                <w:szCs w:val="18"/>
              </w:rPr>
              <w:t>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5</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EXTRAORDINARIA</w:t>
            </w:r>
            <w:r>
              <w:rPr>
                <w:rFonts w:ascii="Arial Narrow" w:hAnsi="Arial Narrow"/>
                <w:color w:val="000000"/>
                <w:sz w:val="18"/>
                <w:szCs w:val="18"/>
              </w:rPr>
              <w:t xml:space="preserve"> </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5975EA">
              <w:rPr>
                <w:rFonts w:ascii="Arial Narrow" w:hAnsi="Arial Narrow"/>
                <w:sz w:val="18"/>
                <w:szCs w:val="18"/>
              </w:rPr>
              <w:t>3 DE</w:t>
            </w:r>
            <w:r w:rsidRPr="00EA4DEF">
              <w:rPr>
                <w:rFonts w:ascii="Arial Narrow" w:hAnsi="Arial Narrow"/>
                <w:color w:val="000000"/>
                <w:sz w:val="18"/>
                <w:szCs w:val="18"/>
              </w:rPr>
              <w:t xml:space="preserve"> </w:t>
            </w:r>
            <w:r>
              <w:rPr>
                <w:rFonts w:ascii="Arial Narrow" w:hAnsi="Arial Narrow"/>
                <w:color w:val="000000"/>
                <w:sz w:val="18"/>
                <w:szCs w:val="18"/>
              </w:rPr>
              <w:t>FEBRERO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3</w:t>
            </w:r>
            <w:r w:rsidRPr="00EA4DEF">
              <w:rPr>
                <w:rFonts w:ascii="Arial Narrow" w:hAnsi="Arial Narrow"/>
                <w:color w:val="000000"/>
                <w:sz w:val="18"/>
                <w:szCs w:val="18"/>
              </w:rPr>
              <w:t xml:space="preserve"> DE </w:t>
            </w:r>
            <w:r>
              <w:rPr>
                <w:rFonts w:ascii="Arial Narrow" w:hAnsi="Arial Narrow"/>
                <w:color w:val="000000"/>
                <w:sz w:val="18"/>
                <w:szCs w:val="18"/>
              </w:rPr>
              <w:t>FEBRERO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6</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ORDINARIA</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 xml:space="preserve">6 </w:t>
            </w:r>
            <w:r w:rsidRPr="00EA4DEF">
              <w:rPr>
                <w:rFonts w:ascii="Arial Narrow" w:hAnsi="Arial Narrow"/>
                <w:color w:val="000000"/>
                <w:sz w:val="18"/>
                <w:szCs w:val="18"/>
              </w:rPr>
              <w:t xml:space="preserve">DE </w:t>
            </w:r>
            <w:r>
              <w:rPr>
                <w:rFonts w:ascii="Arial Narrow" w:hAnsi="Arial Narrow"/>
                <w:color w:val="000000"/>
                <w:sz w:val="18"/>
                <w:szCs w:val="18"/>
              </w:rPr>
              <w:t>FEBRERO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 xml:space="preserve">6 </w:t>
            </w:r>
            <w:r w:rsidRPr="00EA4DEF">
              <w:rPr>
                <w:rFonts w:ascii="Arial Narrow" w:hAnsi="Arial Narrow"/>
                <w:color w:val="000000"/>
                <w:sz w:val="18"/>
                <w:szCs w:val="18"/>
              </w:rPr>
              <w:t xml:space="preserve">DE </w:t>
            </w:r>
            <w:r>
              <w:rPr>
                <w:rFonts w:ascii="Arial Narrow" w:hAnsi="Arial Narrow"/>
                <w:color w:val="000000"/>
                <w:sz w:val="18"/>
                <w:szCs w:val="18"/>
              </w:rPr>
              <w:t>FEBRERO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7</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ORDINARIA</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11</w:t>
            </w:r>
            <w:r w:rsidRPr="00EA4DEF">
              <w:rPr>
                <w:rFonts w:ascii="Arial Narrow" w:hAnsi="Arial Narrow"/>
                <w:color w:val="000000"/>
                <w:sz w:val="18"/>
                <w:szCs w:val="18"/>
              </w:rPr>
              <w:t xml:space="preserve"> DE </w:t>
            </w:r>
            <w:r>
              <w:rPr>
                <w:rFonts w:ascii="Arial Narrow" w:hAnsi="Arial Narrow"/>
                <w:color w:val="000000"/>
                <w:sz w:val="18"/>
                <w:szCs w:val="18"/>
              </w:rPr>
              <w:t>FEBRERO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11</w:t>
            </w:r>
            <w:r w:rsidRPr="00EA4DEF">
              <w:rPr>
                <w:rFonts w:ascii="Arial Narrow" w:hAnsi="Arial Narrow"/>
                <w:color w:val="000000"/>
                <w:sz w:val="18"/>
                <w:szCs w:val="18"/>
              </w:rPr>
              <w:t xml:space="preserve"> DE </w:t>
            </w:r>
            <w:r>
              <w:rPr>
                <w:rFonts w:ascii="Arial Narrow" w:hAnsi="Arial Narrow"/>
                <w:color w:val="000000"/>
                <w:sz w:val="18"/>
                <w:szCs w:val="18"/>
              </w:rPr>
              <w:t>FEBRERO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jc w:val="center"/>
              <w:rPr>
                <w:rFonts w:ascii="Arial Narrow" w:hAnsi="Arial Narrow"/>
                <w:b/>
                <w:bCs/>
                <w:color w:val="212121"/>
                <w:sz w:val="18"/>
                <w:szCs w:val="18"/>
              </w:rPr>
            </w:pP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ORDINARIA</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rPr>
                <w:rFonts w:ascii="Arial Narrow" w:hAnsi="Arial Narrow"/>
                <w:color w:val="000000"/>
                <w:sz w:val="18"/>
                <w:szCs w:val="18"/>
              </w:rPr>
            </w:pPr>
            <w:r>
              <w:rPr>
                <w:rFonts w:ascii="Arial Narrow" w:hAnsi="Arial Narrow"/>
                <w:color w:val="000000"/>
                <w:sz w:val="18"/>
                <w:szCs w:val="18"/>
              </w:rPr>
              <w:t>19</w:t>
            </w:r>
            <w:r w:rsidRPr="00EA4DEF">
              <w:rPr>
                <w:rFonts w:ascii="Arial Narrow" w:hAnsi="Arial Narrow"/>
                <w:color w:val="000000"/>
                <w:sz w:val="18"/>
                <w:szCs w:val="18"/>
              </w:rPr>
              <w:t xml:space="preserve"> DE </w:t>
            </w:r>
            <w:r>
              <w:rPr>
                <w:rFonts w:ascii="Arial Narrow" w:hAnsi="Arial Narrow"/>
                <w:color w:val="000000"/>
                <w:sz w:val="18"/>
                <w:szCs w:val="18"/>
              </w:rPr>
              <w:t>FEBRERO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rPr>
                <w:rFonts w:ascii="Arial Narrow" w:hAnsi="Arial Narrow"/>
                <w:color w:val="000000"/>
                <w:sz w:val="18"/>
                <w:szCs w:val="18"/>
              </w:rPr>
            </w:pPr>
            <w:r>
              <w:rPr>
                <w:rFonts w:ascii="Arial Narrow" w:hAnsi="Arial Narrow"/>
                <w:color w:val="000000"/>
                <w:sz w:val="18"/>
                <w:szCs w:val="18"/>
              </w:rPr>
              <w:t>19</w:t>
            </w:r>
            <w:r w:rsidRPr="00EA4DEF">
              <w:rPr>
                <w:rFonts w:ascii="Arial Narrow" w:hAnsi="Arial Narrow"/>
                <w:color w:val="000000"/>
                <w:sz w:val="18"/>
                <w:szCs w:val="18"/>
              </w:rPr>
              <w:t xml:space="preserve"> DE </w:t>
            </w:r>
            <w:r>
              <w:rPr>
                <w:rFonts w:ascii="Arial Narrow" w:hAnsi="Arial Narrow"/>
                <w:color w:val="000000"/>
                <w:sz w:val="18"/>
                <w:szCs w:val="18"/>
              </w:rPr>
              <w:t>FEBRERO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8</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ORDINARIA</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2</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3</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9</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EXTRAORDINARIA</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4</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4</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10</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EXTRAORDINARIA</w:t>
            </w:r>
          </w:p>
        </w:tc>
        <w:tc>
          <w:tcPr>
            <w:tcW w:w="138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9</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9</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jc w:val="center"/>
              <w:rPr>
                <w:rFonts w:ascii="Arial Narrow" w:hAnsi="Arial Narrow"/>
                <w:color w:val="212121"/>
              </w:rPr>
            </w:pPr>
            <w:r w:rsidRPr="00EA4DEF">
              <w:rPr>
                <w:rFonts w:ascii="Arial Narrow" w:hAnsi="Arial Narrow"/>
                <w:b/>
                <w:bCs/>
                <w:color w:val="212121"/>
                <w:sz w:val="18"/>
                <w:szCs w:val="18"/>
              </w:rPr>
              <w:t>11</w:t>
            </w:r>
          </w:p>
        </w:tc>
        <w:tc>
          <w:tcPr>
            <w:tcW w:w="1387"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ORDINARIA</w:t>
            </w:r>
          </w:p>
        </w:tc>
        <w:tc>
          <w:tcPr>
            <w:tcW w:w="1387"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9</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 xml:space="preserve">10 </w:t>
            </w:r>
            <w:r w:rsidRPr="00EA4DEF">
              <w:rPr>
                <w:rFonts w:ascii="Arial Narrow" w:hAnsi="Arial Narrow"/>
                <w:color w:val="000000"/>
                <w:sz w:val="18"/>
                <w:szCs w:val="18"/>
              </w:rPr>
              <w:t xml:space="preserve">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12</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18</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18</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13</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27</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sidRPr="00EA4DEF">
              <w:rPr>
                <w:rFonts w:ascii="Arial Narrow" w:hAnsi="Arial Narrow"/>
                <w:color w:val="000000"/>
                <w:sz w:val="18"/>
                <w:szCs w:val="18"/>
              </w:rPr>
              <w:t xml:space="preserve"> </w:t>
            </w:r>
            <w:r>
              <w:rPr>
                <w:rFonts w:ascii="Arial Narrow" w:hAnsi="Arial Narrow"/>
                <w:color w:val="000000"/>
                <w:sz w:val="18"/>
                <w:szCs w:val="18"/>
              </w:rPr>
              <w:t xml:space="preserve">27 </w:t>
            </w:r>
            <w:r w:rsidRPr="00EA4DEF">
              <w:rPr>
                <w:rFonts w:ascii="Arial Narrow" w:hAnsi="Arial Narrow"/>
                <w:color w:val="000000"/>
                <w:sz w:val="18"/>
                <w:szCs w:val="18"/>
              </w:rPr>
              <w:t xml:space="preserve">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14</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31</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31</w:t>
            </w:r>
            <w:r w:rsidRPr="00EA4DEF">
              <w:rPr>
                <w:rFonts w:ascii="Arial Narrow" w:hAnsi="Arial Narrow"/>
                <w:color w:val="000000"/>
                <w:sz w:val="18"/>
                <w:szCs w:val="18"/>
              </w:rPr>
              <w:t xml:space="preserve"> DE </w:t>
            </w:r>
            <w:r>
              <w:rPr>
                <w:rFonts w:ascii="Arial Narrow" w:hAnsi="Arial Narrow"/>
                <w:color w:val="000000"/>
                <w:sz w:val="18"/>
                <w:szCs w:val="18"/>
              </w:rPr>
              <w:t>MARZO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15</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6</w:t>
            </w:r>
            <w:r w:rsidRPr="00EA4DEF">
              <w:rPr>
                <w:rFonts w:ascii="Arial Narrow" w:hAnsi="Arial Narrow"/>
                <w:color w:val="000000"/>
                <w:sz w:val="18"/>
                <w:szCs w:val="18"/>
              </w:rPr>
              <w:t xml:space="preserve"> 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6</w:t>
            </w:r>
            <w:r w:rsidRPr="00EA4DEF">
              <w:rPr>
                <w:rFonts w:ascii="Arial Narrow" w:hAnsi="Arial Narrow"/>
                <w:color w:val="000000"/>
                <w:sz w:val="18"/>
                <w:szCs w:val="18"/>
              </w:rPr>
              <w:t xml:space="preserve"> 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16</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 xml:space="preserve">13 </w:t>
            </w:r>
            <w:r w:rsidRPr="00EA4DEF">
              <w:rPr>
                <w:rFonts w:ascii="Arial Narrow" w:hAnsi="Arial Narrow"/>
                <w:color w:val="000000"/>
                <w:sz w:val="18"/>
                <w:szCs w:val="18"/>
              </w:rPr>
              <w:t xml:space="preserve">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13</w:t>
            </w:r>
            <w:r w:rsidRPr="00EA4DEF">
              <w:rPr>
                <w:rFonts w:ascii="Arial Narrow" w:hAnsi="Arial Narrow"/>
                <w:color w:val="000000"/>
                <w:sz w:val="18"/>
                <w:szCs w:val="18"/>
              </w:rPr>
              <w:t xml:space="preserve"> 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17</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10</w:t>
            </w:r>
            <w:r w:rsidRPr="00EA4DEF">
              <w:rPr>
                <w:rFonts w:ascii="Arial Narrow" w:hAnsi="Arial Narrow"/>
                <w:color w:val="000000"/>
                <w:sz w:val="18"/>
                <w:szCs w:val="18"/>
              </w:rPr>
              <w:t xml:space="preserve"> 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10</w:t>
            </w:r>
            <w:r w:rsidRPr="00EA4DEF">
              <w:rPr>
                <w:rFonts w:ascii="Arial Narrow" w:hAnsi="Arial Narrow"/>
                <w:color w:val="000000"/>
                <w:sz w:val="18"/>
                <w:szCs w:val="18"/>
              </w:rPr>
              <w:t xml:space="preserve"> 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18</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14</w:t>
            </w:r>
            <w:r w:rsidRPr="00EA4DEF">
              <w:rPr>
                <w:rFonts w:ascii="Arial Narrow" w:hAnsi="Arial Narrow"/>
                <w:color w:val="000000"/>
                <w:sz w:val="18"/>
                <w:szCs w:val="18"/>
              </w:rPr>
              <w:t xml:space="preserve"> 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 xml:space="preserve">14 </w:t>
            </w:r>
            <w:r w:rsidRPr="00EA4DEF">
              <w:rPr>
                <w:rFonts w:ascii="Arial Narrow" w:hAnsi="Arial Narrow"/>
                <w:color w:val="000000"/>
                <w:sz w:val="18"/>
                <w:szCs w:val="18"/>
              </w:rPr>
              <w:t xml:space="preserve">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RPr="00EA4DEF"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19</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20</w:t>
            </w:r>
            <w:r w:rsidRPr="00EA4DEF">
              <w:rPr>
                <w:rFonts w:ascii="Arial Narrow" w:hAnsi="Arial Narrow"/>
                <w:color w:val="000000"/>
                <w:sz w:val="18"/>
                <w:szCs w:val="18"/>
              </w:rPr>
              <w:t xml:space="preserve"> 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20</w:t>
            </w:r>
            <w:r w:rsidRPr="00EA4DEF">
              <w:rPr>
                <w:rFonts w:ascii="Arial Narrow" w:hAnsi="Arial Narrow"/>
                <w:color w:val="000000"/>
                <w:sz w:val="18"/>
                <w:szCs w:val="18"/>
              </w:rPr>
              <w:t xml:space="preserve"> DE </w:t>
            </w:r>
            <w:r>
              <w:rPr>
                <w:rFonts w:ascii="Arial Narrow" w:hAnsi="Arial Narrow"/>
                <w:color w:val="000000"/>
                <w:sz w:val="18"/>
                <w:szCs w:val="18"/>
              </w:rPr>
              <w:t>ABRIL</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20</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212121"/>
              </w:rPr>
            </w:pPr>
            <w:r>
              <w:rPr>
                <w:rFonts w:ascii="Arial Narrow" w:hAnsi="Arial Narrow"/>
                <w:color w:val="000000"/>
                <w:sz w:val="18"/>
                <w:szCs w:val="18"/>
              </w:rPr>
              <w:t>12 DE MAYO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rPr>
                <w:rFonts w:ascii="Arial Narrow" w:hAnsi="Arial Narrow"/>
                <w:color w:val="000000"/>
                <w:sz w:val="18"/>
                <w:szCs w:val="18"/>
              </w:rPr>
            </w:pPr>
            <w:r>
              <w:rPr>
                <w:rFonts w:ascii="Arial Narrow" w:hAnsi="Arial Narrow"/>
                <w:color w:val="000000"/>
                <w:sz w:val="18"/>
                <w:szCs w:val="18"/>
              </w:rPr>
              <w:t>12 DE MAYO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lastRenderedPageBreak/>
              <w:t>21</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EXTRAORDINARIA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rPr>
                <w:rFonts w:ascii="Arial Narrow" w:hAnsi="Arial Narrow"/>
                <w:color w:val="000000"/>
                <w:sz w:val="18"/>
                <w:szCs w:val="18"/>
              </w:rPr>
            </w:pPr>
            <w:r>
              <w:rPr>
                <w:rFonts w:ascii="Arial Narrow" w:hAnsi="Arial Narrow"/>
                <w:color w:val="000000"/>
                <w:sz w:val="18"/>
                <w:szCs w:val="18"/>
              </w:rPr>
              <w:t>22 DE MAYO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rPr>
                <w:rFonts w:ascii="Arial Narrow" w:hAnsi="Arial Narrow"/>
                <w:color w:val="000000"/>
                <w:sz w:val="18"/>
                <w:szCs w:val="18"/>
              </w:rPr>
            </w:pPr>
            <w:r>
              <w:rPr>
                <w:rFonts w:ascii="Arial Narrow" w:hAnsi="Arial Narrow"/>
                <w:color w:val="000000"/>
                <w:sz w:val="18"/>
                <w:szCs w:val="18"/>
              </w:rPr>
              <w:t>22 DE MAYO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r w:rsidR="003F21D6" w:rsidTr="003B4544">
        <w:trPr>
          <w:trHeight w:val="454"/>
          <w:jc w:val="center"/>
        </w:trPr>
        <w:tc>
          <w:tcPr>
            <w:tcW w:w="46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jc w:val="center"/>
              <w:rPr>
                <w:rFonts w:ascii="Arial Narrow" w:hAnsi="Arial Narrow"/>
                <w:b/>
                <w:bCs/>
                <w:color w:val="212121"/>
                <w:sz w:val="18"/>
                <w:szCs w:val="18"/>
              </w:rPr>
            </w:pPr>
            <w:r>
              <w:rPr>
                <w:rFonts w:ascii="Arial Narrow" w:hAnsi="Arial Narrow"/>
                <w:b/>
                <w:bCs/>
                <w:color w:val="212121"/>
                <w:sz w:val="18"/>
                <w:szCs w:val="18"/>
              </w:rPr>
              <w:t>22</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Pr="00EA4DEF" w:rsidRDefault="003F21D6" w:rsidP="003B4544">
            <w:pPr>
              <w:pStyle w:val="xmsonormal"/>
              <w:spacing w:before="0" w:beforeAutospacing="0" w:after="0" w:afterAutospacing="0"/>
              <w:rPr>
                <w:rFonts w:ascii="Arial Narrow" w:hAnsi="Arial Narrow"/>
                <w:color w:val="000000"/>
                <w:sz w:val="18"/>
                <w:szCs w:val="18"/>
              </w:rPr>
            </w:pPr>
            <w:r w:rsidRPr="00EA4DEF">
              <w:rPr>
                <w:rFonts w:ascii="Arial Narrow" w:hAnsi="Arial Narrow"/>
                <w:color w:val="000000"/>
                <w:sz w:val="18"/>
                <w:szCs w:val="18"/>
              </w:rPr>
              <w:t>ORDINARIA</w:t>
            </w:r>
          </w:p>
        </w:tc>
        <w:tc>
          <w:tcPr>
            <w:tcW w:w="138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rPr>
                <w:rFonts w:ascii="Arial Narrow" w:hAnsi="Arial Narrow"/>
                <w:color w:val="000000"/>
                <w:sz w:val="18"/>
                <w:szCs w:val="18"/>
              </w:rPr>
            </w:pPr>
            <w:r>
              <w:rPr>
                <w:rFonts w:ascii="Arial Narrow" w:hAnsi="Arial Narrow"/>
                <w:color w:val="000000"/>
                <w:sz w:val="18"/>
                <w:szCs w:val="18"/>
              </w:rPr>
              <w:t>17 DE JUNIO</w:t>
            </w:r>
            <w:r w:rsidRPr="00EA4DEF">
              <w:rPr>
                <w:rFonts w:ascii="Arial Narrow" w:hAnsi="Arial Narrow"/>
                <w:color w:val="000000"/>
                <w:sz w:val="18"/>
                <w:szCs w:val="18"/>
              </w:rPr>
              <w:t xml:space="preserve"> DE 201</w:t>
            </w:r>
            <w:r>
              <w:rPr>
                <w:rFonts w:ascii="Arial Narrow" w:hAnsi="Arial Narrow"/>
                <w:color w:val="000000"/>
                <w:sz w:val="18"/>
                <w:szCs w:val="18"/>
              </w:rPr>
              <w:t>5</w:t>
            </w:r>
          </w:p>
        </w:tc>
        <w:tc>
          <w:tcPr>
            <w:tcW w:w="176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F21D6" w:rsidRDefault="003F21D6" w:rsidP="003B4544">
            <w:pPr>
              <w:pStyle w:val="xmsonormal"/>
              <w:spacing w:before="0" w:beforeAutospacing="0" w:after="0" w:afterAutospacing="0"/>
              <w:rPr>
                <w:rFonts w:ascii="Arial Narrow" w:hAnsi="Arial Narrow"/>
                <w:color w:val="000000"/>
                <w:sz w:val="18"/>
                <w:szCs w:val="18"/>
              </w:rPr>
            </w:pPr>
            <w:r>
              <w:rPr>
                <w:rFonts w:ascii="Arial Narrow" w:hAnsi="Arial Narrow"/>
                <w:color w:val="000000"/>
                <w:sz w:val="18"/>
                <w:szCs w:val="18"/>
              </w:rPr>
              <w:t>17 DE JUNIO</w:t>
            </w:r>
            <w:r w:rsidRPr="00EA4DEF">
              <w:rPr>
                <w:rFonts w:ascii="Arial Narrow" w:hAnsi="Arial Narrow"/>
                <w:color w:val="000000"/>
                <w:sz w:val="18"/>
                <w:szCs w:val="18"/>
              </w:rPr>
              <w:t xml:space="preserve"> DE 201</w:t>
            </w:r>
            <w:r>
              <w:rPr>
                <w:rFonts w:ascii="Arial Narrow" w:hAnsi="Arial Narrow"/>
                <w:color w:val="000000"/>
                <w:sz w:val="18"/>
                <w:szCs w:val="18"/>
              </w:rPr>
              <w:t>5</w:t>
            </w:r>
          </w:p>
        </w:tc>
      </w:tr>
    </w:tbl>
    <w:p w:rsidR="003F21D6" w:rsidRDefault="003F21D6" w:rsidP="003F21D6">
      <w:pPr>
        <w:contextualSpacing/>
        <w:jc w:val="both"/>
        <w:rPr>
          <w:rFonts w:ascii="Arial Narrow" w:hAnsi="Arial Narrow"/>
          <w:b/>
        </w:rPr>
      </w:pPr>
    </w:p>
    <w:p w:rsidR="003F21D6" w:rsidRPr="002C05C2" w:rsidRDefault="003F21D6" w:rsidP="003F21D6">
      <w:pPr>
        <w:contextualSpacing/>
        <w:jc w:val="both"/>
        <w:rPr>
          <w:rFonts w:cstheme="minorHAnsi"/>
          <w:b/>
        </w:rPr>
      </w:pPr>
      <w:r w:rsidRPr="002C05C2">
        <w:rPr>
          <w:rFonts w:cstheme="minorHAnsi"/>
          <w:b/>
        </w:rPr>
        <w:t>REPORTE DE PROCESOS</w:t>
      </w:r>
    </w:p>
    <w:p w:rsidR="003F21D6" w:rsidRPr="002C05C2" w:rsidRDefault="003F21D6" w:rsidP="003F21D6">
      <w:pPr>
        <w:ind w:left="720"/>
        <w:contextualSpacing/>
        <w:jc w:val="both"/>
        <w:rPr>
          <w:rFonts w:cstheme="minorHAnsi"/>
          <w:b/>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t xml:space="preserve">Actividad: </w:t>
      </w:r>
      <w:r w:rsidRPr="002C05C2">
        <w:rPr>
          <w:rFonts w:eastAsia="Times New Roman" w:cstheme="minorHAnsi"/>
          <w:lang w:val="es-MX" w:eastAsia="es-MX"/>
        </w:rPr>
        <w:t>Realizar reportes trimestrales en relación con los procesos judiciales y trámites prejudiciales a nivel nacional en los cuales la Agencia Nacional de Infraestructura funja como demandante, demandada o tercero vinculado y/o convocado - Grupo Interno de Trabajo de Defensa Judicial.</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b/>
          <w:color w:val="000000"/>
        </w:rPr>
      </w:pPr>
      <w:r w:rsidRPr="002C05C2">
        <w:rPr>
          <w:rFonts w:eastAsia="Times New Roman" w:cstheme="minorHAnsi"/>
          <w:b/>
          <w:color w:val="000000"/>
        </w:rPr>
        <w:t xml:space="preserve">REPORTE: </w:t>
      </w:r>
    </w:p>
    <w:p w:rsidR="003F21D6" w:rsidRPr="002C05C2" w:rsidRDefault="003F21D6" w:rsidP="003F21D6">
      <w:pPr>
        <w:spacing w:after="0" w:line="240" w:lineRule="auto"/>
        <w:jc w:val="both"/>
        <w:rPr>
          <w:rFonts w:eastAsia="Times New Roman" w:cstheme="minorHAnsi"/>
          <w:color w:val="000000"/>
        </w:rPr>
      </w:pPr>
    </w:p>
    <w:p w:rsidR="003F21D6" w:rsidRPr="002C05C2" w:rsidRDefault="003F21D6" w:rsidP="003F21D6">
      <w:pPr>
        <w:spacing w:after="0" w:line="240" w:lineRule="auto"/>
        <w:jc w:val="both"/>
        <w:rPr>
          <w:rFonts w:eastAsia="Times New Roman" w:cstheme="minorHAnsi"/>
          <w:color w:val="000000"/>
        </w:rPr>
      </w:pPr>
      <w:r w:rsidRPr="002C05C2">
        <w:rPr>
          <w:rFonts w:eastAsia="Times New Roman" w:cstheme="minorHAnsi"/>
          <w:color w:val="000000"/>
        </w:rPr>
        <w:t>Se remite informe trimestral con corte al 31 de marzo y el 30ª de junio de 2015</w:t>
      </w:r>
    </w:p>
    <w:p w:rsidR="003F21D6" w:rsidRPr="002C05C2" w:rsidRDefault="003F21D6" w:rsidP="003F21D6">
      <w:pPr>
        <w:contextualSpacing/>
        <w:jc w:val="both"/>
        <w:rPr>
          <w:rFonts w:cstheme="minorHAnsi"/>
          <w:b/>
        </w:rPr>
      </w:pPr>
    </w:p>
    <w:p w:rsidR="003F21D6" w:rsidRPr="002C05C2" w:rsidRDefault="003F21D6" w:rsidP="003F21D6">
      <w:pPr>
        <w:contextualSpacing/>
        <w:jc w:val="both"/>
        <w:rPr>
          <w:rFonts w:cstheme="minorHAnsi"/>
          <w:b/>
        </w:rPr>
      </w:pPr>
      <w:r w:rsidRPr="002C05C2">
        <w:rPr>
          <w:rFonts w:cstheme="minorHAnsi"/>
          <w:b/>
        </w:rPr>
        <w:t>REPORTE DE PROCESOS</w:t>
      </w:r>
    </w:p>
    <w:p w:rsidR="003F21D6" w:rsidRPr="002C05C2" w:rsidRDefault="003F21D6" w:rsidP="003F21D6">
      <w:pPr>
        <w:ind w:left="720"/>
        <w:contextualSpacing/>
        <w:jc w:val="both"/>
        <w:rPr>
          <w:rFonts w:cstheme="minorHAnsi"/>
          <w:b/>
        </w:rPr>
      </w:pPr>
    </w:p>
    <w:p w:rsidR="003F21D6" w:rsidRPr="002C05C2" w:rsidRDefault="003F21D6" w:rsidP="003F21D6">
      <w:pPr>
        <w:spacing w:after="0" w:line="240" w:lineRule="auto"/>
        <w:jc w:val="both"/>
        <w:rPr>
          <w:rFonts w:eastAsia="Times New Roman" w:cstheme="minorHAnsi"/>
          <w:lang w:val="es-MX" w:eastAsia="es-MX"/>
        </w:rPr>
      </w:pPr>
      <w:r w:rsidRPr="002C05C2">
        <w:rPr>
          <w:rFonts w:eastAsia="Times New Roman" w:cstheme="minorHAnsi"/>
          <w:b/>
          <w:lang w:val="es-MX" w:eastAsia="es-MX"/>
        </w:rPr>
        <w:t xml:space="preserve">Actividad: </w:t>
      </w:r>
      <w:r w:rsidRPr="002C05C2">
        <w:rPr>
          <w:rFonts w:eastAsia="Times New Roman" w:cstheme="minorHAnsi"/>
          <w:lang w:val="es-MX" w:eastAsia="es-MX"/>
        </w:rPr>
        <w:t>Ejercer la representación de la Agencia dentro de los procesos y acciones de carácter penal y policivo que se requieran para la defensa del interés público.</w:t>
      </w:r>
    </w:p>
    <w:p w:rsidR="003F21D6" w:rsidRPr="002C05C2" w:rsidRDefault="003F21D6" w:rsidP="003F21D6">
      <w:pPr>
        <w:spacing w:after="0" w:line="240" w:lineRule="auto"/>
        <w:jc w:val="both"/>
        <w:rPr>
          <w:rFonts w:eastAsia="Times New Roman" w:cstheme="minorHAnsi"/>
          <w:lang w:val="es-MX" w:eastAsia="es-MX"/>
        </w:rPr>
      </w:pPr>
    </w:p>
    <w:p w:rsidR="003F21D6" w:rsidRPr="002C05C2" w:rsidRDefault="003F21D6" w:rsidP="003F21D6">
      <w:pPr>
        <w:spacing w:after="0" w:line="240" w:lineRule="auto"/>
        <w:jc w:val="both"/>
        <w:rPr>
          <w:rFonts w:eastAsia="Times New Roman" w:cstheme="minorHAnsi"/>
          <w:b/>
          <w:color w:val="000000"/>
        </w:rPr>
      </w:pPr>
      <w:r w:rsidRPr="002C05C2">
        <w:rPr>
          <w:rFonts w:eastAsia="Times New Roman" w:cstheme="minorHAnsi"/>
          <w:b/>
          <w:color w:val="000000"/>
        </w:rPr>
        <w:t xml:space="preserve">REPORTE: </w:t>
      </w:r>
    </w:p>
    <w:p w:rsidR="003F21D6" w:rsidRPr="002C05C2" w:rsidRDefault="003F21D6" w:rsidP="003F21D6">
      <w:pPr>
        <w:spacing w:after="0" w:line="240" w:lineRule="auto"/>
        <w:jc w:val="both"/>
        <w:rPr>
          <w:rFonts w:eastAsia="Times New Roman" w:cstheme="minorHAnsi"/>
          <w:color w:val="000000"/>
        </w:rPr>
      </w:pPr>
    </w:p>
    <w:p w:rsidR="003F21D6" w:rsidRPr="002C05C2" w:rsidRDefault="003F21D6" w:rsidP="003F21D6">
      <w:pPr>
        <w:rPr>
          <w:rFonts w:eastAsiaTheme="majorEastAsia" w:cstheme="minorHAnsi"/>
          <w:bCs/>
          <w:color w:val="365F91" w:themeColor="accent1" w:themeShade="BF"/>
        </w:rPr>
      </w:pPr>
      <w:r w:rsidRPr="002C05C2">
        <w:rPr>
          <w:rFonts w:eastAsia="Times New Roman" w:cstheme="minorHAnsi"/>
          <w:color w:val="000000"/>
        </w:rPr>
        <w:t>A través de apoderado externo se lleva a cabo la representación de los intereses de la Entidad en el los procesos penales cuya gestión contra en el informe adjunto</w:t>
      </w:r>
    </w:p>
    <w:p w:rsidR="00141D2E" w:rsidRDefault="00141D2E" w:rsidP="00141D2E">
      <w:pPr>
        <w:spacing w:after="0" w:line="240" w:lineRule="auto"/>
        <w:jc w:val="both"/>
        <w:rPr>
          <w:rFonts w:eastAsia="Times New Roman" w:cs="Calibri"/>
          <w:b/>
          <w:color w:val="000000"/>
          <w:u w:val="single"/>
        </w:rPr>
      </w:pPr>
      <w:r w:rsidRPr="009E31B0">
        <w:rPr>
          <w:rFonts w:eastAsia="Times New Roman" w:cs="Calibri"/>
          <w:b/>
          <w:color w:val="000000"/>
          <w:u w:val="single"/>
        </w:rPr>
        <w:t>GERENCIA DE GESTIÓN CONTRACTUAL</w:t>
      </w:r>
    </w:p>
    <w:p w:rsidR="00630738" w:rsidRDefault="00630738" w:rsidP="00141D2E">
      <w:pPr>
        <w:spacing w:after="0" w:line="240" w:lineRule="auto"/>
        <w:jc w:val="both"/>
        <w:rPr>
          <w:rFonts w:eastAsia="Times New Roman" w:cs="Calibri"/>
          <w:b/>
          <w:color w:val="000000"/>
          <w:u w:val="single"/>
        </w:rPr>
      </w:pPr>
    </w:p>
    <w:p w:rsidR="00815BCB" w:rsidRDefault="00815BCB" w:rsidP="00815BCB">
      <w:pPr>
        <w:pStyle w:val="Prrafodelista"/>
        <w:ind w:left="153" w:right="-518"/>
        <w:rPr>
          <w:rFonts w:ascii="Calibri" w:hAnsi="Calibri"/>
          <w:color w:val="000000" w:themeColor="text1"/>
          <w:sz w:val="16"/>
          <w:szCs w:val="16"/>
        </w:rPr>
      </w:pPr>
    </w:p>
    <w:p w:rsidR="00815BCB" w:rsidRPr="007C66A9" w:rsidRDefault="00815BCB" w:rsidP="00815BCB">
      <w:pPr>
        <w:pStyle w:val="Prrafodelista"/>
        <w:ind w:left="153" w:right="-518"/>
        <w:rPr>
          <w:rFonts w:ascii="Calibri" w:hAnsi="Calibri"/>
          <w:color w:val="000000" w:themeColor="text1"/>
          <w:sz w:val="16"/>
          <w:szCs w:val="16"/>
        </w:rPr>
      </w:pPr>
    </w:p>
    <w:p w:rsidR="00815BCB" w:rsidRPr="007C66A9"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r w:rsidRPr="007C66A9">
        <w:rPr>
          <w:b/>
          <w:color w:val="000000" w:themeColor="text1"/>
          <w:sz w:val="24"/>
          <w:szCs w:val="24"/>
          <w:lang w:val="es-ES_tradnl"/>
        </w:rPr>
        <w:t>BUGA – LOBOGUERRERO</w:t>
      </w:r>
    </w:p>
    <w:p w:rsidR="00815BCB" w:rsidRPr="007C66A9" w:rsidRDefault="00815BCB" w:rsidP="00815BCB">
      <w:pPr>
        <w:widowControl w:val="0"/>
        <w:autoSpaceDE w:val="0"/>
        <w:autoSpaceDN w:val="0"/>
        <w:adjustRightInd w:val="0"/>
        <w:spacing w:after="0"/>
        <w:ind w:right="-518"/>
        <w:jc w:val="center"/>
        <w:rPr>
          <w:b/>
          <w:color w:val="000000" w:themeColor="text1"/>
          <w:sz w:val="24"/>
          <w:szCs w:val="24"/>
          <w:lang w:val="es-ES_tradnl"/>
        </w:rPr>
      </w:pPr>
      <w:r w:rsidRPr="007C66A9">
        <w:rPr>
          <w:b/>
          <w:color w:val="000000" w:themeColor="text1"/>
          <w:sz w:val="24"/>
          <w:szCs w:val="24"/>
          <w:lang w:val="es-ES_tradnl"/>
        </w:rPr>
        <w:t>Se emitieron los siguientes conceptos frente al aseguramiento</w:t>
      </w:r>
    </w:p>
    <w:p w:rsidR="00815BCB" w:rsidRPr="002C05C2" w:rsidRDefault="00815BCB" w:rsidP="00F33349">
      <w:pPr>
        <w:pStyle w:val="Prrafodelista"/>
        <w:widowControl w:val="0"/>
        <w:numPr>
          <w:ilvl w:val="0"/>
          <w:numId w:val="104"/>
        </w:numPr>
        <w:autoSpaceDE w:val="0"/>
        <w:autoSpaceDN w:val="0"/>
        <w:adjustRightInd w:val="0"/>
        <w:spacing w:after="0" w:line="259" w:lineRule="auto"/>
        <w:ind w:right="-518"/>
        <w:jc w:val="both"/>
        <w:rPr>
          <w:b/>
          <w:color w:val="000000" w:themeColor="text1"/>
          <w:lang w:val="es-ES_tradnl"/>
        </w:rPr>
      </w:pPr>
      <w:r w:rsidRPr="002C05C2">
        <w:rPr>
          <w:color w:val="000000" w:themeColor="text1"/>
        </w:rPr>
        <w:t>Elaboración del Acta de Aprobación de Póliza de Todo Riesgo del Contrato de Concesión. Mediante el memorando No.</w:t>
      </w:r>
      <w:r w:rsidRPr="002C05C2">
        <w:rPr>
          <w:rFonts w:eastAsia="Times New Roman" w:cs="Arial"/>
          <w:color w:val="000000" w:themeColor="text1"/>
        </w:rPr>
        <w:t xml:space="preserve">2015-704-002399-3 del 24 de febrero de 2015. </w:t>
      </w:r>
    </w:p>
    <w:p w:rsidR="00815BCB" w:rsidRPr="00C15AA8" w:rsidRDefault="00815BCB" w:rsidP="00815BCB">
      <w:pPr>
        <w:widowControl w:val="0"/>
        <w:autoSpaceDE w:val="0"/>
        <w:autoSpaceDN w:val="0"/>
        <w:adjustRightInd w:val="0"/>
        <w:spacing w:after="0"/>
        <w:ind w:right="-518"/>
        <w:jc w:val="center"/>
        <w:rPr>
          <w:b/>
          <w:color w:val="000000" w:themeColor="text1"/>
          <w:sz w:val="36"/>
          <w:szCs w:val="36"/>
          <w:lang w:val="es-ES_tradnl"/>
        </w:rPr>
      </w:pPr>
    </w:p>
    <w:p w:rsidR="00815BCB" w:rsidRPr="007C66A9" w:rsidRDefault="00815BCB" w:rsidP="00815BCB">
      <w:pPr>
        <w:widowControl w:val="0"/>
        <w:autoSpaceDE w:val="0"/>
        <w:autoSpaceDN w:val="0"/>
        <w:adjustRightInd w:val="0"/>
        <w:spacing w:after="0"/>
        <w:ind w:right="-518"/>
        <w:jc w:val="center"/>
        <w:rPr>
          <w:b/>
          <w:color w:val="000000" w:themeColor="text1"/>
          <w:sz w:val="24"/>
          <w:szCs w:val="24"/>
          <w:lang w:val="es-ES_tradnl"/>
        </w:rPr>
      </w:pPr>
      <w:r w:rsidRPr="007C66A9">
        <w:rPr>
          <w:b/>
          <w:color w:val="000000" w:themeColor="text1"/>
          <w:sz w:val="24"/>
          <w:szCs w:val="24"/>
          <w:lang w:val="es-ES_tradnl"/>
        </w:rPr>
        <w:t>SIBERIA-LA PUNTA –EL VINO</w:t>
      </w:r>
    </w:p>
    <w:p w:rsidR="00815BCB" w:rsidRPr="007C66A9" w:rsidRDefault="00815BCB" w:rsidP="00815BCB">
      <w:pPr>
        <w:widowControl w:val="0"/>
        <w:autoSpaceDE w:val="0"/>
        <w:autoSpaceDN w:val="0"/>
        <w:adjustRightInd w:val="0"/>
        <w:spacing w:after="0"/>
        <w:ind w:right="-518"/>
        <w:jc w:val="center"/>
        <w:rPr>
          <w:b/>
          <w:color w:val="000000" w:themeColor="text1"/>
          <w:sz w:val="24"/>
          <w:szCs w:val="24"/>
          <w:lang w:val="es-ES_tradnl"/>
        </w:rPr>
      </w:pPr>
      <w:r w:rsidRPr="007C66A9">
        <w:rPr>
          <w:b/>
          <w:color w:val="000000" w:themeColor="text1"/>
          <w:sz w:val="24"/>
          <w:szCs w:val="24"/>
          <w:lang w:val="es-ES_tradnl"/>
        </w:rPr>
        <w:t>Se emitieron los siguientes conceptos</w:t>
      </w:r>
    </w:p>
    <w:p w:rsidR="00815BCB" w:rsidRPr="002C05C2" w:rsidRDefault="00815BCB" w:rsidP="00F33349">
      <w:pPr>
        <w:pStyle w:val="Prrafodelista"/>
        <w:widowControl w:val="0"/>
        <w:numPr>
          <w:ilvl w:val="0"/>
          <w:numId w:val="104"/>
        </w:numPr>
        <w:autoSpaceDE w:val="0"/>
        <w:autoSpaceDN w:val="0"/>
        <w:adjustRightInd w:val="0"/>
        <w:spacing w:after="0" w:line="259" w:lineRule="auto"/>
        <w:ind w:right="-518"/>
        <w:jc w:val="both"/>
        <w:rPr>
          <w:rFonts w:eastAsia="Times New Roman" w:cs="Arial"/>
          <w:color w:val="000000" w:themeColor="text1"/>
        </w:rPr>
      </w:pPr>
      <w:r w:rsidRPr="002C05C2">
        <w:rPr>
          <w:color w:val="000000" w:themeColor="text1"/>
          <w:shd w:val="clear" w:color="auto" w:fill="FFFFFF"/>
        </w:rPr>
        <w:t>Se elaboró y tramitó el memorando de entendimiento suscrito entre la ANI, el IDU, y la SDM, para brindar una solución de movilidad en la salida y entrada de Bogotá por la Calle 80.</w:t>
      </w:r>
      <w:r w:rsidRPr="002C05C2">
        <w:rPr>
          <w:rFonts w:eastAsia="Times New Roman" w:cs="Arial"/>
          <w:color w:val="000000" w:themeColor="text1"/>
        </w:rPr>
        <w:t xml:space="preserve"> Mediante Convenio del 19 de febrero de 2015.</w:t>
      </w:r>
    </w:p>
    <w:p w:rsidR="00815BCB" w:rsidRPr="002C05C2" w:rsidRDefault="00815BCB" w:rsidP="00F33349">
      <w:pPr>
        <w:pStyle w:val="Prrafodelista"/>
        <w:widowControl w:val="0"/>
        <w:numPr>
          <w:ilvl w:val="0"/>
          <w:numId w:val="104"/>
        </w:numPr>
        <w:autoSpaceDE w:val="0"/>
        <w:autoSpaceDN w:val="0"/>
        <w:adjustRightInd w:val="0"/>
        <w:spacing w:after="0" w:line="259" w:lineRule="auto"/>
        <w:ind w:right="-518"/>
        <w:jc w:val="both"/>
        <w:rPr>
          <w:b/>
          <w:color w:val="000000" w:themeColor="text1"/>
          <w:lang w:val="es-ES_tradnl"/>
        </w:rPr>
      </w:pPr>
      <w:r w:rsidRPr="002C05C2">
        <w:rPr>
          <w:rFonts w:cs="Arial"/>
          <w:color w:val="000000" w:themeColor="text1"/>
          <w:shd w:val="clear" w:color="auto" w:fill="FFFFFF"/>
        </w:rPr>
        <w:t xml:space="preserve">Se elaboró el Otrosí No.7 con el objeto de Adicionar el Contrato de Concesión No.447 de 1994 con los ingresos excedentes generados por el mismo Proyecto de Concesión Vial, con el propósito de elaborar estudios y diseños a fase III para la construcción de la intersección vial de Nocaima y para la construcción del nuevo puente vehicular sobre el Río Bogotá Costado Norte y demás obras </w:t>
      </w:r>
      <w:r w:rsidRPr="002C05C2">
        <w:rPr>
          <w:rFonts w:cs="Arial"/>
          <w:color w:val="000000" w:themeColor="text1"/>
          <w:shd w:val="clear" w:color="auto" w:fill="FFFFFF"/>
        </w:rPr>
        <w:lastRenderedPageBreak/>
        <w:t>necesarias para la solución de movilidad en el empalme con Bogotá del 19 de febrero de 2015.</w:t>
      </w:r>
    </w:p>
    <w:p w:rsidR="00815BCB" w:rsidRPr="002C05C2" w:rsidRDefault="00815BCB" w:rsidP="00F33349">
      <w:pPr>
        <w:pStyle w:val="Prrafodelista"/>
        <w:widowControl w:val="0"/>
        <w:numPr>
          <w:ilvl w:val="0"/>
          <w:numId w:val="104"/>
        </w:numPr>
        <w:autoSpaceDE w:val="0"/>
        <w:autoSpaceDN w:val="0"/>
        <w:adjustRightInd w:val="0"/>
        <w:spacing w:after="0" w:line="259" w:lineRule="auto"/>
        <w:ind w:right="-518"/>
        <w:jc w:val="both"/>
        <w:rPr>
          <w:b/>
          <w:color w:val="000000" w:themeColor="text1"/>
          <w:lang w:val="es-ES_tradnl"/>
        </w:rPr>
      </w:pPr>
      <w:r w:rsidRPr="002C05C2">
        <w:rPr>
          <w:rFonts w:ascii="Calibri" w:eastAsia="Times New Roman" w:hAnsi="Calibri" w:cs="Arial"/>
          <w:color w:val="000000" w:themeColor="text1"/>
        </w:rPr>
        <w:t>Se emite concepto Jurídico sobre la procedencia de la delimitación de utilidad pública del corredor concesionado, con ocasión de actividades mineras. Mediante radicado No. 2015-704-0042132-3 del 8 de abril de 2015.</w:t>
      </w:r>
    </w:p>
    <w:p w:rsidR="00815BCB" w:rsidRPr="002C05C2"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2C05C2">
        <w:rPr>
          <w:rFonts w:ascii="Calibri" w:eastAsia="Times New Roman" w:hAnsi="Calibri" w:cs="Arial"/>
          <w:color w:val="000000" w:themeColor="text1"/>
        </w:rPr>
        <w:t>Se adiciona el Contrato con los recursos excedentes del mismo proyecto para la construcción del puente vehicular del costado norte de la salida de Bogotá por la Calle 80. Otrosi No.8 al Acta de Incorporación del Acuerdo Conciliatorio del Contrato de Concesión No.447 de 1994 del 26 de mayo de 2015.</w:t>
      </w:r>
    </w:p>
    <w:p w:rsidR="00815BCB" w:rsidRPr="002C05C2"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2C05C2">
        <w:rPr>
          <w:rFonts w:ascii="Calibri" w:eastAsia="Times New Roman" w:hAnsi="Calibri" w:cs="Arial"/>
          <w:color w:val="000000" w:themeColor="text1"/>
        </w:rPr>
        <w:t>Se declara la ocurrencia de la segunda contingencia predial del Proyecto mediante la Resolución No.866 del 29/5/2015</w:t>
      </w:r>
    </w:p>
    <w:p w:rsidR="00815BCB" w:rsidRPr="007C66A9" w:rsidRDefault="00815BCB" w:rsidP="00815BCB">
      <w:pPr>
        <w:widowControl w:val="0"/>
        <w:autoSpaceDE w:val="0"/>
        <w:autoSpaceDN w:val="0"/>
        <w:adjustRightInd w:val="0"/>
        <w:spacing w:after="0"/>
        <w:ind w:right="-518"/>
        <w:jc w:val="center"/>
        <w:rPr>
          <w:b/>
          <w:color w:val="000000" w:themeColor="text1"/>
          <w:sz w:val="24"/>
          <w:szCs w:val="24"/>
          <w:lang w:val="es-ES_tradnl"/>
        </w:rPr>
      </w:pPr>
    </w:p>
    <w:p w:rsidR="00815BCB" w:rsidRPr="007C66A9" w:rsidRDefault="00815BCB" w:rsidP="00815BCB">
      <w:pPr>
        <w:widowControl w:val="0"/>
        <w:autoSpaceDE w:val="0"/>
        <w:autoSpaceDN w:val="0"/>
        <w:adjustRightInd w:val="0"/>
        <w:spacing w:after="0"/>
        <w:ind w:right="-518"/>
        <w:jc w:val="center"/>
        <w:rPr>
          <w:b/>
          <w:color w:val="000000" w:themeColor="text1"/>
          <w:sz w:val="24"/>
          <w:szCs w:val="24"/>
          <w:lang w:val="es-ES_tradnl"/>
        </w:rPr>
      </w:pPr>
      <w:r w:rsidRPr="007C66A9">
        <w:rPr>
          <w:b/>
          <w:color w:val="000000" w:themeColor="text1"/>
          <w:sz w:val="24"/>
          <w:szCs w:val="24"/>
          <w:lang w:val="es-ES_tradnl"/>
        </w:rPr>
        <w:t>Se emitieron los siguientes conceptos frente al aseguramiento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cs="Arial"/>
          <w:color w:val="000000" w:themeColor="text1"/>
          <w:shd w:val="clear" w:color="auto" w:fill="FFFFFF"/>
        </w:rPr>
        <w:t>Se revisaron y se sugirió la aprobación de las garantías de la modificación No.7 al Acta de Incorporación del Acuerdo Conciliatorio del Contrato de Concesión No.447 de 1994.Mediante Memorando No.</w:t>
      </w:r>
      <w:r w:rsidRPr="009D1EA7">
        <w:rPr>
          <w:color w:val="000000" w:themeColor="text1"/>
          <w:shd w:val="clear" w:color="auto" w:fill="FFFFFF"/>
        </w:rPr>
        <w:t>2015-704-002753-3 del 4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eastAsia="Times New Roman" w:hAnsi="Calibri" w:cs="Arial"/>
          <w:color w:val="000000" w:themeColor="text1"/>
        </w:rPr>
        <w:t>Se revisa la póliza de cumplimiento y prestaciones sociales del Contrato de Concesión No.447 de 1994. Radicado No.2015-409-021595-2. Mediante radicado No. 2015-704-005889-3 del 22 de mayo de 2015.</w:t>
      </w:r>
    </w:p>
    <w:p w:rsidR="00815BCB" w:rsidRPr="00FB652C" w:rsidRDefault="00815BCB" w:rsidP="00815BCB">
      <w:pPr>
        <w:widowControl w:val="0"/>
        <w:autoSpaceDE w:val="0"/>
        <w:autoSpaceDN w:val="0"/>
        <w:adjustRightInd w:val="0"/>
        <w:spacing w:after="0"/>
        <w:ind w:right="-518"/>
        <w:jc w:val="center"/>
        <w:rPr>
          <w:rFonts w:ascii="Calibri" w:hAnsi="Calibri"/>
          <w:b/>
          <w:color w:val="000000"/>
          <w:sz w:val="24"/>
          <w:szCs w:val="24"/>
          <w:lang w:val="es-ES_tradnl"/>
        </w:rPr>
      </w:pPr>
      <w:r w:rsidRPr="00FB652C">
        <w:rPr>
          <w:rFonts w:ascii="Calibri" w:hAnsi="Calibri"/>
          <w:b/>
          <w:color w:val="000000"/>
          <w:sz w:val="24"/>
          <w:szCs w:val="24"/>
          <w:lang w:val="es-ES_tradnl"/>
        </w:rPr>
        <w:t>AUTOPISTA RIO MAGDALENA</w:t>
      </w:r>
    </w:p>
    <w:p w:rsidR="00815BCB" w:rsidRPr="00FB652C" w:rsidRDefault="00815BCB" w:rsidP="00815BCB">
      <w:pPr>
        <w:widowControl w:val="0"/>
        <w:autoSpaceDE w:val="0"/>
        <w:autoSpaceDN w:val="0"/>
        <w:adjustRightInd w:val="0"/>
        <w:spacing w:after="0"/>
        <w:ind w:right="-518"/>
        <w:jc w:val="center"/>
        <w:rPr>
          <w:rFonts w:ascii="Calibri" w:hAnsi="Calibri"/>
          <w:b/>
          <w:color w:val="000000"/>
          <w:sz w:val="24"/>
          <w:szCs w:val="24"/>
          <w:lang w:val="es-ES_tradnl"/>
        </w:rPr>
      </w:pPr>
      <w:r w:rsidRPr="00FB652C">
        <w:rPr>
          <w:rFonts w:ascii="Calibri" w:hAnsi="Calibri"/>
          <w:b/>
          <w:color w:val="000000"/>
          <w:sz w:val="24"/>
          <w:szCs w:val="24"/>
          <w:lang w:val="es-ES_tradnl"/>
        </w:rPr>
        <w:t>Se emitieron los siguientes conceptos y documentos contractuales</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eastAsia="Times New Roman" w:hAnsi="Calibri" w:cs="Arial"/>
          <w:color w:val="000000" w:themeColor="text1"/>
        </w:rPr>
        <w:t>Aclaración de los términos de la subcuentas soporte contractual y amigable componedor requerido mediante radicado No.20154090052772 del 24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eastAsia="Times New Roman" w:hAnsi="Calibri" w:cs="Arial"/>
        </w:rPr>
        <w:t>Firma del Acta de Inicio del Contrato de Concesión del 13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eastAsia="Times New Roman" w:hAnsi="Calibri" w:cs="Arial"/>
        </w:rPr>
        <w:t>Firma del Acta de acta de entrega de infraestructura al Concesionario del 12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eastAsia="Times New Roman" w:hAnsi="Calibri" w:cs="Arial"/>
        </w:rPr>
        <w:t>Prórroga del nombramiento del amigable componedor. Mediante Otrosi No.2 del 20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eastAsia="Times New Roman" w:hAnsi="Calibri" w:cs="Arial"/>
          <w:lang w:val="es-ES_tradnl"/>
        </w:rPr>
        <w:t xml:space="preserve">Elaboración del </w:t>
      </w:r>
      <w:r w:rsidRPr="009D1EA7">
        <w:rPr>
          <w:rFonts w:ascii="Calibri" w:hAnsi="Calibri"/>
          <w:color w:val="000000"/>
          <w:lang w:val="es-ES_tradnl"/>
        </w:rPr>
        <w:t>Otrosí, referente a la entrega al Concesionario de los puntos de accesos de Puerto Berrio, donde se estableció someter al amigable componedor si este sector hacía parte del Contrato de Concesión, y los indicadores a aplicar después del acta de entrega de la infraestructura de la UF4. Suscripción del 5 de junio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hAnsi="Calibri"/>
          <w:color w:val="000000"/>
          <w:lang w:val="es-ES_tradnl"/>
        </w:rPr>
        <w:t>Se remiten memorandos de la Vicepresidencia de Estructuración, Otrosí puntos de acceso. Memorando No.20157040064341 del 26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hAnsi="Calibri"/>
          <w:color w:val="000000"/>
          <w:lang w:val="es-ES_tradnl"/>
        </w:rPr>
        <w:t xml:space="preserve">Elaboración del Otrosi por medio del cual se prorroga el nombramiento del amigable componedor por 15 días. Suscrito el 5 de junio de 2015 </w:t>
      </w:r>
    </w:p>
    <w:p w:rsidR="00815BCB" w:rsidRPr="00124DDE" w:rsidRDefault="00815BCB" w:rsidP="00815BCB">
      <w:pPr>
        <w:pStyle w:val="Prrafodelista"/>
        <w:widowControl w:val="0"/>
        <w:autoSpaceDE w:val="0"/>
        <w:autoSpaceDN w:val="0"/>
        <w:adjustRightInd w:val="0"/>
        <w:spacing w:after="0"/>
        <w:ind w:right="-518"/>
        <w:jc w:val="both"/>
        <w:rPr>
          <w:rFonts w:ascii="Calibri" w:hAnsi="Calibri"/>
          <w:color w:val="000000"/>
          <w:sz w:val="24"/>
          <w:szCs w:val="24"/>
          <w:lang w:val="es-ES_tradnl"/>
        </w:rPr>
      </w:pPr>
    </w:p>
    <w:p w:rsidR="00815BCB" w:rsidRPr="001A3DCC" w:rsidRDefault="00815BCB" w:rsidP="00815BCB">
      <w:pPr>
        <w:widowControl w:val="0"/>
        <w:autoSpaceDE w:val="0"/>
        <w:autoSpaceDN w:val="0"/>
        <w:adjustRightInd w:val="0"/>
        <w:spacing w:after="0"/>
        <w:ind w:right="-518"/>
        <w:jc w:val="center"/>
        <w:rPr>
          <w:b/>
          <w:color w:val="000000"/>
          <w:sz w:val="24"/>
          <w:szCs w:val="24"/>
          <w:lang w:val="es-ES_tradnl"/>
        </w:rPr>
      </w:pPr>
      <w:r w:rsidRPr="001A3DCC">
        <w:rPr>
          <w:b/>
          <w:color w:val="000000"/>
          <w:sz w:val="24"/>
          <w:szCs w:val="24"/>
          <w:lang w:val="es-ES_tradnl"/>
        </w:rPr>
        <w:t>Se emitieron los siguientes conceptos</w:t>
      </w:r>
      <w:r>
        <w:rPr>
          <w:b/>
          <w:color w:val="000000"/>
          <w:sz w:val="24"/>
          <w:szCs w:val="24"/>
          <w:lang w:val="es-ES_tradnl"/>
        </w:rPr>
        <w:t xml:space="preserve"> frente al aseguramiento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hAnsi="Calibri"/>
          <w:color w:val="000000"/>
          <w:lang w:val="es-ES_tradnl"/>
        </w:rPr>
        <w:t>Revisión de las Pólizas del Contrato de Concesión presentadas con el Radicado No.</w:t>
      </w:r>
      <w:r w:rsidRPr="009D1EA7">
        <w:rPr>
          <w:rFonts w:ascii="Calibri" w:eastAsia="Times New Roman" w:hAnsi="Calibri" w:cs="Arial"/>
        </w:rPr>
        <w:t>20154090010802. se realizaron observaciones a las Pólizasde Todo Riesgo y Responsabilidad Civil Extracontractual. Mediante memorando No.20157040014631 del 23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eastAsia="Times New Roman" w:hAnsi="Calibri" w:cs="Arial"/>
        </w:rPr>
        <w:t>Elaboración de memorando dirigido a financiera para que certifique el valor correspondiente a la póliza de Todo Riesgo. Mediante memorando No.20157040015803 del 3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eastAsia="Times New Roman" w:hAnsi="Calibri" w:cs="Arial"/>
        </w:rPr>
        <w:t>Elaboración de oficio dirigido al Concesionario indicando las observaciones a la póliza todo riesgo. Mediante oficio No.20157040023891 del 6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hAnsi="Calibri"/>
          <w:color w:val="000000"/>
          <w:lang w:val="es-ES_tradnl"/>
        </w:rPr>
        <w:lastRenderedPageBreak/>
        <w:t>Revisión y aprobación de la Póliza de Responsabilidad Civil Extracontractual del Contrato de Concesión presentadas con el Radicado No.</w:t>
      </w:r>
      <w:r w:rsidRPr="009D1EA7">
        <w:rPr>
          <w:rFonts w:ascii="Calibri" w:eastAsia="Times New Roman" w:hAnsi="Calibri" w:cs="Arial"/>
        </w:rPr>
        <w:t xml:space="preserve">201540900527622. Mediante memorando No. </w:t>
      </w:r>
      <w:r w:rsidRPr="009D1EA7">
        <w:rPr>
          <w:rFonts w:ascii="Calibri" w:hAnsi="Calibri"/>
        </w:rPr>
        <w:t>20157040018543</w:t>
      </w:r>
      <w:r w:rsidRPr="009D1EA7">
        <w:rPr>
          <w:rFonts w:ascii="Calibri" w:eastAsia="Times New Roman" w:hAnsi="Calibri" w:cs="Arial"/>
        </w:rPr>
        <w:t xml:space="preserve"> del 9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Revisión y aprobación de la Póliza de Todo Riesgo del Contrato de Concesión presentadas con el Radicado No.</w:t>
      </w:r>
      <w:r w:rsidRPr="009D1EA7">
        <w:rPr>
          <w:rFonts w:ascii="Calibri" w:eastAsia="Times New Roman" w:hAnsi="Calibri" w:cs="Arial"/>
          <w:bCs/>
          <w:color w:val="000000" w:themeColor="text1"/>
        </w:rPr>
        <w:t>20154090082132</w:t>
      </w:r>
      <w:r w:rsidRPr="009D1EA7">
        <w:rPr>
          <w:rFonts w:ascii="Calibri" w:eastAsia="Times New Roman" w:hAnsi="Calibri" w:cs="Arial"/>
          <w:color w:val="000000" w:themeColor="text1"/>
        </w:rPr>
        <w:t>. Mediante memorando No. 2015704023993 del 24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eastAsia="Times New Roman" w:hAnsi="Calibri" w:cs="Arial"/>
          <w:color w:val="000000" w:themeColor="text1"/>
        </w:rPr>
        <w:t>Elaboración de oficio dirigido a la Interventoria dando respuesta al radicado 201540900115942 por medio del cual se presentan las pólizas. Mediante oficio No. 20157040044901 del 3 de marzo de 2015, por medio del cual se realizan las observaciones respectivas.</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lang w:val="es-ES_tradnl"/>
        </w:rPr>
      </w:pPr>
      <w:r w:rsidRPr="009D1EA7">
        <w:rPr>
          <w:rFonts w:ascii="Calibri" w:hAnsi="Calibri"/>
          <w:color w:val="000000" w:themeColor="text1"/>
          <w:lang w:val="es-ES_tradnl"/>
        </w:rPr>
        <w:t>Revisión y aprobación de la Póliza de Todo Riesgo del Contrato de Concesión presentadas con el Radicado No.</w:t>
      </w:r>
      <w:r w:rsidRPr="009D1EA7">
        <w:rPr>
          <w:rFonts w:ascii="Calibri" w:eastAsia="Times New Roman" w:hAnsi="Calibri" w:cs="Arial"/>
          <w:color w:val="000000" w:themeColor="text1"/>
        </w:rPr>
        <w:t xml:space="preserve">201540900115942. Mediante memorando No. </w:t>
      </w:r>
      <w:r w:rsidRPr="009D1EA7">
        <w:rPr>
          <w:rFonts w:ascii="Calibri" w:eastAsia="Times New Roman" w:hAnsi="Calibri" w:cs="Arial"/>
          <w:bCs/>
          <w:color w:val="000000" w:themeColor="text1"/>
        </w:rPr>
        <w:t>20157040033993</w:t>
      </w:r>
      <w:r w:rsidRPr="009D1EA7">
        <w:rPr>
          <w:rFonts w:ascii="Calibri" w:eastAsia="Times New Roman" w:hAnsi="Calibri" w:cs="Arial"/>
          <w:color w:val="000000" w:themeColor="text1"/>
        </w:rPr>
        <w:t xml:space="preserve"> del 12 de marzo</w:t>
      </w:r>
      <w:r w:rsidRPr="009D1EA7">
        <w:rPr>
          <w:rFonts w:ascii="Calibri" w:eastAsia="Times New Roman" w:hAnsi="Calibri" w:cs="Arial"/>
        </w:rPr>
        <w:t xml:space="preserve"> de 2015.</w:t>
      </w:r>
    </w:p>
    <w:p w:rsidR="00815BCB" w:rsidRPr="00124DDE"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sz w:val="24"/>
          <w:szCs w:val="24"/>
          <w:lang w:val="es-ES_tradnl"/>
        </w:rPr>
      </w:pPr>
      <w:r w:rsidRPr="009D1EA7">
        <w:rPr>
          <w:rFonts w:ascii="Calibri" w:hAnsi="Calibri"/>
          <w:color w:val="000000" w:themeColor="text1"/>
          <w:lang w:val="es-ES_tradnl"/>
        </w:rPr>
        <w:t xml:space="preserve">Revisión de la actualización de las </w:t>
      </w:r>
      <w:r w:rsidRPr="009D1EA7">
        <w:rPr>
          <w:rFonts w:ascii="Calibri" w:hAnsi="Calibri"/>
          <w:color w:val="000000"/>
          <w:lang w:val="es-ES_tradnl"/>
        </w:rPr>
        <w:t>polizas del Contrato de Concesión 008/2014. Mediante memorando No.20157040047713 del 27 de abril de 2015</w:t>
      </w:r>
      <w:r>
        <w:rPr>
          <w:rFonts w:ascii="Calibri" w:hAnsi="Calibri"/>
          <w:color w:val="000000"/>
          <w:sz w:val="24"/>
          <w:szCs w:val="24"/>
          <w:lang w:val="es-ES_tradnl"/>
        </w:rPr>
        <w:t>.</w:t>
      </w:r>
    </w:p>
    <w:p w:rsidR="00815BCB" w:rsidRPr="00C15AA8" w:rsidRDefault="00815BCB" w:rsidP="00815BCB">
      <w:pPr>
        <w:widowControl w:val="0"/>
        <w:autoSpaceDE w:val="0"/>
        <w:autoSpaceDN w:val="0"/>
        <w:adjustRightInd w:val="0"/>
        <w:spacing w:after="0"/>
        <w:ind w:right="-518"/>
        <w:jc w:val="center"/>
        <w:rPr>
          <w:rFonts w:ascii="Calibri" w:hAnsi="Calibri"/>
          <w:b/>
          <w:color w:val="000000" w:themeColor="text1"/>
          <w:sz w:val="36"/>
          <w:szCs w:val="3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MALLAVIAL DEL META</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Se emitieron los siguientes conceptos y documentos contractuales</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shd w:val="clear" w:color="auto" w:fill="FFFFFF"/>
        </w:rPr>
      </w:pPr>
      <w:r w:rsidRPr="009D1EA7">
        <w:rPr>
          <w:rFonts w:ascii="Calibri" w:hAnsi="Calibri"/>
          <w:color w:val="000000" w:themeColor="text1"/>
          <w:shd w:val="clear" w:color="auto" w:fill="FFFFFF"/>
        </w:rPr>
        <w:t>Revisión y realización de ajustes al documento modificatorio al documento mediante el cual se da inicio a la etapa de reversión del proyecto. Otros No.10 del 23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shd w:val="clear" w:color="auto" w:fill="FFFFFF"/>
        </w:rPr>
      </w:pPr>
      <w:r w:rsidRPr="009D1EA7">
        <w:rPr>
          <w:rFonts w:ascii="Calibri" w:hAnsi="Calibri"/>
          <w:color w:val="000000" w:themeColor="text1"/>
          <w:shd w:val="clear" w:color="auto" w:fill="FFFFFF"/>
        </w:rPr>
        <w:t>Revisión y ajustes al documento modificatorio mediante el cual se da inicio a la Etapa de Reversión. Otrosi No.10 del 23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shd w:val="clear" w:color="auto" w:fill="FFFFFF"/>
        </w:rPr>
      </w:pPr>
      <w:r w:rsidRPr="009D1EA7">
        <w:rPr>
          <w:rFonts w:ascii="Calibri" w:hAnsi="Calibri"/>
          <w:color w:val="000000" w:themeColor="text1"/>
          <w:shd w:val="clear" w:color="auto" w:fill="FFFFFF"/>
        </w:rPr>
        <w:t>Elaboración de respuesta al derecho de petición del Abel Gamboa. Se tramito mediante correo electrónico al supervisor del proyecto el 3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shd w:val="clear" w:color="auto" w:fill="FFFFFF"/>
        </w:rPr>
      </w:pPr>
      <w:r w:rsidRPr="009D1EA7">
        <w:rPr>
          <w:rFonts w:ascii="Calibri" w:hAnsi="Calibri"/>
          <w:color w:val="000000" w:themeColor="text1"/>
          <w:shd w:val="clear" w:color="auto" w:fill="FFFFFF"/>
        </w:rPr>
        <w:t xml:space="preserve">Revisión y ajustes a los estudios previos para el Otrosi No.1 prorrogando plazo, valor por 50% y modificando </w:t>
      </w:r>
      <w:r w:rsidR="00262065" w:rsidRPr="009D1EA7">
        <w:rPr>
          <w:rFonts w:ascii="Calibri" w:hAnsi="Calibri"/>
          <w:color w:val="000000" w:themeColor="text1"/>
          <w:shd w:val="clear" w:color="auto" w:fill="FFFFFF"/>
        </w:rPr>
        <w:t xml:space="preserve">observaciones. </w:t>
      </w:r>
      <w:r w:rsidRPr="009D1EA7">
        <w:rPr>
          <w:rFonts w:ascii="Calibri" w:hAnsi="Calibri"/>
          <w:color w:val="000000" w:themeColor="text1"/>
          <w:shd w:val="clear" w:color="auto" w:fill="FFFFFF"/>
        </w:rPr>
        <w:t xml:space="preserve">Se </w:t>
      </w:r>
      <w:r w:rsidR="00262065" w:rsidRPr="009D1EA7">
        <w:rPr>
          <w:rFonts w:ascii="Calibri" w:hAnsi="Calibri"/>
          <w:color w:val="000000" w:themeColor="text1"/>
          <w:shd w:val="clear" w:color="auto" w:fill="FFFFFF"/>
        </w:rPr>
        <w:t>gestionó</w:t>
      </w:r>
      <w:r w:rsidRPr="009D1EA7">
        <w:rPr>
          <w:rFonts w:ascii="Calibri" w:hAnsi="Calibri"/>
          <w:color w:val="000000" w:themeColor="text1"/>
          <w:shd w:val="clear" w:color="auto" w:fill="FFFFFF"/>
        </w:rPr>
        <w:t xml:space="preserve"> mediante correo electrónico del 8 de mayo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shd w:val="clear" w:color="auto" w:fill="FFFFFF"/>
        </w:rPr>
      </w:pPr>
      <w:r w:rsidRPr="009D1EA7">
        <w:rPr>
          <w:rFonts w:ascii="Calibri" w:hAnsi="Calibri"/>
          <w:color w:val="000000" w:themeColor="text1"/>
          <w:shd w:val="clear" w:color="auto" w:fill="FFFFFF"/>
        </w:rPr>
        <w:t xml:space="preserve">Otrosi No.1 prorrogando plazo, valor por 50% y modificando </w:t>
      </w:r>
      <w:r w:rsidR="00262065" w:rsidRPr="009D1EA7">
        <w:rPr>
          <w:rFonts w:ascii="Calibri" w:hAnsi="Calibri"/>
          <w:color w:val="000000" w:themeColor="text1"/>
          <w:shd w:val="clear" w:color="auto" w:fill="FFFFFF"/>
        </w:rPr>
        <w:t xml:space="preserve">observaciones. </w:t>
      </w:r>
      <w:r w:rsidRPr="009D1EA7">
        <w:rPr>
          <w:rFonts w:ascii="Calibri" w:hAnsi="Calibri"/>
          <w:color w:val="000000" w:themeColor="text1"/>
          <w:shd w:val="clear" w:color="auto" w:fill="FFFFFF"/>
        </w:rPr>
        <w:t xml:space="preserve">Se </w:t>
      </w:r>
      <w:r w:rsidR="00262065" w:rsidRPr="009D1EA7">
        <w:rPr>
          <w:rFonts w:ascii="Calibri" w:hAnsi="Calibri"/>
          <w:color w:val="000000" w:themeColor="text1"/>
          <w:shd w:val="clear" w:color="auto" w:fill="FFFFFF"/>
        </w:rPr>
        <w:t>gestionó</w:t>
      </w:r>
      <w:r w:rsidRPr="009D1EA7">
        <w:rPr>
          <w:rFonts w:ascii="Calibri" w:hAnsi="Calibri"/>
          <w:color w:val="000000" w:themeColor="text1"/>
          <w:shd w:val="clear" w:color="auto" w:fill="FFFFFF"/>
        </w:rPr>
        <w:t xml:space="preserve"> mediante correo electrónico del 8 de mayo de 2015</w:t>
      </w:r>
      <w:r w:rsidRPr="009D1EA7">
        <w:rPr>
          <w:rFonts w:ascii="Calibri" w:hAnsi="Calibri"/>
          <w:color w:val="000000" w:themeColor="text1"/>
          <w:lang w:val="es-ES_tradnl"/>
        </w:rPr>
        <w:t>.</w:t>
      </w:r>
      <w:r w:rsidRPr="009D1EA7">
        <w:rPr>
          <w:rFonts w:ascii="Calibri" w:hAnsi="Calibri"/>
          <w:color w:val="000000" w:themeColor="text1"/>
          <w:lang w:val="es-ES_tradnl"/>
        </w:rPr>
        <w:tab/>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shd w:val="clear" w:color="auto" w:fill="FFFFFF"/>
        </w:rPr>
      </w:pPr>
      <w:r w:rsidRPr="009D1EA7">
        <w:rPr>
          <w:rFonts w:ascii="Calibri" w:hAnsi="Calibri"/>
          <w:color w:val="000000" w:themeColor="text1"/>
          <w:lang w:val="es-ES_tradnl"/>
        </w:rPr>
        <w:t xml:space="preserve">OTROSÍ No.1 al Contrato de Interventoría 046 de 2014 al Contrato de </w:t>
      </w:r>
      <w:r w:rsidR="00262065" w:rsidRPr="009D1EA7">
        <w:rPr>
          <w:rFonts w:ascii="Calibri" w:hAnsi="Calibri"/>
          <w:color w:val="000000" w:themeColor="text1"/>
          <w:lang w:val="es-ES_tradnl"/>
        </w:rPr>
        <w:t>Interventoría</w:t>
      </w:r>
      <w:r w:rsidRPr="009D1EA7">
        <w:rPr>
          <w:rFonts w:ascii="Calibri" w:hAnsi="Calibri"/>
          <w:color w:val="000000" w:themeColor="text1"/>
          <w:lang w:val="es-ES_tradnl"/>
        </w:rPr>
        <w:t xml:space="preserve"> 046 de 2014 suscrito el 11 de mayo de 2015.</w:t>
      </w:r>
    </w:p>
    <w:p w:rsidR="00815BCB" w:rsidRDefault="00815BCB" w:rsidP="00815BCB">
      <w:pPr>
        <w:pStyle w:val="Prrafodelista"/>
        <w:widowControl w:val="0"/>
        <w:autoSpaceDE w:val="0"/>
        <w:autoSpaceDN w:val="0"/>
        <w:adjustRightInd w:val="0"/>
        <w:spacing w:after="0"/>
        <w:ind w:right="-518"/>
        <w:jc w:val="center"/>
        <w:rPr>
          <w:rFonts w:ascii="Calibri" w:hAnsi="Calibri"/>
          <w:b/>
          <w:color w:val="000000"/>
          <w:sz w:val="24"/>
          <w:szCs w:val="24"/>
          <w:lang w:val="es-ES_tradnl"/>
        </w:rPr>
      </w:pPr>
    </w:p>
    <w:p w:rsidR="00815BCB" w:rsidRPr="004B66C3" w:rsidRDefault="00815BCB" w:rsidP="00815BCB">
      <w:pPr>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9D1EA7" w:rsidRDefault="00815BCB" w:rsidP="00815BCB">
      <w:pPr>
        <w:pStyle w:val="Prrafodelista"/>
        <w:widowControl w:val="0"/>
        <w:autoSpaceDE w:val="0"/>
        <w:autoSpaceDN w:val="0"/>
        <w:adjustRightInd w:val="0"/>
        <w:spacing w:after="0"/>
        <w:ind w:right="-518"/>
        <w:jc w:val="center"/>
        <w:rPr>
          <w:rFonts w:ascii="Calibri" w:hAnsi="Calibri"/>
          <w:b/>
          <w:color w:val="000000" w:themeColor="text1"/>
          <w:lang w:val="es-ES_tradnl"/>
        </w:rPr>
      </w:pP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Revisión y emisión del concepto de las Pólizas OTROSÍ 1.Mediante memorando No.</w:t>
      </w:r>
      <w:r w:rsidRPr="009D1EA7">
        <w:rPr>
          <w:rFonts w:ascii="Calibri" w:hAnsi="Calibri" w:cs="Arial"/>
          <w:color w:val="000000" w:themeColor="text1"/>
        </w:rPr>
        <w:t>20154090207862 del 14 de mayo de 2015.</w:t>
      </w:r>
    </w:p>
    <w:p w:rsidR="00815BCB" w:rsidRDefault="00815BCB" w:rsidP="00815BCB">
      <w:pPr>
        <w:pStyle w:val="Prrafodelista"/>
        <w:widowControl w:val="0"/>
        <w:autoSpaceDE w:val="0"/>
        <w:autoSpaceDN w:val="0"/>
        <w:adjustRightInd w:val="0"/>
        <w:spacing w:after="0"/>
        <w:ind w:right="-518"/>
        <w:rPr>
          <w:rFonts w:ascii="Calibri" w:hAnsi="Calibri"/>
          <w:b/>
          <w:color w:val="000000" w:themeColor="text1"/>
          <w:sz w:val="36"/>
          <w:szCs w:val="36"/>
          <w:lang w:val="es-ES_tradnl"/>
        </w:rPr>
      </w:pPr>
    </w:p>
    <w:p w:rsidR="009D1EA7" w:rsidRPr="00C15AA8" w:rsidRDefault="009D1EA7" w:rsidP="00815BCB">
      <w:pPr>
        <w:pStyle w:val="Prrafodelista"/>
        <w:widowControl w:val="0"/>
        <w:autoSpaceDE w:val="0"/>
        <w:autoSpaceDN w:val="0"/>
        <w:adjustRightInd w:val="0"/>
        <w:spacing w:after="0"/>
        <w:ind w:right="-518"/>
        <w:rPr>
          <w:rFonts w:ascii="Calibri" w:hAnsi="Calibri"/>
          <w:b/>
          <w:color w:val="000000" w:themeColor="text1"/>
          <w:sz w:val="36"/>
          <w:szCs w:val="36"/>
          <w:lang w:val="es-ES_tradnl"/>
        </w:rPr>
      </w:pPr>
    </w:p>
    <w:p w:rsidR="00815BCB" w:rsidRPr="004B66C3" w:rsidRDefault="00815BCB" w:rsidP="00815BCB">
      <w:pPr>
        <w:pStyle w:val="Prrafodelista"/>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SANTA MARTA –RIOHACHA –PARAGUACHON</w:t>
      </w:r>
    </w:p>
    <w:p w:rsidR="00815BCB" w:rsidRPr="004B66C3" w:rsidRDefault="00815BCB" w:rsidP="00815BCB">
      <w:pPr>
        <w:pStyle w:val="Prrafodelista"/>
        <w:widowControl w:val="0"/>
        <w:autoSpaceDE w:val="0"/>
        <w:autoSpaceDN w:val="0"/>
        <w:adjustRightInd w:val="0"/>
        <w:spacing w:after="0"/>
        <w:ind w:right="-518"/>
        <w:jc w:val="center"/>
        <w:rPr>
          <w:rFonts w:ascii="Calibri" w:hAnsi="Calibri"/>
          <w:b/>
          <w:color w:val="000000" w:themeColor="text1"/>
          <w:sz w:val="16"/>
          <w:szCs w:val="1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Se emitieron los siguientes conceptos y documentos contractuales</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 xml:space="preserve">Elaboración del </w:t>
      </w:r>
      <w:r w:rsidRPr="009D1EA7">
        <w:rPr>
          <w:rFonts w:ascii="Calibri" w:eastAsia="Times New Roman" w:hAnsi="Calibri" w:cs="Arial"/>
          <w:color w:val="000000" w:themeColor="text1"/>
        </w:rPr>
        <w:t>concepto con acciones a seguir para el hallazgo 425. Mediante memorando 20157040010753 del 26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color w:val="000000" w:themeColor="text1"/>
        </w:rPr>
        <w:lastRenderedPageBreak/>
        <w:t>Revisión de  Aspectos Jurídicos del Informe Presentado por La Interventoría. Gestionado mediante correo electrónico del 26 de febrero de 2015.</w:t>
      </w:r>
    </w:p>
    <w:p w:rsidR="00815BCB" w:rsidRPr="009D1EA7" w:rsidRDefault="00815BCB" w:rsidP="00F33349">
      <w:pPr>
        <w:pStyle w:val="Prrafodelista"/>
        <w:numPr>
          <w:ilvl w:val="0"/>
          <w:numId w:val="104"/>
        </w:numPr>
        <w:spacing w:after="160" w:line="259" w:lineRule="auto"/>
        <w:ind w:right="-518"/>
        <w:jc w:val="both"/>
        <w:rPr>
          <w:color w:val="000000" w:themeColor="text1"/>
        </w:rPr>
      </w:pPr>
      <w:r w:rsidRPr="009D1EA7">
        <w:rPr>
          <w:color w:val="000000" w:themeColor="text1"/>
        </w:rPr>
        <w:t xml:space="preserve">Concepto Sobre  Viabilidad de Adicionar las Obras Necesarias Para Prevenir Y Corregir  La afectación del talud adicional 9. se </w:t>
      </w:r>
      <w:r w:rsidR="00262065" w:rsidRPr="009D1EA7">
        <w:rPr>
          <w:color w:val="000000" w:themeColor="text1"/>
        </w:rPr>
        <w:t>gestionó</w:t>
      </w:r>
      <w:r w:rsidRPr="009D1EA7">
        <w:rPr>
          <w:color w:val="000000" w:themeColor="text1"/>
        </w:rPr>
        <w:t xml:space="preserve"> mediante correo electrónico en el cual se </w:t>
      </w:r>
      <w:r w:rsidR="00262065" w:rsidRPr="009D1EA7">
        <w:rPr>
          <w:color w:val="000000" w:themeColor="text1"/>
        </w:rPr>
        <w:t>indicó</w:t>
      </w:r>
      <w:r w:rsidRPr="009D1EA7">
        <w:rPr>
          <w:color w:val="000000" w:themeColor="text1"/>
        </w:rPr>
        <w:t xml:space="preserve"> que el contrato se había adicionado hasta el valor permitido en el </w:t>
      </w:r>
      <w:r w:rsidR="00262065" w:rsidRPr="009D1EA7">
        <w:rPr>
          <w:color w:val="000000" w:themeColor="text1"/>
        </w:rPr>
        <w:t>Artículo</w:t>
      </w:r>
      <w:r w:rsidRPr="009D1EA7">
        <w:rPr>
          <w:color w:val="000000" w:themeColor="text1"/>
        </w:rPr>
        <w:t xml:space="preserve"> 40 de la ley 80 de 1993, por lo cual si se requieren las obras se debe adelantar proceso contractual. Correo electrónico a Daniel Guarin del 15 de febrero de 2015.</w:t>
      </w:r>
    </w:p>
    <w:p w:rsidR="00815BCB" w:rsidRPr="009D1EA7" w:rsidRDefault="00815BCB" w:rsidP="00F33349">
      <w:pPr>
        <w:pStyle w:val="Prrafodelista"/>
        <w:numPr>
          <w:ilvl w:val="0"/>
          <w:numId w:val="104"/>
        </w:numPr>
        <w:spacing w:after="160" w:line="259" w:lineRule="auto"/>
        <w:ind w:right="-518"/>
        <w:jc w:val="both"/>
        <w:rPr>
          <w:color w:val="000000" w:themeColor="text1"/>
        </w:rPr>
      </w:pPr>
      <w:r w:rsidRPr="009D1EA7">
        <w:rPr>
          <w:color w:val="000000" w:themeColor="text1"/>
        </w:rPr>
        <w:t xml:space="preserve">Elaboración y </w:t>
      </w:r>
      <w:r w:rsidR="00262065" w:rsidRPr="009D1EA7">
        <w:rPr>
          <w:color w:val="000000" w:themeColor="text1"/>
        </w:rPr>
        <w:t>envío</w:t>
      </w:r>
      <w:r w:rsidRPr="009D1EA7">
        <w:rPr>
          <w:color w:val="000000" w:themeColor="text1"/>
        </w:rPr>
        <w:t xml:space="preserve"> por Correo </w:t>
      </w:r>
      <w:r w:rsidR="00262065" w:rsidRPr="009D1EA7">
        <w:rPr>
          <w:color w:val="000000" w:themeColor="text1"/>
        </w:rPr>
        <w:t>Electrónico</w:t>
      </w:r>
      <w:r w:rsidRPr="009D1EA7">
        <w:rPr>
          <w:color w:val="000000" w:themeColor="text1"/>
        </w:rPr>
        <w:t xml:space="preserve"> del Acta De Acuerdo Para Cancelar El Valor Resultante De La Liquidación Por Concepto De Compensación Por Diferencial. 16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color w:val="000000" w:themeColor="text1"/>
        </w:rPr>
        <w:t>Revisión y solicitud de ajustes a Certificación Del Proyecto. Correo Electrónico A Esmeralda Archila</w:t>
      </w:r>
      <w:r w:rsidRPr="009D1EA7">
        <w:rPr>
          <w:color w:val="000000" w:themeColor="text1"/>
        </w:rPr>
        <w:tab/>
        <w:t>Marzo 25 De 2015.</w:t>
      </w:r>
    </w:p>
    <w:p w:rsidR="00815BCB" w:rsidRPr="009D1EA7" w:rsidRDefault="00815BCB" w:rsidP="00F33349">
      <w:pPr>
        <w:pStyle w:val="Prrafodelista"/>
        <w:widowControl w:val="0"/>
        <w:numPr>
          <w:ilvl w:val="0"/>
          <w:numId w:val="104"/>
        </w:numPr>
        <w:tabs>
          <w:tab w:val="left" w:pos="567"/>
          <w:tab w:val="left" w:pos="709"/>
          <w:tab w:val="left" w:pos="851"/>
        </w:tabs>
        <w:autoSpaceDE w:val="0"/>
        <w:autoSpaceDN w:val="0"/>
        <w:adjustRightInd w:val="0"/>
        <w:spacing w:after="0" w:line="259" w:lineRule="auto"/>
        <w:ind w:left="709" w:right="-518" w:hanging="916"/>
        <w:jc w:val="both"/>
        <w:rPr>
          <w:rFonts w:ascii="Calibri" w:hAnsi="Calibri"/>
          <w:color w:val="000000" w:themeColor="text1"/>
          <w:lang w:val="es-ES_tradnl"/>
        </w:rPr>
      </w:pPr>
      <w:r w:rsidRPr="009D1EA7">
        <w:rPr>
          <w:color w:val="000000" w:themeColor="text1"/>
        </w:rPr>
        <w:t xml:space="preserve">  Revisión de Posibilidad de Desafectar El Sector Pr0+000 Al Pr0+500 (500 Metros De Vía) Del Tramo Santa Marta-Rio Palomino. Por lo cual se </w:t>
      </w:r>
      <w:r w:rsidR="00262065" w:rsidRPr="009D1EA7">
        <w:rPr>
          <w:color w:val="000000" w:themeColor="text1"/>
        </w:rPr>
        <w:t>envió</w:t>
      </w:r>
      <w:r w:rsidRPr="009D1EA7">
        <w:rPr>
          <w:color w:val="000000" w:themeColor="text1"/>
        </w:rPr>
        <w:t xml:space="preserve"> un Correo Solicitando los antecedentes para poder realizar el concepto, Igualmente se </w:t>
      </w:r>
      <w:r w:rsidR="00262065" w:rsidRPr="009D1EA7">
        <w:rPr>
          <w:color w:val="000000" w:themeColor="text1"/>
        </w:rPr>
        <w:t>indicó</w:t>
      </w:r>
      <w:r w:rsidRPr="009D1EA7">
        <w:rPr>
          <w:color w:val="000000" w:themeColor="text1"/>
        </w:rPr>
        <w:t xml:space="preserve"> que  sobre este mismo tramo del proyecto hay un permiso vigente. Correo Electrónico A Daniel Guarin</w:t>
      </w:r>
      <w:r w:rsidRPr="009D1EA7">
        <w:rPr>
          <w:color w:val="000000" w:themeColor="text1"/>
        </w:rPr>
        <w:tab/>
        <w:t>Marzo 25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color w:val="000000" w:themeColor="text1"/>
        </w:rPr>
        <w:t>Revisión del  Informe y se enviaron para que los incluyeran en oficio Enviado a la Interventoría. Correo Electrónico A Daniel Guarin del abril 4 De 2015.</w:t>
      </w:r>
    </w:p>
    <w:p w:rsidR="00815BCB" w:rsidRPr="009D1EA7" w:rsidRDefault="00262065" w:rsidP="00F33349">
      <w:pPr>
        <w:pStyle w:val="Prrafodelista"/>
        <w:numPr>
          <w:ilvl w:val="0"/>
          <w:numId w:val="104"/>
        </w:numPr>
        <w:spacing w:after="160" w:line="259" w:lineRule="auto"/>
        <w:ind w:right="-518"/>
        <w:jc w:val="both"/>
        <w:rPr>
          <w:color w:val="000000" w:themeColor="text1"/>
        </w:rPr>
      </w:pPr>
      <w:r w:rsidRPr="009D1EA7">
        <w:rPr>
          <w:color w:val="000000" w:themeColor="text1"/>
        </w:rPr>
        <w:t>Revisión</w:t>
      </w:r>
      <w:r w:rsidR="00815BCB" w:rsidRPr="009D1EA7">
        <w:rPr>
          <w:color w:val="000000" w:themeColor="text1"/>
        </w:rPr>
        <w:t xml:space="preserve"> de documento denominado acta de recibo de obras. Correo electrónico enviado el 20 de abril de 2015.</w:t>
      </w:r>
      <w:r w:rsidR="00815BCB" w:rsidRPr="009D1EA7">
        <w:rPr>
          <w:color w:val="000000" w:themeColor="text1"/>
        </w:rPr>
        <w:cr/>
        <w:t xml:space="preserve">Revisión de las pólizas finales Interventoría bic. Mediante radicado No.20157040045833 del 20 de abril de 2015. </w:t>
      </w:r>
    </w:p>
    <w:p w:rsidR="00815BCB" w:rsidRPr="009D1EA7" w:rsidRDefault="00815BCB" w:rsidP="00F33349">
      <w:pPr>
        <w:pStyle w:val="Prrafodelista"/>
        <w:numPr>
          <w:ilvl w:val="0"/>
          <w:numId w:val="104"/>
        </w:numPr>
        <w:spacing w:after="160" w:line="259" w:lineRule="auto"/>
        <w:ind w:right="-518"/>
        <w:jc w:val="both"/>
        <w:rPr>
          <w:color w:val="000000" w:themeColor="text1"/>
        </w:rPr>
      </w:pPr>
      <w:r w:rsidRPr="009D1EA7">
        <w:rPr>
          <w:color w:val="000000" w:themeColor="text1"/>
        </w:rPr>
        <w:t>Revisión de informe de Interventoría Metroconceciones. Envío por correo electrónico el 24 de abril de 2015.</w:t>
      </w:r>
    </w:p>
    <w:p w:rsidR="00815BCB" w:rsidRPr="009D1EA7" w:rsidRDefault="00815BCB" w:rsidP="00F33349">
      <w:pPr>
        <w:pStyle w:val="Prrafodelista"/>
        <w:numPr>
          <w:ilvl w:val="0"/>
          <w:numId w:val="104"/>
        </w:numPr>
        <w:spacing w:after="160" w:line="259" w:lineRule="auto"/>
        <w:ind w:right="-518"/>
        <w:jc w:val="both"/>
        <w:rPr>
          <w:color w:val="000000" w:themeColor="text1"/>
        </w:rPr>
      </w:pPr>
      <w:r w:rsidRPr="009D1EA7">
        <w:rPr>
          <w:color w:val="000000" w:themeColor="text1"/>
        </w:rPr>
        <w:t>Elaboración de aspectos jurídicos para consolidar el informe para el plan de mejoramiento hallazgo 432. Correo electrónico a Daniel Guarin del 28 de abril de 2015</w:t>
      </w:r>
    </w:p>
    <w:p w:rsidR="00815BCB" w:rsidRPr="009D1EA7" w:rsidRDefault="00815BCB" w:rsidP="00F33349">
      <w:pPr>
        <w:pStyle w:val="Prrafodelista"/>
        <w:numPr>
          <w:ilvl w:val="0"/>
          <w:numId w:val="104"/>
        </w:numPr>
        <w:spacing w:after="160" w:line="259" w:lineRule="auto"/>
        <w:ind w:right="-518"/>
        <w:jc w:val="both"/>
        <w:rPr>
          <w:color w:val="000000" w:themeColor="text1"/>
        </w:rPr>
      </w:pPr>
      <w:r w:rsidRPr="009D1EA7">
        <w:rPr>
          <w:color w:val="000000" w:themeColor="text1"/>
        </w:rPr>
        <w:t>Estudios previos para contrato de Interventoría. Correo electrónico a Daniel Guarin del 5 de mayo de 2015.</w:t>
      </w:r>
    </w:p>
    <w:p w:rsidR="00815BCB" w:rsidRPr="009D1EA7" w:rsidRDefault="00815BCB" w:rsidP="00F33349">
      <w:pPr>
        <w:pStyle w:val="Prrafodelista"/>
        <w:numPr>
          <w:ilvl w:val="0"/>
          <w:numId w:val="104"/>
        </w:numPr>
        <w:spacing w:after="160" w:line="259" w:lineRule="auto"/>
        <w:ind w:right="-518"/>
        <w:jc w:val="both"/>
        <w:rPr>
          <w:color w:val="000000" w:themeColor="text1"/>
        </w:rPr>
      </w:pPr>
      <w:r w:rsidRPr="009D1EA7">
        <w:rPr>
          <w:color w:val="000000" w:themeColor="text1"/>
        </w:rPr>
        <w:t>Revisión a la Resolución 1219 de 4 de mayo 2015, emitida por el Ministerio de Transporte, la cual contiene cambios para implementar en las vallas informativas de los proyectos. Correo electrónico a Daniel Guarin el 13 de mayo de 2015.</w:t>
      </w:r>
    </w:p>
    <w:p w:rsidR="00815BCB" w:rsidRPr="009D1EA7" w:rsidRDefault="00815BCB" w:rsidP="00F33349">
      <w:pPr>
        <w:pStyle w:val="Prrafodelista"/>
        <w:numPr>
          <w:ilvl w:val="0"/>
          <w:numId w:val="104"/>
        </w:numPr>
        <w:spacing w:after="160" w:line="259" w:lineRule="auto"/>
        <w:ind w:right="-518"/>
        <w:jc w:val="both"/>
        <w:rPr>
          <w:color w:val="000000" w:themeColor="text1"/>
        </w:rPr>
      </w:pPr>
      <w:r w:rsidRPr="009D1EA7">
        <w:rPr>
          <w:color w:val="000000" w:themeColor="text1"/>
        </w:rPr>
        <w:t>Revisión al oficio de respuesta al concesionario sobre deudas del proyecto. Correo electrónico del 14 de mayo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rPr>
      </w:pPr>
      <w:r w:rsidRPr="009D1EA7">
        <w:rPr>
          <w:rFonts w:ascii="Calibri" w:hAnsi="Calibri"/>
          <w:color w:val="000000" w:themeColor="text1"/>
          <w:lang w:val="es-ES_tradnl"/>
        </w:rPr>
        <w:t xml:space="preserve">Remisión de concepto de abogado externo relacionado con </w:t>
      </w:r>
      <w:r w:rsidR="00262065" w:rsidRPr="009D1EA7">
        <w:rPr>
          <w:rFonts w:ascii="Calibri" w:hAnsi="Calibri"/>
          <w:color w:val="000000" w:themeColor="text1"/>
          <w:lang w:val="es-ES_tradnl"/>
        </w:rPr>
        <w:t>adición</w:t>
      </w:r>
      <w:r w:rsidRPr="009D1EA7">
        <w:rPr>
          <w:rFonts w:ascii="Calibri" w:hAnsi="Calibri"/>
          <w:color w:val="000000" w:themeColor="text1"/>
          <w:lang w:val="es-ES_tradnl"/>
        </w:rPr>
        <w:t xml:space="preserve"> de contrato. Mediante memorando No.</w:t>
      </w:r>
      <w:r w:rsidRPr="009D1EA7">
        <w:rPr>
          <w:color w:val="000000" w:themeColor="text1"/>
        </w:rPr>
        <w:t>20157040066933 del 9 de junio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rPr>
      </w:pPr>
      <w:r w:rsidRPr="009D1EA7">
        <w:rPr>
          <w:color w:val="000000" w:themeColor="text1"/>
        </w:rPr>
        <w:t>concepto sobre liquidación de convenio. Mediante memorando No.2015704067163 del 10 de junio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rPr>
      </w:pPr>
      <w:r w:rsidRPr="009D1EA7">
        <w:rPr>
          <w:color w:val="000000" w:themeColor="text1"/>
        </w:rPr>
        <w:t>concepto sobre viabilidad de liquidar contrato adicional No.9 al Contrato de concesión. Mediante memorando No.20157040066933 del 10 de junio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rPr>
      </w:pPr>
      <w:r w:rsidRPr="009D1EA7">
        <w:rPr>
          <w:color w:val="000000" w:themeColor="text1"/>
        </w:rPr>
        <w:t>Concepto sobre etapa contractual tramo Maicao - Carraipia - Paradero. Mediante memorando No.20157040066943 del 10 de junio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567" w:right="-518" w:hanging="207"/>
        <w:jc w:val="both"/>
        <w:rPr>
          <w:color w:val="000000" w:themeColor="text1"/>
        </w:rPr>
      </w:pPr>
      <w:r w:rsidRPr="009D1EA7">
        <w:rPr>
          <w:color w:val="000000" w:themeColor="text1"/>
        </w:rPr>
        <w:t>Concepto para modificar áreas de servicio. Mediante memorando No.20157040067083</w:t>
      </w:r>
      <w:r w:rsidRPr="009D1EA7">
        <w:rPr>
          <w:color w:val="000000" w:themeColor="text1"/>
        </w:rPr>
        <w:tab/>
        <w:t>del 10 de junio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567" w:right="-518" w:hanging="207"/>
        <w:jc w:val="both"/>
        <w:rPr>
          <w:color w:val="000000" w:themeColor="text1"/>
        </w:rPr>
      </w:pPr>
      <w:r w:rsidRPr="009D1EA7">
        <w:rPr>
          <w:color w:val="000000" w:themeColor="text1"/>
        </w:rPr>
        <w:t>Elaboración del Concepto sobre el hallazgo 897.Mediante memorando No.20157040066953</w:t>
      </w:r>
      <w:r w:rsidRPr="009D1EA7">
        <w:rPr>
          <w:color w:val="000000" w:themeColor="text1"/>
        </w:rPr>
        <w:tab/>
        <w:t>junio 10 de 2015</w:t>
      </w:r>
    </w:p>
    <w:p w:rsidR="00815BCB" w:rsidRPr="008B0CAF" w:rsidRDefault="00815BCB" w:rsidP="00815BCB">
      <w:pPr>
        <w:widowControl w:val="0"/>
        <w:autoSpaceDE w:val="0"/>
        <w:autoSpaceDN w:val="0"/>
        <w:adjustRightInd w:val="0"/>
        <w:spacing w:after="0"/>
        <w:ind w:right="-518"/>
        <w:jc w:val="both"/>
        <w:rPr>
          <w:rFonts w:ascii="Calibri" w:hAnsi="Calibri"/>
          <w:color w:val="984806" w:themeColor="accent6" w:themeShade="80"/>
          <w:sz w:val="24"/>
          <w:szCs w:val="24"/>
        </w:rPr>
      </w:pPr>
    </w:p>
    <w:p w:rsidR="00815BCB" w:rsidRPr="004B66C3" w:rsidRDefault="00815BCB" w:rsidP="00815BCB">
      <w:pPr>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 xml:space="preserve">Elaboración del </w:t>
      </w:r>
      <w:r w:rsidRPr="009D1EA7">
        <w:rPr>
          <w:rFonts w:ascii="Calibri" w:eastAsia="Times New Roman" w:hAnsi="Calibri" w:cs="Arial"/>
          <w:color w:val="000000" w:themeColor="text1"/>
        </w:rPr>
        <w:t>concepto sobre vigencia de póliza Estabilidad de obra tramo Bosconia - Ye de Cienaga. Mediante memorando 20157040014253 del 29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color w:val="000000" w:themeColor="text1"/>
        </w:rPr>
        <w:t xml:space="preserve">Revisión de la Póliza De Cumplimiento </w:t>
      </w:r>
      <w:r w:rsidR="00262065" w:rsidRPr="009D1EA7">
        <w:rPr>
          <w:color w:val="000000" w:themeColor="text1"/>
        </w:rPr>
        <w:t>Interventoría</w:t>
      </w:r>
      <w:r w:rsidRPr="009D1EA7">
        <w:rPr>
          <w:color w:val="000000" w:themeColor="text1"/>
        </w:rPr>
        <w:t xml:space="preserve"> Bic Cto 089. Mediante memorando No.20157040045741 del 16 de marzo de 2015.</w:t>
      </w:r>
    </w:p>
    <w:p w:rsidR="00815BCB" w:rsidRPr="004B66C3" w:rsidRDefault="00815BCB" w:rsidP="00F33349">
      <w:pPr>
        <w:pStyle w:val="Prrafodelista"/>
        <w:numPr>
          <w:ilvl w:val="0"/>
          <w:numId w:val="104"/>
        </w:numPr>
        <w:spacing w:after="160" w:line="259" w:lineRule="auto"/>
        <w:ind w:right="-518"/>
        <w:jc w:val="both"/>
        <w:rPr>
          <w:color w:val="000000" w:themeColor="text1"/>
          <w:sz w:val="24"/>
          <w:szCs w:val="24"/>
        </w:rPr>
      </w:pPr>
      <w:r w:rsidRPr="009D1EA7">
        <w:rPr>
          <w:color w:val="000000" w:themeColor="text1"/>
          <w:lang w:val="es-ES_tradnl"/>
        </w:rPr>
        <w:t>Concepto de viabilidad de la pó</w:t>
      </w:r>
      <w:r w:rsidRPr="009D1EA7">
        <w:rPr>
          <w:color w:val="000000" w:themeColor="text1"/>
        </w:rPr>
        <w:t>liza estabilidad de obras muchachitos. Memorando No.20157040066283 del 9 de junio de 2015</w:t>
      </w:r>
      <w:r w:rsidRPr="004B66C3">
        <w:rPr>
          <w:color w:val="000000" w:themeColor="text1"/>
          <w:sz w:val="24"/>
          <w:szCs w:val="24"/>
        </w:rPr>
        <w:t>.</w:t>
      </w:r>
    </w:p>
    <w:p w:rsidR="00815BCB" w:rsidRDefault="00815BCB" w:rsidP="00815BCB">
      <w:pPr>
        <w:pStyle w:val="Prrafodelista"/>
        <w:widowControl w:val="0"/>
        <w:autoSpaceDE w:val="0"/>
        <w:autoSpaceDN w:val="0"/>
        <w:adjustRightInd w:val="0"/>
        <w:spacing w:after="0"/>
        <w:ind w:left="-207" w:right="-518"/>
        <w:jc w:val="both"/>
        <w:rPr>
          <w:rFonts w:ascii="Calibri" w:hAnsi="Calibri"/>
          <w:color w:val="000000" w:themeColor="text1"/>
          <w:lang w:val="es-ES_tradnl"/>
        </w:rPr>
      </w:pPr>
    </w:p>
    <w:p w:rsidR="00815BCB" w:rsidRDefault="00815BCB" w:rsidP="00815BCB">
      <w:pPr>
        <w:pStyle w:val="Prrafodelista"/>
        <w:widowControl w:val="0"/>
        <w:autoSpaceDE w:val="0"/>
        <w:autoSpaceDN w:val="0"/>
        <w:adjustRightInd w:val="0"/>
        <w:spacing w:after="0"/>
        <w:ind w:left="-207" w:right="-518"/>
        <w:jc w:val="both"/>
        <w:rPr>
          <w:rFonts w:ascii="Calibri" w:hAnsi="Calibri"/>
          <w:color w:val="000000" w:themeColor="text1"/>
          <w:lang w:val="es-ES_tradnl"/>
        </w:rPr>
      </w:pPr>
    </w:p>
    <w:p w:rsidR="00815BCB" w:rsidRPr="004B66C3" w:rsidRDefault="00815BCB" w:rsidP="00815BCB">
      <w:pPr>
        <w:pStyle w:val="Prrafodelista"/>
        <w:widowControl w:val="0"/>
        <w:autoSpaceDE w:val="0"/>
        <w:autoSpaceDN w:val="0"/>
        <w:adjustRightInd w:val="0"/>
        <w:spacing w:after="0"/>
        <w:ind w:left="-207" w:right="-518"/>
        <w:jc w:val="both"/>
        <w:rPr>
          <w:rFonts w:ascii="Calibri" w:hAnsi="Calibri"/>
          <w:color w:val="000000" w:themeColor="text1"/>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CONEXIÓN PACIFICO 2</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Se emitieron los siguientes conceptos y documentos contractuales</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Revisión del Acta de Prórroga del plazo para la ratificación del Amigable Componedor.</w:t>
      </w:r>
      <w:r w:rsidRPr="009D1EA7">
        <w:rPr>
          <w:color w:val="984806" w:themeColor="accent6" w:themeShade="80"/>
          <w:lang w:val="es-ES_tradnl"/>
        </w:rPr>
        <w:t xml:space="preserve"> </w:t>
      </w:r>
      <w:r w:rsidRPr="009D1EA7">
        <w:rPr>
          <w:color w:val="000000" w:themeColor="text1"/>
          <w:lang w:val="es-ES_tradnl"/>
        </w:rPr>
        <w:t>Suscrita el 9 d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Elaboración del requerimiento solicitando a la Vicepresidencia de Estructuración información relacionada con la Reversión anticipada de tramos. Mediante memorando No.</w:t>
      </w:r>
      <w:r w:rsidRPr="009D1EA7">
        <w:rPr>
          <w:rFonts w:eastAsia="Times New Roman" w:cs="Arial"/>
          <w:color w:val="000000" w:themeColor="text1"/>
        </w:rPr>
        <w:t xml:space="preserve"> 20157040012913 del 29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eastAsia="Times New Roman" w:cs="Arial"/>
          <w:color w:val="000000" w:themeColor="text1"/>
        </w:rPr>
        <w:t>Elaboración de ajustes al Otrosí No.2 Mediante correo electrónico del 5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ascii="Calibri" w:hAnsi="Calibri"/>
          <w:color w:val="000000" w:themeColor="text1"/>
          <w:lang w:val="es-ES_tradnl"/>
        </w:rPr>
        <w:t xml:space="preserve">Elaboración del Otrosí No.3 </w:t>
      </w:r>
      <w:r w:rsidRPr="009D1EA7">
        <w:rPr>
          <w:rFonts w:ascii="Calibri" w:eastAsia="Times New Roman" w:hAnsi="Calibri" w:cs="Arial"/>
          <w:color w:val="000000" w:themeColor="text1"/>
        </w:rPr>
        <w:t>al contrato de concesión No. 006 de 2014, para prorrogar el plazo para elegir amigable componedor en (60) días calendario contados a partir del 20 de febrero de 2015. Suscrito el 20 de febrero de 2015.</w:t>
      </w:r>
    </w:p>
    <w:p w:rsidR="00815BCB" w:rsidRPr="00C15AA8" w:rsidRDefault="00815BCB" w:rsidP="00F33349">
      <w:pPr>
        <w:pStyle w:val="Prrafodelista"/>
        <w:widowControl w:val="0"/>
        <w:numPr>
          <w:ilvl w:val="0"/>
          <w:numId w:val="104"/>
        </w:numPr>
        <w:autoSpaceDE w:val="0"/>
        <w:autoSpaceDN w:val="0"/>
        <w:adjustRightInd w:val="0"/>
        <w:spacing w:after="0" w:line="259" w:lineRule="auto"/>
        <w:ind w:left="709" w:right="-518"/>
        <w:jc w:val="both"/>
        <w:rPr>
          <w:b/>
          <w:color w:val="000000" w:themeColor="text1"/>
          <w:sz w:val="16"/>
          <w:szCs w:val="16"/>
          <w:lang w:val="es-ES_tradnl"/>
        </w:rPr>
      </w:pPr>
      <w:r w:rsidRPr="009D1EA7">
        <w:rPr>
          <w:color w:val="000000" w:themeColor="text1"/>
          <w:lang w:val="es-ES_tradnl"/>
        </w:rPr>
        <w:t>Revisión oficio para el concesionario relacionado sobre el patrimonio autónomo. Salió mediante oficio 2015308064861 del 26 de marzo de 2015.</w:t>
      </w:r>
      <w:r w:rsidRPr="00C15AA8">
        <w:rPr>
          <w:color w:val="000000" w:themeColor="text1"/>
          <w:sz w:val="24"/>
          <w:szCs w:val="24"/>
          <w:lang w:val="es-ES_tradnl"/>
        </w:rPr>
        <w:tab/>
      </w:r>
      <w:r w:rsidRPr="00C15AA8">
        <w:rPr>
          <w:color w:val="000000" w:themeColor="text1"/>
          <w:sz w:val="24"/>
          <w:szCs w:val="24"/>
          <w:lang w:val="es-ES_tradnl"/>
        </w:rPr>
        <w:tab/>
      </w:r>
      <w:r w:rsidRPr="00C15AA8">
        <w:rPr>
          <w:color w:val="000000" w:themeColor="text1"/>
          <w:sz w:val="24"/>
          <w:szCs w:val="24"/>
          <w:lang w:val="es-ES_tradnl"/>
        </w:rPr>
        <w:tab/>
      </w:r>
      <w:r w:rsidRPr="00C15AA8">
        <w:rPr>
          <w:color w:val="000000" w:themeColor="text1"/>
          <w:sz w:val="24"/>
          <w:szCs w:val="24"/>
          <w:lang w:val="es-ES_tradnl"/>
        </w:rPr>
        <w:tab/>
      </w:r>
      <w:r w:rsidRPr="00C15AA8">
        <w:rPr>
          <w:color w:val="000000" w:themeColor="text1"/>
          <w:sz w:val="24"/>
          <w:szCs w:val="24"/>
          <w:lang w:val="es-ES_tradnl"/>
        </w:rPr>
        <w:tab/>
      </w:r>
    </w:p>
    <w:p w:rsidR="00815BCB" w:rsidRDefault="00815BCB" w:rsidP="00815BCB">
      <w:pPr>
        <w:pStyle w:val="Prrafodelista"/>
        <w:widowControl w:val="0"/>
        <w:autoSpaceDE w:val="0"/>
        <w:autoSpaceDN w:val="0"/>
        <w:adjustRightInd w:val="0"/>
        <w:spacing w:after="0"/>
        <w:ind w:left="360" w:right="-518"/>
        <w:jc w:val="both"/>
        <w:rPr>
          <w:b/>
          <w:color w:val="000000" w:themeColor="text1"/>
          <w:sz w:val="16"/>
          <w:szCs w:val="16"/>
          <w:lang w:val="es-ES_tradnl"/>
        </w:rPr>
      </w:pPr>
    </w:p>
    <w:p w:rsidR="009D1EA7" w:rsidRDefault="009D1EA7" w:rsidP="00815BCB">
      <w:pPr>
        <w:pStyle w:val="Prrafodelista"/>
        <w:widowControl w:val="0"/>
        <w:autoSpaceDE w:val="0"/>
        <w:autoSpaceDN w:val="0"/>
        <w:adjustRightInd w:val="0"/>
        <w:spacing w:after="0"/>
        <w:ind w:left="360" w:right="-518"/>
        <w:jc w:val="both"/>
        <w:rPr>
          <w:b/>
          <w:color w:val="000000" w:themeColor="text1"/>
          <w:sz w:val="16"/>
          <w:szCs w:val="16"/>
          <w:lang w:val="es-ES_tradnl"/>
        </w:rPr>
      </w:pPr>
    </w:p>
    <w:p w:rsidR="009D1EA7" w:rsidRDefault="009D1EA7" w:rsidP="00815BCB">
      <w:pPr>
        <w:pStyle w:val="Prrafodelista"/>
        <w:widowControl w:val="0"/>
        <w:autoSpaceDE w:val="0"/>
        <w:autoSpaceDN w:val="0"/>
        <w:adjustRightInd w:val="0"/>
        <w:spacing w:after="0"/>
        <w:ind w:left="360" w:right="-518"/>
        <w:jc w:val="both"/>
        <w:rPr>
          <w:b/>
          <w:color w:val="000000" w:themeColor="text1"/>
          <w:sz w:val="16"/>
          <w:szCs w:val="16"/>
          <w:lang w:val="es-ES_tradnl"/>
        </w:rPr>
      </w:pPr>
    </w:p>
    <w:p w:rsidR="009D1EA7" w:rsidRPr="00C15AA8" w:rsidRDefault="009D1EA7" w:rsidP="00815BCB">
      <w:pPr>
        <w:pStyle w:val="Prrafodelista"/>
        <w:widowControl w:val="0"/>
        <w:autoSpaceDE w:val="0"/>
        <w:autoSpaceDN w:val="0"/>
        <w:adjustRightInd w:val="0"/>
        <w:spacing w:after="0"/>
        <w:ind w:left="360" w:right="-518"/>
        <w:jc w:val="both"/>
        <w:rPr>
          <w:b/>
          <w:color w:val="000000" w:themeColor="text1"/>
          <w:sz w:val="16"/>
          <w:szCs w:val="16"/>
          <w:lang w:val="es-ES_tradnl"/>
        </w:rPr>
      </w:pPr>
    </w:p>
    <w:p w:rsidR="00815BCB" w:rsidRPr="004B66C3" w:rsidRDefault="00815BCB" w:rsidP="00815BCB">
      <w:pPr>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16"/>
          <w:szCs w:val="16"/>
          <w:lang w:val="es-ES_tradnl"/>
        </w:rPr>
      </w:pPr>
      <w:r w:rsidRPr="004B66C3">
        <w:rPr>
          <w:b/>
          <w:color w:val="000000" w:themeColor="text1"/>
          <w:sz w:val="16"/>
          <w:szCs w:val="16"/>
          <w:lang w:val="es-ES_tradnl"/>
        </w:rPr>
        <w:tab/>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567" w:right="-518" w:hanging="207"/>
        <w:jc w:val="both"/>
        <w:rPr>
          <w:color w:val="000000" w:themeColor="text1"/>
          <w:lang w:val="es-ES_tradnl"/>
        </w:rPr>
      </w:pPr>
      <w:r w:rsidRPr="009D1EA7">
        <w:rPr>
          <w:color w:val="000000" w:themeColor="text1"/>
          <w:lang w:val="es-ES_tradnl"/>
        </w:rPr>
        <w:t xml:space="preserve">Revisión y emisión del concepto de las pólizas actualizadas del Contrato 006 de 2014. Mediante memorando </w:t>
      </w:r>
      <w:r w:rsidR="009D1EA7">
        <w:rPr>
          <w:color w:val="000000" w:themeColor="text1"/>
          <w:lang w:val="es-ES_tradnl"/>
        </w:rPr>
        <w:t>2</w:t>
      </w:r>
      <w:r w:rsidRPr="009D1EA7">
        <w:rPr>
          <w:color w:val="000000" w:themeColor="text1"/>
          <w:lang w:val="es-ES_tradnl"/>
        </w:rPr>
        <w:t>0157040019943 del 12 de febrero de 2015.</w:t>
      </w:r>
    </w:p>
    <w:p w:rsidR="00815BCB" w:rsidRPr="00C15AA8" w:rsidRDefault="00815BCB" w:rsidP="00815BCB">
      <w:pPr>
        <w:pStyle w:val="Prrafodelista"/>
        <w:widowControl w:val="0"/>
        <w:autoSpaceDE w:val="0"/>
        <w:autoSpaceDN w:val="0"/>
        <w:adjustRightInd w:val="0"/>
        <w:spacing w:after="0"/>
        <w:ind w:right="-518"/>
        <w:jc w:val="center"/>
        <w:rPr>
          <w:b/>
          <w:color w:val="000000" w:themeColor="text1"/>
          <w:sz w:val="36"/>
          <w:szCs w:val="36"/>
          <w:lang w:val="es-ES_tradnl"/>
        </w:rPr>
      </w:pP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16"/>
          <w:szCs w:val="1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FONTIBÓN – FACATATIVA – LOS ALPES</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Se emitieron los siguientes conceptos y documentos contractuales</w:t>
      </w:r>
    </w:p>
    <w:p w:rsidR="00815BCB" w:rsidRPr="009D1EA7" w:rsidRDefault="00815BCB" w:rsidP="00815BCB">
      <w:pPr>
        <w:widowControl w:val="0"/>
        <w:autoSpaceDE w:val="0"/>
        <w:autoSpaceDN w:val="0"/>
        <w:adjustRightInd w:val="0"/>
        <w:spacing w:after="0"/>
        <w:ind w:right="-518"/>
        <w:jc w:val="center"/>
        <w:rPr>
          <w:rFonts w:ascii="Calibri" w:hAnsi="Calibri"/>
          <w:b/>
          <w:color w:val="000000" w:themeColor="text1"/>
          <w:lang w:val="es-ES_tradnl"/>
        </w:rPr>
      </w:pP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eastAsia="Times New Roman" w:cs="Arial"/>
          <w:color w:val="000000" w:themeColor="text1"/>
        </w:rPr>
      </w:pPr>
      <w:r w:rsidRPr="009D1EA7">
        <w:rPr>
          <w:color w:val="000000" w:themeColor="text1"/>
          <w:lang w:val="es-ES_tradnl"/>
        </w:rPr>
        <w:t xml:space="preserve">Respuesta a </w:t>
      </w:r>
      <w:r w:rsidRPr="009D1EA7">
        <w:rPr>
          <w:rFonts w:eastAsia="Times New Roman" w:cs="Arial"/>
          <w:color w:val="000000" w:themeColor="text1"/>
        </w:rPr>
        <w:t>solicitud de Revocatoria Cláusula 9 del Otrosí No.9 de 2014 presentada por la Alcaldía municipal de Mosquera mediante radicado No.2015409003192 y se da respuesta mediante radicado.20153060029131 del 13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eastAsia="Times New Roman" w:cs="Arial"/>
          <w:color w:val="000000" w:themeColor="text1"/>
        </w:rPr>
        <w:t>Elaboración del Otrosí Modificatorio a la Cláusula Decimo Segunda del Otrosí 9 de 2014 suscrito el 3 de febrero de 2015.</w:t>
      </w:r>
    </w:p>
    <w:p w:rsidR="00815BCB" w:rsidRPr="009D1EA7" w:rsidRDefault="00815BCB" w:rsidP="00F33349">
      <w:pPr>
        <w:pStyle w:val="Prrafodelista"/>
        <w:numPr>
          <w:ilvl w:val="0"/>
          <w:numId w:val="104"/>
        </w:numPr>
        <w:spacing w:after="0" w:line="240" w:lineRule="auto"/>
        <w:ind w:right="-518"/>
        <w:jc w:val="both"/>
        <w:rPr>
          <w:rFonts w:eastAsia="Times New Roman" w:cs="Arial"/>
          <w:color w:val="000000" w:themeColor="text1"/>
        </w:rPr>
      </w:pPr>
      <w:r w:rsidRPr="009D1EA7">
        <w:rPr>
          <w:rFonts w:eastAsia="Times New Roman" w:cs="Arial"/>
          <w:color w:val="000000" w:themeColor="text1"/>
        </w:rPr>
        <w:lastRenderedPageBreak/>
        <w:t>Respuesta a solicitud de Revocatoria del Otrosí No.9 del 2014 presentada por la Alcaldía</w:t>
      </w:r>
      <w:r w:rsidR="00262065" w:rsidRPr="009D1EA7">
        <w:rPr>
          <w:rFonts w:eastAsia="Times New Roman" w:cs="Arial"/>
          <w:color w:val="000000" w:themeColor="text1"/>
        </w:rPr>
        <w:t xml:space="preserve"> </w:t>
      </w:r>
      <w:r w:rsidRPr="009D1EA7">
        <w:rPr>
          <w:rFonts w:eastAsia="Times New Roman" w:cs="Arial"/>
          <w:color w:val="000000" w:themeColor="text1"/>
        </w:rPr>
        <w:t>mediante le Radicado No. 20154090028812 y se da respuesta mediante radicado No.</w:t>
      </w:r>
      <w:r w:rsidRPr="009D1EA7">
        <w:rPr>
          <w:rFonts w:cs="Arial"/>
          <w:color w:val="000000" w:themeColor="text1"/>
          <w:shd w:val="clear" w:color="auto" w:fill="FFFFFF"/>
        </w:rPr>
        <w:t>20153060025841 del 10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 xml:space="preserve">Elaboración del </w:t>
      </w:r>
      <w:r w:rsidRPr="009D1EA7">
        <w:rPr>
          <w:rFonts w:ascii="Calibri" w:hAnsi="Calibri"/>
          <w:color w:val="000000" w:themeColor="text1"/>
          <w:lang w:val="es-ES_tradnl"/>
        </w:rPr>
        <w:t xml:space="preserve">Acta de Inicio Estudios y Diseños Otrosí No.9, la cual fue suscrita el </w:t>
      </w:r>
      <w:r w:rsidRPr="009D1EA7">
        <w:rPr>
          <w:rFonts w:eastAsia="Times New Roman" w:cs="Arial"/>
          <w:color w:val="000000" w:themeColor="text1"/>
        </w:rPr>
        <w:t>26 de enero de 2015.</w:t>
      </w:r>
    </w:p>
    <w:p w:rsidR="00815BCB" w:rsidRPr="009D1EA7" w:rsidRDefault="00815BCB" w:rsidP="00F33349">
      <w:pPr>
        <w:pStyle w:val="Prrafodelista"/>
        <w:numPr>
          <w:ilvl w:val="0"/>
          <w:numId w:val="104"/>
        </w:numPr>
        <w:spacing w:after="0" w:line="240" w:lineRule="auto"/>
        <w:ind w:right="-518"/>
        <w:jc w:val="both"/>
        <w:rPr>
          <w:rFonts w:eastAsia="Times New Roman" w:cs="Arial"/>
          <w:color w:val="000000" w:themeColor="text1"/>
        </w:rPr>
      </w:pPr>
      <w:r w:rsidRPr="009D1EA7">
        <w:rPr>
          <w:rFonts w:eastAsia="Times New Roman" w:cs="Arial"/>
          <w:color w:val="000000" w:themeColor="text1"/>
        </w:rPr>
        <w:t>Respuesta a solicitud de Revocatoria del Otrosí No.9 del 2014 presentada por la Personera Municipal y se da respuesta mediante radicado No.</w:t>
      </w:r>
      <w:r w:rsidRPr="009D1EA7">
        <w:rPr>
          <w:color w:val="000000" w:themeColor="text1"/>
          <w:shd w:val="clear" w:color="auto" w:fill="FFFFFF"/>
        </w:rPr>
        <w:t>20153060025841 del 10 de febrero de 2015</w:t>
      </w:r>
      <w:r w:rsidRPr="009D1EA7">
        <w:rPr>
          <w:rFonts w:eastAsia="Times New Roman" w:cs="Arial"/>
          <w:color w:val="000000" w:themeColor="text1"/>
        </w:rPr>
        <w:t>.</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 xml:space="preserve">Elaboración del </w:t>
      </w:r>
      <w:r w:rsidRPr="009D1EA7">
        <w:rPr>
          <w:rFonts w:eastAsia="Times New Roman" w:cs="Arial"/>
          <w:color w:val="000000" w:themeColor="text1"/>
        </w:rPr>
        <w:t xml:space="preserve">Otrosí No.1 mediante el cual se adiciona el Contrato de </w:t>
      </w:r>
      <w:r w:rsidR="00262065" w:rsidRPr="009D1EA7">
        <w:rPr>
          <w:rFonts w:eastAsia="Times New Roman" w:cs="Arial"/>
          <w:color w:val="000000" w:themeColor="text1"/>
        </w:rPr>
        <w:t>Interventoría</w:t>
      </w:r>
      <w:r w:rsidRPr="009D1EA7">
        <w:rPr>
          <w:rFonts w:eastAsia="Times New Roman" w:cs="Arial"/>
          <w:color w:val="000000" w:themeColor="text1"/>
        </w:rPr>
        <w:t xml:space="preserve"> para la Supervisión del Otrosí No. 9 de 2014. Suscrito el 13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eastAsia="Times New Roman" w:cs="Arial"/>
          <w:color w:val="000000" w:themeColor="text1"/>
          <w:lang w:val="es-ES_tradnl"/>
        </w:rPr>
        <w:t xml:space="preserve">Respuesta a solicitud de pronunciamiento desde el punto de vista jurídico de la </w:t>
      </w:r>
      <w:r w:rsidRPr="009D1EA7">
        <w:rPr>
          <w:rFonts w:eastAsia="Times New Roman" w:cs="Arial"/>
          <w:color w:val="000000" w:themeColor="text1"/>
        </w:rPr>
        <w:t xml:space="preserve">Indagación Preliminar pronunciamiento sobre aspectos relevantes del Contrato de Concesión No.0937 de 1995 presentada por la Contraloría Delegada Juicios Fiscales mediante radicado No. </w:t>
      </w:r>
      <w:r w:rsidRPr="009D1EA7">
        <w:rPr>
          <w:color w:val="000000" w:themeColor="text1"/>
          <w:shd w:val="clear" w:color="auto" w:fill="FFFFFF"/>
        </w:rPr>
        <w:t>20153060024031</w:t>
      </w:r>
      <w:r w:rsidRPr="009D1EA7">
        <w:rPr>
          <w:rFonts w:eastAsia="Times New Roman" w:cs="Arial"/>
          <w:color w:val="000000" w:themeColor="text1"/>
        </w:rPr>
        <w:t xml:space="preserve"> del 5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eastAsia="Times New Roman" w:cs="Arial"/>
          <w:color w:val="000000" w:themeColor="text1"/>
        </w:rPr>
        <w:t>Se emite pronunciamiento jurídico respecto a la no iluminación de obra construida por el Proyecto bajo el esquema del Contrato de Primera Generación. Mediante memorando 2015-306-0059721.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eastAsia="Times New Roman" w:cs="Arial"/>
          <w:color w:val="000000" w:themeColor="text1"/>
        </w:rPr>
        <w:t>Se define la competencia de la Concesión DEVISAB en cabeza del peaje la Tebaida que corresponde a la competencia de la Gobernación de Cundinamarca. Mediante memorando No.2015-306-0016911.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eastAsia="Times New Roman" w:cs="Arial"/>
          <w:color w:val="000000" w:themeColor="text1"/>
        </w:rPr>
        <w:t>Se emite pronunciamiento jurídico mediante el cual se le informa de las actividades adelantadas por parte de la ANI tendientes a la celebración de convenio interadministrativo con el Municipio para realizar la iluminación del sector por ser competencia de esté. Mediante memorando No.2015-306-0072431.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eastAsia="Times New Roman" w:cs="Arial"/>
          <w:color w:val="000000" w:themeColor="text1"/>
        </w:rPr>
        <w:t>Se remite la información requerida por parte de la Gerencia de Defensa Judicial a fin de solventar los requerimientos del Tribunal Administrativo respecto a la acción de Reparación Directa impetrada por los hechos acaecidos en el año 2011 por la caída de una valla de la vía sobre una motocicleta. Mediante memorando No.2015-306-0067941.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rFonts w:eastAsia="Times New Roman" w:cs="Arial"/>
          <w:color w:val="000000" w:themeColor="text1"/>
          <w:lang w:val="es-ES_tradnl"/>
        </w:rPr>
        <w:t xml:space="preserve">Se da respuesta a la solicitud de </w:t>
      </w:r>
      <w:r w:rsidRPr="009D1EA7">
        <w:rPr>
          <w:rFonts w:eastAsia="Times New Roman" w:cs="Arial"/>
          <w:color w:val="000000" w:themeColor="text1"/>
        </w:rPr>
        <w:t>la instalación de reductores de velocidad en el sector de la Estación de Servicio BRIO.</w:t>
      </w:r>
    </w:p>
    <w:p w:rsidR="00815BCB" w:rsidRPr="009D1EA7" w:rsidRDefault="00815BCB" w:rsidP="00815BCB">
      <w:pPr>
        <w:pStyle w:val="Prrafodelista"/>
        <w:widowControl w:val="0"/>
        <w:autoSpaceDE w:val="0"/>
        <w:autoSpaceDN w:val="0"/>
        <w:adjustRightInd w:val="0"/>
        <w:spacing w:after="0"/>
        <w:ind w:right="-518" w:hanging="436"/>
        <w:jc w:val="both"/>
        <w:rPr>
          <w:rFonts w:eastAsia="Times New Roman" w:cs="Arial"/>
          <w:color w:val="000000" w:themeColor="text1"/>
        </w:rPr>
      </w:pPr>
      <w:r w:rsidRPr="009D1EA7">
        <w:rPr>
          <w:b/>
          <w:color w:val="000000" w:themeColor="text1"/>
          <w:lang w:val="es-ES_tradnl"/>
        </w:rPr>
        <w:t xml:space="preserve"> -</w:t>
      </w:r>
      <w:r w:rsidRPr="009D1EA7">
        <w:rPr>
          <w:rFonts w:eastAsia="Times New Roman" w:cs="Arial"/>
          <w:color w:val="000000" w:themeColor="text1"/>
        </w:rPr>
        <w:t xml:space="preserve">     Se da respuesta a solicitud elevada a través de apoderado  algunos propietarios y habitantes de la zona solicitan información, respecto si las propiedades privadas son susceptibles de otorgamiento de permiso de intervención de vía, teniendo en cuenta que la construcción del proyecto de Tren Tram, requeriría posibles ampliaciones de la troncal de occidente así como la construcción de ciclorutas. Mediante Radicado No.20153060030201.</w:t>
      </w:r>
    </w:p>
    <w:p w:rsidR="00815BCB" w:rsidRPr="009D1EA7" w:rsidRDefault="00815BCB" w:rsidP="00815BCB">
      <w:pPr>
        <w:pStyle w:val="Prrafodelista"/>
        <w:widowControl w:val="0"/>
        <w:autoSpaceDE w:val="0"/>
        <w:autoSpaceDN w:val="0"/>
        <w:adjustRightInd w:val="0"/>
        <w:spacing w:after="0"/>
        <w:ind w:right="-518" w:hanging="436"/>
        <w:jc w:val="both"/>
        <w:rPr>
          <w:rFonts w:eastAsia="Times New Roman" w:cs="Arial"/>
          <w:color w:val="000000" w:themeColor="text1"/>
        </w:rPr>
      </w:pPr>
      <w:r w:rsidRPr="009D1EA7">
        <w:rPr>
          <w:rFonts w:eastAsia="Times New Roman" w:cs="Arial"/>
          <w:color w:val="000000" w:themeColor="text1"/>
        </w:rPr>
        <w:t>-     Se da respuesta a solicitud de Información, Indagación Preliminar No.ANT-IP-2014-05595-005-2014.Mediante radicado No. 20153060048041.</w:t>
      </w:r>
    </w:p>
    <w:p w:rsidR="00815BCB" w:rsidRPr="009D1EA7" w:rsidRDefault="00815BCB" w:rsidP="00815BCB">
      <w:pPr>
        <w:pStyle w:val="Prrafodelista"/>
        <w:widowControl w:val="0"/>
        <w:autoSpaceDE w:val="0"/>
        <w:autoSpaceDN w:val="0"/>
        <w:adjustRightInd w:val="0"/>
        <w:spacing w:after="0"/>
        <w:ind w:right="-518" w:hanging="436"/>
        <w:jc w:val="both"/>
        <w:rPr>
          <w:rFonts w:eastAsia="Times New Roman" w:cs="Arial"/>
          <w:color w:val="000000" w:themeColor="text1"/>
        </w:rPr>
      </w:pPr>
      <w:r w:rsidRPr="009D1EA7">
        <w:rPr>
          <w:rFonts w:eastAsia="Times New Roman" w:cs="Arial"/>
          <w:color w:val="000000" w:themeColor="text1"/>
        </w:rPr>
        <w:t xml:space="preserve">-      </w:t>
      </w:r>
      <w:r w:rsidRPr="009D1EA7">
        <w:rPr>
          <w:rFonts w:ascii="Calibri" w:hAnsi="Calibri"/>
          <w:color w:val="000000" w:themeColor="text1"/>
          <w:lang w:val="es-ES_tradnl"/>
        </w:rPr>
        <w:t>A través de concepto respectivo se solicita a la Gerencia de Defensa Judicial como área competente de la Agencia Nacional de Infraestructura, formular denuncia de carácter penal contra el señor Andrés Vallejo Santana, por las falsas imputaciones atribuidas a los funcionarios de la Entidad.</w:t>
      </w:r>
      <w:r w:rsidRPr="009D1EA7">
        <w:rPr>
          <w:rFonts w:ascii="Calibri" w:hAnsi="Calibri"/>
          <w:color w:val="000000" w:themeColor="text1"/>
          <w:lang w:val="es-ES_tradnl"/>
        </w:rPr>
        <w:tab/>
      </w:r>
    </w:p>
    <w:p w:rsidR="00815BCB" w:rsidRPr="009D1EA7" w:rsidRDefault="00815BCB" w:rsidP="00815BCB">
      <w:pPr>
        <w:pStyle w:val="Prrafodelista"/>
        <w:widowControl w:val="0"/>
        <w:autoSpaceDE w:val="0"/>
        <w:autoSpaceDN w:val="0"/>
        <w:adjustRightInd w:val="0"/>
        <w:spacing w:after="0"/>
        <w:ind w:right="-518" w:hanging="436"/>
        <w:jc w:val="both"/>
        <w:rPr>
          <w:rFonts w:eastAsia="Times New Roman" w:cs="Arial"/>
          <w:color w:val="000000" w:themeColor="text1"/>
        </w:rPr>
      </w:pPr>
      <w:r w:rsidRPr="009D1EA7">
        <w:rPr>
          <w:rFonts w:eastAsia="Times New Roman" w:cs="Arial"/>
          <w:color w:val="000000" w:themeColor="text1"/>
        </w:rPr>
        <w:t>-       La Secretaria de Transparencia de la Presidencia de la República, solicita informar las actuaciones surtidas y las decisiones tomadas respecto de la solicitud elevada</w:t>
      </w:r>
      <w:r w:rsidRPr="009D1EA7">
        <w:rPr>
          <w:rFonts w:eastAsia="Times New Roman" w:cs="Arial"/>
          <w:color w:val="000000" w:themeColor="text1"/>
        </w:rPr>
        <w:br/>
        <w:t>por el señor Andrés Vallejo Santana, para la iluminación de la glorieta inicio variante Madrid. Mediante radicado No. 20152000121751.</w:t>
      </w:r>
    </w:p>
    <w:p w:rsidR="00815BCB" w:rsidRPr="009D1EA7" w:rsidRDefault="00815BCB" w:rsidP="00815BCB">
      <w:pPr>
        <w:pStyle w:val="Prrafodelista"/>
        <w:widowControl w:val="0"/>
        <w:autoSpaceDE w:val="0"/>
        <w:autoSpaceDN w:val="0"/>
        <w:adjustRightInd w:val="0"/>
        <w:spacing w:after="0"/>
        <w:ind w:right="-518" w:hanging="436"/>
        <w:jc w:val="both"/>
        <w:rPr>
          <w:rFonts w:eastAsia="Times New Roman" w:cs="Arial"/>
          <w:color w:val="000000" w:themeColor="text1"/>
        </w:rPr>
      </w:pPr>
      <w:r w:rsidRPr="009D1EA7">
        <w:rPr>
          <w:rFonts w:eastAsia="Times New Roman" w:cs="Arial"/>
          <w:color w:val="000000" w:themeColor="text1"/>
        </w:rPr>
        <w:t xml:space="preserve">-       Se da respuesta a la solicitud elevada por la Coordinadora del Grupo Apoyo Regional del MINISTERIO DE TRANSPORTE, a través de cual requiere información de las actuaciones surtidas y </w:t>
      </w:r>
      <w:r w:rsidRPr="009D1EA7">
        <w:rPr>
          <w:rFonts w:eastAsia="Times New Roman" w:cs="Arial"/>
          <w:color w:val="000000" w:themeColor="text1"/>
        </w:rPr>
        <w:lastRenderedPageBreak/>
        <w:t>las decisiones tomadas respecto de la solicitud elevada</w:t>
      </w:r>
      <w:r w:rsidRPr="009D1EA7">
        <w:rPr>
          <w:rFonts w:eastAsia="Times New Roman" w:cs="Arial"/>
          <w:color w:val="000000" w:themeColor="text1"/>
        </w:rPr>
        <w:br/>
        <w:t>por el señor Andrés Vallejo Santana, para la iluminación de la glorieta inicio variante Madrid.</w:t>
      </w:r>
      <w:r w:rsidR="00262065" w:rsidRPr="009D1EA7">
        <w:rPr>
          <w:rFonts w:eastAsia="Times New Roman" w:cs="Arial"/>
          <w:color w:val="000000" w:themeColor="text1"/>
        </w:rPr>
        <w:t xml:space="preserve"> </w:t>
      </w:r>
      <w:r w:rsidRPr="009D1EA7">
        <w:rPr>
          <w:rFonts w:eastAsia="Times New Roman" w:cs="Arial"/>
          <w:color w:val="000000" w:themeColor="text1"/>
        </w:rPr>
        <w:t>Mediante radicado No. 20153060068001.</w:t>
      </w:r>
    </w:p>
    <w:p w:rsidR="00815BCB" w:rsidRPr="009D1EA7" w:rsidRDefault="00815BCB" w:rsidP="00815BCB">
      <w:pPr>
        <w:pStyle w:val="Prrafodelista"/>
        <w:widowControl w:val="0"/>
        <w:autoSpaceDE w:val="0"/>
        <w:autoSpaceDN w:val="0"/>
        <w:adjustRightInd w:val="0"/>
        <w:spacing w:after="0"/>
        <w:ind w:right="-518" w:hanging="436"/>
        <w:jc w:val="both"/>
        <w:rPr>
          <w:rFonts w:eastAsia="Times New Roman" w:cs="Arial"/>
          <w:color w:val="000000" w:themeColor="text1"/>
        </w:rPr>
      </w:pPr>
      <w:r w:rsidRPr="009D1EA7">
        <w:rPr>
          <w:rFonts w:eastAsia="Times New Roman" w:cs="Arial"/>
          <w:color w:val="000000" w:themeColor="text1"/>
        </w:rPr>
        <w:t>-    Se da respuesta a solicitud del trámite y procedimiento para acceder a la Categoría Especial. Mediante radicado No. 20153060106921.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eastAsia="Times New Roman" w:cs="Arial"/>
          <w:color w:val="000000" w:themeColor="text1"/>
        </w:rPr>
      </w:pPr>
      <w:r w:rsidRPr="009D1EA7">
        <w:rPr>
          <w:rFonts w:eastAsia="Times New Roman" w:cs="Arial"/>
          <w:color w:val="000000" w:themeColor="text1"/>
        </w:rPr>
        <w:t>Se da respuesta a solicitud de Informe de accidentalidad. Mediante memorando No. 20153060102051.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eastAsia="Times New Roman" w:cs="Arial"/>
          <w:color w:val="000000" w:themeColor="text1"/>
        </w:rPr>
      </w:pPr>
      <w:r w:rsidRPr="009D1EA7">
        <w:rPr>
          <w:rFonts w:eastAsia="Times New Roman" w:cs="Arial"/>
          <w:color w:val="000000" w:themeColor="text1"/>
        </w:rPr>
        <w:t>Se da respuesta a solicitud y trámite y procedimiento para acceder a la Categoría Especial. Mediante No. radicado 20153060102871.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b/>
          <w:color w:val="000000" w:themeColor="text1"/>
          <w:lang w:val="es-ES_tradnl"/>
        </w:rPr>
      </w:pPr>
      <w:r w:rsidRPr="009D1EA7">
        <w:rPr>
          <w:rFonts w:eastAsia="Times New Roman" w:cs="Arial"/>
          <w:color w:val="000000" w:themeColor="text1"/>
        </w:rPr>
        <w:t>Se da respuesta a solicitud de la intervención del puente peatonal ubicado en el k23+500, así como la instalación de reductores de velocidad en el cruce a Zipacón. Mediante memorando No20153060091391.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b/>
          <w:color w:val="000000" w:themeColor="text1"/>
          <w:lang w:val="es-ES_tradnl"/>
        </w:rPr>
      </w:pPr>
      <w:r w:rsidRPr="009D1EA7">
        <w:rPr>
          <w:rFonts w:eastAsia="Times New Roman" w:cs="Arial"/>
          <w:color w:val="000000" w:themeColor="text1"/>
        </w:rPr>
        <w:t>Se da respuesta a solicitud del trámite y procedimiento para acceder a la Categoría Especial. Mediante radicado No. 20153060106911.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b/>
          <w:color w:val="000000" w:themeColor="text1"/>
          <w:lang w:val="es-ES_tradnl"/>
        </w:rPr>
      </w:pPr>
      <w:r w:rsidRPr="009D1EA7">
        <w:rPr>
          <w:rFonts w:ascii="Calibri" w:hAnsi="Calibri"/>
          <w:color w:val="000000" w:themeColor="text1"/>
          <w:lang w:val="es-ES_tradnl"/>
        </w:rPr>
        <w:t xml:space="preserve">De conformidad a la queja presentada por un usuario se emite pronunciamiento jurídico a través del cual se le informa que la </w:t>
      </w:r>
      <w:r w:rsidR="00262065" w:rsidRPr="009D1EA7">
        <w:rPr>
          <w:rFonts w:ascii="Calibri" w:hAnsi="Calibri"/>
          <w:color w:val="000000" w:themeColor="text1"/>
          <w:lang w:val="es-ES_tradnl"/>
        </w:rPr>
        <w:t>categoría</w:t>
      </w:r>
      <w:r w:rsidRPr="009D1EA7">
        <w:rPr>
          <w:rFonts w:ascii="Calibri" w:hAnsi="Calibri"/>
          <w:color w:val="000000" w:themeColor="text1"/>
          <w:lang w:val="es-ES_tradnl"/>
        </w:rPr>
        <w:t xml:space="preserve"> especial es un beneficio más no un derecho, el cual se encuentra claramente regulado por el Anexo 1 del Contrato Modificatorio de 2001.Mediante memorando No.20153060106911.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información respecto si esta Entidad celebró contrato con la empresa ICM, Ingenieros,</w:t>
      </w:r>
      <w:r w:rsidR="00262065" w:rsidRPr="009D1EA7">
        <w:rPr>
          <w:rFonts w:ascii="Calibri" w:hAnsi="Calibri"/>
          <w:color w:val="000000" w:themeColor="text1"/>
          <w:lang w:val="es-ES_tradnl"/>
        </w:rPr>
        <w:t xml:space="preserve"> </w:t>
      </w:r>
      <w:r w:rsidRPr="009D1EA7">
        <w:rPr>
          <w:rFonts w:ascii="Calibri" w:hAnsi="Calibri"/>
          <w:color w:val="000000" w:themeColor="text1"/>
          <w:lang w:val="es-ES_tradnl"/>
        </w:rPr>
        <w:t>empresa que  se encuentra investigada</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Se da respuesta a consulta sobre si la entidad se encuentra facultada para celebrar la Subcontratación de Obras que fueron claramente contempladas a la luz del Contrato de Concesión.</w:t>
      </w:r>
    </w:p>
    <w:p w:rsidR="00815BCB" w:rsidRPr="00C15AA8" w:rsidRDefault="00815BCB" w:rsidP="00815BCB">
      <w:pPr>
        <w:pStyle w:val="Prrafodelista"/>
        <w:widowControl w:val="0"/>
        <w:autoSpaceDE w:val="0"/>
        <w:autoSpaceDN w:val="0"/>
        <w:adjustRightInd w:val="0"/>
        <w:spacing w:after="0"/>
        <w:ind w:right="-518"/>
        <w:jc w:val="both"/>
        <w:rPr>
          <w:rFonts w:ascii="Calibri" w:hAnsi="Calibri"/>
          <w:b/>
          <w:color w:val="000000" w:themeColor="text1"/>
          <w:sz w:val="20"/>
          <w:szCs w:val="20"/>
          <w:lang w:val="es-ES_tradnl"/>
        </w:rPr>
      </w:pP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 xml:space="preserve">Revisión y aprobación de la póliza de Cumplimiento del </w:t>
      </w:r>
      <w:r w:rsidRPr="009D1EA7">
        <w:rPr>
          <w:rFonts w:ascii="Calibri" w:eastAsia="Times New Roman" w:hAnsi="Calibri" w:cs="Arial"/>
          <w:color w:val="000000" w:themeColor="text1"/>
        </w:rPr>
        <w:t>Otrosí No. 9 de 2014 presentadas mediante radicado 2015409008902. Mediante memorando No.20157040007873 del 20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 xml:space="preserve">Revisión y aprobación de la póliza de Responsabilidad Civil Extracontractual del </w:t>
      </w:r>
      <w:r w:rsidRPr="009D1EA7">
        <w:rPr>
          <w:rFonts w:ascii="Calibri" w:eastAsia="Times New Roman" w:hAnsi="Calibri" w:cs="Arial"/>
          <w:color w:val="000000" w:themeColor="text1"/>
        </w:rPr>
        <w:t>Otrosí No. 9 de 2014 presentadas mediante radicado 20154090023532. Mediante memorando No.20157040102283 del 2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 xml:space="preserve">Revisión y aprobación de la póliza de </w:t>
      </w:r>
      <w:r w:rsidRPr="009D1EA7">
        <w:rPr>
          <w:rFonts w:ascii="Calibri" w:eastAsia="Times New Roman" w:hAnsi="Calibri" w:cs="Arial"/>
          <w:color w:val="000000" w:themeColor="text1"/>
        </w:rPr>
        <w:t>Póliza de Automóviles, Accidentes Individuales y terrorismo.</w:t>
      </w:r>
      <w:r w:rsidRPr="009D1EA7">
        <w:rPr>
          <w:rFonts w:ascii="Calibri" w:hAnsi="Calibri"/>
          <w:color w:val="000000" w:themeColor="text1"/>
          <w:lang w:val="es-ES_tradnl"/>
        </w:rPr>
        <w:t xml:space="preserve"> del </w:t>
      </w:r>
      <w:r w:rsidRPr="009D1EA7">
        <w:rPr>
          <w:rFonts w:ascii="Calibri" w:eastAsia="Times New Roman" w:hAnsi="Calibri" w:cs="Arial"/>
          <w:color w:val="000000" w:themeColor="text1"/>
        </w:rPr>
        <w:t>Otrosí No. 9 de 2014 presentadas mediante radicado 20144090634482. Se da respuesta mediante memorando No. 20157040007903 del 20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 xml:space="preserve">Revisión y aprobación de la póliza de </w:t>
      </w:r>
      <w:r w:rsidRPr="009D1EA7">
        <w:rPr>
          <w:rFonts w:ascii="Calibri" w:eastAsia="Times New Roman" w:hAnsi="Calibri" w:cs="Arial"/>
          <w:color w:val="000000" w:themeColor="text1"/>
        </w:rPr>
        <w:t>Póliza de Cumplimiento No.1244101069101 ANEXO 1 y la de Responsabilidad Civil Extracontractual No.1240101011664 ANEXO 2 expedidas por SEGUROS DEL ESTADO S.A., allegadas por la Interventoria presentadas mediante radicado 2015-409-008619-2. Mediante memorando No.20157040028323  del 5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rFonts w:ascii="Calibri" w:hAnsi="Calibri"/>
          <w:color w:val="000000" w:themeColor="text1"/>
          <w:lang w:val="es-ES_tradnl"/>
        </w:rPr>
      </w:pPr>
      <w:r w:rsidRPr="009D1EA7">
        <w:rPr>
          <w:rFonts w:ascii="Calibri" w:hAnsi="Calibri"/>
          <w:color w:val="000000" w:themeColor="text1"/>
          <w:lang w:val="es-ES_tradnl"/>
        </w:rPr>
        <w:t>Revisión y aprobación de las pólizas de Cumplimiento y Responsabilidad Civil   Extracontractual correspondiente al Contrato de Concesión No. 0937 de 1995.                Mediante memorando No.20153060089741.</w:t>
      </w:r>
    </w:p>
    <w:p w:rsidR="00815BCB" w:rsidRPr="00C15AA8" w:rsidRDefault="00815BCB" w:rsidP="00815BCB">
      <w:pPr>
        <w:widowControl w:val="0"/>
        <w:autoSpaceDE w:val="0"/>
        <w:autoSpaceDN w:val="0"/>
        <w:adjustRightInd w:val="0"/>
        <w:spacing w:after="0"/>
        <w:ind w:right="-518"/>
        <w:jc w:val="center"/>
        <w:rPr>
          <w:rFonts w:ascii="Calibri" w:hAnsi="Calibri"/>
          <w:b/>
          <w:color w:val="000000" w:themeColor="text1"/>
          <w:sz w:val="36"/>
          <w:szCs w:val="3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TRANSVERSAL DE LAS AMÉRICAS</w:t>
      </w:r>
    </w:p>
    <w:p w:rsidR="00815BCB" w:rsidRPr="004B66C3" w:rsidRDefault="00815BCB" w:rsidP="00815BCB">
      <w:pPr>
        <w:pStyle w:val="Prrafodelista"/>
        <w:widowControl w:val="0"/>
        <w:autoSpaceDE w:val="0"/>
        <w:autoSpaceDN w:val="0"/>
        <w:adjustRightInd w:val="0"/>
        <w:spacing w:after="0"/>
        <w:ind w:left="-207" w:right="-518"/>
        <w:jc w:val="center"/>
        <w:rPr>
          <w:rFonts w:ascii="Calibri" w:hAnsi="Calibri"/>
          <w:b/>
          <w:color w:val="000000" w:themeColor="text1"/>
          <w:sz w:val="16"/>
          <w:szCs w:val="16"/>
          <w:lang w:val="es-ES_tradnl"/>
        </w:rPr>
      </w:pPr>
    </w:p>
    <w:p w:rsidR="00815BCB" w:rsidRPr="004B66C3" w:rsidRDefault="00815BCB" w:rsidP="00815BCB">
      <w:pPr>
        <w:pStyle w:val="Prrafodelista"/>
        <w:widowControl w:val="0"/>
        <w:autoSpaceDE w:val="0"/>
        <w:autoSpaceDN w:val="0"/>
        <w:adjustRightInd w:val="0"/>
        <w:spacing w:after="0"/>
        <w:ind w:left="-207" w:right="-518"/>
        <w:jc w:val="center"/>
        <w:rPr>
          <w:rFonts w:ascii="Calibri" w:hAnsi="Calibri"/>
          <w:b/>
          <w:color w:val="000000" w:themeColor="text1"/>
          <w:lang w:val="es-ES_tradnl"/>
        </w:rPr>
      </w:pPr>
      <w:r w:rsidRPr="004B66C3">
        <w:rPr>
          <w:rFonts w:ascii="Calibri" w:hAnsi="Calibri"/>
          <w:b/>
          <w:color w:val="000000" w:themeColor="text1"/>
          <w:sz w:val="24"/>
          <w:szCs w:val="24"/>
          <w:lang w:val="es-ES_tradnl"/>
        </w:rPr>
        <w:t>Se em</w:t>
      </w:r>
      <w:r w:rsidRPr="004B66C3">
        <w:rPr>
          <w:rFonts w:ascii="Calibri" w:hAnsi="Calibri"/>
          <w:b/>
          <w:color w:val="000000" w:themeColor="text1"/>
          <w:lang w:val="es-ES_tradnl"/>
        </w:rPr>
        <w:t>itieron los siguientes conceptos y documentos contractuales</w:t>
      </w:r>
    </w:p>
    <w:p w:rsidR="00815BCB" w:rsidRPr="009D1EA7" w:rsidRDefault="00815BCB" w:rsidP="00815BCB">
      <w:pPr>
        <w:pStyle w:val="Prrafodelista"/>
        <w:widowControl w:val="0"/>
        <w:autoSpaceDE w:val="0"/>
        <w:autoSpaceDN w:val="0"/>
        <w:adjustRightInd w:val="0"/>
        <w:spacing w:after="0"/>
        <w:ind w:left="-207" w:right="-518"/>
        <w:jc w:val="both"/>
        <w:rPr>
          <w:rFonts w:ascii="Calibri" w:hAnsi="Calibri"/>
          <w:color w:val="000000" w:themeColor="text1"/>
          <w:lang w:val="es-ES_tradnl"/>
        </w:rPr>
      </w:pPr>
    </w:p>
    <w:p w:rsidR="00815BCB" w:rsidRPr="009D1EA7" w:rsidRDefault="00815BCB" w:rsidP="00F33349">
      <w:pPr>
        <w:pStyle w:val="Prrafodelista"/>
        <w:widowControl w:val="0"/>
        <w:numPr>
          <w:ilvl w:val="0"/>
          <w:numId w:val="104"/>
        </w:numPr>
        <w:autoSpaceDE w:val="0"/>
        <w:autoSpaceDN w:val="0"/>
        <w:adjustRightInd w:val="0"/>
        <w:spacing w:after="0" w:line="259" w:lineRule="auto"/>
        <w:ind w:left="709" w:right="-518"/>
        <w:jc w:val="both"/>
        <w:rPr>
          <w:rFonts w:ascii="Calibri" w:hAnsi="Calibri"/>
          <w:color w:val="000000" w:themeColor="text1"/>
          <w:lang w:val="es-ES_tradnl"/>
        </w:rPr>
      </w:pPr>
      <w:r w:rsidRPr="009D1EA7">
        <w:rPr>
          <w:rFonts w:ascii="Calibri" w:hAnsi="Calibri"/>
          <w:color w:val="000000" w:themeColor="text1"/>
          <w:lang w:val="es-ES_tradnl"/>
        </w:rPr>
        <w:t xml:space="preserve">Otrosí de Reprogramación del plazo de Construcción. Del </w:t>
      </w:r>
      <w:r w:rsidRPr="009D1EA7">
        <w:rPr>
          <w:rFonts w:ascii="Calibri" w:hAnsi="Calibri"/>
          <w:color w:val="000000" w:themeColor="text1"/>
          <w:lang w:val="es-ES_tradnl"/>
        </w:rPr>
        <w:tab/>
        <w:t>20 de Enero de 2015</w:t>
      </w:r>
      <w:r w:rsidRPr="009D1EA7">
        <w:rPr>
          <w:rFonts w:ascii="Calibri" w:hAnsi="Calibri"/>
          <w:color w:val="000000" w:themeColor="text1"/>
          <w:lang w:val="es-ES_tradnl"/>
        </w:rPr>
        <w:tab/>
      </w:r>
    </w:p>
    <w:p w:rsidR="00815BCB" w:rsidRPr="009D1EA7" w:rsidRDefault="00815BCB" w:rsidP="00F33349">
      <w:pPr>
        <w:pStyle w:val="Prrafodelista"/>
        <w:widowControl w:val="0"/>
        <w:numPr>
          <w:ilvl w:val="0"/>
          <w:numId w:val="104"/>
        </w:numPr>
        <w:tabs>
          <w:tab w:val="left" w:pos="851"/>
        </w:tabs>
        <w:autoSpaceDE w:val="0"/>
        <w:autoSpaceDN w:val="0"/>
        <w:adjustRightInd w:val="0"/>
        <w:spacing w:after="0" w:line="259" w:lineRule="auto"/>
        <w:ind w:left="709" w:right="-518"/>
        <w:jc w:val="both"/>
        <w:rPr>
          <w:rFonts w:ascii="Calibri" w:hAnsi="Calibri"/>
          <w:color w:val="000000" w:themeColor="text1"/>
          <w:lang w:val="es-ES_tradnl"/>
        </w:rPr>
      </w:pPr>
      <w:r w:rsidRPr="009D1EA7">
        <w:rPr>
          <w:rFonts w:ascii="Calibri" w:hAnsi="Calibri"/>
          <w:color w:val="000000" w:themeColor="text1"/>
          <w:lang w:val="es-ES_tradnl"/>
        </w:rPr>
        <w:t xml:space="preserve">Elaboración de los Estudios Previos y el Otrosí de Incorporación del Tramo El Dos- El Tres </w:t>
      </w:r>
      <w:r w:rsidRPr="009D1EA7">
        <w:rPr>
          <w:rFonts w:ascii="Calibri" w:hAnsi="Calibri"/>
          <w:color w:val="000000" w:themeColor="text1"/>
          <w:lang w:val="es-ES_tradnl"/>
        </w:rPr>
        <w:tab/>
        <w:t>Otrosí No. 7. 20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709" w:right="-518"/>
        <w:jc w:val="both"/>
        <w:rPr>
          <w:rFonts w:ascii="Calibri" w:hAnsi="Calibri"/>
          <w:color w:val="000000" w:themeColor="text1"/>
          <w:lang w:val="es-ES_tradnl"/>
        </w:rPr>
      </w:pPr>
      <w:r w:rsidRPr="009D1EA7">
        <w:rPr>
          <w:rFonts w:ascii="Calibri" w:hAnsi="Calibri"/>
          <w:color w:val="000000" w:themeColor="text1"/>
          <w:lang w:val="es-ES_tradnl"/>
        </w:rPr>
        <w:t>Elaboración de los Estudios Previos y el Otrosí  para establecer reglas para el pago de Hitos con observaciones por Ahuellamiento Otrosí No. 8 . Del 20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709" w:right="-518"/>
        <w:jc w:val="both"/>
        <w:rPr>
          <w:b/>
          <w:color w:val="000000" w:themeColor="text1"/>
          <w:lang w:val="es-ES_tradnl"/>
        </w:rPr>
      </w:pPr>
      <w:r w:rsidRPr="009D1EA7">
        <w:rPr>
          <w:rFonts w:ascii="Calibri" w:hAnsi="Calibri"/>
          <w:color w:val="000000" w:themeColor="text1"/>
          <w:lang w:val="es-ES_tradnl"/>
        </w:rPr>
        <w:t xml:space="preserve">Elaboración de los Estudios Previos y el Otrosí  para modificar la Sección 6.04 del Contrato de Concesión No. 008 de 2010 Otrosí No. 9 </w:t>
      </w:r>
    </w:p>
    <w:p w:rsidR="00815BCB" w:rsidRPr="004B66C3" w:rsidRDefault="00815BCB" w:rsidP="00815BCB">
      <w:pPr>
        <w:widowControl w:val="0"/>
        <w:autoSpaceDE w:val="0"/>
        <w:autoSpaceDN w:val="0"/>
        <w:adjustRightInd w:val="0"/>
        <w:spacing w:after="0"/>
        <w:ind w:left="-567" w:right="-518"/>
        <w:rPr>
          <w:b/>
          <w:color w:val="000000" w:themeColor="text1"/>
          <w:sz w:val="24"/>
          <w:szCs w:val="24"/>
          <w:lang w:val="es-ES_tradnl"/>
        </w:rPr>
      </w:pPr>
    </w:p>
    <w:p w:rsidR="00815BCB" w:rsidRPr="004B66C3" w:rsidRDefault="00815BCB" w:rsidP="00F33349">
      <w:pPr>
        <w:pStyle w:val="Prrafodelista"/>
        <w:widowControl w:val="0"/>
        <w:numPr>
          <w:ilvl w:val="0"/>
          <w:numId w:val="104"/>
        </w:numPr>
        <w:autoSpaceDE w:val="0"/>
        <w:autoSpaceDN w:val="0"/>
        <w:adjustRightInd w:val="0"/>
        <w:spacing w:after="0" w:line="259" w:lineRule="auto"/>
        <w:ind w:left="-207"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sz w:val="24"/>
          <w:szCs w:val="24"/>
          <w:lang w:val="es-ES_tradnl"/>
        </w:rPr>
      </w:pPr>
      <w:r w:rsidRPr="009D1EA7">
        <w:rPr>
          <w:rFonts w:ascii="Calibri" w:hAnsi="Calibri"/>
          <w:color w:val="000000" w:themeColor="text1"/>
          <w:lang w:val="es-ES_tradnl"/>
        </w:rPr>
        <w:t>Evaluación y aprobación de las pólizas otorgadas por Vias de las Américas S.A.S para la cobertura de riesgos asociados a los otrosíes 5, 6,7 Y 8 al Contrato de Concesión No. 008 de 2010</w:t>
      </w:r>
      <w:r w:rsidRPr="004B66C3">
        <w:rPr>
          <w:rFonts w:ascii="Calibri" w:hAnsi="Calibri"/>
          <w:color w:val="000000" w:themeColor="text1"/>
          <w:sz w:val="24"/>
          <w:szCs w:val="24"/>
          <w:lang w:val="es-ES_tradnl"/>
        </w:rPr>
        <w:t>.</w:t>
      </w:r>
    </w:p>
    <w:p w:rsidR="00815BCB" w:rsidRPr="00C15AA8" w:rsidRDefault="00815BCB" w:rsidP="00815BCB">
      <w:pPr>
        <w:pStyle w:val="Prrafodelista"/>
        <w:widowControl w:val="0"/>
        <w:autoSpaceDE w:val="0"/>
        <w:autoSpaceDN w:val="0"/>
        <w:adjustRightInd w:val="0"/>
        <w:spacing w:after="0"/>
        <w:ind w:left="709" w:right="-518"/>
        <w:jc w:val="both"/>
        <w:rPr>
          <w:rFonts w:ascii="Calibri" w:hAnsi="Calibri"/>
          <w:color w:val="000000" w:themeColor="text1"/>
          <w:sz w:val="36"/>
          <w:szCs w:val="3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CONEXIÓN PACÍFICO 1</w:t>
      </w:r>
    </w:p>
    <w:p w:rsidR="00815BCB" w:rsidRPr="004B66C3" w:rsidRDefault="00815BCB" w:rsidP="00815BCB">
      <w:pPr>
        <w:pStyle w:val="Prrafodelista"/>
        <w:widowControl w:val="0"/>
        <w:autoSpaceDE w:val="0"/>
        <w:autoSpaceDN w:val="0"/>
        <w:adjustRightInd w:val="0"/>
        <w:spacing w:after="0"/>
        <w:ind w:left="-207" w:right="-518"/>
        <w:jc w:val="center"/>
        <w:rPr>
          <w:rFonts w:ascii="Calibri" w:hAnsi="Calibri"/>
          <w:b/>
          <w:color w:val="000000" w:themeColor="text1"/>
          <w:sz w:val="16"/>
          <w:szCs w:val="16"/>
          <w:lang w:val="es-ES_tradnl"/>
        </w:rPr>
      </w:pPr>
    </w:p>
    <w:p w:rsidR="00815BCB" w:rsidRPr="004B66C3" w:rsidRDefault="00815BCB" w:rsidP="00815BCB">
      <w:pPr>
        <w:pStyle w:val="Prrafodelista"/>
        <w:widowControl w:val="0"/>
        <w:autoSpaceDE w:val="0"/>
        <w:autoSpaceDN w:val="0"/>
        <w:adjustRightInd w:val="0"/>
        <w:spacing w:after="0"/>
        <w:ind w:left="-207" w:right="-518"/>
        <w:jc w:val="center"/>
        <w:rPr>
          <w:rFonts w:ascii="Calibri" w:hAnsi="Calibri"/>
          <w:b/>
          <w:color w:val="000000" w:themeColor="text1"/>
          <w:lang w:val="es-ES_tradnl"/>
        </w:rPr>
      </w:pPr>
      <w:r w:rsidRPr="004B66C3">
        <w:rPr>
          <w:rFonts w:ascii="Calibri" w:hAnsi="Calibri"/>
          <w:b/>
          <w:color w:val="000000" w:themeColor="text1"/>
          <w:sz w:val="24"/>
          <w:szCs w:val="24"/>
          <w:lang w:val="es-ES_tradnl"/>
        </w:rPr>
        <w:t>Se em</w:t>
      </w:r>
      <w:r w:rsidRPr="004B66C3">
        <w:rPr>
          <w:rFonts w:ascii="Calibri" w:hAnsi="Calibri"/>
          <w:b/>
          <w:color w:val="000000" w:themeColor="text1"/>
          <w:lang w:val="es-ES_tradnl"/>
        </w:rPr>
        <w:t>itieron los siguientes conceptos y documentos contractuales</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rFonts w:ascii="Calibri" w:hAnsi="Calibri"/>
          <w:color w:val="000000" w:themeColor="text1"/>
          <w:lang w:val="es-ES_tradnl"/>
        </w:rPr>
        <w:t>Comunicación a COVIPACIFICO sobre la renuncia del amigable componedor designado por</w:t>
      </w:r>
      <w:r w:rsidR="00262065" w:rsidRPr="009D1EA7">
        <w:rPr>
          <w:rFonts w:ascii="Calibri" w:hAnsi="Calibri"/>
          <w:color w:val="000000" w:themeColor="text1"/>
          <w:lang w:val="es-ES_tradnl"/>
        </w:rPr>
        <w:t xml:space="preserve"> </w:t>
      </w:r>
      <w:r w:rsidRPr="009D1EA7">
        <w:rPr>
          <w:rFonts w:ascii="Calibri" w:hAnsi="Calibri"/>
          <w:color w:val="000000" w:themeColor="text1"/>
          <w:lang w:val="es-ES_tradnl"/>
        </w:rPr>
        <w:t>la Agencia y propuesta de una cláusula que modifica el mecanismo de amigable composición en el Contrato de Concesión No. 007 de 2014.</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rFonts w:ascii="Calibri" w:hAnsi="Calibri"/>
          <w:color w:val="000000" w:themeColor="text1"/>
          <w:lang w:val="es-ES_tradnl"/>
        </w:rPr>
        <w:t>Proyecto y sustentó el otrosí No. 2 al Contrato de Concesión No. 007 de 2014 para ajustar</w:t>
      </w:r>
      <w:r w:rsidR="00262065" w:rsidRPr="009D1EA7">
        <w:rPr>
          <w:rFonts w:ascii="Calibri" w:hAnsi="Calibri"/>
          <w:color w:val="000000" w:themeColor="text1"/>
          <w:lang w:val="es-ES_tradnl"/>
        </w:rPr>
        <w:t xml:space="preserve"> </w:t>
      </w:r>
      <w:r w:rsidRPr="009D1EA7">
        <w:rPr>
          <w:rFonts w:ascii="Calibri" w:hAnsi="Calibri"/>
          <w:color w:val="000000" w:themeColor="text1"/>
          <w:lang w:val="es-ES_tradnl"/>
        </w:rPr>
        <w:t>el apéndice técnico 2</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rFonts w:ascii="Calibri" w:hAnsi="Calibri"/>
          <w:color w:val="000000" w:themeColor="text1"/>
          <w:lang w:val="es-ES_tradnl"/>
        </w:rPr>
        <w:t xml:space="preserve">Se encuentra en revisión con el Interventor y el Concesionario, las obligaciones de operación y mantenimiento en la etapa preoperativa. </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rFonts w:ascii="Calibri" w:hAnsi="Calibri"/>
          <w:color w:val="000000" w:themeColor="text1"/>
          <w:lang w:val="es-ES_tradnl"/>
        </w:rPr>
        <w:t>Se resolvió inquietud del Concesionario en cuanto a la ubicación del peaje Ancón Sur, indicándosele que la misma obedece a lo establecido en la Resolución No. 892 de 2014, expedida por el Ministerio de Transporte.</w:t>
      </w:r>
    </w:p>
    <w:p w:rsidR="00815BCB" w:rsidRPr="00C15AA8" w:rsidRDefault="00815BCB" w:rsidP="00815BCB">
      <w:pPr>
        <w:pStyle w:val="Prrafodelista"/>
        <w:widowControl w:val="0"/>
        <w:autoSpaceDE w:val="0"/>
        <w:autoSpaceDN w:val="0"/>
        <w:adjustRightInd w:val="0"/>
        <w:spacing w:after="0"/>
        <w:ind w:left="709" w:right="-518"/>
        <w:jc w:val="both"/>
        <w:rPr>
          <w:rFonts w:ascii="Calibri" w:hAnsi="Calibri"/>
          <w:color w:val="000000" w:themeColor="text1"/>
          <w:sz w:val="36"/>
          <w:szCs w:val="3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ÁREA METROPOLITANA DE CUCUTA Y NORTE DE SANTANDER</w:t>
      </w:r>
    </w:p>
    <w:p w:rsidR="00815BCB" w:rsidRPr="004B66C3" w:rsidRDefault="00815BCB" w:rsidP="00815BCB">
      <w:pPr>
        <w:pStyle w:val="Prrafodelista"/>
        <w:widowControl w:val="0"/>
        <w:autoSpaceDE w:val="0"/>
        <w:autoSpaceDN w:val="0"/>
        <w:adjustRightInd w:val="0"/>
        <w:spacing w:after="0"/>
        <w:ind w:left="-207" w:right="-518"/>
        <w:jc w:val="center"/>
        <w:rPr>
          <w:rFonts w:ascii="Calibri" w:hAnsi="Calibri"/>
          <w:b/>
          <w:color w:val="000000" w:themeColor="text1"/>
          <w:sz w:val="16"/>
          <w:szCs w:val="16"/>
          <w:lang w:val="es-ES_tradnl"/>
        </w:rPr>
      </w:pPr>
    </w:p>
    <w:p w:rsidR="00815BCB" w:rsidRPr="004B66C3" w:rsidRDefault="00815BCB" w:rsidP="00815BCB">
      <w:pPr>
        <w:pStyle w:val="Prrafodelista"/>
        <w:widowControl w:val="0"/>
        <w:autoSpaceDE w:val="0"/>
        <w:autoSpaceDN w:val="0"/>
        <w:adjustRightInd w:val="0"/>
        <w:spacing w:after="0"/>
        <w:ind w:left="-207" w:right="-518"/>
        <w:jc w:val="center"/>
        <w:rPr>
          <w:rFonts w:ascii="Calibri" w:hAnsi="Calibri"/>
          <w:b/>
          <w:color w:val="000000" w:themeColor="text1"/>
          <w:sz w:val="32"/>
          <w:szCs w:val="32"/>
          <w:lang w:val="es-ES_tradnl"/>
        </w:rPr>
      </w:pPr>
      <w:r w:rsidRPr="004B66C3">
        <w:rPr>
          <w:rFonts w:ascii="Calibri" w:hAnsi="Calibri"/>
          <w:b/>
          <w:color w:val="000000" w:themeColor="text1"/>
          <w:sz w:val="24"/>
          <w:szCs w:val="24"/>
          <w:lang w:val="es-ES_tradnl"/>
        </w:rPr>
        <w:t>Se em</w:t>
      </w:r>
      <w:r w:rsidRPr="004B66C3">
        <w:rPr>
          <w:rFonts w:ascii="Calibri" w:hAnsi="Calibri"/>
          <w:b/>
          <w:color w:val="000000" w:themeColor="text1"/>
          <w:lang w:val="es-ES_tradnl"/>
        </w:rPr>
        <w:t>itieron los siguientes conceptos y documentos contractuales</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rFonts w:ascii="Calibri" w:eastAsia="Times New Roman" w:hAnsi="Calibri" w:cs="Arial"/>
          <w:color w:val="000000" w:themeColor="text1"/>
          <w:lang w:val="es-ES_tradnl"/>
        </w:rPr>
        <w:t>C</w:t>
      </w:r>
      <w:r w:rsidR="00262065" w:rsidRPr="009D1EA7">
        <w:rPr>
          <w:rFonts w:ascii="Calibri" w:eastAsia="Times New Roman" w:hAnsi="Calibri" w:cs="Arial"/>
          <w:color w:val="000000" w:themeColor="text1"/>
        </w:rPr>
        <w:t>oncepto</w:t>
      </w:r>
      <w:r w:rsidRPr="009D1EA7">
        <w:rPr>
          <w:rFonts w:ascii="Calibri" w:eastAsia="Times New Roman" w:hAnsi="Calibri" w:cs="Arial"/>
          <w:color w:val="000000" w:themeColor="text1"/>
        </w:rPr>
        <w:t xml:space="preserve"> sobre la utilización de los recursos sobrantes de la Subcuenta Ambiental. Mediante memorando No. 20157040020163 del 16 de febrero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b/>
          <w:color w:val="000000" w:themeColor="text1"/>
          <w:lang w:val="es-ES_tradnl"/>
        </w:rPr>
      </w:pPr>
      <w:r w:rsidRPr="009D1EA7">
        <w:rPr>
          <w:rFonts w:ascii="Calibri" w:hAnsi="Calibri"/>
          <w:color w:val="000000" w:themeColor="text1"/>
          <w:lang w:val="es-ES_tradnl"/>
        </w:rPr>
        <w:t xml:space="preserve">Elaboración de la Resolución </w:t>
      </w:r>
      <w:r w:rsidRPr="009D1EA7">
        <w:rPr>
          <w:rFonts w:ascii="Calibri" w:eastAsia="Times New Roman" w:hAnsi="Calibri" w:cs="Arial"/>
          <w:color w:val="000000" w:themeColor="text1"/>
        </w:rPr>
        <w:t>Por medio de la cual se reconoce al Concesionario San Simón S.A., el diferencial tarifario comprendido entre el periodo del 1 de julio al 31 de diciembre de 2014.Resolución No.550 del 18 de marzo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b/>
          <w:color w:val="000000" w:themeColor="text1"/>
          <w:lang w:val="es-ES_tradnl"/>
        </w:rPr>
      </w:pPr>
      <w:r w:rsidRPr="009D1EA7">
        <w:rPr>
          <w:rFonts w:ascii="Calibri" w:eastAsia="Times New Roman" w:hAnsi="Calibri" w:cs="Arial"/>
          <w:color w:val="000000" w:themeColor="text1"/>
        </w:rPr>
        <w:t xml:space="preserve">Revisión Acta de liquidación del contrato de </w:t>
      </w:r>
      <w:r w:rsidR="00262065" w:rsidRPr="009D1EA7">
        <w:rPr>
          <w:rFonts w:ascii="Calibri" w:eastAsia="Times New Roman" w:hAnsi="Calibri" w:cs="Arial"/>
          <w:color w:val="000000" w:themeColor="text1"/>
        </w:rPr>
        <w:t>Interventoría</w:t>
      </w:r>
      <w:r w:rsidRPr="009D1EA7">
        <w:rPr>
          <w:rFonts w:ascii="Calibri" w:eastAsia="Times New Roman" w:hAnsi="Calibri" w:cs="Arial"/>
          <w:color w:val="000000" w:themeColor="text1"/>
        </w:rPr>
        <w:t xml:space="preserve"> SCLV. Suscrita el 5 de febrero de 2015.</w:t>
      </w:r>
    </w:p>
    <w:p w:rsidR="00815BCB" w:rsidRPr="009D1EA7" w:rsidRDefault="00262065"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b/>
          <w:color w:val="000000" w:themeColor="text1"/>
          <w:lang w:val="es-ES_tradnl"/>
        </w:rPr>
      </w:pPr>
      <w:r w:rsidRPr="009D1EA7">
        <w:rPr>
          <w:rFonts w:ascii="Calibri" w:eastAsia="Times New Roman" w:hAnsi="Calibri" w:cs="Arial"/>
          <w:color w:val="000000" w:themeColor="text1"/>
        </w:rPr>
        <w:t>Revisión</w:t>
      </w:r>
      <w:r w:rsidR="00815BCB" w:rsidRPr="009D1EA7">
        <w:rPr>
          <w:rFonts w:ascii="Calibri" w:eastAsia="Times New Roman" w:hAnsi="Calibri" w:cs="Arial"/>
          <w:color w:val="000000" w:themeColor="text1"/>
        </w:rPr>
        <w:t xml:space="preserve"> segundo Acuerdo Conciliatorio sobre intersecciones, ola invernal etc.24 de febrero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b/>
          <w:color w:val="000000" w:themeColor="text1"/>
          <w:lang w:val="es-ES_tradnl"/>
        </w:rPr>
      </w:pPr>
      <w:r w:rsidRPr="009D1EA7">
        <w:rPr>
          <w:rFonts w:ascii="Calibri" w:eastAsia="Times New Roman" w:hAnsi="Calibri" w:cs="Arial"/>
          <w:color w:val="000000" w:themeColor="text1"/>
        </w:rPr>
        <w:t xml:space="preserve">Resolución por medio de la cual se realiza pago del sector </w:t>
      </w:r>
      <w:r w:rsidR="00262065" w:rsidRPr="009D1EA7">
        <w:rPr>
          <w:rFonts w:ascii="Calibri" w:eastAsia="Times New Roman" w:hAnsi="Calibri" w:cs="Arial"/>
          <w:color w:val="000000" w:themeColor="text1"/>
        </w:rPr>
        <w:t>Cúcuta</w:t>
      </w:r>
      <w:r w:rsidRPr="009D1EA7">
        <w:rPr>
          <w:rFonts w:ascii="Calibri" w:eastAsia="Times New Roman" w:hAnsi="Calibri" w:cs="Arial"/>
          <w:color w:val="000000" w:themeColor="text1"/>
        </w:rPr>
        <w:t xml:space="preserve"> –Pamplona.(Se encuentra en trámite de suscripción)</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b/>
          <w:color w:val="000000" w:themeColor="text1"/>
          <w:lang w:val="es-ES_tradnl"/>
        </w:rPr>
      </w:pPr>
      <w:r w:rsidRPr="009D1EA7">
        <w:rPr>
          <w:rFonts w:ascii="Calibri" w:eastAsia="Times New Roman" w:hAnsi="Calibri" w:cs="Arial"/>
          <w:color w:val="000000" w:themeColor="text1"/>
          <w:lang w:val="es-ES_tradnl"/>
        </w:rPr>
        <w:lastRenderedPageBreak/>
        <w:t>C</w:t>
      </w:r>
      <w:r w:rsidR="00262065" w:rsidRPr="009D1EA7">
        <w:rPr>
          <w:rFonts w:ascii="Calibri" w:eastAsia="Times New Roman" w:hAnsi="Calibri" w:cs="Arial"/>
          <w:color w:val="000000" w:themeColor="text1"/>
        </w:rPr>
        <w:t>concepto</w:t>
      </w:r>
      <w:r w:rsidRPr="009D1EA7">
        <w:rPr>
          <w:rFonts w:ascii="Calibri" w:eastAsia="Times New Roman" w:hAnsi="Calibri" w:cs="Arial"/>
          <w:color w:val="000000" w:themeColor="text1"/>
        </w:rPr>
        <w:t xml:space="preserve"> sobre la obligación de la Interventoría de realizar la medición de la Deflectometria. Mediante memorando No.2015-704-005581-1 del 16 de marzo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b/>
          <w:color w:val="000000" w:themeColor="text1"/>
          <w:lang w:val="es-ES_tradnl"/>
        </w:rPr>
      </w:pPr>
      <w:r w:rsidRPr="009D1EA7">
        <w:rPr>
          <w:rFonts w:ascii="Calibri" w:eastAsia="Times New Roman" w:hAnsi="Calibri" w:cs="Arial"/>
          <w:color w:val="000000" w:themeColor="text1"/>
        </w:rPr>
        <w:t>Revisión de comunicación dirigida a la Fiduciaria Colpatria para que aplique la disminución por Índice de Estado. Mediante oficio No.2015-409-016877-2 del 24 de marzo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b/>
          <w:color w:val="000000" w:themeColor="text1"/>
          <w:lang w:val="es-ES_tradnl"/>
        </w:rPr>
      </w:pPr>
      <w:r w:rsidRPr="009D1EA7">
        <w:rPr>
          <w:rFonts w:ascii="Calibri" w:eastAsia="Times New Roman" w:hAnsi="Calibri" w:cs="Arial"/>
          <w:color w:val="000000" w:themeColor="text1"/>
        </w:rPr>
        <w:t xml:space="preserve">Revisión de comunicación </w:t>
      </w:r>
      <w:r w:rsidR="00262065" w:rsidRPr="009D1EA7">
        <w:rPr>
          <w:rFonts w:ascii="Calibri" w:eastAsia="Times New Roman" w:hAnsi="Calibri" w:cs="Arial"/>
          <w:color w:val="000000" w:themeColor="text1"/>
        </w:rPr>
        <w:t>dirigida</w:t>
      </w:r>
      <w:r w:rsidRPr="009D1EA7">
        <w:rPr>
          <w:rFonts w:ascii="Calibri" w:eastAsia="Times New Roman" w:hAnsi="Calibri" w:cs="Arial"/>
          <w:color w:val="000000" w:themeColor="text1"/>
        </w:rPr>
        <w:t xml:space="preserve"> al Concesionario San Simón por medio del cual se les informa los valores que deben ser reintegrados por el pago a terceros no relacionados con la adquisición de predios. Mediante oficio No.2015-706-006249-1 del 24 de marzo de 2015.</w:t>
      </w:r>
    </w:p>
    <w:p w:rsidR="00815BCB" w:rsidRPr="009D1EA7" w:rsidRDefault="00815BCB" w:rsidP="00F33349">
      <w:pPr>
        <w:pStyle w:val="Prrafodelista"/>
        <w:widowControl w:val="0"/>
        <w:numPr>
          <w:ilvl w:val="0"/>
          <w:numId w:val="105"/>
        </w:numPr>
        <w:tabs>
          <w:tab w:val="left" w:pos="851"/>
        </w:tabs>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 xml:space="preserve">Concepto sobre la viabilidad de que la ANI contratara Estudios y Diseños Integrales para la obra del Puente Benito </w:t>
      </w:r>
      <w:r w:rsidR="00262065" w:rsidRPr="009D1EA7">
        <w:rPr>
          <w:color w:val="000000" w:themeColor="text1"/>
          <w:lang w:val="es-ES_tradnl"/>
        </w:rPr>
        <w:t xml:space="preserve">Hernández. </w:t>
      </w:r>
      <w:r w:rsidRPr="009D1EA7">
        <w:rPr>
          <w:color w:val="000000" w:themeColor="text1"/>
          <w:lang w:val="es-ES_tradnl"/>
        </w:rPr>
        <w:t>Mediante memorando No.2015-704-0042253</w:t>
      </w:r>
      <w:r w:rsidRPr="009D1EA7">
        <w:rPr>
          <w:color w:val="000000" w:themeColor="text1"/>
          <w:lang w:val="es-ES_tradnl"/>
        </w:rPr>
        <w:tab/>
        <w:t>del 9 de abril de 2015</w:t>
      </w:r>
      <w:r w:rsidRPr="009D1EA7">
        <w:rPr>
          <w:color w:val="000000" w:themeColor="text1"/>
          <w:lang w:val="es-ES_tradnl"/>
        </w:rPr>
        <w:tab/>
        <w:t>.</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Elaboración observaciones a los Estudios previos para la Licitación de la Obra " Puente El Recreo", atendiendo al fallo del Tribunal Administrativo de Norte de Santander. Correo electrónico del 16 de abril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 xml:space="preserve">Comunicación enviada al Concesionario San </w:t>
      </w:r>
      <w:r w:rsidR="00262065" w:rsidRPr="009D1EA7">
        <w:rPr>
          <w:color w:val="000000" w:themeColor="text1"/>
          <w:lang w:val="es-ES_tradnl"/>
        </w:rPr>
        <w:t>Simón</w:t>
      </w:r>
      <w:r w:rsidRPr="009D1EA7">
        <w:rPr>
          <w:color w:val="000000" w:themeColor="text1"/>
          <w:lang w:val="es-ES_tradnl"/>
        </w:rPr>
        <w:t xml:space="preserve"> sobre la utilización de los recursos de  la Subcuenta Predial. Mediante oficio No.2015-409-0214032 del 6 de abril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 xml:space="preserve">Tramite a Cesión de acciones de EDINTER al Señor Miguel Ángel Castillo </w:t>
      </w:r>
      <w:r w:rsidR="00262065" w:rsidRPr="009D1EA7">
        <w:rPr>
          <w:color w:val="000000" w:themeColor="text1"/>
          <w:lang w:val="es-ES_tradnl"/>
        </w:rPr>
        <w:t>Galván</w:t>
      </w:r>
      <w:r w:rsidRPr="009D1EA7">
        <w:rPr>
          <w:color w:val="000000" w:themeColor="text1"/>
          <w:lang w:val="es-ES_tradnl"/>
        </w:rPr>
        <w:t>. Mediante memorando No.2015-704-005529-3 del 13 de mayo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 xml:space="preserve">Convenio </w:t>
      </w:r>
      <w:r w:rsidR="00262065" w:rsidRPr="009D1EA7">
        <w:rPr>
          <w:color w:val="000000" w:themeColor="text1"/>
          <w:lang w:val="es-ES_tradnl"/>
        </w:rPr>
        <w:t>Interadministrativo</w:t>
      </w:r>
      <w:r w:rsidRPr="009D1EA7">
        <w:rPr>
          <w:color w:val="000000" w:themeColor="text1"/>
          <w:lang w:val="es-ES_tradnl"/>
        </w:rPr>
        <w:t xml:space="preserve"> a suscribirse entre INVIAS; ANI; Alcaldía de Cúcuta, para la construcción de la solución integral del Puente Benito Hernandez enviado por correo electrónico del 13 de mayo de 2015. </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Frente al Fallo del Tribunal de Arbitramento  proferido el 11 de mayo de 2015; se solicita aclaración al Doctor Sanabria. Enviado por correo electrónico el 14 de mayo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 xml:space="preserve">Resultado de la mesa de trabajo adelantada entre la ANI, </w:t>
      </w:r>
      <w:r w:rsidR="00262065" w:rsidRPr="009D1EA7">
        <w:rPr>
          <w:color w:val="000000" w:themeColor="text1"/>
          <w:lang w:val="es-ES_tradnl"/>
        </w:rPr>
        <w:t>Interventoría</w:t>
      </w:r>
      <w:r w:rsidRPr="009D1EA7">
        <w:rPr>
          <w:color w:val="000000" w:themeColor="text1"/>
          <w:lang w:val="es-ES_tradnl"/>
        </w:rPr>
        <w:t xml:space="preserve"> Y San </w:t>
      </w:r>
      <w:r w:rsidR="00262065" w:rsidRPr="009D1EA7">
        <w:rPr>
          <w:color w:val="000000" w:themeColor="text1"/>
          <w:lang w:val="es-ES_tradnl"/>
        </w:rPr>
        <w:t>Simón</w:t>
      </w:r>
      <w:r w:rsidRPr="009D1EA7">
        <w:rPr>
          <w:color w:val="000000" w:themeColor="text1"/>
          <w:lang w:val="es-ES_tradnl"/>
        </w:rPr>
        <w:t xml:space="preserve"> S.A., con el fin de determinar  los cargos realizados a la subcuenta predial y que la ANI considera que no pueden ser aceptados, todo lo anterior para verificar el fondeo por parte del Concesionario del 130% de los recursos prediales, en atención a lo establecido contractualmente . Suscripción de Acta el 26 de mayo de 2015. </w:t>
      </w:r>
      <w:r w:rsidRPr="009D1EA7">
        <w:rPr>
          <w:color w:val="000000" w:themeColor="text1"/>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Elaboración de observaciones a los Estudios de Oportunidad  y Conveniencia  para la suscripción del Convenio Interadministrativo entre INVIAS; ANI; Alcaldía de Cúcuta, para la construcción de la solución integral del Puente Benito Hernandez. Enviado por correo electrónico del 23 de junio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Convenio Interadministrativo a suscribirse entre INVIAS; ANI; Alcaldia de Cúcuta, para la construcción de la solución integral del Puente Benito Hernandez. Entregado a la supervisión del proyecto, fecha de suscripción 24 de junio de 2015</w:t>
      </w:r>
      <w:r w:rsidRPr="009D1EA7">
        <w:rPr>
          <w:color w:val="000000" w:themeColor="text1"/>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Recopilación de Información para dar respuesta a la convocatoria realizada por San simon S.A. a amigable componedor- Tema Indice de Estado. Enviado por correo electrónico el</w:t>
      </w:r>
      <w:r w:rsidRPr="009D1EA7">
        <w:rPr>
          <w:color w:val="000000" w:themeColor="text1"/>
          <w:lang w:val="es-ES_tradnl"/>
        </w:rPr>
        <w:tab/>
        <w:t>4 de junio de 2015</w:t>
      </w:r>
      <w:r w:rsidRPr="009D1EA7">
        <w:rPr>
          <w:color w:val="000000" w:themeColor="text1"/>
          <w:lang w:val="es-ES_tradnl"/>
        </w:rPr>
        <w:tab/>
      </w:r>
    </w:p>
    <w:p w:rsidR="00815BCB" w:rsidRPr="004B66C3"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sz w:val="24"/>
          <w:szCs w:val="24"/>
          <w:lang w:val="es-ES_tradnl"/>
        </w:rPr>
      </w:pPr>
      <w:r w:rsidRPr="009D1EA7">
        <w:rPr>
          <w:color w:val="000000" w:themeColor="text1"/>
          <w:lang w:val="es-ES_tradnl"/>
        </w:rPr>
        <w:t>Estudios de oportunidad y conveniencia para el Otrosi mediante el cual se desafecta el Tramo Cucuta – pamplona. Enviado por correo electrónico el 19 de junio de 2015</w:t>
      </w:r>
      <w:r w:rsidRPr="004B66C3">
        <w:rPr>
          <w:color w:val="000000" w:themeColor="text1"/>
          <w:sz w:val="24"/>
          <w:szCs w:val="24"/>
          <w:lang w:val="es-ES_tradnl"/>
        </w:rPr>
        <w:tab/>
      </w: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b/>
          <w:color w:val="000000" w:themeColor="text1"/>
          <w:lang w:val="es-ES_tradnl"/>
        </w:rPr>
      </w:pPr>
      <w:r w:rsidRPr="009D1EA7">
        <w:rPr>
          <w:rFonts w:ascii="Calibri" w:eastAsia="Times New Roman" w:hAnsi="Calibri" w:cs="Arial"/>
          <w:color w:val="000000" w:themeColor="text1"/>
          <w:lang w:val="es-ES_tradnl"/>
        </w:rPr>
        <w:t>D</w:t>
      </w:r>
      <w:r w:rsidRPr="009D1EA7">
        <w:rPr>
          <w:rFonts w:ascii="Calibri" w:eastAsia="Times New Roman" w:hAnsi="Calibri" w:cs="Arial"/>
          <w:color w:val="000000" w:themeColor="text1"/>
        </w:rPr>
        <w:t>evolución de pólizas remitidas por San Simón S.A., en cumplimiento a lo pactado en el otrosí No. 10 de 2014.Mediante memorando No.20157040024863 del 26 de febrero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color w:val="000000" w:themeColor="text1"/>
          <w:lang w:val="es-ES_tradnl"/>
        </w:rPr>
        <w:t xml:space="preserve">Revisión y aprobación de pólizas correspondiente a las obligaciones pactadas en el Otrosí No. 10 </w:t>
      </w:r>
      <w:r w:rsidRPr="009D1EA7">
        <w:rPr>
          <w:color w:val="000000" w:themeColor="text1"/>
          <w:lang w:val="es-ES_tradnl"/>
        </w:rPr>
        <w:lastRenderedPageBreak/>
        <w:t>de 2014. Mediante memorando No.2015-704-004480-3 del 16 de abril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709" w:right="-518" w:hanging="283"/>
        <w:jc w:val="both"/>
        <w:rPr>
          <w:color w:val="000000" w:themeColor="text1"/>
          <w:lang w:val="es-ES_tradnl"/>
        </w:rPr>
      </w:pPr>
      <w:r w:rsidRPr="009D1EA7">
        <w:rPr>
          <w:color w:val="000000" w:themeColor="text1"/>
          <w:lang w:val="es-ES_tradnl"/>
        </w:rPr>
        <w:t>Revisión y aprobación de pólizas correspondiente a las obligaciones pactadas en el Otrosi No. 11 de 2014. Mediante memorando No.2015-704-0046033 del 21 de abril de  2015</w:t>
      </w:r>
      <w:r w:rsidRPr="009D1EA7">
        <w:rPr>
          <w:color w:val="000000" w:themeColor="text1"/>
          <w:lang w:val="es-ES_tradnl"/>
        </w:rPr>
        <w:tab/>
      </w:r>
    </w:p>
    <w:p w:rsidR="00815BCB" w:rsidRPr="009D1EA7" w:rsidRDefault="00815BCB" w:rsidP="00F33349">
      <w:pPr>
        <w:pStyle w:val="Prrafodelista"/>
        <w:widowControl w:val="0"/>
        <w:numPr>
          <w:ilvl w:val="0"/>
          <w:numId w:val="105"/>
        </w:numPr>
        <w:tabs>
          <w:tab w:val="left" w:pos="426"/>
        </w:tabs>
        <w:autoSpaceDE w:val="0"/>
        <w:autoSpaceDN w:val="0"/>
        <w:adjustRightInd w:val="0"/>
        <w:spacing w:after="0" w:line="259" w:lineRule="auto"/>
        <w:ind w:left="567" w:right="-518" w:hanging="141"/>
        <w:rPr>
          <w:color w:val="000000" w:themeColor="text1"/>
          <w:lang w:val="es-ES_tradnl"/>
        </w:rPr>
      </w:pPr>
      <w:r w:rsidRPr="009D1EA7">
        <w:rPr>
          <w:color w:val="000000" w:themeColor="text1"/>
          <w:lang w:val="es-ES_tradnl"/>
        </w:rPr>
        <w:t>Verificación de pólizas solicitadas por control Interno enviado por correo electrónico</w:t>
      </w:r>
      <w:r w:rsidRPr="009D1EA7">
        <w:rPr>
          <w:color w:val="000000" w:themeColor="text1"/>
          <w:lang w:val="es-ES_tradnl"/>
        </w:rPr>
        <w:tab/>
        <w:t xml:space="preserve">           11 de mayo de 2015.</w:t>
      </w:r>
      <w:r w:rsidRPr="009D1EA7">
        <w:rPr>
          <w:color w:val="000000" w:themeColor="text1"/>
          <w:lang w:val="es-ES_tradnl"/>
        </w:rPr>
        <w:tab/>
      </w:r>
    </w:p>
    <w:p w:rsidR="00815BCB" w:rsidRPr="00FB047C" w:rsidRDefault="00815BCB" w:rsidP="00815BCB">
      <w:pPr>
        <w:pStyle w:val="Prrafodelista"/>
        <w:widowControl w:val="0"/>
        <w:autoSpaceDE w:val="0"/>
        <w:autoSpaceDN w:val="0"/>
        <w:adjustRightInd w:val="0"/>
        <w:spacing w:after="0"/>
        <w:ind w:left="709" w:right="-518"/>
        <w:jc w:val="both"/>
        <w:rPr>
          <w:rFonts w:ascii="Calibri" w:hAnsi="Calibri"/>
          <w:color w:val="000000" w:themeColor="text1"/>
          <w:sz w:val="36"/>
          <w:szCs w:val="3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RUTA DEL SOL 2</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lang w:val="es-ES_tradnl"/>
        </w:rPr>
      </w:pPr>
      <w:r w:rsidRPr="004B66C3">
        <w:rPr>
          <w:rFonts w:ascii="Calibri" w:hAnsi="Calibri"/>
          <w:b/>
          <w:color w:val="000000" w:themeColor="text1"/>
          <w:sz w:val="24"/>
          <w:szCs w:val="24"/>
          <w:lang w:val="es-ES_tradnl"/>
        </w:rPr>
        <w:t>Se em</w:t>
      </w:r>
      <w:r w:rsidRPr="004B66C3">
        <w:rPr>
          <w:rFonts w:ascii="Calibri" w:hAnsi="Calibri"/>
          <w:b/>
          <w:color w:val="000000" w:themeColor="text1"/>
          <w:lang w:val="es-ES_tradnl"/>
        </w:rPr>
        <w:t>itieron los siguientes conceptos y documentos contractuales</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16"/>
          <w:szCs w:val="16"/>
          <w:lang w:val="es-ES_tradnl"/>
        </w:rPr>
      </w:pPr>
    </w:p>
    <w:p w:rsidR="00815BCB" w:rsidRPr="009D1EA7" w:rsidRDefault="00815BCB" w:rsidP="00F33349">
      <w:pPr>
        <w:pStyle w:val="Prrafodelista"/>
        <w:numPr>
          <w:ilvl w:val="0"/>
          <w:numId w:val="105"/>
        </w:numPr>
        <w:spacing w:after="0" w:line="240" w:lineRule="auto"/>
        <w:ind w:left="851" w:right="-518" w:hanging="425"/>
        <w:jc w:val="both"/>
        <w:rPr>
          <w:rFonts w:ascii="Calibri" w:eastAsia="Times New Roman" w:hAnsi="Calibri" w:cs="Arial"/>
          <w:color w:val="000000" w:themeColor="text1"/>
        </w:rPr>
      </w:pPr>
      <w:r w:rsidRPr="009D1EA7">
        <w:rPr>
          <w:rFonts w:ascii="Calibri" w:eastAsia="Times New Roman" w:hAnsi="Calibri" w:cs="Arial"/>
          <w:color w:val="000000" w:themeColor="text1"/>
        </w:rPr>
        <w:t>A partir del 19 de enero de 2015, y de manera semanal, se iniciaron mesas de trabajo con la Gerencia Grupo Carretero 1, la Interventoría y el Concesionario, con el fin de revisar el Plan de Obras de la Concesión, las metas para el 2015 y la ocurrencia de eventos eximentes de responsabilidad. Esta gestión se adelantó hasta el 27 de febrero del año en curso, fecha en la cual el Gerente de Gestión Contractual 2, decidió hacer unos cambios al interior de la Gerencia entregando el Proyecto al Dr. Harbey Carrascal.</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851" w:right="-518" w:hanging="425"/>
        <w:jc w:val="both"/>
        <w:rPr>
          <w:color w:val="000000" w:themeColor="text1"/>
          <w:lang w:val="es-ES_tradnl"/>
        </w:rPr>
      </w:pPr>
      <w:r w:rsidRPr="009D1EA7">
        <w:rPr>
          <w:rFonts w:ascii="Calibri" w:eastAsia="Times New Roman" w:hAnsi="Calibri" w:cs="Arial"/>
          <w:color w:val="000000" w:themeColor="text1"/>
        </w:rPr>
        <w:t>Revisión del Otrosí No. 9 al Contrato de Concesión, con el objetivo de desafectar el Hito 1 del Tramo 1, por razones ajenas a las partes - en este Hito está ubicada la Base Aérea Germán Olano.( Se encuentra en revisión por parte del Concesionario, la Interventoría y la Agencia, el valor del CAPEX y del OPEX. una vez definidos esos aspectos, y entregado el Estudio de Conveniencia a la GGC2, se debe proceder a la elaboración de Otrosí).</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851" w:right="-518" w:hanging="425"/>
        <w:jc w:val="both"/>
        <w:rPr>
          <w:color w:val="000000" w:themeColor="text1"/>
          <w:lang w:val="es-ES_tradnl"/>
        </w:rPr>
      </w:pPr>
      <w:r w:rsidRPr="009D1EA7">
        <w:rPr>
          <w:rFonts w:ascii="Calibri" w:hAnsi="Calibri"/>
          <w:color w:val="000000" w:themeColor="text1"/>
        </w:rPr>
        <w:t xml:space="preserve">se adelantan mesas de conciliación para resolver divergencias que han tenido determinación del panel de expertos y para evitar litigios futuro ya que </w:t>
      </w:r>
      <w:r w:rsidRPr="009D1EA7">
        <w:rPr>
          <w:rFonts w:ascii="Calibri" w:hAnsi="Calibri"/>
          <w:color w:val="000000" w:themeColor="text1"/>
        </w:rPr>
        <w:tab/>
        <w:t>se buscan alternativas de solución, jurídica, técnica y financiera a las principales controversias surgidas con el Concesionario</w:t>
      </w:r>
    </w:p>
    <w:p w:rsidR="00815BCB" w:rsidRPr="004B66C3" w:rsidRDefault="00815BCB" w:rsidP="00815BCB">
      <w:pPr>
        <w:pStyle w:val="Prrafodelista"/>
        <w:widowControl w:val="0"/>
        <w:autoSpaceDE w:val="0"/>
        <w:autoSpaceDN w:val="0"/>
        <w:adjustRightInd w:val="0"/>
        <w:spacing w:after="0"/>
        <w:ind w:left="851" w:right="-518" w:hanging="425"/>
        <w:jc w:val="both"/>
        <w:rPr>
          <w:rFonts w:ascii="Calibri" w:hAnsi="Calibri"/>
          <w:b/>
          <w:color w:val="000000" w:themeColor="text1"/>
          <w:sz w:val="32"/>
          <w:szCs w:val="32"/>
        </w:rPr>
      </w:pP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9D1EA7" w:rsidRDefault="00815BCB" w:rsidP="00815BCB">
      <w:pPr>
        <w:pStyle w:val="Prrafodelista"/>
        <w:widowControl w:val="0"/>
        <w:autoSpaceDE w:val="0"/>
        <w:autoSpaceDN w:val="0"/>
        <w:adjustRightInd w:val="0"/>
        <w:spacing w:after="0"/>
        <w:ind w:left="851" w:right="-518" w:hanging="425"/>
        <w:jc w:val="both"/>
        <w:rPr>
          <w:rFonts w:ascii="Calibri" w:hAnsi="Calibri"/>
          <w:b/>
          <w:color w:val="000000" w:themeColor="text1"/>
          <w:lang w:val="es-ES_tradnl"/>
        </w:rPr>
      </w:pPr>
    </w:p>
    <w:p w:rsidR="00815BCB" w:rsidRPr="009D1EA7" w:rsidRDefault="00815BCB" w:rsidP="00F33349">
      <w:pPr>
        <w:pStyle w:val="Prrafodelista"/>
        <w:widowControl w:val="0"/>
        <w:numPr>
          <w:ilvl w:val="0"/>
          <w:numId w:val="105"/>
        </w:numPr>
        <w:autoSpaceDE w:val="0"/>
        <w:autoSpaceDN w:val="0"/>
        <w:adjustRightInd w:val="0"/>
        <w:spacing w:after="0" w:line="259" w:lineRule="auto"/>
        <w:ind w:left="851" w:right="-518" w:hanging="284"/>
        <w:jc w:val="both"/>
        <w:rPr>
          <w:rFonts w:ascii="Calibri" w:hAnsi="Calibri"/>
          <w:color w:val="000000" w:themeColor="text1"/>
          <w:lang w:val="es-ES_tradnl"/>
        </w:rPr>
      </w:pPr>
      <w:r w:rsidRPr="009D1EA7">
        <w:rPr>
          <w:rFonts w:ascii="Calibri" w:hAnsi="Calibri"/>
          <w:color w:val="000000" w:themeColor="text1"/>
          <w:lang w:val="es-ES_tradnl"/>
        </w:rPr>
        <w:t>Evaluación y aprobación de las pólizas otorgadas para la cobertura de los riesgos asociados al Tramo 8 en el Proyecto Ruta del Sol Sector 2.</w:t>
      </w:r>
    </w:p>
    <w:p w:rsidR="00815BCB" w:rsidRPr="00C15AA8" w:rsidRDefault="00815BCB" w:rsidP="00815BCB">
      <w:pPr>
        <w:pStyle w:val="Prrafodelista"/>
        <w:widowControl w:val="0"/>
        <w:autoSpaceDE w:val="0"/>
        <w:autoSpaceDN w:val="0"/>
        <w:adjustRightInd w:val="0"/>
        <w:spacing w:after="0"/>
        <w:ind w:left="851" w:right="-518" w:hanging="425"/>
        <w:jc w:val="both"/>
        <w:rPr>
          <w:rFonts w:ascii="Calibri" w:hAnsi="Calibri"/>
          <w:b/>
          <w:color w:val="000000" w:themeColor="text1"/>
          <w:sz w:val="36"/>
          <w:szCs w:val="3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CONEXIÓN NORTE</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lang w:val="es-ES_tradnl"/>
        </w:rPr>
      </w:pPr>
      <w:r w:rsidRPr="004B66C3">
        <w:rPr>
          <w:rFonts w:ascii="Calibri" w:hAnsi="Calibri"/>
          <w:b/>
          <w:color w:val="000000" w:themeColor="text1"/>
          <w:sz w:val="24"/>
          <w:szCs w:val="24"/>
          <w:lang w:val="es-ES_tradnl"/>
        </w:rPr>
        <w:t>Se em</w:t>
      </w:r>
      <w:r w:rsidRPr="004B66C3">
        <w:rPr>
          <w:rFonts w:ascii="Calibri" w:hAnsi="Calibri"/>
          <w:b/>
          <w:color w:val="000000" w:themeColor="text1"/>
          <w:lang w:val="es-ES_tradnl"/>
        </w:rPr>
        <w:t>itieron los siguientes conceptos y documentos contractuales</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lang w:val="es-ES_tradnl"/>
        </w:rPr>
      </w:pP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jc w:val="both"/>
        <w:rPr>
          <w:color w:val="000000" w:themeColor="text1"/>
          <w:lang w:val="es-ES_tradnl"/>
        </w:rPr>
      </w:pPr>
      <w:r w:rsidRPr="009D1EA7">
        <w:rPr>
          <w:rFonts w:eastAsia="Times New Roman" w:cs="Arial"/>
          <w:color w:val="000000" w:themeColor="text1"/>
        </w:rPr>
        <w:t>Elaboración Otrosí No. 1 Prorroga del nombramiento de Amigable componedor Proyectado. Suscrito el 15 de enero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jc w:val="both"/>
        <w:rPr>
          <w:color w:val="000000" w:themeColor="text1"/>
          <w:lang w:val="es-ES_tradnl"/>
        </w:rPr>
      </w:pPr>
      <w:r w:rsidRPr="009D1EA7">
        <w:rPr>
          <w:color w:val="000000" w:themeColor="text1"/>
          <w:lang w:val="es-ES_tradnl"/>
        </w:rPr>
        <w:t>Solicitud de certificación al Grupo Financiera para que certifique el valor correspondiente a la póliza de todo riesgo No.</w:t>
      </w:r>
      <w:r w:rsidRPr="009D1EA7">
        <w:rPr>
          <w:rFonts w:eastAsia="Times New Roman" w:cs="Arial"/>
          <w:color w:val="000000" w:themeColor="text1"/>
        </w:rPr>
        <w:t>20157040015803 del 3 de febrero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jc w:val="both"/>
        <w:rPr>
          <w:color w:val="000000" w:themeColor="text1"/>
          <w:lang w:val="es-ES_tradnl"/>
        </w:rPr>
      </w:pPr>
      <w:r w:rsidRPr="009D1EA7">
        <w:rPr>
          <w:rFonts w:eastAsia="Times New Roman" w:cs="Arial"/>
          <w:color w:val="000000" w:themeColor="text1"/>
        </w:rPr>
        <w:t>Revisión Fiducia. Se enviaron observaciones el 24/12/2014 mediante radicado No. 2014308025322-1 y radican nuevo documento para revisión. Tramite finalizado el 4 de febrero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jc w:val="both"/>
        <w:rPr>
          <w:rFonts w:ascii="Calibri" w:hAnsi="Calibri"/>
          <w:color w:val="000000" w:themeColor="text1"/>
          <w:lang w:val="es-ES_tradnl"/>
        </w:rPr>
      </w:pPr>
      <w:r w:rsidRPr="009D1EA7">
        <w:rPr>
          <w:rFonts w:ascii="Calibri" w:eastAsia="Times New Roman" w:hAnsi="Calibri" w:cs="Arial"/>
          <w:color w:val="000000" w:themeColor="text1"/>
        </w:rPr>
        <w:t>Solicitud de aclaración Contrato de Concesión No. 009 de 2014 (en revisión financiera y con el equipo estructurador. quienes en principio dicen que lo pertinente se resolvio en respuestas del proceso de selección.).</w:t>
      </w:r>
    </w:p>
    <w:p w:rsidR="00815BCB" w:rsidRPr="00C21EDA" w:rsidRDefault="00815BCB" w:rsidP="00F33349">
      <w:pPr>
        <w:pStyle w:val="Prrafodelista"/>
        <w:widowControl w:val="0"/>
        <w:numPr>
          <w:ilvl w:val="0"/>
          <w:numId w:val="106"/>
        </w:numPr>
        <w:autoSpaceDE w:val="0"/>
        <w:autoSpaceDN w:val="0"/>
        <w:adjustRightInd w:val="0"/>
        <w:spacing w:after="0" w:line="259" w:lineRule="auto"/>
        <w:ind w:left="851" w:right="-518"/>
        <w:jc w:val="both"/>
        <w:rPr>
          <w:rFonts w:ascii="Calibri" w:hAnsi="Calibri"/>
          <w:color w:val="000000" w:themeColor="text1"/>
          <w:sz w:val="24"/>
          <w:szCs w:val="24"/>
          <w:lang w:val="es-ES_tradnl"/>
        </w:rPr>
      </w:pPr>
      <w:r w:rsidRPr="009D1EA7">
        <w:rPr>
          <w:rFonts w:ascii="Calibri" w:eastAsia="Times New Roman" w:hAnsi="Calibri" w:cs="Arial"/>
          <w:color w:val="000000" w:themeColor="text1"/>
        </w:rPr>
        <w:lastRenderedPageBreak/>
        <w:t>Solicitud Cambio Accionario. Se dio respuesta mediante radicado No. 20157040034833 del 18 de marzo de 2015</w:t>
      </w:r>
      <w:r w:rsidRPr="00C21EDA">
        <w:rPr>
          <w:rFonts w:ascii="Calibri" w:eastAsia="Times New Roman" w:hAnsi="Calibri" w:cs="Arial"/>
          <w:color w:val="000000" w:themeColor="text1"/>
          <w:sz w:val="24"/>
          <w:szCs w:val="24"/>
        </w:rPr>
        <w:t>.</w:t>
      </w:r>
    </w:p>
    <w:p w:rsidR="00815BCB" w:rsidRPr="004B66C3" w:rsidRDefault="00815BCB" w:rsidP="00815BCB">
      <w:pPr>
        <w:pStyle w:val="Prrafodelista"/>
        <w:widowControl w:val="0"/>
        <w:autoSpaceDE w:val="0"/>
        <w:autoSpaceDN w:val="0"/>
        <w:adjustRightInd w:val="0"/>
        <w:spacing w:after="0"/>
        <w:ind w:left="-207" w:right="-518"/>
        <w:jc w:val="both"/>
        <w:rPr>
          <w:color w:val="000000" w:themeColor="text1"/>
          <w:sz w:val="24"/>
          <w:szCs w:val="24"/>
          <w:lang w:val="es-ES_tradnl"/>
        </w:rPr>
      </w:pPr>
    </w:p>
    <w:p w:rsidR="00815BCB" w:rsidRPr="004B66C3" w:rsidRDefault="00815BCB" w:rsidP="00815BCB">
      <w:pPr>
        <w:pStyle w:val="Prrafodelista"/>
        <w:widowControl w:val="0"/>
        <w:autoSpaceDE w:val="0"/>
        <w:autoSpaceDN w:val="0"/>
        <w:adjustRightInd w:val="0"/>
        <w:spacing w:after="0"/>
        <w:ind w:left="-207"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color w:val="000000" w:themeColor="text1"/>
          <w:lang w:val="es-ES_tradnl"/>
        </w:rPr>
      </w:pPr>
      <w:r w:rsidRPr="009D1EA7">
        <w:rPr>
          <w:color w:val="000000" w:themeColor="text1"/>
          <w:lang w:val="es-ES_tradnl"/>
        </w:rPr>
        <w:t>Revisión y aprobación de las pólizas del Contrato de Concesión</w:t>
      </w:r>
      <w:r w:rsidRPr="009D1EA7">
        <w:rPr>
          <w:rFonts w:eastAsia="Times New Roman" w:cs="Arial"/>
          <w:color w:val="000000" w:themeColor="text1"/>
        </w:rPr>
        <w:t>. Mediante memorando No. 2015704001654-3 del 4 de febrero de 2015.</w:t>
      </w:r>
    </w:p>
    <w:p w:rsidR="00815BCB" w:rsidRPr="00FB047C" w:rsidRDefault="00815BCB" w:rsidP="00815BCB">
      <w:pPr>
        <w:pStyle w:val="Prrafodelista"/>
        <w:widowControl w:val="0"/>
        <w:autoSpaceDE w:val="0"/>
        <w:autoSpaceDN w:val="0"/>
        <w:adjustRightInd w:val="0"/>
        <w:spacing w:after="0"/>
        <w:ind w:left="-207" w:right="-518"/>
        <w:jc w:val="both"/>
        <w:rPr>
          <w:rFonts w:ascii="Calibri" w:hAnsi="Calibri"/>
          <w:color w:val="000000" w:themeColor="text1"/>
          <w:sz w:val="36"/>
          <w:szCs w:val="3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MULALO – LOBOGUERRERO</w:t>
      </w:r>
    </w:p>
    <w:p w:rsidR="00815BCB" w:rsidRPr="00C15AA8" w:rsidRDefault="00815BCB" w:rsidP="00815BCB">
      <w:pPr>
        <w:pStyle w:val="Prrafodelista"/>
        <w:widowControl w:val="0"/>
        <w:autoSpaceDE w:val="0"/>
        <w:autoSpaceDN w:val="0"/>
        <w:adjustRightInd w:val="0"/>
        <w:spacing w:after="0"/>
        <w:ind w:right="-518"/>
        <w:jc w:val="center"/>
        <w:rPr>
          <w:b/>
          <w:color w:val="000000" w:themeColor="text1"/>
          <w:sz w:val="16"/>
          <w:szCs w:val="16"/>
          <w:lang w:val="es-ES_tradnl"/>
        </w:rPr>
      </w:pP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Elaboración del Acta de Aprobación de la Póliza de Cumplimiento del Contrato de Concesión. Mediante memorando No. 2015-704-002855-3 del 5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Elaboración del Acta de Aprobación de la Póliza de Responsabilidad Civil Extracontractual del Contrato de Concesión. Mediante memorando No. 2015-704-002857-3 del 5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Elaboración del Acta de Aprobación de la Póliza de Cumplimiento del Contrato de Interventoría. Mediante memorando No. 2015-704-003577-3 del 17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right="-518"/>
        <w:jc w:val="both"/>
        <w:rPr>
          <w:color w:val="000000" w:themeColor="text1"/>
          <w:lang w:val="es-ES_tradnl"/>
        </w:rPr>
      </w:pPr>
      <w:r w:rsidRPr="009D1EA7">
        <w:rPr>
          <w:color w:val="000000" w:themeColor="text1"/>
          <w:lang w:val="es-ES_tradnl"/>
        </w:rPr>
        <w:t>Elaboración del Acta de Aprobación de la Póliza de Responsabilidad Civil Extracontractual del Contrato de Interventoría. Mediante memorando No.2015-704-003578-3 del 17 de marzo de 2015.</w:t>
      </w:r>
    </w:p>
    <w:p w:rsidR="00815BCB" w:rsidRPr="00C15AA8" w:rsidRDefault="00815BCB" w:rsidP="00815BCB">
      <w:pPr>
        <w:pStyle w:val="Prrafodelista"/>
        <w:rPr>
          <w:b/>
          <w:color w:val="000000" w:themeColor="text1"/>
          <w:sz w:val="36"/>
          <w:szCs w:val="3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sidRPr="004B66C3">
        <w:rPr>
          <w:rFonts w:ascii="Calibri" w:hAnsi="Calibri"/>
          <w:b/>
          <w:color w:val="000000" w:themeColor="text1"/>
          <w:sz w:val="24"/>
          <w:szCs w:val="24"/>
          <w:lang w:val="es-ES_tradnl"/>
        </w:rPr>
        <w:t>GIRARDOT – IBAGUÉ – CAJARAMARCA</w:t>
      </w: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9D1EA7" w:rsidRDefault="00815BCB" w:rsidP="00815BCB">
      <w:pPr>
        <w:widowControl w:val="0"/>
        <w:autoSpaceDE w:val="0"/>
        <w:autoSpaceDN w:val="0"/>
        <w:adjustRightInd w:val="0"/>
        <w:spacing w:after="0"/>
        <w:ind w:right="-518"/>
        <w:jc w:val="center"/>
        <w:rPr>
          <w:rFonts w:ascii="Calibri" w:hAnsi="Calibri"/>
          <w:b/>
          <w:color w:val="000000" w:themeColor="text1"/>
          <w:lang w:val="es-ES_tradnl"/>
        </w:rPr>
      </w:pPr>
    </w:p>
    <w:p w:rsidR="00815BCB" w:rsidRPr="009D1EA7" w:rsidRDefault="00815BCB" w:rsidP="00F33349">
      <w:pPr>
        <w:pStyle w:val="Prrafodelista"/>
        <w:widowControl w:val="0"/>
        <w:numPr>
          <w:ilvl w:val="0"/>
          <w:numId w:val="106"/>
        </w:numPr>
        <w:tabs>
          <w:tab w:val="left" w:pos="426"/>
        </w:tabs>
        <w:autoSpaceDE w:val="0"/>
        <w:autoSpaceDN w:val="0"/>
        <w:adjustRightInd w:val="0"/>
        <w:spacing w:after="0" w:line="259" w:lineRule="auto"/>
        <w:ind w:left="993" w:right="-518" w:hanging="426"/>
        <w:jc w:val="both"/>
        <w:rPr>
          <w:rFonts w:ascii="Calibri" w:hAnsi="Calibri"/>
          <w:b/>
          <w:color w:val="000000" w:themeColor="text1"/>
          <w:lang w:val="es-ES_tradnl"/>
        </w:rPr>
      </w:pPr>
      <w:r w:rsidRPr="009D1EA7">
        <w:rPr>
          <w:rFonts w:ascii="Calibri" w:hAnsi="Calibri"/>
          <w:color w:val="000000" w:themeColor="text1"/>
          <w:lang w:val="es-ES_tradnl"/>
        </w:rPr>
        <w:t>Revisión y aprobación de la póliza de Cumplimiento del Contrato de Concesión. Mediante memorando 2</w:t>
      </w:r>
      <w:r w:rsidRPr="009D1EA7">
        <w:rPr>
          <w:rFonts w:ascii="Calibri" w:hAnsi="Calibri" w:cs="Arial"/>
          <w:color w:val="000000" w:themeColor="text1"/>
          <w:shd w:val="clear" w:color="auto" w:fill="FFFFFF"/>
        </w:rPr>
        <w:t>015-704-003708-3 de</w:t>
      </w:r>
      <w:r w:rsidRPr="009D1EA7">
        <w:rPr>
          <w:rFonts w:ascii="Calibri" w:hAnsi="Calibri"/>
          <w:color w:val="000000" w:themeColor="text1"/>
          <w:lang w:val="es-ES_tradnl"/>
        </w:rPr>
        <w:t>l 5 de marzo de 2015.</w:t>
      </w:r>
    </w:p>
    <w:p w:rsidR="00815BCB" w:rsidRPr="009D1EA7" w:rsidRDefault="00815BCB" w:rsidP="00F33349">
      <w:pPr>
        <w:pStyle w:val="Prrafodelista"/>
        <w:widowControl w:val="0"/>
        <w:numPr>
          <w:ilvl w:val="0"/>
          <w:numId w:val="106"/>
        </w:numPr>
        <w:tabs>
          <w:tab w:val="left" w:pos="426"/>
        </w:tabs>
        <w:autoSpaceDE w:val="0"/>
        <w:autoSpaceDN w:val="0"/>
        <w:adjustRightInd w:val="0"/>
        <w:spacing w:after="0" w:line="259" w:lineRule="auto"/>
        <w:ind w:left="993" w:right="-518" w:hanging="426"/>
        <w:jc w:val="both"/>
        <w:rPr>
          <w:rFonts w:ascii="Calibri" w:hAnsi="Calibri"/>
          <w:b/>
          <w:color w:val="000000" w:themeColor="text1"/>
          <w:lang w:val="es-ES_tradnl"/>
        </w:rPr>
      </w:pPr>
      <w:r w:rsidRPr="009D1EA7">
        <w:rPr>
          <w:rFonts w:ascii="Calibri" w:hAnsi="Calibri"/>
          <w:color w:val="000000" w:themeColor="text1"/>
          <w:lang w:val="es-ES_tradnl"/>
        </w:rPr>
        <w:t xml:space="preserve">Revisión y aprobación de la póliza de Responsabilidad Civil Extracontractual del Contrato de Concesión. Mediante memorando </w:t>
      </w:r>
      <w:r w:rsidRPr="009D1EA7">
        <w:rPr>
          <w:rFonts w:ascii="Calibri" w:hAnsi="Calibri" w:cs="Arial"/>
          <w:color w:val="000000" w:themeColor="text1"/>
          <w:shd w:val="clear" w:color="auto" w:fill="FFFFFF"/>
        </w:rPr>
        <w:t xml:space="preserve">2015-704-002857-3 </w:t>
      </w:r>
      <w:r w:rsidRPr="009D1EA7">
        <w:rPr>
          <w:rFonts w:ascii="Calibri" w:hAnsi="Calibri"/>
          <w:color w:val="000000" w:themeColor="text1"/>
          <w:lang w:val="es-ES_tradnl"/>
        </w:rPr>
        <w:t>del 5 de marzo de 2015.</w:t>
      </w:r>
    </w:p>
    <w:p w:rsidR="00815BCB" w:rsidRPr="009D1EA7" w:rsidRDefault="00815BCB" w:rsidP="00F33349">
      <w:pPr>
        <w:pStyle w:val="Prrafodelista"/>
        <w:widowControl w:val="0"/>
        <w:numPr>
          <w:ilvl w:val="0"/>
          <w:numId w:val="106"/>
        </w:numPr>
        <w:tabs>
          <w:tab w:val="left" w:pos="426"/>
        </w:tabs>
        <w:autoSpaceDE w:val="0"/>
        <w:autoSpaceDN w:val="0"/>
        <w:adjustRightInd w:val="0"/>
        <w:spacing w:after="0" w:line="259" w:lineRule="auto"/>
        <w:ind w:left="993" w:right="-518" w:hanging="426"/>
        <w:jc w:val="both"/>
        <w:rPr>
          <w:rFonts w:ascii="Calibri" w:hAnsi="Calibri"/>
          <w:b/>
          <w:color w:val="000000" w:themeColor="text1"/>
          <w:lang w:val="es-ES_tradnl"/>
        </w:rPr>
      </w:pPr>
      <w:r w:rsidRPr="009D1EA7">
        <w:rPr>
          <w:rFonts w:ascii="Calibri" w:hAnsi="Calibri"/>
          <w:color w:val="000000" w:themeColor="text1"/>
          <w:lang w:val="es-ES_tradnl"/>
        </w:rPr>
        <w:t>Revisión y aprobación de la póliza de Cumplimiento del Contrato de Interventoría. Se gestiona el trámite mediante memorando No.</w:t>
      </w:r>
      <w:r w:rsidRPr="009D1EA7">
        <w:rPr>
          <w:rFonts w:ascii="Calibri" w:hAnsi="Calibri" w:cs="Arial"/>
          <w:color w:val="000000" w:themeColor="text1"/>
          <w:shd w:val="clear" w:color="auto" w:fill="FFFFFF"/>
        </w:rPr>
        <w:t xml:space="preserve">2015-704-003577-3 </w:t>
      </w:r>
      <w:r w:rsidRPr="009D1EA7">
        <w:rPr>
          <w:rFonts w:ascii="Calibri" w:eastAsia="Times New Roman" w:hAnsi="Calibri" w:cs="Arial"/>
          <w:color w:val="000000" w:themeColor="text1"/>
        </w:rPr>
        <w:t xml:space="preserve">del 17 de marzo </w:t>
      </w:r>
    </w:p>
    <w:p w:rsidR="00815BCB" w:rsidRPr="009D1EA7" w:rsidRDefault="00815BCB" w:rsidP="00F33349">
      <w:pPr>
        <w:pStyle w:val="Prrafodelista"/>
        <w:widowControl w:val="0"/>
        <w:numPr>
          <w:ilvl w:val="0"/>
          <w:numId w:val="106"/>
        </w:numPr>
        <w:tabs>
          <w:tab w:val="left" w:pos="426"/>
        </w:tabs>
        <w:autoSpaceDE w:val="0"/>
        <w:autoSpaceDN w:val="0"/>
        <w:adjustRightInd w:val="0"/>
        <w:spacing w:after="0" w:line="259" w:lineRule="auto"/>
        <w:ind w:left="993" w:right="-518" w:hanging="426"/>
        <w:jc w:val="both"/>
        <w:rPr>
          <w:rFonts w:ascii="Calibri" w:hAnsi="Calibri"/>
          <w:b/>
          <w:color w:val="000000" w:themeColor="text1"/>
          <w:lang w:val="es-ES_tradnl"/>
        </w:rPr>
      </w:pPr>
      <w:r w:rsidRPr="009D1EA7">
        <w:rPr>
          <w:rFonts w:ascii="Calibri" w:hAnsi="Calibri"/>
          <w:color w:val="000000" w:themeColor="text1"/>
          <w:lang w:val="es-ES_tradnl"/>
        </w:rPr>
        <w:t>Revisión y aprobación de la póliza de Responsabilidad Civil Extracontractual del Contrato de Interventoría. Se gestiona el trámite mediante memorando No.</w:t>
      </w:r>
      <w:r w:rsidRPr="009D1EA7">
        <w:rPr>
          <w:rFonts w:ascii="Calibri" w:hAnsi="Calibri" w:cs="Arial"/>
          <w:color w:val="000000" w:themeColor="text1"/>
          <w:shd w:val="clear" w:color="auto" w:fill="FFFFFF"/>
        </w:rPr>
        <w:t xml:space="preserve">2015-704-003578-3 </w:t>
      </w:r>
      <w:r w:rsidRPr="009D1EA7">
        <w:rPr>
          <w:rFonts w:ascii="Calibri" w:eastAsia="Times New Roman" w:hAnsi="Calibri" w:cs="Arial"/>
          <w:color w:val="000000" w:themeColor="text1"/>
        </w:rPr>
        <w:t>del 17 de marzo de 2015</w:t>
      </w:r>
      <w:r w:rsidRPr="009D1EA7">
        <w:rPr>
          <w:rFonts w:ascii="Calibri" w:hAnsi="Calibri"/>
          <w:color w:val="000000" w:themeColor="text1"/>
          <w:lang w:val="es-ES_tradnl"/>
        </w:rPr>
        <w:t>.</w:t>
      </w:r>
    </w:p>
    <w:p w:rsidR="00815BCB" w:rsidRPr="00C15AA8" w:rsidRDefault="00815BCB" w:rsidP="00815BCB">
      <w:pPr>
        <w:widowControl w:val="0"/>
        <w:autoSpaceDE w:val="0"/>
        <w:autoSpaceDN w:val="0"/>
        <w:adjustRightInd w:val="0"/>
        <w:spacing w:after="0"/>
        <w:ind w:right="-518"/>
        <w:jc w:val="center"/>
        <w:rPr>
          <w:rFonts w:ascii="Calibri" w:hAnsi="Calibri"/>
          <w:b/>
          <w:color w:val="000000" w:themeColor="text1"/>
          <w:sz w:val="36"/>
          <w:szCs w:val="36"/>
          <w:lang w:val="es-ES_tradnl"/>
        </w:rPr>
      </w:pPr>
    </w:p>
    <w:p w:rsidR="00815BCB" w:rsidRPr="004B66C3" w:rsidRDefault="00EC4067"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r>
        <w:rPr>
          <w:rFonts w:ascii="Calibri" w:hAnsi="Calibri"/>
          <w:b/>
          <w:color w:val="000000" w:themeColor="text1"/>
          <w:sz w:val="32"/>
          <w:szCs w:val="32"/>
          <w:lang w:val="es-ES_tradnl"/>
        </w:rPr>
        <w:tab/>
      </w:r>
      <w:r w:rsidR="00815BCB" w:rsidRPr="004B66C3">
        <w:rPr>
          <w:rFonts w:ascii="Calibri" w:hAnsi="Calibri"/>
          <w:b/>
          <w:color w:val="000000" w:themeColor="text1"/>
          <w:sz w:val="24"/>
          <w:szCs w:val="24"/>
          <w:lang w:val="es-ES_tradnl"/>
        </w:rPr>
        <w:t>IP MALLA VIAL DEL META</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16"/>
          <w:szCs w:val="16"/>
          <w:lang w:val="es-ES_tradnl"/>
        </w:rPr>
      </w:pP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lang w:val="es-ES_tradnl"/>
        </w:rPr>
      </w:pPr>
      <w:r w:rsidRPr="004B66C3">
        <w:rPr>
          <w:rFonts w:ascii="Calibri" w:hAnsi="Calibri"/>
          <w:b/>
          <w:color w:val="000000" w:themeColor="text1"/>
          <w:sz w:val="24"/>
          <w:szCs w:val="24"/>
          <w:lang w:val="es-ES_tradnl"/>
        </w:rPr>
        <w:t>Se em</w:t>
      </w:r>
      <w:r w:rsidRPr="004B66C3">
        <w:rPr>
          <w:rFonts w:ascii="Calibri" w:hAnsi="Calibri"/>
          <w:b/>
          <w:color w:val="000000" w:themeColor="text1"/>
          <w:lang w:val="es-ES_tradnl"/>
        </w:rPr>
        <w:t>itieron los siguientes conceptos y documentos contractuales</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hanging="425"/>
        <w:jc w:val="both"/>
        <w:rPr>
          <w:rFonts w:ascii="Calibri" w:hAnsi="Calibri"/>
          <w:color w:val="000000" w:themeColor="text1"/>
          <w:lang w:val="es-ES_tradnl"/>
        </w:rPr>
      </w:pPr>
      <w:r w:rsidRPr="009D1EA7">
        <w:rPr>
          <w:rFonts w:ascii="Calibri" w:hAnsi="Calibri"/>
          <w:color w:val="000000" w:themeColor="text1"/>
          <w:lang w:val="es-ES_tradnl"/>
        </w:rPr>
        <w:t>Revisión de la minuta del patrimonio autónomo. 27 de mayo mediante correo electrónico.</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hanging="425"/>
        <w:jc w:val="both"/>
        <w:rPr>
          <w:rFonts w:ascii="Calibri" w:hAnsi="Calibri"/>
          <w:color w:val="000000" w:themeColor="text1"/>
          <w:lang w:val="es-ES_tradnl"/>
        </w:rPr>
      </w:pPr>
      <w:r w:rsidRPr="009D1EA7">
        <w:rPr>
          <w:rFonts w:ascii="Calibri" w:hAnsi="Calibri"/>
          <w:color w:val="000000" w:themeColor="text1"/>
          <w:lang w:val="es-ES_tradnl"/>
        </w:rPr>
        <w:t>Elaboración de respuesta contenido jurídico para enviar al concesionario sobre observaciones sobre el Patrimonio Autónomo. Correo electrónico del 2 de junio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hanging="425"/>
        <w:jc w:val="both"/>
        <w:rPr>
          <w:rFonts w:ascii="Calibri" w:hAnsi="Calibri"/>
          <w:color w:val="000000" w:themeColor="text1"/>
          <w:lang w:val="es-ES_tradnl"/>
        </w:rPr>
      </w:pPr>
      <w:r w:rsidRPr="009D1EA7">
        <w:rPr>
          <w:rFonts w:ascii="Calibri" w:hAnsi="Calibri"/>
          <w:color w:val="000000" w:themeColor="text1"/>
          <w:lang w:val="es-ES_tradnl"/>
        </w:rPr>
        <w:t xml:space="preserve">Solicitud de información para soportar documento modificatorio al contrato de concesión. </w:t>
      </w:r>
      <w:r w:rsidRPr="009D1EA7">
        <w:rPr>
          <w:rFonts w:ascii="Calibri" w:hAnsi="Calibri"/>
          <w:color w:val="000000" w:themeColor="text1"/>
          <w:lang w:val="es-ES_tradnl"/>
        </w:rPr>
        <w:lastRenderedPageBreak/>
        <w:t>Enviado por correo electrónico el 2 de junio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hanging="425"/>
        <w:jc w:val="both"/>
        <w:rPr>
          <w:rFonts w:ascii="Calibri" w:hAnsi="Calibri"/>
          <w:color w:val="000000" w:themeColor="text1"/>
          <w:lang w:val="es-ES_tradnl"/>
        </w:rPr>
      </w:pPr>
      <w:r w:rsidRPr="009D1EA7">
        <w:rPr>
          <w:rFonts w:ascii="Calibri" w:hAnsi="Calibri"/>
          <w:color w:val="000000" w:themeColor="text1"/>
          <w:lang w:val="es-ES_tradnl"/>
        </w:rPr>
        <w:t>Revisión y ajustes al Otrosí No1. 2 de junio 2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851" w:right="-518" w:hanging="425"/>
        <w:jc w:val="both"/>
        <w:rPr>
          <w:rFonts w:ascii="Calibri" w:hAnsi="Calibri"/>
          <w:color w:val="000000" w:themeColor="text1"/>
          <w:lang w:val="es-ES_tradnl"/>
        </w:rPr>
      </w:pPr>
      <w:r w:rsidRPr="009D1EA7">
        <w:rPr>
          <w:rFonts w:ascii="Calibri" w:hAnsi="Calibri"/>
          <w:color w:val="000000" w:themeColor="text1"/>
          <w:lang w:val="es-ES_tradnl"/>
        </w:rPr>
        <w:t>Elaboración del Otrosí No.1 al contrato 004 del 4 de junio 2015.</w:t>
      </w:r>
    </w:p>
    <w:p w:rsidR="00815BCB" w:rsidRPr="004B66C3" w:rsidRDefault="00815BCB" w:rsidP="00815BCB">
      <w:pPr>
        <w:pStyle w:val="Prrafodelista"/>
        <w:widowControl w:val="0"/>
        <w:autoSpaceDE w:val="0"/>
        <w:autoSpaceDN w:val="0"/>
        <w:adjustRightInd w:val="0"/>
        <w:spacing w:after="0"/>
        <w:ind w:left="-207" w:right="-518"/>
        <w:jc w:val="both"/>
        <w:rPr>
          <w:rFonts w:ascii="Calibri" w:hAnsi="Calibri"/>
          <w:color w:val="000000" w:themeColor="text1"/>
          <w:sz w:val="24"/>
          <w:szCs w:val="24"/>
          <w:lang w:val="es-ES_tradnl"/>
        </w:rPr>
      </w:pPr>
    </w:p>
    <w:p w:rsidR="00815BCB" w:rsidRPr="004B66C3"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r w:rsidRPr="004B66C3">
        <w:rPr>
          <w:b/>
          <w:color w:val="000000" w:themeColor="text1"/>
          <w:sz w:val="24"/>
          <w:szCs w:val="24"/>
          <w:lang w:val="es-ES_tradnl"/>
        </w:rPr>
        <w:t>Se emitieron los siguientes conceptos frente al aseguramiento</w:t>
      </w:r>
    </w:p>
    <w:p w:rsidR="00815BCB" w:rsidRPr="004B66C3" w:rsidRDefault="00815BCB" w:rsidP="00815BCB">
      <w:pPr>
        <w:widowControl w:val="0"/>
        <w:autoSpaceDE w:val="0"/>
        <w:autoSpaceDN w:val="0"/>
        <w:adjustRightInd w:val="0"/>
        <w:spacing w:after="0"/>
        <w:ind w:right="-518"/>
        <w:jc w:val="center"/>
        <w:rPr>
          <w:rFonts w:ascii="Calibri" w:hAnsi="Calibri"/>
          <w:b/>
          <w:color w:val="000000" w:themeColor="text1"/>
          <w:sz w:val="24"/>
          <w:szCs w:val="24"/>
          <w:lang w:val="es-ES_tradnl"/>
        </w:rPr>
      </w:pPr>
    </w:p>
    <w:p w:rsidR="00815BCB" w:rsidRPr="009D1EA7" w:rsidRDefault="00815BCB" w:rsidP="00F33349">
      <w:pPr>
        <w:pStyle w:val="Prrafodelista"/>
        <w:widowControl w:val="0"/>
        <w:numPr>
          <w:ilvl w:val="0"/>
          <w:numId w:val="106"/>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rFonts w:ascii="Calibri" w:hAnsi="Calibri"/>
          <w:color w:val="000000" w:themeColor="text1"/>
          <w:lang w:val="es-ES_tradnl"/>
        </w:rPr>
        <w:t>Emisión concepto sobre las Pólizas del contrato 004 de 2015. Mediante Radicado No. 20157040066293 del 9 de junio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709" w:right="-518" w:hanging="283"/>
        <w:jc w:val="both"/>
        <w:rPr>
          <w:rFonts w:ascii="Calibri" w:hAnsi="Calibri"/>
          <w:color w:val="000000" w:themeColor="text1"/>
          <w:lang w:val="es-ES_tradnl"/>
        </w:rPr>
      </w:pPr>
      <w:r w:rsidRPr="009D1EA7">
        <w:rPr>
          <w:rFonts w:ascii="Calibri" w:hAnsi="Calibri"/>
          <w:color w:val="000000" w:themeColor="text1"/>
          <w:lang w:val="es-ES_tradnl"/>
        </w:rPr>
        <w:t xml:space="preserve">Actas de inicio </w:t>
      </w:r>
      <w:r w:rsidR="00EC4067" w:rsidRPr="009D1EA7">
        <w:rPr>
          <w:rFonts w:ascii="Calibri" w:hAnsi="Calibri"/>
          <w:color w:val="000000" w:themeColor="text1"/>
          <w:lang w:val="es-ES_tradnl"/>
        </w:rPr>
        <w:t>interventoría</w:t>
      </w:r>
      <w:r w:rsidRPr="009D1EA7">
        <w:rPr>
          <w:rFonts w:ascii="Calibri" w:hAnsi="Calibri"/>
          <w:color w:val="000000" w:themeColor="text1"/>
          <w:lang w:val="es-ES_tradnl"/>
        </w:rPr>
        <w:t xml:space="preserve"> para Contratos No. 004 y 251. Correo electrónico 8 de junio de 2015 .</w:t>
      </w:r>
    </w:p>
    <w:p w:rsidR="00815BCB" w:rsidRPr="004B66C3" w:rsidRDefault="00815BCB" w:rsidP="00815BCB">
      <w:pPr>
        <w:pStyle w:val="Prrafodelista"/>
        <w:widowControl w:val="0"/>
        <w:autoSpaceDE w:val="0"/>
        <w:autoSpaceDN w:val="0"/>
        <w:adjustRightInd w:val="0"/>
        <w:spacing w:after="0"/>
        <w:ind w:left="-207" w:right="-518"/>
        <w:jc w:val="both"/>
        <w:rPr>
          <w:rFonts w:ascii="Calibri" w:hAnsi="Calibri"/>
          <w:b/>
          <w:color w:val="000000" w:themeColor="text1"/>
          <w:sz w:val="32"/>
          <w:szCs w:val="32"/>
          <w:lang w:val="es-ES_tradnl"/>
        </w:rPr>
      </w:pPr>
    </w:p>
    <w:p w:rsidR="00815BCB" w:rsidRPr="004B66C3" w:rsidRDefault="00815BCB" w:rsidP="00815BCB">
      <w:pPr>
        <w:pStyle w:val="Prrafodelista"/>
        <w:widowControl w:val="0"/>
        <w:autoSpaceDE w:val="0"/>
        <w:autoSpaceDN w:val="0"/>
        <w:adjustRightInd w:val="0"/>
        <w:spacing w:after="0"/>
        <w:ind w:left="-207" w:right="-518"/>
        <w:jc w:val="both"/>
        <w:rPr>
          <w:rFonts w:ascii="Calibri" w:hAnsi="Calibri"/>
          <w:b/>
          <w:color w:val="000000" w:themeColor="text1"/>
          <w:sz w:val="32"/>
          <w:szCs w:val="32"/>
          <w:lang w:val="es-ES_tradnl"/>
        </w:rPr>
      </w:pPr>
    </w:p>
    <w:tbl>
      <w:tblPr>
        <w:tblStyle w:val="Tablaconcuadrcula"/>
        <w:tblW w:w="9311" w:type="dxa"/>
        <w:tblInd w:w="153" w:type="dxa"/>
        <w:tblLook w:val="04A0" w:firstRow="1" w:lastRow="0" w:firstColumn="1" w:lastColumn="0" w:noHBand="0" w:noVBand="1"/>
      </w:tblPr>
      <w:tblGrid>
        <w:gridCol w:w="9311"/>
      </w:tblGrid>
      <w:tr w:rsidR="00815BCB" w:rsidRPr="009854C7" w:rsidTr="00EC4067">
        <w:tc>
          <w:tcPr>
            <w:tcW w:w="9311" w:type="dxa"/>
            <w:shd w:val="clear" w:color="auto" w:fill="BFBFBF" w:themeFill="background1" w:themeFillShade="BF"/>
          </w:tcPr>
          <w:p w:rsidR="00815BCB" w:rsidRPr="00EC4067" w:rsidRDefault="00815BCB" w:rsidP="00EC4067">
            <w:pPr>
              <w:jc w:val="center"/>
              <w:rPr>
                <w:rFonts w:ascii="Calibri" w:hAnsi="Calibri"/>
                <w:b/>
                <w:i/>
                <w:sz w:val="36"/>
                <w:szCs w:val="36"/>
              </w:rPr>
            </w:pPr>
            <w:r w:rsidRPr="00EC4067">
              <w:rPr>
                <w:rFonts w:ascii="Calibri" w:hAnsi="Calibri"/>
                <w:b/>
                <w:i/>
                <w:sz w:val="36"/>
                <w:szCs w:val="36"/>
              </w:rPr>
              <w:t>PROYECTOS AEROPORTUARIOS</w:t>
            </w:r>
          </w:p>
        </w:tc>
      </w:tr>
    </w:tbl>
    <w:p w:rsidR="00815BCB" w:rsidRDefault="00815BCB" w:rsidP="00815BCB">
      <w:pPr>
        <w:widowControl w:val="0"/>
        <w:autoSpaceDE w:val="0"/>
        <w:autoSpaceDN w:val="0"/>
        <w:adjustRightInd w:val="0"/>
        <w:spacing w:after="0"/>
        <w:ind w:right="-518"/>
        <w:jc w:val="center"/>
        <w:rPr>
          <w:rFonts w:ascii="Calibri" w:hAnsi="Calibri"/>
          <w:b/>
          <w:i/>
          <w:sz w:val="32"/>
          <w:szCs w:val="32"/>
        </w:rPr>
      </w:pPr>
    </w:p>
    <w:p w:rsidR="00815BCB" w:rsidRDefault="00815BCB" w:rsidP="00815BCB">
      <w:pPr>
        <w:widowControl w:val="0"/>
        <w:autoSpaceDE w:val="0"/>
        <w:autoSpaceDN w:val="0"/>
        <w:adjustRightInd w:val="0"/>
        <w:spacing w:after="0"/>
        <w:ind w:right="-518"/>
        <w:jc w:val="center"/>
        <w:rPr>
          <w:rFonts w:ascii="Calibri" w:hAnsi="Calibri"/>
          <w:b/>
          <w:i/>
          <w:sz w:val="24"/>
          <w:szCs w:val="24"/>
        </w:rPr>
      </w:pPr>
      <w:r w:rsidRPr="00C15AA8">
        <w:rPr>
          <w:rFonts w:ascii="Calibri" w:hAnsi="Calibri"/>
          <w:b/>
          <w:i/>
          <w:sz w:val="24"/>
          <w:szCs w:val="24"/>
        </w:rPr>
        <w:t>CALI</w:t>
      </w:r>
    </w:p>
    <w:p w:rsidR="00815BCB" w:rsidRPr="00C15AA8" w:rsidRDefault="00815BCB" w:rsidP="00815BCB">
      <w:pPr>
        <w:widowControl w:val="0"/>
        <w:autoSpaceDE w:val="0"/>
        <w:autoSpaceDN w:val="0"/>
        <w:adjustRightInd w:val="0"/>
        <w:spacing w:after="0"/>
        <w:ind w:right="-518"/>
        <w:jc w:val="center"/>
        <w:rPr>
          <w:rFonts w:ascii="Calibri" w:hAnsi="Calibri"/>
          <w:b/>
          <w:color w:val="000000"/>
          <w:sz w:val="24"/>
          <w:szCs w:val="24"/>
          <w:lang w:val="es-ES_tradnl"/>
        </w:rPr>
      </w:pPr>
    </w:p>
    <w:p w:rsidR="00815BCB" w:rsidRDefault="00815BCB" w:rsidP="00815BCB">
      <w:pPr>
        <w:widowControl w:val="0"/>
        <w:autoSpaceDE w:val="0"/>
        <w:autoSpaceDN w:val="0"/>
        <w:adjustRightInd w:val="0"/>
        <w:spacing w:after="0"/>
        <w:ind w:right="-518"/>
        <w:jc w:val="center"/>
        <w:rPr>
          <w:rFonts w:ascii="Calibri" w:hAnsi="Calibri"/>
          <w:b/>
          <w:color w:val="000000"/>
          <w:lang w:val="es-ES_tradnl"/>
        </w:rPr>
      </w:pPr>
      <w:r w:rsidRPr="00D931D0">
        <w:rPr>
          <w:rFonts w:ascii="Calibri" w:hAnsi="Calibri"/>
          <w:b/>
          <w:color w:val="000000"/>
          <w:lang w:val="es-ES_tradnl"/>
        </w:rPr>
        <w:t>Se emitieron los siguientes conceptos y documentos contractuales</w:t>
      </w:r>
    </w:p>
    <w:p w:rsidR="00815BCB" w:rsidRDefault="00815BCB" w:rsidP="00815BCB">
      <w:pPr>
        <w:widowControl w:val="0"/>
        <w:autoSpaceDE w:val="0"/>
        <w:autoSpaceDN w:val="0"/>
        <w:adjustRightInd w:val="0"/>
        <w:spacing w:after="0"/>
        <w:ind w:right="-518"/>
        <w:jc w:val="center"/>
        <w:rPr>
          <w:rFonts w:ascii="Calibri" w:hAnsi="Calibri"/>
          <w:b/>
          <w:color w:val="000000"/>
          <w:lang w:val="es-ES_tradnl"/>
        </w:rPr>
      </w:pP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Solicitud de un informe con los soportes de la prestación del servicio de operación de filtros de seguridad. Gestionado mediante radicado No. 2015-309-000311-1 del 8 de enero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Se informa al concesionario el alcance de la interventoría para ejercer sus actividades en relación con la demolición y reubicación del cuartel de bomberos del aeropuerto.Gestionado mediante radicado No.2015-309-001302-1 del 22 de enero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Se solicita a la gerencia de defensa judicial la apertura e impulso de un trámite sancionatorio en contra de AEROCALI S.A., por la presunta obtención de un puntaje inferior al mínimo establecido para el informe de mercadeo correspondiente al año 2013.Gestionado mediante radicado No. 2015-704-001836-3 del 9 de febrero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Se solicita a AEROCALI S.A., un que en un plazo de 48 horas se pronuncie en relación con el otrosí 3 al contrato de concesión no.058-con-2000. Gestionado mediante radicado No.2015-704-003004-1 del 16 de febrero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Se informa a AEROCALI S.A., los argumentos por los cuales el pago de la operación de los filtros de seguridad no genera intereses. Gestionado mediante radicado No. 2015-309-002356-1 del 5 de febrero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Se emite un concepto jurídico sobre la adición al contrato de concesión No.058-CON-2000, para efectos de poner en marcha la zona única de inspección del aeropuerto. Gestionado mediante radicado No.2015-704-003420-3 del 13 de marzo de 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rPr>
        <w:t>Se informa a la cámara colombiana de infraestructura los requisitos para la modificación de un contrato de concesión y se delegan unos funcionarios para la participación en la mesa de trabajo sobre la aplicación del decreto 2155 de 2014.elaborado y remitido No.2015-704-008624-1</w:t>
      </w:r>
      <w:r w:rsidRPr="009D1EA7">
        <w:rPr>
          <w:rFonts w:ascii="Calibri" w:hAnsi="Calibri"/>
        </w:rPr>
        <w:tab/>
        <w:t>27-04-2015.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rPr>
        <w:t xml:space="preserve">Se indica al concesionario el alcance de la supervisión e interventoría ambiental y social de las </w:t>
      </w:r>
      <w:r w:rsidRPr="009D1EA7">
        <w:rPr>
          <w:rFonts w:ascii="Calibri" w:hAnsi="Calibri"/>
        </w:rPr>
        <w:lastRenderedPageBreak/>
        <w:t>obras del otrosí no.1 al contrato de concesión no.058-con-2000</w:t>
      </w:r>
      <w:r w:rsidRPr="009D1EA7">
        <w:rPr>
          <w:rFonts w:ascii="Calibri" w:hAnsi="Calibri"/>
        </w:rPr>
        <w:tab/>
        <w:t>elaborado y remitido No.</w:t>
      </w:r>
      <w:r w:rsidRPr="009D1EA7">
        <w:rPr>
          <w:rFonts w:ascii="Calibri" w:hAnsi="Calibri"/>
        </w:rPr>
        <w:tab/>
        <w:t>2015-309-009406-1</w:t>
      </w:r>
      <w:r w:rsidRPr="009D1EA7">
        <w:rPr>
          <w:rFonts w:ascii="Calibri" w:hAnsi="Calibri"/>
        </w:rPr>
        <w:tab/>
        <w:t>7/5/2015.</w:t>
      </w:r>
    </w:p>
    <w:p w:rsidR="00815BCB" w:rsidRPr="009D1EA7" w:rsidRDefault="00815BCB" w:rsidP="00F33349">
      <w:pPr>
        <w:pStyle w:val="Prrafodelista"/>
        <w:widowControl w:val="0"/>
        <w:numPr>
          <w:ilvl w:val="0"/>
          <w:numId w:val="106"/>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rPr>
        <w:t xml:space="preserve">Otrosí no.3 al contrato de concesión No.058-con-2000 por medio del cual se modifica el proceso de selección de las firmas asesora, auditora y de mercadeo </w:t>
      </w:r>
      <w:r w:rsidRPr="009D1EA7">
        <w:rPr>
          <w:rFonts w:ascii="Calibri" w:hAnsi="Calibri"/>
        </w:rPr>
        <w:tab/>
        <w:t>cesar Carvajal. Del 5 de junio de 2015.</w:t>
      </w:r>
    </w:p>
    <w:p w:rsidR="00815BCB" w:rsidRDefault="00815BCB" w:rsidP="00815BCB">
      <w:pPr>
        <w:spacing w:after="0"/>
        <w:ind w:right="-518"/>
        <w:jc w:val="center"/>
        <w:rPr>
          <w:rFonts w:ascii="Calibri" w:hAnsi="Calibri"/>
          <w:b/>
          <w:i/>
          <w:sz w:val="24"/>
          <w:szCs w:val="24"/>
        </w:rPr>
      </w:pPr>
    </w:p>
    <w:p w:rsidR="00815BCB" w:rsidRPr="000A5673" w:rsidRDefault="00815BCB" w:rsidP="00815BCB">
      <w:pPr>
        <w:spacing w:after="0"/>
        <w:ind w:right="-518"/>
        <w:jc w:val="center"/>
        <w:rPr>
          <w:rFonts w:ascii="Calibri" w:hAnsi="Calibri"/>
          <w:b/>
          <w:i/>
          <w:sz w:val="24"/>
          <w:szCs w:val="24"/>
        </w:rPr>
      </w:pPr>
      <w:r w:rsidRPr="000A5673">
        <w:rPr>
          <w:rFonts w:ascii="Calibri" w:hAnsi="Calibri"/>
          <w:b/>
          <w:i/>
          <w:sz w:val="24"/>
          <w:szCs w:val="24"/>
        </w:rPr>
        <w:t xml:space="preserve"> AEROPUERTOS NORORIENTE</w:t>
      </w:r>
    </w:p>
    <w:p w:rsidR="00815BCB" w:rsidRPr="0005493D" w:rsidRDefault="00815BCB" w:rsidP="00815BCB">
      <w:pPr>
        <w:widowControl w:val="0"/>
        <w:autoSpaceDE w:val="0"/>
        <w:autoSpaceDN w:val="0"/>
        <w:adjustRightInd w:val="0"/>
        <w:spacing w:after="0"/>
        <w:ind w:right="-518"/>
        <w:jc w:val="center"/>
        <w:rPr>
          <w:rFonts w:ascii="Calibri" w:hAnsi="Calibri"/>
          <w:b/>
          <w:color w:val="000000"/>
          <w:sz w:val="24"/>
          <w:szCs w:val="24"/>
          <w:lang w:val="es-ES_tradnl"/>
        </w:rPr>
      </w:pPr>
      <w:r w:rsidRPr="0005493D">
        <w:rPr>
          <w:rFonts w:ascii="Calibri" w:hAnsi="Calibri"/>
          <w:b/>
          <w:color w:val="000000"/>
          <w:sz w:val="24"/>
          <w:szCs w:val="24"/>
          <w:lang w:val="es-ES_tradnl"/>
        </w:rPr>
        <w:t>Se emitieron los siguientes conceptos y documentos contractuales</w:t>
      </w:r>
    </w:p>
    <w:p w:rsidR="00815BCB" w:rsidRPr="00CA5E77" w:rsidRDefault="00815BCB" w:rsidP="00815BCB">
      <w:pPr>
        <w:widowControl w:val="0"/>
        <w:autoSpaceDE w:val="0"/>
        <w:autoSpaceDN w:val="0"/>
        <w:adjustRightInd w:val="0"/>
        <w:spacing w:after="0"/>
        <w:ind w:right="-518"/>
        <w:jc w:val="both"/>
        <w:rPr>
          <w:rFonts w:ascii="Calibri" w:hAnsi="Calibri"/>
          <w:b/>
          <w:color w:val="000000"/>
          <w:sz w:val="24"/>
          <w:szCs w:val="24"/>
          <w:lang w:val="es-ES_tradnl"/>
        </w:rPr>
      </w:pPr>
      <w:r w:rsidRPr="00CA5E77">
        <w:rPr>
          <w:rFonts w:ascii="Calibri" w:hAnsi="Calibri"/>
          <w:b/>
          <w:color w:val="000000"/>
          <w:sz w:val="24"/>
          <w:szCs w:val="24"/>
          <w:lang w:val="es-ES_tradnl"/>
        </w:rPr>
        <w:tab/>
      </w:r>
      <w:r w:rsidRPr="00CA5E77">
        <w:rPr>
          <w:rFonts w:ascii="Calibri" w:hAnsi="Calibri"/>
          <w:b/>
          <w:color w:val="000000"/>
          <w:sz w:val="24"/>
          <w:szCs w:val="24"/>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Elaboración del OTROSÍ No.4 DESAFECTACIÓN DE AREAS - OBRAS DE BUCARAMANGA</w:t>
      </w:r>
      <w:r w:rsidRPr="009D1EA7">
        <w:rPr>
          <w:rFonts w:ascii="Calibri" w:hAnsi="Calibri"/>
          <w:color w:val="000000"/>
          <w:lang w:val="es-ES_tradnl"/>
        </w:rPr>
        <w:tab/>
        <w:t>JAIME MENDOZA, suscrito el 26 de febrero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Elaboración del OTROSÍ No.5 ELABORACIÓN Y ENTREGA DE ESTUDIOS Y DISEÑOS FASE III RELACIONADOS CON LA CLIMATIZACIÓN DE RIOHACHA Y BARRANCABERMEJA, suscrito el 27 de febrero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OTROSÍ No.2 AL CONTRATO DE INTERVENTORIA RELACIONADO CON LA APROBACIÓN DE LOS ESTUDIOS Y DISEÑOS FASE III RELACIONADOS CON LA CLIMATIZACIÓN DE RIOHACHA Y BARRANCABERMEJA, suscrito el 27 de febrero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RESPUESTA CONTRALORIA HALLAZGO 16. Mediante radicado No.2015-704-003940-3 del 20-03-2015.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RESPUESTA FINAL DENUNCIA COBRO DE BUSES POR PARTE DEL CONCESIÓN.Oficio con radicado No. 20157040062621 del 24 del marzo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RESPUESTA A SU OFICIO 2015-409-012755-2 - INCREMENTO TARIFAS 2015 CONTRATO DE CONCESIÓN 10000078 – OK – 2010 Mediante radicado No.</w:t>
      </w:r>
      <w:r w:rsidRPr="009D1EA7">
        <w:rPr>
          <w:rFonts w:ascii="Calibri" w:hAnsi="Calibri"/>
          <w:color w:val="000000"/>
          <w:lang w:val="es-ES_tradnl"/>
        </w:rPr>
        <w:tab/>
        <w:t>2015-308-006336-1 del 25 de marzo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RESPUESTA CAMARA DE COMERCIO  DE CUCUTA. Radicado No.2015-309-007222-1 del 8 de abril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Elaboración del OTROSÍ No.6 al CONTRATO DE CONCESION. </w:t>
      </w:r>
      <w:r w:rsidRPr="009D1EA7">
        <w:rPr>
          <w:rFonts w:ascii="Calibri" w:hAnsi="Calibri"/>
          <w:color w:val="000000"/>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Elaboración del OTROSÍ No 3 al Contrato de  INTERVENTORIA. Suscrito el 27 de marzo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Elaboración del OTROSÍ No.4 al Contrato de  INTERVENTORIA, suscrito el 29 de marzo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ACTUALIZACIÓN DE PLANES MAESTROS – AEROPUERTOS QUE CONFORMAN LA CONCESIÓN DE NORORIENTE. </w:t>
      </w:r>
      <w:r w:rsidRPr="009D1EA7">
        <w:rPr>
          <w:rFonts w:ascii="Calibri" w:hAnsi="Calibri"/>
          <w:color w:val="000000"/>
          <w:lang w:val="es-ES_tradnl"/>
        </w:rPr>
        <w:tab/>
        <w:t>Se remitió oficio a la Aerocivil informando la disposición de tramitar el fondeo a la cuenta de planes maestros de la fiducia y trasladar esos recursos a la Aerocivil.</w:t>
      </w:r>
      <w:r w:rsidRPr="009D1EA7">
        <w:rPr>
          <w:rFonts w:ascii="Calibri" w:hAnsi="Calibri"/>
          <w:color w:val="000000"/>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CONCEPTO PRORROGA</w:t>
      </w:r>
      <w:r w:rsidRPr="009D1EA7">
        <w:rPr>
          <w:rFonts w:ascii="Calibri" w:hAnsi="Calibri"/>
          <w:color w:val="000000"/>
          <w:lang w:val="es-ES_tradnl"/>
        </w:rPr>
        <w:tab/>
        <w:t>Concepto relacionado con la Prórroga del Contrato de Concesión.</w:t>
      </w:r>
      <w:r w:rsidRPr="009D1EA7">
        <w:rPr>
          <w:rFonts w:ascii="Calibri" w:hAnsi="Calibri"/>
          <w:color w:val="000000"/>
          <w:lang w:val="es-ES_tradnl"/>
        </w:rPr>
        <w:tab/>
        <w:t xml:space="preserve">Memorando 20157040061643 </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Acta de Suspensión de la Interventoría suscrita entre las partes el 5 de junio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Acta de Suspensión de obras de climatización suscrita entre las partes el 5 de junio de 2015.Acta del 5 de junio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Elaboración del proyecto de OTROSÍ DE ESTUDIOS Y DISEÑOS CLIMATIZACIÓN DE CUCUTA NUEVAS OBRAS</w:t>
      </w:r>
      <w:r w:rsidRPr="009D1EA7">
        <w:rPr>
          <w:rFonts w:ascii="Calibri" w:hAnsi="Calibri"/>
          <w:color w:val="000000"/>
          <w:lang w:val="es-ES_tradnl"/>
        </w:rPr>
        <w:tab/>
        <w:t>JAIME MENDOZA. Correo electrónico.</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CONCEPTO APLICACIÓN DEL ARTICULO 85 DE LA LEY 1474 DE 2011</w:t>
      </w:r>
      <w:r w:rsidRPr="009D1EA7">
        <w:rPr>
          <w:rFonts w:ascii="Calibri" w:hAnsi="Calibri"/>
          <w:color w:val="000000"/>
          <w:lang w:val="es-ES_tradnl"/>
        </w:rPr>
        <w:tab/>
        <w:t>JAIME MENDOZA</w:t>
      </w:r>
      <w:r w:rsidRPr="009D1EA7">
        <w:rPr>
          <w:rFonts w:ascii="Calibri" w:hAnsi="Calibri"/>
          <w:color w:val="000000"/>
          <w:lang w:val="es-ES_tradnl"/>
        </w:rPr>
        <w:tab/>
        <w:t>El 3 de junio de 2015 se remitió al Comité jurídico el concepto relacionado con la aplicación del artículo 85 de la ley 1474 de 2011, para su análisis</w:t>
      </w:r>
      <w:r w:rsidRPr="009D1EA7">
        <w:rPr>
          <w:rFonts w:ascii="Calibri" w:hAnsi="Calibri"/>
          <w:color w:val="000000"/>
          <w:lang w:val="es-ES_tradnl"/>
        </w:rPr>
        <w:tab/>
        <w:t>.</w:t>
      </w:r>
    </w:p>
    <w:p w:rsidR="00815BCB" w:rsidRPr="00E760FA"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sz w:val="24"/>
          <w:szCs w:val="24"/>
          <w:lang w:val="es-ES_tradnl"/>
        </w:rPr>
      </w:pPr>
      <w:r w:rsidRPr="009D1EA7">
        <w:rPr>
          <w:rFonts w:ascii="Calibri" w:hAnsi="Calibri"/>
          <w:color w:val="000000"/>
          <w:lang w:val="es-ES_tradnl"/>
        </w:rPr>
        <w:t>Mediante memorando con radicado No. 20157040061643, se reiteró concepto jurídico relacionado con la prórroga del Contrato de Concesión.</w:t>
      </w:r>
      <w:r w:rsidRPr="00E760FA">
        <w:rPr>
          <w:rFonts w:ascii="Calibri" w:hAnsi="Calibri"/>
          <w:color w:val="000000"/>
          <w:sz w:val="24"/>
          <w:szCs w:val="24"/>
          <w:lang w:val="es-ES_tradnl"/>
        </w:rPr>
        <w:tab/>
      </w:r>
    </w:p>
    <w:p w:rsidR="00815BCB" w:rsidRPr="00E760FA" w:rsidRDefault="00815BCB" w:rsidP="00815BCB">
      <w:pPr>
        <w:widowControl w:val="0"/>
        <w:autoSpaceDE w:val="0"/>
        <w:autoSpaceDN w:val="0"/>
        <w:adjustRightInd w:val="0"/>
        <w:spacing w:after="0"/>
        <w:ind w:right="-518"/>
        <w:jc w:val="both"/>
        <w:rPr>
          <w:rFonts w:ascii="Calibri" w:hAnsi="Calibri"/>
          <w:color w:val="000000"/>
          <w:sz w:val="24"/>
          <w:szCs w:val="24"/>
          <w:lang w:val="es-ES_tradnl"/>
        </w:rPr>
      </w:pPr>
    </w:p>
    <w:p w:rsidR="00815BCB" w:rsidRPr="0005493D" w:rsidRDefault="00815BCB" w:rsidP="00815BCB">
      <w:pPr>
        <w:pStyle w:val="Prrafodelista"/>
        <w:widowControl w:val="0"/>
        <w:autoSpaceDE w:val="0"/>
        <w:autoSpaceDN w:val="0"/>
        <w:adjustRightInd w:val="0"/>
        <w:spacing w:after="0"/>
        <w:ind w:right="-518"/>
        <w:jc w:val="center"/>
        <w:rPr>
          <w:rFonts w:ascii="Calibri" w:hAnsi="Calibri"/>
          <w:b/>
          <w:color w:val="000000"/>
          <w:sz w:val="24"/>
          <w:szCs w:val="24"/>
          <w:lang w:val="es-ES_tradnl"/>
        </w:rPr>
      </w:pPr>
      <w:r w:rsidRPr="0005493D">
        <w:rPr>
          <w:rFonts w:ascii="Calibri" w:hAnsi="Calibri"/>
          <w:b/>
          <w:color w:val="000000"/>
          <w:sz w:val="24"/>
          <w:szCs w:val="24"/>
          <w:lang w:val="es-ES_tradnl"/>
        </w:rPr>
        <w:t>Se emitieron los siguientes conceptos frente al aseguramiento</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1134" w:right="-518" w:hanging="567"/>
        <w:jc w:val="both"/>
        <w:rPr>
          <w:rFonts w:ascii="Calibri" w:eastAsia="Times New Roman" w:hAnsi="Calibri" w:cs="Arial"/>
          <w:color w:val="000000" w:themeColor="text1"/>
        </w:rPr>
      </w:pPr>
      <w:r w:rsidRPr="009D1EA7">
        <w:rPr>
          <w:rFonts w:ascii="Calibri" w:eastAsia="Times New Roman" w:hAnsi="Calibri" w:cs="Arial"/>
          <w:color w:val="000000" w:themeColor="text1"/>
        </w:rPr>
        <w:t>Mediante memorando No. 20157040004183 elaboración de la aprobación las pólizas de cumplimiento presentadas por el Concesionario relacionadas con el Otrosí No 3, radicadas por el Concesionario mediante oficio No. 2014-409-0644232-2.</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APROBACIÓN DE POLIZAS CONCESIONARIO. Memorando No. 20157040055243 </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APROBACIÓN DE POLIZAS INTERVENTORIA. Memorando No. 20157040061643</w:t>
      </w:r>
    </w:p>
    <w:p w:rsidR="00815BCB" w:rsidRDefault="00815BCB" w:rsidP="00815BCB">
      <w:pPr>
        <w:widowControl w:val="0"/>
        <w:autoSpaceDE w:val="0"/>
        <w:autoSpaceDN w:val="0"/>
        <w:adjustRightInd w:val="0"/>
        <w:spacing w:after="0"/>
        <w:ind w:right="-518"/>
        <w:jc w:val="center"/>
        <w:rPr>
          <w:rFonts w:ascii="Calibri" w:hAnsi="Calibri"/>
          <w:b/>
          <w:color w:val="000000"/>
          <w:lang w:val="es-ES_tradnl"/>
        </w:rPr>
      </w:pPr>
    </w:p>
    <w:p w:rsidR="00815BCB" w:rsidRPr="000A5673" w:rsidRDefault="00815BCB" w:rsidP="00815BCB">
      <w:pPr>
        <w:spacing w:after="0"/>
        <w:ind w:right="-518"/>
        <w:jc w:val="center"/>
        <w:rPr>
          <w:rFonts w:ascii="Calibri" w:hAnsi="Calibri"/>
          <w:b/>
          <w:i/>
          <w:sz w:val="24"/>
          <w:szCs w:val="24"/>
        </w:rPr>
      </w:pPr>
      <w:r w:rsidRPr="000A5673">
        <w:rPr>
          <w:rFonts w:ascii="Calibri" w:hAnsi="Calibri"/>
          <w:b/>
          <w:i/>
          <w:sz w:val="24"/>
          <w:szCs w:val="24"/>
        </w:rPr>
        <w:t>AEROPUERTOS CENTRO NORTE</w:t>
      </w:r>
    </w:p>
    <w:p w:rsidR="00815BCB" w:rsidRPr="00D931D0" w:rsidRDefault="00815BCB" w:rsidP="00815BCB">
      <w:pPr>
        <w:spacing w:after="0"/>
        <w:ind w:right="-518"/>
        <w:jc w:val="center"/>
        <w:rPr>
          <w:rFonts w:ascii="Calibri" w:hAnsi="Calibri"/>
          <w:b/>
          <w:color w:val="000000"/>
          <w:lang w:val="es-ES_tradnl"/>
        </w:rPr>
      </w:pPr>
      <w:r w:rsidRPr="00D931D0">
        <w:rPr>
          <w:rFonts w:ascii="Calibri" w:hAnsi="Calibri"/>
          <w:b/>
          <w:color w:val="000000"/>
          <w:lang w:val="es-ES_tradnl"/>
        </w:rPr>
        <w:t>Se emitieron los siguientes conceptos y documentos contractuales</w:t>
      </w:r>
    </w:p>
    <w:p w:rsidR="00815BCB" w:rsidRPr="009D1EA7" w:rsidRDefault="00815BCB" w:rsidP="00815BCB">
      <w:pPr>
        <w:shd w:val="clear" w:color="auto" w:fill="FFFFFF"/>
        <w:rPr>
          <w:rFonts w:ascii="Calibri" w:hAnsi="Calibri"/>
          <w:color w:val="000000"/>
        </w:rPr>
      </w:pPr>
    </w:p>
    <w:p w:rsidR="00815BCB" w:rsidRPr="009D1EA7" w:rsidRDefault="00815BCB" w:rsidP="00815BCB">
      <w:pPr>
        <w:widowControl w:val="0"/>
        <w:autoSpaceDE w:val="0"/>
        <w:autoSpaceDN w:val="0"/>
        <w:adjustRightInd w:val="0"/>
        <w:spacing w:after="0"/>
        <w:ind w:left="993" w:right="-518" w:hanging="426"/>
        <w:jc w:val="both"/>
        <w:rPr>
          <w:rFonts w:ascii="Calibri" w:eastAsia="Times New Roman" w:hAnsi="Calibri" w:cs="Arial"/>
          <w:color w:val="000000"/>
        </w:rPr>
      </w:pPr>
      <w:r w:rsidRPr="009D1EA7">
        <w:rPr>
          <w:rFonts w:ascii="Calibri" w:eastAsia="Times New Roman" w:hAnsi="Calibri" w:cs="Arial"/>
          <w:color w:val="FF0000"/>
        </w:rPr>
        <w:t xml:space="preserve">-      </w:t>
      </w:r>
      <w:r w:rsidRPr="009D1EA7">
        <w:rPr>
          <w:rFonts w:ascii="Calibri" w:eastAsia="Times New Roman" w:hAnsi="Calibri" w:cs="Arial"/>
          <w:color w:val="000000"/>
        </w:rPr>
        <w:t>Elaboración del Otrosí No.4 que se firmó el 26 de febrero de 2015, relacionado con la inclusión de algunas áreas al área concesionada con el objeto de llevar a cabo las obras relacionadas en el Otrosí No.3 al Contrato de Concesión.</w:t>
      </w:r>
    </w:p>
    <w:p w:rsidR="00815BCB" w:rsidRPr="009D1EA7" w:rsidRDefault="00815BCB" w:rsidP="00815BCB">
      <w:pPr>
        <w:widowControl w:val="0"/>
        <w:autoSpaceDE w:val="0"/>
        <w:autoSpaceDN w:val="0"/>
        <w:adjustRightInd w:val="0"/>
        <w:spacing w:after="0"/>
        <w:ind w:left="993" w:right="-518" w:hanging="426"/>
        <w:jc w:val="both"/>
        <w:rPr>
          <w:rFonts w:ascii="Calibri" w:eastAsia="Times New Roman" w:hAnsi="Calibri" w:cs="Arial"/>
          <w:color w:val="000000"/>
        </w:rPr>
      </w:pPr>
      <w:r w:rsidRPr="009D1EA7">
        <w:rPr>
          <w:rFonts w:ascii="Calibri" w:eastAsia="Times New Roman" w:hAnsi="Calibri" w:cs="Arial"/>
          <w:color w:val="000000"/>
        </w:rPr>
        <w:t>-    Elaboración del Otrosí No.5 que se firmó el 27 de febrero de 2015, relacionado con la inclusión de algunas áreas al área concesionada con el objeto de llevar a cabo las obras relacionadas en el Otrosí No.3 al Contrato de Concesión.</w:t>
      </w:r>
    </w:p>
    <w:p w:rsidR="00815BCB" w:rsidRPr="009D1EA7" w:rsidRDefault="00815BCB" w:rsidP="00815BCB">
      <w:pPr>
        <w:widowControl w:val="0"/>
        <w:autoSpaceDE w:val="0"/>
        <w:autoSpaceDN w:val="0"/>
        <w:adjustRightInd w:val="0"/>
        <w:spacing w:after="0"/>
        <w:ind w:left="993" w:right="-518" w:hanging="426"/>
        <w:jc w:val="both"/>
        <w:rPr>
          <w:rFonts w:ascii="Calibri" w:eastAsia="Times New Roman" w:hAnsi="Calibri" w:cs="Arial"/>
          <w:color w:val="000000"/>
        </w:rPr>
      </w:pPr>
      <w:r w:rsidRPr="009D1EA7">
        <w:rPr>
          <w:rFonts w:ascii="Calibri" w:eastAsia="Times New Roman" w:hAnsi="Calibri" w:cs="Arial"/>
          <w:color w:val="000000"/>
        </w:rPr>
        <w:t xml:space="preserve">-     Elaboración del Otrosí No.2 al Contrato de </w:t>
      </w:r>
      <w:r w:rsidR="00EC4067" w:rsidRPr="009D1EA7">
        <w:rPr>
          <w:rFonts w:ascii="Calibri" w:eastAsia="Times New Roman" w:hAnsi="Calibri" w:cs="Arial"/>
          <w:color w:val="000000"/>
        </w:rPr>
        <w:t>Interventoría</w:t>
      </w:r>
      <w:r w:rsidRPr="009D1EA7">
        <w:rPr>
          <w:rFonts w:ascii="Calibri" w:eastAsia="Times New Roman" w:hAnsi="Calibri" w:cs="Arial"/>
          <w:color w:val="000000"/>
        </w:rPr>
        <w:t xml:space="preserve"> No.101 de 2014, el cual que se firmó el 27 de febrero de 2015, relacionado con la inclusión de algunas áreas al área concesionada con el objeto de llevar a cabo las obras relacionadas en el Otrosí No.3 al Contrato de Concesión.</w:t>
      </w:r>
    </w:p>
    <w:p w:rsidR="00815BCB" w:rsidRPr="009D1EA7" w:rsidRDefault="00815BCB" w:rsidP="00815BCB">
      <w:pPr>
        <w:widowControl w:val="0"/>
        <w:autoSpaceDE w:val="0"/>
        <w:autoSpaceDN w:val="0"/>
        <w:adjustRightInd w:val="0"/>
        <w:spacing w:after="0"/>
        <w:ind w:left="993" w:right="-518" w:hanging="426"/>
        <w:jc w:val="both"/>
        <w:rPr>
          <w:rFonts w:ascii="Calibri" w:eastAsia="Times New Roman" w:hAnsi="Calibri" w:cs="Arial"/>
          <w:color w:val="000000"/>
        </w:rPr>
      </w:pPr>
      <w:r w:rsidRPr="009D1EA7">
        <w:rPr>
          <w:rFonts w:ascii="Calibri" w:eastAsia="Times New Roman" w:hAnsi="Calibri" w:cs="Arial"/>
          <w:color w:val="000000"/>
        </w:rPr>
        <w:t>-   Elaboración del memorando dirigido a la Gerencia de Proyectos Aeroportuarios relacionado con la respuesta al Hallazgo No. 16 presentado por la Contraloría General de la Republica en el marco del plan de mejoramiento. Mediante memorando No. 2015-704-003940-3 del 20-03-2015.</w:t>
      </w:r>
    </w:p>
    <w:p w:rsidR="00815BCB" w:rsidRPr="009D1EA7" w:rsidRDefault="00815BCB" w:rsidP="00815BCB">
      <w:pPr>
        <w:widowControl w:val="0"/>
        <w:autoSpaceDE w:val="0"/>
        <w:autoSpaceDN w:val="0"/>
        <w:adjustRightInd w:val="0"/>
        <w:spacing w:after="0"/>
        <w:ind w:left="993" w:right="-518" w:hanging="426"/>
        <w:jc w:val="both"/>
        <w:rPr>
          <w:rFonts w:ascii="Calibri" w:eastAsia="Times New Roman" w:hAnsi="Calibri" w:cs="Arial"/>
          <w:color w:val="000000"/>
        </w:rPr>
      </w:pPr>
      <w:r w:rsidRPr="009D1EA7">
        <w:rPr>
          <w:rFonts w:ascii="Calibri" w:eastAsia="Times New Roman" w:hAnsi="Calibri" w:cs="Arial"/>
          <w:color w:val="000000"/>
        </w:rPr>
        <w:t>-    Elaboración la respuesta relacionada con la denuncia del cobro de buses por parte del Concesionario No. 20157040062621 del 24 del marzo de 2015.</w:t>
      </w:r>
    </w:p>
    <w:p w:rsidR="00815BCB" w:rsidRPr="009D1EA7" w:rsidRDefault="00815BCB" w:rsidP="00815BCB">
      <w:pPr>
        <w:widowControl w:val="0"/>
        <w:autoSpaceDE w:val="0"/>
        <w:autoSpaceDN w:val="0"/>
        <w:adjustRightInd w:val="0"/>
        <w:spacing w:after="0"/>
        <w:ind w:left="993" w:right="-518" w:hanging="426"/>
        <w:jc w:val="both"/>
        <w:rPr>
          <w:rFonts w:ascii="Calibri" w:eastAsia="Times New Roman" w:hAnsi="Calibri" w:cs="Arial"/>
          <w:color w:val="000000"/>
        </w:rPr>
      </w:pPr>
      <w:r w:rsidRPr="009D1EA7">
        <w:rPr>
          <w:rFonts w:ascii="Calibri" w:eastAsia="Times New Roman" w:hAnsi="Calibri" w:cs="Arial"/>
          <w:color w:val="000000"/>
        </w:rPr>
        <w:t>-   Revisión de la respuesta proyectada por la Gerencia Financiera de ANI. La cual fue avalada por el doctor Chacon (INCREMENTO TARIFAS 2015 CONTRATO DE CONCESIÓN 10000078 – OK – 2010).Mediante radicado No.2015-308-006336-1 del 25 de marzo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rPr>
        <w:t>R</w:t>
      </w:r>
      <w:r w:rsidR="00EC4067" w:rsidRPr="009D1EA7">
        <w:rPr>
          <w:color w:val="000000"/>
          <w:lang w:val="es-ES_tradnl"/>
        </w:rPr>
        <w:t>respuesta</w:t>
      </w:r>
      <w:r w:rsidRPr="009D1EA7">
        <w:rPr>
          <w:color w:val="000000"/>
          <w:lang w:val="es-ES_tradnl"/>
        </w:rPr>
        <w:t xml:space="preserve"> derecho de petición del senador Martin Emilio Morales sobre obras en el aeropuerto de </w:t>
      </w:r>
      <w:r w:rsidR="00EC4067" w:rsidRPr="009D1EA7">
        <w:rPr>
          <w:color w:val="000000"/>
          <w:lang w:val="es-ES_tradnl"/>
        </w:rPr>
        <w:t>Montería</w:t>
      </w:r>
      <w:r w:rsidRPr="009D1EA7">
        <w:rPr>
          <w:color w:val="000000"/>
          <w:lang w:val="es-ES_tradnl"/>
        </w:rPr>
        <w:t xml:space="preserve">. </w:t>
      </w:r>
      <w:r w:rsidRPr="009D1EA7">
        <w:rPr>
          <w:color w:val="000000"/>
          <w:lang w:val="es-ES_tradnl"/>
        </w:rPr>
        <w:tab/>
        <w:t xml:space="preserve">se remitió por correo </w:t>
      </w:r>
      <w:r w:rsidR="00EC4067" w:rsidRPr="009D1EA7">
        <w:rPr>
          <w:color w:val="000000"/>
          <w:lang w:val="es-ES_tradnl"/>
        </w:rPr>
        <w:t>electrónico</w:t>
      </w:r>
      <w:r w:rsidRPr="009D1EA7">
        <w:rPr>
          <w:color w:val="000000"/>
          <w:lang w:val="es-ES_tradnl"/>
        </w:rPr>
        <w:t xml:space="preserve"> el 10/4/2015.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lang w:val="es-ES_tradnl"/>
        </w:rPr>
        <w:t xml:space="preserve">Derecho de petición de Satena sobre los sistemas HBS y CUTE </w:t>
      </w:r>
      <w:r w:rsidRPr="009D1EA7">
        <w:rPr>
          <w:color w:val="000000"/>
          <w:lang w:val="es-ES_tradnl"/>
        </w:rPr>
        <w:tab/>
        <w:t>CLEMENTE ECHEVERRI. Mediante radicado No.</w:t>
      </w:r>
      <w:r w:rsidRPr="009D1EA7">
        <w:rPr>
          <w:color w:val="000000"/>
          <w:lang w:val="es-ES_tradnl"/>
        </w:rPr>
        <w:tab/>
        <w:t>20153090083741 del</w:t>
      </w:r>
      <w:r w:rsidRPr="009D1EA7">
        <w:rPr>
          <w:color w:val="000000"/>
          <w:lang w:val="es-ES_tradnl"/>
        </w:rPr>
        <w:tab/>
        <w:t>23/04/2015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lang w:val="es-ES_tradnl"/>
        </w:rPr>
        <w:t xml:space="preserve">Derecho de </w:t>
      </w:r>
      <w:r w:rsidR="00EC4067" w:rsidRPr="009D1EA7">
        <w:rPr>
          <w:color w:val="000000"/>
          <w:lang w:val="es-ES_tradnl"/>
        </w:rPr>
        <w:t>petición</w:t>
      </w:r>
      <w:r w:rsidRPr="009D1EA7">
        <w:rPr>
          <w:color w:val="000000"/>
          <w:lang w:val="es-ES_tradnl"/>
        </w:rPr>
        <w:t xml:space="preserve"> de ATACA sobre los sistemas HBS y CUTE </w:t>
      </w:r>
      <w:r w:rsidRPr="009D1EA7">
        <w:rPr>
          <w:color w:val="000000"/>
          <w:lang w:val="es-ES_tradnl"/>
        </w:rPr>
        <w:tab/>
        <w:t>CLEMENTE ECHEVERRI</w:t>
      </w:r>
      <w:r w:rsidRPr="009D1EA7">
        <w:rPr>
          <w:color w:val="000000"/>
          <w:lang w:val="es-ES_tradnl"/>
        </w:rPr>
        <w:tab/>
        <w:t xml:space="preserve">elaborado y pendiente de firma. Radicado No. </w:t>
      </w:r>
      <w:r w:rsidRPr="009D1EA7">
        <w:rPr>
          <w:color w:val="000000"/>
          <w:lang w:val="es-ES_tradnl"/>
        </w:rPr>
        <w:tab/>
        <w:t>20153090088471</w:t>
      </w:r>
      <w:r w:rsidRPr="009D1EA7">
        <w:rPr>
          <w:color w:val="000000"/>
          <w:lang w:val="es-ES_tradnl"/>
        </w:rPr>
        <w:tab/>
        <w:t>del 29/04/2015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lang w:val="es-ES_tradnl"/>
        </w:rPr>
        <w:t>Revisión estudio de conveniencia Otrosi No. 12</w:t>
      </w:r>
      <w:r w:rsidRPr="009D1EA7">
        <w:rPr>
          <w:color w:val="000000"/>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lang w:val="es-ES_tradnl"/>
        </w:rPr>
        <w:t xml:space="preserve">Revisión del memorando técnico para la adición al contrato de </w:t>
      </w:r>
      <w:r w:rsidR="00EC4067" w:rsidRPr="009D1EA7">
        <w:rPr>
          <w:color w:val="000000"/>
          <w:lang w:val="es-ES_tradnl"/>
        </w:rPr>
        <w:t>interventoría</w:t>
      </w:r>
      <w:r w:rsidRPr="009D1EA7">
        <w:rPr>
          <w:color w:val="000000"/>
          <w:lang w:val="es-ES_tradnl"/>
        </w:rPr>
        <w:t xml:space="preserve">. Se remitió por correo </w:t>
      </w:r>
      <w:r w:rsidR="00EC4067" w:rsidRPr="009D1EA7">
        <w:rPr>
          <w:color w:val="000000"/>
          <w:lang w:val="es-ES_tradnl"/>
        </w:rPr>
        <w:t>electrónico</w:t>
      </w:r>
      <w:r w:rsidRPr="009D1EA7">
        <w:rPr>
          <w:color w:val="000000"/>
          <w:lang w:val="es-ES_tradnl"/>
        </w:rPr>
        <w:t xml:space="preserve"> </w:t>
      </w:r>
      <w:r w:rsidRPr="009D1EA7">
        <w:rPr>
          <w:color w:val="000000"/>
          <w:lang w:val="es-ES_tradnl"/>
        </w:rPr>
        <w:tab/>
        <w:t>13/04/2015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lang w:val="es-ES_tradnl"/>
        </w:rPr>
        <w:t xml:space="preserve">Elaboración del Otrosí No. 2 del 15/04/2015 al Contrato de </w:t>
      </w:r>
      <w:r w:rsidR="00EC4067" w:rsidRPr="009D1EA7">
        <w:rPr>
          <w:color w:val="000000"/>
          <w:lang w:val="es-ES_tradnl"/>
        </w:rPr>
        <w:t>Interventoría</w:t>
      </w:r>
      <w:r w:rsidRPr="009D1EA7">
        <w:rPr>
          <w:color w:val="000000"/>
          <w:lang w:val="es-ES_tradnl"/>
        </w:rPr>
        <w:t xml:space="preserve"> No 049 de 2014 de centro norte </w:t>
      </w:r>
      <w:r w:rsidRPr="009D1EA7">
        <w:rPr>
          <w:color w:val="000000"/>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lang w:val="es-ES_tradnl"/>
        </w:rPr>
        <w:t>Oficio al Concesionario dando alcance al oficio sobre ingresos no regulado- remuneración por la ejecución de las obras complementarias.</w:t>
      </w:r>
      <w:r w:rsidRPr="009D1EA7">
        <w:rPr>
          <w:color w:val="000000"/>
          <w:lang w:val="es-ES_tradnl"/>
        </w:rPr>
        <w:tab/>
        <w:t xml:space="preserve">Mediante radicado No.2015309008521 del 17 de </w:t>
      </w:r>
      <w:r w:rsidRPr="009D1EA7">
        <w:rPr>
          <w:color w:val="000000"/>
          <w:lang w:val="es-ES_tradnl"/>
        </w:rPr>
        <w:lastRenderedPageBreak/>
        <w:t>abril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lang w:val="es-ES_tradnl"/>
        </w:rPr>
        <w:t>SOLICITUD DE VIABILIDAD TRANSFERENCIA INMUEBLE AEROPARQUE OLAYA HERRERA DE MEDELLÍN”.</w:t>
      </w:r>
      <w:r w:rsidRPr="009D1EA7">
        <w:rPr>
          <w:color w:val="000000"/>
          <w:lang w:val="es-ES_tradnl"/>
        </w:rPr>
        <w:tab/>
        <w:t>CLEMENTE ECHEVERRI. Radicado No.20153090088881 del 29 de abril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rFonts w:ascii="Calibri" w:eastAsia="Times New Roman" w:hAnsi="Calibri" w:cs="Arial"/>
          <w:color w:val="000000"/>
        </w:rPr>
      </w:pPr>
      <w:r w:rsidRPr="009D1EA7">
        <w:rPr>
          <w:color w:val="000000"/>
          <w:lang w:val="es-ES_tradnl"/>
        </w:rPr>
        <w:t xml:space="preserve">Otrosí No. 12 al Contrato de Concesión de Centro Norte Ampliación Edificio Terminal y Centro de Servicios del Aeropuerto el Caraño de Quibdó, Ampliación Muelle Nacional e Internacional, Ampliación de plataforma Internacional y módulos conexiones  ed. público y vuelos del aeropuerto José María Córdoba de Rionegro. Aprobado en </w:t>
      </w:r>
      <w:r w:rsidR="00EC4067" w:rsidRPr="009D1EA7">
        <w:rPr>
          <w:color w:val="000000"/>
          <w:lang w:val="es-ES_tradnl"/>
        </w:rPr>
        <w:t>Comité</w:t>
      </w:r>
      <w:r w:rsidRPr="009D1EA7">
        <w:rPr>
          <w:color w:val="000000"/>
          <w:lang w:val="es-ES_tradnl"/>
        </w:rPr>
        <w:t xml:space="preserve"> de Contratación del 28/04/2015</w:t>
      </w:r>
      <w:r w:rsidRPr="009D1EA7">
        <w:rPr>
          <w:color w:val="000000"/>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 xml:space="preserve">Solicitud de valoración de las Obras Obligatorias reprogramadas por medio del Otrosí No. 7 al Contrato de Concesión 8000011 OK, y la posterior valoración del desplazamiento de la inversión. Radicado </w:t>
      </w:r>
      <w:r w:rsidRPr="009D1EA7">
        <w:rPr>
          <w:color w:val="000000"/>
          <w:lang w:val="es-ES_tradnl"/>
        </w:rPr>
        <w:tab/>
        <w:t>20153090095171 del 8 de mayo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 xml:space="preserve">Traslado a la aerocivil del oficio relacionado con el cobro de la tasa aeroportuaria por parte de Airplan en los aeropuertos de la Concesión de Centro </w:t>
      </w:r>
      <w:r w:rsidR="00EC4067" w:rsidRPr="009D1EA7">
        <w:rPr>
          <w:color w:val="000000"/>
          <w:lang w:val="es-ES_tradnl"/>
        </w:rPr>
        <w:t xml:space="preserve">Norte. </w:t>
      </w:r>
      <w:r w:rsidRPr="009D1EA7">
        <w:rPr>
          <w:color w:val="000000"/>
          <w:lang w:val="es-ES_tradnl"/>
        </w:rPr>
        <w:t>Radicado 20153090095481 del 8 de mayo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Elaboración del Otrosí No. 3 del 29 de mayo de 2015 al Contrato de Interventoría No. 049/2014</w:t>
      </w:r>
      <w:r w:rsidRPr="009D1EA7">
        <w:rPr>
          <w:color w:val="000000"/>
          <w:lang w:val="es-ES_tradnl"/>
        </w:rPr>
        <w:tab/>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 xml:space="preserve">Elaboración del Acta de Inicio Otrosí No. 12 del 28 de abril de 2015 del Contrato de </w:t>
      </w:r>
      <w:r w:rsidR="00EC4067" w:rsidRPr="009D1EA7">
        <w:rPr>
          <w:color w:val="000000"/>
          <w:lang w:val="es-ES_tradnl"/>
        </w:rPr>
        <w:t>Concesiona</w:t>
      </w:r>
      <w:r w:rsidRPr="009D1EA7">
        <w:rPr>
          <w:color w:val="000000"/>
          <w:lang w:val="es-ES_tradnl"/>
        </w:rPr>
        <w:t xml:space="preserve"> de Centro Norte  . suscrita el 1/6/2015.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Oficio de traslado a AIRPLAN solicitud devolver sumas de dinero por anulación fallo Satena . Radicado No.20157040129091 del 16 de junio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Otrosí No. 13 para delegar facultades de gestión predial al Concesionario. Aprobado en comité de contratación del 2/7/2015.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Respuesta oficio sobre delegación predial. Radicado No.20157040132631</w:t>
      </w:r>
      <w:r w:rsidRPr="009D1EA7">
        <w:rPr>
          <w:color w:val="000000"/>
          <w:lang w:val="es-ES_tradnl"/>
        </w:rPr>
        <w:tab/>
        <w:t>del 18/06/2015.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Solicitud de informar objeciones de invertir en el Plan Maestro integrado de Rionegro – Medellín las sumas de dinero del Otrosí No. 2 del 14 de marzo de 2011.</w:t>
      </w:r>
      <w:r w:rsidRPr="009D1EA7">
        <w:rPr>
          <w:color w:val="000000"/>
          <w:lang w:val="es-ES_tradnl"/>
        </w:rPr>
        <w:tab/>
        <w:t xml:space="preserve">Las partes acordaron no suscribirlo </w:t>
      </w:r>
      <w:r w:rsidRPr="009D1EA7">
        <w:rPr>
          <w:color w:val="000000"/>
          <w:lang w:val="es-ES_tradnl"/>
        </w:rPr>
        <w:tab/>
        <w:t>23/06/2015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Revisión del Otrosi No. 3 y 4 al Contrato de Fiducia de Centro Norte. Enviado por correo electrónico del 11 de junio de 2015.</w:t>
      </w:r>
    </w:p>
    <w:p w:rsidR="00815BCB" w:rsidRPr="009D1EA7" w:rsidRDefault="00815BCB" w:rsidP="00F33349">
      <w:pPr>
        <w:pStyle w:val="Prrafodelista"/>
        <w:widowControl w:val="0"/>
        <w:numPr>
          <w:ilvl w:val="0"/>
          <w:numId w:val="105"/>
        </w:numPr>
        <w:autoSpaceDE w:val="0"/>
        <w:autoSpaceDN w:val="0"/>
        <w:adjustRightInd w:val="0"/>
        <w:spacing w:after="0" w:line="259" w:lineRule="auto"/>
        <w:ind w:left="993" w:right="-518" w:hanging="426"/>
        <w:jc w:val="both"/>
        <w:rPr>
          <w:color w:val="000000"/>
          <w:lang w:val="es-ES_tradnl"/>
        </w:rPr>
      </w:pPr>
      <w:r w:rsidRPr="009D1EA7">
        <w:rPr>
          <w:color w:val="000000"/>
          <w:lang w:val="es-ES_tradnl"/>
        </w:rPr>
        <w:t>Oficio de respuesta al concesionario sobre solicitud de ampliación del plazo obras obligatorias del año 5 del aeropuerto Olaya Herrera de Medellín. Radicado No.20157040145841 del 6 de julio de 2015</w:t>
      </w:r>
    </w:p>
    <w:p w:rsidR="00815BCB" w:rsidRDefault="00815BCB" w:rsidP="00815BCB">
      <w:pPr>
        <w:pStyle w:val="Prrafodelista"/>
        <w:widowControl w:val="0"/>
        <w:autoSpaceDE w:val="0"/>
        <w:autoSpaceDN w:val="0"/>
        <w:adjustRightInd w:val="0"/>
        <w:spacing w:after="0"/>
        <w:ind w:left="993" w:right="-518" w:hanging="426"/>
        <w:jc w:val="center"/>
        <w:rPr>
          <w:b/>
          <w:color w:val="000000"/>
          <w:sz w:val="24"/>
          <w:szCs w:val="24"/>
          <w:lang w:val="es-ES_tradnl"/>
        </w:rPr>
      </w:pPr>
    </w:p>
    <w:p w:rsidR="00815BCB" w:rsidRDefault="00815BCB" w:rsidP="00815BCB">
      <w:pPr>
        <w:pStyle w:val="Prrafodelista"/>
        <w:widowControl w:val="0"/>
        <w:autoSpaceDE w:val="0"/>
        <w:autoSpaceDN w:val="0"/>
        <w:adjustRightInd w:val="0"/>
        <w:spacing w:after="0"/>
        <w:ind w:right="-518"/>
        <w:jc w:val="center"/>
        <w:rPr>
          <w:b/>
          <w:color w:val="000000"/>
          <w:sz w:val="24"/>
          <w:szCs w:val="24"/>
          <w:lang w:val="es-ES_tradnl"/>
        </w:rPr>
      </w:pPr>
    </w:p>
    <w:p w:rsidR="00815BCB" w:rsidRDefault="00815BCB" w:rsidP="00815BCB">
      <w:pPr>
        <w:pStyle w:val="Prrafodelista"/>
        <w:widowControl w:val="0"/>
        <w:autoSpaceDE w:val="0"/>
        <w:autoSpaceDN w:val="0"/>
        <w:adjustRightInd w:val="0"/>
        <w:spacing w:after="0"/>
        <w:ind w:right="-518"/>
        <w:jc w:val="center"/>
        <w:rPr>
          <w:b/>
          <w:color w:val="000000"/>
          <w:sz w:val="24"/>
          <w:szCs w:val="24"/>
          <w:lang w:val="es-ES_tradnl"/>
        </w:rPr>
      </w:pPr>
      <w:r w:rsidRPr="007E00E4">
        <w:rPr>
          <w:b/>
          <w:color w:val="000000"/>
          <w:sz w:val="24"/>
          <w:szCs w:val="24"/>
          <w:lang w:val="es-ES_tradnl"/>
        </w:rPr>
        <w:t>Se emitieron los siguientes conceptos frente al aseguramiento</w:t>
      </w:r>
    </w:p>
    <w:p w:rsidR="00815BCB" w:rsidRPr="00D931D0" w:rsidRDefault="00815BCB" w:rsidP="00815BCB">
      <w:pPr>
        <w:widowControl w:val="0"/>
        <w:autoSpaceDE w:val="0"/>
        <w:autoSpaceDN w:val="0"/>
        <w:adjustRightInd w:val="0"/>
        <w:spacing w:after="0"/>
        <w:ind w:left="-567" w:right="-518"/>
        <w:jc w:val="center"/>
        <w:rPr>
          <w:rFonts w:ascii="Calibri" w:hAnsi="Calibri"/>
          <w:b/>
          <w:color w:val="000000"/>
          <w:lang w:val="es-ES_tradnl"/>
        </w:rPr>
      </w:pP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hAnsi="Calibri"/>
          <w:color w:val="000000" w:themeColor="text1"/>
          <w:lang w:val="es-ES_tradnl"/>
        </w:rPr>
      </w:pPr>
      <w:r w:rsidRPr="009D1EA7">
        <w:rPr>
          <w:rFonts w:ascii="Calibri" w:hAnsi="Calibri"/>
          <w:color w:val="000000" w:themeColor="text1"/>
          <w:lang w:val="es-ES_tradnl"/>
        </w:rPr>
        <w:t xml:space="preserve">Revisión y aprobación de la póliza </w:t>
      </w:r>
      <w:r w:rsidRPr="009D1EA7">
        <w:rPr>
          <w:rFonts w:ascii="Calibri" w:eastAsia="Times New Roman" w:hAnsi="Calibri" w:cs="Arial"/>
          <w:color w:val="000000" w:themeColor="text1"/>
        </w:rPr>
        <w:t>Contrato de Concesión Centro Norte por modificaciones en virtud del Otrosi No. 9 de enero 2015. Mediante memorando No. 20157040020823 del 16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hAnsi="Calibri"/>
          <w:color w:val="000000" w:themeColor="text1"/>
          <w:lang w:val="es-ES_tradnl"/>
        </w:rPr>
      </w:pPr>
      <w:r w:rsidRPr="009D1EA7">
        <w:rPr>
          <w:rFonts w:ascii="Calibri" w:hAnsi="Calibri"/>
          <w:color w:val="000000" w:themeColor="text1"/>
          <w:lang w:val="es-ES_tradnl"/>
        </w:rPr>
        <w:t xml:space="preserve">Revisión y aprobación de la póliza </w:t>
      </w:r>
      <w:r w:rsidRPr="009D1EA7">
        <w:rPr>
          <w:rFonts w:ascii="Calibri" w:eastAsia="Times New Roman" w:hAnsi="Calibri" w:cs="Arial"/>
          <w:color w:val="000000" w:themeColor="text1"/>
        </w:rPr>
        <w:t>actualizadas del Contrato de Interventoría de centro Norte. Mediante memorando No. 20157040028253 del 27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hAnsi="Calibri"/>
          <w:color w:val="000000" w:themeColor="text1"/>
          <w:lang w:val="es-ES_tradnl"/>
        </w:rPr>
      </w:pPr>
      <w:r w:rsidRPr="009D1EA7">
        <w:rPr>
          <w:color w:val="000000"/>
          <w:lang w:val="es-ES_tradnl"/>
        </w:rPr>
        <w:t xml:space="preserve">Aprobación de la </w:t>
      </w:r>
      <w:r w:rsidR="00EC4067" w:rsidRPr="009D1EA7">
        <w:rPr>
          <w:color w:val="000000"/>
          <w:lang w:val="es-ES_tradnl"/>
        </w:rPr>
        <w:t>Póliza</w:t>
      </w:r>
      <w:r w:rsidRPr="009D1EA7">
        <w:rPr>
          <w:color w:val="000000"/>
          <w:lang w:val="es-ES_tradnl"/>
        </w:rPr>
        <w:t xml:space="preserve"> de la </w:t>
      </w:r>
      <w:r w:rsidR="00EC4067" w:rsidRPr="009D1EA7">
        <w:rPr>
          <w:color w:val="000000"/>
          <w:lang w:val="es-ES_tradnl"/>
        </w:rPr>
        <w:t>Interventoría</w:t>
      </w:r>
      <w:r w:rsidRPr="009D1EA7">
        <w:rPr>
          <w:color w:val="000000"/>
          <w:lang w:val="es-ES_tradnl"/>
        </w:rPr>
        <w:t xml:space="preserve"> por Otrosí No. </w:t>
      </w:r>
      <w:r w:rsidR="00EC4067" w:rsidRPr="009D1EA7">
        <w:rPr>
          <w:color w:val="000000"/>
          <w:lang w:val="es-ES_tradnl"/>
        </w:rPr>
        <w:t xml:space="preserve">2. </w:t>
      </w:r>
      <w:r w:rsidRPr="009D1EA7">
        <w:rPr>
          <w:color w:val="000000"/>
          <w:lang w:val="es-ES_tradnl"/>
        </w:rPr>
        <w:t>Radicado No.20157040050203</w:t>
      </w:r>
      <w:r w:rsidRPr="009D1EA7">
        <w:rPr>
          <w:color w:val="000000"/>
          <w:lang w:val="es-ES_tradnl"/>
        </w:rPr>
        <w:tab/>
        <w:t>4/5/2015.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hAnsi="Calibri"/>
          <w:color w:val="000000" w:themeColor="text1"/>
          <w:lang w:val="es-ES_tradnl"/>
        </w:rPr>
      </w:pPr>
      <w:r w:rsidRPr="009D1EA7">
        <w:rPr>
          <w:color w:val="000000"/>
          <w:lang w:val="es-ES_tradnl"/>
        </w:rPr>
        <w:t xml:space="preserve">Aprobación de la </w:t>
      </w:r>
      <w:r w:rsidR="00EC4067" w:rsidRPr="009D1EA7">
        <w:rPr>
          <w:color w:val="000000"/>
          <w:lang w:val="es-ES_tradnl"/>
        </w:rPr>
        <w:t>Póliza</w:t>
      </w:r>
      <w:r w:rsidRPr="009D1EA7">
        <w:rPr>
          <w:color w:val="000000"/>
          <w:lang w:val="es-ES_tradnl"/>
        </w:rPr>
        <w:t xml:space="preserve"> de Responsabilidad Civil de Propietarios y/u Operadores de Aeropuerto. Radicado No.</w:t>
      </w:r>
      <w:r w:rsidRPr="009D1EA7">
        <w:rPr>
          <w:color w:val="000000"/>
          <w:lang w:val="es-ES_tradnl"/>
        </w:rPr>
        <w:tab/>
        <w:t>20157040051183 del 4 de mayo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hAnsi="Calibri"/>
          <w:color w:val="000000" w:themeColor="text1"/>
          <w:lang w:val="es-ES_tradnl"/>
        </w:rPr>
      </w:pPr>
      <w:r w:rsidRPr="009D1EA7">
        <w:rPr>
          <w:color w:val="000000"/>
          <w:lang w:val="es-ES_tradnl"/>
        </w:rPr>
        <w:lastRenderedPageBreak/>
        <w:t>Aprobación de la póliza de cumplimiento de Centro Norte Otrosí. radicadoNo.20157040052223 del 7 de mayo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hAnsi="Calibri"/>
          <w:color w:val="000000" w:themeColor="text1"/>
          <w:lang w:val="es-ES_tradnl"/>
        </w:rPr>
      </w:pPr>
      <w:r w:rsidRPr="009D1EA7">
        <w:rPr>
          <w:color w:val="000000"/>
          <w:lang w:val="es-ES_tradnl"/>
        </w:rPr>
        <w:t xml:space="preserve">Aprobación </w:t>
      </w:r>
      <w:r w:rsidR="00EC4067" w:rsidRPr="009D1EA7">
        <w:rPr>
          <w:color w:val="000000"/>
          <w:lang w:val="es-ES_tradnl"/>
        </w:rPr>
        <w:t>pólizas</w:t>
      </w:r>
      <w:r w:rsidRPr="009D1EA7">
        <w:rPr>
          <w:color w:val="000000"/>
          <w:lang w:val="es-ES_tradnl"/>
        </w:rPr>
        <w:t xml:space="preserve"> </w:t>
      </w:r>
      <w:r w:rsidR="00EC4067" w:rsidRPr="009D1EA7">
        <w:rPr>
          <w:color w:val="000000"/>
          <w:lang w:val="es-ES_tradnl"/>
        </w:rPr>
        <w:t>otrosí</w:t>
      </w:r>
      <w:r w:rsidRPr="009D1EA7">
        <w:rPr>
          <w:color w:val="000000"/>
          <w:lang w:val="es-ES_tradnl"/>
        </w:rPr>
        <w:t xml:space="preserve"> No. 12 del 28 de abril de 2015. Radicado </w:t>
      </w:r>
      <w:r w:rsidRPr="009D1EA7">
        <w:rPr>
          <w:color w:val="000000"/>
          <w:lang w:val="es-ES_tradnl"/>
        </w:rPr>
        <w:tab/>
        <w:t>2015-704-006171-3</w:t>
      </w:r>
      <w:r w:rsidRPr="009D1EA7">
        <w:rPr>
          <w:color w:val="000000"/>
          <w:lang w:val="es-ES_tradnl"/>
        </w:rPr>
        <w:tab/>
        <w:t>del 28 de mayo de 2015.</w:t>
      </w:r>
    </w:p>
    <w:p w:rsidR="00815BCB" w:rsidRPr="001371F4" w:rsidRDefault="00815BCB" w:rsidP="00815BCB">
      <w:pPr>
        <w:widowControl w:val="0"/>
        <w:autoSpaceDE w:val="0"/>
        <w:autoSpaceDN w:val="0"/>
        <w:adjustRightInd w:val="0"/>
        <w:spacing w:after="0"/>
        <w:ind w:left="-567" w:right="-518"/>
        <w:jc w:val="center"/>
        <w:rPr>
          <w:rFonts w:ascii="Calibri" w:hAnsi="Calibri"/>
          <w:b/>
          <w:color w:val="000000"/>
          <w:lang w:val="es-ES_tradnl"/>
        </w:rPr>
      </w:pPr>
    </w:p>
    <w:p w:rsidR="00815BCB" w:rsidRDefault="00815BCB" w:rsidP="00815BCB">
      <w:pPr>
        <w:widowControl w:val="0"/>
        <w:autoSpaceDE w:val="0"/>
        <w:autoSpaceDN w:val="0"/>
        <w:adjustRightInd w:val="0"/>
        <w:spacing w:after="0"/>
        <w:ind w:left="-567" w:right="-518"/>
        <w:jc w:val="center"/>
        <w:rPr>
          <w:rFonts w:ascii="Calibri" w:hAnsi="Calibri"/>
          <w:b/>
          <w:color w:val="000000"/>
        </w:rPr>
      </w:pPr>
    </w:p>
    <w:p w:rsidR="00815BCB" w:rsidRPr="000A5673" w:rsidRDefault="00815BCB" w:rsidP="00815BCB">
      <w:pPr>
        <w:spacing w:after="0"/>
        <w:ind w:right="-518"/>
        <w:jc w:val="center"/>
        <w:rPr>
          <w:rFonts w:ascii="Calibri" w:hAnsi="Calibri"/>
          <w:b/>
          <w:i/>
          <w:sz w:val="24"/>
          <w:szCs w:val="24"/>
        </w:rPr>
      </w:pPr>
      <w:r w:rsidRPr="000A5673">
        <w:rPr>
          <w:rFonts w:ascii="Calibri" w:hAnsi="Calibri"/>
          <w:b/>
          <w:i/>
          <w:sz w:val="24"/>
          <w:szCs w:val="24"/>
        </w:rPr>
        <w:t>AEROPUERTO EL DORADO</w:t>
      </w:r>
    </w:p>
    <w:p w:rsidR="00815BCB" w:rsidRDefault="00815BCB" w:rsidP="00815BCB">
      <w:pPr>
        <w:spacing w:after="0"/>
        <w:ind w:right="-518"/>
        <w:jc w:val="center"/>
        <w:rPr>
          <w:rFonts w:ascii="Calibri" w:hAnsi="Calibri"/>
          <w:b/>
          <w:color w:val="000000"/>
          <w:lang w:val="es-ES_tradnl"/>
        </w:rPr>
      </w:pPr>
      <w:r w:rsidRPr="00D931D0">
        <w:rPr>
          <w:rFonts w:ascii="Calibri" w:hAnsi="Calibri"/>
          <w:b/>
          <w:color w:val="000000"/>
          <w:lang w:val="es-ES_tradnl"/>
        </w:rPr>
        <w:t>Se emitieron los siguientes conceptos y documentos contractuales</w:t>
      </w:r>
    </w:p>
    <w:p w:rsidR="00815BCB" w:rsidRPr="009D1EA7" w:rsidRDefault="00815BCB" w:rsidP="00815BCB">
      <w:pPr>
        <w:spacing w:after="0"/>
        <w:ind w:right="-518"/>
        <w:jc w:val="both"/>
        <w:rPr>
          <w:rFonts w:ascii="Calibri" w:hAnsi="Calibri"/>
          <w:b/>
          <w:color w:val="000000"/>
          <w:lang w:val="es-ES_tradnl"/>
        </w:rPr>
      </w:pP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Modificatorio No. 4 al principio de acuerdo conciliatorio ANI-OPAIN. (enero).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Instrucción Fideicomiso OPAIN pago multa. Mediante Radicado No. 2015-704-000127-1.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Remisión Opain informe presunto incumplimiento red de hidrantes. Mediante oficio No. 2015-704-001369-1.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Concepto Adición y prorroga Contrato interv técnica de OPAIN. Mediante radicado No. 2015-704-001269-3.</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 xml:space="preserve">otrosí aclaratorio al contenido del otrosí No. 3 del Contrato de </w:t>
      </w:r>
      <w:r w:rsidR="00EC4067" w:rsidRPr="009D1EA7">
        <w:rPr>
          <w:rFonts w:ascii="Calibri" w:eastAsia="Times New Roman" w:hAnsi="Calibri" w:cs="Arial"/>
          <w:color w:val="000000" w:themeColor="text1"/>
        </w:rPr>
        <w:t>Interventoría</w:t>
      </w:r>
      <w:r w:rsidRPr="009D1EA7">
        <w:rPr>
          <w:rFonts w:ascii="Calibri" w:eastAsia="Times New Roman" w:hAnsi="Calibri" w:cs="Arial"/>
          <w:color w:val="000000" w:themeColor="text1"/>
        </w:rPr>
        <w:t xml:space="preserve"> </w:t>
      </w:r>
      <w:r w:rsidR="00EC4067" w:rsidRPr="009D1EA7">
        <w:rPr>
          <w:rFonts w:ascii="Calibri" w:eastAsia="Times New Roman" w:hAnsi="Calibri" w:cs="Arial"/>
          <w:color w:val="000000" w:themeColor="text1"/>
        </w:rPr>
        <w:t>Técnica</w:t>
      </w:r>
      <w:r w:rsidRPr="009D1EA7">
        <w:rPr>
          <w:rFonts w:ascii="Calibri" w:eastAsia="Times New Roman" w:hAnsi="Calibri" w:cs="Arial"/>
          <w:color w:val="000000" w:themeColor="text1"/>
        </w:rPr>
        <w:t>. Suscrito el 30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otrosí prorroga y adición contrato de interventoría técnica No. 8000047OF de 2008. Suscrito el 31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Remisión defensa judicial acuerdo de terminación OTCA-OPAIN. Mediante radicado No. 2015-704-001739-3.</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Traslado a OPAIN informe presunto incumplimiento. Mediante memorando No. Rad. 2015-704-001975-1.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Respuesta derecho de petición. Mediante radicado No. 2015-704-002449-1.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solicitud Opain acta de terminación contrato de arrendamiento OTCA. Mediante radicado No.2015-704-002737-1.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 xml:space="preserve">solicitud interv financiera </w:t>
      </w:r>
      <w:r w:rsidR="00EC4067" w:rsidRPr="009D1EA7">
        <w:rPr>
          <w:rFonts w:ascii="Calibri" w:eastAsia="Times New Roman" w:hAnsi="Calibri" w:cs="Arial"/>
          <w:color w:val="000000" w:themeColor="text1"/>
        </w:rPr>
        <w:t>verificación</w:t>
      </w:r>
      <w:r w:rsidRPr="009D1EA7">
        <w:rPr>
          <w:rFonts w:ascii="Calibri" w:eastAsia="Times New Roman" w:hAnsi="Calibri" w:cs="Arial"/>
          <w:color w:val="000000" w:themeColor="text1"/>
        </w:rPr>
        <w:t xml:space="preserve"> cobro subsuelo. Mediante radicado No.2015-704-002737-1.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 xml:space="preserve">Respuesta </w:t>
      </w:r>
      <w:r w:rsidR="00EC4067" w:rsidRPr="009D1EA7">
        <w:rPr>
          <w:rFonts w:ascii="Calibri" w:eastAsia="Times New Roman" w:hAnsi="Calibri" w:cs="Arial"/>
          <w:color w:val="000000" w:themeColor="text1"/>
        </w:rPr>
        <w:t>Interventoría</w:t>
      </w:r>
      <w:r w:rsidRPr="009D1EA7">
        <w:rPr>
          <w:rFonts w:ascii="Calibri" w:eastAsia="Times New Roman" w:hAnsi="Calibri" w:cs="Arial"/>
          <w:color w:val="000000" w:themeColor="text1"/>
        </w:rPr>
        <w:t xml:space="preserve"> Técnica póliza de cumplimiento otrosí No. 5. Mediante radicado No.2015-704-003163-1.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Respuesta opain cobro red de hidrantes. Mediante radicado No. 2015-704-003213-1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 xml:space="preserve">concepto </w:t>
      </w:r>
      <w:r w:rsidR="00EC4067" w:rsidRPr="009D1EA7">
        <w:rPr>
          <w:rFonts w:ascii="Calibri" w:hAnsi="Calibri"/>
          <w:color w:val="000000"/>
          <w:lang w:val="es-ES_tradnl"/>
        </w:rPr>
        <w:t>jurídico</w:t>
      </w:r>
      <w:r w:rsidRPr="009D1EA7">
        <w:rPr>
          <w:rFonts w:ascii="Calibri" w:hAnsi="Calibri"/>
          <w:color w:val="000000"/>
          <w:lang w:val="es-ES_tradnl"/>
        </w:rPr>
        <w:t xml:space="preserve"> viabilidad de otrosi 11 . radicado No. 2015-704-003887-3 (20 de marzo)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 xml:space="preserve">concepto </w:t>
      </w:r>
      <w:r w:rsidR="00EC4067" w:rsidRPr="009D1EA7">
        <w:rPr>
          <w:rFonts w:ascii="Calibri" w:hAnsi="Calibri"/>
          <w:color w:val="000000"/>
          <w:lang w:val="es-ES_tradnl"/>
        </w:rPr>
        <w:t>jurídico</w:t>
      </w:r>
      <w:r w:rsidRPr="009D1EA7">
        <w:rPr>
          <w:rFonts w:ascii="Calibri" w:hAnsi="Calibri"/>
          <w:color w:val="000000"/>
          <w:lang w:val="es-ES_tradnl"/>
        </w:rPr>
        <w:t xml:space="preserve"> sobre contratación de program manager para el aeropuerto el dorado. Radicado  No. 2015-704-003889-1 (25 de marzo)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rPr>
        <w:t>R</w:t>
      </w:r>
      <w:r w:rsidR="00EC4067" w:rsidRPr="009D1EA7">
        <w:rPr>
          <w:rFonts w:ascii="Calibri" w:hAnsi="Calibri"/>
          <w:color w:val="000000"/>
          <w:lang w:val="es-ES_tradnl"/>
        </w:rPr>
        <w:t>emisión</w:t>
      </w:r>
      <w:r w:rsidRPr="009D1EA7">
        <w:rPr>
          <w:rFonts w:ascii="Calibri" w:hAnsi="Calibri"/>
          <w:color w:val="000000"/>
          <w:lang w:val="es-ES_tradnl"/>
        </w:rPr>
        <w:t xml:space="preserve"> a la Gerencia de defensa judicial del informe sobre el presunto </w:t>
      </w:r>
      <w:r w:rsidR="00EC4067" w:rsidRPr="009D1EA7">
        <w:rPr>
          <w:rFonts w:ascii="Calibri" w:hAnsi="Calibri"/>
          <w:color w:val="000000"/>
          <w:lang w:val="es-ES_tradnl"/>
        </w:rPr>
        <w:t>incumplimiento</w:t>
      </w:r>
      <w:r w:rsidRPr="009D1EA7">
        <w:rPr>
          <w:rFonts w:ascii="Calibri" w:hAnsi="Calibri"/>
          <w:color w:val="000000"/>
          <w:lang w:val="es-ES_tradnl"/>
        </w:rPr>
        <w:t xml:space="preserve"> de OPAIN al indica</w:t>
      </w:r>
      <w:r w:rsidR="00EC4067" w:rsidRPr="009D1EA7">
        <w:rPr>
          <w:rFonts w:ascii="Calibri" w:hAnsi="Calibri"/>
          <w:color w:val="000000"/>
          <w:lang w:val="es-ES_tradnl"/>
        </w:rPr>
        <w:t>d</w:t>
      </w:r>
      <w:r w:rsidRPr="009D1EA7">
        <w:rPr>
          <w:rFonts w:ascii="Calibri" w:hAnsi="Calibri"/>
          <w:color w:val="000000"/>
          <w:lang w:val="es-ES_tradnl"/>
        </w:rPr>
        <w:t xml:space="preserve">or de transporte vertical </w:t>
      </w:r>
      <w:r w:rsidR="00EC4067" w:rsidRPr="009D1EA7">
        <w:rPr>
          <w:rFonts w:ascii="Calibri" w:hAnsi="Calibri"/>
          <w:color w:val="000000"/>
          <w:lang w:val="es-ES_tradnl"/>
        </w:rPr>
        <w:t>según</w:t>
      </w:r>
      <w:r w:rsidRPr="009D1EA7">
        <w:rPr>
          <w:rFonts w:ascii="Calibri" w:hAnsi="Calibri"/>
          <w:color w:val="000000"/>
          <w:lang w:val="es-ES_tradnl"/>
        </w:rPr>
        <w:t xml:space="preserve"> lo plasmado en el Otrosi No. 7. Radicado No. 2015-704-010524-3 (22de mayo)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 xml:space="preserve">Remisión a Viceministra de Turismo de la  respuesta de OPAIN sobre los cobros a las </w:t>
      </w:r>
      <w:r w:rsidR="00EC4067" w:rsidRPr="009D1EA7">
        <w:rPr>
          <w:rFonts w:ascii="Calibri" w:hAnsi="Calibri"/>
          <w:color w:val="000000"/>
          <w:lang w:val="es-ES_tradnl"/>
        </w:rPr>
        <w:t>Aerolíneas</w:t>
      </w:r>
      <w:r w:rsidRPr="009D1EA7">
        <w:rPr>
          <w:rFonts w:ascii="Calibri" w:hAnsi="Calibri"/>
          <w:color w:val="000000"/>
          <w:lang w:val="es-ES_tradnl"/>
        </w:rPr>
        <w:t xml:space="preserve"> Extranjeras</w:t>
      </w:r>
      <w:r w:rsidRPr="009D1EA7">
        <w:rPr>
          <w:rFonts w:ascii="Calibri" w:hAnsi="Calibri"/>
          <w:color w:val="000000"/>
          <w:lang w:val="es-ES_tradnl"/>
        </w:rPr>
        <w:tab/>
        <w:t>.Rad. No. 2015-704-010860-1 (22de mayo).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 xml:space="preserve">Respuesta a solicitud de concepto sobre </w:t>
      </w:r>
      <w:r w:rsidR="00EC4067" w:rsidRPr="009D1EA7">
        <w:rPr>
          <w:rFonts w:ascii="Calibri" w:hAnsi="Calibri"/>
          <w:color w:val="000000"/>
          <w:lang w:val="es-ES_tradnl"/>
        </w:rPr>
        <w:t>adición</w:t>
      </w:r>
      <w:r w:rsidRPr="009D1EA7">
        <w:rPr>
          <w:rFonts w:ascii="Calibri" w:hAnsi="Calibri"/>
          <w:color w:val="000000"/>
          <w:lang w:val="es-ES_tradnl"/>
        </w:rPr>
        <w:t xml:space="preserve"> de interv operativa </w:t>
      </w:r>
      <w:r w:rsidRPr="009D1EA7">
        <w:rPr>
          <w:rFonts w:ascii="Calibri" w:hAnsi="Calibri"/>
          <w:color w:val="000000"/>
          <w:lang w:val="es-ES_tradnl"/>
        </w:rPr>
        <w:tab/>
        <w:t xml:space="preserve">. radicado No. 2015-704-002828-3 (5 de marzo) </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respuesta a AVIANCA sobre terminal de carga rad. 2015-704-005039-1 (9 de marzo)</w:t>
      </w:r>
    </w:p>
    <w:p w:rsidR="00815BCB" w:rsidRPr="009D1EA7" w:rsidRDefault="00EC4067"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remisión</w:t>
      </w:r>
      <w:r w:rsidR="00815BCB" w:rsidRPr="009D1EA7">
        <w:rPr>
          <w:rFonts w:ascii="Calibri" w:hAnsi="Calibri"/>
          <w:color w:val="000000"/>
          <w:lang w:val="es-ES_tradnl"/>
        </w:rPr>
        <w:t xml:space="preserve"> a Aerocivil respuesta de OPAIN sobre cobro a </w:t>
      </w:r>
      <w:r w:rsidRPr="009D1EA7">
        <w:rPr>
          <w:rFonts w:ascii="Calibri" w:hAnsi="Calibri"/>
          <w:color w:val="000000"/>
          <w:lang w:val="es-ES_tradnl"/>
        </w:rPr>
        <w:t>aerolíneas</w:t>
      </w:r>
      <w:r w:rsidR="00815BCB" w:rsidRPr="009D1EA7">
        <w:rPr>
          <w:rFonts w:ascii="Calibri" w:hAnsi="Calibri"/>
          <w:color w:val="000000"/>
          <w:lang w:val="es-ES_tradnl"/>
        </w:rPr>
        <w:t xml:space="preserve"> extranjeras. Rad. No. 2015-704-010174-1(19 de mayo)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lastRenderedPageBreak/>
        <w:t>solicitud OPAIN para cumplimiento de LAUDO 2012.Rad. No. 2015-704-010382-1 (19 de mayo)</w:t>
      </w:r>
    </w:p>
    <w:p w:rsidR="00815BCB" w:rsidRPr="009D1EA7" w:rsidRDefault="00EC4067"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remisión</w:t>
      </w:r>
      <w:r w:rsidR="00815BCB" w:rsidRPr="009D1EA7">
        <w:rPr>
          <w:rFonts w:ascii="Calibri" w:hAnsi="Calibri"/>
          <w:color w:val="000000"/>
          <w:lang w:val="es-ES_tradnl"/>
        </w:rPr>
        <w:t xml:space="preserve"> a </w:t>
      </w:r>
      <w:r w:rsidRPr="009D1EA7">
        <w:rPr>
          <w:rFonts w:ascii="Calibri" w:hAnsi="Calibri"/>
          <w:color w:val="000000"/>
          <w:lang w:val="es-ES_tradnl"/>
        </w:rPr>
        <w:t>interventoría</w:t>
      </w:r>
      <w:r w:rsidR="00815BCB" w:rsidRPr="009D1EA7">
        <w:rPr>
          <w:rFonts w:ascii="Calibri" w:hAnsi="Calibri"/>
          <w:color w:val="000000"/>
          <w:lang w:val="es-ES_tradnl"/>
        </w:rPr>
        <w:t xml:space="preserve"> operativa descargos de opain sobre presunto </w:t>
      </w:r>
      <w:r w:rsidRPr="009D1EA7">
        <w:rPr>
          <w:rFonts w:ascii="Calibri" w:hAnsi="Calibri"/>
          <w:color w:val="000000"/>
          <w:lang w:val="es-ES_tradnl"/>
        </w:rPr>
        <w:t>incumplimiento</w:t>
      </w:r>
      <w:r w:rsidR="00815BCB" w:rsidRPr="009D1EA7">
        <w:rPr>
          <w:rFonts w:ascii="Calibri" w:hAnsi="Calibri"/>
          <w:color w:val="000000"/>
          <w:lang w:val="es-ES_tradnl"/>
        </w:rPr>
        <w:t xml:space="preserve"> de planes de acción.</w:t>
      </w:r>
      <w:r w:rsidR="00815BCB" w:rsidRPr="009D1EA7">
        <w:rPr>
          <w:rFonts w:ascii="Calibri" w:hAnsi="Calibri"/>
          <w:color w:val="000000"/>
          <w:lang w:val="es-ES_tradnl"/>
        </w:rPr>
        <w:tab/>
        <w:t>Rad. No. 2015-704-010441-1 (20 de mayo)</w:t>
      </w:r>
    </w:p>
    <w:p w:rsidR="00815BCB" w:rsidRPr="009D1EA7" w:rsidRDefault="00EC4067"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remisión</w:t>
      </w:r>
      <w:r w:rsidR="00815BCB" w:rsidRPr="009D1EA7">
        <w:rPr>
          <w:rFonts w:ascii="Calibri" w:hAnsi="Calibri"/>
          <w:color w:val="000000"/>
          <w:lang w:val="es-ES_tradnl"/>
        </w:rPr>
        <w:t xml:space="preserve"> a </w:t>
      </w:r>
      <w:r w:rsidRPr="009D1EA7">
        <w:rPr>
          <w:rFonts w:ascii="Calibri" w:hAnsi="Calibri"/>
          <w:color w:val="000000"/>
          <w:lang w:val="es-ES_tradnl"/>
        </w:rPr>
        <w:t>interventoría</w:t>
      </w:r>
      <w:r w:rsidR="00815BCB" w:rsidRPr="009D1EA7">
        <w:rPr>
          <w:rFonts w:ascii="Calibri" w:hAnsi="Calibri"/>
          <w:color w:val="000000"/>
          <w:lang w:val="es-ES_tradnl"/>
        </w:rPr>
        <w:t xml:space="preserve"> técnica descargos de opain sobre presunto incumplimiento a </w:t>
      </w:r>
      <w:r w:rsidRPr="009D1EA7">
        <w:rPr>
          <w:rFonts w:ascii="Calibri" w:hAnsi="Calibri"/>
          <w:color w:val="000000"/>
          <w:lang w:val="es-ES_tradnl"/>
        </w:rPr>
        <w:t>presentación</w:t>
      </w:r>
      <w:r w:rsidR="00815BCB" w:rsidRPr="009D1EA7">
        <w:rPr>
          <w:rFonts w:ascii="Calibri" w:hAnsi="Calibri"/>
          <w:color w:val="000000"/>
          <w:lang w:val="es-ES_tradnl"/>
        </w:rPr>
        <w:t xml:space="preserve"> de informe bimestral No. 42</w:t>
      </w:r>
      <w:r w:rsidR="00815BCB" w:rsidRPr="009D1EA7">
        <w:rPr>
          <w:rFonts w:ascii="Calibri" w:hAnsi="Calibri"/>
          <w:color w:val="000000"/>
          <w:lang w:val="es-ES_tradnl"/>
        </w:rPr>
        <w:tab/>
        <w:t>Rad. No. 2015-704-010442-1(20 de mayo)</w:t>
      </w:r>
    </w:p>
    <w:p w:rsidR="00815BCB" w:rsidRPr="00C21EDA"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sz w:val="24"/>
          <w:szCs w:val="24"/>
        </w:rPr>
      </w:pPr>
      <w:r w:rsidRPr="009D1EA7">
        <w:rPr>
          <w:rFonts w:ascii="Calibri" w:hAnsi="Calibri"/>
          <w:color w:val="000000"/>
          <w:lang w:val="es-ES_tradnl"/>
        </w:rPr>
        <w:t>concepto sobre viabilidad de modificar el Contrato de Concesión No. 6000169Ok de 2006 acorde con lo definido por el Tribunal de Arbitramento mediante Auto del 22 de abril de 2015. rad No. 2015-704-005830-3 (21 de mayo</w:t>
      </w:r>
      <w:r w:rsidRPr="00C21EDA">
        <w:rPr>
          <w:rFonts w:ascii="Calibri" w:hAnsi="Calibri"/>
          <w:color w:val="000000"/>
          <w:sz w:val="24"/>
          <w:szCs w:val="24"/>
          <w:lang w:val="es-ES_tradnl"/>
        </w:rPr>
        <w:t>)</w:t>
      </w:r>
    </w:p>
    <w:p w:rsidR="00815BCB" w:rsidRPr="00A35025" w:rsidRDefault="00815BCB" w:rsidP="00815BCB">
      <w:pPr>
        <w:widowControl w:val="0"/>
        <w:autoSpaceDE w:val="0"/>
        <w:autoSpaceDN w:val="0"/>
        <w:adjustRightInd w:val="0"/>
        <w:spacing w:after="0"/>
        <w:ind w:right="-518"/>
        <w:jc w:val="both"/>
        <w:rPr>
          <w:rFonts w:ascii="Calibri" w:eastAsia="Times New Roman" w:hAnsi="Calibri" w:cs="Arial"/>
          <w:color w:val="000000" w:themeColor="text1"/>
          <w:sz w:val="24"/>
          <w:szCs w:val="24"/>
        </w:rPr>
      </w:pPr>
    </w:p>
    <w:p w:rsidR="00815BCB" w:rsidRPr="00B30A99" w:rsidRDefault="00815BCB" w:rsidP="00815BCB">
      <w:pPr>
        <w:pStyle w:val="Prrafodelista"/>
        <w:widowControl w:val="0"/>
        <w:autoSpaceDE w:val="0"/>
        <w:autoSpaceDN w:val="0"/>
        <w:adjustRightInd w:val="0"/>
        <w:spacing w:after="0"/>
        <w:ind w:right="-518"/>
        <w:jc w:val="center"/>
        <w:rPr>
          <w:b/>
          <w:color w:val="000000" w:themeColor="text1"/>
          <w:sz w:val="24"/>
          <w:szCs w:val="24"/>
          <w:lang w:val="es-ES_tradnl"/>
        </w:rPr>
      </w:pPr>
      <w:r w:rsidRPr="00B30A99">
        <w:rPr>
          <w:b/>
          <w:color w:val="000000" w:themeColor="text1"/>
          <w:sz w:val="24"/>
          <w:szCs w:val="24"/>
          <w:lang w:val="es-ES_tradnl"/>
        </w:rPr>
        <w:t>Se emitieron los siguientes conceptos frente al aseguramiento</w:t>
      </w:r>
    </w:p>
    <w:p w:rsidR="00815BCB" w:rsidRPr="009D1EA7" w:rsidRDefault="00815BCB" w:rsidP="00815BCB">
      <w:pPr>
        <w:widowControl w:val="0"/>
        <w:autoSpaceDE w:val="0"/>
        <w:autoSpaceDN w:val="0"/>
        <w:adjustRightInd w:val="0"/>
        <w:spacing w:after="0"/>
        <w:ind w:left="-567" w:right="-518"/>
        <w:jc w:val="center"/>
        <w:rPr>
          <w:rFonts w:ascii="Calibri" w:hAnsi="Calibri"/>
          <w:b/>
          <w:color w:val="000000" w:themeColor="text1"/>
          <w:lang w:val="es-ES_tradnl"/>
        </w:rPr>
      </w:pP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Memorando Gerencia Financiera calculo valores póliza cumplimiento. Mediante memorando Radicado. No. 2015-704-000586-3.</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Solicitud Anexo 3 original póliza RCE No. 481. Mediante memorando Radicado. No.2015-704-000674-1.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Memorando aprobación póliza de RCE 315. Mediante radicado No.2015-704-001640-3.</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Instrucción Opain Ajuste Póliza Multiriesgo. Mediante radicado No.2015-704-001299-1.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memorando aprobación póliza de RCE 481. Mediante radicado No.2015-704-001639-3.</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Remisión Opain acta aprobación Póliza RCE 481. Mediante Oficio No. No. 2015-704-004426-1.</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Memorando aprobación póliza de RCE 315. Mediante radicado No. 2015-704-003406-3.</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R</w:t>
      </w:r>
      <w:r w:rsidR="00EC4067" w:rsidRPr="009D1EA7">
        <w:rPr>
          <w:rFonts w:ascii="Calibri" w:hAnsi="Calibri"/>
          <w:color w:val="000000"/>
          <w:lang w:val="es-ES_tradnl"/>
        </w:rPr>
        <w:t>emisión</w:t>
      </w:r>
      <w:r w:rsidRPr="009D1EA7">
        <w:rPr>
          <w:rFonts w:ascii="Calibri" w:hAnsi="Calibri"/>
          <w:color w:val="000000"/>
          <w:lang w:val="es-ES_tradnl"/>
        </w:rPr>
        <w:t xml:space="preserve"> opain acta </w:t>
      </w:r>
      <w:r w:rsidR="00EC4067" w:rsidRPr="009D1EA7">
        <w:rPr>
          <w:rFonts w:ascii="Calibri" w:hAnsi="Calibri"/>
          <w:color w:val="000000"/>
          <w:lang w:val="es-ES_tradnl"/>
        </w:rPr>
        <w:t>aprobación</w:t>
      </w:r>
      <w:r w:rsidRPr="009D1EA7">
        <w:rPr>
          <w:rFonts w:ascii="Calibri" w:hAnsi="Calibri"/>
          <w:color w:val="000000"/>
          <w:lang w:val="es-ES_tradnl"/>
        </w:rPr>
        <w:t xml:space="preserve"> </w:t>
      </w:r>
      <w:r w:rsidR="00EC4067" w:rsidRPr="009D1EA7">
        <w:rPr>
          <w:rFonts w:ascii="Calibri" w:hAnsi="Calibri"/>
          <w:color w:val="000000"/>
          <w:lang w:val="es-ES_tradnl"/>
        </w:rPr>
        <w:t>póliza</w:t>
      </w:r>
      <w:r w:rsidRPr="009D1EA7">
        <w:rPr>
          <w:rFonts w:ascii="Calibri" w:hAnsi="Calibri"/>
          <w:color w:val="000000"/>
          <w:lang w:val="es-ES_tradnl"/>
        </w:rPr>
        <w:t xml:space="preserve"> RCE 315. Radicado No. 2015-704-004425-1 (3 de marzo)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eastAsia="Times New Roman" w:hAnsi="Calibri" w:cs="Arial"/>
          <w:color w:val="000000" w:themeColor="text1"/>
        </w:rPr>
        <w:t>M</w:t>
      </w:r>
      <w:r w:rsidR="00EC4067" w:rsidRPr="009D1EA7">
        <w:rPr>
          <w:rFonts w:ascii="Calibri" w:hAnsi="Calibri"/>
          <w:color w:val="000000"/>
          <w:lang w:val="es-ES_tradnl"/>
        </w:rPr>
        <w:t>memorando</w:t>
      </w:r>
      <w:r w:rsidRPr="009D1EA7">
        <w:rPr>
          <w:rFonts w:ascii="Calibri" w:hAnsi="Calibri"/>
          <w:color w:val="000000"/>
          <w:lang w:val="es-ES_tradnl"/>
        </w:rPr>
        <w:t xml:space="preserve"> </w:t>
      </w:r>
      <w:r w:rsidR="00EC4067" w:rsidRPr="009D1EA7">
        <w:rPr>
          <w:rFonts w:ascii="Calibri" w:hAnsi="Calibri"/>
          <w:color w:val="000000"/>
          <w:lang w:val="es-ES_tradnl"/>
        </w:rPr>
        <w:t>aprobación</w:t>
      </w:r>
      <w:r w:rsidRPr="009D1EA7">
        <w:rPr>
          <w:rFonts w:ascii="Calibri" w:hAnsi="Calibri"/>
          <w:color w:val="000000"/>
          <w:lang w:val="es-ES_tradnl"/>
        </w:rPr>
        <w:t xml:space="preserve"> </w:t>
      </w:r>
      <w:r w:rsidR="00EC4067" w:rsidRPr="009D1EA7">
        <w:rPr>
          <w:rFonts w:ascii="Calibri" w:hAnsi="Calibri"/>
          <w:color w:val="000000"/>
          <w:lang w:val="es-ES_tradnl"/>
        </w:rPr>
        <w:t>póliza</w:t>
      </w:r>
      <w:r w:rsidRPr="009D1EA7">
        <w:rPr>
          <w:rFonts w:ascii="Calibri" w:hAnsi="Calibri"/>
          <w:color w:val="000000"/>
          <w:lang w:val="es-ES_tradnl"/>
        </w:rPr>
        <w:t xml:space="preserve"> multiriesgo de OPAIN. Radicado No. 2015-704-003406-3    (15 de marzo)</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 xml:space="preserve">solicitud de concepto a la interv financiera sobre la </w:t>
      </w:r>
      <w:r w:rsidR="00EC4067" w:rsidRPr="009D1EA7">
        <w:rPr>
          <w:rFonts w:ascii="Calibri" w:hAnsi="Calibri"/>
          <w:color w:val="000000"/>
          <w:lang w:val="es-ES_tradnl"/>
        </w:rPr>
        <w:t>póliza</w:t>
      </w:r>
      <w:r w:rsidRPr="009D1EA7">
        <w:rPr>
          <w:rFonts w:ascii="Calibri" w:hAnsi="Calibri"/>
          <w:color w:val="000000"/>
          <w:lang w:val="es-ES_tradnl"/>
        </w:rPr>
        <w:t xml:space="preserve"> de cumplimiento de opain  Radicado No. 2015-704-006052-1 ( 20 de marzo)</w:t>
      </w:r>
    </w:p>
    <w:p w:rsidR="00815BCB" w:rsidRPr="009D1EA7" w:rsidRDefault="00EC4067"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remisión</w:t>
      </w:r>
      <w:r w:rsidR="00815BCB" w:rsidRPr="009D1EA7">
        <w:rPr>
          <w:rFonts w:ascii="Calibri" w:hAnsi="Calibri"/>
          <w:color w:val="000000"/>
          <w:lang w:val="es-ES_tradnl"/>
        </w:rPr>
        <w:t xml:space="preserve"> a OPAIN del acta de </w:t>
      </w:r>
      <w:r w:rsidRPr="009D1EA7">
        <w:rPr>
          <w:rFonts w:ascii="Calibri" w:hAnsi="Calibri"/>
          <w:color w:val="000000"/>
          <w:lang w:val="es-ES_tradnl"/>
        </w:rPr>
        <w:t>aprobación</w:t>
      </w:r>
      <w:r w:rsidR="00815BCB" w:rsidRPr="009D1EA7">
        <w:rPr>
          <w:rFonts w:ascii="Calibri" w:hAnsi="Calibri"/>
          <w:color w:val="000000"/>
          <w:lang w:val="es-ES_tradnl"/>
        </w:rPr>
        <w:t xml:space="preserve"> de la </w:t>
      </w:r>
      <w:r w:rsidRPr="009D1EA7">
        <w:rPr>
          <w:rFonts w:ascii="Calibri" w:hAnsi="Calibri"/>
          <w:color w:val="000000"/>
          <w:lang w:val="es-ES_tradnl"/>
        </w:rPr>
        <w:t>póliza</w:t>
      </w:r>
      <w:r w:rsidR="00815BCB" w:rsidRPr="009D1EA7">
        <w:rPr>
          <w:rFonts w:ascii="Calibri" w:hAnsi="Calibri"/>
          <w:color w:val="000000"/>
          <w:lang w:val="es-ES_tradnl"/>
        </w:rPr>
        <w:t xml:space="preserve"> multiriesgo . radicado No. 2015-704-006508-1 (27 de marzo) </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 xml:space="preserve">solicitud </w:t>
      </w:r>
      <w:r w:rsidR="00EC4067" w:rsidRPr="009D1EA7">
        <w:rPr>
          <w:rFonts w:ascii="Calibri" w:hAnsi="Calibri"/>
          <w:color w:val="000000"/>
          <w:lang w:val="es-ES_tradnl"/>
        </w:rPr>
        <w:t>póliza</w:t>
      </w:r>
      <w:r w:rsidRPr="009D1EA7">
        <w:rPr>
          <w:rFonts w:ascii="Calibri" w:hAnsi="Calibri"/>
          <w:color w:val="000000"/>
          <w:lang w:val="es-ES_tradnl"/>
        </w:rPr>
        <w:t xml:space="preserve"> de cumplimiento del </w:t>
      </w:r>
      <w:r w:rsidR="00EC4067" w:rsidRPr="009D1EA7">
        <w:rPr>
          <w:rFonts w:ascii="Calibri" w:hAnsi="Calibri"/>
          <w:color w:val="000000"/>
          <w:lang w:val="es-ES_tradnl"/>
        </w:rPr>
        <w:t>otrosí</w:t>
      </w:r>
      <w:r w:rsidRPr="009D1EA7">
        <w:rPr>
          <w:rFonts w:ascii="Calibri" w:hAnsi="Calibri"/>
          <w:color w:val="000000"/>
          <w:lang w:val="es-ES_tradnl"/>
        </w:rPr>
        <w:t xml:space="preserve"> No. 5 del contrato. Radicado No. 2015-704-007230-1 (8 de abril) </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 xml:space="preserve">aprobación </w:t>
      </w:r>
      <w:r w:rsidR="00EC4067" w:rsidRPr="009D1EA7">
        <w:rPr>
          <w:rFonts w:ascii="Calibri" w:hAnsi="Calibri"/>
          <w:color w:val="000000"/>
          <w:lang w:val="es-ES_tradnl"/>
        </w:rPr>
        <w:t>póliza</w:t>
      </w:r>
      <w:r w:rsidRPr="009D1EA7">
        <w:rPr>
          <w:rFonts w:ascii="Calibri" w:hAnsi="Calibri"/>
          <w:color w:val="000000"/>
          <w:lang w:val="es-ES_tradnl"/>
        </w:rPr>
        <w:t xml:space="preserve"> de cumplimiento No.P-100001966 Anexo 26. Memorando No.2015-704-004650-3 (28 de abril).</w:t>
      </w:r>
    </w:p>
    <w:p w:rsidR="00815BCB" w:rsidRPr="009D1EA7" w:rsidRDefault="00EC4067" w:rsidP="00F33349">
      <w:pPr>
        <w:pStyle w:val="Prrafodelista"/>
        <w:widowControl w:val="0"/>
        <w:numPr>
          <w:ilvl w:val="0"/>
          <w:numId w:val="104"/>
        </w:numPr>
        <w:autoSpaceDE w:val="0"/>
        <w:autoSpaceDN w:val="0"/>
        <w:adjustRightInd w:val="0"/>
        <w:spacing w:after="0" w:line="259" w:lineRule="auto"/>
        <w:ind w:left="993" w:right="-518" w:hanging="426"/>
        <w:jc w:val="both"/>
        <w:rPr>
          <w:rFonts w:ascii="Calibri" w:eastAsia="Times New Roman" w:hAnsi="Calibri" w:cs="Arial"/>
          <w:color w:val="000000" w:themeColor="text1"/>
        </w:rPr>
      </w:pPr>
      <w:r w:rsidRPr="009D1EA7">
        <w:rPr>
          <w:rFonts w:ascii="Calibri" w:hAnsi="Calibri"/>
          <w:color w:val="000000"/>
          <w:lang w:val="es-ES_tradnl"/>
        </w:rPr>
        <w:t>remisión</w:t>
      </w:r>
      <w:r w:rsidR="00815BCB" w:rsidRPr="009D1EA7">
        <w:rPr>
          <w:rFonts w:ascii="Calibri" w:hAnsi="Calibri"/>
          <w:color w:val="000000"/>
          <w:lang w:val="es-ES_tradnl"/>
        </w:rPr>
        <w:t xml:space="preserve"> a OPAIN acta de aprobación de </w:t>
      </w:r>
      <w:r w:rsidRPr="009D1EA7">
        <w:rPr>
          <w:rFonts w:ascii="Calibri" w:hAnsi="Calibri"/>
          <w:color w:val="000000"/>
          <w:lang w:val="es-ES_tradnl"/>
        </w:rPr>
        <w:t>póliza</w:t>
      </w:r>
      <w:r w:rsidR="00815BCB" w:rsidRPr="009D1EA7">
        <w:rPr>
          <w:rFonts w:ascii="Calibri" w:hAnsi="Calibri"/>
          <w:color w:val="000000"/>
          <w:lang w:val="es-ES_tradnl"/>
        </w:rPr>
        <w:t xml:space="preserve"> de cumplimiento No. P-100001966 </w:t>
      </w:r>
      <w:r w:rsidR="00815BCB" w:rsidRPr="009D1EA7">
        <w:rPr>
          <w:rFonts w:ascii="Calibri" w:hAnsi="Calibri"/>
          <w:color w:val="000000"/>
          <w:lang w:val="es-ES_tradnl"/>
        </w:rPr>
        <w:tab/>
        <w:t>Rad. No. 2015-704-010764-1(21de mayo)</w:t>
      </w:r>
    </w:p>
    <w:p w:rsidR="00815BCB" w:rsidRPr="00A35025" w:rsidRDefault="00815BCB" w:rsidP="00815BCB">
      <w:pPr>
        <w:spacing w:after="0"/>
        <w:ind w:right="-518"/>
        <w:jc w:val="center"/>
        <w:rPr>
          <w:rFonts w:ascii="Calibri" w:hAnsi="Calibri"/>
          <w:i/>
          <w:sz w:val="24"/>
          <w:szCs w:val="24"/>
        </w:rPr>
      </w:pPr>
    </w:p>
    <w:p w:rsidR="00815BCB" w:rsidRPr="000A5673" w:rsidRDefault="00815BCB" w:rsidP="00815BCB">
      <w:pPr>
        <w:spacing w:after="0"/>
        <w:ind w:right="-518"/>
        <w:jc w:val="center"/>
        <w:rPr>
          <w:rFonts w:ascii="Calibri" w:hAnsi="Calibri"/>
          <w:b/>
          <w:i/>
          <w:sz w:val="24"/>
          <w:szCs w:val="24"/>
        </w:rPr>
      </w:pPr>
      <w:r w:rsidRPr="000A5673">
        <w:rPr>
          <w:rFonts w:ascii="Calibri" w:hAnsi="Calibri"/>
          <w:b/>
          <w:i/>
          <w:sz w:val="24"/>
          <w:szCs w:val="24"/>
        </w:rPr>
        <w:t xml:space="preserve"> AEROPUERTO SAN ANDRÉS </w:t>
      </w:r>
    </w:p>
    <w:p w:rsidR="00815BCB" w:rsidRDefault="00815BCB" w:rsidP="00815BCB">
      <w:pPr>
        <w:spacing w:after="0"/>
        <w:ind w:right="-518"/>
        <w:jc w:val="center"/>
        <w:rPr>
          <w:rFonts w:ascii="Calibri" w:hAnsi="Calibri"/>
          <w:b/>
          <w:color w:val="000000"/>
          <w:lang w:val="es-ES_tradnl"/>
        </w:rPr>
      </w:pPr>
      <w:r w:rsidRPr="00D931D0">
        <w:rPr>
          <w:rFonts w:ascii="Calibri" w:hAnsi="Calibri"/>
          <w:b/>
          <w:color w:val="000000"/>
          <w:lang w:val="es-ES_tradnl"/>
        </w:rPr>
        <w:t>Se emitieron los siguientes conceptos y documentos contractuales</w:t>
      </w:r>
    </w:p>
    <w:p w:rsidR="00815BCB" w:rsidRPr="00D931D0" w:rsidRDefault="00815BCB" w:rsidP="00815BCB">
      <w:pPr>
        <w:spacing w:after="0"/>
        <w:ind w:right="-518"/>
        <w:jc w:val="center"/>
        <w:rPr>
          <w:rFonts w:ascii="Calibri" w:hAnsi="Calibri"/>
          <w:b/>
          <w:color w:val="000000"/>
          <w:lang w:val="es-ES_tradnl"/>
        </w:rPr>
      </w:pP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Revisión informe de interventoría mes de septiembre. Mediante correo electrónico del 2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eastAsia="Times New Roman" w:hAnsi="Calibri" w:cs="Arial"/>
          <w:color w:val="000000"/>
        </w:rPr>
      </w:pPr>
      <w:r w:rsidRPr="009D1EA7">
        <w:rPr>
          <w:rFonts w:ascii="Calibri" w:eastAsia="Times New Roman" w:hAnsi="Calibri" w:cs="Arial"/>
          <w:color w:val="000000"/>
        </w:rPr>
        <w:t>Se proyectó memorando con destino a la jefatura de archivo y correspondencia para determinar saber si una documentación se encontraba en original. Radicado No.2015-704-000995-3 del 23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lang w:val="es-ES_tradnl"/>
        </w:rPr>
        <w:t xml:space="preserve">Se </w:t>
      </w:r>
      <w:r w:rsidRPr="009D1EA7">
        <w:rPr>
          <w:rFonts w:ascii="Calibri" w:eastAsia="Times New Roman" w:hAnsi="Calibri" w:cs="Arial"/>
          <w:color w:val="000000"/>
        </w:rPr>
        <w:t xml:space="preserve">proyecto oficio de respuesta al requerimiento efectuado por la Unidad Administrativa </w:t>
      </w:r>
      <w:r w:rsidRPr="009D1EA7">
        <w:rPr>
          <w:rFonts w:ascii="Calibri" w:eastAsia="Times New Roman" w:hAnsi="Calibri" w:cs="Arial"/>
          <w:color w:val="000000"/>
        </w:rPr>
        <w:lastRenderedPageBreak/>
        <w:t>Especial de Aeronáutica Civil. Mediante radicado No. 2015-704-001509-1 del 26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Fue solicitado concepto a afa s.a. sobre la propiedad de los bienes ubicados en la sede de casyp en la ciudad de Bogotá D.C. Mediante radicado No. 20157040016451 el 28 de enero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Se proyectó oficio con destino a la Aerocivil solicitando confirmación fecha de retoma. Mediante radicado No.2015-704-002368-1 del 5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Se proyectó oficio con destino a CASYP S.A.Mediante radicado No. 2015-704-002465-1 del 6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Respuesta al Oficio Rad. AEROCIVIL No. 1070.092.6.2015004244 de 5 de febrero de 2015 en el que manifiesta que la Aerocivil continuará vía cesión con la ejecución de los contratos comerciales suscritos por CASYP S.A. excepto el de Chevron por lo que solicita la posición de la Agencia frente a este punto. Mediante radicado No. 2015-704-002618-1 del 10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Se proyectó oficio solicitud de confirmación fecha de retoma de los aeropuertos Gustavo Rojas Pinilla y El Embrujo. Mediante radicado No. 2015-704-002617-1 del 10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Se revisaron 74 carpetas contentivas de contratos comerciales suscritos por CASYP S.A. durante la vigencia del Contrato De Concesión. Mediante correo electrónico del 16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Elaboración de oficio con destino a la inspectora del trabajo solicitando su acompañamiento en el proceso de terminación del CONTRATO DE CONCESIÓN No. 7000002-OK-2007. Mediante radicado No. 20157040029431 del 13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 xml:space="preserve">Solicitud inspectora de trabajo del </w:t>
      </w:r>
      <w:r w:rsidR="00EC4067" w:rsidRPr="009D1EA7">
        <w:rPr>
          <w:rFonts w:ascii="Calibri" w:eastAsia="Times New Roman" w:hAnsi="Calibri" w:cs="Arial"/>
          <w:color w:val="000000"/>
        </w:rPr>
        <w:t>Archipiélago</w:t>
      </w:r>
      <w:r w:rsidRPr="009D1EA7">
        <w:rPr>
          <w:rFonts w:ascii="Calibri" w:eastAsia="Times New Roman" w:hAnsi="Calibri" w:cs="Arial"/>
          <w:color w:val="000000"/>
        </w:rPr>
        <w:t xml:space="preserve"> de san Andrés. Mediante radicado No.</w:t>
      </w:r>
      <w:r w:rsidRPr="009D1EA7">
        <w:rPr>
          <w:rFonts w:ascii="Calibri" w:hAnsi="Calibri"/>
          <w:color w:val="000000"/>
          <w:shd w:val="clear" w:color="auto" w:fill="FFFFFF"/>
        </w:rPr>
        <w:t>20157040029431 del 12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Se revisó el manual de reversiones de la agencia, a fin de ajustar el formato del acta de terminación del Contrato De Concesión. Acta de Terminación del 12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Se proyectó para firma del vicepresidente de gestión contractual, el acta de terminación del Contrato de Concesión No. 7000002-ok-2007. Acta de Terminación del 12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 xml:space="preserve">Se </w:t>
      </w:r>
      <w:r w:rsidR="00EC4067" w:rsidRPr="009D1EA7">
        <w:rPr>
          <w:rFonts w:ascii="Calibri" w:eastAsia="Times New Roman" w:hAnsi="Calibri" w:cs="Arial"/>
          <w:color w:val="000000"/>
        </w:rPr>
        <w:t>proyectó</w:t>
      </w:r>
      <w:r w:rsidRPr="009D1EA7">
        <w:rPr>
          <w:rFonts w:ascii="Calibri" w:eastAsia="Times New Roman" w:hAnsi="Calibri" w:cs="Arial"/>
          <w:color w:val="000000"/>
        </w:rPr>
        <w:t xml:space="preserve"> para firma del Vicepresidente De </w:t>
      </w:r>
      <w:r w:rsidR="00EC4067" w:rsidRPr="009D1EA7">
        <w:rPr>
          <w:rFonts w:ascii="Calibri" w:eastAsia="Times New Roman" w:hAnsi="Calibri" w:cs="Arial"/>
          <w:color w:val="000000"/>
        </w:rPr>
        <w:t>Gestión</w:t>
      </w:r>
      <w:r w:rsidRPr="009D1EA7">
        <w:rPr>
          <w:rFonts w:ascii="Calibri" w:eastAsia="Times New Roman" w:hAnsi="Calibri" w:cs="Arial"/>
          <w:color w:val="000000"/>
        </w:rPr>
        <w:t xml:space="preserve"> Contractual de la agencia nacional de infraestructura, la </w:t>
      </w:r>
      <w:r w:rsidR="00EC4067" w:rsidRPr="009D1EA7">
        <w:rPr>
          <w:rFonts w:ascii="Calibri" w:eastAsia="Times New Roman" w:hAnsi="Calibri" w:cs="Arial"/>
          <w:color w:val="000000"/>
        </w:rPr>
        <w:t>Interventoría</w:t>
      </w:r>
      <w:r w:rsidRPr="009D1EA7">
        <w:rPr>
          <w:rFonts w:ascii="Calibri" w:eastAsia="Times New Roman" w:hAnsi="Calibri" w:cs="Arial"/>
          <w:color w:val="000000"/>
        </w:rPr>
        <w:t xml:space="preserve"> y la Aerocivil, la certificación y acta de estado de condición de los bienes entregados por CASYP S.A. a la agencia y entrega simultánea a la Aerocivil por parte de la agencia.</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Suscripción de la certificación y acta de estado y condiciones de los bienes, en virtud de la entrega de elementos por parte de la Concesión Aeropuerto De San Andres Y Providencia - casyp s.a. en liquidación. Del 16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rPr>
        <w:t xml:space="preserve">SE PROYECTO OFICIO CON DESTINO A CASYP S.A. CONFIRMANDO LA FECHA DE RETOMA DE LOS AEROPUERTOS OBJETO DE CONCESION. Mediante radicado </w:t>
      </w:r>
      <w:r w:rsidRPr="009D1EA7">
        <w:rPr>
          <w:rFonts w:ascii="Calibri" w:eastAsia="Times New Roman" w:hAnsi="Calibri" w:cs="Arial"/>
          <w:color w:val="000000"/>
        </w:rPr>
        <w:t>2015-704-002891-1 del 18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b/>
          <w:color w:val="000000"/>
          <w:lang w:val="es-ES_tradnl"/>
        </w:rPr>
      </w:pPr>
      <w:r w:rsidRPr="009D1EA7">
        <w:rPr>
          <w:rFonts w:ascii="Calibri" w:eastAsia="Times New Roman" w:hAnsi="Calibri" w:cs="Arial"/>
          <w:color w:val="000000"/>
        </w:rPr>
        <w:t>Remisión oficio informativo liquidación sociedad CASYP S.A.</w:t>
      </w:r>
      <w:r w:rsidR="00EC4067" w:rsidRPr="009D1EA7">
        <w:rPr>
          <w:rFonts w:ascii="Calibri" w:eastAsia="Times New Roman" w:hAnsi="Calibri" w:cs="Arial"/>
          <w:color w:val="000000"/>
        </w:rPr>
        <w:t xml:space="preserve"> </w:t>
      </w:r>
      <w:r w:rsidRPr="009D1EA7">
        <w:rPr>
          <w:rFonts w:ascii="Calibri" w:eastAsia="Times New Roman" w:hAnsi="Calibri" w:cs="Arial"/>
          <w:color w:val="000000"/>
        </w:rPr>
        <w:t>radicado No. 2015-704-003713-1 del 23 de febrero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eastAsia="Times New Roman" w:hAnsi="Calibri" w:cs="Arial"/>
          <w:color w:val="000000"/>
        </w:rPr>
        <w:t>SE PROYECTO OFICIO REMITIENDO A LA AEROCIVIL EL CONTENIDO DE LA RESOLUCION SIC 8896 DE 2015. Mediante Radicado No. 2015-704-005504-1 del 13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eastAsia="Times New Roman" w:hAnsi="Calibri" w:cs="Arial"/>
          <w:color w:val="000000"/>
        </w:rPr>
        <w:t xml:space="preserve">Se </w:t>
      </w:r>
      <w:r w:rsidR="00EC4067" w:rsidRPr="009D1EA7">
        <w:rPr>
          <w:rFonts w:ascii="Calibri" w:eastAsia="Times New Roman" w:hAnsi="Calibri" w:cs="Arial"/>
          <w:color w:val="000000"/>
        </w:rPr>
        <w:t>proyectó</w:t>
      </w:r>
      <w:r w:rsidRPr="009D1EA7">
        <w:rPr>
          <w:rFonts w:ascii="Calibri" w:eastAsia="Times New Roman" w:hAnsi="Calibri" w:cs="Arial"/>
          <w:color w:val="000000"/>
        </w:rPr>
        <w:t xml:space="preserve"> oficio de respuesta a aerocivil sobre estado de cartera de la </w:t>
      </w:r>
      <w:r w:rsidR="00EC4067" w:rsidRPr="009D1EA7">
        <w:rPr>
          <w:rFonts w:ascii="Calibri" w:eastAsia="Times New Roman" w:hAnsi="Calibri" w:cs="Arial"/>
          <w:color w:val="000000"/>
        </w:rPr>
        <w:t>concesión</w:t>
      </w:r>
      <w:r w:rsidRPr="009D1EA7">
        <w:rPr>
          <w:rFonts w:ascii="Calibri" w:eastAsia="Times New Roman" w:hAnsi="Calibri" w:cs="Arial"/>
          <w:color w:val="000000"/>
        </w:rPr>
        <w:t xml:space="preserve"> no. 7000002-ok-2007. Mediante radicado 2015-704-006015-1 del 19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eastAsia="Times New Roman" w:hAnsi="Calibri" w:cs="Arial"/>
          <w:color w:val="000000"/>
        </w:rPr>
        <w:t xml:space="preserve">Se proyectó oficio con destino aerocivil, informando el estado de la pista del aeropuerto de </w:t>
      </w:r>
      <w:r w:rsidRPr="009D1EA7">
        <w:rPr>
          <w:rFonts w:ascii="Calibri" w:eastAsia="Times New Roman" w:hAnsi="Calibri" w:cs="Arial"/>
          <w:color w:val="000000"/>
        </w:rPr>
        <w:lastRenderedPageBreak/>
        <w:t>providencia. Mediante radicado no.2015-704-006043-1 del 20 de marzo de 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hAnsi="Calibri"/>
          <w:color w:val="000000"/>
          <w:lang w:val="es-ES_tradnl"/>
        </w:rPr>
        <w:t xml:space="preserve">Fue revisado oficio con destino a casyp s.a. Como respuesta al tema de los archivos de la </w:t>
      </w:r>
      <w:r w:rsidR="00EC4067" w:rsidRPr="009D1EA7">
        <w:rPr>
          <w:rFonts w:ascii="Calibri" w:hAnsi="Calibri"/>
          <w:color w:val="000000"/>
          <w:lang w:val="es-ES_tradnl"/>
        </w:rPr>
        <w:t>concesión</w:t>
      </w:r>
      <w:r w:rsidRPr="009D1EA7">
        <w:rPr>
          <w:rFonts w:ascii="Calibri" w:hAnsi="Calibri"/>
          <w:color w:val="000000"/>
          <w:lang w:val="es-ES_tradnl"/>
        </w:rPr>
        <w:t>.</w:t>
      </w:r>
      <w:r w:rsidRPr="009D1EA7">
        <w:rPr>
          <w:rFonts w:ascii="Calibri" w:hAnsi="Calibri"/>
          <w:color w:val="000000"/>
          <w:lang w:val="es-ES_tradnl"/>
        </w:rPr>
        <w:tab/>
        <w:t>Oficio radicado no. 2015-409-007851-1</w:t>
      </w:r>
      <w:r w:rsidRPr="009D1EA7">
        <w:rPr>
          <w:rFonts w:ascii="Calibri" w:hAnsi="Calibri"/>
          <w:color w:val="000000"/>
          <w:lang w:val="es-ES_tradnl"/>
        </w:rPr>
        <w:tab/>
        <w:t>15/04/2015.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hAnsi="Calibri"/>
          <w:color w:val="000000"/>
          <w:lang w:val="es-ES_tradnl"/>
        </w:rPr>
        <w:t xml:space="preserve">Se </w:t>
      </w:r>
      <w:r w:rsidR="00EC4067" w:rsidRPr="009D1EA7">
        <w:rPr>
          <w:rFonts w:ascii="Calibri" w:hAnsi="Calibri"/>
          <w:color w:val="000000"/>
          <w:lang w:val="es-ES_tradnl"/>
        </w:rPr>
        <w:t>proyectó</w:t>
      </w:r>
      <w:r w:rsidRPr="009D1EA7">
        <w:rPr>
          <w:rFonts w:ascii="Calibri" w:hAnsi="Calibri"/>
          <w:color w:val="000000"/>
          <w:lang w:val="es-ES_tradnl"/>
        </w:rPr>
        <w:t xml:space="preserve"> y revisó el oficio conjunto cgif - ggc2 con destino a la interventoría, solicitando información sobre los pendientes del contrato de concesión 7000002-ok-2007 para efectos de liquidación.</w:t>
      </w:r>
      <w:r w:rsidRPr="009D1EA7">
        <w:rPr>
          <w:rFonts w:ascii="Calibri" w:hAnsi="Calibri"/>
          <w:color w:val="000000"/>
          <w:lang w:val="es-ES_tradnl"/>
        </w:rPr>
        <w:tab/>
        <w:t>Oficio no. 20153080084281</w:t>
      </w:r>
      <w:r w:rsidRPr="009D1EA7">
        <w:rPr>
          <w:rFonts w:ascii="Calibri" w:hAnsi="Calibri"/>
          <w:color w:val="000000"/>
          <w:lang w:val="es-ES_tradnl"/>
        </w:rPr>
        <w:tab/>
        <w:t>24/04/2015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hAnsi="Calibri"/>
          <w:color w:val="000000"/>
          <w:lang w:val="es-ES_tradnl"/>
        </w:rPr>
        <w:t xml:space="preserve">Se elaboró oficio con destino a casyp s.a. Con el fin de que sean tenidos en cuenta al momento de la liquidación del contrato de </w:t>
      </w:r>
      <w:r w:rsidR="00EC4067" w:rsidRPr="009D1EA7">
        <w:rPr>
          <w:rFonts w:ascii="Calibri" w:hAnsi="Calibri"/>
          <w:color w:val="000000"/>
          <w:lang w:val="es-ES_tradnl"/>
        </w:rPr>
        <w:t>concesión</w:t>
      </w:r>
      <w:r w:rsidRPr="009D1EA7">
        <w:rPr>
          <w:rFonts w:ascii="Calibri" w:hAnsi="Calibri"/>
          <w:color w:val="000000"/>
          <w:lang w:val="es-ES_tradnl"/>
        </w:rPr>
        <w:t xml:space="preserve">, el concepto emitido por la aerocivil respecto a los impuestos prediales del contrato de los aeropuertos </w:t>
      </w:r>
      <w:r w:rsidR="00EC4067" w:rsidRPr="009D1EA7">
        <w:rPr>
          <w:rFonts w:ascii="Calibri" w:hAnsi="Calibri"/>
          <w:color w:val="000000"/>
          <w:lang w:val="es-ES_tradnl"/>
        </w:rPr>
        <w:t>Gustavo</w:t>
      </w:r>
      <w:r w:rsidRPr="009D1EA7">
        <w:rPr>
          <w:rFonts w:ascii="Calibri" w:hAnsi="Calibri"/>
          <w:color w:val="000000"/>
          <w:lang w:val="es-ES_tradnl"/>
        </w:rPr>
        <w:t xml:space="preserve"> rojas pinilla de san </w:t>
      </w:r>
      <w:r w:rsidR="00EC4067" w:rsidRPr="009D1EA7">
        <w:rPr>
          <w:rFonts w:ascii="Calibri" w:hAnsi="Calibri"/>
          <w:color w:val="000000"/>
          <w:lang w:val="es-ES_tradnl"/>
        </w:rPr>
        <w:t>Andres</w:t>
      </w:r>
      <w:r w:rsidRPr="009D1EA7">
        <w:rPr>
          <w:rFonts w:ascii="Calibri" w:hAnsi="Calibri"/>
          <w:color w:val="000000"/>
          <w:lang w:val="es-ES_tradnl"/>
        </w:rPr>
        <w:t xml:space="preserve"> y el embrujo de providencia.</w:t>
      </w:r>
      <w:r w:rsidR="00EC4067" w:rsidRPr="009D1EA7">
        <w:rPr>
          <w:rFonts w:ascii="Calibri" w:hAnsi="Calibri"/>
          <w:color w:val="000000"/>
          <w:lang w:val="es-ES_tradnl"/>
        </w:rPr>
        <w:t>Oficio No.20157040111281</w:t>
      </w:r>
      <w:r w:rsidRPr="009D1EA7">
        <w:rPr>
          <w:rFonts w:ascii="Calibri" w:hAnsi="Calibri"/>
          <w:color w:val="000000"/>
          <w:lang w:val="es-ES_tradnl"/>
        </w:rPr>
        <w:t>25/05/2015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hAnsi="Calibri"/>
          <w:color w:val="000000"/>
          <w:lang w:val="es-ES_tradnl"/>
        </w:rPr>
        <w:t>Fue elaborada la minuta de acta aclaratoria a los inventarios de los aeropuertos entregados por casyp s.a.</w:t>
      </w:r>
      <w:r w:rsidRPr="009D1EA7">
        <w:rPr>
          <w:rFonts w:ascii="Calibri" w:hAnsi="Calibri"/>
          <w:color w:val="000000"/>
          <w:lang w:val="es-ES_tradnl"/>
        </w:rPr>
        <w:tab/>
        <w:t xml:space="preserve">Correo </w:t>
      </w:r>
      <w:r w:rsidR="00EC4067" w:rsidRPr="009D1EA7">
        <w:rPr>
          <w:rFonts w:ascii="Calibri" w:hAnsi="Calibri"/>
          <w:color w:val="000000"/>
          <w:lang w:val="es-ES_tradnl"/>
        </w:rPr>
        <w:t>electrónico</w:t>
      </w:r>
      <w:r w:rsidRPr="009D1EA7">
        <w:rPr>
          <w:rFonts w:ascii="Calibri" w:hAnsi="Calibri"/>
          <w:color w:val="000000"/>
          <w:lang w:val="es-ES_tradnl"/>
        </w:rPr>
        <w:t xml:space="preserve"> remisorio</w:t>
      </w:r>
      <w:r w:rsidRPr="009D1EA7">
        <w:rPr>
          <w:rFonts w:ascii="Calibri" w:hAnsi="Calibri"/>
          <w:color w:val="000000"/>
          <w:lang w:val="es-ES_tradnl"/>
        </w:rPr>
        <w:tab/>
        <w:t>4/6/2015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hAnsi="Calibri"/>
          <w:color w:val="000000"/>
          <w:lang w:val="es-ES_tradnl"/>
        </w:rPr>
        <w:t>Fue solicitado a afa s.a. Requerimiento de información sobre bienes sometidos a registro</w:t>
      </w:r>
      <w:r w:rsidRPr="009D1EA7">
        <w:rPr>
          <w:rFonts w:ascii="Calibri" w:hAnsi="Calibri"/>
          <w:color w:val="000000"/>
          <w:lang w:val="es-ES_tradnl"/>
        </w:rPr>
        <w:tab/>
        <w:t>oficio no. 20157040113191</w:t>
      </w:r>
      <w:r w:rsidRPr="009D1EA7">
        <w:rPr>
          <w:rFonts w:ascii="Calibri" w:hAnsi="Calibri"/>
          <w:color w:val="000000"/>
          <w:lang w:val="es-ES_tradnl"/>
        </w:rPr>
        <w:tab/>
        <w:t>27/05/2015</w:t>
      </w:r>
    </w:p>
    <w:p w:rsidR="00815BCB" w:rsidRPr="009D1EA7" w:rsidRDefault="00815BCB"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hAnsi="Calibri"/>
          <w:color w:val="000000"/>
          <w:lang w:val="es-ES_tradnl"/>
        </w:rPr>
        <w:t>Fue elaborado el proyecto de oficio con destino a afa .s.a resolviendo la solicitud de liquidación del contrato de interventoría</w:t>
      </w:r>
      <w:r w:rsidRPr="009D1EA7">
        <w:rPr>
          <w:rFonts w:ascii="Calibri" w:hAnsi="Calibri"/>
          <w:color w:val="000000"/>
          <w:lang w:val="es-ES_tradnl"/>
        </w:rPr>
        <w:tab/>
        <w:t>oficio no. 20157040125011</w:t>
      </w:r>
      <w:r w:rsidRPr="009D1EA7">
        <w:rPr>
          <w:rFonts w:ascii="Calibri" w:hAnsi="Calibri"/>
          <w:color w:val="000000"/>
          <w:lang w:val="es-ES_tradnl"/>
        </w:rPr>
        <w:tab/>
        <w:t>11/6/2015</w:t>
      </w:r>
    </w:p>
    <w:p w:rsidR="00815BCB" w:rsidRPr="009D1EA7" w:rsidRDefault="0052703D"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hAnsi="Calibri"/>
          <w:color w:val="000000"/>
          <w:lang w:val="es-ES_tradnl"/>
        </w:rPr>
        <w:t>Elaboración</w:t>
      </w:r>
      <w:r w:rsidR="00815BCB" w:rsidRPr="009D1EA7">
        <w:rPr>
          <w:rFonts w:ascii="Calibri" w:hAnsi="Calibri"/>
          <w:color w:val="000000"/>
          <w:lang w:val="es-ES_tradnl"/>
        </w:rPr>
        <w:t xml:space="preserve"> de oficio con destino a aerocivil, solicitando información sobre la conclusión de inscripción de bienes muebles sometidos a registro por parte de casyp s.a. En favor de esa entidad.</w:t>
      </w:r>
      <w:r w:rsidR="00815BCB" w:rsidRPr="009D1EA7">
        <w:rPr>
          <w:rFonts w:ascii="Calibri" w:hAnsi="Calibri"/>
          <w:color w:val="000000"/>
          <w:lang w:val="es-ES_tradnl"/>
        </w:rPr>
        <w:tab/>
        <w:t>Oficio no. 20157040131711</w:t>
      </w:r>
      <w:r w:rsidR="00815BCB" w:rsidRPr="009D1EA7">
        <w:rPr>
          <w:rFonts w:ascii="Calibri" w:hAnsi="Calibri"/>
          <w:color w:val="000000"/>
          <w:lang w:val="es-ES_tradnl"/>
        </w:rPr>
        <w:tab/>
        <w:t>17/06/2015</w:t>
      </w:r>
    </w:p>
    <w:p w:rsidR="00815BCB" w:rsidRPr="009D1EA7" w:rsidRDefault="0052703D" w:rsidP="00F33349">
      <w:pPr>
        <w:pStyle w:val="Prrafodelista"/>
        <w:widowControl w:val="0"/>
        <w:numPr>
          <w:ilvl w:val="0"/>
          <w:numId w:val="104"/>
        </w:numPr>
        <w:autoSpaceDE w:val="0"/>
        <w:autoSpaceDN w:val="0"/>
        <w:adjustRightInd w:val="0"/>
        <w:spacing w:after="0" w:line="259" w:lineRule="auto"/>
        <w:ind w:left="993" w:right="-518"/>
        <w:jc w:val="both"/>
        <w:rPr>
          <w:rFonts w:ascii="Calibri" w:hAnsi="Calibri"/>
          <w:color w:val="000000"/>
          <w:lang w:val="es-ES_tradnl"/>
        </w:rPr>
      </w:pPr>
      <w:r w:rsidRPr="009D1EA7">
        <w:rPr>
          <w:rFonts w:ascii="Calibri" w:hAnsi="Calibri"/>
          <w:color w:val="000000"/>
          <w:lang w:val="es-ES_tradnl"/>
        </w:rPr>
        <w:t>Elaboración</w:t>
      </w:r>
      <w:r w:rsidR="00815BCB" w:rsidRPr="009D1EA7">
        <w:rPr>
          <w:rFonts w:ascii="Calibri" w:hAnsi="Calibri"/>
          <w:color w:val="000000"/>
          <w:lang w:val="es-ES_tradnl"/>
        </w:rPr>
        <w:t xml:space="preserve"> de oficio con destino a casyp s.a. En </w:t>
      </w:r>
      <w:r w:rsidRPr="009D1EA7">
        <w:rPr>
          <w:rFonts w:ascii="Calibri" w:hAnsi="Calibri"/>
          <w:color w:val="000000"/>
          <w:lang w:val="es-ES_tradnl"/>
        </w:rPr>
        <w:t>liquidación</w:t>
      </w:r>
      <w:r w:rsidR="00815BCB" w:rsidRPr="009D1EA7">
        <w:rPr>
          <w:rFonts w:ascii="Calibri" w:hAnsi="Calibri"/>
          <w:color w:val="000000"/>
          <w:lang w:val="es-ES_tradnl"/>
        </w:rPr>
        <w:t>, solicitando información sobre la conclusión de inscripción de bienes muebles sometidos a registro por parte de esa firma.</w:t>
      </w:r>
      <w:r w:rsidR="00815BCB" w:rsidRPr="009D1EA7">
        <w:rPr>
          <w:rFonts w:ascii="Calibri" w:hAnsi="Calibri"/>
          <w:color w:val="000000"/>
          <w:lang w:val="es-ES_tradnl"/>
        </w:rPr>
        <w:tab/>
        <w:t>Oficio no. 20157040131701</w:t>
      </w:r>
      <w:r w:rsidR="00815BCB" w:rsidRPr="009D1EA7">
        <w:rPr>
          <w:rFonts w:ascii="Calibri" w:hAnsi="Calibri"/>
          <w:color w:val="000000"/>
          <w:lang w:val="es-ES_tradnl"/>
        </w:rPr>
        <w:tab/>
        <w:t>17/06/2015</w:t>
      </w:r>
    </w:p>
    <w:p w:rsidR="00815BCB" w:rsidRPr="00C21EDA" w:rsidRDefault="00815BCB" w:rsidP="00815BCB">
      <w:pPr>
        <w:spacing w:after="0"/>
        <w:ind w:right="-518"/>
        <w:jc w:val="center"/>
        <w:rPr>
          <w:rFonts w:ascii="Calibri" w:hAnsi="Calibri"/>
          <w:b/>
          <w:i/>
          <w:sz w:val="24"/>
          <w:szCs w:val="24"/>
        </w:rPr>
      </w:pPr>
    </w:p>
    <w:p w:rsidR="00815BCB" w:rsidRPr="000A5673" w:rsidRDefault="00815BCB" w:rsidP="00815BCB">
      <w:pPr>
        <w:spacing w:after="0"/>
        <w:ind w:right="-518"/>
        <w:jc w:val="center"/>
        <w:rPr>
          <w:rFonts w:ascii="Calibri" w:hAnsi="Calibri"/>
          <w:b/>
          <w:i/>
          <w:sz w:val="24"/>
          <w:szCs w:val="24"/>
        </w:rPr>
      </w:pPr>
      <w:r w:rsidRPr="000A5673">
        <w:rPr>
          <w:rFonts w:ascii="Calibri" w:hAnsi="Calibri"/>
          <w:b/>
          <w:i/>
          <w:sz w:val="24"/>
          <w:szCs w:val="24"/>
        </w:rPr>
        <w:t>VI. AEROPUERTO CARTAGENA</w:t>
      </w:r>
    </w:p>
    <w:p w:rsidR="00815BCB" w:rsidRDefault="00815BCB" w:rsidP="00815BCB">
      <w:pPr>
        <w:spacing w:after="0"/>
        <w:ind w:right="-518"/>
        <w:jc w:val="center"/>
        <w:rPr>
          <w:rFonts w:ascii="Calibri" w:hAnsi="Calibri"/>
          <w:b/>
          <w:color w:val="000000"/>
          <w:lang w:val="es-ES_tradnl"/>
        </w:rPr>
      </w:pPr>
      <w:r w:rsidRPr="00D931D0">
        <w:rPr>
          <w:rFonts w:ascii="Calibri" w:hAnsi="Calibri"/>
          <w:b/>
          <w:color w:val="000000"/>
          <w:lang w:val="es-ES_tradnl"/>
        </w:rPr>
        <w:t>Se emitieron los siguientes conceptos y documentos contractuales</w:t>
      </w:r>
    </w:p>
    <w:p w:rsidR="00815BCB" w:rsidRPr="009D1EA7" w:rsidRDefault="00815BCB" w:rsidP="00815BCB">
      <w:pPr>
        <w:spacing w:after="0"/>
        <w:ind w:right="-518"/>
        <w:jc w:val="center"/>
        <w:rPr>
          <w:rFonts w:ascii="Calibri" w:hAnsi="Calibri"/>
          <w:b/>
          <w:color w:val="000000"/>
          <w:lang w:val="es-ES_tradnl"/>
        </w:rPr>
      </w:pP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Revisión del informe de </w:t>
      </w:r>
      <w:r w:rsidR="0052703D" w:rsidRPr="009D1EA7">
        <w:rPr>
          <w:rFonts w:ascii="Calibri" w:hAnsi="Calibri"/>
          <w:color w:val="000000"/>
          <w:lang w:val="es-ES_tradnl"/>
        </w:rPr>
        <w:t>Interventoría</w:t>
      </w:r>
      <w:r w:rsidRPr="009D1EA7">
        <w:rPr>
          <w:rFonts w:ascii="Calibri" w:hAnsi="Calibri"/>
          <w:color w:val="000000"/>
          <w:lang w:val="es-ES_tradnl"/>
        </w:rPr>
        <w:t>. Mediante correo electrónico. (Enero y 25 de febrero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Proyecto </w:t>
      </w:r>
      <w:r w:rsidRPr="009D1EA7">
        <w:rPr>
          <w:rFonts w:ascii="Calibri" w:eastAsia="Times New Roman" w:hAnsi="Calibri" w:cs="Arial"/>
          <w:color w:val="000000"/>
        </w:rPr>
        <w:t>respuesta presentado por el ciudadano Enrique Vargas.</w:t>
      </w:r>
      <w:r w:rsidR="0052703D" w:rsidRPr="009D1EA7">
        <w:rPr>
          <w:rFonts w:ascii="Calibri" w:eastAsia="Times New Roman" w:hAnsi="Calibri" w:cs="Arial"/>
          <w:color w:val="000000"/>
        </w:rPr>
        <w:t xml:space="preserve"> </w:t>
      </w:r>
      <w:r w:rsidRPr="009D1EA7">
        <w:rPr>
          <w:rFonts w:ascii="Calibri" w:eastAsia="Times New Roman" w:hAnsi="Calibri" w:cs="Arial"/>
          <w:color w:val="000000"/>
        </w:rPr>
        <w:t>Mediante del 2015-309-002654-1 del 11 de febrero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eastAsia="Times New Roman" w:hAnsi="Calibri" w:cs="Arial"/>
          <w:color w:val="000000"/>
        </w:rPr>
        <w:t>Concepto uso excedentes de interventoría. Mediante memorando radicado no. 2015704002974-3 del 9 de marzo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eastAsia="Times New Roman" w:hAnsi="Calibri" w:cs="Arial"/>
          <w:color w:val="000000"/>
        </w:rPr>
        <w:t>Concepto riesgos Contrato de Concesión No.0186 de 1996. Mediante memorando radicado No.2015704003426-3 del 18 de marzo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eastAsia="Times New Roman" w:hAnsi="Calibri" w:cs="Arial"/>
          <w:color w:val="000000"/>
        </w:rPr>
        <w:t>Concepto sobre reembolso de tasas aeroportuarias delegación del gobierno de la República de Venezuela. Mediante memorando radicado No. 2015704002972-3 del 9 de marzo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eastAsia="Times New Roman" w:hAnsi="Calibri" w:cs="Arial"/>
          <w:color w:val="000000"/>
        </w:rPr>
        <w:t>Elaboración del oficio de respuesta Aerocivil sobre planes de vuelo aviación general aeropuerto Rafael Nuñez. Mediante memorando radicado No.2015309005623-1 del 16 de marzo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eastAsia="Times New Roman" w:hAnsi="Calibri" w:cs="Arial"/>
          <w:color w:val="000000"/>
        </w:rPr>
        <w:t xml:space="preserve">Respuesta a solicitud Representante a la Cámara por </w:t>
      </w:r>
      <w:r w:rsidR="0052703D" w:rsidRPr="009D1EA7">
        <w:rPr>
          <w:rFonts w:ascii="Calibri" w:eastAsia="Times New Roman" w:hAnsi="Calibri" w:cs="Arial"/>
          <w:color w:val="000000"/>
        </w:rPr>
        <w:t>Córdoba</w:t>
      </w:r>
      <w:r w:rsidRPr="009D1EA7">
        <w:rPr>
          <w:rFonts w:ascii="Calibri" w:eastAsia="Times New Roman" w:hAnsi="Calibri" w:cs="Arial"/>
          <w:color w:val="000000"/>
        </w:rPr>
        <w:t xml:space="preserve"> H. Represéntate David Barguil</w:t>
      </w:r>
      <w:r w:rsidR="0052703D" w:rsidRPr="009D1EA7">
        <w:rPr>
          <w:rFonts w:ascii="Calibri" w:eastAsia="Times New Roman" w:hAnsi="Calibri" w:cs="Arial"/>
          <w:color w:val="000000"/>
        </w:rPr>
        <w:t xml:space="preserve"> </w:t>
      </w:r>
      <w:r w:rsidRPr="009D1EA7">
        <w:rPr>
          <w:rFonts w:ascii="Calibri" w:eastAsia="Times New Roman" w:hAnsi="Calibri" w:cs="Arial"/>
          <w:color w:val="000000"/>
        </w:rPr>
        <w:t>Assis.</w:t>
      </w:r>
      <w:r w:rsidR="0052703D" w:rsidRPr="009D1EA7">
        <w:rPr>
          <w:rFonts w:ascii="Calibri" w:eastAsia="Times New Roman" w:hAnsi="Calibri" w:cs="Arial"/>
          <w:color w:val="000000"/>
        </w:rPr>
        <w:t xml:space="preserve"> </w:t>
      </w:r>
      <w:r w:rsidRPr="009D1EA7">
        <w:rPr>
          <w:rFonts w:ascii="Calibri" w:eastAsia="Times New Roman" w:hAnsi="Calibri" w:cs="Arial"/>
          <w:color w:val="000000"/>
        </w:rPr>
        <w:t>Mediante Oficio No. 2015-309-006267-1 del 24 de marzo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eastAsia="Times New Roman" w:hAnsi="Calibri" w:cs="Arial"/>
          <w:color w:val="000000"/>
        </w:rPr>
        <w:t xml:space="preserve">Fue proyectado para firma del Vicepresidente de Gestión Contractual el Acta de Acuerdo XXX para la suspensión de las obras de modernización y expansión denominada vía perimetral desde la vía principal, establecidas en el marco del Otrosí No. 004 de 3 de marzo de 2010 al </w:t>
      </w:r>
      <w:r w:rsidRPr="009D1EA7">
        <w:rPr>
          <w:rFonts w:ascii="Calibri" w:eastAsia="Times New Roman" w:hAnsi="Calibri" w:cs="Arial"/>
          <w:color w:val="000000"/>
        </w:rPr>
        <w:lastRenderedPageBreak/>
        <w:t>Contrato de Concesión No. 186 de 1996. .(24 de marzo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eastAsia="Times New Roman" w:hAnsi="Calibri" w:cs="Arial"/>
          <w:color w:val="000000"/>
          <w:lang w:val="es-ES_tradnl"/>
        </w:rPr>
        <w:t xml:space="preserve">Respuesta a </w:t>
      </w:r>
      <w:r w:rsidRPr="009D1EA7">
        <w:rPr>
          <w:rFonts w:ascii="Calibri" w:hAnsi="Calibri"/>
          <w:color w:val="000000"/>
        </w:rPr>
        <w:t>Derecho de petición de Enrique Vargas. oficio radicado no. 2015-309-006419-1</w:t>
      </w:r>
      <w:r w:rsidRPr="009D1EA7">
        <w:rPr>
          <w:rFonts w:ascii="Calibri" w:hAnsi="Calibri"/>
          <w:color w:val="000000"/>
        </w:rPr>
        <w:tab/>
        <w:t>del 26 de marzo de 2015.</w:t>
      </w:r>
    </w:p>
    <w:p w:rsidR="00815BCB" w:rsidRPr="009D1EA7" w:rsidRDefault="0052703D"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rPr>
        <w:t>Revisión</w:t>
      </w:r>
      <w:r w:rsidR="00815BCB" w:rsidRPr="009D1EA7">
        <w:rPr>
          <w:rFonts w:ascii="Calibri" w:hAnsi="Calibri"/>
          <w:color w:val="000000"/>
        </w:rPr>
        <w:t xml:space="preserve"> informe de </w:t>
      </w:r>
      <w:r w:rsidRPr="009D1EA7">
        <w:rPr>
          <w:rFonts w:ascii="Calibri" w:hAnsi="Calibri"/>
          <w:color w:val="000000"/>
        </w:rPr>
        <w:t>interventoría</w:t>
      </w:r>
      <w:r w:rsidR="00815BCB" w:rsidRPr="009D1EA7">
        <w:rPr>
          <w:rFonts w:ascii="Calibri" w:hAnsi="Calibri"/>
          <w:color w:val="000000"/>
        </w:rPr>
        <w:t xml:space="preserve"> de </w:t>
      </w:r>
      <w:r w:rsidRPr="009D1EA7">
        <w:rPr>
          <w:rFonts w:ascii="Calibri" w:hAnsi="Calibri"/>
          <w:color w:val="000000"/>
        </w:rPr>
        <w:t>noviembre. Correo</w:t>
      </w:r>
      <w:r w:rsidR="00815BCB" w:rsidRPr="009D1EA7">
        <w:rPr>
          <w:rFonts w:ascii="Calibri" w:hAnsi="Calibri"/>
          <w:color w:val="000000"/>
        </w:rPr>
        <w:t xml:space="preserve"> electrónico del 26/3/2015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rPr>
        <w:t>Ajuste y revisión minuta de otrosi no. 9 cto de concesión aeroportuaria No. 0186 de 1996.correo electrónico</w:t>
      </w:r>
      <w:r w:rsidRPr="009D1EA7">
        <w:rPr>
          <w:rFonts w:ascii="Calibri" w:hAnsi="Calibri"/>
          <w:color w:val="000000"/>
        </w:rPr>
        <w:tab/>
        <w:t>8/4/2015</w:t>
      </w:r>
    </w:p>
    <w:p w:rsidR="00815BCB" w:rsidRPr="009D1EA7" w:rsidRDefault="0052703D"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rPr>
        <w:t>Revisión</w:t>
      </w:r>
      <w:r w:rsidR="00815BCB" w:rsidRPr="009D1EA7">
        <w:rPr>
          <w:rFonts w:ascii="Calibri" w:hAnsi="Calibri"/>
          <w:color w:val="000000"/>
        </w:rPr>
        <w:t xml:space="preserve"> de minuta de otrosi no. 9 contrato de </w:t>
      </w:r>
      <w:r w:rsidRPr="009D1EA7">
        <w:rPr>
          <w:rFonts w:ascii="Calibri" w:hAnsi="Calibri"/>
          <w:color w:val="000000"/>
        </w:rPr>
        <w:t>concesión</w:t>
      </w:r>
      <w:r w:rsidR="00815BCB" w:rsidRPr="009D1EA7">
        <w:rPr>
          <w:rFonts w:ascii="Calibri" w:hAnsi="Calibri"/>
          <w:color w:val="000000"/>
        </w:rPr>
        <w:t xml:space="preserve"> no. 9,fue ajustada una </w:t>
      </w:r>
      <w:r w:rsidRPr="009D1EA7">
        <w:rPr>
          <w:rFonts w:ascii="Calibri" w:hAnsi="Calibri"/>
          <w:color w:val="000000"/>
        </w:rPr>
        <w:t>versión</w:t>
      </w:r>
      <w:r w:rsidR="00815BCB" w:rsidRPr="009D1EA7">
        <w:rPr>
          <w:rFonts w:ascii="Calibri" w:hAnsi="Calibri"/>
          <w:color w:val="000000"/>
        </w:rPr>
        <w:t xml:space="preserve"> del otrosi no. 9 al contrato de </w:t>
      </w:r>
      <w:r w:rsidRPr="009D1EA7">
        <w:rPr>
          <w:rFonts w:ascii="Calibri" w:hAnsi="Calibri"/>
          <w:color w:val="000000"/>
        </w:rPr>
        <w:t>concesión</w:t>
      </w:r>
      <w:r w:rsidR="00815BCB" w:rsidRPr="009D1EA7">
        <w:rPr>
          <w:rFonts w:ascii="Calibri" w:hAnsi="Calibri"/>
          <w:color w:val="000000"/>
        </w:rPr>
        <w:t xml:space="preserve"> no. 0186 de 1996 que tiene por objeto la </w:t>
      </w:r>
      <w:r w:rsidRPr="009D1EA7">
        <w:rPr>
          <w:rFonts w:ascii="Calibri" w:hAnsi="Calibri"/>
          <w:color w:val="000000"/>
        </w:rPr>
        <w:t>reanudación</w:t>
      </w:r>
      <w:r w:rsidR="00815BCB" w:rsidRPr="009D1EA7">
        <w:rPr>
          <w:rFonts w:ascii="Calibri" w:hAnsi="Calibri"/>
          <w:color w:val="000000"/>
        </w:rPr>
        <w:t xml:space="preserve"> de las obras de franja de pista del aeropuerto Rafael Nuñez de Cartagena</w:t>
      </w:r>
      <w:r w:rsidR="00815BCB" w:rsidRPr="009D1EA7">
        <w:rPr>
          <w:rFonts w:ascii="Calibri" w:hAnsi="Calibri"/>
          <w:color w:val="000000"/>
        </w:rPr>
        <w:tab/>
        <w:t>correo electrónico del 23/4/2015</w:t>
      </w:r>
    </w:p>
    <w:p w:rsidR="00815BCB" w:rsidRPr="009D1EA7" w:rsidRDefault="0052703D"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rPr>
        <w:t>Revisión</w:t>
      </w:r>
      <w:r w:rsidR="00815BCB" w:rsidRPr="009D1EA7">
        <w:rPr>
          <w:rFonts w:ascii="Calibri" w:hAnsi="Calibri"/>
          <w:color w:val="000000"/>
        </w:rPr>
        <w:t xml:space="preserve"> estudios previos otrosi no. 9 contrato de </w:t>
      </w:r>
      <w:r w:rsidRPr="009D1EA7">
        <w:rPr>
          <w:rFonts w:ascii="Calibri" w:hAnsi="Calibri"/>
          <w:color w:val="000000"/>
        </w:rPr>
        <w:t>concesión</w:t>
      </w:r>
      <w:r w:rsidR="00815BCB" w:rsidRPr="009D1EA7">
        <w:rPr>
          <w:rFonts w:ascii="Calibri" w:hAnsi="Calibri"/>
          <w:color w:val="000000"/>
        </w:rPr>
        <w:t xml:space="preserve"> no. 0186 de 1996 el 26 de abril de 2015</w:t>
      </w:r>
    </w:p>
    <w:p w:rsidR="00815BCB" w:rsidRPr="009D1EA7" w:rsidRDefault="00815BCB" w:rsidP="00815BCB">
      <w:pPr>
        <w:pStyle w:val="Prrafodelista"/>
        <w:widowControl w:val="0"/>
        <w:autoSpaceDE w:val="0"/>
        <w:autoSpaceDN w:val="0"/>
        <w:adjustRightInd w:val="0"/>
        <w:spacing w:after="0"/>
        <w:ind w:left="993" w:right="-518"/>
        <w:jc w:val="both"/>
        <w:rPr>
          <w:rFonts w:ascii="Calibri" w:hAnsi="Calibri"/>
          <w:color w:val="000000"/>
          <w:lang w:val="es-ES_tradnl"/>
        </w:rPr>
      </w:pPr>
    </w:p>
    <w:p w:rsidR="00815BCB" w:rsidRPr="009D1EA7" w:rsidRDefault="00815BCB" w:rsidP="00815BCB">
      <w:pPr>
        <w:pStyle w:val="Prrafodelista"/>
        <w:widowControl w:val="0"/>
        <w:autoSpaceDE w:val="0"/>
        <w:autoSpaceDN w:val="0"/>
        <w:adjustRightInd w:val="0"/>
        <w:spacing w:after="0"/>
        <w:ind w:left="-207" w:right="-518"/>
        <w:jc w:val="center"/>
        <w:rPr>
          <w:b/>
          <w:color w:val="000000"/>
          <w:lang w:val="es-ES_tradnl"/>
        </w:rPr>
      </w:pPr>
      <w:r w:rsidRPr="009D1EA7">
        <w:rPr>
          <w:b/>
          <w:color w:val="000000"/>
          <w:lang w:val="es-ES_tradnl"/>
        </w:rPr>
        <w:t>Se emitieron los siguientes conceptos frente al aseguramiento</w:t>
      </w:r>
    </w:p>
    <w:p w:rsidR="00815BCB" w:rsidRPr="009D1EA7" w:rsidRDefault="00815BCB" w:rsidP="00815BCB">
      <w:pPr>
        <w:widowControl w:val="0"/>
        <w:autoSpaceDE w:val="0"/>
        <w:autoSpaceDN w:val="0"/>
        <w:adjustRightInd w:val="0"/>
        <w:spacing w:after="0"/>
        <w:ind w:right="-518"/>
        <w:jc w:val="both"/>
        <w:rPr>
          <w:rFonts w:ascii="Calibri" w:hAnsi="Calibri"/>
          <w:color w:val="000000"/>
          <w:lang w:val="es-ES_tradnl"/>
        </w:rPr>
      </w:pP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b/>
          <w:i/>
        </w:rPr>
      </w:pPr>
      <w:r w:rsidRPr="009D1EA7">
        <w:rPr>
          <w:rFonts w:ascii="Calibri" w:hAnsi="Calibri"/>
          <w:color w:val="000000"/>
        </w:rPr>
        <w:t>Aprobación póliza de responsabilidad civil extracontractual fue proyectado memorando de aprobación de póliza de responsabilidad civil extracontractual presentada por el concesionario. Memorando no. 20157040070383 del 18 de junio de 2015.</w:t>
      </w:r>
    </w:p>
    <w:p w:rsidR="00815BCB" w:rsidRDefault="00815BCB" w:rsidP="00815BCB">
      <w:pPr>
        <w:pStyle w:val="Prrafodelista"/>
        <w:widowControl w:val="0"/>
        <w:autoSpaceDE w:val="0"/>
        <w:autoSpaceDN w:val="0"/>
        <w:adjustRightInd w:val="0"/>
        <w:spacing w:after="0"/>
        <w:ind w:left="993" w:right="-518"/>
        <w:jc w:val="both"/>
        <w:rPr>
          <w:rFonts w:ascii="Calibri" w:hAnsi="Calibri"/>
          <w:b/>
          <w:i/>
          <w:sz w:val="32"/>
          <w:szCs w:val="32"/>
        </w:rPr>
      </w:pPr>
    </w:p>
    <w:p w:rsidR="009D1EA7" w:rsidRDefault="009D1EA7" w:rsidP="00815BCB">
      <w:pPr>
        <w:pStyle w:val="Prrafodelista"/>
        <w:widowControl w:val="0"/>
        <w:autoSpaceDE w:val="0"/>
        <w:autoSpaceDN w:val="0"/>
        <w:adjustRightInd w:val="0"/>
        <w:spacing w:after="0"/>
        <w:ind w:left="993" w:right="-518"/>
        <w:jc w:val="both"/>
        <w:rPr>
          <w:rFonts w:ascii="Calibri" w:hAnsi="Calibri"/>
          <w:b/>
          <w:i/>
          <w:sz w:val="32"/>
          <w:szCs w:val="32"/>
        </w:rPr>
      </w:pPr>
    </w:p>
    <w:p w:rsidR="00815BCB" w:rsidRPr="0052703D" w:rsidRDefault="00815BCB" w:rsidP="0052703D">
      <w:pPr>
        <w:pStyle w:val="Prrafodelista"/>
        <w:widowControl w:val="0"/>
        <w:autoSpaceDE w:val="0"/>
        <w:autoSpaceDN w:val="0"/>
        <w:adjustRightInd w:val="0"/>
        <w:spacing w:after="0"/>
        <w:ind w:left="993" w:right="-518"/>
        <w:jc w:val="center"/>
        <w:rPr>
          <w:rFonts w:ascii="Calibri" w:hAnsi="Calibri"/>
          <w:b/>
          <w:i/>
          <w:sz w:val="24"/>
          <w:szCs w:val="24"/>
        </w:rPr>
      </w:pPr>
      <w:r w:rsidRPr="0052703D">
        <w:rPr>
          <w:rFonts w:ascii="Calibri" w:hAnsi="Calibri"/>
          <w:b/>
          <w:i/>
          <w:sz w:val="24"/>
          <w:szCs w:val="24"/>
        </w:rPr>
        <w:t>CODAD</w:t>
      </w:r>
    </w:p>
    <w:p w:rsidR="00815BCB" w:rsidRDefault="00815BCB" w:rsidP="00815BCB">
      <w:pPr>
        <w:spacing w:after="0"/>
        <w:ind w:right="-518"/>
        <w:jc w:val="center"/>
        <w:rPr>
          <w:rFonts w:ascii="Calibri" w:hAnsi="Calibri"/>
          <w:b/>
          <w:color w:val="000000"/>
          <w:lang w:val="es-ES_tradnl"/>
        </w:rPr>
      </w:pPr>
      <w:r w:rsidRPr="00D931D0">
        <w:rPr>
          <w:rFonts w:ascii="Calibri" w:hAnsi="Calibri"/>
          <w:b/>
          <w:color w:val="000000"/>
          <w:lang w:val="es-ES_tradnl"/>
        </w:rPr>
        <w:t>Se emitieron los siguientes conceptos y documentos contractuales</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1134" w:right="-518" w:hanging="567"/>
        <w:jc w:val="both"/>
        <w:rPr>
          <w:rFonts w:ascii="Calibri" w:hAnsi="Calibri"/>
          <w:color w:val="000000"/>
          <w:lang w:val="es-ES_tradnl"/>
        </w:rPr>
      </w:pPr>
      <w:r w:rsidRPr="009D1EA7">
        <w:rPr>
          <w:rFonts w:ascii="Calibri" w:hAnsi="Calibri"/>
          <w:color w:val="000000"/>
          <w:lang w:val="es-ES_tradnl"/>
        </w:rPr>
        <w:t>Inicio procedimiento de Reversión Contrato No.0110 - OP de 1995. Radicado 20157040095391 del 09 de Mayo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1134" w:right="-518" w:hanging="567"/>
        <w:jc w:val="both"/>
        <w:rPr>
          <w:rFonts w:ascii="Calibri" w:hAnsi="Calibri"/>
          <w:color w:val="000000"/>
          <w:lang w:val="es-ES_tradnl"/>
        </w:rPr>
      </w:pPr>
      <w:r w:rsidRPr="009D1EA7">
        <w:rPr>
          <w:rFonts w:ascii="Calibri" w:hAnsi="Calibri"/>
          <w:color w:val="000000"/>
          <w:lang w:val="es-ES_tradnl"/>
        </w:rPr>
        <w:t xml:space="preserve">Solicitud tasación de multa proceso sancionatorio Concesionario CODAD S.A., Contrato de Concesión No.0110 OP de 1995. Radicado </w:t>
      </w:r>
      <w:r w:rsidRPr="009D1EA7">
        <w:rPr>
          <w:rFonts w:ascii="Calibri" w:hAnsi="Calibri"/>
          <w:color w:val="000000"/>
          <w:lang w:val="es-ES_tradnl"/>
        </w:rPr>
        <w:tab/>
        <w:t>20157040095401 del</w:t>
      </w:r>
      <w:r w:rsidRPr="009D1EA7">
        <w:rPr>
          <w:rFonts w:ascii="Calibri" w:hAnsi="Calibri"/>
          <w:color w:val="000000"/>
          <w:lang w:val="es-ES_tradnl"/>
        </w:rPr>
        <w:tab/>
        <w:t>08 de Mayo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1134" w:right="-518" w:hanging="567"/>
        <w:jc w:val="both"/>
        <w:rPr>
          <w:rFonts w:ascii="Calibri" w:hAnsi="Calibri"/>
          <w:color w:val="000000"/>
          <w:lang w:val="es-ES_tradnl"/>
        </w:rPr>
      </w:pPr>
      <w:r w:rsidRPr="009D1EA7">
        <w:rPr>
          <w:rFonts w:ascii="Calibri" w:hAnsi="Calibri"/>
          <w:color w:val="000000"/>
          <w:lang w:val="es-ES_tradnl"/>
        </w:rPr>
        <w:t xml:space="preserve">Se remite Manual de </w:t>
      </w:r>
      <w:r w:rsidR="0052703D" w:rsidRPr="009D1EA7">
        <w:rPr>
          <w:rFonts w:ascii="Calibri" w:hAnsi="Calibri"/>
          <w:color w:val="000000"/>
          <w:lang w:val="es-ES_tradnl"/>
        </w:rPr>
        <w:t>Reversión</w:t>
      </w:r>
      <w:r w:rsidRPr="009D1EA7">
        <w:rPr>
          <w:rFonts w:ascii="Calibri" w:hAnsi="Calibri"/>
          <w:color w:val="000000"/>
          <w:lang w:val="es-ES_tradnl"/>
        </w:rPr>
        <w:t xml:space="preserve"> y formatos de </w:t>
      </w:r>
      <w:r w:rsidR="0052703D" w:rsidRPr="009D1EA7">
        <w:rPr>
          <w:rFonts w:ascii="Calibri" w:hAnsi="Calibri"/>
          <w:color w:val="000000"/>
          <w:lang w:val="es-ES_tradnl"/>
        </w:rPr>
        <w:t>Reversión</w:t>
      </w:r>
      <w:r w:rsidRPr="009D1EA7">
        <w:rPr>
          <w:rFonts w:ascii="Calibri" w:hAnsi="Calibri"/>
          <w:color w:val="000000"/>
          <w:lang w:val="es-ES_tradnl"/>
        </w:rPr>
        <w:t xml:space="preserve"> a CODAD a fin de adelantar el </w:t>
      </w:r>
      <w:r w:rsidR="0052703D" w:rsidRPr="009D1EA7">
        <w:rPr>
          <w:rFonts w:ascii="Calibri" w:hAnsi="Calibri"/>
          <w:color w:val="000000"/>
          <w:lang w:val="es-ES_tradnl"/>
        </w:rPr>
        <w:t>respectivo</w:t>
      </w:r>
      <w:r w:rsidRPr="009D1EA7">
        <w:rPr>
          <w:rFonts w:ascii="Calibri" w:hAnsi="Calibri"/>
          <w:color w:val="000000"/>
          <w:lang w:val="es-ES_tradnl"/>
        </w:rPr>
        <w:t xml:space="preserve"> proceso de reversión. Radicado </w:t>
      </w:r>
      <w:r w:rsidRPr="009D1EA7">
        <w:rPr>
          <w:rFonts w:ascii="Calibri" w:hAnsi="Calibri"/>
          <w:color w:val="000000"/>
          <w:lang w:val="es-ES_tradnl"/>
        </w:rPr>
        <w:tab/>
        <w:t>20157040099661 del</w:t>
      </w:r>
      <w:r w:rsidRPr="009D1EA7">
        <w:rPr>
          <w:rFonts w:ascii="Calibri" w:hAnsi="Calibri"/>
          <w:color w:val="000000"/>
          <w:lang w:val="es-ES_tradnl"/>
        </w:rPr>
        <w:tab/>
        <w:t>13 de Mayo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1134" w:right="-518" w:hanging="567"/>
        <w:jc w:val="both"/>
        <w:rPr>
          <w:rFonts w:ascii="Calibri" w:hAnsi="Calibri"/>
          <w:color w:val="000000"/>
          <w:lang w:val="es-ES_tradnl"/>
        </w:rPr>
      </w:pPr>
      <w:r w:rsidRPr="009D1EA7">
        <w:rPr>
          <w:rFonts w:ascii="Calibri" w:hAnsi="Calibri"/>
          <w:color w:val="000000"/>
          <w:lang w:val="es-ES_tradnl"/>
        </w:rPr>
        <w:t xml:space="preserve">Solicitud suspensión proceso de solicitud Pública ya que para el caso sub – examine solo puede obedecer a una decisión de Autoridad, formulada por la Autoridad Competente  de conformidad a la </w:t>
      </w:r>
      <w:r w:rsidR="0052703D" w:rsidRPr="009D1EA7">
        <w:rPr>
          <w:rFonts w:ascii="Calibri" w:hAnsi="Calibri"/>
          <w:color w:val="000000"/>
          <w:lang w:val="es-ES_tradnl"/>
        </w:rPr>
        <w:t>atribución</w:t>
      </w:r>
      <w:r w:rsidRPr="009D1EA7">
        <w:rPr>
          <w:rFonts w:ascii="Calibri" w:hAnsi="Calibri"/>
          <w:color w:val="000000"/>
          <w:lang w:val="es-ES_tradnl"/>
        </w:rPr>
        <w:t xml:space="preserve"> de funciones otorgadas por el Decreto 2060 de 2004. Radicado No.20157040102081</w:t>
      </w:r>
      <w:r w:rsidRPr="009D1EA7">
        <w:rPr>
          <w:rFonts w:ascii="Calibri" w:hAnsi="Calibri"/>
          <w:color w:val="000000"/>
          <w:lang w:val="es-ES_tradnl"/>
        </w:rPr>
        <w:tab/>
        <w:t>del 14 de Mayo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Solicitud de Información procedibilidad Proceso de Reversión Instrucción. Radicado No.20157040065003</w:t>
      </w:r>
      <w:r w:rsidRPr="009D1EA7">
        <w:rPr>
          <w:rFonts w:ascii="Calibri" w:hAnsi="Calibri"/>
          <w:color w:val="000000"/>
          <w:lang w:val="es-ES_tradnl"/>
        </w:rPr>
        <w:tab/>
        <w:t>Junio de 2015.</w:t>
      </w:r>
    </w:p>
    <w:p w:rsidR="00815BCB" w:rsidRPr="009D1EA7" w:rsidRDefault="0052703D"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Compensación</w:t>
      </w:r>
      <w:r w:rsidR="00815BCB" w:rsidRPr="009D1EA7">
        <w:rPr>
          <w:rFonts w:ascii="Calibri" w:hAnsi="Calibri"/>
          <w:color w:val="000000"/>
          <w:lang w:val="es-ES_tradnl"/>
        </w:rPr>
        <w:t xml:space="preserve"> Impuesto del Turismo Clausula 42. Radicado No.20157040068103 del 10  de Junio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Solicitud suspensión Solicitud Pública convocada por parte de la Unidad Administrativa Especial de la Aeronáutica Civil mediante la Resolución No.05502 de 2014.</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Acta de Acuerdo de realización de Obras por parte de CODAD S.A., en el Aeropuerto Internacional de el Dorado. suscrita el 03 de Febrero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Elaboración Otrosí No.3 que prorroga el Otrosí 2. Suscrito el 3 de febrero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 xml:space="preserve">Fue expedido pronunciamiento jurídico dando alcance al Concepto emitido mediante radicado </w:t>
      </w:r>
      <w:r w:rsidRPr="009D1EA7">
        <w:rPr>
          <w:rFonts w:ascii="Calibri" w:eastAsia="Times New Roman" w:hAnsi="Calibri" w:cs="Arial"/>
          <w:color w:val="000000"/>
        </w:rPr>
        <w:lastRenderedPageBreak/>
        <w:t>20147040067023. Mediante radicado 20157040020193 del 13 de febrero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Se remite al Interventoría el pronunciamiento o requerimiento de esta Entidad a Codad acompañado por la respuesta del Concesionario para verificación de la Interventoría. Mediante radicado 20157040063171 del 25 de marzo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hAnsi="Calibri"/>
          <w:color w:val="000000"/>
          <w:lang w:val="es-ES_tradnl"/>
        </w:rPr>
        <w:t>Se emite Concepto Jurídico mediante el cual se señala que la ejecución de los Estudios y diseños se encontraba prevista claramente en el Otrosí No.2, por cuenta y riesgo del Concesionario, quien asumirá cualquier efecto favorable o desfavorable producto de sus estudios y diseños.</w:t>
      </w:r>
      <w:r w:rsidRPr="009D1EA7">
        <w:rPr>
          <w:rFonts w:ascii="Calibri" w:hAnsi="Calibri"/>
          <w:color w:val="000000"/>
          <w:lang w:val="es-ES_tradnl"/>
        </w:rPr>
        <w:tab/>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hAnsi="Calibri"/>
          <w:color w:val="000000"/>
          <w:lang w:val="es-ES_tradnl"/>
        </w:rPr>
        <w:t xml:space="preserve">Concepto Jurídico </w:t>
      </w:r>
      <w:r w:rsidR="0052703D" w:rsidRPr="009D1EA7">
        <w:rPr>
          <w:rFonts w:ascii="Calibri" w:hAnsi="Calibri"/>
          <w:color w:val="000000"/>
          <w:lang w:val="es-ES_tradnl"/>
        </w:rPr>
        <w:t>análisis</w:t>
      </w:r>
      <w:r w:rsidRPr="009D1EA7">
        <w:rPr>
          <w:rFonts w:ascii="Calibri" w:hAnsi="Calibri"/>
          <w:color w:val="000000"/>
          <w:lang w:val="es-ES_tradnl"/>
        </w:rPr>
        <w:t xml:space="preserve"> LAUDO 2006, 2014 y Acuerdo Conciliatorio. Obligaciones a verificar.</w:t>
      </w:r>
      <w:r w:rsidRPr="009D1EA7">
        <w:rPr>
          <w:rFonts w:ascii="Calibri" w:hAnsi="Calibri"/>
          <w:color w:val="000000"/>
          <w:lang w:val="es-ES_tradnl"/>
        </w:rPr>
        <w:tab/>
        <w:t>20157040076483 del 12 de Junio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hAnsi="Calibri"/>
          <w:color w:val="000000"/>
          <w:lang w:val="es-ES_tradnl"/>
        </w:rPr>
        <w:t>Actualización Cupo de Adición Contrato de Concesión No. 0110-O.P. del 18 de julio de 1995. Radicado No.20157040076473 del 10 de junio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hAnsi="Calibri"/>
          <w:color w:val="000000"/>
          <w:lang w:val="es-ES_tradnl"/>
        </w:rPr>
        <w:t>Elaboración de Estudios de Necesidad y Conveniencia parta la elaboración Otrosí de Construcción. Suscrito el 30 de junio de 2015.</w:t>
      </w:r>
    </w:p>
    <w:p w:rsidR="00815BCB" w:rsidRPr="003C512F"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sz w:val="24"/>
          <w:szCs w:val="24"/>
          <w:lang w:val="es-ES_tradnl"/>
        </w:rPr>
      </w:pPr>
      <w:r w:rsidRPr="009D1EA7">
        <w:rPr>
          <w:rFonts w:ascii="Calibri" w:hAnsi="Calibri"/>
          <w:color w:val="000000"/>
          <w:lang w:val="es-ES_tradnl"/>
        </w:rPr>
        <w:t>Solicitud de Elaboración de Otrosí No.4 de Construcción</w:t>
      </w:r>
      <w:r>
        <w:rPr>
          <w:rFonts w:ascii="Calibri" w:hAnsi="Calibri"/>
          <w:color w:val="000000"/>
          <w:sz w:val="24"/>
          <w:szCs w:val="24"/>
          <w:lang w:val="es-ES_tradnl"/>
        </w:rPr>
        <w:t xml:space="preserve"> al Contrato de</w:t>
      </w:r>
      <w:r w:rsidRPr="003C512F">
        <w:rPr>
          <w:rFonts w:ascii="Calibri" w:hAnsi="Calibri"/>
          <w:color w:val="000000"/>
          <w:sz w:val="24"/>
          <w:szCs w:val="24"/>
          <w:lang w:val="es-ES_tradnl"/>
        </w:rPr>
        <w:t xml:space="preserve"> Concesión No.0110 - OP de 1995</w:t>
      </w:r>
      <w:r>
        <w:rPr>
          <w:rFonts w:ascii="Calibri" w:hAnsi="Calibri"/>
          <w:color w:val="000000"/>
          <w:sz w:val="24"/>
          <w:szCs w:val="24"/>
          <w:lang w:val="es-ES_tradnl"/>
        </w:rPr>
        <w:t xml:space="preserve">, suscrito el </w:t>
      </w:r>
      <w:r w:rsidRPr="003C512F">
        <w:rPr>
          <w:rFonts w:ascii="Calibri" w:hAnsi="Calibri"/>
          <w:color w:val="000000"/>
          <w:sz w:val="24"/>
          <w:szCs w:val="24"/>
          <w:lang w:val="es-ES_tradnl"/>
        </w:rPr>
        <w:t>03 de julio de 2015</w:t>
      </w:r>
      <w:r>
        <w:rPr>
          <w:rFonts w:ascii="Calibri" w:hAnsi="Calibri"/>
          <w:color w:val="000000"/>
          <w:sz w:val="24"/>
          <w:szCs w:val="24"/>
          <w:lang w:val="es-ES_tradnl"/>
        </w:rPr>
        <w:t>.</w:t>
      </w:r>
    </w:p>
    <w:p w:rsidR="00815BCB" w:rsidRPr="00EC6045" w:rsidRDefault="00815BCB" w:rsidP="00815BCB">
      <w:pPr>
        <w:pStyle w:val="Prrafodelista"/>
        <w:widowControl w:val="0"/>
        <w:autoSpaceDE w:val="0"/>
        <w:autoSpaceDN w:val="0"/>
        <w:adjustRightInd w:val="0"/>
        <w:spacing w:after="0"/>
        <w:ind w:left="-207" w:right="-518"/>
        <w:jc w:val="both"/>
        <w:rPr>
          <w:rFonts w:ascii="Calibri" w:hAnsi="Calibri"/>
          <w:color w:val="000000"/>
          <w:sz w:val="24"/>
          <w:szCs w:val="24"/>
          <w:lang w:val="es-ES_tradnl"/>
        </w:rPr>
      </w:pPr>
    </w:p>
    <w:p w:rsidR="00815BCB" w:rsidRPr="009D1EA7" w:rsidRDefault="00815BCB" w:rsidP="00815BCB">
      <w:pPr>
        <w:pStyle w:val="Prrafodelista"/>
        <w:widowControl w:val="0"/>
        <w:autoSpaceDE w:val="0"/>
        <w:autoSpaceDN w:val="0"/>
        <w:adjustRightInd w:val="0"/>
        <w:spacing w:after="0"/>
        <w:ind w:right="-518"/>
        <w:jc w:val="center"/>
        <w:rPr>
          <w:b/>
          <w:color w:val="000000"/>
          <w:lang w:val="es-ES_tradnl"/>
        </w:rPr>
      </w:pPr>
      <w:r w:rsidRPr="009D1EA7">
        <w:rPr>
          <w:b/>
          <w:color w:val="000000"/>
          <w:lang w:val="es-ES_tradnl"/>
        </w:rPr>
        <w:t>Se emitieron los siguientes conceptos frente al aseguramiento</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Fue expedido Memorando mediante el cual esta Gerencia señala que la Póliza allegada se encuentra ajustada. Mediante memorando 20157040016573 del 4 de febrero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Solicitud de </w:t>
      </w:r>
      <w:r w:rsidR="0052703D" w:rsidRPr="009D1EA7">
        <w:rPr>
          <w:rFonts w:ascii="Calibri" w:hAnsi="Calibri"/>
          <w:color w:val="000000"/>
          <w:lang w:val="es-ES_tradnl"/>
        </w:rPr>
        <w:t>sustitución</w:t>
      </w:r>
      <w:r w:rsidRPr="009D1EA7">
        <w:rPr>
          <w:rFonts w:ascii="Calibri" w:hAnsi="Calibri"/>
          <w:color w:val="000000"/>
          <w:lang w:val="es-ES_tradnl"/>
        </w:rPr>
        <w:t xml:space="preserve"> póliza RCE por la Póliza ARIEL. Radicado No.</w:t>
      </w:r>
      <w:r w:rsidR="0052703D" w:rsidRPr="009D1EA7">
        <w:rPr>
          <w:rFonts w:ascii="Calibri" w:hAnsi="Calibri"/>
          <w:color w:val="000000"/>
          <w:lang w:val="es-ES_tradnl"/>
        </w:rPr>
        <w:t xml:space="preserve">20157040102111 </w:t>
      </w:r>
      <w:r w:rsidRPr="009D1EA7">
        <w:rPr>
          <w:rFonts w:ascii="Calibri" w:hAnsi="Calibri"/>
          <w:color w:val="000000"/>
          <w:lang w:val="es-ES_tradnl"/>
        </w:rPr>
        <w:t>15 de mayo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Prorroga de Pólizas </w:t>
      </w:r>
      <w:r w:rsidR="0052703D" w:rsidRPr="009D1EA7">
        <w:rPr>
          <w:rFonts w:ascii="Calibri" w:hAnsi="Calibri"/>
          <w:color w:val="000000"/>
          <w:lang w:val="es-ES_tradnl"/>
        </w:rPr>
        <w:t>Interventoría</w:t>
      </w:r>
      <w:r w:rsidRPr="009D1EA7">
        <w:rPr>
          <w:rFonts w:ascii="Calibri" w:hAnsi="Calibri"/>
          <w:color w:val="000000"/>
          <w:lang w:val="es-ES_tradnl"/>
        </w:rPr>
        <w:t xml:space="preserve"> de Diseños. Radicado No.2015704009956</w:t>
      </w:r>
      <w:r w:rsidRPr="009D1EA7">
        <w:rPr>
          <w:rFonts w:ascii="Calibri" w:hAnsi="Calibri"/>
          <w:color w:val="000000"/>
          <w:lang w:val="es-ES_tradnl"/>
        </w:rPr>
        <w:tab/>
        <w:t>del 22 de Mayo de 2015.</w:t>
      </w:r>
    </w:p>
    <w:p w:rsidR="00815BCB" w:rsidRPr="009D1EA7" w:rsidRDefault="00815BCB" w:rsidP="00F33349">
      <w:pPr>
        <w:pStyle w:val="Prrafodelista"/>
        <w:widowControl w:val="0"/>
        <w:numPr>
          <w:ilvl w:val="0"/>
          <w:numId w:val="107"/>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Se </w:t>
      </w:r>
      <w:r w:rsidR="0052703D" w:rsidRPr="009D1EA7">
        <w:rPr>
          <w:rFonts w:ascii="Calibri" w:hAnsi="Calibri"/>
          <w:color w:val="000000"/>
          <w:lang w:val="es-ES_tradnl"/>
        </w:rPr>
        <w:t>aprobó</w:t>
      </w:r>
      <w:r w:rsidRPr="009D1EA7">
        <w:rPr>
          <w:rFonts w:ascii="Calibri" w:hAnsi="Calibri"/>
          <w:color w:val="000000"/>
          <w:lang w:val="es-ES_tradnl"/>
        </w:rPr>
        <w:t xml:space="preserve"> mediante el respectivo memorando la prórroga de la  póliza de cobertura de los amparos de Cumplimiento, pago de salarios y prestaciones sociales y de calidad de servicio . Memorando No.20157040059313</w:t>
      </w:r>
      <w:r w:rsidRPr="009D1EA7">
        <w:rPr>
          <w:rFonts w:ascii="Calibri" w:hAnsi="Calibri"/>
          <w:color w:val="000000"/>
          <w:lang w:val="es-ES_tradnl"/>
        </w:rPr>
        <w:tab/>
        <w:t>Junio de 2015.</w:t>
      </w:r>
    </w:p>
    <w:p w:rsidR="00815BCB" w:rsidRPr="009D1EA7" w:rsidRDefault="00815BCB" w:rsidP="00815BCB">
      <w:pPr>
        <w:spacing w:after="0"/>
        <w:ind w:right="-518"/>
        <w:jc w:val="center"/>
        <w:rPr>
          <w:rFonts w:ascii="Calibri" w:hAnsi="Calibri"/>
          <w:b/>
          <w:i/>
        </w:rPr>
      </w:pPr>
    </w:p>
    <w:p w:rsidR="00815BCB" w:rsidRPr="009D1EA7" w:rsidRDefault="00815BCB" w:rsidP="00815BCB">
      <w:pPr>
        <w:spacing w:after="0"/>
        <w:ind w:right="-518"/>
        <w:jc w:val="center"/>
        <w:rPr>
          <w:rFonts w:ascii="Calibri" w:hAnsi="Calibri"/>
          <w:b/>
          <w:i/>
        </w:rPr>
      </w:pPr>
      <w:r w:rsidRPr="009D1EA7">
        <w:rPr>
          <w:rFonts w:ascii="Calibri" w:hAnsi="Calibri"/>
          <w:b/>
          <w:i/>
        </w:rPr>
        <w:t>BARRANQUILLA</w:t>
      </w:r>
    </w:p>
    <w:p w:rsidR="00815BCB" w:rsidRPr="009D1EA7" w:rsidRDefault="00815BCB" w:rsidP="00815BCB">
      <w:pPr>
        <w:spacing w:after="0"/>
        <w:ind w:right="-518"/>
        <w:jc w:val="center"/>
        <w:rPr>
          <w:rFonts w:ascii="Calibri" w:hAnsi="Calibri"/>
          <w:b/>
          <w:color w:val="000000"/>
          <w:lang w:val="es-ES_tradnl"/>
        </w:rPr>
      </w:pPr>
      <w:r w:rsidRPr="009D1EA7">
        <w:rPr>
          <w:rFonts w:ascii="Calibri" w:hAnsi="Calibri"/>
          <w:b/>
          <w:color w:val="000000"/>
          <w:lang w:val="es-ES_tradnl"/>
        </w:rPr>
        <w:t>Se emitieron los siguientes conceptos y documentos contractuales</w:t>
      </w:r>
    </w:p>
    <w:p w:rsidR="00815BCB" w:rsidRPr="009D1EA7" w:rsidRDefault="00815BCB" w:rsidP="00F33349">
      <w:pPr>
        <w:pStyle w:val="Prrafodelista"/>
        <w:widowControl w:val="0"/>
        <w:numPr>
          <w:ilvl w:val="0"/>
          <w:numId w:val="107"/>
        </w:numPr>
        <w:tabs>
          <w:tab w:val="left" w:pos="993"/>
        </w:tabs>
        <w:autoSpaceDE w:val="0"/>
        <w:autoSpaceDN w:val="0"/>
        <w:adjustRightInd w:val="0"/>
        <w:spacing w:after="0" w:line="259" w:lineRule="auto"/>
        <w:ind w:left="709" w:right="-518" w:firstLine="0"/>
        <w:jc w:val="both"/>
        <w:rPr>
          <w:rFonts w:ascii="Calibri" w:hAnsi="Calibri"/>
          <w:color w:val="000000"/>
          <w:lang w:val="es-ES_tradnl"/>
        </w:rPr>
      </w:pPr>
      <w:r w:rsidRPr="009D1EA7">
        <w:rPr>
          <w:rFonts w:ascii="Calibri" w:hAnsi="Calibri"/>
          <w:color w:val="000000"/>
          <w:lang w:val="es-ES_tradnl"/>
        </w:rPr>
        <w:t>Revisión de entidad fiduciaria. Mediante radicado No. 2015308007131-1</w:t>
      </w:r>
    </w:p>
    <w:p w:rsidR="00815BCB" w:rsidRPr="009D1EA7" w:rsidRDefault="00815BCB" w:rsidP="00F33349">
      <w:pPr>
        <w:pStyle w:val="Prrafodelista"/>
        <w:widowControl w:val="0"/>
        <w:numPr>
          <w:ilvl w:val="0"/>
          <w:numId w:val="107"/>
        </w:numPr>
        <w:tabs>
          <w:tab w:val="left" w:pos="993"/>
        </w:tabs>
        <w:autoSpaceDE w:val="0"/>
        <w:autoSpaceDN w:val="0"/>
        <w:adjustRightInd w:val="0"/>
        <w:spacing w:after="0" w:line="259" w:lineRule="auto"/>
        <w:ind w:left="993" w:right="-518" w:hanging="284"/>
        <w:jc w:val="both"/>
        <w:rPr>
          <w:rFonts w:ascii="Calibri" w:hAnsi="Calibri"/>
          <w:color w:val="000000"/>
          <w:lang w:val="es-ES_tradnl"/>
        </w:rPr>
      </w:pPr>
      <w:r w:rsidRPr="009D1EA7">
        <w:rPr>
          <w:rFonts w:ascii="Calibri" w:hAnsi="Calibri"/>
          <w:color w:val="000000"/>
          <w:lang w:val="es-ES_tradnl"/>
        </w:rPr>
        <w:t>Revisión contrato de fiducia</w:t>
      </w:r>
      <w:r w:rsidR="00C16F70" w:rsidRPr="009D1EA7">
        <w:rPr>
          <w:rFonts w:ascii="Calibri" w:hAnsi="Calibri"/>
          <w:color w:val="000000"/>
          <w:lang w:val="es-ES_tradnl"/>
        </w:rPr>
        <w:t xml:space="preserve"> </w:t>
      </w:r>
      <w:r w:rsidRPr="009D1EA7">
        <w:rPr>
          <w:rFonts w:ascii="Calibri" w:hAnsi="Calibri"/>
          <w:color w:val="000000"/>
          <w:lang w:val="es-ES_tradnl"/>
        </w:rPr>
        <w:t>Jaime Aprobado mediante Acta de In</w:t>
      </w:r>
      <w:r w:rsidR="00C16F70" w:rsidRPr="009D1EA7">
        <w:rPr>
          <w:rFonts w:ascii="Calibri" w:hAnsi="Calibri"/>
          <w:color w:val="000000"/>
          <w:lang w:val="es-ES_tradnl"/>
        </w:rPr>
        <w:t>i</w:t>
      </w:r>
      <w:r w:rsidRPr="009D1EA7">
        <w:rPr>
          <w:rFonts w:ascii="Calibri" w:hAnsi="Calibri"/>
          <w:color w:val="000000"/>
          <w:lang w:val="es-ES_tradnl"/>
        </w:rPr>
        <w:t>cio firmada el 15 de mayo de 2015</w:t>
      </w:r>
    </w:p>
    <w:p w:rsidR="00815BCB" w:rsidRPr="009D1EA7" w:rsidRDefault="00815BCB" w:rsidP="00815BCB">
      <w:pPr>
        <w:spacing w:after="0"/>
        <w:ind w:right="-518"/>
        <w:jc w:val="center"/>
        <w:rPr>
          <w:rFonts w:ascii="Calibri" w:hAnsi="Calibri"/>
          <w:b/>
          <w:i/>
          <w:lang w:val="es-ES_tradnl"/>
        </w:rPr>
      </w:pPr>
    </w:p>
    <w:p w:rsidR="00815BCB" w:rsidRPr="009D1EA7" w:rsidRDefault="00815BCB" w:rsidP="00815BCB">
      <w:pPr>
        <w:pStyle w:val="Prrafodelista"/>
        <w:widowControl w:val="0"/>
        <w:autoSpaceDE w:val="0"/>
        <w:autoSpaceDN w:val="0"/>
        <w:adjustRightInd w:val="0"/>
        <w:spacing w:after="0"/>
        <w:ind w:right="-518"/>
        <w:jc w:val="center"/>
        <w:rPr>
          <w:b/>
          <w:color w:val="000000"/>
          <w:lang w:val="es-ES_tradnl"/>
        </w:rPr>
      </w:pPr>
      <w:r w:rsidRPr="009D1EA7">
        <w:rPr>
          <w:b/>
          <w:color w:val="000000"/>
          <w:lang w:val="es-ES_tradnl"/>
        </w:rPr>
        <w:t>Se emitieron los siguientes conceptos frente al aseguramiento</w:t>
      </w:r>
    </w:p>
    <w:p w:rsidR="00815BCB" w:rsidRPr="009D1EA7" w:rsidRDefault="00815BCB" w:rsidP="00F33349">
      <w:pPr>
        <w:pStyle w:val="Prrafodelista"/>
        <w:widowControl w:val="0"/>
        <w:numPr>
          <w:ilvl w:val="0"/>
          <w:numId w:val="107"/>
        </w:numPr>
        <w:tabs>
          <w:tab w:val="left" w:pos="993"/>
        </w:tabs>
        <w:autoSpaceDE w:val="0"/>
        <w:autoSpaceDN w:val="0"/>
        <w:adjustRightInd w:val="0"/>
        <w:spacing w:after="0" w:line="259" w:lineRule="auto"/>
        <w:ind w:left="709" w:right="-518" w:firstLine="0"/>
        <w:jc w:val="both"/>
        <w:rPr>
          <w:rFonts w:ascii="Calibri" w:hAnsi="Calibri"/>
          <w:color w:val="000000"/>
          <w:lang w:val="es-ES_tradnl"/>
        </w:rPr>
      </w:pPr>
      <w:r w:rsidRPr="009D1EA7">
        <w:rPr>
          <w:rFonts w:ascii="Calibri" w:hAnsi="Calibri"/>
          <w:color w:val="000000"/>
          <w:lang w:val="es-ES_tradnl"/>
        </w:rPr>
        <w:t xml:space="preserve">Revisión de </w:t>
      </w:r>
      <w:r w:rsidR="00C16F70" w:rsidRPr="009D1EA7">
        <w:rPr>
          <w:rFonts w:ascii="Calibri" w:hAnsi="Calibri"/>
          <w:color w:val="000000"/>
          <w:lang w:val="es-ES_tradnl"/>
        </w:rPr>
        <w:t xml:space="preserve">pólizas. </w:t>
      </w:r>
      <w:r w:rsidRPr="009D1EA7">
        <w:rPr>
          <w:rFonts w:ascii="Calibri" w:hAnsi="Calibri"/>
          <w:color w:val="000000"/>
          <w:lang w:val="es-ES_tradnl"/>
        </w:rPr>
        <w:t>Respuesta bajo radicado No. 2015704007597-1.</w:t>
      </w:r>
    </w:p>
    <w:p w:rsidR="00815BCB" w:rsidRDefault="00815BCB" w:rsidP="00815BCB">
      <w:pPr>
        <w:widowControl w:val="0"/>
        <w:autoSpaceDE w:val="0"/>
        <w:autoSpaceDN w:val="0"/>
        <w:adjustRightInd w:val="0"/>
        <w:spacing w:after="0"/>
        <w:ind w:right="-518"/>
        <w:jc w:val="both"/>
        <w:rPr>
          <w:rFonts w:ascii="Calibri" w:hAnsi="Calibri"/>
          <w:color w:val="000000"/>
          <w:lang w:val="es-ES_tradnl"/>
        </w:rPr>
      </w:pPr>
    </w:p>
    <w:p w:rsidR="00815BCB" w:rsidRDefault="00815BCB" w:rsidP="00815BCB">
      <w:pPr>
        <w:widowControl w:val="0"/>
        <w:autoSpaceDE w:val="0"/>
        <w:autoSpaceDN w:val="0"/>
        <w:adjustRightInd w:val="0"/>
        <w:spacing w:after="0"/>
        <w:ind w:right="-518"/>
        <w:jc w:val="both"/>
        <w:rPr>
          <w:rFonts w:ascii="Calibri" w:hAnsi="Calibri"/>
          <w:color w:val="000000"/>
          <w:lang w:val="es-ES_tradnl"/>
        </w:rPr>
      </w:pPr>
    </w:p>
    <w:p w:rsidR="00815BCB" w:rsidRPr="00744471" w:rsidRDefault="00815BCB" w:rsidP="00815BCB">
      <w:pPr>
        <w:widowControl w:val="0"/>
        <w:autoSpaceDE w:val="0"/>
        <w:autoSpaceDN w:val="0"/>
        <w:adjustRightInd w:val="0"/>
        <w:spacing w:after="0"/>
        <w:ind w:right="-518"/>
        <w:jc w:val="both"/>
        <w:rPr>
          <w:rFonts w:ascii="Calibri" w:hAnsi="Calibri"/>
          <w:color w:val="000000"/>
          <w:lang w:val="es-ES_tradnl"/>
        </w:rPr>
      </w:pPr>
    </w:p>
    <w:tbl>
      <w:tblPr>
        <w:tblStyle w:val="Tablaconcuadrcula"/>
        <w:tblW w:w="9594" w:type="dxa"/>
        <w:tblInd w:w="153" w:type="dxa"/>
        <w:tblLook w:val="04A0" w:firstRow="1" w:lastRow="0" w:firstColumn="1" w:lastColumn="0" w:noHBand="0" w:noVBand="1"/>
      </w:tblPr>
      <w:tblGrid>
        <w:gridCol w:w="9594"/>
      </w:tblGrid>
      <w:tr w:rsidR="00815BCB" w:rsidRPr="00973A91" w:rsidTr="00EC4067">
        <w:tc>
          <w:tcPr>
            <w:tcW w:w="9594" w:type="dxa"/>
            <w:shd w:val="clear" w:color="auto" w:fill="BFBFBF" w:themeFill="background1" w:themeFillShade="BF"/>
          </w:tcPr>
          <w:p w:rsidR="00815BCB" w:rsidRPr="00973A91" w:rsidRDefault="00815BCB" w:rsidP="00C16F70">
            <w:pPr>
              <w:pStyle w:val="Prrafodelista"/>
              <w:ind w:left="153"/>
              <w:jc w:val="center"/>
              <w:rPr>
                <w:rFonts w:ascii="Calibri" w:hAnsi="Calibri"/>
                <w:b/>
                <w:i/>
                <w:sz w:val="32"/>
                <w:szCs w:val="32"/>
              </w:rPr>
            </w:pPr>
            <w:r w:rsidRPr="00973A91">
              <w:rPr>
                <w:rFonts w:ascii="Calibri" w:hAnsi="Calibri"/>
                <w:b/>
                <w:i/>
                <w:sz w:val="32"/>
                <w:szCs w:val="32"/>
              </w:rPr>
              <w:t>PROYECTOS FERREOS</w:t>
            </w:r>
          </w:p>
        </w:tc>
      </w:tr>
    </w:tbl>
    <w:p w:rsidR="00815BCB" w:rsidRDefault="00815BCB" w:rsidP="00815BCB">
      <w:pPr>
        <w:pStyle w:val="Prrafodelista"/>
        <w:ind w:left="153" w:right="-518"/>
        <w:rPr>
          <w:rFonts w:ascii="Calibri" w:hAnsi="Calibri"/>
          <w:b/>
          <w:i/>
          <w:sz w:val="32"/>
          <w:szCs w:val="32"/>
        </w:rPr>
      </w:pPr>
    </w:p>
    <w:p w:rsidR="00815BCB" w:rsidRPr="00D931D0" w:rsidRDefault="00815BCB" w:rsidP="00815BCB">
      <w:pPr>
        <w:pStyle w:val="Prrafodelista"/>
        <w:ind w:left="153" w:right="-518"/>
        <w:jc w:val="center"/>
        <w:rPr>
          <w:rFonts w:ascii="Calibri" w:hAnsi="Calibri"/>
          <w:b/>
          <w:i/>
          <w:sz w:val="32"/>
          <w:szCs w:val="32"/>
        </w:rPr>
      </w:pPr>
      <w:r>
        <w:rPr>
          <w:rFonts w:ascii="Calibri" w:hAnsi="Calibri"/>
          <w:b/>
          <w:i/>
          <w:sz w:val="32"/>
          <w:szCs w:val="32"/>
        </w:rPr>
        <w:t>RED FERREA DEL PACÍFICO Y CONTRATOS DE OBRA.</w:t>
      </w:r>
    </w:p>
    <w:p w:rsidR="00815BCB" w:rsidRDefault="00815BCB" w:rsidP="00815BCB">
      <w:pPr>
        <w:pStyle w:val="Prrafodelista"/>
        <w:ind w:left="153" w:right="-518"/>
        <w:jc w:val="center"/>
        <w:rPr>
          <w:rFonts w:ascii="Calibri" w:hAnsi="Calibri"/>
          <w:b/>
          <w:color w:val="000000"/>
          <w:lang w:val="es-ES_tradnl"/>
        </w:rPr>
      </w:pPr>
      <w:r w:rsidRPr="00D931D0">
        <w:rPr>
          <w:rFonts w:ascii="Calibri" w:hAnsi="Calibri"/>
          <w:b/>
          <w:color w:val="000000"/>
          <w:lang w:val="es-ES_tradnl"/>
        </w:rPr>
        <w:lastRenderedPageBreak/>
        <w:t>Se emitieron los siguientes conceptos y documentos contractuales</w:t>
      </w:r>
    </w:p>
    <w:p w:rsidR="00815BCB" w:rsidRDefault="00815BCB" w:rsidP="00815BCB">
      <w:pPr>
        <w:pStyle w:val="Prrafodelista"/>
        <w:ind w:left="153" w:right="-518"/>
        <w:jc w:val="center"/>
        <w:rPr>
          <w:rFonts w:ascii="Calibri" w:hAnsi="Calibri"/>
          <w:b/>
          <w:color w:val="000000"/>
          <w:lang w:val="es-ES_tradnl"/>
        </w:rPr>
      </w:pP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hAnsi="Calibri"/>
          <w:color w:val="000000"/>
          <w:lang w:val="es-ES_tradnl"/>
        </w:rPr>
        <w:t xml:space="preserve">Mediante el radicado 2014-307-011356-3, se presenta solicitud de remisión de informes de querella a GDJ – </w:t>
      </w:r>
      <w:r w:rsidR="00C16F70" w:rsidRPr="009D1EA7">
        <w:rPr>
          <w:rFonts w:ascii="Calibri" w:hAnsi="Calibri"/>
          <w:color w:val="000000"/>
          <w:lang w:val="es-ES_tradnl"/>
        </w:rPr>
        <w:t>Interventoría</w:t>
      </w:r>
      <w:r w:rsidRPr="009D1EA7">
        <w:rPr>
          <w:rFonts w:ascii="Calibri" w:hAnsi="Calibri"/>
          <w:color w:val="000000"/>
          <w:lang w:val="es-ES_tradnl"/>
        </w:rPr>
        <w:t xml:space="preserve"> y se tramita mediante el 2015-704-000641-3 del 15 de enero de 2015 remitiendo a la GDJ por ser de su competencia.</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Mediante el radicado No.</w:t>
      </w:r>
      <w:r w:rsidRPr="009D1EA7">
        <w:rPr>
          <w:rFonts w:ascii="Calibri" w:hAnsi="Calibri" w:cs="Arial"/>
          <w:color w:val="000000"/>
          <w:shd w:val="clear" w:color="auto" w:fill="FFFFFF"/>
        </w:rPr>
        <w:t>2014-307-011548-3</w:t>
      </w:r>
      <w:r w:rsidRPr="009D1EA7">
        <w:rPr>
          <w:rFonts w:ascii="Calibri" w:eastAsia="Times New Roman" w:hAnsi="Calibri" w:cs="Arial"/>
          <w:color w:val="000000"/>
        </w:rPr>
        <w:t>,</w:t>
      </w:r>
      <w:r w:rsidR="00C16F70" w:rsidRPr="009D1EA7">
        <w:rPr>
          <w:rFonts w:ascii="Calibri" w:eastAsia="Times New Roman" w:hAnsi="Calibri" w:cs="Arial"/>
          <w:color w:val="000000"/>
        </w:rPr>
        <w:t xml:space="preserve"> </w:t>
      </w:r>
      <w:r w:rsidRPr="009D1EA7">
        <w:rPr>
          <w:rFonts w:ascii="Calibri" w:eastAsia="Times New Roman" w:hAnsi="Calibri" w:cs="Arial"/>
          <w:color w:val="000000"/>
        </w:rPr>
        <w:t>se solicita concepto sobre pago de administración, conservación del material rodante del cual se da respuesta mediante el radicado No.2015-704-000786-3 del 20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Mediante el radicado No.2014-307-010557-3,</w:t>
      </w:r>
      <w:r w:rsidR="00C16F70" w:rsidRPr="009D1EA7">
        <w:rPr>
          <w:rFonts w:ascii="Calibri" w:eastAsia="Times New Roman" w:hAnsi="Calibri" w:cs="Arial"/>
          <w:color w:val="000000"/>
        </w:rPr>
        <w:t xml:space="preserve"> </w:t>
      </w:r>
      <w:r w:rsidRPr="009D1EA7">
        <w:rPr>
          <w:rFonts w:ascii="Calibri" w:eastAsia="Times New Roman" w:hAnsi="Calibri" w:cs="Arial"/>
          <w:color w:val="000000"/>
        </w:rPr>
        <w:t>se solicita concepto declaración terceros FDP se da respuesta indicando que no se emite concepto por no ser tema contractual mediante el radicado No.2015-704-000987-3 del 22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Mediante el radicado No.2014-307-010564-3,</w:t>
      </w:r>
      <w:r w:rsidR="00C16F70" w:rsidRPr="009D1EA7">
        <w:rPr>
          <w:rFonts w:ascii="Calibri" w:eastAsia="Times New Roman" w:hAnsi="Calibri" w:cs="Arial"/>
          <w:color w:val="000000"/>
        </w:rPr>
        <w:t xml:space="preserve"> </w:t>
      </w:r>
      <w:r w:rsidRPr="009D1EA7">
        <w:rPr>
          <w:rFonts w:ascii="Calibri" w:eastAsia="Times New Roman" w:hAnsi="Calibri" w:cs="Arial"/>
          <w:color w:val="000000"/>
        </w:rPr>
        <w:t>se solicita concepto o viabilidad ejecución obras TDO LIQ CONT del cual se da respuesta mediante el radicado No.2015-704-001043-3 del 26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Solicitud concepto sobre imposición multas UTFC a la GDJ.</w:t>
      </w:r>
      <w:r w:rsidR="00C16F70" w:rsidRPr="009D1EA7">
        <w:rPr>
          <w:rFonts w:ascii="Calibri" w:eastAsia="Times New Roman" w:hAnsi="Calibri" w:cs="Arial"/>
          <w:color w:val="000000"/>
        </w:rPr>
        <w:t xml:space="preserve"> </w:t>
      </w:r>
      <w:r w:rsidRPr="009D1EA7">
        <w:rPr>
          <w:rFonts w:ascii="Calibri" w:eastAsia="Times New Roman" w:hAnsi="Calibri" w:cs="Arial"/>
          <w:color w:val="000000"/>
        </w:rPr>
        <w:t>Gestionado mediante radicado No.2015-307-001406-3 del 29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Revisión a la respuesta a la Procuraduría General de la Nación. Mediante Radicado No.2015-307-00189731 del 30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Concepto sustitución casetas paso a nivel RFP. Mediante memorando No. 2015-704-001644-3 del 4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Concepto equipos faltantes TDO. Gestionado mediante radicado No.2015-704-001976-3 del 12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rPr>
        <w:t>Concepto entrega bienes FDP Estación Arauca.</w:t>
      </w:r>
      <w:r w:rsidR="00C16F70" w:rsidRPr="009D1EA7">
        <w:rPr>
          <w:rFonts w:ascii="Calibri" w:eastAsia="Times New Roman" w:hAnsi="Calibri" w:cs="Arial"/>
          <w:color w:val="000000" w:themeColor="text1"/>
        </w:rPr>
        <w:t xml:space="preserve"> </w:t>
      </w:r>
      <w:r w:rsidRPr="009D1EA7">
        <w:rPr>
          <w:rFonts w:ascii="Calibri" w:eastAsia="Times New Roman" w:hAnsi="Calibri" w:cs="Arial"/>
          <w:color w:val="000000" w:themeColor="text1"/>
        </w:rPr>
        <w:t>Gestionado mediante radicado No. 2015-704-004219-3</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Respuesta requerimiento la Procuraduría General de la Nación. Mediante Radicado No.2015-704-003052-1 del 16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Concepto entrega TRAMO C-LF A FDP.</w:t>
      </w:r>
      <w:r w:rsidR="00C16F70" w:rsidRPr="009D1EA7">
        <w:rPr>
          <w:rFonts w:ascii="Calibri" w:eastAsia="Times New Roman" w:hAnsi="Calibri" w:cs="Arial"/>
          <w:color w:val="000000"/>
        </w:rPr>
        <w:t xml:space="preserve"> </w:t>
      </w:r>
      <w:r w:rsidRPr="009D1EA7">
        <w:rPr>
          <w:rFonts w:ascii="Calibri" w:eastAsia="Times New Roman" w:hAnsi="Calibri" w:cs="Arial"/>
          <w:color w:val="000000"/>
        </w:rPr>
        <w:t>Mediante Radicado No.2015-704-002388-3 del 24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Autorización inicio ejecución obras recursos emergencia.</w:t>
      </w:r>
      <w:r w:rsidR="00C16F70" w:rsidRPr="009D1EA7">
        <w:rPr>
          <w:rFonts w:ascii="Calibri" w:eastAsia="Times New Roman" w:hAnsi="Calibri" w:cs="Arial"/>
          <w:color w:val="000000"/>
        </w:rPr>
        <w:t xml:space="preserve"> </w:t>
      </w:r>
      <w:r w:rsidRPr="009D1EA7">
        <w:rPr>
          <w:rFonts w:ascii="Calibri" w:eastAsia="Times New Roman" w:hAnsi="Calibri" w:cs="Arial"/>
          <w:color w:val="000000"/>
        </w:rPr>
        <w:t>Mediante Radicado No.2015-307-003775-1 del 24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 xml:space="preserve">Se revisó el EOC modificación 1 Contrato de </w:t>
      </w:r>
      <w:r w:rsidR="00C16F70" w:rsidRPr="009D1EA7">
        <w:rPr>
          <w:rFonts w:ascii="Calibri" w:eastAsia="Times New Roman" w:hAnsi="Calibri" w:cs="Arial"/>
          <w:color w:val="000000"/>
        </w:rPr>
        <w:t>Interventoría</w:t>
      </w:r>
      <w:r w:rsidRPr="009D1EA7">
        <w:rPr>
          <w:rFonts w:ascii="Calibri" w:eastAsia="Times New Roman" w:hAnsi="Calibri" w:cs="Arial"/>
          <w:color w:val="000000"/>
        </w:rPr>
        <w:t xml:space="preserve"> 427 de 2013. Realizado el 24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lang w:val="es-ES_tradnl"/>
        </w:rPr>
      </w:pPr>
      <w:r w:rsidRPr="009D1EA7">
        <w:rPr>
          <w:rFonts w:ascii="Calibri" w:eastAsia="Times New Roman" w:hAnsi="Calibri" w:cs="Arial"/>
          <w:color w:val="000000"/>
        </w:rPr>
        <w:t>Se revisó la modificación 1 Contrato de interventoría al Contrato No. 427 de 2013.Realizado el 27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rPr>
      </w:pPr>
      <w:r w:rsidRPr="009D1EA7">
        <w:rPr>
          <w:rFonts w:ascii="Calibri" w:eastAsia="Times New Roman" w:hAnsi="Calibri" w:cs="Arial"/>
          <w:color w:val="000000"/>
        </w:rPr>
        <w:t>Revisión jurídica del Otrosí no.8 al convenio No.008 DE 2008. Realizado el 24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rPr>
      </w:pPr>
      <w:r w:rsidRPr="009D1EA7">
        <w:rPr>
          <w:rFonts w:ascii="Calibri" w:eastAsia="Times New Roman" w:hAnsi="Calibri" w:cs="Arial"/>
          <w:color w:val="000000"/>
        </w:rPr>
        <w:t>Solicitud GDJ terminación proceso incumplimiento. Gestionado mediante radicado 2015-307-004-056-3 del 27 de marzo de 2015.</w:t>
      </w:r>
    </w:p>
    <w:p w:rsidR="00815BCB" w:rsidRPr="009D1EA7" w:rsidRDefault="00815BCB" w:rsidP="00F33349">
      <w:pPr>
        <w:pStyle w:val="Prrafodelista"/>
        <w:numPr>
          <w:ilvl w:val="0"/>
          <w:numId w:val="108"/>
        </w:numPr>
        <w:spacing w:after="160" w:line="259" w:lineRule="auto"/>
        <w:ind w:left="1134" w:right="-518" w:hanging="284"/>
        <w:jc w:val="both"/>
        <w:rPr>
          <w:rFonts w:ascii="Calibri" w:hAnsi="Calibri"/>
          <w:color w:val="000000"/>
        </w:rPr>
      </w:pPr>
      <w:r w:rsidRPr="009D1EA7">
        <w:rPr>
          <w:rFonts w:ascii="Calibri" w:hAnsi="Calibri"/>
          <w:color w:val="000000"/>
        </w:rPr>
        <w:t xml:space="preserve">Concepto reubicación elementos </w:t>
      </w:r>
      <w:r w:rsidR="00C16F70" w:rsidRPr="009D1EA7">
        <w:rPr>
          <w:rFonts w:ascii="Calibri" w:hAnsi="Calibri"/>
          <w:color w:val="000000"/>
        </w:rPr>
        <w:t>vía</w:t>
      </w:r>
      <w:r w:rsidRPr="009D1EA7">
        <w:rPr>
          <w:rFonts w:ascii="Calibri" w:hAnsi="Calibri"/>
          <w:color w:val="000000"/>
        </w:rPr>
        <w:t xml:space="preserve"> </w:t>
      </w:r>
      <w:r w:rsidR="00C16F70" w:rsidRPr="009D1EA7">
        <w:rPr>
          <w:rFonts w:ascii="Calibri" w:hAnsi="Calibri"/>
          <w:color w:val="000000"/>
        </w:rPr>
        <w:t>férrea</w:t>
      </w:r>
      <w:r w:rsidRPr="009D1EA7">
        <w:rPr>
          <w:rFonts w:ascii="Calibri" w:hAnsi="Calibri"/>
          <w:color w:val="000000"/>
        </w:rPr>
        <w:t xml:space="preserve"> rfp. Radicado 2015-704-004164-3del 6 de abril de 2015</w:t>
      </w:r>
    </w:p>
    <w:p w:rsidR="00815BCB" w:rsidRPr="009D1EA7" w:rsidRDefault="00815BCB" w:rsidP="00F33349">
      <w:pPr>
        <w:pStyle w:val="Prrafodelista"/>
        <w:numPr>
          <w:ilvl w:val="0"/>
          <w:numId w:val="108"/>
        </w:numPr>
        <w:spacing w:after="160" w:line="259" w:lineRule="auto"/>
        <w:ind w:left="1134" w:right="-518" w:hanging="284"/>
        <w:jc w:val="both"/>
        <w:rPr>
          <w:rFonts w:ascii="Calibri" w:hAnsi="Calibri"/>
          <w:color w:val="000000"/>
        </w:rPr>
      </w:pPr>
      <w:r w:rsidRPr="009D1EA7">
        <w:rPr>
          <w:rFonts w:ascii="Calibri" w:hAnsi="Calibri"/>
          <w:color w:val="000000"/>
        </w:rPr>
        <w:t>Se revisó el EOC modificación 1 Cto 356 de 2013 (sin radicado del 22/04/2015)</w:t>
      </w:r>
    </w:p>
    <w:p w:rsidR="00815BCB" w:rsidRPr="009D1EA7" w:rsidRDefault="00815BCB" w:rsidP="00F33349">
      <w:pPr>
        <w:pStyle w:val="Prrafodelista"/>
        <w:numPr>
          <w:ilvl w:val="0"/>
          <w:numId w:val="108"/>
        </w:numPr>
        <w:spacing w:after="160" w:line="259" w:lineRule="auto"/>
        <w:ind w:left="1134" w:right="-518" w:hanging="284"/>
        <w:jc w:val="both"/>
        <w:rPr>
          <w:rFonts w:ascii="Calibri" w:hAnsi="Calibri"/>
          <w:color w:val="000000"/>
        </w:rPr>
      </w:pPr>
      <w:r w:rsidRPr="009D1EA7">
        <w:rPr>
          <w:rFonts w:ascii="Calibri" w:hAnsi="Calibri"/>
          <w:color w:val="000000"/>
        </w:rPr>
        <w:t>Revisión jurídica del Otrosi No.1 Cto 356 de 2015. Realizado el24/04/2015</w:t>
      </w:r>
    </w:p>
    <w:p w:rsidR="00815BCB" w:rsidRPr="009D1EA7" w:rsidRDefault="00815BCB" w:rsidP="00F33349">
      <w:pPr>
        <w:pStyle w:val="Prrafodelista"/>
        <w:numPr>
          <w:ilvl w:val="0"/>
          <w:numId w:val="108"/>
        </w:numPr>
        <w:spacing w:after="160" w:line="259" w:lineRule="auto"/>
        <w:ind w:left="1134" w:right="-518" w:hanging="284"/>
        <w:jc w:val="both"/>
        <w:rPr>
          <w:rFonts w:ascii="Calibri" w:hAnsi="Calibri"/>
          <w:color w:val="000000"/>
        </w:rPr>
      </w:pPr>
      <w:r w:rsidRPr="009D1EA7">
        <w:rPr>
          <w:rFonts w:ascii="Calibri" w:hAnsi="Calibri"/>
          <w:color w:val="000000"/>
        </w:rPr>
        <w:t xml:space="preserve">Revisión jurídica del eoc modificación 18 cto rfp. Realizado el </w:t>
      </w:r>
      <w:r w:rsidRPr="009D1EA7">
        <w:rPr>
          <w:rFonts w:ascii="Calibri" w:hAnsi="Calibri"/>
          <w:color w:val="000000"/>
        </w:rPr>
        <w:tab/>
        <w:t>25/05/2015</w:t>
      </w:r>
    </w:p>
    <w:p w:rsidR="00815BCB" w:rsidRPr="009D1EA7" w:rsidRDefault="00815BCB" w:rsidP="00F33349">
      <w:pPr>
        <w:pStyle w:val="Prrafodelista"/>
        <w:numPr>
          <w:ilvl w:val="0"/>
          <w:numId w:val="108"/>
        </w:numPr>
        <w:spacing w:after="160" w:line="259" w:lineRule="auto"/>
        <w:ind w:left="1134" w:right="-518" w:hanging="284"/>
        <w:jc w:val="both"/>
        <w:rPr>
          <w:rFonts w:ascii="Calibri" w:hAnsi="Calibri"/>
          <w:color w:val="000000"/>
        </w:rPr>
      </w:pPr>
      <w:r w:rsidRPr="009D1EA7">
        <w:rPr>
          <w:rFonts w:ascii="Calibri" w:hAnsi="Calibri"/>
          <w:color w:val="000000"/>
        </w:rPr>
        <w:t xml:space="preserve">Revisión jurídica del otrosi 18 rfp </w:t>
      </w:r>
      <w:r w:rsidRPr="009D1EA7">
        <w:rPr>
          <w:rFonts w:ascii="Calibri" w:hAnsi="Calibri"/>
          <w:color w:val="000000"/>
        </w:rPr>
        <w:tab/>
        <w:t>el 10/6/2015</w:t>
      </w:r>
    </w:p>
    <w:p w:rsidR="00815BCB" w:rsidRPr="009D1EA7" w:rsidRDefault="00815BCB" w:rsidP="00F33349">
      <w:pPr>
        <w:pStyle w:val="Prrafodelista"/>
        <w:numPr>
          <w:ilvl w:val="0"/>
          <w:numId w:val="108"/>
        </w:numPr>
        <w:spacing w:after="160" w:line="259" w:lineRule="auto"/>
        <w:ind w:left="1134" w:right="-518" w:hanging="284"/>
        <w:jc w:val="both"/>
        <w:rPr>
          <w:rFonts w:ascii="Calibri" w:hAnsi="Calibri"/>
          <w:color w:val="000000"/>
        </w:rPr>
      </w:pPr>
      <w:r w:rsidRPr="009D1EA7">
        <w:rPr>
          <w:rFonts w:ascii="Calibri" w:hAnsi="Calibri"/>
          <w:color w:val="000000"/>
        </w:rPr>
        <w:lastRenderedPageBreak/>
        <w:t>Concepto solicitud incremento valor cto int cont obra. Mediante radicado No.2015-704-005901-3 del 22 de mayo de 2015</w:t>
      </w:r>
    </w:p>
    <w:p w:rsidR="00815BCB" w:rsidRPr="009D1EA7" w:rsidRDefault="00815BCB" w:rsidP="00F33349">
      <w:pPr>
        <w:pStyle w:val="Prrafodelista"/>
        <w:numPr>
          <w:ilvl w:val="0"/>
          <w:numId w:val="108"/>
        </w:numPr>
        <w:spacing w:after="160" w:line="259" w:lineRule="auto"/>
        <w:ind w:left="851" w:right="-518" w:hanging="142"/>
        <w:jc w:val="both"/>
        <w:rPr>
          <w:rFonts w:ascii="Calibri" w:hAnsi="Calibri"/>
          <w:color w:val="000000"/>
        </w:rPr>
      </w:pPr>
      <w:r w:rsidRPr="009D1EA7">
        <w:rPr>
          <w:rFonts w:ascii="Calibri" w:hAnsi="Calibri"/>
          <w:color w:val="000000"/>
        </w:rPr>
        <w:t xml:space="preserve">    Se revisa la </w:t>
      </w:r>
      <w:r w:rsidR="00C16F70" w:rsidRPr="009D1EA7">
        <w:rPr>
          <w:rFonts w:ascii="Calibri" w:hAnsi="Calibri"/>
          <w:color w:val="000000"/>
        </w:rPr>
        <w:t>modificación</w:t>
      </w:r>
      <w:r w:rsidRPr="009D1EA7">
        <w:rPr>
          <w:rFonts w:ascii="Calibri" w:hAnsi="Calibri"/>
          <w:color w:val="000000"/>
        </w:rPr>
        <w:t xml:space="preserve"> de Prorroga y plazo contrato </w:t>
      </w:r>
      <w:r w:rsidR="00C16F70" w:rsidRPr="009D1EA7">
        <w:rPr>
          <w:rFonts w:ascii="Calibri" w:hAnsi="Calibri"/>
          <w:color w:val="000000"/>
        </w:rPr>
        <w:t>interventoría</w:t>
      </w:r>
      <w:r w:rsidRPr="009D1EA7">
        <w:rPr>
          <w:rFonts w:ascii="Calibri" w:hAnsi="Calibri"/>
          <w:color w:val="000000"/>
        </w:rPr>
        <w:t xml:space="preserve"> rfp.</w:t>
      </w:r>
      <w:r w:rsidRPr="009D1EA7">
        <w:rPr>
          <w:rFonts w:ascii="Calibri" w:hAnsi="Calibri"/>
          <w:color w:val="000000"/>
        </w:rPr>
        <w:tab/>
        <w:t>17/06/15</w:t>
      </w:r>
    </w:p>
    <w:p w:rsidR="00815BCB" w:rsidRPr="009D1EA7" w:rsidRDefault="00815BCB" w:rsidP="00F33349">
      <w:pPr>
        <w:pStyle w:val="Prrafodelista"/>
        <w:numPr>
          <w:ilvl w:val="0"/>
          <w:numId w:val="108"/>
        </w:numPr>
        <w:tabs>
          <w:tab w:val="left" w:pos="851"/>
        </w:tabs>
        <w:spacing w:after="160" w:line="259" w:lineRule="auto"/>
        <w:ind w:left="1134" w:right="-518" w:hanging="142"/>
        <w:jc w:val="both"/>
        <w:rPr>
          <w:rFonts w:ascii="Calibri" w:hAnsi="Calibri"/>
          <w:color w:val="000000"/>
        </w:rPr>
      </w:pPr>
      <w:r w:rsidRPr="009D1EA7">
        <w:rPr>
          <w:rFonts w:ascii="Calibri" w:hAnsi="Calibri"/>
          <w:color w:val="000000"/>
        </w:rPr>
        <w:t xml:space="preserve">se revisa el contenido </w:t>
      </w:r>
      <w:r w:rsidR="00C16F70" w:rsidRPr="009D1EA7">
        <w:rPr>
          <w:rFonts w:ascii="Calibri" w:hAnsi="Calibri"/>
          <w:color w:val="000000"/>
        </w:rPr>
        <w:t>jurídico</w:t>
      </w:r>
      <w:r w:rsidRPr="009D1EA7">
        <w:rPr>
          <w:rFonts w:ascii="Calibri" w:hAnsi="Calibri"/>
          <w:color w:val="000000"/>
        </w:rPr>
        <w:t xml:space="preserve"> del Eoc de la </w:t>
      </w:r>
      <w:r w:rsidR="00C16F70" w:rsidRPr="009D1EA7">
        <w:rPr>
          <w:rFonts w:ascii="Calibri" w:hAnsi="Calibri"/>
          <w:color w:val="000000"/>
        </w:rPr>
        <w:t>modificación</w:t>
      </w:r>
      <w:r w:rsidRPr="009D1EA7">
        <w:rPr>
          <w:rFonts w:ascii="Calibri" w:hAnsi="Calibri"/>
          <w:color w:val="000000"/>
        </w:rPr>
        <w:t xml:space="preserve"> de la </w:t>
      </w:r>
      <w:r w:rsidR="00C16F70" w:rsidRPr="009D1EA7">
        <w:rPr>
          <w:rFonts w:ascii="Calibri" w:hAnsi="Calibri"/>
          <w:color w:val="000000"/>
        </w:rPr>
        <w:t>interventoría</w:t>
      </w:r>
      <w:r w:rsidRPr="009D1EA7">
        <w:rPr>
          <w:rFonts w:ascii="Calibri" w:hAnsi="Calibri"/>
          <w:color w:val="000000"/>
        </w:rPr>
        <w:t xml:space="preserve"> rfp</w:t>
      </w:r>
      <w:r w:rsidRPr="009D1EA7">
        <w:rPr>
          <w:rFonts w:ascii="Calibri" w:hAnsi="Calibri"/>
          <w:color w:val="000000"/>
        </w:rPr>
        <w:tab/>
        <w:t>documento.</w:t>
      </w:r>
      <w:r w:rsidRPr="009D1EA7">
        <w:rPr>
          <w:rFonts w:ascii="Calibri" w:hAnsi="Calibri"/>
          <w:color w:val="000000"/>
        </w:rPr>
        <w:tab/>
        <w:t>11/6/2015</w:t>
      </w:r>
    </w:p>
    <w:p w:rsidR="00815BCB" w:rsidRDefault="00815BCB" w:rsidP="00815BCB">
      <w:pPr>
        <w:pStyle w:val="Prrafodelista"/>
        <w:ind w:left="993" w:right="-518" w:hanging="284"/>
        <w:jc w:val="both"/>
        <w:rPr>
          <w:rFonts w:ascii="Calibri" w:hAnsi="Calibri"/>
          <w:color w:val="000000"/>
          <w:sz w:val="24"/>
          <w:szCs w:val="24"/>
        </w:rPr>
      </w:pPr>
    </w:p>
    <w:p w:rsidR="009D1EA7" w:rsidRPr="000A5592" w:rsidRDefault="009D1EA7" w:rsidP="00815BCB">
      <w:pPr>
        <w:pStyle w:val="Prrafodelista"/>
        <w:ind w:left="993" w:right="-518" w:hanging="284"/>
        <w:jc w:val="both"/>
        <w:rPr>
          <w:rFonts w:ascii="Calibri" w:hAnsi="Calibri"/>
          <w:color w:val="000000"/>
          <w:sz w:val="24"/>
          <w:szCs w:val="24"/>
        </w:rPr>
      </w:pPr>
    </w:p>
    <w:p w:rsidR="00815BCB" w:rsidRPr="000A5592" w:rsidRDefault="00815BCB" w:rsidP="00815BCB">
      <w:pPr>
        <w:pStyle w:val="Prrafodelista"/>
        <w:widowControl w:val="0"/>
        <w:autoSpaceDE w:val="0"/>
        <w:autoSpaceDN w:val="0"/>
        <w:adjustRightInd w:val="0"/>
        <w:spacing w:after="0"/>
        <w:ind w:right="-518" w:hanging="284"/>
        <w:jc w:val="center"/>
        <w:rPr>
          <w:b/>
          <w:color w:val="000000"/>
          <w:sz w:val="24"/>
          <w:szCs w:val="24"/>
          <w:lang w:val="es-ES_tradnl"/>
        </w:rPr>
      </w:pPr>
      <w:r w:rsidRPr="000A5592">
        <w:rPr>
          <w:b/>
          <w:color w:val="000000"/>
          <w:sz w:val="24"/>
          <w:szCs w:val="24"/>
          <w:lang w:val="es-ES_tradnl"/>
        </w:rPr>
        <w:t>Se emitieron los siguientes conceptos frente al aseguramiento</w:t>
      </w:r>
    </w:p>
    <w:p w:rsidR="00815BCB" w:rsidRPr="009D1EA7" w:rsidRDefault="00815BCB" w:rsidP="00815BCB">
      <w:pPr>
        <w:pStyle w:val="Prrafodelista"/>
        <w:widowControl w:val="0"/>
        <w:autoSpaceDE w:val="0"/>
        <w:autoSpaceDN w:val="0"/>
        <w:adjustRightInd w:val="0"/>
        <w:spacing w:after="0"/>
        <w:ind w:right="-518" w:hanging="284"/>
        <w:jc w:val="center"/>
        <w:rPr>
          <w:b/>
          <w:color w:val="000000"/>
          <w:lang w:val="es-ES_tradnl"/>
        </w:rPr>
      </w:pP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rPr>
        <w:t>Remisión aclaración de la póliza. Mediante memorando No.2015-307-002735-1 del 24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rPr>
        <w:t>Remisión GDJ comunicación aseguradora confianza pago siniestro. Gestionado mediante radicado No. 2015-704-0003638-3 del 28 de marzo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rPr>
        <w:t>Aprobación póliza Carromotor 2015. Gestionado mediante radicado No.2015-704-003758-3 del 20 de marzo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rPr>
        <w:t>CORRECCION No. POLIZA. Mediante radicad Mediante el radicado 2014-307-010721-3, se presenta solicitud de Concepto jurídico renovación pólizas cto 356 2013 y se emite el respectivo concepto mediante el radicado No.2015-704-000640-3 del 15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rPr>
        <w:t>Mediante el radicado 2014-307-009836-3,se presenta solicitud de concepto jurídico ampliación póliza todo riesgo y petrofdpy se emite el respectivo concepto mediante el radicado No.2015-704-000639-3 del 15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rPr>
      </w:pPr>
      <w:r w:rsidRPr="009D1EA7">
        <w:rPr>
          <w:rFonts w:ascii="Calibri" w:eastAsia="Times New Roman" w:hAnsi="Calibri" w:cs="Arial"/>
          <w:color w:val="000000" w:themeColor="text1"/>
        </w:rPr>
        <w:t xml:space="preserve">Mediante el radicado 2015-307-000625-3,se da respuesta observaciones </w:t>
      </w:r>
      <w:r w:rsidR="00C16F70" w:rsidRPr="009D1EA7">
        <w:rPr>
          <w:rFonts w:ascii="Calibri" w:eastAsia="Times New Roman" w:hAnsi="Calibri" w:cs="Arial"/>
          <w:color w:val="000000" w:themeColor="text1"/>
        </w:rPr>
        <w:t>Interventoría</w:t>
      </w:r>
      <w:r w:rsidRPr="009D1EA7">
        <w:rPr>
          <w:rFonts w:ascii="Calibri" w:eastAsia="Times New Roman" w:hAnsi="Calibri" w:cs="Arial"/>
          <w:color w:val="000000" w:themeColor="text1"/>
        </w:rPr>
        <w:t xml:space="preserve"> póliza y petro FDP y se emite mediante el radicado No.2015-704-000732-3 del 19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lang w:val="es-ES_tradnl"/>
        </w:rPr>
        <w:t>S</w:t>
      </w:r>
      <w:r w:rsidRPr="009D1EA7">
        <w:rPr>
          <w:rFonts w:ascii="Calibri" w:eastAsia="Times New Roman" w:hAnsi="Calibri" w:cs="Arial"/>
          <w:color w:val="000000" w:themeColor="text1"/>
        </w:rPr>
        <w:t xml:space="preserve">e remite las observaciones a las póliza por parte de la </w:t>
      </w:r>
      <w:r w:rsidR="00C16F70" w:rsidRPr="009D1EA7">
        <w:rPr>
          <w:rFonts w:ascii="Calibri" w:eastAsia="Times New Roman" w:hAnsi="Calibri" w:cs="Arial"/>
          <w:color w:val="000000" w:themeColor="text1"/>
        </w:rPr>
        <w:t>Interventoría</w:t>
      </w:r>
      <w:r w:rsidRPr="009D1EA7">
        <w:rPr>
          <w:rFonts w:ascii="Calibri" w:eastAsia="Times New Roman" w:hAnsi="Calibri" w:cs="Arial"/>
          <w:color w:val="000000" w:themeColor="text1"/>
        </w:rPr>
        <w:t xml:space="preserve"> por lo cual se envía el acta de aprobación a la Vicepresidencia de Gestión Contractual mediante el radicado No.2015-704-000733-3 del 19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rPr>
        <w:t>Mediante el radicado 2014-307-009836-3,se presenta solicitud de concepto jurídico POLIZAS OTROSI 18 RFP</w:t>
      </w:r>
      <w:r w:rsidR="00C16F70" w:rsidRPr="009D1EA7">
        <w:rPr>
          <w:rFonts w:ascii="Calibri" w:eastAsia="Times New Roman" w:hAnsi="Calibri" w:cs="Arial"/>
          <w:color w:val="000000" w:themeColor="text1"/>
        </w:rPr>
        <w:t xml:space="preserve"> </w:t>
      </w:r>
      <w:r w:rsidRPr="009D1EA7">
        <w:rPr>
          <w:rFonts w:ascii="Calibri" w:eastAsia="Times New Roman" w:hAnsi="Calibri" w:cs="Arial"/>
          <w:color w:val="000000" w:themeColor="text1"/>
        </w:rPr>
        <w:t>y se emite el respectivo concepto mediante el radicado No.2015-704-001122-3 del 27 de enero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themeColor="text1"/>
          <w:lang w:val="es-ES_tradnl"/>
        </w:rPr>
      </w:pPr>
      <w:r w:rsidRPr="009D1EA7">
        <w:rPr>
          <w:rFonts w:ascii="Calibri" w:eastAsia="Times New Roman" w:hAnsi="Calibri" w:cs="Arial"/>
          <w:color w:val="000000" w:themeColor="text1"/>
        </w:rPr>
        <w:t>Remisión aprobación póliza modificación 2 CTO INT. Se gestionó mediante radicado No. 2015-704-001748-3 del 8 de febrero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FF0000"/>
          <w:lang w:val="es-ES_tradnl"/>
        </w:rPr>
      </w:pPr>
      <w:r w:rsidRPr="009D1EA7">
        <w:rPr>
          <w:rFonts w:ascii="Calibri" w:eastAsia="Times New Roman" w:hAnsi="Calibri" w:cs="Arial"/>
          <w:color w:val="000000"/>
        </w:rPr>
        <w:t>Concepto anexo aclaratorio póliza petróleo y petroquímicos FDP. Gestionado mediante radicado No. 2015-704-002968-3 del 9 de marzo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rPr>
      </w:pPr>
      <w:r w:rsidRPr="009D1EA7">
        <w:rPr>
          <w:rFonts w:ascii="Calibri" w:hAnsi="Calibri"/>
          <w:color w:val="000000"/>
        </w:rPr>
        <w:t>Envío aprobación póliza todo riesgo daño material fdp. Radicado 2015-704-004586-3 del 21 de abril de 2015</w:t>
      </w:r>
    </w:p>
    <w:p w:rsidR="00815BCB" w:rsidRPr="009D1EA7" w:rsidRDefault="00815BCB" w:rsidP="00F33349">
      <w:pPr>
        <w:pStyle w:val="Prrafodelista"/>
        <w:numPr>
          <w:ilvl w:val="0"/>
          <w:numId w:val="108"/>
        </w:numPr>
        <w:spacing w:after="160" w:line="259" w:lineRule="auto"/>
        <w:ind w:left="993" w:right="-518" w:hanging="284"/>
        <w:jc w:val="both"/>
        <w:rPr>
          <w:rFonts w:ascii="Calibri" w:hAnsi="Calibri"/>
          <w:color w:val="000000"/>
        </w:rPr>
      </w:pPr>
      <w:r w:rsidRPr="009D1EA7">
        <w:rPr>
          <w:rFonts w:ascii="Calibri" w:hAnsi="Calibri"/>
          <w:color w:val="000000"/>
        </w:rPr>
        <w:t>Envío aprobación póliza modificación 1 Interventoría cont 418 de 201. Se envía el acta de aprobación mediante memorando No.2015-704-005879-3</w:t>
      </w:r>
      <w:r w:rsidRPr="009D1EA7">
        <w:rPr>
          <w:rFonts w:ascii="Calibri" w:hAnsi="Calibri"/>
          <w:color w:val="000000"/>
        </w:rPr>
        <w:tab/>
        <w:t>del 16 de mayo de 2015.</w:t>
      </w:r>
    </w:p>
    <w:p w:rsidR="00815BCB" w:rsidRPr="009D1EA7" w:rsidRDefault="00815BCB" w:rsidP="00F33349">
      <w:pPr>
        <w:pStyle w:val="Prrafodelista"/>
        <w:numPr>
          <w:ilvl w:val="0"/>
          <w:numId w:val="108"/>
        </w:numPr>
        <w:tabs>
          <w:tab w:val="left" w:pos="1134"/>
        </w:tabs>
        <w:spacing w:after="160" w:line="259" w:lineRule="auto"/>
        <w:ind w:left="851" w:right="-518" w:hanging="284"/>
        <w:jc w:val="both"/>
        <w:rPr>
          <w:rFonts w:ascii="Calibri" w:hAnsi="Calibri"/>
          <w:color w:val="000000"/>
        </w:rPr>
      </w:pPr>
      <w:r w:rsidRPr="009D1EA7">
        <w:rPr>
          <w:rFonts w:ascii="Calibri" w:hAnsi="Calibri"/>
          <w:color w:val="000000"/>
        </w:rPr>
        <w:t>Aprobación póliza modificación 17 rfp. Mediante radicado No.</w:t>
      </w:r>
      <w:r w:rsidRPr="009D1EA7">
        <w:rPr>
          <w:rFonts w:ascii="Calibri" w:hAnsi="Calibri"/>
          <w:color w:val="000000"/>
        </w:rPr>
        <w:tab/>
        <w:t>2015-704-006983-3</w:t>
      </w:r>
      <w:r w:rsidRPr="009D1EA7">
        <w:rPr>
          <w:rFonts w:ascii="Calibri" w:hAnsi="Calibri"/>
          <w:color w:val="000000"/>
        </w:rPr>
        <w:tab/>
        <w:t>del 17/06/2015</w:t>
      </w:r>
    </w:p>
    <w:p w:rsidR="00815BCB" w:rsidRDefault="00815BCB" w:rsidP="00815BCB">
      <w:pPr>
        <w:widowControl w:val="0"/>
        <w:autoSpaceDE w:val="0"/>
        <w:autoSpaceDN w:val="0"/>
        <w:adjustRightInd w:val="0"/>
        <w:spacing w:after="0"/>
        <w:ind w:right="-518"/>
        <w:jc w:val="both"/>
        <w:rPr>
          <w:rFonts w:ascii="Calibri" w:hAnsi="Calibri"/>
          <w:b/>
          <w:color w:val="000000"/>
          <w:sz w:val="36"/>
          <w:szCs w:val="36"/>
          <w:lang w:val="es-ES_tradnl"/>
        </w:rPr>
      </w:pPr>
    </w:p>
    <w:p w:rsidR="009D1EA7" w:rsidRDefault="009D1EA7" w:rsidP="00815BCB">
      <w:pPr>
        <w:widowControl w:val="0"/>
        <w:autoSpaceDE w:val="0"/>
        <w:autoSpaceDN w:val="0"/>
        <w:adjustRightInd w:val="0"/>
        <w:spacing w:after="0"/>
        <w:ind w:right="-518"/>
        <w:jc w:val="both"/>
        <w:rPr>
          <w:rFonts w:ascii="Calibri" w:hAnsi="Calibri"/>
          <w:b/>
          <w:color w:val="000000"/>
          <w:sz w:val="36"/>
          <w:szCs w:val="36"/>
          <w:lang w:val="es-ES_tradnl"/>
        </w:rPr>
      </w:pPr>
    </w:p>
    <w:p w:rsidR="009D1EA7" w:rsidRPr="00FB047C" w:rsidRDefault="009D1EA7" w:rsidP="00815BCB">
      <w:pPr>
        <w:widowControl w:val="0"/>
        <w:autoSpaceDE w:val="0"/>
        <w:autoSpaceDN w:val="0"/>
        <w:adjustRightInd w:val="0"/>
        <w:spacing w:after="0"/>
        <w:ind w:right="-518"/>
        <w:jc w:val="both"/>
        <w:rPr>
          <w:rFonts w:ascii="Calibri" w:hAnsi="Calibri"/>
          <w:b/>
          <w:color w:val="000000"/>
          <w:sz w:val="36"/>
          <w:szCs w:val="36"/>
          <w:lang w:val="es-ES_tradnl"/>
        </w:rPr>
      </w:pPr>
    </w:p>
    <w:p w:rsidR="00815BCB" w:rsidRPr="00D931D0" w:rsidRDefault="00815BCB" w:rsidP="00815BCB">
      <w:pPr>
        <w:pStyle w:val="Prrafodelista"/>
        <w:ind w:left="153" w:right="-518"/>
        <w:jc w:val="center"/>
        <w:rPr>
          <w:rFonts w:ascii="Calibri" w:hAnsi="Calibri"/>
          <w:b/>
          <w:i/>
          <w:sz w:val="32"/>
          <w:szCs w:val="32"/>
        </w:rPr>
      </w:pPr>
      <w:r>
        <w:rPr>
          <w:rFonts w:ascii="Calibri" w:hAnsi="Calibri"/>
          <w:b/>
          <w:i/>
          <w:sz w:val="32"/>
          <w:szCs w:val="32"/>
        </w:rPr>
        <w:t>RED FERREA DEL ATLÁNTICO.</w:t>
      </w:r>
    </w:p>
    <w:p w:rsidR="00815BCB" w:rsidRDefault="00815BCB" w:rsidP="00815BCB">
      <w:pPr>
        <w:pStyle w:val="Prrafodelista"/>
        <w:ind w:left="153" w:right="-518"/>
        <w:jc w:val="center"/>
        <w:rPr>
          <w:rFonts w:ascii="Calibri" w:hAnsi="Calibri"/>
          <w:b/>
          <w:color w:val="000000"/>
          <w:lang w:val="es-ES_tradnl"/>
        </w:rPr>
      </w:pPr>
      <w:r w:rsidRPr="00D931D0">
        <w:rPr>
          <w:rFonts w:ascii="Calibri" w:hAnsi="Calibri"/>
          <w:b/>
          <w:color w:val="000000"/>
          <w:lang w:val="es-ES_tradnl"/>
        </w:rPr>
        <w:t>Se emitieron los siguientes conceptos y documentos contractuales</w:t>
      </w:r>
    </w:p>
    <w:p w:rsidR="00815BCB" w:rsidRDefault="00815BCB" w:rsidP="00815BCB">
      <w:pPr>
        <w:widowControl w:val="0"/>
        <w:autoSpaceDE w:val="0"/>
        <w:autoSpaceDN w:val="0"/>
        <w:adjustRightInd w:val="0"/>
        <w:spacing w:after="0"/>
        <w:ind w:right="-518"/>
        <w:jc w:val="both"/>
        <w:rPr>
          <w:rFonts w:ascii="Calibri" w:hAnsi="Calibri"/>
          <w:b/>
          <w:color w:val="000000"/>
          <w:lang w:val="es-ES_tradnl"/>
        </w:rPr>
      </w:pP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Concepto sobre la demolición de la Estación Férrea de Aguas Frías requerido mediante radicado No.2014-307-012093-3 y se tramita mediante radicado No. 2015-704-000-988-3 del 22 de enero de 2015.</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 xml:space="preserve">Concepto sobre la viabilidad de contratar </w:t>
      </w:r>
      <w:r w:rsidR="0071424B" w:rsidRPr="009D1EA7">
        <w:rPr>
          <w:rFonts w:ascii="Calibri" w:eastAsia="Times New Roman" w:hAnsi="Calibri" w:cs="Arial"/>
          <w:color w:val="000000"/>
        </w:rPr>
        <w:t>Interventoría</w:t>
      </w:r>
      <w:r w:rsidRPr="009D1EA7">
        <w:rPr>
          <w:rFonts w:ascii="Calibri" w:eastAsia="Times New Roman" w:hAnsi="Calibri" w:cs="Arial"/>
          <w:color w:val="000000"/>
        </w:rPr>
        <w:t xml:space="preserve"> la Contrato No. 001 de 2014 para la prestación de los servicios entre el patrimonio autónomo segunda línea y CTC y la Fundación Codesarrollo - Plan de reasentamiento de las comunidades de la Loma Colorada a Algarrobo requerido mediante radicado No.2014-307-010885-3 y se tramita mediante radicado No.2015-704-001022-3 del 25 de enero de 2015.</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b/>
          <w:color w:val="000000"/>
          <w:lang w:val="es-ES_tradnl"/>
        </w:rPr>
      </w:pPr>
      <w:r w:rsidRPr="009D1EA7">
        <w:rPr>
          <w:rFonts w:ascii="Calibri" w:eastAsia="Times New Roman" w:hAnsi="Calibri" w:cs="Arial"/>
          <w:color w:val="000000"/>
        </w:rPr>
        <w:t>Resolución No. 1070 del 26 de marzo del 2006 mediante la cual se regula y/o establece la tarifa para la prestación del servicio público de transporte férreo. (aclaración enviada al supervisor por correo electrónico del 17 de febrero de 2015).</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Elaboración de la respuesta al derecho de petición en relación a la vigencia de la Ley 76 de 1920.Mediante radicado No. 2015-704-0082611 del 21 de abril de 2015.</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Correcciones al Acta de Reunión sostenida con SOCYA proceso de reasentamiento de  familias ubicadas en el corredor férreo ubicado  en Loma Colorada. Se entrega al Supervisor el 29 de abril de 2015.</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Concepto </w:t>
      </w:r>
      <w:r w:rsidRPr="009D1EA7">
        <w:rPr>
          <w:rFonts w:ascii="Calibri" w:hAnsi="Calibri"/>
          <w:color w:val="000000"/>
          <w:lang w:val="es-ES_tradnl"/>
        </w:rPr>
        <w:tab/>
        <w:t>sobre prorroga del contrato de permiso de cruce suscrito entre el INCO y Prodeco, NO. SGC-F-RFA 003 del 29 de enero de 201º. Mediante memorando No.2015-704-005888-3</w:t>
      </w:r>
      <w:r w:rsidRPr="009D1EA7">
        <w:rPr>
          <w:rFonts w:ascii="Calibri" w:hAnsi="Calibri"/>
          <w:color w:val="000000"/>
          <w:lang w:val="es-ES_tradnl"/>
        </w:rPr>
        <w:tab/>
        <w:t>del 22 de mayo de 2015.</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Revisión y correcciones Estudios de Oportunidad y Conveniencia </w:t>
      </w:r>
      <w:r w:rsidRPr="009D1EA7">
        <w:rPr>
          <w:rFonts w:ascii="Calibri" w:hAnsi="Calibri"/>
          <w:color w:val="000000"/>
          <w:lang w:val="es-ES_tradnl"/>
        </w:rPr>
        <w:tab/>
        <w:t xml:space="preserve">sobre la Prorroga y adición de la Interventoría INTERFERREA .Correo electrónico </w:t>
      </w:r>
      <w:r w:rsidRPr="009D1EA7">
        <w:rPr>
          <w:rFonts w:ascii="Calibri" w:hAnsi="Calibri"/>
          <w:color w:val="000000"/>
          <w:lang w:val="es-ES_tradnl"/>
        </w:rPr>
        <w:tab/>
        <w:t>del 16 de mayo de 2015</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Elaboración del Otrosí No 5.Adicion y prórroga del contrato de Interventoría de interferrea. Correo electrónico del 26 de mayo de 2015</w:t>
      </w:r>
    </w:p>
    <w:p w:rsidR="00815BCB" w:rsidRPr="009D1EA7" w:rsidRDefault="00815BCB" w:rsidP="00815BCB">
      <w:pPr>
        <w:pStyle w:val="Prrafodelista"/>
        <w:widowControl w:val="0"/>
        <w:autoSpaceDE w:val="0"/>
        <w:autoSpaceDN w:val="0"/>
        <w:adjustRightInd w:val="0"/>
        <w:spacing w:after="0"/>
        <w:ind w:left="-207" w:right="-518"/>
        <w:jc w:val="both"/>
        <w:rPr>
          <w:rFonts w:ascii="Calibri" w:hAnsi="Calibri"/>
          <w:color w:val="000000"/>
          <w:lang w:val="es-ES_tradnl"/>
        </w:rPr>
      </w:pPr>
    </w:p>
    <w:p w:rsidR="00815BCB" w:rsidRPr="009D1EA7" w:rsidRDefault="00815BCB" w:rsidP="00815BCB">
      <w:pPr>
        <w:widowControl w:val="0"/>
        <w:autoSpaceDE w:val="0"/>
        <w:autoSpaceDN w:val="0"/>
        <w:adjustRightInd w:val="0"/>
        <w:spacing w:after="0"/>
        <w:ind w:right="-518"/>
        <w:jc w:val="both"/>
        <w:rPr>
          <w:rFonts w:ascii="Calibri" w:hAnsi="Calibri"/>
          <w:b/>
          <w:color w:val="000000"/>
          <w:lang w:val="es-ES_tradnl"/>
        </w:rPr>
      </w:pPr>
    </w:p>
    <w:p w:rsidR="00815BCB" w:rsidRPr="009D1EA7" w:rsidRDefault="00815BCB" w:rsidP="00815BCB">
      <w:pPr>
        <w:pStyle w:val="Prrafodelista"/>
        <w:widowControl w:val="0"/>
        <w:autoSpaceDE w:val="0"/>
        <w:autoSpaceDN w:val="0"/>
        <w:adjustRightInd w:val="0"/>
        <w:spacing w:after="0"/>
        <w:ind w:right="-518"/>
        <w:jc w:val="center"/>
        <w:rPr>
          <w:b/>
          <w:color w:val="000000"/>
          <w:lang w:val="es-ES_tradnl"/>
        </w:rPr>
      </w:pPr>
      <w:r w:rsidRPr="009D1EA7">
        <w:rPr>
          <w:b/>
          <w:color w:val="000000"/>
          <w:lang w:val="es-ES_tradnl"/>
        </w:rPr>
        <w:t>Se emitieron los siguientes conceptos frente al aseguramiento</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Revisión de la Póliza de Terrorismo. Mediante memorando No.2015-704-000991-3 del 23 de enero de 2015.</w:t>
      </w:r>
    </w:p>
    <w:p w:rsidR="00815BCB" w:rsidRPr="009D1EA7" w:rsidRDefault="00815BCB" w:rsidP="00F33349">
      <w:pPr>
        <w:pStyle w:val="Prrafodelista"/>
        <w:widowControl w:val="0"/>
        <w:numPr>
          <w:ilvl w:val="0"/>
          <w:numId w:val="108"/>
        </w:numPr>
        <w:autoSpaceDE w:val="0"/>
        <w:autoSpaceDN w:val="0"/>
        <w:adjustRightInd w:val="0"/>
        <w:spacing w:after="0" w:line="259" w:lineRule="auto"/>
        <w:ind w:left="993" w:right="-518" w:hanging="426"/>
        <w:jc w:val="both"/>
        <w:rPr>
          <w:rFonts w:ascii="Calibri" w:hAnsi="Calibri"/>
          <w:color w:val="000000"/>
          <w:lang w:val="es-ES_tradnl"/>
        </w:rPr>
      </w:pPr>
      <w:r w:rsidRPr="009D1EA7">
        <w:rPr>
          <w:rFonts w:ascii="Calibri" w:hAnsi="Calibri"/>
          <w:color w:val="000000"/>
          <w:lang w:val="es-ES_tradnl"/>
        </w:rPr>
        <w:t xml:space="preserve">Revisión de Pólizas solicitadas por control Interno. Mediante correo electrónico del 11 de mayo de 2015 </w:t>
      </w:r>
    </w:p>
    <w:p w:rsidR="00815BCB" w:rsidRDefault="00815BCB" w:rsidP="00815BCB">
      <w:pPr>
        <w:widowControl w:val="0"/>
        <w:autoSpaceDE w:val="0"/>
        <w:autoSpaceDN w:val="0"/>
        <w:adjustRightInd w:val="0"/>
        <w:spacing w:after="0"/>
        <w:ind w:left="993" w:right="-518" w:hanging="426"/>
        <w:jc w:val="center"/>
        <w:rPr>
          <w:rFonts w:ascii="Calibri" w:hAnsi="Calibri"/>
          <w:b/>
          <w:color w:val="000000"/>
          <w:sz w:val="32"/>
          <w:szCs w:val="32"/>
          <w:lang w:val="es-ES_tradnl"/>
        </w:rPr>
      </w:pPr>
    </w:p>
    <w:p w:rsidR="00815BCB" w:rsidRDefault="00815BCB" w:rsidP="00815BCB">
      <w:pPr>
        <w:widowControl w:val="0"/>
        <w:autoSpaceDE w:val="0"/>
        <w:autoSpaceDN w:val="0"/>
        <w:adjustRightInd w:val="0"/>
        <w:spacing w:after="0"/>
        <w:ind w:left="-567" w:right="-518"/>
        <w:jc w:val="center"/>
        <w:rPr>
          <w:rFonts w:ascii="Calibri" w:hAnsi="Calibri"/>
          <w:b/>
          <w:color w:val="000000"/>
          <w:sz w:val="32"/>
          <w:szCs w:val="32"/>
          <w:lang w:val="es-ES_tradnl"/>
        </w:rPr>
      </w:pPr>
    </w:p>
    <w:tbl>
      <w:tblPr>
        <w:tblStyle w:val="Tablaconcuadrcula"/>
        <w:tblW w:w="9639" w:type="dxa"/>
        <w:tblInd w:w="250" w:type="dxa"/>
        <w:tblLook w:val="04A0" w:firstRow="1" w:lastRow="0" w:firstColumn="1" w:lastColumn="0" w:noHBand="0" w:noVBand="1"/>
      </w:tblPr>
      <w:tblGrid>
        <w:gridCol w:w="9639"/>
      </w:tblGrid>
      <w:tr w:rsidR="00815BCB" w:rsidRPr="00973A91" w:rsidTr="00EC4067">
        <w:tc>
          <w:tcPr>
            <w:tcW w:w="9639" w:type="dxa"/>
            <w:shd w:val="clear" w:color="auto" w:fill="BFBFBF" w:themeFill="background1" w:themeFillShade="BF"/>
          </w:tcPr>
          <w:p w:rsidR="00815BCB" w:rsidRPr="00973A91" w:rsidRDefault="00815BCB" w:rsidP="0071424B">
            <w:pPr>
              <w:pStyle w:val="Prrafodelista"/>
              <w:widowControl w:val="0"/>
              <w:autoSpaceDE w:val="0"/>
              <w:autoSpaceDN w:val="0"/>
              <w:adjustRightInd w:val="0"/>
              <w:ind w:left="175" w:right="-518"/>
              <w:jc w:val="center"/>
              <w:rPr>
                <w:rFonts w:ascii="Calibri" w:hAnsi="Calibri"/>
                <w:b/>
                <w:color w:val="000000"/>
                <w:sz w:val="32"/>
                <w:szCs w:val="32"/>
                <w:lang w:val="es-ES_tradnl"/>
              </w:rPr>
            </w:pPr>
            <w:r w:rsidRPr="00973A91">
              <w:rPr>
                <w:rFonts w:ascii="Calibri" w:hAnsi="Calibri"/>
                <w:b/>
                <w:color w:val="000000"/>
                <w:sz w:val="32"/>
                <w:szCs w:val="32"/>
                <w:lang w:val="es-ES_tradnl"/>
              </w:rPr>
              <w:t>PERMISO TEMPORAL PARA EL USO, OCUPACIÓN E INTERVENCIÓN DE LA INFRAESTRUCTURA VIAL FÉRREA Y CARRETERA</w:t>
            </w:r>
          </w:p>
        </w:tc>
      </w:tr>
    </w:tbl>
    <w:p w:rsidR="00815BCB" w:rsidRPr="00D931D0" w:rsidRDefault="00815BCB" w:rsidP="00815BCB">
      <w:pPr>
        <w:widowControl w:val="0"/>
        <w:autoSpaceDE w:val="0"/>
        <w:autoSpaceDN w:val="0"/>
        <w:adjustRightInd w:val="0"/>
        <w:spacing w:after="0"/>
        <w:ind w:left="-567" w:right="-518"/>
        <w:jc w:val="center"/>
        <w:rPr>
          <w:rFonts w:ascii="Calibri" w:hAnsi="Calibri" w:cs="Calibri"/>
          <w:b/>
          <w:szCs w:val="24"/>
          <w:lang w:val="es-ES"/>
        </w:rPr>
      </w:pPr>
    </w:p>
    <w:p w:rsidR="00815BCB" w:rsidRPr="00D931D0" w:rsidRDefault="00815BCB" w:rsidP="00815BCB">
      <w:pPr>
        <w:widowControl w:val="0"/>
        <w:autoSpaceDE w:val="0"/>
        <w:autoSpaceDN w:val="0"/>
        <w:adjustRightInd w:val="0"/>
        <w:ind w:left="567" w:right="-518"/>
        <w:jc w:val="both"/>
        <w:rPr>
          <w:rFonts w:ascii="Calibri" w:hAnsi="Calibri" w:cs="Arial"/>
          <w:szCs w:val="24"/>
          <w:lang w:val="es-ES"/>
        </w:rPr>
      </w:pPr>
      <w:r w:rsidRPr="00D931D0">
        <w:rPr>
          <w:rFonts w:ascii="Calibri" w:hAnsi="Calibri" w:cs="Calibri"/>
          <w:szCs w:val="24"/>
          <w:lang w:val="es-ES"/>
        </w:rPr>
        <w:t xml:space="preserve">De acuerdo a la potestad atribuida a los Grupos Internos de Trabajo de Gestión Contractual 1 y 2 </w:t>
      </w:r>
      <w:r w:rsidRPr="00D931D0">
        <w:rPr>
          <w:rFonts w:ascii="Calibri" w:hAnsi="Calibri" w:cs="Calibri"/>
          <w:szCs w:val="24"/>
          <w:lang w:val="es-ES"/>
        </w:rPr>
        <w:lastRenderedPageBreak/>
        <w:t>de la Vicepresidencia en el Artículo Décimo Séptimo de la Resolución No.1452 del 16 de diciembre de 2013</w:t>
      </w:r>
      <w:r w:rsidRPr="00D931D0">
        <w:rPr>
          <w:rStyle w:val="Refdenotaalpie"/>
          <w:rFonts w:ascii="Calibri" w:hAnsi="Calibri" w:cs="Calibri"/>
          <w:szCs w:val="24"/>
          <w:lang w:val="es-ES"/>
        </w:rPr>
        <w:footnoteReference w:id="1"/>
      </w:r>
      <w:r w:rsidRPr="00D931D0">
        <w:rPr>
          <w:rFonts w:ascii="Calibri" w:hAnsi="Calibri" w:cs="Calibri"/>
          <w:szCs w:val="24"/>
          <w:lang w:val="es-ES"/>
        </w:rPr>
        <w:t>, que al tenor literal estipula:</w:t>
      </w:r>
    </w:p>
    <w:p w:rsidR="00815BCB" w:rsidRPr="00D931D0" w:rsidRDefault="00815BCB" w:rsidP="00815BCB">
      <w:pPr>
        <w:widowControl w:val="0"/>
        <w:autoSpaceDE w:val="0"/>
        <w:autoSpaceDN w:val="0"/>
        <w:adjustRightInd w:val="0"/>
        <w:ind w:left="567" w:right="-518"/>
        <w:jc w:val="both"/>
        <w:rPr>
          <w:rFonts w:ascii="Calibri" w:hAnsi="Calibri"/>
          <w:i/>
          <w:color w:val="000000"/>
          <w:szCs w:val="24"/>
        </w:rPr>
      </w:pPr>
      <w:r w:rsidRPr="00D931D0">
        <w:rPr>
          <w:rFonts w:ascii="Calibri" w:hAnsi="Calibri" w:cs="Arial Narrow"/>
          <w:szCs w:val="24"/>
          <w:lang w:val="es-ES"/>
        </w:rPr>
        <w:t> </w:t>
      </w:r>
      <w:r w:rsidRPr="00D931D0">
        <w:rPr>
          <w:rFonts w:ascii="Calibri" w:hAnsi="Calibri" w:cs="Calibri"/>
          <w:i/>
          <w:iCs/>
          <w:szCs w:val="24"/>
          <w:lang w:val="es-ES"/>
        </w:rPr>
        <w:t>(…)</w:t>
      </w:r>
      <w:r w:rsidRPr="00D931D0">
        <w:rPr>
          <w:rFonts w:ascii="Calibri" w:hAnsi="Calibri" w:cs="Calibri"/>
          <w:szCs w:val="24"/>
          <w:lang w:val="es-ES"/>
        </w:rPr>
        <w:t xml:space="preserve"> 6. </w:t>
      </w:r>
      <w:r w:rsidRPr="00D931D0">
        <w:rPr>
          <w:rFonts w:ascii="Calibri" w:hAnsi="Calibri" w:cs="Calibri"/>
          <w:i/>
          <w:iCs/>
          <w:szCs w:val="24"/>
          <w:lang w:val="es-ES"/>
        </w:rPr>
        <w:t>Emitir concepto jurídico para otorgar los permisos y autorizaciones relacionadas con el uso o intervención de las áreas de infraestructura concesionada asignada a la Agencia (…)”</w:t>
      </w:r>
    </w:p>
    <w:p w:rsidR="00815BCB" w:rsidRPr="00214856" w:rsidRDefault="00815BCB" w:rsidP="00815BCB">
      <w:pPr>
        <w:widowControl w:val="0"/>
        <w:autoSpaceDE w:val="0"/>
        <w:autoSpaceDN w:val="0"/>
        <w:adjustRightInd w:val="0"/>
        <w:ind w:left="426" w:right="-710"/>
        <w:jc w:val="both"/>
        <w:rPr>
          <w:rFonts w:ascii="Calibri" w:hAnsi="Calibri" w:cs="Calibri"/>
          <w:iCs/>
          <w:lang w:val="es-ES"/>
        </w:rPr>
      </w:pPr>
      <w:r w:rsidRPr="00214856">
        <w:rPr>
          <w:rFonts w:ascii="Calibri" w:hAnsi="Calibri" w:cs="Calibri"/>
          <w:iCs/>
          <w:lang w:val="es-ES"/>
        </w:rPr>
        <w:t>En lo que corresponde al trámite del permisos</w:t>
      </w:r>
      <w:r>
        <w:rPr>
          <w:rFonts w:ascii="Calibri" w:hAnsi="Calibri" w:cs="Calibri"/>
          <w:iCs/>
          <w:lang w:val="es-ES"/>
        </w:rPr>
        <w:t xml:space="preserve"> se considera importante resaltar </w:t>
      </w:r>
      <w:r w:rsidRPr="00214856">
        <w:rPr>
          <w:rFonts w:ascii="Calibri" w:hAnsi="Calibri" w:cs="Calibri"/>
          <w:iCs/>
          <w:lang w:val="es-ES"/>
        </w:rPr>
        <w:t>que fue expedida la Resolución No.</w:t>
      </w:r>
      <w:r w:rsidRPr="00214856">
        <w:rPr>
          <w:rFonts w:ascii="Calibri" w:hAnsi="Calibri"/>
          <w:color w:val="000000"/>
        </w:rPr>
        <w:t xml:space="preserve">716 del 28 de Abril de 2015, por medio de la cual se </w:t>
      </w:r>
      <w:r w:rsidRPr="00214856">
        <w:rPr>
          <w:rFonts w:ascii="Calibri" w:hAnsi="Calibri"/>
        </w:rPr>
        <w:t xml:space="preserve">fija el procedimiento para el otorgamiento de los permisos para el uso, la ocupación y la intervención temporal de la Infraestructura Vial </w:t>
      </w:r>
      <w:r w:rsidRPr="00214856">
        <w:rPr>
          <w:rFonts w:ascii="Calibri" w:hAnsi="Calibri" w:cs="Arial"/>
        </w:rPr>
        <w:t>Carretera Concesionada y</w:t>
      </w:r>
      <w:r w:rsidR="0071424B">
        <w:rPr>
          <w:rFonts w:ascii="Calibri" w:hAnsi="Calibri" w:cs="Arial"/>
        </w:rPr>
        <w:t xml:space="preserve"> f</w:t>
      </w:r>
      <w:r w:rsidRPr="00214856">
        <w:rPr>
          <w:rFonts w:ascii="Calibri" w:hAnsi="Calibri" w:cs="Arial"/>
        </w:rPr>
        <w:t>érrea que se encuentran a cargo de la Entidad</w:t>
      </w:r>
      <w:r>
        <w:rPr>
          <w:rFonts w:ascii="Calibri" w:hAnsi="Calibri" w:cs="Arial"/>
        </w:rPr>
        <w:t xml:space="preserve">. Ya que existía en la entidad 2 resoluciones que regulan los temas de permisos </w:t>
      </w:r>
      <w:r w:rsidR="0071424B">
        <w:rPr>
          <w:rFonts w:ascii="Calibri" w:hAnsi="Calibri" w:cs="Arial"/>
        </w:rPr>
        <w:t>férreo</w:t>
      </w:r>
      <w:r>
        <w:rPr>
          <w:rFonts w:ascii="Calibri" w:hAnsi="Calibri" w:cs="Arial"/>
        </w:rPr>
        <w:t xml:space="preserve"> y carretero la No.063 del 8 de octubre de 2003 y la 241 del 24 de mayo de 2011.</w:t>
      </w:r>
    </w:p>
    <w:p w:rsidR="00815BCB" w:rsidRDefault="00815BCB" w:rsidP="00815BCB">
      <w:pPr>
        <w:ind w:left="567" w:right="-518"/>
        <w:jc w:val="both"/>
        <w:rPr>
          <w:rFonts w:ascii="Calibri" w:hAnsi="Calibri" w:cs="Calibri"/>
          <w:szCs w:val="24"/>
          <w:lang w:val="es-ES"/>
        </w:rPr>
      </w:pPr>
      <w:r w:rsidRPr="00D931D0">
        <w:rPr>
          <w:rFonts w:ascii="Calibri" w:hAnsi="Calibri"/>
          <w:color w:val="000000"/>
          <w:szCs w:val="24"/>
        </w:rPr>
        <w:t xml:space="preserve">Se indica que se adelantaron </w:t>
      </w:r>
      <w:r>
        <w:rPr>
          <w:rFonts w:ascii="Calibri" w:hAnsi="Calibri"/>
          <w:b/>
          <w:color w:val="000000"/>
          <w:szCs w:val="24"/>
          <w:u w:val="single"/>
        </w:rPr>
        <w:t xml:space="preserve">570 </w:t>
      </w:r>
      <w:r w:rsidRPr="00D931D0">
        <w:rPr>
          <w:rFonts w:ascii="Calibri" w:hAnsi="Calibri"/>
          <w:color w:val="000000"/>
          <w:szCs w:val="24"/>
        </w:rPr>
        <w:t>trámi</w:t>
      </w:r>
      <w:r>
        <w:rPr>
          <w:rFonts w:ascii="Calibri" w:hAnsi="Calibri"/>
          <w:color w:val="000000"/>
          <w:szCs w:val="24"/>
        </w:rPr>
        <w:t xml:space="preserve">tes en el Primer Trimestre del año 2015de los </w:t>
      </w:r>
      <w:r w:rsidRPr="00D931D0">
        <w:rPr>
          <w:rFonts w:ascii="Calibri" w:hAnsi="Calibri"/>
          <w:color w:val="000000"/>
          <w:szCs w:val="24"/>
        </w:rPr>
        <w:t xml:space="preserve">cuales </w:t>
      </w:r>
      <w:r>
        <w:rPr>
          <w:rFonts w:ascii="Calibri" w:hAnsi="Calibri"/>
          <w:b/>
          <w:color w:val="000000"/>
          <w:szCs w:val="24"/>
          <w:u w:val="single"/>
        </w:rPr>
        <w:t>336</w:t>
      </w:r>
      <w:r>
        <w:rPr>
          <w:rFonts w:ascii="Calibri" w:hAnsi="Calibri"/>
          <w:color w:val="000000"/>
          <w:szCs w:val="24"/>
        </w:rPr>
        <w:t xml:space="preserve"> se encuentran a cargo del </w:t>
      </w:r>
      <w:r>
        <w:rPr>
          <w:rFonts w:ascii="Calibri" w:hAnsi="Calibri" w:cs="Calibri"/>
          <w:szCs w:val="24"/>
          <w:lang w:val="es-ES"/>
        </w:rPr>
        <w:t>Grupo Interno</w:t>
      </w:r>
      <w:r w:rsidRPr="00D931D0">
        <w:rPr>
          <w:rFonts w:ascii="Calibri" w:hAnsi="Calibri" w:cs="Calibri"/>
          <w:szCs w:val="24"/>
          <w:lang w:val="es-ES"/>
        </w:rPr>
        <w:t xml:space="preserve"> de Tr</w:t>
      </w:r>
      <w:r>
        <w:rPr>
          <w:rFonts w:ascii="Calibri" w:hAnsi="Calibri" w:cs="Calibri"/>
          <w:szCs w:val="24"/>
          <w:lang w:val="es-ES"/>
        </w:rPr>
        <w:t>abajo de Gestión Contractual 2, cuya gráfica es la siguiente:</w:t>
      </w:r>
    </w:p>
    <w:p w:rsidR="00815BCB" w:rsidRDefault="00815BCB" w:rsidP="00815BCB">
      <w:pPr>
        <w:ind w:left="567" w:right="-518"/>
        <w:jc w:val="both"/>
        <w:rPr>
          <w:rFonts w:ascii="Calibri" w:hAnsi="Calibri" w:cs="Calibri"/>
          <w:szCs w:val="24"/>
          <w:lang w:val="es-ES"/>
        </w:rPr>
      </w:pPr>
    </w:p>
    <w:p w:rsidR="00815BCB" w:rsidRDefault="00815BCB" w:rsidP="00815BCB">
      <w:pPr>
        <w:ind w:left="426" w:right="-518"/>
        <w:jc w:val="both"/>
        <w:rPr>
          <w:rFonts w:ascii="Calibri" w:hAnsi="Calibri" w:cs="Calibri"/>
          <w:szCs w:val="24"/>
          <w:lang w:val="es-ES"/>
        </w:rPr>
      </w:pPr>
      <w:r w:rsidRPr="008F666A">
        <w:rPr>
          <w:rFonts w:ascii="Calibri" w:hAnsi="Calibri" w:cs="Calibri"/>
          <w:noProof/>
          <w:szCs w:val="24"/>
        </w:rPr>
        <w:drawing>
          <wp:inline distT="0" distB="0" distL="0" distR="0" wp14:anchorId="41BC0954" wp14:editId="65BEBAF9">
            <wp:extent cx="5619750" cy="3019425"/>
            <wp:effectExtent l="19050" t="0" r="1905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15BCB" w:rsidRDefault="00815BCB" w:rsidP="00815BCB">
      <w:pPr>
        <w:ind w:left="-567" w:right="-518"/>
        <w:jc w:val="both"/>
        <w:rPr>
          <w:rFonts w:ascii="Calibri" w:hAnsi="Calibri" w:cs="Calibri"/>
          <w:szCs w:val="24"/>
          <w:lang w:val="es-ES"/>
        </w:rPr>
      </w:pPr>
    </w:p>
    <w:p w:rsidR="00630738" w:rsidRDefault="00630738" w:rsidP="00141D2E">
      <w:pPr>
        <w:spacing w:after="0" w:line="240" w:lineRule="auto"/>
        <w:jc w:val="both"/>
        <w:rPr>
          <w:rFonts w:eastAsia="Times New Roman" w:cs="Calibri"/>
          <w:b/>
          <w:color w:val="000000"/>
          <w:u w:val="single"/>
        </w:rPr>
      </w:pPr>
    </w:p>
    <w:p w:rsidR="00630738" w:rsidRDefault="00630738" w:rsidP="00141D2E">
      <w:pPr>
        <w:spacing w:after="0" w:line="240" w:lineRule="auto"/>
        <w:jc w:val="both"/>
        <w:rPr>
          <w:rFonts w:eastAsia="Times New Roman" w:cs="Calibri"/>
          <w:b/>
          <w:color w:val="000000"/>
          <w:u w:val="single"/>
        </w:rPr>
      </w:pPr>
    </w:p>
    <w:p w:rsidR="00630738" w:rsidRDefault="00630738" w:rsidP="00141D2E">
      <w:pPr>
        <w:spacing w:after="0" w:line="240" w:lineRule="auto"/>
        <w:jc w:val="both"/>
        <w:rPr>
          <w:rFonts w:eastAsia="Times New Roman" w:cs="Calibri"/>
          <w:b/>
          <w:color w:val="000000"/>
          <w:u w:val="single"/>
        </w:rPr>
      </w:pPr>
    </w:p>
    <w:p w:rsidR="00630738" w:rsidRDefault="00630738" w:rsidP="00141D2E">
      <w:pPr>
        <w:spacing w:after="0" w:line="240" w:lineRule="auto"/>
        <w:jc w:val="both"/>
        <w:rPr>
          <w:rFonts w:eastAsia="Times New Roman" w:cs="Calibri"/>
          <w:b/>
          <w:color w:val="000000"/>
          <w:u w:val="single"/>
        </w:rPr>
      </w:pPr>
    </w:p>
    <w:p w:rsidR="00630738" w:rsidRDefault="00630738" w:rsidP="00141D2E">
      <w:pPr>
        <w:spacing w:after="0" w:line="240" w:lineRule="auto"/>
        <w:jc w:val="both"/>
        <w:rPr>
          <w:rFonts w:eastAsia="Times New Roman" w:cs="Calibri"/>
          <w:b/>
          <w:color w:val="000000"/>
          <w:u w:val="single"/>
        </w:rPr>
      </w:pPr>
    </w:p>
    <w:p w:rsidR="00630738" w:rsidRPr="009E31B0" w:rsidRDefault="00630738" w:rsidP="00141D2E">
      <w:pPr>
        <w:spacing w:after="0" w:line="240" w:lineRule="auto"/>
        <w:jc w:val="both"/>
        <w:rPr>
          <w:rFonts w:eastAsia="Times New Roman" w:cs="Calibri"/>
          <w:b/>
          <w:color w:val="000000"/>
          <w:u w:val="single"/>
        </w:rPr>
      </w:pPr>
    </w:p>
    <w:p w:rsidR="00BD5393" w:rsidRDefault="00BD5393" w:rsidP="00DF168C">
      <w:pPr>
        <w:pStyle w:val="Ttulo1"/>
        <w:numPr>
          <w:ilvl w:val="1"/>
          <w:numId w:val="2"/>
        </w:numPr>
      </w:pPr>
      <w:bookmarkStart w:id="57" w:name="_Toc426547738"/>
      <w:bookmarkStart w:id="58" w:name="_Toc426559212"/>
      <w:r>
        <w:lastRenderedPageBreak/>
        <w:t>VICEPRESIDENCIA DE GESTIÓN CONTRACTUAL</w:t>
      </w:r>
      <w:r w:rsidR="00D80930">
        <w:t xml:space="preserve"> </w:t>
      </w:r>
      <w:r w:rsidR="005C49EB">
        <w:t>Y EJECUTIVA</w:t>
      </w:r>
      <w:bookmarkEnd w:id="57"/>
      <w:bookmarkEnd w:id="58"/>
    </w:p>
    <w:bookmarkEnd w:id="55"/>
    <w:bookmarkEnd w:id="56"/>
    <w:p w:rsidR="007567EE" w:rsidRPr="00180844" w:rsidRDefault="007567EE" w:rsidP="0086211C"/>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05612C" w:rsidRPr="0005612C" w:rsidTr="00BF44B4">
        <w:trPr>
          <w:trHeight w:val="480"/>
          <w:jc w:val="center"/>
        </w:trPr>
        <w:tc>
          <w:tcPr>
            <w:tcW w:w="484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ACTIVIDAD</w:t>
            </w:r>
          </w:p>
        </w:tc>
        <w:tc>
          <w:tcPr>
            <w:tcW w:w="1612" w:type="dxa"/>
            <w:tcBorders>
              <w:top w:val="single" w:sz="4" w:space="0" w:color="auto"/>
              <w:left w:val="nil"/>
              <w:bottom w:val="single" w:sz="4" w:space="0" w:color="auto"/>
              <w:right w:val="single" w:sz="4" w:space="0" w:color="auto"/>
            </w:tcBorders>
            <w:shd w:val="clear" w:color="000000" w:fill="A5A5A5"/>
            <w:vAlign w:val="center"/>
            <w:hideMark/>
          </w:tcPr>
          <w:p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UNIDAD DE MEDIDA</w:t>
            </w:r>
          </w:p>
        </w:tc>
        <w:tc>
          <w:tcPr>
            <w:tcW w:w="1230" w:type="dxa"/>
            <w:tcBorders>
              <w:top w:val="single" w:sz="4" w:space="0" w:color="auto"/>
              <w:left w:val="nil"/>
              <w:bottom w:val="single" w:sz="4" w:space="0" w:color="auto"/>
              <w:right w:val="single" w:sz="4" w:space="0" w:color="auto"/>
            </w:tcBorders>
            <w:shd w:val="clear" w:color="000000" w:fill="A5A5A5"/>
            <w:noWrap/>
            <w:vAlign w:val="center"/>
            <w:hideMark/>
          </w:tcPr>
          <w:p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META AÑO</w:t>
            </w:r>
          </w:p>
        </w:tc>
        <w:tc>
          <w:tcPr>
            <w:tcW w:w="1139"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05612C" w:rsidRPr="0005612C" w:rsidRDefault="0005612C" w:rsidP="005E7889">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05612C">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B247A8">
              <w:rPr>
                <w:rFonts w:ascii="Calibri" w:eastAsia="Times New Roman" w:hAnsi="Calibri" w:cs="Calibri"/>
                <w:b/>
                <w:bCs/>
                <w:color w:val="000000"/>
                <w:sz w:val="20"/>
                <w:szCs w:val="20"/>
              </w:rPr>
              <w:t xml:space="preserve"> </w:t>
            </w:r>
            <w:r w:rsidR="005E7889">
              <w:rPr>
                <w:rFonts w:ascii="Calibri" w:eastAsia="Times New Roman" w:hAnsi="Calibri" w:cs="Calibri"/>
                <w:b/>
                <w:bCs/>
                <w:color w:val="000000"/>
                <w:sz w:val="20"/>
                <w:szCs w:val="20"/>
              </w:rPr>
              <w:t>3</w:t>
            </w:r>
          </w:p>
        </w:tc>
      </w:tr>
      <w:tr w:rsidR="0005612C" w:rsidRPr="0005612C" w:rsidTr="00BF44B4">
        <w:trPr>
          <w:trHeight w:val="240"/>
          <w:jc w:val="center"/>
        </w:trPr>
        <w:tc>
          <w:tcPr>
            <w:tcW w:w="4847" w:type="dxa"/>
            <w:tcBorders>
              <w:top w:val="nil"/>
              <w:left w:val="nil"/>
              <w:bottom w:val="nil"/>
              <w:right w:val="nil"/>
            </w:tcBorders>
            <w:shd w:val="clear" w:color="auto" w:fill="auto"/>
            <w:noWrap/>
            <w:vAlign w:val="center"/>
            <w:hideMark/>
          </w:tcPr>
          <w:p w:rsidR="0005612C" w:rsidRPr="0005612C" w:rsidRDefault="0005612C" w:rsidP="0005612C">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CARRETERO</w:t>
            </w:r>
          </w:p>
        </w:tc>
        <w:tc>
          <w:tcPr>
            <w:tcW w:w="1612" w:type="dxa"/>
            <w:tcBorders>
              <w:top w:val="nil"/>
              <w:left w:val="nil"/>
              <w:bottom w:val="nil"/>
              <w:right w:val="nil"/>
            </w:tcBorders>
            <w:shd w:val="clear" w:color="auto" w:fill="auto"/>
            <w:noWrap/>
            <w:vAlign w:val="center"/>
            <w:hideMark/>
          </w:tcPr>
          <w:p w:rsidR="0005612C" w:rsidRPr="0005612C" w:rsidRDefault="0005612C" w:rsidP="0005612C">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05612C" w:rsidRPr="0005612C" w:rsidRDefault="0005612C" w:rsidP="0005612C">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05612C" w:rsidRPr="0005612C" w:rsidRDefault="0005612C" w:rsidP="0005612C">
            <w:pPr>
              <w:spacing w:after="0" w:line="240" w:lineRule="auto"/>
              <w:rPr>
                <w:rFonts w:ascii="Calibri" w:eastAsia="Times New Roman" w:hAnsi="Calibri" w:cs="Calibri"/>
                <w:color w:val="000000"/>
                <w:sz w:val="20"/>
                <w:szCs w:val="20"/>
              </w:rPr>
            </w:pPr>
          </w:p>
        </w:tc>
      </w:tr>
      <w:tr w:rsidR="0005612C" w:rsidRPr="0005612C" w:rsidTr="005C49EB">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5612C" w:rsidRPr="0005612C" w:rsidRDefault="005C49EB" w:rsidP="0005612C">
            <w:pPr>
              <w:spacing w:after="0" w:line="240" w:lineRule="auto"/>
              <w:rPr>
                <w:rFonts w:ascii="Calibri" w:eastAsia="Times New Roman" w:hAnsi="Calibri" w:cs="Calibri"/>
                <w:color w:val="000000"/>
                <w:sz w:val="20"/>
                <w:szCs w:val="20"/>
              </w:rPr>
            </w:pPr>
            <w:r w:rsidRPr="005C49EB">
              <w:rPr>
                <w:rFonts w:ascii="Calibri" w:eastAsia="Times New Roman" w:hAnsi="Calibri" w:cs="Calibri"/>
                <w:color w:val="000000"/>
                <w:sz w:val="20"/>
                <w:szCs w:val="20"/>
              </w:rPr>
              <w:t>Kilómetros que aportan a Doble Calzada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05612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Km\Calzada Sencilla</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05612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310.5</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05612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139.56</w:t>
            </w:r>
          </w:p>
        </w:tc>
      </w:tr>
      <w:tr w:rsidR="0005612C" w:rsidRPr="0005612C" w:rsidTr="005C49EB">
        <w:trPr>
          <w:trHeight w:val="352"/>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05612C" w:rsidRPr="005C49EB" w:rsidRDefault="005C49EB" w:rsidP="005C49EB">
            <w:pPr>
              <w:rPr>
                <w:rFonts w:ascii="Calibri" w:hAnsi="Calibri" w:cs="Calibri"/>
                <w:color w:val="000000"/>
                <w:sz w:val="20"/>
                <w:szCs w:val="20"/>
              </w:rPr>
            </w:pPr>
            <w:r>
              <w:rPr>
                <w:rFonts w:ascii="Calibri" w:hAnsi="Calibri" w:cs="Calibri"/>
                <w:color w:val="000000"/>
                <w:sz w:val="20"/>
                <w:szCs w:val="20"/>
              </w:rPr>
              <w:t>Kilómetros de Calzada Sencilla</w:t>
            </w:r>
          </w:p>
        </w:tc>
        <w:tc>
          <w:tcPr>
            <w:tcW w:w="1612" w:type="dxa"/>
            <w:tcBorders>
              <w:top w:val="nil"/>
              <w:left w:val="nil"/>
              <w:bottom w:val="single" w:sz="4" w:space="0" w:color="auto"/>
              <w:right w:val="single" w:sz="4" w:space="0" w:color="auto"/>
            </w:tcBorders>
            <w:shd w:val="clear" w:color="auto" w:fill="auto"/>
            <w:noWrap/>
            <w:vAlign w:val="center"/>
          </w:tcPr>
          <w:p w:rsidR="0005612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Km\Calzada Sencilla</w:t>
            </w:r>
          </w:p>
        </w:tc>
        <w:tc>
          <w:tcPr>
            <w:tcW w:w="1230" w:type="dxa"/>
            <w:tcBorders>
              <w:top w:val="nil"/>
              <w:left w:val="nil"/>
              <w:bottom w:val="single" w:sz="4" w:space="0" w:color="auto"/>
              <w:right w:val="single" w:sz="4" w:space="0" w:color="auto"/>
            </w:tcBorders>
            <w:shd w:val="clear" w:color="auto" w:fill="auto"/>
            <w:noWrap/>
            <w:vAlign w:val="center"/>
          </w:tcPr>
          <w:p w:rsidR="0005612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35.91</w:t>
            </w:r>
          </w:p>
        </w:tc>
        <w:tc>
          <w:tcPr>
            <w:tcW w:w="1139" w:type="dxa"/>
            <w:tcBorders>
              <w:top w:val="nil"/>
              <w:left w:val="nil"/>
              <w:bottom w:val="single" w:sz="4" w:space="0" w:color="auto"/>
              <w:right w:val="single" w:sz="4" w:space="0" w:color="auto"/>
            </w:tcBorders>
            <w:shd w:val="clear" w:color="auto" w:fill="auto"/>
            <w:noWrap/>
            <w:vAlign w:val="center"/>
          </w:tcPr>
          <w:p w:rsidR="003B05D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16.31</w:t>
            </w:r>
          </w:p>
        </w:tc>
      </w:tr>
      <w:tr w:rsidR="0005612C" w:rsidRPr="0005612C" w:rsidTr="005C49EB">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05612C" w:rsidRPr="005C49EB" w:rsidRDefault="005C49EB" w:rsidP="005C49EB">
            <w:pPr>
              <w:rPr>
                <w:rFonts w:ascii="Calibri" w:hAnsi="Calibri" w:cs="Calibri"/>
                <w:color w:val="000000"/>
                <w:sz w:val="20"/>
                <w:szCs w:val="20"/>
              </w:rPr>
            </w:pPr>
            <w:r>
              <w:rPr>
                <w:rFonts w:ascii="Calibri" w:hAnsi="Calibri" w:cs="Calibri"/>
                <w:color w:val="000000"/>
                <w:sz w:val="20"/>
                <w:szCs w:val="20"/>
              </w:rPr>
              <w:t>Mejoramiento</w:t>
            </w:r>
          </w:p>
        </w:tc>
        <w:tc>
          <w:tcPr>
            <w:tcW w:w="1612" w:type="dxa"/>
            <w:tcBorders>
              <w:top w:val="nil"/>
              <w:left w:val="nil"/>
              <w:bottom w:val="single" w:sz="4" w:space="0" w:color="auto"/>
              <w:right w:val="single" w:sz="4" w:space="0" w:color="auto"/>
            </w:tcBorders>
            <w:shd w:val="clear" w:color="auto" w:fill="auto"/>
            <w:noWrap/>
            <w:vAlign w:val="center"/>
          </w:tcPr>
          <w:p w:rsidR="0005612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rsidR="0005612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387.27</w:t>
            </w:r>
          </w:p>
        </w:tc>
        <w:tc>
          <w:tcPr>
            <w:tcW w:w="1139" w:type="dxa"/>
            <w:tcBorders>
              <w:top w:val="nil"/>
              <w:left w:val="nil"/>
              <w:bottom w:val="single" w:sz="4" w:space="0" w:color="auto"/>
              <w:right w:val="single" w:sz="4" w:space="0" w:color="auto"/>
            </w:tcBorders>
            <w:shd w:val="clear" w:color="auto" w:fill="auto"/>
            <w:noWrap/>
            <w:vAlign w:val="center"/>
          </w:tcPr>
          <w:p w:rsidR="0005612C"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320.48</w:t>
            </w:r>
          </w:p>
        </w:tc>
      </w:tr>
      <w:tr w:rsidR="00BF44B4" w:rsidRPr="0005612C" w:rsidTr="005C49EB">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BF44B4" w:rsidRPr="005C49EB" w:rsidRDefault="005C49EB" w:rsidP="005C49EB">
            <w:pPr>
              <w:rPr>
                <w:rFonts w:ascii="Calibri" w:hAnsi="Calibri" w:cs="Calibri"/>
                <w:color w:val="000000"/>
                <w:sz w:val="20"/>
                <w:szCs w:val="20"/>
              </w:rPr>
            </w:pPr>
            <w:r>
              <w:rPr>
                <w:rFonts w:ascii="Calibri" w:hAnsi="Calibri" w:cs="Calibri"/>
                <w:color w:val="000000"/>
                <w:sz w:val="20"/>
                <w:szCs w:val="20"/>
              </w:rPr>
              <w:t>Puentes Vehiculares</w:t>
            </w:r>
          </w:p>
        </w:tc>
        <w:tc>
          <w:tcPr>
            <w:tcW w:w="1612" w:type="dxa"/>
            <w:tcBorders>
              <w:top w:val="nil"/>
              <w:left w:val="nil"/>
              <w:bottom w:val="single" w:sz="4" w:space="0" w:color="auto"/>
              <w:right w:val="single" w:sz="4" w:space="0" w:color="auto"/>
            </w:tcBorders>
            <w:shd w:val="clear" w:color="auto" w:fill="auto"/>
            <w:noWrap/>
            <w:vAlign w:val="center"/>
          </w:tcPr>
          <w:p w:rsidR="005C49EB"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Unidad</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r>
      <w:tr w:rsidR="00BF44B4" w:rsidRPr="0005612C" w:rsidTr="005C49EB">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BF44B4" w:rsidRPr="005C49EB" w:rsidRDefault="005C49EB" w:rsidP="005C49EB">
            <w:pPr>
              <w:rPr>
                <w:rFonts w:ascii="Calibri" w:hAnsi="Calibri" w:cs="Calibri"/>
                <w:color w:val="000000"/>
                <w:sz w:val="20"/>
                <w:szCs w:val="20"/>
              </w:rPr>
            </w:pPr>
            <w:r>
              <w:rPr>
                <w:rFonts w:ascii="Calibri" w:hAnsi="Calibri" w:cs="Calibri"/>
                <w:color w:val="000000"/>
                <w:sz w:val="20"/>
                <w:szCs w:val="20"/>
              </w:rPr>
              <w:t>Puentes Peatonales</w:t>
            </w:r>
          </w:p>
        </w:tc>
        <w:tc>
          <w:tcPr>
            <w:tcW w:w="1612"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Unidad</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w:t>
            </w:r>
          </w:p>
        </w:tc>
      </w:tr>
      <w:tr w:rsidR="00BF44B4" w:rsidRPr="0005612C" w:rsidTr="005C49EB">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5C49EB" w:rsidRPr="005C49EB" w:rsidRDefault="005C49EB" w:rsidP="005C49EB">
            <w:pPr>
              <w:rPr>
                <w:rFonts w:ascii="Calibri" w:hAnsi="Calibri" w:cs="Calibri"/>
                <w:color w:val="000000"/>
                <w:sz w:val="20"/>
                <w:szCs w:val="20"/>
              </w:rPr>
            </w:pPr>
            <w:r>
              <w:rPr>
                <w:rFonts w:ascii="Calibri" w:hAnsi="Calibri" w:cs="Calibri"/>
                <w:color w:val="000000"/>
                <w:sz w:val="20"/>
                <w:szCs w:val="20"/>
              </w:rPr>
              <w:t>Mantenimiento rutinario</w:t>
            </w:r>
          </w:p>
        </w:tc>
        <w:tc>
          <w:tcPr>
            <w:tcW w:w="1612"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3.510</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3.523</w:t>
            </w:r>
          </w:p>
        </w:tc>
      </w:tr>
      <w:tr w:rsidR="00BF44B4" w:rsidRPr="0005612C" w:rsidTr="005C49EB">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tcPr>
          <w:p w:rsidR="00BF44B4" w:rsidRPr="005C49EB" w:rsidRDefault="005C49EB" w:rsidP="005C49EB">
            <w:pPr>
              <w:rPr>
                <w:rFonts w:ascii="Calibri" w:hAnsi="Calibri" w:cs="Calibri"/>
                <w:color w:val="000000"/>
                <w:sz w:val="20"/>
                <w:szCs w:val="20"/>
              </w:rPr>
            </w:pPr>
            <w:r>
              <w:rPr>
                <w:rFonts w:ascii="Calibri" w:hAnsi="Calibri" w:cs="Calibri"/>
                <w:color w:val="000000"/>
                <w:sz w:val="20"/>
                <w:szCs w:val="20"/>
              </w:rPr>
              <w:t>Obras complementarias</w:t>
            </w:r>
          </w:p>
        </w:tc>
        <w:tc>
          <w:tcPr>
            <w:tcW w:w="1612"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Unidad</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16</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FD2B6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r>
      <w:tr w:rsidR="00BF44B4" w:rsidRPr="0005612C" w:rsidTr="005C49EB">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4B4" w:rsidRPr="005C49EB" w:rsidRDefault="005C49EB" w:rsidP="005C49EB">
            <w:pPr>
              <w:rPr>
                <w:rFonts w:ascii="Calibri" w:hAnsi="Calibri" w:cs="Calibri"/>
                <w:color w:val="000000"/>
                <w:sz w:val="20"/>
                <w:szCs w:val="20"/>
              </w:rPr>
            </w:pPr>
            <w:r>
              <w:rPr>
                <w:rFonts w:ascii="Calibri" w:hAnsi="Calibri" w:cs="Calibri"/>
                <w:color w:val="000000"/>
                <w:sz w:val="20"/>
                <w:szCs w:val="20"/>
              </w:rPr>
              <w:t>Licencias Ambientales</w:t>
            </w:r>
          </w:p>
        </w:tc>
        <w:tc>
          <w:tcPr>
            <w:tcW w:w="1612"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Unidad</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5C49E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FD2B6B" w:rsidP="005C49E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BF44B4" w:rsidRPr="0005612C" w:rsidTr="00BF44B4">
        <w:trPr>
          <w:trHeight w:val="255"/>
          <w:jc w:val="center"/>
        </w:trPr>
        <w:tc>
          <w:tcPr>
            <w:tcW w:w="4847"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right"/>
              <w:rPr>
                <w:rFonts w:ascii="Calibri" w:eastAsia="Times New Roman" w:hAnsi="Calibri" w:cs="Calibri"/>
                <w:color w:val="000000"/>
                <w:sz w:val="20"/>
                <w:szCs w:val="20"/>
              </w:rPr>
            </w:pPr>
          </w:p>
        </w:tc>
      </w:tr>
      <w:tr w:rsidR="00BF44B4" w:rsidRPr="0005612C" w:rsidTr="00BF44B4">
        <w:trPr>
          <w:trHeight w:val="255"/>
          <w:jc w:val="center"/>
        </w:trPr>
        <w:tc>
          <w:tcPr>
            <w:tcW w:w="4847"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FÉRREO</w:t>
            </w:r>
          </w:p>
        </w:tc>
        <w:tc>
          <w:tcPr>
            <w:tcW w:w="1612"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r>
      <w:tr w:rsidR="00BF44B4" w:rsidRPr="0005612C" w:rsidTr="005C49EB">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tcPr>
          <w:p w:rsidR="00111AD1" w:rsidRPr="00111AD1" w:rsidRDefault="00111AD1" w:rsidP="00111AD1">
            <w:pPr>
              <w:rPr>
                <w:rFonts w:ascii="Calibri" w:hAnsi="Calibri" w:cs="Calibri"/>
                <w:color w:val="000000"/>
                <w:sz w:val="20"/>
                <w:szCs w:val="20"/>
              </w:rPr>
            </w:pPr>
            <w:r>
              <w:rPr>
                <w:rFonts w:ascii="Calibri" w:hAnsi="Calibri" w:cs="Calibri"/>
                <w:color w:val="000000"/>
                <w:sz w:val="20"/>
                <w:szCs w:val="20"/>
              </w:rPr>
              <w:t>Formulación Planes de Reasentamiento</w:t>
            </w:r>
          </w:p>
        </w:tc>
        <w:tc>
          <w:tcPr>
            <w:tcW w:w="1612" w:type="dxa"/>
            <w:tcBorders>
              <w:top w:val="single" w:sz="4" w:space="0" w:color="auto"/>
              <w:left w:val="nil"/>
              <w:bottom w:val="single" w:sz="4" w:space="0" w:color="auto"/>
              <w:right w:val="single" w:sz="4" w:space="0" w:color="auto"/>
            </w:tcBorders>
            <w:shd w:val="clear" w:color="auto" w:fill="auto"/>
            <w:vAlign w:val="center"/>
          </w:tcPr>
          <w:p w:rsidR="00BF44B4" w:rsidRPr="0005612C" w:rsidRDefault="00111AD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Plan</w:t>
            </w:r>
          </w:p>
        </w:tc>
        <w:tc>
          <w:tcPr>
            <w:tcW w:w="1230" w:type="dxa"/>
            <w:tcBorders>
              <w:top w:val="single" w:sz="4" w:space="0" w:color="auto"/>
              <w:left w:val="nil"/>
              <w:bottom w:val="single" w:sz="4" w:space="0" w:color="auto"/>
              <w:right w:val="single" w:sz="4" w:space="0" w:color="auto"/>
            </w:tcBorders>
            <w:shd w:val="clear" w:color="auto" w:fill="auto"/>
            <w:vAlign w:val="center"/>
          </w:tcPr>
          <w:p w:rsidR="00BF44B4" w:rsidRPr="0005612C" w:rsidRDefault="00111AD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5</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F44B4" w:rsidRPr="0005612C" w:rsidRDefault="00111AD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w:t>
            </w:r>
          </w:p>
        </w:tc>
      </w:tr>
      <w:tr w:rsidR="00BF44B4" w:rsidRPr="0005612C" w:rsidTr="005C49EB">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BF44B4" w:rsidRPr="00111AD1" w:rsidRDefault="00111AD1" w:rsidP="00111AD1">
            <w:pPr>
              <w:rPr>
                <w:rFonts w:ascii="Calibri" w:hAnsi="Calibri" w:cs="Calibri"/>
                <w:color w:val="000000"/>
                <w:sz w:val="20"/>
                <w:szCs w:val="20"/>
              </w:rPr>
            </w:pPr>
            <w:r>
              <w:rPr>
                <w:rFonts w:ascii="Calibri" w:hAnsi="Calibri" w:cs="Calibri"/>
                <w:color w:val="000000"/>
                <w:sz w:val="20"/>
                <w:szCs w:val="20"/>
              </w:rPr>
              <w:t>Implementación Planes de Reasentamiento</w:t>
            </w:r>
          </w:p>
        </w:tc>
        <w:tc>
          <w:tcPr>
            <w:tcW w:w="1612" w:type="dxa"/>
            <w:tcBorders>
              <w:top w:val="nil"/>
              <w:left w:val="nil"/>
              <w:bottom w:val="single" w:sz="4" w:space="0" w:color="auto"/>
              <w:right w:val="single" w:sz="4" w:space="0" w:color="auto"/>
            </w:tcBorders>
            <w:shd w:val="clear" w:color="auto" w:fill="auto"/>
            <w:vAlign w:val="center"/>
          </w:tcPr>
          <w:p w:rsidR="00BF44B4" w:rsidRPr="0005612C" w:rsidRDefault="00111AD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 xml:space="preserve">Plan </w:t>
            </w:r>
          </w:p>
        </w:tc>
        <w:tc>
          <w:tcPr>
            <w:tcW w:w="1230" w:type="dxa"/>
            <w:tcBorders>
              <w:top w:val="nil"/>
              <w:left w:val="nil"/>
              <w:bottom w:val="single" w:sz="4" w:space="0" w:color="auto"/>
              <w:right w:val="single" w:sz="4" w:space="0" w:color="auto"/>
            </w:tcBorders>
            <w:shd w:val="clear" w:color="auto" w:fill="auto"/>
            <w:vAlign w:val="center"/>
          </w:tcPr>
          <w:p w:rsidR="00BF44B4" w:rsidRPr="0005612C" w:rsidRDefault="00111AD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111AD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BF44B4" w:rsidRPr="0005612C" w:rsidTr="005C49EB">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BF44B4" w:rsidRPr="00111AD1" w:rsidRDefault="00111AD1" w:rsidP="00111AD1">
            <w:pPr>
              <w:rPr>
                <w:rFonts w:ascii="Calibri" w:hAnsi="Calibri" w:cs="Calibri"/>
                <w:color w:val="000000"/>
                <w:sz w:val="20"/>
                <w:szCs w:val="20"/>
              </w:rPr>
            </w:pPr>
            <w:r>
              <w:rPr>
                <w:rFonts w:ascii="Calibri" w:hAnsi="Calibri" w:cs="Calibri"/>
                <w:color w:val="000000"/>
                <w:sz w:val="20"/>
                <w:szCs w:val="20"/>
              </w:rPr>
              <w:t>Contratación Intervención Puntos Críticos</w:t>
            </w:r>
          </w:p>
        </w:tc>
        <w:tc>
          <w:tcPr>
            <w:tcW w:w="1612" w:type="dxa"/>
            <w:tcBorders>
              <w:top w:val="nil"/>
              <w:left w:val="nil"/>
              <w:bottom w:val="single" w:sz="4" w:space="0" w:color="auto"/>
              <w:right w:val="single" w:sz="4" w:space="0" w:color="auto"/>
            </w:tcBorders>
            <w:shd w:val="clear" w:color="auto" w:fill="auto"/>
            <w:vAlign w:val="center"/>
          </w:tcPr>
          <w:p w:rsidR="00BF44B4" w:rsidRPr="0005612C" w:rsidRDefault="00111AD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Punto intervenido</w:t>
            </w:r>
          </w:p>
        </w:tc>
        <w:tc>
          <w:tcPr>
            <w:tcW w:w="1230" w:type="dxa"/>
            <w:tcBorders>
              <w:top w:val="nil"/>
              <w:left w:val="nil"/>
              <w:bottom w:val="single" w:sz="4" w:space="0" w:color="auto"/>
              <w:right w:val="single" w:sz="4" w:space="0" w:color="auto"/>
            </w:tcBorders>
            <w:shd w:val="clear" w:color="auto" w:fill="auto"/>
            <w:vAlign w:val="center"/>
          </w:tcPr>
          <w:p w:rsidR="00BF44B4" w:rsidRPr="0005612C" w:rsidRDefault="00111AD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43</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111AD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58</w:t>
            </w:r>
          </w:p>
        </w:tc>
      </w:tr>
      <w:tr w:rsidR="00BF44B4" w:rsidRPr="0005612C" w:rsidTr="005C49EB">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tcPr>
          <w:p w:rsidR="00BF44B4" w:rsidRPr="00111AD1" w:rsidRDefault="00111AD1" w:rsidP="00111AD1">
            <w:pPr>
              <w:rPr>
                <w:rFonts w:ascii="Calibri" w:hAnsi="Calibri" w:cs="Calibri"/>
                <w:color w:val="000000"/>
                <w:sz w:val="20"/>
                <w:szCs w:val="20"/>
              </w:rPr>
            </w:pPr>
            <w:r>
              <w:rPr>
                <w:rFonts w:ascii="Calibri" w:hAnsi="Calibri" w:cs="Calibri"/>
                <w:color w:val="000000"/>
                <w:sz w:val="20"/>
                <w:szCs w:val="20"/>
              </w:rPr>
              <w:t>Mejoramiento de la vía</w:t>
            </w:r>
          </w:p>
        </w:tc>
        <w:tc>
          <w:tcPr>
            <w:tcW w:w="1612" w:type="dxa"/>
            <w:tcBorders>
              <w:top w:val="nil"/>
              <w:left w:val="nil"/>
              <w:bottom w:val="single" w:sz="4" w:space="0" w:color="auto"/>
              <w:right w:val="single" w:sz="4" w:space="0" w:color="auto"/>
            </w:tcBorders>
            <w:shd w:val="clear" w:color="auto" w:fill="auto"/>
            <w:vAlign w:val="center"/>
          </w:tcPr>
          <w:p w:rsidR="00BF44B4" w:rsidRPr="0005612C" w:rsidRDefault="00111AD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Km</w:t>
            </w:r>
          </w:p>
        </w:tc>
        <w:tc>
          <w:tcPr>
            <w:tcW w:w="1230" w:type="dxa"/>
            <w:tcBorders>
              <w:top w:val="nil"/>
              <w:left w:val="nil"/>
              <w:bottom w:val="single" w:sz="4" w:space="0" w:color="auto"/>
              <w:right w:val="single" w:sz="4" w:space="0" w:color="auto"/>
            </w:tcBorders>
            <w:shd w:val="clear" w:color="auto" w:fill="auto"/>
            <w:vAlign w:val="center"/>
          </w:tcPr>
          <w:p w:rsidR="00BF44B4" w:rsidRPr="0005612C" w:rsidRDefault="00111AD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80</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111AD1"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16</w:t>
            </w:r>
          </w:p>
        </w:tc>
      </w:tr>
      <w:tr w:rsidR="00BF44B4" w:rsidRPr="0005612C" w:rsidTr="00BF44B4">
        <w:trPr>
          <w:trHeight w:val="255"/>
          <w:jc w:val="center"/>
        </w:trPr>
        <w:tc>
          <w:tcPr>
            <w:tcW w:w="4847"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BF44B4" w:rsidRPr="0005612C" w:rsidRDefault="00BF44B4" w:rsidP="00897E51">
            <w:pPr>
              <w:spacing w:after="0" w:line="240" w:lineRule="auto"/>
              <w:jc w:val="center"/>
              <w:rPr>
                <w:rFonts w:ascii="Calibri" w:eastAsia="Times New Roman" w:hAnsi="Calibri" w:cs="Calibri"/>
                <w:color w:val="000000"/>
                <w:sz w:val="20"/>
                <w:szCs w:val="20"/>
              </w:rPr>
            </w:pPr>
          </w:p>
        </w:tc>
      </w:tr>
      <w:tr w:rsidR="00BF44B4" w:rsidRPr="0005612C" w:rsidTr="00BF44B4">
        <w:trPr>
          <w:trHeight w:val="255"/>
          <w:jc w:val="center"/>
        </w:trPr>
        <w:tc>
          <w:tcPr>
            <w:tcW w:w="4847"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PORTUARIO</w:t>
            </w:r>
          </w:p>
        </w:tc>
        <w:tc>
          <w:tcPr>
            <w:tcW w:w="1612"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BF44B4" w:rsidRPr="0005612C" w:rsidRDefault="00BF44B4" w:rsidP="00BF44B4">
            <w:pPr>
              <w:spacing w:after="0" w:line="240" w:lineRule="auto"/>
              <w:rPr>
                <w:rFonts w:ascii="Calibri" w:eastAsia="Times New Roman" w:hAnsi="Calibri" w:cs="Calibri"/>
                <w:color w:val="000000"/>
                <w:sz w:val="20"/>
                <w:szCs w:val="20"/>
              </w:rPr>
            </w:pPr>
          </w:p>
        </w:tc>
      </w:tr>
      <w:tr w:rsidR="00BF44B4" w:rsidRPr="0005612C" w:rsidTr="005C49EB">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4B4" w:rsidRPr="00111AD1" w:rsidRDefault="00111AD1" w:rsidP="00111AD1">
            <w:pPr>
              <w:rPr>
                <w:rFonts w:ascii="Calibri" w:hAnsi="Calibri" w:cs="Calibri"/>
                <w:color w:val="000000"/>
                <w:sz w:val="20"/>
                <w:szCs w:val="20"/>
              </w:rPr>
            </w:pPr>
            <w:r>
              <w:rPr>
                <w:rFonts w:ascii="Calibri" w:hAnsi="Calibri" w:cs="Calibri"/>
                <w:color w:val="000000"/>
                <w:sz w:val="20"/>
                <w:szCs w:val="20"/>
              </w:rPr>
              <w:t>Realizar el inventario de los puertos para aquellas concesiones que tienen interventoría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F44B4" w:rsidRPr="0005612C" w:rsidRDefault="00111AD1" w:rsidP="00111AD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Estudio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F44B4" w:rsidRPr="0005612C" w:rsidRDefault="00111AD1"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F44B4" w:rsidRPr="0005612C" w:rsidRDefault="00111AD1"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rsidTr="00111AD1">
        <w:trPr>
          <w:trHeight w:val="352"/>
          <w:jc w:val="center"/>
        </w:trPr>
        <w:tc>
          <w:tcPr>
            <w:tcW w:w="4847" w:type="dxa"/>
            <w:tcBorders>
              <w:top w:val="nil"/>
              <w:left w:val="single" w:sz="4" w:space="0" w:color="auto"/>
              <w:bottom w:val="single" w:sz="4" w:space="0" w:color="auto"/>
              <w:right w:val="single" w:sz="4" w:space="0" w:color="auto"/>
            </w:tcBorders>
            <w:shd w:val="clear" w:color="auto" w:fill="auto"/>
            <w:noWrap/>
            <w:vAlign w:val="center"/>
          </w:tcPr>
          <w:p w:rsidR="00BF44B4" w:rsidRPr="00111AD1" w:rsidRDefault="00111AD1" w:rsidP="00BB675A">
            <w:pPr>
              <w:rPr>
                <w:rFonts w:ascii="Calibri" w:hAnsi="Calibri" w:cs="Calibri"/>
                <w:color w:val="000000"/>
                <w:sz w:val="20"/>
                <w:szCs w:val="20"/>
              </w:rPr>
            </w:pPr>
            <w:r>
              <w:rPr>
                <w:rFonts w:ascii="Calibri" w:hAnsi="Calibri" w:cs="Calibri"/>
                <w:color w:val="000000"/>
                <w:sz w:val="20"/>
                <w:szCs w:val="20"/>
              </w:rPr>
              <w:t>Revisar el cumplimiento plan de inversiones (Informes de supervisión)</w:t>
            </w:r>
          </w:p>
        </w:tc>
        <w:tc>
          <w:tcPr>
            <w:tcW w:w="1612" w:type="dxa"/>
            <w:tcBorders>
              <w:top w:val="nil"/>
              <w:left w:val="nil"/>
              <w:bottom w:val="single" w:sz="4" w:space="0" w:color="auto"/>
              <w:right w:val="single" w:sz="4" w:space="0" w:color="auto"/>
            </w:tcBorders>
            <w:shd w:val="clear" w:color="auto" w:fill="auto"/>
            <w:noWrap/>
            <w:vAlign w:val="center"/>
          </w:tcPr>
          <w:p w:rsidR="00BF44B4" w:rsidRPr="0005612C" w:rsidRDefault="00111AD1" w:rsidP="00BB6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230" w:type="dxa"/>
            <w:tcBorders>
              <w:top w:val="nil"/>
              <w:left w:val="nil"/>
              <w:bottom w:val="single" w:sz="4" w:space="0" w:color="auto"/>
              <w:right w:val="single" w:sz="4" w:space="0" w:color="auto"/>
            </w:tcBorders>
            <w:shd w:val="clear" w:color="auto" w:fill="auto"/>
            <w:noWrap/>
            <w:vAlign w:val="center"/>
          </w:tcPr>
          <w:p w:rsidR="00BF44B4" w:rsidRPr="0005612C" w:rsidRDefault="00111AD1"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w:t>
            </w:r>
          </w:p>
        </w:tc>
        <w:tc>
          <w:tcPr>
            <w:tcW w:w="1139" w:type="dxa"/>
            <w:tcBorders>
              <w:top w:val="nil"/>
              <w:left w:val="nil"/>
              <w:bottom w:val="single" w:sz="4" w:space="0" w:color="auto"/>
              <w:right w:val="single" w:sz="4" w:space="0" w:color="auto"/>
            </w:tcBorders>
            <w:shd w:val="clear" w:color="auto" w:fill="auto"/>
            <w:noWrap/>
            <w:vAlign w:val="center"/>
          </w:tcPr>
          <w:p w:rsidR="00BF44B4" w:rsidRPr="0005612C" w:rsidRDefault="00111AD1"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bl>
    <w:p w:rsidR="0005612C" w:rsidRDefault="0005612C" w:rsidP="00CA0AF4">
      <w:pPr>
        <w:jc w:val="both"/>
      </w:pP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1E0E14" w:rsidRPr="0005612C" w:rsidTr="00525BE7">
        <w:trPr>
          <w:trHeight w:val="255"/>
          <w:jc w:val="center"/>
        </w:trPr>
        <w:tc>
          <w:tcPr>
            <w:tcW w:w="4847" w:type="dxa"/>
            <w:tcBorders>
              <w:top w:val="nil"/>
              <w:left w:val="nil"/>
              <w:bottom w:val="nil"/>
              <w:right w:val="nil"/>
            </w:tcBorders>
            <w:shd w:val="clear" w:color="auto" w:fill="auto"/>
            <w:noWrap/>
            <w:vAlign w:val="center"/>
            <w:hideMark/>
          </w:tcPr>
          <w:p w:rsidR="001E0E14" w:rsidRPr="0005612C" w:rsidRDefault="001E0E14" w:rsidP="001E0E1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 xml:space="preserve">GRUPO INTERNO DE TRABAJO </w:t>
            </w:r>
            <w:r>
              <w:rPr>
                <w:rFonts w:ascii="Calibri" w:eastAsia="Times New Roman" w:hAnsi="Calibri" w:cs="Calibri"/>
                <w:b/>
                <w:bCs/>
                <w:color w:val="000000"/>
                <w:sz w:val="20"/>
                <w:szCs w:val="20"/>
              </w:rPr>
              <w:t>AEROPORTUARIO</w:t>
            </w:r>
          </w:p>
        </w:tc>
        <w:tc>
          <w:tcPr>
            <w:tcW w:w="1612" w:type="dxa"/>
            <w:tcBorders>
              <w:top w:val="nil"/>
              <w:left w:val="nil"/>
              <w:bottom w:val="nil"/>
              <w:right w:val="nil"/>
            </w:tcBorders>
            <w:shd w:val="clear" w:color="auto" w:fill="auto"/>
            <w:noWrap/>
            <w:vAlign w:val="center"/>
            <w:hideMark/>
          </w:tcPr>
          <w:p w:rsidR="001E0E14" w:rsidRPr="0005612C" w:rsidRDefault="001E0E14" w:rsidP="0054297D">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rsidR="001E0E14" w:rsidRPr="0005612C" w:rsidRDefault="001E0E14" w:rsidP="0054297D">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rsidR="001E0E14" w:rsidRPr="0005612C" w:rsidRDefault="001E0E14" w:rsidP="0054297D">
            <w:pPr>
              <w:spacing w:after="0" w:line="240" w:lineRule="auto"/>
              <w:rPr>
                <w:rFonts w:ascii="Calibri" w:eastAsia="Times New Roman" w:hAnsi="Calibri" w:cs="Calibri"/>
                <w:color w:val="000000"/>
                <w:sz w:val="20"/>
                <w:szCs w:val="20"/>
              </w:rPr>
            </w:pPr>
          </w:p>
        </w:tc>
      </w:tr>
      <w:tr w:rsidR="001E0E14" w:rsidRPr="0005612C" w:rsidTr="005C49EB">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E14" w:rsidRPr="00D939E1" w:rsidRDefault="00D939E1" w:rsidP="00D939E1">
            <w:pPr>
              <w:rPr>
                <w:rFonts w:ascii="Calibri" w:hAnsi="Calibri" w:cs="Calibri"/>
                <w:color w:val="000000"/>
                <w:sz w:val="20"/>
                <w:szCs w:val="20"/>
              </w:rPr>
            </w:pPr>
            <w:r>
              <w:rPr>
                <w:rFonts w:ascii="Calibri" w:hAnsi="Calibri" w:cs="Calibri"/>
                <w:color w:val="000000"/>
                <w:sz w:val="20"/>
                <w:szCs w:val="20"/>
              </w:rPr>
              <w:t>Construcción Aeropuerto de Santa Marta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1E0E14" w:rsidRPr="0005612C" w:rsidRDefault="00D939E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1E0E14"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1E0E14"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1E0E14" w:rsidRPr="0005612C" w:rsidTr="00D939E1">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tcPr>
          <w:p w:rsidR="001E0E14" w:rsidRPr="00D939E1" w:rsidRDefault="00D939E1" w:rsidP="0054297D">
            <w:pPr>
              <w:rPr>
                <w:rFonts w:ascii="Calibri" w:hAnsi="Calibri" w:cs="Calibri"/>
                <w:color w:val="000000"/>
                <w:sz w:val="20"/>
                <w:szCs w:val="20"/>
              </w:rPr>
            </w:pPr>
            <w:r>
              <w:rPr>
                <w:rFonts w:ascii="Calibri" w:hAnsi="Calibri" w:cs="Calibri"/>
                <w:color w:val="000000"/>
                <w:sz w:val="20"/>
                <w:szCs w:val="20"/>
              </w:rPr>
              <w:t>Climatización Aeropuerto Cúcuta</w:t>
            </w:r>
          </w:p>
        </w:tc>
        <w:tc>
          <w:tcPr>
            <w:tcW w:w="1612" w:type="dxa"/>
            <w:tcBorders>
              <w:top w:val="nil"/>
              <w:left w:val="nil"/>
              <w:bottom w:val="single" w:sz="4" w:space="0" w:color="auto"/>
              <w:right w:val="single" w:sz="4" w:space="0" w:color="auto"/>
            </w:tcBorders>
            <w:shd w:val="clear" w:color="auto" w:fill="auto"/>
            <w:noWrap/>
            <w:vAlign w:val="center"/>
          </w:tcPr>
          <w:p w:rsidR="001E0E14" w:rsidRPr="0005612C" w:rsidRDefault="00D939E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nil"/>
              <w:left w:val="nil"/>
              <w:bottom w:val="single" w:sz="4" w:space="0" w:color="auto"/>
              <w:right w:val="single" w:sz="4" w:space="0" w:color="auto"/>
            </w:tcBorders>
            <w:shd w:val="clear" w:color="auto" w:fill="auto"/>
            <w:noWrap/>
            <w:vAlign w:val="center"/>
          </w:tcPr>
          <w:p w:rsidR="001E0E14"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1E0E14"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D939E1" w:rsidRPr="0005612C" w:rsidTr="00D939E1">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Climatización Aeropuerto Valledupar</w:t>
            </w:r>
          </w:p>
        </w:tc>
        <w:tc>
          <w:tcPr>
            <w:tcW w:w="1612" w:type="dxa"/>
            <w:tcBorders>
              <w:top w:val="nil"/>
              <w:left w:val="nil"/>
              <w:bottom w:val="single" w:sz="4" w:space="0" w:color="auto"/>
              <w:right w:val="single" w:sz="4" w:space="0" w:color="auto"/>
            </w:tcBorders>
            <w:shd w:val="clear" w:color="auto" w:fill="auto"/>
            <w:noWrap/>
            <w:vAlign w:val="center"/>
          </w:tcPr>
          <w:p w:rsidR="00D939E1" w:rsidRPr="0005612C" w:rsidRDefault="00D939E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nil"/>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D939E1" w:rsidRPr="0005612C" w:rsidTr="00D939E1">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Pavimentación pista Aeropuerto – Corozal</w:t>
            </w:r>
          </w:p>
        </w:tc>
        <w:tc>
          <w:tcPr>
            <w:tcW w:w="1612" w:type="dxa"/>
            <w:tcBorders>
              <w:top w:val="nil"/>
              <w:left w:val="nil"/>
              <w:bottom w:val="single" w:sz="4" w:space="0" w:color="auto"/>
              <w:right w:val="single" w:sz="4" w:space="0" w:color="auto"/>
            </w:tcBorders>
            <w:shd w:val="clear" w:color="auto" w:fill="auto"/>
            <w:noWrap/>
            <w:vAlign w:val="center"/>
          </w:tcPr>
          <w:p w:rsidR="00D939E1" w:rsidRPr="0005612C" w:rsidRDefault="00D939E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Recibo</w:t>
            </w:r>
          </w:p>
        </w:tc>
        <w:tc>
          <w:tcPr>
            <w:tcW w:w="1230" w:type="dxa"/>
            <w:tcBorders>
              <w:top w:val="nil"/>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D939E1" w:rsidRPr="0005612C" w:rsidTr="00D939E1">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lastRenderedPageBreak/>
              <w:t>Pavimentación pista Aeropuerto - Montería</w:t>
            </w:r>
          </w:p>
        </w:tc>
        <w:tc>
          <w:tcPr>
            <w:tcW w:w="1612" w:type="dxa"/>
            <w:tcBorders>
              <w:top w:val="nil"/>
              <w:left w:val="nil"/>
              <w:bottom w:val="single" w:sz="4" w:space="0" w:color="auto"/>
              <w:right w:val="single" w:sz="4" w:space="0" w:color="auto"/>
            </w:tcBorders>
            <w:shd w:val="clear" w:color="auto" w:fill="auto"/>
            <w:noWrap/>
            <w:vAlign w:val="center"/>
          </w:tcPr>
          <w:p w:rsidR="00D939E1" w:rsidRPr="0005612C" w:rsidRDefault="00D939E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nil"/>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nil"/>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Pavimentación pista Aeropuerto - Jose Maria C</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D939E1" w:rsidP="00D939E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Recibo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Pavimentación pista Aeropuerto - Olaya H</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D939E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construcción del nuevo SEI – Cali</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D939E1"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Recibo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remodelación del satélite nacional del edificio actual – Cali</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5C604F"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Recibo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 xml:space="preserve">CODAD-Calles de salidas rápidas y calle de interconexión </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5C604F"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construcción del nuevo SEI - Cartagena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5C604F"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construcción de Franjas – Cartagena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5C604F"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OPAIN-Ampliación terminal nacional de pasajeros – sur</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5C604F"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D939E1" w:rsidRPr="0005612C" w:rsidTr="00D939E1">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9E1" w:rsidRPr="00D939E1" w:rsidRDefault="00D939E1" w:rsidP="0054297D">
            <w:pPr>
              <w:rPr>
                <w:rFonts w:ascii="Calibri" w:hAnsi="Calibri" w:cs="Calibri"/>
                <w:color w:val="000000"/>
                <w:sz w:val="20"/>
                <w:szCs w:val="20"/>
              </w:rPr>
            </w:pPr>
            <w:r>
              <w:rPr>
                <w:rFonts w:ascii="Calibri" w:hAnsi="Calibri" w:cs="Calibri"/>
                <w:color w:val="000000"/>
                <w:sz w:val="20"/>
                <w:szCs w:val="20"/>
              </w:rPr>
              <w:t>OPAIN-Ampliación terminal internacional de pasajeros norte</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5C604F"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Acta de Inicio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39E1" w:rsidRPr="0005612C" w:rsidRDefault="00861A50"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bl>
    <w:p w:rsidR="00C43D86" w:rsidRDefault="00C43D86">
      <w:pPr>
        <w:rPr>
          <w:rFonts w:cs="Arial"/>
          <w:b/>
        </w:rPr>
      </w:pPr>
      <w:bookmarkStart w:id="59" w:name="_Toc357434723"/>
      <w:bookmarkStart w:id="60" w:name="_Toc357434979"/>
      <w:bookmarkStart w:id="61" w:name="_Toc360175795"/>
      <w:bookmarkStart w:id="62" w:name="_Toc360176860"/>
      <w:bookmarkStart w:id="63" w:name="_Toc360177568"/>
    </w:p>
    <w:p w:rsidR="00861CC8" w:rsidRPr="00EB3BC8" w:rsidRDefault="00861A50" w:rsidP="00861A50">
      <w:pPr>
        <w:jc w:val="center"/>
        <w:rPr>
          <w:b/>
          <w:color w:val="00B0F0"/>
          <w:sz w:val="32"/>
          <w:szCs w:val="26"/>
        </w:rPr>
      </w:pPr>
      <w:r w:rsidRPr="00EB3BC8">
        <w:rPr>
          <w:b/>
          <w:color w:val="00B0F0"/>
          <w:sz w:val="32"/>
          <w:szCs w:val="26"/>
        </w:rPr>
        <w:t>AVANCES VICEPRESIDENCIA DE GESTIÓN CONTRACTUAL</w:t>
      </w:r>
    </w:p>
    <w:p w:rsidR="00EB3BC8" w:rsidRPr="00C22DFB" w:rsidRDefault="00EB3BC8" w:rsidP="00EB3BC8">
      <w:pPr>
        <w:spacing w:line="240" w:lineRule="auto"/>
        <w:jc w:val="both"/>
        <w:rPr>
          <w:rFonts w:ascii="Arial" w:hAnsi="Arial" w:cs="Arial"/>
          <w:b/>
          <w:bCs/>
          <w:color w:val="808080"/>
        </w:rPr>
      </w:pPr>
    </w:p>
    <w:p w:rsidR="00EB3BC8" w:rsidRPr="00A33B78" w:rsidRDefault="00EB3BC8" w:rsidP="00A33B78">
      <w:pPr>
        <w:spacing w:after="0" w:line="240" w:lineRule="auto"/>
        <w:jc w:val="both"/>
        <w:rPr>
          <w:rFonts w:eastAsia="Times New Roman" w:cs="Calibri"/>
          <w:b/>
          <w:color w:val="000000"/>
          <w:u w:val="single"/>
        </w:rPr>
      </w:pPr>
      <w:r w:rsidRPr="00A33B78">
        <w:rPr>
          <w:rFonts w:eastAsia="Times New Roman" w:cs="Calibri"/>
          <w:b/>
          <w:color w:val="000000"/>
          <w:u w:val="single"/>
        </w:rPr>
        <w:t>GERENCIA DE PROYECTOS CARRETERO 1</w:t>
      </w:r>
    </w:p>
    <w:p w:rsidR="00EB3BC8" w:rsidRPr="00C22DFB" w:rsidRDefault="00EB3BC8" w:rsidP="00EB3BC8">
      <w:pPr>
        <w:spacing w:line="240" w:lineRule="auto"/>
        <w:jc w:val="center"/>
        <w:rPr>
          <w:rFonts w:ascii="Arial" w:hAnsi="Arial" w:cs="Arial"/>
          <w:b/>
          <w:sz w:val="28"/>
          <w:szCs w:val="28"/>
        </w:rPr>
      </w:pPr>
    </w:p>
    <w:p w:rsidR="00EB3BC8" w:rsidRPr="00A33B78" w:rsidRDefault="00EB3BC8" w:rsidP="00EB3BC8">
      <w:pPr>
        <w:spacing w:after="0" w:line="240" w:lineRule="auto"/>
        <w:jc w:val="both"/>
        <w:rPr>
          <w:rFonts w:ascii="Calibri" w:hAnsi="Calibri" w:cs="Calibri"/>
          <w:b/>
          <w:lang w:val="es-ES"/>
        </w:rPr>
      </w:pPr>
      <w:r w:rsidRPr="00A33B78">
        <w:rPr>
          <w:rFonts w:ascii="Calibri" w:hAnsi="Calibri" w:cs="Calibri"/>
          <w:b/>
          <w:lang w:val="es-ES"/>
        </w:rPr>
        <w:t>1. INFORME DE GESTION PROYECTO RUTA DEL SOL SECTOR 2</w:t>
      </w:r>
    </w:p>
    <w:p w:rsidR="00EB3BC8" w:rsidRPr="00A33B78" w:rsidRDefault="00EB3BC8" w:rsidP="00EB3BC8">
      <w:pPr>
        <w:spacing w:after="0" w:line="240" w:lineRule="auto"/>
        <w:jc w:val="both"/>
        <w:rPr>
          <w:rFonts w:ascii="Calibri" w:hAnsi="Calibri" w:cs="Calibri"/>
          <w:b/>
          <w:lang w:val="es-ES"/>
        </w:rPr>
      </w:pP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t>AVANCE DE OBRA</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El avance general acumulado para el segundo  trimestre del proyecto fue del 37.16%</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Pavimento Nuevo Ejecutado Acumulado: 223.83km</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Pavimento Rehabilitado Ejecutado Acumulado: 114.43km</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Avances en el  segundo trimestre:</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Construcción Calzada Nueva 16.2km</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Rehabilitación Calzada Existente 10.2km</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Calzada Nueva Construida en Operación 18.51km</w:t>
      </w: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t>OTROSÍ No. 6 (RIO DE ORO – AGUACLARA – GAMARRA)</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lastRenderedPageBreak/>
        <w:t>Se encuentra en la fase de preconstrucción, en  la elaboración, presentación y aprobación de los Estudios de Detalle.  Se tienen avances en todos los ítems de diseño de cada uno de los tres tramos con un avance de 70% a la fecha.  Se anota que el licenciamiento ambiental para el tramo 1 se encuentra suspendido por solicitud del Concesionario con el objeto de realizar la separación de expedientes.  El 30 de abril se dio entrega de la información complementaria para entrega a la ANLA.  Se está a la espera de la solicitud de audiencia pública solicitada por la comunidad para complementar el proceso de licenciamiento ambiental.</w:t>
      </w:r>
    </w:p>
    <w:p w:rsidR="00EB3BC8" w:rsidRPr="00127310" w:rsidRDefault="00EB3BC8" w:rsidP="00EB3BC8">
      <w:pPr>
        <w:spacing w:line="240" w:lineRule="auto"/>
        <w:ind w:left="720"/>
        <w:contextualSpacing/>
        <w:jc w:val="both"/>
        <w:rPr>
          <w:rFonts w:ascii="Arial" w:hAnsi="Arial" w:cs="Arial"/>
        </w:rPr>
      </w:pP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t>LICENCIAS AMBIENTALES</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El proyecto se encuentra licenciado a excepción del paso por San Roque; punto en común con el Sector 3 del Proyecto Ruta del Sol.</w:t>
      </w:r>
    </w:p>
    <w:p w:rsidR="00EB3BC8" w:rsidRPr="00127310" w:rsidRDefault="00EB3BC8" w:rsidP="00EB3BC8">
      <w:pPr>
        <w:spacing w:line="240" w:lineRule="auto"/>
        <w:jc w:val="both"/>
        <w:rPr>
          <w:rFonts w:ascii="Arial" w:hAnsi="Arial" w:cs="Arial"/>
        </w:rPr>
      </w:pP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t xml:space="preserve">SUPERACIÓN DE CONFLICTO COMUNIDAD DE AGUACHICA </w:t>
      </w:r>
    </w:p>
    <w:p w:rsidR="00EB3BC8" w:rsidRPr="00127310" w:rsidRDefault="00EB3BC8" w:rsidP="00EB3BC8">
      <w:pPr>
        <w:autoSpaceDE w:val="0"/>
        <w:autoSpaceDN w:val="0"/>
        <w:adjustRightInd w:val="0"/>
        <w:spacing w:after="0" w:line="240" w:lineRule="auto"/>
        <w:jc w:val="both"/>
        <w:rPr>
          <w:rFonts w:ascii="Arial" w:hAnsi="Arial" w:cs="Arial"/>
          <w:b/>
        </w:rPr>
      </w:pP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 xml:space="preserve">La Variante de Aguachica, corresponde a una obra que estuvo paralizada durante casi dos (2) años por las comunidades del Cerro de la Campana y Columpio quienes desde la etapa de construcción manifestaron la  inconformidad con la construcción de la variante, con el fin de buscar soluciones al conflicto presentado y poder culminar con la construcción de la Variante de Aguachica, el día 28 de enero de 2015 el Gobierno Nacional representado por Ministerio de Transporte y la Agencia, con la participación de la Alcaldía de Aguachica, Policía Nacional y los voceros de la comunidad se llegaron a acuerdos logrando así la terminación de las obras. </w:t>
      </w: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t>Información general:</w:t>
      </w:r>
    </w:p>
    <w:p w:rsidR="00EB3BC8" w:rsidRPr="00A33B78" w:rsidRDefault="00EB3BC8" w:rsidP="00EB3BC8">
      <w:pPr>
        <w:spacing w:after="0" w:line="240" w:lineRule="auto"/>
        <w:jc w:val="both"/>
        <w:rPr>
          <w:rFonts w:ascii="Calibri" w:hAnsi="Calibri" w:cs="Calibri"/>
          <w:lang w:val="es-ES"/>
        </w:rPr>
      </w:pPr>
      <w:r w:rsidRPr="00A33B78">
        <w:rPr>
          <w:rFonts w:ascii="Calibri" w:hAnsi="Calibri" w:cs="Calibri"/>
          <w:lang w:val="es-ES"/>
        </w:rPr>
        <w:t>Vía: Variante de Aguachica</w:t>
      </w:r>
    </w:p>
    <w:p w:rsidR="00EB3BC8" w:rsidRPr="00A33B78" w:rsidRDefault="00EB3BC8" w:rsidP="00EB3BC8">
      <w:pPr>
        <w:spacing w:after="0" w:line="240" w:lineRule="auto"/>
        <w:jc w:val="both"/>
        <w:rPr>
          <w:rFonts w:ascii="Calibri" w:hAnsi="Calibri" w:cs="Calibri"/>
          <w:lang w:val="es-ES"/>
        </w:rPr>
      </w:pPr>
      <w:r w:rsidRPr="00A33B78">
        <w:rPr>
          <w:rFonts w:ascii="Calibri" w:hAnsi="Calibri" w:cs="Calibri"/>
          <w:lang w:val="es-ES"/>
        </w:rPr>
        <w:t>Contrato: Contrato de concesión 001 de 2010</w:t>
      </w:r>
    </w:p>
    <w:p w:rsidR="00EB3BC8" w:rsidRPr="00A33B78" w:rsidRDefault="00EB3BC8" w:rsidP="00EB3BC8">
      <w:pPr>
        <w:spacing w:after="0" w:line="240" w:lineRule="auto"/>
        <w:jc w:val="both"/>
        <w:rPr>
          <w:rFonts w:ascii="Calibri" w:hAnsi="Calibri" w:cs="Calibri"/>
          <w:lang w:val="es-ES"/>
        </w:rPr>
      </w:pPr>
      <w:r w:rsidRPr="00A33B78">
        <w:rPr>
          <w:rFonts w:ascii="Calibri" w:hAnsi="Calibri" w:cs="Calibri"/>
          <w:lang w:val="es-ES"/>
        </w:rPr>
        <w:t>Longitud: 4,55 Km en doble calzada</w:t>
      </w:r>
    </w:p>
    <w:p w:rsidR="00EB3BC8" w:rsidRPr="00A33B78" w:rsidRDefault="00EB3BC8" w:rsidP="00EB3BC8">
      <w:pPr>
        <w:spacing w:after="0" w:line="240" w:lineRule="auto"/>
        <w:jc w:val="both"/>
        <w:rPr>
          <w:rFonts w:ascii="Calibri" w:hAnsi="Calibri" w:cs="Calibri"/>
          <w:lang w:val="es-ES"/>
        </w:rPr>
      </w:pPr>
      <w:r w:rsidRPr="00A33B78">
        <w:rPr>
          <w:rFonts w:ascii="Calibri" w:hAnsi="Calibri" w:cs="Calibri"/>
          <w:lang w:val="es-ES"/>
        </w:rPr>
        <w:t>Fecha de terminación: mayo de 2015.</w:t>
      </w:r>
    </w:p>
    <w:p w:rsidR="00EB3BC8" w:rsidRPr="00A33B78" w:rsidRDefault="00EB3BC8" w:rsidP="00EB3BC8">
      <w:pPr>
        <w:spacing w:after="0" w:line="240" w:lineRule="auto"/>
        <w:jc w:val="both"/>
        <w:rPr>
          <w:rFonts w:ascii="Calibri" w:hAnsi="Calibri" w:cs="Calibri"/>
          <w:lang w:val="es-ES"/>
        </w:rPr>
      </w:pPr>
      <w:r w:rsidRPr="00A33B78">
        <w:rPr>
          <w:rFonts w:ascii="Calibri" w:hAnsi="Calibri" w:cs="Calibri"/>
          <w:lang w:val="es-ES"/>
        </w:rPr>
        <w:t>Inversión (COP): 22,078’448,210.00</w:t>
      </w:r>
    </w:p>
    <w:p w:rsidR="00EB3BC8" w:rsidRPr="00A33B78" w:rsidRDefault="00EB3BC8" w:rsidP="00EB3BC8">
      <w:pPr>
        <w:pStyle w:val="Prrafodelista"/>
        <w:spacing w:line="240" w:lineRule="auto"/>
        <w:ind w:left="360"/>
        <w:jc w:val="both"/>
        <w:rPr>
          <w:rFonts w:ascii="Calibri" w:hAnsi="Calibri" w:cs="Calibri"/>
          <w:lang w:val="es-ES"/>
        </w:rPr>
      </w:pPr>
    </w:p>
    <w:p w:rsidR="00EB3BC8" w:rsidRPr="00A33B78" w:rsidRDefault="00EB3BC8" w:rsidP="00EB3BC8">
      <w:pPr>
        <w:pStyle w:val="Prrafodelista"/>
        <w:spacing w:line="240" w:lineRule="auto"/>
        <w:ind w:left="0"/>
        <w:jc w:val="both"/>
        <w:rPr>
          <w:rFonts w:ascii="Calibri" w:hAnsi="Calibri" w:cs="Calibri"/>
          <w:lang w:val="es-ES"/>
        </w:rPr>
      </w:pPr>
      <w:r w:rsidRPr="00A33B78">
        <w:rPr>
          <w:rFonts w:ascii="Calibri" w:hAnsi="Calibri" w:cs="Calibri"/>
          <w:lang w:val="es-ES"/>
        </w:rPr>
        <w:t>El día 15 de mayo se llevó a cabo el evento de inauguración el cual conto con la participación del Concesionario, la Alcaldía de Aguachica, la Gobernación del Cesar, el Presidente de la Republica, el Vicepresidente de la República, la Ministra de Transporte entre otros.</w:t>
      </w:r>
    </w:p>
    <w:p w:rsidR="00EB3BC8" w:rsidRPr="00A33B78" w:rsidRDefault="00EB3BC8" w:rsidP="00EB3BC8">
      <w:pPr>
        <w:pStyle w:val="Prrafodelista"/>
        <w:spacing w:line="240" w:lineRule="auto"/>
        <w:ind w:left="0"/>
        <w:jc w:val="both"/>
        <w:rPr>
          <w:rFonts w:ascii="Calibri" w:hAnsi="Calibri" w:cs="Calibri"/>
          <w:lang w:val="es-ES"/>
        </w:rPr>
      </w:pPr>
    </w:p>
    <w:p w:rsidR="00EB3BC8" w:rsidRPr="00A33B78" w:rsidRDefault="00EB3BC8" w:rsidP="00EB3BC8">
      <w:pPr>
        <w:autoSpaceDE w:val="0"/>
        <w:autoSpaceDN w:val="0"/>
        <w:adjustRightInd w:val="0"/>
        <w:spacing w:after="0" w:line="240" w:lineRule="auto"/>
        <w:jc w:val="both"/>
        <w:rPr>
          <w:rFonts w:ascii="Calibri" w:hAnsi="Calibri" w:cs="Calibri"/>
          <w:lang w:val="es-ES"/>
        </w:rPr>
      </w:pPr>
      <w:r w:rsidRPr="00A33B78">
        <w:rPr>
          <w:rFonts w:ascii="Calibri" w:hAnsi="Calibri" w:cs="Calibri"/>
          <w:lang w:val="es-ES"/>
        </w:rPr>
        <w:t>Durante el desarrollo del evento se destacaron los avances y logros del proyecto, así como las dificultades que se han tenido en torno al desarrollo de las obras de la Variante de Aguachica, así mismo se anunciaron por parte de la Alcaldía y de la Gobernación los nuevos proyectos que se tienen para la región, como el Plan Maestro para el Acueducto, entre otros.</w:t>
      </w:r>
    </w:p>
    <w:p w:rsidR="00EB3BC8" w:rsidRDefault="00EB3BC8" w:rsidP="00EB3BC8">
      <w:pPr>
        <w:autoSpaceDE w:val="0"/>
        <w:autoSpaceDN w:val="0"/>
        <w:adjustRightInd w:val="0"/>
        <w:spacing w:after="0" w:line="240" w:lineRule="auto"/>
        <w:jc w:val="both"/>
      </w:pPr>
    </w:p>
    <w:p w:rsidR="00EB3BC8" w:rsidRPr="002B0AD6" w:rsidRDefault="00EB3BC8" w:rsidP="00EB3BC8">
      <w:pPr>
        <w:autoSpaceDE w:val="0"/>
        <w:autoSpaceDN w:val="0"/>
        <w:adjustRightInd w:val="0"/>
        <w:spacing w:after="0" w:line="240" w:lineRule="auto"/>
        <w:jc w:val="center"/>
      </w:pPr>
      <w:r w:rsidRPr="003E356D">
        <w:rPr>
          <w:noProof/>
          <w:sz w:val="20"/>
          <w:szCs w:val="20"/>
        </w:rPr>
        <w:lastRenderedPageBreak/>
        <w:drawing>
          <wp:inline distT="0" distB="0" distL="0" distR="0" wp14:anchorId="6117CC08" wp14:editId="68FB261F">
            <wp:extent cx="2545492" cy="1645675"/>
            <wp:effectExtent l="0" t="0" r="7620" b="0"/>
            <wp:docPr id="275" name="Imagen 275" descr="IMG_0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77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5098" cy="1664816"/>
                    </a:xfrm>
                    <a:prstGeom prst="rect">
                      <a:avLst/>
                    </a:prstGeom>
                    <a:noFill/>
                    <a:ln>
                      <a:noFill/>
                    </a:ln>
                  </pic:spPr>
                </pic:pic>
              </a:graphicData>
            </a:graphic>
          </wp:inline>
        </w:drawing>
      </w:r>
      <w:r>
        <w:rPr>
          <w:noProof/>
        </w:rPr>
        <w:t xml:space="preserve">       </w:t>
      </w:r>
    </w:p>
    <w:p w:rsidR="00EB3BC8" w:rsidRPr="00957756" w:rsidRDefault="00EB3BC8" w:rsidP="00EB3BC8">
      <w:pPr>
        <w:spacing w:line="240" w:lineRule="auto"/>
        <w:jc w:val="center"/>
        <w:rPr>
          <w:rFonts w:ascii="Arial" w:hAnsi="Arial" w:cs="Arial"/>
          <w:sz w:val="18"/>
          <w:szCs w:val="18"/>
        </w:rPr>
      </w:pPr>
      <w:r w:rsidRPr="00957756">
        <w:rPr>
          <w:rFonts w:ascii="Arial" w:hAnsi="Arial" w:cs="Arial"/>
          <w:sz w:val="18"/>
          <w:szCs w:val="18"/>
        </w:rPr>
        <w:t>Inicio de obras Variante de Aguachica</w:t>
      </w:r>
    </w:p>
    <w:p w:rsidR="00EB3BC8" w:rsidRPr="000470B8" w:rsidRDefault="00EB3BC8" w:rsidP="00EB3BC8">
      <w:pPr>
        <w:spacing w:line="240" w:lineRule="auto"/>
        <w:jc w:val="center"/>
      </w:pPr>
      <w:r w:rsidRPr="000470B8">
        <w:t xml:space="preserve">  </w:t>
      </w:r>
    </w:p>
    <w:p w:rsidR="00EB3BC8" w:rsidRPr="000470B8" w:rsidRDefault="00EB3BC8" w:rsidP="00EB3BC8">
      <w:pPr>
        <w:spacing w:line="240" w:lineRule="auto"/>
        <w:jc w:val="center"/>
      </w:pPr>
      <w:r w:rsidRPr="000470B8">
        <w:rPr>
          <w:noProof/>
        </w:rPr>
        <w:drawing>
          <wp:inline distT="0" distB="0" distL="0" distR="0" wp14:anchorId="05F25D97" wp14:editId="3DFD13AA">
            <wp:extent cx="2771373" cy="1583518"/>
            <wp:effectExtent l="0" t="0" r="0" b="0"/>
            <wp:docPr id="259" name="Imagen 259" descr="20150515_08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50515_0813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3517" cy="1601884"/>
                    </a:xfrm>
                    <a:prstGeom prst="rect">
                      <a:avLst/>
                    </a:prstGeom>
                    <a:noFill/>
                    <a:ln>
                      <a:noFill/>
                    </a:ln>
                  </pic:spPr>
                </pic:pic>
              </a:graphicData>
            </a:graphic>
          </wp:inline>
        </w:drawing>
      </w:r>
      <w:r>
        <w:rPr>
          <w:noProof/>
        </w:rPr>
        <w:t xml:space="preserve">  </w:t>
      </w:r>
      <w:r w:rsidRPr="000470B8">
        <w:rPr>
          <w:noProof/>
        </w:rPr>
        <w:drawing>
          <wp:inline distT="0" distB="0" distL="0" distR="0" wp14:anchorId="30E8483C" wp14:editId="5A27F9B7">
            <wp:extent cx="2726724" cy="1576693"/>
            <wp:effectExtent l="0" t="0" r="0" b="5080"/>
            <wp:docPr id="258" name="Imagen 258" descr="20150515_08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50515_08124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5701" cy="1599231"/>
                    </a:xfrm>
                    <a:prstGeom prst="rect">
                      <a:avLst/>
                    </a:prstGeom>
                    <a:noFill/>
                    <a:ln>
                      <a:noFill/>
                    </a:ln>
                  </pic:spPr>
                </pic:pic>
              </a:graphicData>
            </a:graphic>
          </wp:inline>
        </w:drawing>
      </w:r>
    </w:p>
    <w:p w:rsidR="00EB3BC8" w:rsidRPr="00957756" w:rsidRDefault="00EB3BC8" w:rsidP="00EB3BC8">
      <w:pPr>
        <w:spacing w:line="240" w:lineRule="auto"/>
        <w:jc w:val="center"/>
        <w:rPr>
          <w:rFonts w:ascii="Arial" w:hAnsi="Arial" w:cs="Arial"/>
          <w:sz w:val="18"/>
          <w:szCs w:val="18"/>
        </w:rPr>
      </w:pPr>
      <w:r w:rsidRPr="00957756">
        <w:rPr>
          <w:rFonts w:ascii="Arial" w:hAnsi="Arial" w:cs="Arial"/>
          <w:sz w:val="18"/>
          <w:szCs w:val="18"/>
        </w:rPr>
        <w:t>Panorámicas de la vía – Variante Aguachica.</w:t>
      </w:r>
    </w:p>
    <w:p w:rsidR="00EB3BC8" w:rsidRDefault="00EB3BC8" w:rsidP="00EB3BC8">
      <w:pPr>
        <w:spacing w:line="240" w:lineRule="auto"/>
        <w:jc w:val="center"/>
      </w:pPr>
      <w:r w:rsidRPr="000470B8">
        <w:rPr>
          <w:noProof/>
        </w:rPr>
        <w:drawing>
          <wp:inline distT="0" distB="0" distL="0" distR="0" wp14:anchorId="4AA3CC1A" wp14:editId="08D9ED7F">
            <wp:extent cx="3451654" cy="1942412"/>
            <wp:effectExtent l="0" t="0" r="0" b="1270"/>
            <wp:docPr id="260" name="Imagen 260" descr="20150515_15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50515_1501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71848" cy="1953776"/>
                    </a:xfrm>
                    <a:prstGeom prst="rect">
                      <a:avLst/>
                    </a:prstGeom>
                    <a:noFill/>
                    <a:ln>
                      <a:noFill/>
                    </a:ln>
                  </pic:spPr>
                </pic:pic>
              </a:graphicData>
            </a:graphic>
          </wp:inline>
        </w:drawing>
      </w:r>
    </w:p>
    <w:p w:rsidR="00EB3BC8" w:rsidRPr="00957756" w:rsidRDefault="00EB3BC8" w:rsidP="00EB3BC8">
      <w:pPr>
        <w:spacing w:line="240" w:lineRule="auto"/>
        <w:jc w:val="center"/>
        <w:rPr>
          <w:rFonts w:ascii="Arial" w:hAnsi="Arial" w:cs="Arial"/>
          <w:sz w:val="18"/>
          <w:szCs w:val="18"/>
        </w:rPr>
      </w:pPr>
      <w:r w:rsidRPr="00957756">
        <w:rPr>
          <w:rFonts w:ascii="Arial" w:hAnsi="Arial" w:cs="Arial"/>
          <w:sz w:val="18"/>
          <w:szCs w:val="18"/>
        </w:rPr>
        <w:t>Evento de inauguración</w:t>
      </w:r>
    </w:p>
    <w:p w:rsidR="00EB3BC8" w:rsidRPr="000470B8" w:rsidRDefault="00EB3BC8" w:rsidP="00EB3BC8">
      <w:pPr>
        <w:spacing w:line="240" w:lineRule="auto"/>
        <w:jc w:val="center"/>
      </w:pP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t>INICIO DE OBRAS EN LA VARIANTE DE SAN MARTIN</w:t>
      </w:r>
    </w:p>
    <w:p w:rsidR="00EB3BC8" w:rsidRPr="00B228D1" w:rsidRDefault="00EB3BC8" w:rsidP="00EB3BC8">
      <w:pPr>
        <w:autoSpaceDE w:val="0"/>
        <w:autoSpaceDN w:val="0"/>
        <w:adjustRightInd w:val="0"/>
        <w:spacing w:after="0" w:line="240" w:lineRule="auto"/>
        <w:jc w:val="both"/>
        <w:rPr>
          <w:rFonts w:ascii="Arial" w:hAnsi="Arial" w:cs="Arial"/>
        </w:rPr>
      </w:pPr>
    </w:p>
    <w:p w:rsidR="00EB3BC8" w:rsidRPr="00A33B78" w:rsidRDefault="00EB3BC8" w:rsidP="00EB3BC8">
      <w:pPr>
        <w:autoSpaceDE w:val="0"/>
        <w:autoSpaceDN w:val="0"/>
        <w:adjustRightInd w:val="0"/>
        <w:spacing w:after="0" w:line="240" w:lineRule="auto"/>
        <w:jc w:val="both"/>
        <w:rPr>
          <w:rFonts w:ascii="Calibri" w:hAnsi="Calibri" w:cs="Calibri"/>
          <w:lang w:val="es-ES"/>
        </w:rPr>
      </w:pPr>
      <w:r w:rsidRPr="00A33B78">
        <w:rPr>
          <w:rFonts w:ascii="Calibri" w:hAnsi="Calibri" w:cs="Calibri"/>
          <w:lang w:val="es-ES"/>
        </w:rPr>
        <w:t>Por dificultades de tipo social no era posible la ejecución de las obras de construcción de la variante al Municipio de San Martin, el día 11 de mayo se realizó la diligencia de entrega anticipada del predio SM007, lo que permitió a la Concesionaria Ruta del Sol iniciar las obras el día 18 de mayo, con corte al 30 de junio la ejecución de las obras presenta un avance del 23%</w:t>
      </w:r>
    </w:p>
    <w:p w:rsidR="00EB3BC8" w:rsidRPr="00A33B78" w:rsidRDefault="00EB3BC8" w:rsidP="00EB3BC8">
      <w:pPr>
        <w:autoSpaceDE w:val="0"/>
        <w:autoSpaceDN w:val="0"/>
        <w:adjustRightInd w:val="0"/>
        <w:spacing w:after="0" w:line="240" w:lineRule="auto"/>
        <w:jc w:val="both"/>
        <w:rPr>
          <w:rFonts w:ascii="Calibri" w:hAnsi="Calibri" w:cs="Calibri"/>
          <w:lang w:val="es-ES"/>
        </w:rPr>
      </w:pPr>
    </w:p>
    <w:p w:rsidR="00EB3BC8" w:rsidRDefault="00EB3BC8" w:rsidP="00EB3BC8">
      <w:pPr>
        <w:autoSpaceDE w:val="0"/>
        <w:autoSpaceDN w:val="0"/>
        <w:adjustRightInd w:val="0"/>
        <w:spacing w:after="0" w:line="240" w:lineRule="auto"/>
        <w:jc w:val="both"/>
      </w:pPr>
      <w:r>
        <w:rPr>
          <w:noProof/>
        </w:rPr>
        <w:lastRenderedPageBreak/>
        <w:drawing>
          <wp:anchor distT="0" distB="0" distL="114300" distR="114300" simplePos="0" relativeHeight="251701248" behindDoc="0" locked="0" layoutInCell="1" allowOverlap="1" wp14:anchorId="2B78D1C4" wp14:editId="5514219F">
            <wp:simplePos x="0" y="0"/>
            <wp:positionH relativeFrom="column">
              <wp:posOffset>2873375</wp:posOffset>
            </wp:positionH>
            <wp:positionV relativeFrom="paragraph">
              <wp:posOffset>9525</wp:posOffset>
            </wp:positionV>
            <wp:extent cx="2743200" cy="2055495"/>
            <wp:effectExtent l="0" t="0" r="0" b="1905"/>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5549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005AAD4D" wp14:editId="31B722F6">
            <wp:extent cx="2757805" cy="2063115"/>
            <wp:effectExtent l="0" t="0" r="4445"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57805" cy="2063115"/>
                    </a:xfrm>
                    <a:prstGeom prst="rect">
                      <a:avLst/>
                    </a:prstGeom>
                    <a:noFill/>
                    <a:ln>
                      <a:noFill/>
                    </a:ln>
                  </pic:spPr>
                </pic:pic>
              </a:graphicData>
            </a:graphic>
          </wp:inline>
        </w:drawing>
      </w:r>
    </w:p>
    <w:p w:rsidR="00EB3BC8" w:rsidRPr="00880429" w:rsidRDefault="00EB3BC8" w:rsidP="00EB3BC8">
      <w:pPr>
        <w:autoSpaceDE w:val="0"/>
        <w:autoSpaceDN w:val="0"/>
        <w:adjustRightInd w:val="0"/>
        <w:spacing w:after="0" w:line="240" w:lineRule="auto"/>
      </w:pPr>
    </w:p>
    <w:p w:rsidR="00EB3BC8" w:rsidRDefault="00EB3BC8" w:rsidP="00EB3BC8">
      <w:pPr>
        <w:spacing w:line="240" w:lineRule="auto"/>
        <w:ind w:left="720"/>
        <w:rPr>
          <w:b/>
        </w:rPr>
      </w:pP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t xml:space="preserve">SUPERACIÓN DE CONFLICTOS COMUNIDAD DE COLUMPIO </w:t>
      </w:r>
    </w:p>
    <w:p w:rsidR="00EB3BC8" w:rsidRPr="00A33B78" w:rsidRDefault="00EB3BC8" w:rsidP="00EB3BC8">
      <w:pPr>
        <w:spacing w:line="240" w:lineRule="auto"/>
        <w:jc w:val="both"/>
        <w:rPr>
          <w:rFonts w:ascii="Calibri" w:hAnsi="Calibri" w:cs="Calibri"/>
          <w:lang w:val="es-ES"/>
        </w:rPr>
      </w:pPr>
      <w:r w:rsidRPr="00A33B78">
        <w:rPr>
          <w:rFonts w:ascii="Calibri" w:hAnsi="Calibri" w:cs="Calibri"/>
          <w:lang w:val="es-ES"/>
        </w:rPr>
        <w:t>Luego del acuerdo logrado con la comunidad Columpios, que permitió continuar con las obras que permitirán eliminar el tapón de 200 m que interrumpía la continuidad de la vía, a la fecha presenta un avance acumulado de 71.9%, quedando algunas actividades pendientes por ejecutar como:</w:t>
      </w:r>
    </w:p>
    <w:p w:rsidR="00EB3BC8" w:rsidRPr="00A33B78" w:rsidRDefault="00EB3BC8" w:rsidP="000021B2">
      <w:pPr>
        <w:numPr>
          <w:ilvl w:val="0"/>
          <w:numId w:val="55"/>
        </w:numPr>
        <w:spacing w:after="0" w:line="240" w:lineRule="auto"/>
        <w:jc w:val="both"/>
        <w:rPr>
          <w:rFonts w:ascii="Calibri" w:hAnsi="Calibri" w:cs="Calibri"/>
          <w:lang w:val="es-ES"/>
        </w:rPr>
      </w:pPr>
      <w:r w:rsidRPr="00A33B78">
        <w:rPr>
          <w:rFonts w:ascii="Calibri" w:hAnsi="Calibri" w:cs="Calibri"/>
          <w:lang w:val="es-ES"/>
        </w:rPr>
        <w:t>La construcción de un Puente Peatonal ubicado en el PR57+780, de la calzada existente en la RN 4514.</w:t>
      </w:r>
    </w:p>
    <w:p w:rsidR="00EB3BC8" w:rsidRPr="00A33B78" w:rsidRDefault="00EB3BC8" w:rsidP="000021B2">
      <w:pPr>
        <w:numPr>
          <w:ilvl w:val="0"/>
          <w:numId w:val="55"/>
        </w:numPr>
        <w:spacing w:after="0" w:line="240" w:lineRule="auto"/>
        <w:jc w:val="both"/>
        <w:rPr>
          <w:rFonts w:ascii="Calibri" w:hAnsi="Calibri" w:cs="Calibri"/>
          <w:lang w:val="es-ES"/>
        </w:rPr>
      </w:pPr>
      <w:r w:rsidRPr="00A33B78">
        <w:rPr>
          <w:rFonts w:ascii="Calibri" w:hAnsi="Calibri" w:cs="Calibri"/>
          <w:lang w:val="es-ES"/>
        </w:rPr>
        <w:t>Construcción de cunetas.</w:t>
      </w:r>
    </w:p>
    <w:p w:rsidR="00EB3BC8" w:rsidRPr="00A33B78" w:rsidRDefault="00EB3BC8" w:rsidP="000021B2">
      <w:pPr>
        <w:numPr>
          <w:ilvl w:val="0"/>
          <w:numId w:val="55"/>
        </w:numPr>
        <w:spacing w:after="0" w:line="240" w:lineRule="auto"/>
        <w:jc w:val="both"/>
        <w:rPr>
          <w:rFonts w:ascii="Calibri" w:hAnsi="Calibri" w:cs="Calibri"/>
          <w:lang w:val="es-ES"/>
        </w:rPr>
      </w:pPr>
      <w:r w:rsidRPr="00A33B78">
        <w:rPr>
          <w:rFonts w:ascii="Calibri" w:hAnsi="Calibri" w:cs="Calibri"/>
          <w:lang w:val="es-ES"/>
        </w:rPr>
        <w:t xml:space="preserve">Instalación de subdrenes y filtros. </w:t>
      </w:r>
    </w:p>
    <w:p w:rsidR="00EB3BC8" w:rsidRPr="00A33B78" w:rsidRDefault="00EB3BC8" w:rsidP="000021B2">
      <w:pPr>
        <w:numPr>
          <w:ilvl w:val="0"/>
          <w:numId w:val="55"/>
        </w:numPr>
        <w:spacing w:after="0" w:line="240" w:lineRule="auto"/>
        <w:jc w:val="both"/>
        <w:rPr>
          <w:rFonts w:ascii="Calibri" w:hAnsi="Calibri" w:cs="Calibri"/>
          <w:lang w:val="es-ES"/>
        </w:rPr>
      </w:pPr>
      <w:r w:rsidRPr="00A33B78">
        <w:rPr>
          <w:rFonts w:ascii="Calibri" w:hAnsi="Calibri" w:cs="Calibri"/>
          <w:lang w:val="es-ES"/>
        </w:rPr>
        <w:t>Terminación de la estructura del pavimento, paisajismo y la instalación de elementos de seguridad tales como: señalización horizontal y vertical, colocación de tachas reflectivas y defensas metálicas.</w:t>
      </w:r>
    </w:p>
    <w:p w:rsidR="00EB3BC8" w:rsidRDefault="00EB3BC8" w:rsidP="00EB3BC8">
      <w:pPr>
        <w:spacing w:line="240" w:lineRule="auto"/>
        <w:jc w:val="both"/>
      </w:pPr>
    </w:p>
    <w:p w:rsidR="00EB3BC8" w:rsidRDefault="00EB3BC8" w:rsidP="00EB3BC8">
      <w:pPr>
        <w:spacing w:line="240" w:lineRule="auto"/>
        <w:jc w:val="center"/>
      </w:pPr>
      <w:r w:rsidRPr="003E356D">
        <w:rPr>
          <w:noProof/>
          <w:sz w:val="20"/>
          <w:szCs w:val="20"/>
        </w:rPr>
        <w:drawing>
          <wp:inline distT="0" distB="0" distL="0" distR="0" wp14:anchorId="59C515DA" wp14:editId="78E4364A">
            <wp:extent cx="3006547" cy="1846062"/>
            <wp:effectExtent l="0" t="0" r="3810" b="1905"/>
            <wp:docPr id="274" name="Imagen 274" descr="IMG_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78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6249" cy="1864299"/>
                    </a:xfrm>
                    <a:prstGeom prst="rect">
                      <a:avLst/>
                    </a:prstGeom>
                    <a:noFill/>
                    <a:ln>
                      <a:noFill/>
                    </a:ln>
                  </pic:spPr>
                </pic:pic>
              </a:graphicData>
            </a:graphic>
          </wp:inline>
        </w:drawing>
      </w:r>
    </w:p>
    <w:p w:rsidR="00EB3BC8" w:rsidRPr="00957756" w:rsidRDefault="00EB3BC8" w:rsidP="00EB3BC8">
      <w:pPr>
        <w:spacing w:line="240" w:lineRule="auto"/>
        <w:jc w:val="center"/>
        <w:rPr>
          <w:rFonts w:ascii="Arial" w:hAnsi="Arial" w:cs="Arial"/>
        </w:rPr>
      </w:pPr>
      <w:r w:rsidRPr="00957756">
        <w:rPr>
          <w:rFonts w:ascii="Arial" w:hAnsi="Arial" w:cs="Arial"/>
          <w:sz w:val="18"/>
          <w:szCs w:val="20"/>
        </w:rPr>
        <w:t>Inicio de obras sector Columpio.</w:t>
      </w:r>
    </w:p>
    <w:p w:rsidR="00EB3BC8" w:rsidRDefault="00EB3BC8" w:rsidP="00EB3BC8">
      <w:pPr>
        <w:spacing w:line="240" w:lineRule="auto"/>
        <w:jc w:val="both"/>
      </w:pPr>
      <w:r>
        <w:rPr>
          <w:noProof/>
        </w:rPr>
        <w:drawing>
          <wp:anchor distT="0" distB="0" distL="114300" distR="114300" simplePos="0" relativeHeight="251702272" behindDoc="0" locked="0" layoutInCell="1" allowOverlap="1" wp14:anchorId="6603BCE0" wp14:editId="3871D14A">
            <wp:simplePos x="0" y="0"/>
            <wp:positionH relativeFrom="margin">
              <wp:posOffset>-978</wp:posOffset>
            </wp:positionH>
            <wp:positionV relativeFrom="paragraph">
              <wp:posOffset>288394</wp:posOffset>
            </wp:positionV>
            <wp:extent cx="2635885" cy="2075180"/>
            <wp:effectExtent l="0" t="0" r="0" b="1270"/>
            <wp:wrapNone/>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35885"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3BC8" w:rsidRDefault="00EB3BC8" w:rsidP="00EB3BC8">
      <w:pPr>
        <w:spacing w:line="240" w:lineRule="auto"/>
        <w:jc w:val="both"/>
      </w:pPr>
      <w:r>
        <w:rPr>
          <w:noProof/>
        </w:rPr>
        <w:drawing>
          <wp:anchor distT="0" distB="0" distL="114300" distR="114300" simplePos="0" relativeHeight="251703296" behindDoc="0" locked="0" layoutInCell="1" allowOverlap="1" wp14:anchorId="0176DDA7" wp14:editId="4821F402">
            <wp:simplePos x="0" y="0"/>
            <wp:positionH relativeFrom="column">
              <wp:posOffset>2865789</wp:posOffset>
            </wp:positionH>
            <wp:positionV relativeFrom="paragraph">
              <wp:posOffset>19119</wp:posOffset>
            </wp:positionV>
            <wp:extent cx="2512541" cy="2062400"/>
            <wp:effectExtent l="0" t="0" r="2540" b="0"/>
            <wp:wrapNone/>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18031" cy="20669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3BC8" w:rsidRDefault="00EB3BC8" w:rsidP="00EB3BC8">
      <w:pPr>
        <w:spacing w:line="240" w:lineRule="auto"/>
        <w:jc w:val="both"/>
      </w:pPr>
    </w:p>
    <w:p w:rsidR="00EB3BC8" w:rsidRDefault="00EB3BC8" w:rsidP="00EB3BC8">
      <w:pPr>
        <w:pStyle w:val="Prrafodelista"/>
        <w:spacing w:line="240" w:lineRule="auto"/>
        <w:rPr>
          <w:rFonts w:ascii="Arial" w:hAnsi="Arial" w:cs="Arial"/>
          <w:b/>
        </w:rPr>
      </w:pP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lastRenderedPageBreak/>
        <w:t xml:space="preserve">MESAS DE TRABAJO PLAN DE OBRAS </w:t>
      </w:r>
    </w:p>
    <w:p w:rsidR="00EB3BC8" w:rsidRPr="00A33B78" w:rsidRDefault="00EB3BC8" w:rsidP="00EB3BC8">
      <w:pPr>
        <w:spacing w:line="240" w:lineRule="auto"/>
        <w:rPr>
          <w:rFonts w:ascii="Calibri" w:hAnsi="Calibri" w:cs="Calibri"/>
          <w:lang w:val="es-ES"/>
        </w:rPr>
      </w:pPr>
      <w:r w:rsidRPr="00A33B78">
        <w:rPr>
          <w:rFonts w:ascii="Calibri" w:hAnsi="Calibri" w:cs="Calibri"/>
          <w:lang w:val="es-ES"/>
        </w:rPr>
        <w:t>Se llevan mesas de trabajo con la Concesionaria, Interventoría y Agencia para análisis del Plan de Obras presentado por el Concesionario para los eventos eximentes de Responsabilidad que impactan la eje</w:t>
      </w:r>
      <w:r w:rsidR="00A33B78">
        <w:rPr>
          <w:rFonts w:ascii="Calibri" w:hAnsi="Calibri" w:cs="Calibri"/>
          <w:lang w:val="es-ES"/>
        </w:rPr>
        <w:t>cución de obras en el Proyecto.</w:t>
      </w:r>
    </w:p>
    <w:p w:rsidR="00EB3BC8" w:rsidRPr="00B228D1" w:rsidRDefault="00EB3BC8" w:rsidP="00EB3BC8">
      <w:pPr>
        <w:spacing w:line="240" w:lineRule="auto"/>
        <w:rPr>
          <w:rFonts w:ascii="Arial" w:hAnsi="Arial" w:cs="Arial"/>
        </w:rPr>
      </w:pPr>
    </w:p>
    <w:p w:rsidR="00EB3BC8" w:rsidRPr="00A33B78" w:rsidRDefault="00EB3BC8" w:rsidP="00A33B78">
      <w:pPr>
        <w:spacing w:after="160" w:line="240" w:lineRule="auto"/>
        <w:jc w:val="both"/>
        <w:rPr>
          <w:rFonts w:ascii="Calibri" w:hAnsi="Calibri" w:cs="Calibri"/>
          <w:b/>
          <w:lang w:val="es-ES"/>
        </w:rPr>
      </w:pPr>
      <w:r w:rsidRPr="00A33B78">
        <w:rPr>
          <w:rFonts w:ascii="Calibri" w:hAnsi="Calibri" w:cs="Calibri"/>
          <w:b/>
          <w:lang w:val="es-ES"/>
        </w:rPr>
        <w:t xml:space="preserve">TRANSVERSAL RIO DE ORO – AGUACLARA – GAMARRA // OTROS: </w:t>
      </w:r>
    </w:p>
    <w:p w:rsidR="00EB3BC8" w:rsidRPr="00A33B78" w:rsidRDefault="00EB3BC8" w:rsidP="00EB3BC8">
      <w:pPr>
        <w:spacing w:line="240" w:lineRule="auto"/>
        <w:ind w:left="720"/>
        <w:jc w:val="both"/>
        <w:rPr>
          <w:rFonts w:ascii="Calibri" w:hAnsi="Calibri" w:cs="Calibri"/>
          <w:lang w:val="es-ES"/>
        </w:rPr>
      </w:pPr>
      <w:r w:rsidRPr="00A33B78">
        <w:rPr>
          <w:rFonts w:ascii="Calibri" w:hAnsi="Calibri" w:cs="Calibri"/>
          <w:lang w:val="es-ES"/>
        </w:rPr>
        <w:t>El día 15 de abril se terminaron las obras provisionales del peaje de Platanal e inició su operación, el cual cuenta con Tarifa Especial Diferencial otorgada mediante Resolución 00857 del 9 de abril del 2015, lograda después de varias mesas de trabajo conjuntas entre Ministerio de Transporte, Interventoría, Concesionario y Agencia. Así mismo, en este subtramo se han realizado diferentes actividades de mantenimiento preventivo y correctivo a la señalización vial, a la carpeta asfáltica y a los taludes.  Como parte integral de la operación se encuentran en funcionamiento los equipos de atención al usuario como grúa, carro taller, ambulancia y se dio inicio el convenio con la policía de carreteras.  En este momento se encuentra oposición por parte de la comunidad al inicio de la construcción del peaje de Gamarra, de tal manera que el 26 de mayo del 2015 se presentaron bloqueos a la construcción.  Se han realizado acercamientos con la comunidad y se realizó reunión con la comunidad el 10 de julio en oficinas de la Agencia, en la cual se acuerda realizar otra reunión en la localidad de Gamarra.</w:t>
      </w:r>
    </w:p>
    <w:p w:rsidR="00EB3BC8" w:rsidRPr="003E356D" w:rsidRDefault="00EB3BC8" w:rsidP="00EB3BC8">
      <w:pPr>
        <w:spacing w:line="240" w:lineRule="auto"/>
        <w:jc w:val="center"/>
        <w:rPr>
          <w:sz w:val="20"/>
          <w:szCs w:val="20"/>
        </w:rPr>
      </w:pPr>
    </w:p>
    <w:p w:rsidR="00EB3BC8" w:rsidRPr="003E356D" w:rsidRDefault="00EB3BC8" w:rsidP="00EB3BC8">
      <w:pPr>
        <w:spacing w:line="240" w:lineRule="auto"/>
        <w:jc w:val="center"/>
        <w:rPr>
          <w:rFonts w:cs="Arial"/>
        </w:rPr>
      </w:pPr>
      <w:r w:rsidRPr="003E356D">
        <w:rPr>
          <w:rFonts w:cs="Arial"/>
          <w:noProof/>
        </w:rPr>
        <w:drawing>
          <wp:inline distT="0" distB="0" distL="0" distR="0" wp14:anchorId="599ACE3D" wp14:editId="22E6D37A">
            <wp:extent cx="3188043" cy="2310810"/>
            <wp:effectExtent l="0" t="0" r="0" b="0"/>
            <wp:docPr id="69" name="Imagen 69" descr="dji_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i_015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05725" cy="2323626"/>
                    </a:xfrm>
                    <a:prstGeom prst="rect">
                      <a:avLst/>
                    </a:prstGeom>
                    <a:noFill/>
                    <a:ln>
                      <a:noFill/>
                    </a:ln>
                  </pic:spPr>
                </pic:pic>
              </a:graphicData>
            </a:graphic>
          </wp:inline>
        </w:drawing>
      </w:r>
    </w:p>
    <w:p w:rsidR="00EB3BC8" w:rsidRPr="00A33B78" w:rsidRDefault="00EB3BC8" w:rsidP="00EB3BC8">
      <w:pPr>
        <w:spacing w:after="0" w:line="240" w:lineRule="auto"/>
        <w:jc w:val="center"/>
        <w:rPr>
          <w:rFonts w:cstheme="minorHAnsi"/>
          <w:sz w:val="18"/>
          <w:szCs w:val="20"/>
        </w:rPr>
      </w:pPr>
      <w:r w:rsidRPr="00A33B78">
        <w:rPr>
          <w:rFonts w:cstheme="minorHAnsi"/>
          <w:sz w:val="18"/>
          <w:szCs w:val="20"/>
        </w:rPr>
        <w:t xml:space="preserve">Construcción Estación Peaje Platanal / Transversal Rio de Oro – </w:t>
      </w:r>
    </w:p>
    <w:p w:rsidR="00EB3BC8" w:rsidRPr="00A33B78" w:rsidRDefault="00EB3BC8" w:rsidP="00EB3BC8">
      <w:pPr>
        <w:spacing w:after="0" w:line="240" w:lineRule="auto"/>
        <w:jc w:val="center"/>
        <w:rPr>
          <w:rFonts w:cstheme="minorHAnsi"/>
          <w:sz w:val="18"/>
          <w:szCs w:val="20"/>
        </w:rPr>
      </w:pPr>
      <w:r w:rsidRPr="00A33B78">
        <w:rPr>
          <w:rFonts w:cstheme="minorHAnsi"/>
          <w:sz w:val="18"/>
          <w:szCs w:val="20"/>
        </w:rPr>
        <w:t>Aguaclara - Gamarra</w:t>
      </w:r>
    </w:p>
    <w:p w:rsidR="00EB3BC8" w:rsidRDefault="00EB3BC8" w:rsidP="00EB3BC8">
      <w:pPr>
        <w:spacing w:line="240" w:lineRule="auto"/>
      </w:pPr>
    </w:p>
    <w:p w:rsidR="00EB3BC8" w:rsidRDefault="00EB3BC8" w:rsidP="00EB3BC8">
      <w:pPr>
        <w:spacing w:line="240" w:lineRule="auto"/>
      </w:pPr>
    </w:p>
    <w:p w:rsidR="00EB3BC8" w:rsidRDefault="00EB3BC8" w:rsidP="00A33B78">
      <w:pPr>
        <w:spacing w:after="0" w:line="240" w:lineRule="auto"/>
        <w:jc w:val="both"/>
        <w:rPr>
          <w:rFonts w:ascii="Calibri" w:hAnsi="Calibri" w:cs="Calibri"/>
          <w:b/>
          <w:lang w:val="es-ES"/>
        </w:rPr>
      </w:pPr>
      <w:r w:rsidRPr="00A33B78">
        <w:rPr>
          <w:rFonts w:ascii="Calibri" w:hAnsi="Calibri" w:cs="Calibri"/>
          <w:b/>
          <w:lang w:val="es-ES"/>
        </w:rPr>
        <w:t>2.  INFORME DE GESTION PROYECTO PEREIRA – LA VICTORIA</w:t>
      </w:r>
    </w:p>
    <w:p w:rsidR="00A33B78" w:rsidRPr="00A33B78" w:rsidRDefault="00A33B78" w:rsidP="00A33B78">
      <w:pPr>
        <w:spacing w:after="0" w:line="240" w:lineRule="auto"/>
        <w:jc w:val="both"/>
        <w:rPr>
          <w:rFonts w:ascii="Calibri" w:hAnsi="Calibri" w:cs="Calibri"/>
          <w:b/>
          <w:lang w:val="es-ES"/>
        </w:rPr>
      </w:pPr>
    </w:p>
    <w:p w:rsidR="00EB3BC8" w:rsidRPr="008E46E8" w:rsidRDefault="00742646" w:rsidP="00EB3BC8">
      <w:pPr>
        <w:spacing w:line="240" w:lineRule="auto"/>
        <w:jc w:val="both"/>
        <w:rPr>
          <w:rFonts w:cstheme="minorHAnsi"/>
          <w:b/>
          <w:lang w:val="es-ES"/>
        </w:rPr>
      </w:pPr>
      <w:r>
        <w:rPr>
          <w:rFonts w:cstheme="minorHAnsi"/>
          <w:b/>
          <w:lang w:val="es-ES"/>
        </w:rPr>
        <w:t>G</w:t>
      </w:r>
      <w:r w:rsidRPr="008E46E8">
        <w:rPr>
          <w:rFonts w:cstheme="minorHAnsi"/>
          <w:b/>
          <w:lang w:val="es-ES"/>
        </w:rPr>
        <w:t>eneralidades del contrato de concesión</w:t>
      </w:r>
    </w:p>
    <w:p w:rsidR="00EB3BC8" w:rsidRPr="008E46E8" w:rsidRDefault="00EB3BC8" w:rsidP="00A33B78">
      <w:pPr>
        <w:spacing w:after="0" w:line="240" w:lineRule="auto"/>
        <w:ind w:left="360"/>
        <w:rPr>
          <w:rFonts w:cstheme="minorHAnsi"/>
          <w:color w:val="000000"/>
        </w:rPr>
      </w:pPr>
      <w:r w:rsidRPr="008E46E8">
        <w:rPr>
          <w:rFonts w:cstheme="minorHAnsi"/>
          <w:b/>
          <w:color w:val="000000"/>
        </w:rPr>
        <w:t xml:space="preserve">Contrato: </w:t>
      </w:r>
      <w:r w:rsidRPr="008E46E8">
        <w:rPr>
          <w:rFonts w:cstheme="minorHAnsi"/>
          <w:color w:val="000000"/>
        </w:rPr>
        <w:t>GG – 046 – 2004</w:t>
      </w:r>
    </w:p>
    <w:p w:rsidR="00EB3BC8" w:rsidRPr="008E46E8" w:rsidRDefault="00EB3BC8" w:rsidP="00A33B78">
      <w:pPr>
        <w:tabs>
          <w:tab w:val="left" w:pos="426"/>
        </w:tabs>
        <w:spacing w:after="0" w:line="240" w:lineRule="auto"/>
        <w:ind w:left="360"/>
        <w:jc w:val="both"/>
        <w:rPr>
          <w:rFonts w:cstheme="minorHAnsi"/>
          <w:color w:val="000000"/>
        </w:rPr>
      </w:pPr>
      <w:r w:rsidRPr="008E46E8">
        <w:rPr>
          <w:rFonts w:cstheme="minorHAnsi"/>
          <w:b/>
          <w:color w:val="000000"/>
        </w:rPr>
        <w:lastRenderedPageBreak/>
        <w:t>Objeto:</w:t>
      </w:r>
      <w:r w:rsidRPr="008E46E8">
        <w:rPr>
          <w:rFonts w:cstheme="minorHAnsi"/>
          <w:b/>
          <w:color w:val="000000"/>
        </w:rPr>
        <w:tab/>
      </w:r>
      <w:r w:rsidRPr="008E46E8">
        <w:rPr>
          <w:rFonts w:cstheme="minorHAnsi"/>
          <w:color w:val="000000"/>
        </w:rPr>
        <w:t>Elaboración de los estudios y diseños definitivos, la gestión predial, las obras de  construcción, mejoramiento y rehabilitación, la operación, el mantenimiento, la financiación, la prestación de servicios y el uso de los bienes cedidos al INCO, dados en concesión, para la cabal ejecución del proyecto vial “Pereira – La Victoria”</w:t>
      </w:r>
    </w:p>
    <w:p w:rsidR="00EB3BC8" w:rsidRPr="008E46E8" w:rsidRDefault="00EB3BC8" w:rsidP="00A33B78">
      <w:pPr>
        <w:spacing w:after="0" w:line="240" w:lineRule="auto"/>
        <w:ind w:left="360"/>
        <w:rPr>
          <w:rFonts w:cstheme="minorHAnsi"/>
          <w:color w:val="000000"/>
        </w:rPr>
      </w:pPr>
      <w:r w:rsidRPr="008E46E8">
        <w:rPr>
          <w:rFonts w:cstheme="minorHAnsi"/>
          <w:b/>
          <w:color w:val="000000"/>
        </w:rPr>
        <w:t>Peajes:</w:t>
      </w:r>
      <w:r w:rsidRPr="008E46E8">
        <w:rPr>
          <w:rFonts w:cstheme="minorHAnsi"/>
          <w:color w:val="000000"/>
        </w:rPr>
        <w:t xml:space="preserve"> Cerritos II</w:t>
      </w:r>
    </w:p>
    <w:p w:rsidR="00EB3BC8" w:rsidRPr="008E46E8" w:rsidRDefault="00EB3BC8" w:rsidP="00A33B78">
      <w:pPr>
        <w:tabs>
          <w:tab w:val="left" w:pos="426"/>
        </w:tabs>
        <w:spacing w:after="0" w:line="240" w:lineRule="auto"/>
        <w:ind w:left="360"/>
        <w:rPr>
          <w:rFonts w:cstheme="minorHAnsi"/>
          <w:color w:val="000000"/>
        </w:rPr>
      </w:pPr>
      <w:r w:rsidRPr="008E46E8">
        <w:rPr>
          <w:rFonts w:cstheme="minorHAnsi"/>
          <w:b/>
          <w:color w:val="000000"/>
        </w:rPr>
        <w:t xml:space="preserve">Valor: </w:t>
      </w:r>
      <w:r w:rsidRPr="008E46E8">
        <w:rPr>
          <w:rFonts w:cstheme="minorHAnsi"/>
          <w:color w:val="000000"/>
        </w:rPr>
        <w:t>$367.809.000.000</w:t>
      </w:r>
    </w:p>
    <w:p w:rsidR="00EB3BC8" w:rsidRPr="008E46E8" w:rsidRDefault="00EB3BC8" w:rsidP="00A33B78">
      <w:pPr>
        <w:spacing w:after="0" w:line="240" w:lineRule="auto"/>
        <w:ind w:left="360"/>
        <w:rPr>
          <w:rFonts w:cstheme="minorHAnsi"/>
          <w:color w:val="000000"/>
        </w:rPr>
      </w:pPr>
      <w:r w:rsidRPr="008E46E8">
        <w:rPr>
          <w:rFonts w:cstheme="minorHAnsi"/>
          <w:b/>
          <w:color w:val="000000"/>
        </w:rPr>
        <w:t xml:space="preserve">Fecha iniciación etapa de construcción: </w:t>
      </w:r>
      <w:r w:rsidRPr="008E46E8">
        <w:rPr>
          <w:rFonts w:cstheme="minorHAnsi"/>
          <w:color w:val="000000"/>
        </w:rPr>
        <w:t>Marzo 28 de 2005.</w:t>
      </w:r>
    </w:p>
    <w:p w:rsidR="00EB3BC8" w:rsidRPr="008E46E8" w:rsidRDefault="00EB3BC8" w:rsidP="00A33B78">
      <w:pPr>
        <w:spacing w:after="0" w:line="240" w:lineRule="auto"/>
        <w:ind w:left="360"/>
        <w:rPr>
          <w:rFonts w:cstheme="minorHAnsi"/>
          <w:color w:val="000000"/>
        </w:rPr>
      </w:pPr>
      <w:r w:rsidRPr="008E46E8">
        <w:rPr>
          <w:rFonts w:cstheme="minorHAnsi"/>
          <w:b/>
          <w:color w:val="000000"/>
        </w:rPr>
        <w:t xml:space="preserve">Inicio de operación: </w:t>
      </w:r>
      <w:r w:rsidRPr="008E46E8">
        <w:rPr>
          <w:rFonts w:cstheme="minorHAnsi"/>
          <w:color w:val="000000"/>
        </w:rPr>
        <w:t>Octubre 28 de 2011</w:t>
      </w:r>
    </w:p>
    <w:p w:rsidR="00EB3BC8" w:rsidRPr="008E46E8" w:rsidRDefault="00EB3BC8" w:rsidP="00A33B78">
      <w:pPr>
        <w:spacing w:after="0" w:line="240" w:lineRule="auto"/>
        <w:ind w:left="360"/>
        <w:rPr>
          <w:rFonts w:cstheme="minorHAnsi"/>
          <w:color w:val="000000"/>
        </w:rPr>
      </w:pPr>
      <w:r w:rsidRPr="008E46E8">
        <w:rPr>
          <w:rFonts w:cstheme="minorHAnsi"/>
          <w:b/>
          <w:color w:val="000000"/>
        </w:rPr>
        <w:t xml:space="preserve">Reversión y Terminación Etapa de operación: </w:t>
      </w:r>
      <w:r w:rsidRPr="008E46E8">
        <w:rPr>
          <w:rFonts w:cstheme="minorHAnsi"/>
          <w:color w:val="000000"/>
        </w:rPr>
        <w:t>Agosto de 2020</w:t>
      </w:r>
    </w:p>
    <w:p w:rsidR="00EB3BC8" w:rsidRPr="008E46E8" w:rsidRDefault="00EB3BC8" w:rsidP="00A33B78">
      <w:pPr>
        <w:spacing w:after="0" w:line="240" w:lineRule="auto"/>
        <w:ind w:left="360"/>
        <w:rPr>
          <w:rFonts w:cstheme="minorHAnsi"/>
          <w:color w:val="000000"/>
        </w:rPr>
      </w:pPr>
      <w:r w:rsidRPr="008E46E8">
        <w:rPr>
          <w:rFonts w:cstheme="minorHAnsi"/>
          <w:b/>
          <w:color w:val="000000"/>
        </w:rPr>
        <w:t xml:space="preserve">Longitud: </w:t>
      </w:r>
      <w:r w:rsidRPr="008E46E8">
        <w:rPr>
          <w:rFonts w:cstheme="minorHAnsi"/>
          <w:color w:val="000000"/>
        </w:rPr>
        <w:t>54.49</w:t>
      </w:r>
      <w:r w:rsidRPr="008E46E8">
        <w:rPr>
          <w:rFonts w:cstheme="minorHAnsi"/>
          <w:b/>
          <w:color w:val="000000"/>
        </w:rPr>
        <w:t xml:space="preserve"> </w:t>
      </w:r>
      <w:r w:rsidRPr="008E46E8">
        <w:rPr>
          <w:rFonts w:cstheme="minorHAnsi"/>
          <w:color w:val="000000"/>
        </w:rPr>
        <w:t xml:space="preserve"> Km de doble calzada terminada</w:t>
      </w:r>
    </w:p>
    <w:p w:rsidR="00EB3BC8" w:rsidRPr="008E46E8" w:rsidRDefault="00EB3BC8" w:rsidP="00A33B78">
      <w:pPr>
        <w:spacing w:after="0" w:line="240" w:lineRule="auto"/>
        <w:ind w:left="360"/>
        <w:rPr>
          <w:rFonts w:cstheme="minorHAnsi"/>
          <w:color w:val="000000"/>
        </w:rPr>
      </w:pPr>
      <w:r w:rsidRPr="008E46E8">
        <w:rPr>
          <w:rFonts w:cstheme="minorHAnsi"/>
          <w:lang w:val="es-ES"/>
        </w:rPr>
        <w:t>Proyecto terminado en el alcance básico y adicional al 99.5%</w:t>
      </w:r>
    </w:p>
    <w:p w:rsidR="00EB3BC8" w:rsidRPr="008E46E8" w:rsidRDefault="00EB3BC8" w:rsidP="00EB3BC8">
      <w:pPr>
        <w:spacing w:line="240" w:lineRule="auto"/>
        <w:rPr>
          <w:rFonts w:cstheme="minorHAnsi"/>
          <w:b/>
          <w:lang w:val="es-ES"/>
        </w:rPr>
      </w:pPr>
    </w:p>
    <w:p w:rsidR="00EB3BC8" w:rsidRPr="008E46E8" w:rsidRDefault="00CB0853" w:rsidP="00EB3BC8">
      <w:pPr>
        <w:spacing w:line="240" w:lineRule="auto"/>
        <w:rPr>
          <w:rFonts w:cstheme="minorHAnsi"/>
          <w:b/>
          <w:lang w:val="es-ES"/>
        </w:rPr>
      </w:pPr>
      <w:r>
        <w:rPr>
          <w:rFonts w:cstheme="minorHAnsi"/>
          <w:b/>
          <w:lang w:val="es-ES"/>
        </w:rPr>
        <w:t>T</w:t>
      </w:r>
      <w:r w:rsidRPr="008E46E8">
        <w:rPr>
          <w:rFonts w:cstheme="minorHAnsi"/>
          <w:b/>
          <w:lang w:val="es-ES"/>
        </w:rPr>
        <w:t xml:space="preserve">emas resueltos y/o por resolver: </w:t>
      </w:r>
    </w:p>
    <w:p w:rsidR="00EB3BC8" w:rsidRPr="008E46E8" w:rsidRDefault="00EB3BC8" w:rsidP="008E46E8">
      <w:pPr>
        <w:spacing w:line="240" w:lineRule="auto"/>
        <w:jc w:val="both"/>
        <w:rPr>
          <w:rFonts w:cstheme="minorHAnsi"/>
          <w:lang w:eastAsia="es-ES_tradnl"/>
        </w:rPr>
      </w:pPr>
      <w:r w:rsidRPr="008E46E8">
        <w:rPr>
          <w:rFonts w:cstheme="minorHAnsi"/>
          <w:b/>
          <w:lang w:eastAsia="es-ES_tradnl"/>
        </w:rPr>
        <w:t>OTROSI 28:</w:t>
      </w:r>
      <w:r w:rsidRPr="008E46E8">
        <w:rPr>
          <w:rFonts w:cstheme="minorHAnsi"/>
          <w:lang w:eastAsia="es-ES_tradnl"/>
        </w:rPr>
        <w:t xml:space="preserve"> Después de realizar a finales del año 2013 y comienzos del 2014, varias </w:t>
      </w:r>
      <w:r w:rsidRPr="008E46E8">
        <w:rPr>
          <w:rFonts w:cstheme="minorHAnsi"/>
          <w:b/>
          <w:lang w:val="es-ES"/>
        </w:rPr>
        <w:t xml:space="preserve">mesas de trabajo en </w:t>
      </w:r>
      <w:r w:rsidRPr="008E46E8">
        <w:rPr>
          <w:rFonts w:cstheme="minorHAnsi"/>
          <w:lang w:val="es-ES"/>
        </w:rPr>
        <w:t>las que se contó con el apoyo del equipo de trabajo del pro</w:t>
      </w:r>
      <w:r w:rsidRPr="008E46E8">
        <w:rPr>
          <w:rFonts w:cstheme="minorHAnsi"/>
          <w:lang w:eastAsia="es-ES_tradnl"/>
        </w:rPr>
        <w:t xml:space="preserve">yecto,  la interventoría y el concesionario,  se firmó en febrero 28 de 2014 el otrosí </w:t>
      </w:r>
      <w:r w:rsidRPr="008E46E8">
        <w:rPr>
          <w:rFonts w:cstheme="minorHAnsi"/>
          <w:lang w:val="es-ES"/>
        </w:rPr>
        <w:t>No 28 de 2014. A la fecha se ha ejecutado el 85% aprox. de la inversión pactada en este Otrosí.</w:t>
      </w:r>
      <w:r w:rsidRPr="008E46E8">
        <w:rPr>
          <w:rFonts w:eastAsia="Times New Roman" w:cstheme="minorHAnsi"/>
          <w:u w:val="dotted"/>
          <w:lang w:val="es-ES" w:eastAsia="es-ES"/>
        </w:rPr>
        <w:t xml:space="preserve">                                                                      </w:t>
      </w:r>
    </w:p>
    <w:p w:rsidR="00EB3BC8" w:rsidRPr="008E46E8" w:rsidRDefault="00EB3BC8" w:rsidP="00EB3BC8">
      <w:pPr>
        <w:spacing w:line="240" w:lineRule="auto"/>
        <w:ind w:left="360"/>
        <w:contextualSpacing/>
        <w:jc w:val="both"/>
        <w:rPr>
          <w:rFonts w:cstheme="minorHAnsi"/>
          <w:b/>
        </w:rPr>
      </w:pPr>
      <w:r w:rsidRPr="008E46E8">
        <w:rPr>
          <w:rFonts w:cstheme="minorHAnsi"/>
          <w:b/>
        </w:rPr>
        <w:t xml:space="preserve">TABLA No. 1 OBRAS del OTROSI 28 - SUSTITUTAS ($ dic 2013) </w:t>
      </w:r>
    </w:p>
    <w:p w:rsidR="00EB3BC8" w:rsidRPr="003E356D" w:rsidRDefault="00EB3BC8" w:rsidP="00EB3BC8">
      <w:pPr>
        <w:spacing w:line="240" w:lineRule="auto"/>
        <w:contextualSpacing/>
        <w:jc w:val="both"/>
        <w:rPr>
          <w:rFonts w:ascii="Arial Narrow" w:hAnsi="Arial Narrow"/>
        </w:rPr>
      </w:pPr>
    </w:p>
    <w:p w:rsidR="00EB3BC8" w:rsidRPr="003E356D" w:rsidRDefault="00EB3BC8" w:rsidP="00EB3BC8">
      <w:pPr>
        <w:spacing w:line="240" w:lineRule="auto"/>
        <w:contextualSpacing/>
        <w:jc w:val="both"/>
        <w:rPr>
          <w:rFonts w:ascii="Arial Narrow" w:hAnsi="Arial Narrow"/>
        </w:rPr>
      </w:pPr>
      <w:r w:rsidRPr="003E356D">
        <w:rPr>
          <w:noProof/>
          <w:color w:val="000000"/>
          <w:lang w:eastAsia="es-MX"/>
        </w:rPr>
        <w:fldChar w:fldCharType="begin"/>
      </w:r>
      <w:r w:rsidRPr="003E356D">
        <w:rPr>
          <w:noProof/>
          <w:color w:val="000000"/>
          <w:lang w:eastAsia="es-MX"/>
        </w:rPr>
        <w:instrText xml:space="preserve"> INCLUDEPICTURE  "cid:6ded9049-9e59-446e-ad46-c798684ca8f4" \* MERGEFORMATINET </w:instrText>
      </w:r>
      <w:r w:rsidRPr="003E356D">
        <w:rPr>
          <w:noProof/>
          <w:color w:val="000000"/>
          <w:lang w:eastAsia="es-MX"/>
        </w:rPr>
        <w:fldChar w:fldCharType="separate"/>
      </w:r>
      <w:r w:rsidRPr="003E356D">
        <w:rPr>
          <w:noProof/>
          <w:color w:val="000000"/>
          <w:lang w:eastAsia="es-MX"/>
        </w:rPr>
        <w:fldChar w:fldCharType="begin"/>
      </w:r>
      <w:r w:rsidRPr="003E356D">
        <w:rPr>
          <w:noProof/>
          <w:color w:val="000000"/>
          <w:lang w:eastAsia="es-MX"/>
        </w:rPr>
        <w:instrText xml:space="preserve"> INCLUDEPICTURE  "cid:6ded9049-9e59-446e-ad46-c798684ca8f4" \* MERGEFORMATINET </w:instrText>
      </w:r>
      <w:r w:rsidRPr="003E356D">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Pr>
          <w:noProof/>
          <w:color w:val="000000"/>
          <w:lang w:eastAsia="es-MX"/>
        </w:rPr>
        <w:fldChar w:fldCharType="begin"/>
      </w:r>
      <w:r>
        <w:rPr>
          <w:noProof/>
          <w:color w:val="000000"/>
          <w:lang w:eastAsia="es-MX"/>
        </w:rPr>
        <w:instrText xml:space="preserve"> INCLUDEPICTURE  "cid:6ded9049-9e59-446e-ad46-c798684ca8f4" \* MERGEFORMATINET </w:instrText>
      </w:r>
      <w:r>
        <w:rPr>
          <w:noProof/>
          <w:color w:val="000000"/>
          <w:lang w:eastAsia="es-MX"/>
        </w:rPr>
        <w:fldChar w:fldCharType="separate"/>
      </w:r>
      <w:r w:rsidR="00AE300A">
        <w:rPr>
          <w:noProof/>
          <w:color w:val="000000"/>
          <w:lang w:eastAsia="es-MX"/>
        </w:rPr>
        <w:fldChar w:fldCharType="begin"/>
      </w:r>
      <w:r w:rsidR="00AE300A">
        <w:rPr>
          <w:noProof/>
          <w:color w:val="000000"/>
          <w:lang w:eastAsia="es-MX"/>
        </w:rPr>
        <w:instrText xml:space="preserve"> INCLUDEPICTURE  "cid:6ded9049-9e59-446e-ad46-c798684ca8f4" \* MERGEFORMATINET </w:instrText>
      </w:r>
      <w:r w:rsidR="00AE300A">
        <w:rPr>
          <w:noProof/>
          <w:color w:val="000000"/>
          <w:lang w:eastAsia="es-MX"/>
        </w:rPr>
        <w:fldChar w:fldCharType="separate"/>
      </w:r>
      <w:r w:rsidR="00717E04">
        <w:rPr>
          <w:noProof/>
          <w:color w:val="000000"/>
          <w:lang w:eastAsia="es-MX"/>
        </w:rPr>
        <w:fldChar w:fldCharType="begin"/>
      </w:r>
      <w:r w:rsidR="00717E04">
        <w:rPr>
          <w:noProof/>
          <w:color w:val="000000"/>
          <w:lang w:eastAsia="es-MX"/>
        </w:rPr>
        <w:instrText xml:space="preserve"> INCLUDEPICTURE  "cid:6ded9049-9e59-446e-ad46-c798684ca8f4" \* MERGEFORMATINET </w:instrText>
      </w:r>
      <w:r w:rsidR="00717E04">
        <w:rPr>
          <w:noProof/>
          <w:color w:val="000000"/>
          <w:lang w:eastAsia="es-MX"/>
        </w:rPr>
        <w:fldChar w:fldCharType="separate"/>
      </w:r>
      <w:r w:rsidR="009D1EA7">
        <w:rPr>
          <w:noProof/>
          <w:color w:val="000000"/>
          <w:lang w:eastAsia="es-MX"/>
        </w:rPr>
        <w:fldChar w:fldCharType="begin"/>
      </w:r>
      <w:r w:rsidR="009D1EA7">
        <w:rPr>
          <w:noProof/>
          <w:color w:val="000000"/>
          <w:lang w:eastAsia="es-MX"/>
        </w:rPr>
        <w:instrText xml:space="preserve"> INCLUDEPICTURE  "cid:6ded9049-9e59-446e-ad46-c798684ca8f4" \* MERGEFORMATINET </w:instrText>
      </w:r>
      <w:r w:rsidR="009D1EA7">
        <w:rPr>
          <w:noProof/>
          <w:color w:val="000000"/>
          <w:lang w:eastAsia="es-MX"/>
        </w:rPr>
        <w:fldChar w:fldCharType="separate"/>
      </w:r>
      <w:r w:rsidR="0005003A">
        <w:rPr>
          <w:noProof/>
          <w:color w:val="000000"/>
          <w:lang w:eastAsia="es-MX"/>
        </w:rPr>
        <w:pict>
          <v:shape id="_x0000_i1025" type="#_x0000_t75" style="width:467.8pt;height:86.2pt;visibility:visible">
            <v:imagedata r:id="rId36" r:href="rId37"/>
          </v:shape>
        </w:pict>
      </w:r>
      <w:r w:rsidR="009D1EA7">
        <w:rPr>
          <w:noProof/>
          <w:color w:val="000000"/>
          <w:lang w:eastAsia="es-MX"/>
        </w:rPr>
        <w:fldChar w:fldCharType="end"/>
      </w:r>
      <w:r w:rsidR="00717E04">
        <w:rPr>
          <w:noProof/>
          <w:color w:val="000000"/>
          <w:lang w:eastAsia="es-MX"/>
        </w:rPr>
        <w:fldChar w:fldCharType="end"/>
      </w:r>
      <w:r w:rsidR="00AE300A">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Pr>
          <w:noProof/>
          <w:color w:val="000000"/>
          <w:lang w:eastAsia="es-MX"/>
        </w:rPr>
        <w:fldChar w:fldCharType="end"/>
      </w:r>
      <w:r w:rsidRPr="003E356D">
        <w:rPr>
          <w:noProof/>
          <w:color w:val="000000"/>
          <w:lang w:eastAsia="es-MX"/>
        </w:rPr>
        <w:fldChar w:fldCharType="end"/>
      </w:r>
      <w:r w:rsidRPr="003E356D">
        <w:rPr>
          <w:noProof/>
          <w:color w:val="000000"/>
          <w:lang w:eastAsia="es-MX"/>
        </w:rPr>
        <w:fldChar w:fldCharType="end"/>
      </w:r>
    </w:p>
    <w:p w:rsidR="00EB3BC8" w:rsidRPr="003E356D" w:rsidRDefault="00EB3BC8" w:rsidP="00EB3BC8">
      <w:pPr>
        <w:spacing w:line="240" w:lineRule="auto"/>
        <w:contextualSpacing/>
        <w:jc w:val="both"/>
        <w:rPr>
          <w:rFonts w:ascii="Arial Narrow" w:hAnsi="Arial Narrow"/>
          <w:b/>
        </w:rPr>
      </w:pPr>
      <w:r w:rsidRPr="003E356D">
        <w:rPr>
          <w:rFonts w:ascii="Arial Narrow" w:hAnsi="Arial Narrow"/>
          <w:b/>
        </w:rPr>
        <w:t xml:space="preserve">  </w:t>
      </w:r>
    </w:p>
    <w:p w:rsidR="00EB3BC8" w:rsidRPr="008E46E8" w:rsidRDefault="00CB0853" w:rsidP="00EB3BC8">
      <w:pPr>
        <w:spacing w:line="240" w:lineRule="auto"/>
        <w:jc w:val="both"/>
        <w:rPr>
          <w:rFonts w:cstheme="minorHAnsi"/>
          <w:b/>
        </w:rPr>
      </w:pPr>
      <w:r>
        <w:rPr>
          <w:rFonts w:cstheme="minorHAnsi"/>
          <w:b/>
        </w:rPr>
        <w:t>P</w:t>
      </w:r>
      <w:r w:rsidRPr="008E46E8">
        <w:rPr>
          <w:rFonts w:cstheme="minorHAnsi"/>
          <w:b/>
        </w:rPr>
        <w:t>rogramaci</w:t>
      </w:r>
      <w:r>
        <w:rPr>
          <w:rFonts w:cstheme="minorHAnsi"/>
          <w:b/>
        </w:rPr>
        <w:t>ó</w:t>
      </w:r>
      <w:r w:rsidRPr="008E46E8">
        <w:rPr>
          <w:rFonts w:cstheme="minorHAnsi"/>
          <w:b/>
        </w:rPr>
        <w:t>n y plazos</w:t>
      </w:r>
    </w:p>
    <w:p w:rsidR="00EB3BC8" w:rsidRPr="008E46E8" w:rsidRDefault="00EB3BC8" w:rsidP="00EB3BC8">
      <w:pPr>
        <w:spacing w:line="240" w:lineRule="auto"/>
        <w:jc w:val="both"/>
        <w:rPr>
          <w:rFonts w:cstheme="minorHAnsi"/>
          <w:lang w:eastAsia="es-ES_tradnl"/>
        </w:rPr>
      </w:pPr>
      <w:r w:rsidRPr="008E46E8">
        <w:rPr>
          <w:rFonts w:cstheme="minorHAnsi"/>
          <w:lang w:eastAsia="es-ES_tradnl"/>
        </w:rPr>
        <w:t>El Plazo total para la ejecución del otrosí 28 es de 18 meses contados a partir del Acta de Inicio para las actividades de pre construcción y construcción, incluida la gestión predial y ambiental. Plazo final: 28 agosto de 2015. Se inició la obra faltante de cicloruta, con la aprobación de la licencia Ambiental.</w:t>
      </w:r>
    </w:p>
    <w:p w:rsidR="00EB3BC8" w:rsidRPr="008E46E8" w:rsidRDefault="00EB3BC8" w:rsidP="00EB3BC8">
      <w:pPr>
        <w:spacing w:line="240" w:lineRule="auto"/>
        <w:jc w:val="both"/>
        <w:rPr>
          <w:rFonts w:cstheme="minorHAnsi"/>
          <w:lang w:eastAsia="es-ES_tradnl"/>
        </w:rPr>
      </w:pPr>
      <w:r w:rsidRPr="008E46E8">
        <w:rPr>
          <w:rFonts w:cstheme="minorHAnsi"/>
          <w:lang w:eastAsia="es-ES_tradnl"/>
        </w:rPr>
        <w:t>Terminadas de 3 de las 4 obras del Otrosí firmado el 28 de febrero de 2014: a) Retorno Abejones. b) Retorno Zaragoza. c) Acceso Doble Calzada Sector Almendros. La 4a obra Ciclo Ruta Parcial: Tramo Rural, se tramita una adición del plazo en 45 días.</w:t>
      </w:r>
    </w:p>
    <w:p w:rsidR="00EB3BC8" w:rsidRPr="008E46E8" w:rsidRDefault="00EB3BC8" w:rsidP="008E46E8">
      <w:pPr>
        <w:spacing w:line="240" w:lineRule="auto"/>
        <w:jc w:val="both"/>
        <w:rPr>
          <w:rFonts w:cstheme="minorHAnsi"/>
          <w:lang w:eastAsia="es-ES_tradnl"/>
        </w:rPr>
      </w:pPr>
      <w:r w:rsidRPr="008E46E8">
        <w:rPr>
          <w:rFonts w:cstheme="minorHAnsi"/>
          <w:b/>
          <w:lang w:eastAsia="es-ES_tradnl"/>
        </w:rPr>
        <w:t>OTROSI 23</w:t>
      </w:r>
      <w:r w:rsidRPr="008E46E8">
        <w:rPr>
          <w:rFonts w:cstheme="minorHAnsi"/>
          <w:lang w:eastAsia="es-ES_tradnl"/>
        </w:rPr>
        <w:t>.</w:t>
      </w:r>
    </w:p>
    <w:p w:rsidR="00EB3BC8" w:rsidRPr="008E46E8" w:rsidRDefault="00EB3BC8" w:rsidP="000021B2">
      <w:pPr>
        <w:numPr>
          <w:ilvl w:val="0"/>
          <w:numId w:val="61"/>
        </w:numPr>
        <w:spacing w:line="240" w:lineRule="auto"/>
        <w:rPr>
          <w:rFonts w:cstheme="minorHAnsi"/>
          <w:lang w:val="es-ES"/>
        </w:rPr>
      </w:pPr>
      <w:r w:rsidRPr="008E46E8">
        <w:rPr>
          <w:rFonts w:cstheme="minorHAnsi"/>
          <w:lang w:val="es-ES"/>
        </w:rPr>
        <w:t>Se terminaron las obras del MIRADOR, que estaban pendientes del Otrosí 23. Ejecutado el 100%.</w:t>
      </w:r>
    </w:p>
    <w:p w:rsidR="00EB3BC8" w:rsidRPr="008E46E8" w:rsidRDefault="00EB3BC8" w:rsidP="000021B2">
      <w:pPr>
        <w:numPr>
          <w:ilvl w:val="0"/>
          <w:numId w:val="61"/>
        </w:numPr>
        <w:spacing w:line="240" w:lineRule="auto"/>
        <w:rPr>
          <w:rFonts w:cstheme="minorHAnsi"/>
          <w:lang w:val="es-ES"/>
        </w:rPr>
      </w:pPr>
      <w:r w:rsidRPr="008E46E8">
        <w:rPr>
          <w:rFonts w:cstheme="minorHAnsi"/>
          <w:lang w:val="es-ES"/>
        </w:rPr>
        <w:t>Tema Piñeros :</w:t>
      </w:r>
    </w:p>
    <w:p w:rsidR="00EB3BC8" w:rsidRPr="008E46E8" w:rsidRDefault="00EB3BC8" w:rsidP="00EB3BC8">
      <w:pPr>
        <w:spacing w:line="240" w:lineRule="auto"/>
        <w:jc w:val="both"/>
        <w:rPr>
          <w:rFonts w:cstheme="minorHAnsi"/>
          <w:lang w:val="es-ES"/>
        </w:rPr>
      </w:pPr>
      <w:r w:rsidRPr="008E46E8">
        <w:rPr>
          <w:rFonts w:cstheme="minorHAnsi"/>
          <w:lang w:val="es-ES"/>
        </w:rPr>
        <w:t xml:space="preserve">Se suscribió Acta de Reunión el día 15 de abril, entre la ANI y el Alcalde de Pereira en la cual se aclaran y fijan  compromisos para solucionar la problemática de la  NO ocupación de 14 de las 56 casetas provistas para los vendedores de piña en el tramo Cartago – Pereira y el No recibo por parte </w:t>
      </w:r>
      <w:r w:rsidRPr="008E46E8">
        <w:rPr>
          <w:rFonts w:cstheme="minorHAnsi"/>
          <w:lang w:val="es-ES"/>
        </w:rPr>
        <w:lastRenderedPageBreak/>
        <w:t>el Municipio de las  56 casetas. Se acordó que el saldo del Convenio se utilice para la adecuación de las casetas y su remodelación. También se acordó la firma de una Acta de Balance Final</w:t>
      </w:r>
    </w:p>
    <w:p w:rsidR="00EB3BC8" w:rsidRPr="008E46E8" w:rsidRDefault="008E46E8" w:rsidP="008E46E8">
      <w:pPr>
        <w:spacing w:line="240" w:lineRule="auto"/>
        <w:jc w:val="both"/>
        <w:rPr>
          <w:rFonts w:cstheme="minorHAnsi"/>
          <w:b/>
          <w:lang w:val="es-ES"/>
        </w:rPr>
      </w:pPr>
      <w:r>
        <w:rPr>
          <w:rFonts w:cstheme="minorHAnsi"/>
          <w:b/>
          <w:lang w:val="es-ES"/>
        </w:rPr>
        <w:t>Plan De Mejoramiento P</w:t>
      </w:r>
      <w:r w:rsidRPr="008E46E8">
        <w:rPr>
          <w:rFonts w:cstheme="minorHAnsi"/>
          <w:b/>
          <w:lang w:val="es-ES"/>
        </w:rPr>
        <w:t xml:space="preserve">ara </w:t>
      </w:r>
      <w:r>
        <w:rPr>
          <w:rFonts w:cstheme="minorHAnsi"/>
          <w:b/>
          <w:lang w:val="es-ES"/>
        </w:rPr>
        <w:t>l</w:t>
      </w:r>
      <w:r w:rsidRPr="008E46E8">
        <w:rPr>
          <w:rFonts w:cstheme="minorHAnsi"/>
          <w:b/>
          <w:lang w:val="es-ES"/>
        </w:rPr>
        <w:t>a Contraloría</w:t>
      </w:r>
    </w:p>
    <w:p w:rsidR="00EB3BC8" w:rsidRPr="008E46E8" w:rsidRDefault="00EB3BC8" w:rsidP="00EB3BC8">
      <w:pPr>
        <w:spacing w:line="240" w:lineRule="auto"/>
        <w:jc w:val="both"/>
        <w:rPr>
          <w:rFonts w:cstheme="minorHAnsi"/>
          <w:lang w:eastAsia="es-ES_tradnl"/>
        </w:rPr>
      </w:pPr>
      <w:r w:rsidRPr="008E46E8">
        <w:rPr>
          <w:rFonts w:cstheme="minorHAnsi"/>
          <w:lang w:eastAsia="es-ES_tradnl"/>
        </w:rPr>
        <w:t>Se entregó a la Oficina de Control Interno la matriz actualizada con los 14 hallazgos. De los cuales valido 10 con el 100% de cumplimiento.</w:t>
      </w:r>
    </w:p>
    <w:p w:rsidR="00EB3BC8" w:rsidRDefault="00EB3BC8" w:rsidP="00EB3BC8">
      <w:pPr>
        <w:pStyle w:val="NormalWeb"/>
        <w:shd w:val="clear" w:color="auto" w:fill="FFFFFF"/>
        <w:jc w:val="both"/>
        <w:rPr>
          <w:rFonts w:asciiTheme="minorHAnsi" w:eastAsia="Calibri" w:hAnsiTheme="minorHAnsi" w:cstheme="minorHAnsi"/>
          <w:sz w:val="22"/>
          <w:szCs w:val="22"/>
          <w:lang w:eastAsia="es-ES_tradnl"/>
        </w:rPr>
      </w:pPr>
      <w:r w:rsidRPr="008E46E8">
        <w:rPr>
          <w:rFonts w:asciiTheme="minorHAnsi" w:eastAsia="Calibri" w:hAnsiTheme="minorHAnsi" w:cstheme="minorHAnsi"/>
          <w:sz w:val="22"/>
          <w:szCs w:val="22"/>
          <w:lang w:eastAsia="es-ES_tradnl"/>
        </w:rPr>
        <w:t>Pendiente que la ANI desarrolle las acciones legales  que  resulten del  Hallazgo 63. Hallazgo Administrativo, Disciplinario y Fiscal - Modelo Financiero. Se evidencia un mayor beneficio en cuantía de $81.915.8 millones a 31 de diciembre de 2011 medido en valor presente (VPN) a favor del Concesionario, ocasionado por las modificaciones contractuales de los otrosíes 2, 5 y 8 y desplazamiento de los cronogramas, generando un desequilibrio de la ecuación contractual en contra de los intereses del Estado, por cuanto no recibió las obras oportunamente de acuerdo a lo previsto contractualmente.</w:t>
      </w:r>
    </w:p>
    <w:p w:rsidR="008E46E8" w:rsidRPr="008E46E8" w:rsidRDefault="008E46E8" w:rsidP="00EB3BC8">
      <w:pPr>
        <w:pStyle w:val="NormalWeb"/>
        <w:shd w:val="clear" w:color="auto" w:fill="FFFFFF"/>
        <w:jc w:val="both"/>
        <w:rPr>
          <w:rFonts w:asciiTheme="minorHAnsi" w:eastAsia="Calibri" w:hAnsiTheme="minorHAnsi" w:cstheme="minorHAnsi"/>
          <w:sz w:val="22"/>
          <w:szCs w:val="22"/>
          <w:lang w:eastAsia="es-ES_tradnl"/>
        </w:rPr>
      </w:pPr>
    </w:p>
    <w:p w:rsidR="00EB3BC8" w:rsidRPr="008E46E8" w:rsidRDefault="00EB3BC8" w:rsidP="008E46E8">
      <w:pPr>
        <w:spacing w:line="240" w:lineRule="auto"/>
        <w:rPr>
          <w:rFonts w:cstheme="minorHAnsi"/>
          <w:b/>
          <w:lang w:val="es-ES"/>
        </w:rPr>
      </w:pPr>
      <w:r w:rsidRPr="008E46E8">
        <w:rPr>
          <w:rFonts w:cstheme="minorHAnsi"/>
          <w:b/>
          <w:lang w:val="es-ES"/>
        </w:rPr>
        <w:t xml:space="preserve">Designación Asesor de Ingeniería solución de controversias contractuales  </w:t>
      </w:r>
    </w:p>
    <w:p w:rsidR="00EB3BC8" w:rsidRPr="008E46E8" w:rsidRDefault="00EB3BC8" w:rsidP="00EB3BC8">
      <w:pPr>
        <w:spacing w:line="240" w:lineRule="auto"/>
        <w:jc w:val="both"/>
        <w:rPr>
          <w:rFonts w:cstheme="minorHAnsi"/>
          <w:lang w:eastAsia="es-ES_tradnl"/>
        </w:rPr>
      </w:pPr>
      <w:r w:rsidRPr="008E46E8">
        <w:rPr>
          <w:rFonts w:cstheme="minorHAnsi"/>
          <w:lang w:eastAsia="es-ES_tradnl"/>
        </w:rPr>
        <w:t>La Oficina de Defensa Judicial aun no emite pronunciamiento respecto a la modificación de la Cláusula Contractual  de solución de controversias: AMIGABLE COMPONEDOR solicitada por la firma concesionaria</w:t>
      </w:r>
    </w:p>
    <w:p w:rsidR="00EB3BC8" w:rsidRPr="008E46E8" w:rsidRDefault="00EB3BC8" w:rsidP="008E46E8">
      <w:pPr>
        <w:spacing w:line="240" w:lineRule="auto"/>
        <w:rPr>
          <w:rFonts w:cstheme="minorHAnsi"/>
          <w:b/>
          <w:lang w:val="es-ES"/>
        </w:rPr>
      </w:pPr>
      <w:bookmarkStart w:id="64" w:name="_Toc345571079"/>
      <w:r w:rsidRPr="008E46E8">
        <w:rPr>
          <w:rFonts w:cstheme="minorHAnsi"/>
          <w:b/>
          <w:lang w:val="es-ES"/>
        </w:rPr>
        <w:t>TEMA Predial</w:t>
      </w:r>
      <w:bookmarkEnd w:id="64"/>
      <w:r w:rsidRPr="008E46E8">
        <w:rPr>
          <w:rFonts w:cstheme="minorHAnsi"/>
          <w:b/>
          <w:lang w:val="es-ES"/>
        </w:rPr>
        <w:t xml:space="preserve">/ saldo Subcuenta 2 ANI. SALDOS DE LA ANI Y DEUDAS CON EL CONCESIONARIO </w:t>
      </w:r>
    </w:p>
    <w:p w:rsidR="00EB3BC8" w:rsidRPr="008E46E8" w:rsidRDefault="00EB3BC8" w:rsidP="00EB3BC8">
      <w:pPr>
        <w:spacing w:after="0" w:line="240" w:lineRule="auto"/>
        <w:jc w:val="both"/>
        <w:rPr>
          <w:rFonts w:cstheme="minorHAnsi"/>
          <w:color w:val="000000"/>
        </w:rPr>
      </w:pPr>
    </w:p>
    <w:p w:rsidR="00EB3BC8" w:rsidRPr="008E46E8" w:rsidRDefault="00EB3BC8" w:rsidP="000021B2">
      <w:pPr>
        <w:numPr>
          <w:ilvl w:val="0"/>
          <w:numId w:val="62"/>
        </w:numPr>
        <w:spacing w:after="0" w:line="240" w:lineRule="auto"/>
        <w:jc w:val="both"/>
        <w:rPr>
          <w:rFonts w:cstheme="minorHAnsi"/>
          <w:color w:val="000000"/>
        </w:rPr>
      </w:pPr>
      <w:r w:rsidRPr="008E46E8">
        <w:rPr>
          <w:rFonts w:cstheme="minorHAnsi"/>
          <w:color w:val="000000"/>
        </w:rPr>
        <w:t>Se definió el tema de saldo subcuenta predial ANI:</w:t>
      </w:r>
    </w:p>
    <w:p w:rsidR="00EB3BC8" w:rsidRPr="008E46E8" w:rsidRDefault="00EB3BC8" w:rsidP="00EB3BC8">
      <w:pPr>
        <w:spacing w:after="0" w:line="240" w:lineRule="auto"/>
        <w:jc w:val="both"/>
        <w:rPr>
          <w:rFonts w:cstheme="minorHAnsi"/>
          <w:color w:val="000000"/>
        </w:rPr>
      </w:pPr>
    </w:p>
    <w:p w:rsidR="00EB3BC8" w:rsidRPr="008E46E8" w:rsidRDefault="00EB3BC8" w:rsidP="00EB3BC8">
      <w:pPr>
        <w:spacing w:after="0" w:line="240" w:lineRule="auto"/>
        <w:jc w:val="both"/>
        <w:rPr>
          <w:rFonts w:cstheme="minorHAnsi"/>
          <w:color w:val="000000"/>
        </w:rPr>
      </w:pPr>
      <w:r w:rsidRPr="008E46E8">
        <w:rPr>
          <w:rFonts w:cstheme="minorHAnsi"/>
          <w:color w:val="000000"/>
        </w:rPr>
        <w:t>En comunicación No  2015 – 305 – 007387 – 1 del 10/04/2015, la AGENCIA NACIONAL DE INFRAESTRUCTURA requirió a  la firma concesionaria para que a la mayor brevedad se dieran las instrucciones necesarias que garantizaran el traslado y consignación en la Fiducia Subcuenta Predios ANI del Encargo Fiduciario No 1210-854, la suma de $1.865.358.467.</w:t>
      </w:r>
    </w:p>
    <w:p w:rsidR="00EB3BC8" w:rsidRPr="008E46E8" w:rsidRDefault="00EB3BC8" w:rsidP="00EB3BC8">
      <w:pPr>
        <w:spacing w:after="0" w:line="240" w:lineRule="auto"/>
        <w:jc w:val="both"/>
        <w:rPr>
          <w:rFonts w:cstheme="minorHAnsi"/>
          <w:color w:val="000000"/>
        </w:rPr>
      </w:pPr>
    </w:p>
    <w:p w:rsidR="00EB3BC8" w:rsidRPr="008E46E8" w:rsidRDefault="00EB3BC8" w:rsidP="00EB3BC8">
      <w:pPr>
        <w:spacing w:after="0" w:line="240" w:lineRule="auto"/>
        <w:jc w:val="both"/>
        <w:rPr>
          <w:rFonts w:cstheme="minorHAnsi"/>
          <w:color w:val="000000"/>
        </w:rPr>
      </w:pPr>
      <w:r w:rsidRPr="008E46E8">
        <w:rPr>
          <w:rFonts w:cstheme="minorHAnsi"/>
          <w:color w:val="000000"/>
        </w:rPr>
        <w:t>La FIDUCIARIA emitió CERTIFICACION donde se evidencia el traslado de recursos.</w:t>
      </w:r>
    </w:p>
    <w:p w:rsidR="00EB3BC8" w:rsidRPr="008E46E8" w:rsidRDefault="00EB3BC8" w:rsidP="00EB3BC8">
      <w:pPr>
        <w:spacing w:after="0" w:line="240" w:lineRule="auto"/>
        <w:jc w:val="both"/>
        <w:rPr>
          <w:rFonts w:cstheme="minorHAnsi"/>
          <w:color w:val="000000"/>
        </w:rPr>
      </w:pPr>
    </w:p>
    <w:p w:rsidR="00EB3BC8" w:rsidRPr="008E46E8" w:rsidRDefault="00EB3BC8" w:rsidP="000021B2">
      <w:pPr>
        <w:pStyle w:val="Prrafodelista"/>
        <w:numPr>
          <w:ilvl w:val="0"/>
          <w:numId w:val="63"/>
        </w:numPr>
        <w:spacing w:after="240" w:line="240" w:lineRule="auto"/>
        <w:jc w:val="both"/>
        <w:rPr>
          <w:rFonts w:cstheme="minorHAnsi"/>
          <w:color w:val="000000"/>
          <w:lang w:bidi="en-US"/>
        </w:rPr>
      </w:pPr>
      <w:r w:rsidRPr="008E46E8">
        <w:rPr>
          <w:rFonts w:cstheme="minorHAnsi"/>
          <w:color w:val="000000"/>
        </w:rPr>
        <w:t>Se definió el valor de la deuda de la ANI con el  Concesionario predios  Alcance Condicional, en  ACTA DE RESULTADOS DE LA MESA FINANCIERA</w:t>
      </w:r>
      <w:r w:rsidRPr="008E46E8">
        <w:rPr>
          <w:rFonts w:cstheme="minorHAnsi"/>
          <w:color w:val="000000"/>
          <w:lang w:bidi="en-US"/>
        </w:rPr>
        <w:t xml:space="preserve">: Reclamación Predios Alcance Condicional </w:t>
      </w:r>
      <w:r w:rsidRPr="008E46E8">
        <w:rPr>
          <w:rFonts w:cstheme="minorHAnsi"/>
          <w:color w:val="000000"/>
        </w:rPr>
        <w:t xml:space="preserve">Acta de fecha </w:t>
      </w:r>
      <w:r w:rsidRPr="008E46E8">
        <w:rPr>
          <w:rFonts w:cstheme="minorHAnsi"/>
          <w:color w:val="000000"/>
          <w:lang w:bidi="en-US"/>
        </w:rPr>
        <w:t xml:space="preserve">2 de Julio de 2015: </w:t>
      </w:r>
    </w:p>
    <w:p w:rsidR="00EB3BC8" w:rsidRPr="008E46E8" w:rsidRDefault="00EB3BC8" w:rsidP="00EB3BC8">
      <w:pPr>
        <w:pStyle w:val="Prrafodelista"/>
        <w:spacing w:after="0" w:line="240" w:lineRule="auto"/>
        <w:jc w:val="both"/>
        <w:rPr>
          <w:rFonts w:cstheme="minorHAnsi"/>
          <w:color w:val="000000"/>
        </w:rPr>
      </w:pPr>
    </w:p>
    <w:p w:rsidR="00EB3BC8" w:rsidRPr="008E46E8" w:rsidRDefault="00EB3BC8" w:rsidP="00EB3BC8">
      <w:pPr>
        <w:pStyle w:val="Prrafodelista"/>
        <w:spacing w:after="240" w:line="240" w:lineRule="auto"/>
        <w:jc w:val="both"/>
        <w:rPr>
          <w:rFonts w:cstheme="minorHAnsi"/>
          <w:color w:val="000000"/>
        </w:rPr>
      </w:pPr>
      <w:r w:rsidRPr="008E46E8">
        <w:rPr>
          <w:rFonts w:cstheme="minorHAnsi"/>
          <w:color w:val="000000"/>
          <w:lang w:bidi="en-US"/>
        </w:rPr>
        <w:t xml:space="preserve">En Comunicación radicado por el concesionario No 2015-409- 040786-2 que contiene los siguientes ITEMS de deuda al concesionario liquidados a 31 de mayo y según metodología </w:t>
      </w:r>
      <w:r w:rsidRPr="008E46E8">
        <w:rPr>
          <w:rFonts w:cstheme="minorHAnsi"/>
          <w:color w:val="000000"/>
          <w:lang w:bidi="en-US"/>
        </w:rPr>
        <w:tab/>
        <w:t>acordada:</w:t>
      </w:r>
      <w:r w:rsidRPr="008E46E8">
        <w:rPr>
          <w:rFonts w:cstheme="minorHAnsi"/>
          <w:color w:val="000000"/>
        </w:rPr>
        <w:t xml:space="preserve"> </w:t>
      </w:r>
    </w:p>
    <w:p w:rsidR="00EB3BC8" w:rsidRDefault="00EB3BC8" w:rsidP="00EB3BC8">
      <w:pPr>
        <w:spacing w:line="240" w:lineRule="auto"/>
        <w:jc w:val="both"/>
        <w:rPr>
          <w:color w:val="000000"/>
        </w:rPr>
      </w:pPr>
      <w:r w:rsidRPr="00A04AFA">
        <w:rPr>
          <w:noProof/>
          <w:color w:val="000000"/>
        </w:rPr>
        <w:drawing>
          <wp:inline distT="0" distB="0" distL="0" distR="0" wp14:anchorId="0C4BB695" wp14:editId="4FA81BA3">
            <wp:extent cx="5479576" cy="1190397"/>
            <wp:effectExtent l="0" t="0" r="698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5339" cy="1195994"/>
                    </a:xfrm>
                    <a:prstGeom prst="rect">
                      <a:avLst/>
                    </a:prstGeom>
                    <a:noFill/>
                    <a:ln>
                      <a:noFill/>
                    </a:ln>
                  </pic:spPr>
                </pic:pic>
              </a:graphicData>
            </a:graphic>
          </wp:inline>
        </w:drawing>
      </w:r>
    </w:p>
    <w:p w:rsidR="00EB3BC8" w:rsidRPr="008E46E8" w:rsidRDefault="00EB3BC8" w:rsidP="00EB3BC8">
      <w:pPr>
        <w:spacing w:line="240" w:lineRule="auto"/>
        <w:jc w:val="both"/>
        <w:rPr>
          <w:rFonts w:cstheme="minorHAnsi"/>
          <w:spacing w:val="-3"/>
        </w:rPr>
      </w:pPr>
      <w:r w:rsidRPr="008E46E8">
        <w:rPr>
          <w:rFonts w:cstheme="minorHAnsi"/>
          <w:spacing w:val="-3"/>
          <w:lang w:val="es-ES" w:eastAsia="es-ES"/>
        </w:rPr>
        <w:lastRenderedPageBreak/>
        <w:t>L</w:t>
      </w:r>
      <w:r w:rsidRPr="008E46E8">
        <w:rPr>
          <w:rFonts w:cstheme="minorHAnsi"/>
          <w:spacing w:val="-3"/>
        </w:rPr>
        <w:t xml:space="preserve">os soportes de </w:t>
      </w:r>
      <w:r w:rsidRPr="008E46E8">
        <w:rPr>
          <w:rFonts w:cstheme="minorHAnsi"/>
          <w:spacing w:val="-3"/>
          <w:lang w:val="es-ES" w:eastAsia="es-ES"/>
        </w:rPr>
        <w:t>deuda</w:t>
      </w:r>
      <w:r w:rsidRPr="008E46E8">
        <w:rPr>
          <w:rFonts w:cstheme="minorHAnsi"/>
          <w:spacing w:val="-3"/>
        </w:rPr>
        <w:t xml:space="preserve">s señalización y diferencia tarifario aún no se definen  </w:t>
      </w:r>
      <w:r w:rsidRPr="008E46E8">
        <w:rPr>
          <w:rFonts w:cstheme="minorHAnsi"/>
          <w:spacing w:val="-3"/>
          <w:lang w:val="es-ES" w:eastAsia="es-ES"/>
        </w:rPr>
        <w:t xml:space="preserve">porque está pendiente que la interventoría aclare el tema técnico relacionado con la metodología de cálculo del TPD, que </w:t>
      </w:r>
      <w:r w:rsidRPr="008E46E8">
        <w:rPr>
          <w:rFonts w:cstheme="minorHAnsi"/>
          <w:spacing w:val="-3"/>
        </w:rPr>
        <w:t xml:space="preserve">se </w:t>
      </w:r>
      <w:r w:rsidRPr="008E46E8">
        <w:rPr>
          <w:rFonts w:cstheme="minorHAnsi"/>
          <w:spacing w:val="-3"/>
          <w:lang w:val="es-ES" w:eastAsia="es-ES"/>
        </w:rPr>
        <w:t>utilizo para radicar su concepto a la ANI; la Gerencia Financiera ya remit</w:t>
      </w:r>
      <w:r w:rsidRPr="008E46E8">
        <w:rPr>
          <w:rFonts w:cstheme="minorHAnsi"/>
          <w:spacing w:val="-3"/>
        </w:rPr>
        <w:t>i</w:t>
      </w:r>
      <w:r w:rsidRPr="008E46E8">
        <w:rPr>
          <w:rFonts w:cstheme="minorHAnsi"/>
          <w:spacing w:val="-3"/>
          <w:lang w:val="es-ES" w:eastAsia="es-ES"/>
        </w:rPr>
        <w:t>o esa solicitud de aclaración al interventor.</w:t>
      </w:r>
      <w:r w:rsidRPr="008E46E8">
        <w:rPr>
          <w:rFonts w:cstheme="minorHAnsi"/>
          <w:spacing w:val="-3"/>
        </w:rPr>
        <w:t xml:space="preserve"> De igual forma se le solicitó a la interventoría  concepto jurídico en relación con el tema del pago deuda señalización.</w:t>
      </w:r>
    </w:p>
    <w:p w:rsidR="00EB3BC8" w:rsidRPr="008E46E8" w:rsidRDefault="00EB3BC8" w:rsidP="00EB3BC8">
      <w:pPr>
        <w:spacing w:after="0" w:line="240" w:lineRule="auto"/>
        <w:jc w:val="both"/>
        <w:rPr>
          <w:rFonts w:cstheme="minorHAnsi"/>
          <w:color w:val="000000"/>
        </w:rPr>
      </w:pPr>
    </w:p>
    <w:p w:rsidR="00EB3BC8" w:rsidRPr="008E46E8" w:rsidRDefault="00CB0853" w:rsidP="00CB0853">
      <w:pPr>
        <w:spacing w:line="240" w:lineRule="auto"/>
        <w:jc w:val="both"/>
        <w:rPr>
          <w:rFonts w:eastAsia="Times New Roman" w:cstheme="minorHAnsi"/>
          <w:b/>
          <w:bCs/>
          <w:caps/>
          <w:noProof/>
          <w:lang w:eastAsia="es-ES"/>
        </w:rPr>
      </w:pPr>
      <w:bookmarkStart w:id="65" w:name="_Toc345571081"/>
      <w:r>
        <w:rPr>
          <w:rFonts w:eastAsia="Times New Roman" w:cstheme="minorHAnsi"/>
          <w:b/>
          <w:bCs/>
          <w:noProof/>
          <w:lang w:eastAsia="es-ES"/>
        </w:rPr>
        <w:t>I</w:t>
      </w:r>
      <w:r w:rsidRPr="008E46E8">
        <w:rPr>
          <w:rFonts w:eastAsia="Times New Roman" w:cstheme="minorHAnsi"/>
          <w:b/>
          <w:bCs/>
          <w:noProof/>
          <w:lang w:eastAsia="es-ES"/>
        </w:rPr>
        <w:t>nconvenientes presupuestales</w:t>
      </w:r>
      <w:bookmarkEnd w:id="65"/>
    </w:p>
    <w:p w:rsidR="00EB3BC8" w:rsidRPr="008E46E8" w:rsidRDefault="00EB3BC8" w:rsidP="00EB3BC8">
      <w:pPr>
        <w:pStyle w:val="Prrafodelista"/>
        <w:spacing w:line="240" w:lineRule="auto"/>
        <w:ind w:left="644"/>
        <w:jc w:val="both"/>
        <w:rPr>
          <w:rFonts w:cstheme="minorHAnsi"/>
        </w:rPr>
      </w:pPr>
      <w:r w:rsidRPr="008E46E8">
        <w:rPr>
          <w:rFonts w:cstheme="minorHAnsi"/>
        </w:rPr>
        <w:t>Se están tramitando, por el Fondo de Pasivos Contingentes  recursos para pagar al concesionario pagos por  deudas en temas prediales de expropiaciones: aprox.</w:t>
      </w:r>
      <w:r w:rsidR="00CB0853">
        <w:rPr>
          <w:rFonts w:cstheme="minorHAnsi"/>
        </w:rPr>
        <w:t xml:space="preserve"> </w:t>
      </w:r>
      <w:r w:rsidRPr="008E46E8">
        <w:rPr>
          <w:rFonts w:cstheme="minorHAnsi"/>
        </w:rPr>
        <w:t>$5.000 millones. Se solicitó tramitar vigencias futuras para el contrato de Interventoría a partir del año 2017</w:t>
      </w:r>
    </w:p>
    <w:p w:rsidR="00EB3BC8" w:rsidRPr="00742646" w:rsidRDefault="00EB3BC8" w:rsidP="00742646">
      <w:pPr>
        <w:spacing w:after="0" w:line="240" w:lineRule="auto"/>
        <w:jc w:val="both"/>
        <w:rPr>
          <w:rFonts w:ascii="Calibri" w:hAnsi="Calibri" w:cs="Calibri"/>
          <w:b/>
          <w:lang w:val="es-ES"/>
        </w:rPr>
      </w:pPr>
    </w:p>
    <w:p w:rsidR="00EB3BC8" w:rsidRPr="00742646" w:rsidRDefault="00EB3BC8" w:rsidP="00742646">
      <w:pPr>
        <w:spacing w:after="0" w:line="240" w:lineRule="auto"/>
        <w:jc w:val="both"/>
        <w:rPr>
          <w:rFonts w:ascii="Calibri" w:hAnsi="Calibri" w:cs="Calibri"/>
          <w:b/>
          <w:lang w:val="es-ES"/>
        </w:rPr>
      </w:pPr>
      <w:r w:rsidRPr="00742646">
        <w:rPr>
          <w:rFonts w:ascii="Calibri" w:hAnsi="Calibri" w:cs="Calibri"/>
          <w:b/>
          <w:lang w:val="es-ES"/>
        </w:rPr>
        <w:t>3. INFORME DE GESTIÓN PROYECTO DESARROLLO VIAL DEL ORIENTE DE MEDELLIN</w:t>
      </w:r>
    </w:p>
    <w:p w:rsidR="00EB3BC8" w:rsidRDefault="00EB3BC8" w:rsidP="00742646">
      <w:pPr>
        <w:spacing w:after="0" w:line="240" w:lineRule="auto"/>
        <w:jc w:val="both"/>
        <w:rPr>
          <w:rFonts w:ascii="Calibri" w:hAnsi="Calibri" w:cs="Calibri"/>
          <w:b/>
          <w:lang w:val="es-ES"/>
        </w:rPr>
      </w:pPr>
      <w:r w:rsidRPr="00742646">
        <w:rPr>
          <w:rFonts w:ascii="Calibri" w:hAnsi="Calibri" w:cs="Calibri"/>
          <w:b/>
          <w:lang w:val="es-ES"/>
        </w:rPr>
        <w:t>CONCESIONARIO: Devimed S.A.</w:t>
      </w:r>
    </w:p>
    <w:p w:rsidR="00742646" w:rsidRPr="00742646" w:rsidRDefault="00742646" w:rsidP="00742646">
      <w:pPr>
        <w:spacing w:after="0" w:line="240" w:lineRule="auto"/>
        <w:jc w:val="both"/>
        <w:rPr>
          <w:rFonts w:ascii="Calibri" w:hAnsi="Calibri" w:cs="Calibri"/>
          <w:b/>
          <w:lang w:val="es-ES"/>
        </w:rPr>
      </w:pPr>
    </w:p>
    <w:p w:rsidR="00EB3BC8" w:rsidRPr="00CB0853" w:rsidRDefault="00CB0853" w:rsidP="00EB3BC8">
      <w:pPr>
        <w:spacing w:line="240" w:lineRule="auto"/>
        <w:jc w:val="both"/>
        <w:rPr>
          <w:rFonts w:cstheme="minorHAnsi"/>
        </w:rPr>
      </w:pPr>
      <w:r>
        <w:rPr>
          <w:rFonts w:cstheme="minorHAnsi"/>
          <w:b/>
        </w:rPr>
        <w:t>I</w:t>
      </w:r>
      <w:r w:rsidRPr="00CB0853">
        <w:rPr>
          <w:rFonts w:cstheme="minorHAnsi"/>
          <w:b/>
        </w:rPr>
        <w:t>nterventor</w:t>
      </w:r>
      <w:r>
        <w:rPr>
          <w:rFonts w:cstheme="minorHAnsi"/>
          <w:b/>
        </w:rPr>
        <w:t>í</w:t>
      </w:r>
      <w:r w:rsidRPr="00CB0853">
        <w:rPr>
          <w:rFonts w:cstheme="minorHAnsi"/>
          <w:b/>
        </w:rPr>
        <w:t>a</w:t>
      </w:r>
      <w:r w:rsidR="00EB3BC8" w:rsidRPr="00CB0853">
        <w:rPr>
          <w:rFonts w:cstheme="minorHAnsi"/>
        </w:rPr>
        <w:t>: Consorcio Inter-carreteros- Contrato 092 de 2012-Operación y Mantenimiento</w:t>
      </w:r>
    </w:p>
    <w:p w:rsidR="00EB3BC8" w:rsidRPr="00CB0853" w:rsidRDefault="00EB3BC8" w:rsidP="00EB3BC8">
      <w:pPr>
        <w:spacing w:line="240" w:lineRule="auto"/>
        <w:jc w:val="both"/>
        <w:rPr>
          <w:rFonts w:cstheme="minorHAnsi"/>
        </w:rPr>
      </w:pPr>
      <w:r w:rsidRPr="00CB0853">
        <w:rPr>
          <w:rFonts w:cstheme="minorHAnsi"/>
        </w:rPr>
        <w:t>Consorcio HMV-SESAC-Contrato 065 de 2015- Fase de construccion-Adic-14.</w:t>
      </w:r>
    </w:p>
    <w:p w:rsidR="00EB3BC8" w:rsidRPr="00CB0853" w:rsidRDefault="00EB3BC8" w:rsidP="00EB3BC8">
      <w:pPr>
        <w:jc w:val="both"/>
        <w:rPr>
          <w:rFonts w:cstheme="minorHAnsi"/>
        </w:rPr>
      </w:pPr>
      <w:r w:rsidRPr="00CB0853">
        <w:rPr>
          <w:rFonts w:cstheme="minorHAnsi"/>
        </w:rPr>
        <w:t>El contrato de concesión 0275-96 fue adicionado para completar el alcance Básico del Contrato, dentro del alcance  del adicional No 14 de 15 de noviembre de 2013 se contempla la construcción de la segunda calzada entre los municipios de Marinilla y Santuario  en una longitud  de 9.4 kilómetros  incluyendo el paso urbano por el municipio de Marinilla.</w:t>
      </w:r>
    </w:p>
    <w:p w:rsidR="00EB3BC8" w:rsidRPr="00CB0853" w:rsidRDefault="00EB3BC8" w:rsidP="00EB3BC8">
      <w:pPr>
        <w:jc w:val="both"/>
        <w:rPr>
          <w:rFonts w:cstheme="minorHAnsi"/>
        </w:rPr>
      </w:pPr>
      <w:r w:rsidRPr="00CB0853">
        <w:rPr>
          <w:rFonts w:cstheme="minorHAnsi"/>
        </w:rPr>
        <w:t>Dentro de las obras por el paso urbano del municipio de Marinilla se relacionan las siguientes:</w:t>
      </w:r>
    </w:p>
    <w:p w:rsidR="00EB3BC8" w:rsidRPr="00CB0853" w:rsidRDefault="00EB3BC8" w:rsidP="000021B2">
      <w:pPr>
        <w:numPr>
          <w:ilvl w:val="0"/>
          <w:numId w:val="86"/>
        </w:numPr>
        <w:spacing w:after="160" w:line="259" w:lineRule="auto"/>
        <w:contextualSpacing/>
        <w:jc w:val="both"/>
        <w:rPr>
          <w:rFonts w:cstheme="minorHAnsi"/>
        </w:rPr>
      </w:pPr>
      <w:r w:rsidRPr="00CB0853">
        <w:rPr>
          <w:rFonts w:cstheme="minorHAnsi"/>
        </w:rPr>
        <w:t>Parque lineal en el municipio de Marinilla.</w:t>
      </w:r>
    </w:p>
    <w:p w:rsidR="00EB3BC8" w:rsidRPr="00CB0853" w:rsidRDefault="00EB3BC8" w:rsidP="000021B2">
      <w:pPr>
        <w:numPr>
          <w:ilvl w:val="0"/>
          <w:numId w:val="86"/>
        </w:numPr>
        <w:spacing w:after="160" w:line="259" w:lineRule="auto"/>
        <w:contextualSpacing/>
        <w:jc w:val="both"/>
        <w:rPr>
          <w:rFonts w:cstheme="minorHAnsi"/>
        </w:rPr>
      </w:pPr>
      <w:r w:rsidRPr="00CB0853">
        <w:rPr>
          <w:rFonts w:cstheme="minorHAnsi"/>
        </w:rPr>
        <w:t xml:space="preserve">Ciclovia en el municipio de Marinilla. Paralela a la autopista. </w:t>
      </w:r>
    </w:p>
    <w:p w:rsidR="00EB3BC8" w:rsidRPr="00CB0853" w:rsidRDefault="00EB3BC8" w:rsidP="000021B2">
      <w:pPr>
        <w:numPr>
          <w:ilvl w:val="0"/>
          <w:numId w:val="86"/>
        </w:numPr>
        <w:spacing w:after="160" w:line="259" w:lineRule="auto"/>
        <w:contextualSpacing/>
        <w:jc w:val="both"/>
        <w:rPr>
          <w:rFonts w:cstheme="minorHAnsi"/>
        </w:rPr>
      </w:pPr>
      <w:r w:rsidRPr="00CB0853">
        <w:rPr>
          <w:rFonts w:cstheme="minorHAnsi"/>
        </w:rPr>
        <w:t>Vía de servicio paralela a la segunda calzada de la autopista.</w:t>
      </w:r>
    </w:p>
    <w:p w:rsidR="00EB3BC8" w:rsidRPr="00CB0853" w:rsidRDefault="00EB3BC8" w:rsidP="000021B2">
      <w:pPr>
        <w:numPr>
          <w:ilvl w:val="0"/>
          <w:numId w:val="86"/>
        </w:numPr>
        <w:spacing w:after="160" w:line="259" w:lineRule="auto"/>
        <w:contextualSpacing/>
        <w:jc w:val="both"/>
        <w:rPr>
          <w:rFonts w:cstheme="minorHAnsi"/>
        </w:rPr>
      </w:pPr>
      <w:r w:rsidRPr="00CB0853">
        <w:rPr>
          <w:rFonts w:cstheme="minorHAnsi"/>
        </w:rPr>
        <w:t xml:space="preserve">Construcción de colector de aguas lluvias. </w:t>
      </w:r>
    </w:p>
    <w:p w:rsidR="00EB3BC8" w:rsidRPr="005F74CE" w:rsidRDefault="00EB3BC8" w:rsidP="000021B2">
      <w:pPr>
        <w:numPr>
          <w:ilvl w:val="0"/>
          <w:numId w:val="86"/>
        </w:numPr>
        <w:spacing w:after="160" w:line="259" w:lineRule="auto"/>
        <w:contextualSpacing/>
        <w:jc w:val="both"/>
        <w:rPr>
          <w:rFonts w:ascii="Arial" w:eastAsiaTheme="minorHAnsi" w:hAnsi="Arial" w:cs="Arial"/>
        </w:rPr>
      </w:pPr>
      <w:r w:rsidRPr="00CB0853">
        <w:rPr>
          <w:rFonts w:cstheme="minorHAnsi"/>
        </w:rPr>
        <w:t>Traslado de redes que se requieran de acuerdo al diseño aprobado</w:t>
      </w:r>
      <w:r w:rsidRPr="005F74CE">
        <w:rPr>
          <w:rFonts w:ascii="Arial" w:eastAsiaTheme="minorHAnsi" w:hAnsi="Arial" w:cs="Arial"/>
        </w:rPr>
        <w:t>.</w:t>
      </w:r>
    </w:p>
    <w:p w:rsidR="00EB3BC8" w:rsidRPr="005F74CE" w:rsidRDefault="00EB3BC8" w:rsidP="00EB3BC8">
      <w:pPr>
        <w:ind w:left="720"/>
        <w:contextualSpacing/>
        <w:jc w:val="both"/>
        <w:rPr>
          <w:rFonts w:ascii="Arial" w:eastAsiaTheme="minorHAnsi" w:hAnsi="Arial" w:cs="Arial"/>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3"/>
        <w:gridCol w:w="2397"/>
      </w:tblGrid>
      <w:tr w:rsidR="00EB3BC8" w:rsidRPr="005F74CE" w:rsidTr="005E52E0">
        <w:tc>
          <w:tcPr>
            <w:tcW w:w="5723" w:type="dxa"/>
            <w:shd w:val="clear" w:color="auto" w:fill="auto"/>
          </w:tcPr>
          <w:p w:rsidR="00EB3BC8" w:rsidRPr="00CB0853" w:rsidRDefault="00EB3BC8" w:rsidP="005E52E0">
            <w:pPr>
              <w:spacing w:after="0" w:line="240" w:lineRule="auto"/>
              <w:jc w:val="both"/>
              <w:rPr>
                <w:rFonts w:eastAsiaTheme="minorHAnsi" w:cstheme="minorHAnsi"/>
                <w:b/>
              </w:rPr>
            </w:pPr>
            <w:r w:rsidRPr="00CB0853">
              <w:rPr>
                <w:rFonts w:eastAsiaTheme="minorHAnsi" w:cstheme="minorHAnsi"/>
                <w:b/>
              </w:rPr>
              <w:t>DESCRIPCION DE LAS INVERSIONES ADICIONAL No.14</w:t>
            </w:r>
          </w:p>
        </w:tc>
        <w:tc>
          <w:tcPr>
            <w:tcW w:w="2397" w:type="dxa"/>
            <w:shd w:val="clear" w:color="auto" w:fill="auto"/>
          </w:tcPr>
          <w:p w:rsidR="00EB3BC8" w:rsidRPr="00CB0853" w:rsidRDefault="00EB3BC8" w:rsidP="005E52E0">
            <w:pPr>
              <w:spacing w:after="0" w:line="240" w:lineRule="auto"/>
              <w:jc w:val="both"/>
              <w:rPr>
                <w:rFonts w:eastAsiaTheme="minorHAnsi" w:cstheme="minorHAnsi"/>
                <w:b/>
              </w:rPr>
            </w:pPr>
            <w:r w:rsidRPr="00CB0853">
              <w:rPr>
                <w:rFonts w:eastAsiaTheme="minorHAnsi" w:cstheme="minorHAnsi"/>
                <w:b/>
              </w:rPr>
              <w:t>VALOR</w:t>
            </w:r>
          </w:p>
        </w:tc>
      </w:tr>
      <w:tr w:rsidR="00EB3BC8" w:rsidRPr="005F74CE" w:rsidTr="005E52E0">
        <w:tc>
          <w:tcPr>
            <w:tcW w:w="5723" w:type="dxa"/>
            <w:shd w:val="clear" w:color="auto" w:fill="auto"/>
          </w:tcPr>
          <w:p w:rsidR="00EB3BC8" w:rsidRPr="00CB0853" w:rsidRDefault="00EB3BC8" w:rsidP="005E52E0">
            <w:pPr>
              <w:spacing w:after="0" w:line="240" w:lineRule="auto"/>
              <w:jc w:val="both"/>
              <w:rPr>
                <w:rFonts w:eastAsiaTheme="minorHAnsi" w:cstheme="minorHAnsi"/>
              </w:rPr>
            </w:pPr>
            <w:r w:rsidRPr="00CB0853">
              <w:rPr>
                <w:rFonts w:eastAsiaTheme="minorHAnsi" w:cstheme="minorHAnsi"/>
              </w:rPr>
              <w:t xml:space="preserve">Valor global fijo donde el concesionario asume el riesgo constructivo, operativo y ambiental, de redes de servicios, de diseño, gestión social, financiación,   para la construcción  de la segunda calzada y rehabilitación de la calzada actual entre los  el K 39+900 y el K 48+500 incluyendo los retornos  y la conexión con la vía departamental al Carmen de Viboral (640 metros aproximadamente) iluminación completa de los 9.4 kilómetros a construir y las obras urbanas como son los andenes de circulación peatonal, bahías de paraderos de buses y la ampliación y colocación de las redes de servicio que se requieran. </w:t>
            </w:r>
          </w:p>
        </w:tc>
        <w:tc>
          <w:tcPr>
            <w:tcW w:w="2397" w:type="dxa"/>
            <w:shd w:val="clear" w:color="auto" w:fill="auto"/>
          </w:tcPr>
          <w:p w:rsidR="00EB3BC8" w:rsidRPr="00CB0853" w:rsidRDefault="00EB3BC8" w:rsidP="005E52E0">
            <w:pPr>
              <w:spacing w:after="0" w:line="240" w:lineRule="auto"/>
              <w:jc w:val="both"/>
              <w:rPr>
                <w:rFonts w:eastAsiaTheme="minorHAnsi" w:cstheme="minorHAnsi"/>
              </w:rPr>
            </w:pPr>
            <w:r w:rsidRPr="00CB0853">
              <w:rPr>
                <w:rFonts w:eastAsiaTheme="minorHAnsi" w:cstheme="minorHAnsi"/>
              </w:rPr>
              <w:t>$ 120.000.000.000</w:t>
            </w:r>
          </w:p>
        </w:tc>
      </w:tr>
      <w:tr w:rsidR="00EB3BC8" w:rsidRPr="005F74CE" w:rsidTr="005E52E0">
        <w:tc>
          <w:tcPr>
            <w:tcW w:w="5723" w:type="dxa"/>
            <w:shd w:val="clear" w:color="auto" w:fill="auto"/>
          </w:tcPr>
          <w:p w:rsidR="00EB3BC8" w:rsidRPr="00CB0853" w:rsidRDefault="00EB3BC8" w:rsidP="005E52E0">
            <w:pPr>
              <w:spacing w:after="0" w:line="240" w:lineRule="auto"/>
              <w:jc w:val="both"/>
              <w:rPr>
                <w:rFonts w:eastAsiaTheme="minorHAnsi" w:cstheme="minorHAnsi"/>
              </w:rPr>
            </w:pPr>
            <w:r w:rsidRPr="00CB0853">
              <w:rPr>
                <w:rFonts w:eastAsiaTheme="minorHAnsi" w:cstheme="minorHAnsi"/>
              </w:rPr>
              <w:lastRenderedPageBreak/>
              <w:t>Para la gestión  predial  y adquisición de predios que se requieran para la construcción la segunda calzada. En caso de requerirse un mayor valor, éste será asumido por el contratista</w:t>
            </w:r>
          </w:p>
        </w:tc>
        <w:tc>
          <w:tcPr>
            <w:tcW w:w="2397" w:type="dxa"/>
            <w:shd w:val="clear" w:color="auto" w:fill="auto"/>
          </w:tcPr>
          <w:p w:rsidR="00EB3BC8" w:rsidRPr="00CB0853" w:rsidRDefault="00EB3BC8" w:rsidP="005E52E0">
            <w:pPr>
              <w:spacing w:after="0" w:line="240" w:lineRule="auto"/>
              <w:jc w:val="both"/>
              <w:rPr>
                <w:rFonts w:eastAsiaTheme="minorHAnsi" w:cstheme="minorHAnsi"/>
              </w:rPr>
            </w:pPr>
            <w:r w:rsidRPr="00CB0853">
              <w:rPr>
                <w:rFonts w:eastAsiaTheme="minorHAnsi" w:cstheme="minorHAnsi"/>
              </w:rPr>
              <w:t>$   35.000.000.000</w:t>
            </w:r>
          </w:p>
        </w:tc>
      </w:tr>
      <w:tr w:rsidR="00EB3BC8" w:rsidRPr="005F74CE" w:rsidTr="005E52E0">
        <w:tc>
          <w:tcPr>
            <w:tcW w:w="5723" w:type="dxa"/>
            <w:shd w:val="clear" w:color="auto" w:fill="auto"/>
          </w:tcPr>
          <w:p w:rsidR="00EB3BC8" w:rsidRPr="00CB0853" w:rsidRDefault="00EB3BC8" w:rsidP="005E52E0">
            <w:pPr>
              <w:spacing w:after="0" w:line="240" w:lineRule="auto"/>
              <w:jc w:val="both"/>
              <w:rPr>
                <w:rFonts w:eastAsiaTheme="minorHAnsi" w:cstheme="minorHAnsi"/>
              </w:rPr>
            </w:pPr>
            <w:r w:rsidRPr="00CB0853">
              <w:rPr>
                <w:rFonts w:eastAsiaTheme="minorHAnsi" w:cstheme="minorHAnsi"/>
              </w:rPr>
              <w:t xml:space="preserve">Para la construcción de puente doble peatonal ubicado en el municipio de Marinilla de acuerdo al fallo emitido por el Tribunal de lo contencioso administrativo de Antioquia. El concesionario asume el riesgo constructivo, operativo y ambiental, de redes de servicios, de diseño, gestión social, financiación </w:t>
            </w:r>
          </w:p>
        </w:tc>
        <w:tc>
          <w:tcPr>
            <w:tcW w:w="2397" w:type="dxa"/>
            <w:shd w:val="clear" w:color="auto" w:fill="auto"/>
          </w:tcPr>
          <w:p w:rsidR="00EB3BC8" w:rsidRPr="00CB0853" w:rsidRDefault="00EB3BC8" w:rsidP="005E52E0">
            <w:pPr>
              <w:spacing w:after="0" w:line="240" w:lineRule="auto"/>
              <w:jc w:val="both"/>
              <w:rPr>
                <w:rFonts w:eastAsiaTheme="minorHAnsi" w:cstheme="minorHAnsi"/>
              </w:rPr>
            </w:pPr>
            <w:r w:rsidRPr="00CB0853">
              <w:rPr>
                <w:rFonts w:eastAsiaTheme="minorHAnsi" w:cstheme="minorHAnsi"/>
              </w:rPr>
              <w:t>$     1.500.000.000</w:t>
            </w:r>
          </w:p>
        </w:tc>
      </w:tr>
      <w:tr w:rsidR="00EB3BC8" w:rsidRPr="005F74CE" w:rsidTr="005E52E0">
        <w:tc>
          <w:tcPr>
            <w:tcW w:w="5723" w:type="dxa"/>
            <w:shd w:val="clear" w:color="auto" w:fill="auto"/>
          </w:tcPr>
          <w:p w:rsidR="00EB3BC8" w:rsidRPr="00CB0853" w:rsidRDefault="00EB3BC8" w:rsidP="005E52E0">
            <w:pPr>
              <w:spacing w:after="0" w:line="240" w:lineRule="auto"/>
              <w:jc w:val="both"/>
              <w:rPr>
                <w:rFonts w:eastAsiaTheme="minorHAnsi" w:cstheme="minorHAnsi"/>
              </w:rPr>
            </w:pPr>
            <w:r w:rsidRPr="00CB0853">
              <w:rPr>
                <w:rFonts w:eastAsiaTheme="minorHAnsi" w:cstheme="minorHAnsi"/>
              </w:rPr>
              <w:t xml:space="preserve">Atención puntos críticos tramos 5 y 6 </w:t>
            </w:r>
          </w:p>
        </w:tc>
        <w:tc>
          <w:tcPr>
            <w:tcW w:w="2397" w:type="dxa"/>
            <w:shd w:val="clear" w:color="auto" w:fill="auto"/>
          </w:tcPr>
          <w:p w:rsidR="00EB3BC8" w:rsidRPr="00CB0853" w:rsidRDefault="00EB3BC8" w:rsidP="005E52E0">
            <w:pPr>
              <w:spacing w:after="0" w:line="240" w:lineRule="auto"/>
              <w:jc w:val="both"/>
              <w:rPr>
                <w:rFonts w:eastAsiaTheme="minorHAnsi" w:cstheme="minorHAnsi"/>
              </w:rPr>
            </w:pPr>
            <w:r w:rsidRPr="00CB0853">
              <w:rPr>
                <w:rFonts w:eastAsiaTheme="minorHAnsi" w:cstheme="minorHAnsi"/>
              </w:rPr>
              <w:t>$     11.908.872.556</w:t>
            </w:r>
          </w:p>
        </w:tc>
      </w:tr>
      <w:tr w:rsidR="00EB3BC8" w:rsidRPr="005F74CE" w:rsidTr="005E52E0">
        <w:tc>
          <w:tcPr>
            <w:tcW w:w="5723" w:type="dxa"/>
            <w:shd w:val="clear" w:color="auto" w:fill="auto"/>
          </w:tcPr>
          <w:p w:rsidR="00EB3BC8" w:rsidRPr="00CB0853" w:rsidRDefault="00EB3BC8" w:rsidP="005E52E0">
            <w:pPr>
              <w:spacing w:after="0" w:line="240" w:lineRule="auto"/>
              <w:jc w:val="both"/>
              <w:rPr>
                <w:rFonts w:eastAsiaTheme="minorHAnsi" w:cstheme="minorHAnsi"/>
                <w:b/>
              </w:rPr>
            </w:pPr>
            <w:r w:rsidRPr="00CB0853">
              <w:rPr>
                <w:rFonts w:eastAsiaTheme="minorHAnsi" w:cstheme="minorHAnsi"/>
                <w:b/>
              </w:rPr>
              <w:t>TOTAL INVERSIONES</w:t>
            </w:r>
          </w:p>
        </w:tc>
        <w:tc>
          <w:tcPr>
            <w:tcW w:w="2397" w:type="dxa"/>
            <w:shd w:val="clear" w:color="auto" w:fill="auto"/>
          </w:tcPr>
          <w:p w:rsidR="00EB3BC8" w:rsidRPr="00CB0853" w:rsidRDefault="00EB3BC8" w:rsidP="005E52E0">
            <w:pPr>
              <w:spacing w:after="0" w:line="240" w:lineRule="auto"/>
              <w:jc w:val="both"/>
              <w:rPr>
                <w:rFonts w:eastAsiaTheme="minorHAnsi" w:cstheme="minorHAnsi"/>
                <w:b/>
              </w:rPr>
            </w:pPr>
            <w:r w:rsidRPr="00CB0853">
              <w:rPr>
                <w:rFonts w:eastAsiaTheme="minorHAnsi" w:cstheme="minorHAnsi"/>
                <w:b/>
              </w:rPr>
              <w:t>$   168.408.872.556</w:t>
            </w:r>
          </w:p>
        </w:tc>
      </w:tr>
    </w:tbl>
    <w:p w:rsidR="00EB3BC8" w:rsidRPr="005F74CE" w:rsidRDefault="00EB3BC8" w:rsidP="00EB3BC8">
      <w:pPr>
        <w:jc w:val="both"/>
        <w:rPr>
          <w:rFonts w:ascii="Arial" w:eastAsiaTheme="minorHAnsi" w:hAnsi="Arial" w:cs="Arial"/>
        </w:rPr>
      </w:pPr>
    </w:p>
    <w:p w:rsidR="00EB3BC8" w:rsidRPr="00CB0853" w:rsidRDefault="00EB3BC8" w:rsidP="00EB3BC8">
      <w:pPr>
        <w:spacing w:after="0" w:line="240" w:lineRule="auto"/>
        <w:jc w:val="both"/>
        <w:rPr>
          <w:rFonts w:eastAsiaTheme="minorHAnsi" w:cstheme="minorHAnsi"/>
        </w:rPr>
      </w:pPr>
      <w:r w:rsidRPr="00CB0853">
        <w:rPr>
          <w:rFonts w:eastAsiaTheme="minorHAnsi" w:cstheme="minorHAnsi"/>
        </w:rPr>
        <w:t>Para el seguimiento y control de las obras  relacionadas en el adicional No. 14 se contrató  la interventoría para el control y seguimiento con el consorcio HMV –SESAC, con un tiempo de duración de 12 meses, se firmó el Acta de Inicio el 27 de marzo del 2015.</w:t>
      </w:r>
    </w:p>
    <w:p w:rsidR="00EB3BC8" w:rsidRPr="00CB0853" w:rsidRDefault="00EB3BC8" w:rsidP="00EB3BC8">
      <w:pPr>
        <w:spacing w:after="0" w:line="240" w:lineRule="auto"/>
        <w:jc w:val="both"/>
        <w:rPr>
          <w:rFonts w:eastAsiaTheme="minorHAnsi" w:cstheme="minorHAnsi"/>
        </w:rPr>
      </w:pPr>
    </w:p>
    <w:p w:rsidR="00EB3BC8" w:rsidRPr="00CB0853" w:rsidRDefault="00EB3BC8" w:rsidP="00EB3BC8">
      <w:pPr>
        <w:spacing w:after="0" w:line="240" w:lineRule="auto"/>
        <w:jc w:val="both"/>
        <w:rPr>
          <w:rFonts w:eastAsiaTheme="minorHAnsi" w:cstheme="minorHAnsi"/>
        </w:rPr>
      </w:pPr>
      <w:r w:rsidRPr="00CB0853">
        <w:rPr>
          <w:rFonts w:eastAsiaTheme="minorHAnsi" w:cstheme="minorHAnsi"/>
        </w:rPr>
        <w:t>El Acta de Inicio del adicional No. 14 se firmó el 26 de marzo del 2015, la ejecución de estas obras tienen una duración de 12 meses, en el presente año se entregaran 5 kilómetros de segunda calzada totalmente terminados.</w:t>
      </w:r>
    </w:p>
    <w:p w:rsidR="00EB3BC8" w:rsidRPr="005F74CE" w:rsidRDefault="00EB3BC8" w:rsidP="00EB3BC8">
      <w:pPr>
        <w:spacing w:after="0" w:line="240" w:lineRule="auto"/>
        <w:jc w:val="both"/>
        <w:rPr>
          <w:rFonts w:ascii="Arial" w:eastAsiaTheme="minorHAnsi" w:hAnsi="Arial" w:cs="Arial"/>
        </w:rPr>
      </w:pPr>
    </w:p>
    <w:p w:rsidR="00EB3BC8" w:rsidRPr="00CB0853" w:rsidRDefault="00CB0853" w:rsidP="00EB3BC8">
      <w:pPr>
        <w:spacing w:after="0" w:line="240" w:lineRule="auto"/>
        <w:jc w:val="both"/>
        <w:rPr>
          <w:rFonts w:eastAsiaTheme="minorHAnsi" w:cstheme="minorHAnsi"/>
          <w:b/>
        </w:rPr>
      </w:pPr>
      <w:r w:rsidRPr="00CB0853">
        <w:rPr>
          <w:rFonts w:eastAsiaTheme="minorHAnsi" w:cstheme="minorHAnsi"/>
          <w:b/>
        </w:rPr>
        <w:t>Temas relevantes del proyecto</w:t>
      </w:r>
    </w:p>
    <w:p w:rsidR="00EB3BC8" w:rsidRPr="00CB0853" w:rsidRDefault="00EB3BC8" w:rsidP="00EB3BC8">
      <w:pPr>
        <w:spacing w:after="0" w:line="240" w:lineRule="auto"/>
        <w:jc w:val="both"/>
        <w:rPr>
          <w:rFonts w:eastAsiaTheme="minorHAnsi" w:cstheme="minorHAnsi"/>
          <w:b/>
        </w:rPr>
      </w:pPr>
    </w:p>
    <w:p w:rsidR="00EB3BC8" w:rsidRPr="00CB0853" w:rsidRDefault="00EB3BC8" w:rsidP="000021B2">
      <w:pPr>
        <w:numPr>
          <w:ilvl w:val="0"/>
          <w:numId w:val="13"/>
        </w:numPr>
        <w:spacing w:after="0" w:line="240" w:lineRule="auto"/>
        <w:contextualSpacing/>
        <w:jc w:val="both"/>
        <w:rPr>
          <w:rFonts w:eastAsiaTheme="minorHAnsi" w:cstheme="minorHAnsi"/>
        </w:rPr>
      </w:pPr>
      <w:r w:rsidRPr="00CB0853">
        <w:rPr>
          <w:rFonts w:eastAsiaTheme="minorHAnsi" w:cstheme="minorHAnsi"/>
        </w:rPr>
        <w:t xml:space="preserve"> Se entregaron revisadas por parte del interventoría Consorcio intercarreteros  201 fichas prediales con sus respectivos estudios de títulos, de igual forma se adelanta la compra de los  predios que se requieren para la construcción de la segunda calzada, en la actualidad están adquiridos 6.4 kilómetros de los 9.4 que se requieren para la construcción total de la segunda calzada y el paso urbano por el municipio de Marinilla, en este punto es donde mayores dificultades se han presentado en la adquisición predial.</w:t>
      </w:r>
    </w:p>
    <w:p w:rsidR="00EB3BC8" w:rsidRPr="00CB0853" w:rsidRDefault="00EB3BC8" w:rsidP="00EB3BC8">
      <w:pPr>
        <w:spacing w:after="0" w:line="240" w:lineRule="auto"/>
        <w:ind w:left="720"/>
        <w:contextualSpacing/>
        <w:jc w:val="both"/>
        <w:rPr>
          <w:rFonts w:eastAsiaTheme="minorHAnsi" w:cstheme="minorHAnsi"/>
        </w:rPr>
      </w:pPr>
    </w:p>
    <w:p w:rsidR="00EB3BC8" w:rsidRPr="00CB0853" w:rsidRDefault="00EB3BC8" w:rsidP="000021B2">
      <w:pPr>
        <w:numPr>
          <w:ilvl w:val="0"/>
          <w:numId w:val="13"/>
        </w:numPr>
        <w:spacing w:after="0" w:line="240" w:lineRule="auto"/>
        <w:contextualSpacing/>
        <w:jc w:val="both"/>
        <w:rPr>
          <w:rFonts w:eastAsiaTheme="minorHAnsi" w:cstheme="minorHAnsi"/>
        </w:rPr>
      </w:pPr>
      <w:r w:rsidRPr="00CB0853">
        <w:rPr>
          <w:rFonts w:eastAsiaTheme="minorHAnsi" w:cstheme="minorHAnsi"/>
        </w:rPr>
        <w:t xml:space="preserve">A través del mantenimiento periódico que debe realizar el concesionario, se  reforzó la carpeta de rodadura en los tramos 5 y 6  en una longitud de 42 kilómetros. </w:t>
      </w:r>
    </w:p>
    <w:p w:rsidR="00EB3BC8" w:rsidRPr="00CB0853" w:rsidRDefault="00EB3BC8" w:rsidP="00EB3BC8">
      <w:pPr>
        <w:spacing w:after="0" w:line="240" w:lineRule="auto"/>
        <w:contextualSpacing/>
        <w:jc w:val="both"/>
        <w:rPr>
          <w:rFonts w:eastAsiaTheme="minorHAnsi" w:cstheme="minorHAnsi"/>
        </w:rPr>
      </w:pPr>
    </w:p>
    <w:p w:rsidR="00EB3BC8" w:rsidRPr="00587305" w:rsidRDefault="00EB3BC8" w:rsidP="00EB3BC8">
      <w:pPr>
        <w:spacing w:line="240" w:lineRule="auto"/>
        <w:contextualSpacing/>
        <w:jc w:val="both"/>
        <w:rPr>
          <w:rFonts w:ascii="Arial" w:eastAsia="Times New Roman" w:hAnsi="Arial" w:cs="Arial"/>
          <w:lang w:val="es-ES" w:eastAsia="es-ES"/>
        </w:rPr>
      </w:pPr>
    </w:p>
    <w:p w:rsidR="00EB3BC8" w:rsidRPr="00CB0853" w:rsidRDefault="00EB3BC8" w:rsidP="00EB3BC8">
      <w:pPr>
        <w:spacing w:line="240" w:lineRule="auto"/>
        <w:jc w:val="both"/>
        <w:rPr>
          <w:rFonts w:ascii="Calibri" w:hAnsi="Calibri" w:cs="Calibri"/>
          <w:b/>
          <w:lang w:val="es-ES"/>
        </w:rPr>
      </w:pPr>
      <w:r w:rsidRPr="00587305">
        <w:rPr>
          <w:rFonts w:ascii="Arial" w:eastAsia="Times New Roman" w:hAnsi="Arial" w:cs="Arial"/>
          <w:b/>
          <w:lang w:val="es-ES"/>
        </w:rPr>
        <w:t xml:space="preserve">4. </w:t>
      </w:r>
      <w:r w:rsidRPr="00CB0853">
        <w:rPr>
          <w:rFonts w:ascii="Calibri" w:hAnsi="Calibri" w:cs="Calibri"/>
          <w:b/>
          <w:lang w:val="es-ES"/>
        </w:rPr>
        <w:t>INFORME DE GESTIÓN PROYECTO CONCESIÓN BOGOTÁ SIBERIA LA PUNTA EL VINO VILLETA (CONCESION BOGOTA – LA VEGA – VILLETA)</w:t>
      </w:r>
    </w:p>
    <w:p w:rsidR="00EB3BC8" w:rsidRPr="00B228D1" w:rsidRDefault="00EB3BC8" w:rsidP="00EB3BC8">
      <w:pPr>
        <w:tabs>
          <w:tab w:val="left" w:pos="6570"/>
        </w:tabs>
        <w:spacing w:after="0" w:line="240" w:lineRule="auto"/>
        <w:jc w:val="center"/>
        <w:rPr>
          <w:rFonts w:ascii="Arial" w:eastAsiaTheme="minorHAnsi" w:hAnsi="Arial" w:cs="Arial"/>
          <w:b/>
        </w:rPr>
      </w:pPr>
    </w:p>
    <w:p w:rsidR="00EB3BC8" w:rsidRPr="00CB0853" w:rsidRDefault="00CB0853" w:rsidP="00EB3BC8">
      <w:pPr>
        <w:spacing w:after="0" w:line="240" w:lineRule="auto"/>
        <w:jc w:val="both"/>
        <w:rPr>
          <w:rFonts w:cstheme="minorHAnsi"/>
          <w:b/>
          <w:lang w:val="es-419"/>
        </w:rPr>
      </w:pPr>
      <w:r>
        <w:rPr>
          <w:rFonts w:cstheme="minorHAnsi"/>
          <w:b/>
          <w:lang w:val="es-419"/>
        </w:rPr>
        <w:t>Da</w:t>
      </w:r>
      <w:r w:rsidRPr="00CB0853">
        <w:rPr>
          <w:rFonts w:cstheme="minorHAnsi"/>
          <w:b/>
          <w:lang w:val="es-419"/>
        </w:rPr>
        <w:t>tos generales del proyecto:</w:t>
      </w:r>
    </w:p>
    <w:p w:rsidR="00EB3BC8" w:rsidRPr="00B228D1" w:rsidRDefault="00EB3BC8" w:rsidP="00EB3BC8">
      <w:pPr>
        <w:spacing w:after="0" w:line="240" w:lineRule="auto"/>
        <w:jc w:val="both"/>
        <w:rPr>
          <w:rFonts w:ascii="Arial" w:hAnsi="Arial" w:cs="Arial"/>
          <w:b/>
          <w:lang w:val="es-419"/>
        </w:rPr>
      </w:pPr>
    </w:p>
    <w:p w:rsidR="00EB3BC8" w:rsidRPr="00CB0853" w:rsidRDefault="00EB3BC8" w:rsidP="00EB3BC8">
      <w:pPr>
        <w:spacing w:after="0" w:line="240" w:lineRule="auto"/>
        <w:jc w:val="both"/>
        <w:rPr>
          <w:rFonts w:cstheme="minorHAnsi"/>
          <w:lang w:val="es-419"/>
        </w:rPr>
      </w:pPr>
      <w:r w:rsidRPr="00CB0853">
        <w:rPr>
          <w:rFonts w:cstheme="minorHAnsi"/>
          <w:b/>
          <w:lang w:val="es-419"/>
        </w:rPr>
        <w:t>Concesionario:</w:t>
      </w:r>
      <w:r w:rsidRPr="00CB0853">
        <w:rPr>
          <w:rFonts w:cstheme="minorHAnsi"/>
          <w:lang w:val="es-419"/>
        </w:rPr>
        <w:t xml:space="preserve"> Concesión Sabana de Occidente</w:t>
      </w:r>
    </w:p>
    <w:p w:rsidR="00EB3BC8" w:rsidRPr="00CB0853" w:rsidRDefault="00EB3BC8" w:rsidP="00EB3BC8">
      <w:pPr>
        <w:spacing w:after="0" w:line="240" w:lineRule="auto"/>
        <w:ind w:left="360"/>
        <w:jc w:val="both"/>
        <w:rPr>
          <w:rFonts w:cstheme="minorHAnsi"/>
          <w:lang w:val="es-419"/>
        </w:rPr>
      </w:pPr>
    </w:p>
    <w:p w:rsidR="00EB3BC8" w:rsidRPr="00CB0853" w:rsidRDefault="00EB3BC8" w:rsidP="00EB3BC8">
      <w:pPr>
        <w:spacing w:after="0" w:line="240" w:lineRule="auto"/>
        <w:jc w:val="both"/>
        <w:rPr>
          <w:rFonts w:cstheme="minorHAnsi"/>
          <w:lang w:val="es-419"/>
        </w:rPr>
      </w:pPr>
      <w:r w:rsidRPr="00CB0853">
        <w:rPr>
          <w:rFonts w:cstheme="minorHAnsi"/>
          <w:b/>
          <w:lang w:val="es-419"/>
        </w:rPr>
        <w:t>No. de contrato</w:t>
      </w:r>
      <w:r w:rsidRPr="00CB0853">
        <w:rPr>
          <w:rFonts w:cstheme="minorHAnsi"/>
          <w:lang w:val="es-419"/>
        </w:rPr>
        <w:t>: 447 del 02 de agosto de 1994</w:t>
      </w:r>
    </w:p>
    <w:p w:rsidR="00EB3BC8" w:rsidRPr="00CB0853" w:rsidRDefault="00EB3BC8" w:rsidP="00EB3BC8">
      <w:pPr>
        <w:spacing w:after="0" w:line="240" w:lineRule="auto"/>
        <w:jc w:val="both"/>
        <w:rPr>
          <w:rFonts w:cstheme="minorHAnsi"/>
          <w:lang w:val="es-419"/>
        </w:rPr>
      </w:pPr>
    </w:p>
    <w:p w:rsidR="00EB3BC8" w:rsidRPr="00CB0853" w:rsidRDefault="00EB3BC8" w:rsidP="000021B2">
      <w:pPr>
        <w:numPr>
          <w:ilvl w:val="1"/>
          <w:numId w:val="29"/>
        </w:numPr>
        <w:spacing w:after="0" w:line="240" w:lineRule="auto"/>
        <w:jc w:val="both"/>
        <w:rPr>
          <w:rFonts w:cstheme="minorHAnsi"/>
          <w:lang w:val="es-419"/>
        </w:rPr>
      </w:pPr>
      <w:r w:rsidRPr="001E3587">
        <w:rPr>
          <w:rFonts w:cstheme="minorHAnsi"/>
          <w:b/>
          <w:lang w:val="es-419"/>
        </w:rPr>
        <w:t>Objeto</w:t>
      </w:r>
      <w:r w:rsidRPr="00CB0853">
        <w:rPr>
          <w:rFonts w:cstheme="minorHAnsi"/>
          <w:lang w:val="es-419"/>
        </w:rPr>
        <w:t xml:space="preserve">: "EL CONCESIONARIO se obliga a ejecutar por el sistema de concesión, según lo establecido por el artículo 32, numeral 4 de la Ley 80 de 1993, los estudios, diseños definitivos, las obras de rehabilitación, de construcción, la operación y el mantenimiento de la carretera </w:t>
      </w:r>
      <w:r w:rsidRPr="00CB0853">
        <w:rPr>
          <w:rFonts w:cstheme="minorHAnsi"/>
          <w:lang w:val="es-419"/>
        </w:rPr>
        <w:lastRenderedPageBreak/>
        <w:t>Bogotá (Puente El Cortijo) - Siberia - La Punta - El Vino - El Chuscal - La Vega - río Tobia - Villeta, en el departamento de Cundinamarca, del tramo de carretera Bogotá - Honda, Ruta 54"</w:t>
      </w:r>
    </w:p>
    <w:p w:rsidR="00EB3BC8" w:rsidRPr="00CB0853" w:rsidRDefault="00EB3BC8" w:rsidP="00EB3BC8">
      <w:pPr>
        <w:spacing w:after="0" w:line="240" w:lineRule="auto"/>
        <w:jc w:val="both"/>
        <w:rPr>
          <w:rFonts w:cstheme="minorHAnsi"/>
          <w:lang w:val="es-419"/>
        </w:rPr>
      </w:pPr>
    </w:p>
    <w:p w:rsidR="00EB3BC8" w:rsidRPr="00CB0853" w:rsidRDefault="00EB3BC8" w:rsidP="000021B2">
      <w:pPr>
        <w:numPr>
          <w:ilvl w:val="1"/>
          <w:numId w:val="29"/>
        </w:numPr>
        <w:spacing w:after="0" w:line="240" w:lineRule="auto"/>
        <w:jc w:val="both"/>
        <w:rPr>
          <w:rFonts w:cstheme="minorHAnsi"/>
          <w:lang w:val="es-419"/>
        </w:rPr>
      </w:pPr>
      <w:r w:rsidRPr="001E3587">
        <w:rPr>
          <w:rFonts w:cstheme="minorHAnsi"/>
          <w:b/>
          <w:lang w:val="es-419"/>
        </w:rPr>
        <w:t>Generación</w:t>
      </w:r>
      <w:r w:rsidRPr="00CB0853">
        <w:rPr>
          <w:rFonts w:cstheme="minorHAnsi"/>
          <w:lang w:val="es-419"/>
        </w:rPr>
        <w:t>: Primera Generación</w:t>
      </w:r>
    </w:p>
    <w:p w:rsidR="00EB3BC8" w:rsidRPr="00B228D1" w:rsidRDefault="00EB3BC8" w:rsidP="00EB3BC8">
      <w:pPr>
        <w:spacing w:after="0" w:line="240" w:lineRule="auto"/>
        <w:jc w:val="both"/>
        <w:rPr>
          <w:rFonts w:ascii="Arial" w:hAnsi="Arial" w:cs="Arial"/>
          <w:lang w:val="es-419"/>
        </w:rPr>
      </w:pPr>
    </w:p>
    <w:p w:rsidR="00EB3BC8" w:rsidRDefault="00EB3BC8" w:rsidP="00EB3BC8">
      <w:pPr>
        <w:spacing w:after="0" w:line="240" w:lineRule="auto"/>
        <w:jc w:val="both"/>
        <w:rPr>
          <w:rFonts w:ascii="Arial" w:hAnsi="Arial" w:cs="Arial"/>
          <w:b/>
          <w:lang w:val="es-419"/>
        </w:rPr>
      </w:pPr>
    </w:p>
    <w:p w:rsidR="00EB3BC8" w:rsidRPr="00041403" w:rsidRDefault="00041403" w:rsidP="00EB3BC8">
      <w:pPr>
        <w:spacing w:after="0" w:line="240" w:lineRule="auto"/>
        <w:jc w:val="both"/>
        <w:rPr>
          <w:rFonts w:cstheme="minorHAnsi"/>
          <w:b/>
        </w:rPr>
      </w:pPr>
      <w:r>
        <w:rPr>
          <w:rFonts w:cstheme="minorHAnsi"/>
          <w:b/>
        </w:rPr>
        <w:t>A</w:t>
      </w:r>
      <w:r w:rsidRPr="00041403">
        <w:rPr>
          <w:rFonts w:cstheme="minorHAnsi"/>
          <w:b/>
        </w:rPr>
        <w:t>vance de trabajos ejecutados</w:t>
      </w:r>
    </w:p>
    <w:p w:rsidR="00EB3BC8" w:rsidRPr="00041403" w:rsidRDefault="00EB3BC8" w:rsidP="00EB3BC8">
      <w:pPr>
        <w:tabs>
          <w:tab w:val="left" w:pos="6570"/>
        </w:tabs>
        <w:spacing w:after="0" w:line="240" w:lineRule="auto"/>
        <w:rPr>
          <w:rFonts w:eastAsiaTheme="minorHAnsi" w:cstheme="minorHAnsi"/>
          <w:b/>
        </w:rPr>
      </w:pPr>
    </w:p>
    <w:p w:rsidR="00EB3BC8" w:rsidRPr="00041403" w:rsidRDefault="00EB3BC8" w:rsidP="000021B2">
      <w:pPr>
        <w:numPr>
          <w:ilvl w:val="0"/>
          <w:numId w:val="75"/>
        </w:numPr>
        <w:spacing w:after="0" w:line="240" w:lineRule="auto"/>
        <w:contextualSpacing/>
        <w:jc w:val="both"/>
        <w:rPr>
          <w:rFonts w:eastAsia="Times New Roman" w:cstheme="minorHAnsi"/>
          <w:b/>
        </w:rPr>
      </w:pPr>
      <w:r w:rsidRPr="00041403">
        <w:rPr>
          <w:rFonts w:eastAsia="Times New Roman" w:cstheme="minorHAnsi"/>
          <w:b/>
        </w:rPr>
        <w:t>Tramo 1: Construcción de vía doble calzada entre el cruce a Útica y el Intercambiador Villeta - Guaduas (Km 78+750 - Km 81+626)</w:t>
      </w:r>
    </w:p>
    <w:p w:rsidR="00EB3BC8" w:rsidRPr="00041403" w:rsidRDefault="00EB3BC8" w:rsidP="00EB3BC8">
      <w:pPr>
        <w:spacing w:after="0" w:line="240" w:lineRule="auto"/>
        <w:ind w:left="360"/>
        <w:jc w:val="both"/>
        <w:rPr>
          <w:rFonts w:eastAsiaTheme="minorHAnsi" w:cstheme="minorHAnsi"/>
        </w:rPr>
      </w:pPr>
    </w:p>
    <w:p w:rsidR="00EB3BC8" w:rsidRPr="00041403" w:rsidRDefault="00EB3BC8" w:rsidP="000021B2">
      <w:pPr>
        <w:numPr>
          <w:ilvl w:val="0"/>
          <w:numId w:val="71"/>
        </w:numPr>
        <w:spacing w:after="0" w:line="240" w:lineRule="auto"/>
        <w:contextualSpacing/>
        <w:jc w:val="both"/>
        <w:rPr>
          <w:rFonts w:eastAsia="Calibri" w:cstheme="minorHAnsi"/>
        </w:rPr>
      </w:pPr>
      <w:r w:rsidRPr="00041403">
        <w:rPr>
          <w:rFonts w:eastAsia="Calibri" w:cstheme="minorHAnsi"/>
        </w:rPr>
        <w:t>El Tramo 1 está localizado entre el Cruce a Utica (Km 78+750) y el Municipio de Villeta (Km 81+626) (Intercambiador Villeta - Guaduas), en una longitud aproximada de 2.88 kilómetros. Se encuentra ubicado un Túnel falso llamado El Cune y un Intercambiador. Actualmente el sector consta de una vía en doble calzada de dos (2) carriles por sentido con separador central tipo New Jersey, en un terreno de topografía montañosa con pendientes promedio del 5.0% y peraltes máximos del 8%. Se encuentra en operación.</w:t>
      </w:r>
    </w:p>
    <w:p w:rsidR="00EB3BC8" w:rsidRPr="00041403" w:rsidRDefault="00EB3BC8" w:rsidP="00EB3BC8">
      <w:pPr>
        <w:spacing w:after="0" w:line="240" w:lineRule="auto"/>
        <w:ind w:left="360"/>
        <w:jc w:val="both"/>
        <w:rPr>
          <w:rFonts w:eastAsiaTheme="minorHAnsi" w:cstheme="minorHAnsi"/>
          <w:sz w:val="24"/>
          <w:szCs w:val="24"/>
        </w:rPr>
      </w:pPr>
    </w:p>
    <w:p w:rsidR="00EB3BC8" w:rsidRPr="00041403" w:rsidRDefault="00EB3BC8" w:rsidP="00EB3BC8">
      <w:pPr>
        <w:tabs>
          <w:tab w:val="left" w:pos="6570"/>
        </w:tabs>
        <w:spacing w:after="0" w:line="240" w:lineRule="auto"/>
        <w:jc w:val="center"/>
        <w:rPr>
          <w:rFonts w:eastAsiaTheme="minorHAnsi" w:cstheme="minorHAnsi"/>
          <w:sz w:val="24"/>
          <w:szCs w:val="24"/>
        </w:rPr>
      </w:pPr>
      <w:r w:rsidRPr="00041403">
        <w:rPr>
          <w:rFonts w:eastAsiaTheme="minorHAnsi" w:cstheme="minorHAnsi"/>
          <w:noProof/>
        </w:rPr>
        <w:drawing>
          <wp:inline distT="0" distB="0" distL="0" distR="0" wp14:anchorId="7F392E2D" wp14:editId="4FAD7F1D">
            <wp:extent cx="2880000" cy="2160000"/>
            <wp:effectExtent l="0" t="0" r="0" b="0"/>
            <wp:docPr id="75" name="Imagen 5" descr="Z:\C_1133_BOGOTA_VILLETA\12_Fotografías\2015\06. JUNIO\2015-06-25 OPE\IMG_0005.JPG"/>
            <wp:cNvGraphicFramePr/>
            <a:graphic xmlns:a="http://schemas.openxmlformats.org/drawingml/2006/main">
              <a:graphicData uri="http://schemas.openxmlformats.org/drawingml/2006/picture">
                <pic:pic xmlns:pic="http://schemas.openxmlformats.org/drawingml/2006/picture">
                  <pic:nvPicPr>
                    <pic:cNvPr id="6" name="Imagen 5" descr="Z:\C_1133_BOGOTA_VILLETA\12_Fotografías\2015\06. JUNIO\2015-06-25 OPE\IMG_0005.JPG"/>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EB3BC8" w:rsidRPr="00041403" w:rsidRDefault="00EB3BC8" w:rsidP="00EB3BC8">
      <w:pPr>
        <w:tabs>
          <w:tab w:val="left" w:pos="6570"/>
        </w:tabs>
        <w:spacing w:after="0" w:line="240" w:lineRule="auto"/>
        <w:jc w:val="center"/>
        <w:rPr>
          <w:rFonts w:eastAsiaTheme="minorHAnsi" w:cstheme="minorHAnsi"/>
          <w:sz w:val="18"/>
          <w:szCs w:val="18"/>
        </w:rPr>
      </w:pPr>
      <w:r w:rsidRPr="00041403">
        <w:rPr>
          <w:rFonts w:eastAsiaTheme="minorHAnsi" w:cstheme="minorHAnsi"/>
          <w:sz w:val="18"/>
          <w:szCs w:val="18"/>
        </w:rPr>
        <w:t>Tramo 1, Túnel falso El Cune en operación</w:t>
      </w:r>
    </w:p>
    <w:p w:rsidR="00EB3BC8" w:rsidRPr="00041403" w:rsidRDefault="00EB3BC8" w:rsidP="00EB3BC8">
      <w:pPr>
        <w:tabs>
          <w:tab w:val="left" w:pos="6570"/>
        </w:tabs>
        <w:spacing w:after="0" w:line="240" w:lineRule="auto"/>
        <w:jc w:val="both"/>
        <w:rPr>
          <w:rFonts w:eastAsiaTheme="minorHAnsi" w:cstheme="minorHAnsi"/>
          <w:sz w:val="24"/>
          <w:szCs w:val="24"/>
        </w:rPr>
      </w:pPr>
    </w:p>
    <w:p w:rsidR="00EB3BC8" w:rsidRPr="00041403" w:rsidRDefault="00EB3BC8" w:rsidP="00EB3BC8">
      <w:pPr>
        <w:keepNext/>
        <w:spacing w:after="0" w:line="240" w:lineRule="auto"/>
        <w:outlineLvl w:val="3"/>
        <w:rPr>
          <w:rFonts w:eastAsiaTheme="minorHAnsi" w:cstheme="minorHAnsi"/>
        </w:rPr>
      </w:pPr>
    </w:p>
    <w:p w:rsidR="00EB3BC8" w:rsidRPr="00041403" w:rsidRDefault="00EB3BC8" w:rsidP="000021B2">
      <w:pPr>
        <w:keepNext/>
        <w:numPr>
          <w:ilvl w:val="0"/>
          <w:numId w:val="75"/>
        </w:numPr>
        <w:spacing w:after="0" w:line="240" w:lineRule="auto"/>
        <w:contextualSpacing/>
        <w:outlineLvl w:val="3"/>
        <w:rPr>
          <w:rFonts w:eastAsia="Calibri" w:cstheme="minorHAnsi"/>
          <w:b/>
        </w:rPr>
      </w:pPr>
      <w:r w:rsidRPr="00041403">
        <w:rPr>
          <w:rFonts w:eastAsia="Calibri" w:cstheme="minorHAnsi"/>
          <w:b/>
        </w:rPr>
        <w:t xml:space="preserve">Tramo 2: Construcción de vía doble calzada entre La Vega y el cruce a Útica (Km 56+700 </w:t>
      </w:r>
      <w:bookmarkStart w:id="66" w:name="_Toc378859695"/>
      <w:r w:rsidRPr="00041403">
        <w:rPr>
          <w:rFonts w:eastAsia="Calibri" w:cstheme="minorHAnsi"/>
          <w:b/>
        </w:rPr>
        <w:t>– Km 78+750)</w:t>
      </w:r>
      <w:bookmarkEnd w:id="66"/>
    </w:p>
    <w:p w:rsidR="00EB3BC8" w:rsidRPr="00041403" w:rsidRDefault="00EB3BC8" w:rsidP="00EB3BC8">
      <w:pPr>
        <w:keepNext/>
        <w:spacing w:after="0" w:line="240" w:lineRule="auto"/>
        <w:outlineLvl w:val="3"/>
        <w:rPr>
          <w:rFonts w:eastAsiaTheme="minorHAnsi" w:cstheme="minorHAnsi"/>
          <w:b/>
        </w:rPr>
      </w:pPr>
    </w:p>
    <w:p w:rsidR="00EB3BC8" w:rsidRPr="00041403" w:rsidRDefault="00EB3BC8" w:rsidP="00EB3BC8">
      <w:pPr>
        <w:keepNext/>
        <w:spacing w:after="0" w:line="240" w:lineRule="auto"/>
        <w:ind w:firstLine="360"/>
        <w:outlineLvl w:val="3"/>
        <w:rPr>
          <w:rFonts w:eastAsiaTheme="minorHAnsi" w:cstheme="minorHAnsi"/>
          <w:lang w:val="es-419"/>
        </w:rPr>
      </w:pPr>
      <w:r w:rsidRPr="00041403">
        <w:rPr>
          <w:rFonts w:eastAsiaTheme="minorHAnsi" w:cstheme="minorHAnsi"/>
          <w:lang w:val="es-419"/>
        </w:rPr>
        <w:t>En este tramo, se ejecutaron las siguientes actividades:</w:t>
      </w:r>
    </w:p>
    <w:p w:rsidR="00EB3BC8" w:rsidRPr="00041403" w:rsidRDefault="00EB3BC8" w:rsidP="00EB3BC8">
      <w:pPr>
        <w:keepNext/>
        <w:spacing w:after="0" w:line="240" w:lineRule="auto"/>
        <w:outlineLvl w:val="3"/>
        <w:rPr>
          <w:rFonts w:eastAsiaTheme="minorHAnsi" w:cstheme="minorHAnsi"/>
          <w:b/>
        </w:rPr>
      </w:pPr>
    </w:p>
    <w:p w:rsidR="00EB3BC8" w:rsidRPr="00041403" w:rsidRDefault="00EB3BC8" w:rsidP="000021B2">
      <w:pPr>
        <w:numPr>
          <w:ilvl w:val="0"/>
          <w:numId w:val="71"/>
        </w:numPr>
        <w:spacing w:after="0" w:line="240" w:lineRule="auto"/>
        <w:contextualSpacing/>
        <w:jc w:val="both"/>
        <w:rPr>
          <w:rFonts w:eastAsia="Calibri" w:cstheme="minorHAnsi"/>
        </w:rPr>
      </w:pPr>
      <w:r w:rsidRPr="00041403">
        <w:rPr>
          <w:rFonts w:eastAsia="Calibri" w:cstheme="minorHAnsi"/>
        </w:rPr>
        <w:t>En este tramo se ha pavimentado 20,74 km de vía en doble calzada a nivel de carpeta asfáltica</w:t>
      </w:r>
      <w:r w:rsidRPr="00041403">
        <w:rPr>
          <w:rFonts w:eastAsia="Calibri" w:cstheme="minorHAnsi"/>
          <w:lang w:val="es-419"/>
        </w:rPr>
        <w:t xml:space="preserve">; </w:t>
      </w:r>
      <w:r w:rsidRPr="00041403">
        <w:rPr>
          <w:rFonts w:eastAsia="Calibri" w:cstheme="minorHAnsi"/>
        </w:rPr>
        <w:t xml:space="preserve">así mismo, se tienen construidos cerca de 18,2 km de separadores, de los cuales la gran mayoría son </w:t>
      </w:r>
      <w:r w:rsidRPr="00041403">
        <w:rPr>
          <w:rFonts w:eastAsia="Calibri" w:cstheme="minorHAnsi"/>
          <w:lang w:val="es-419"/>
        </w:rPr>
        <w:t>de tipo</w:t>
      </w:r>
      <w:r w:rsidRPr="00041403">
        <w:rPr>
          <w:rFonts w:eastAsia="Calibri" w:cstheme="minorHAnsi"/>
        </w:rPr>
        <w:t xml:space="preserve"> New Jersey. Adicionalmente, se han construido estructuras en concreto reforzado para soporte de las calzadas en voladizo en gran parte de los sectores proyectados.</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1"/>
        </w:numPr>
        <w:spacing w:after="0" w:line="240" w:lineRule="auto"/>
        <w:contextualSpacing/>
        <w:jc w:val="both"/>
        <w:rPr>
          <w:rFonts w:eastAsia="Calibri" w:cstheme="minorHAnsi"/>
        </w:rPr>
      </w:pPr>
      <w:r w:rsidRPr="00041403">
        <w:rPr>
          <w:rFonts w:eastAsia="Calibri" w:cstheme="minorHAnsi"/>
          <w:lang w:val="es-419"/>
        </w:rPr>
        <w:t>Se</w:t>
      </w:r>
      <w:r w:rsidRPr="00041403">
        <w:rPr>
          <w:rFonts w:eastAsia="Calibri" w:cstheme="minorHAnsi"/>
        </w:rPr>
        <w:t xml:space="preserve"> han construido muros para soporte de las calzadas en voladizo en gran parte de los sectores proyectados y </w:t>
      </w:r>
      <w:r w:rsidRPr="00041403">
        <w:rPr>
          <w:rFonts w:eastAsia="Calibri" w:cstheme="minorHAnsi"/>
          <w:lang w:val="es-419"/>
        </w:rPr>
        <w:t xml:space="preserve">actualmente, </w:t>
      </w:r>
      <w:r w:rsidRPr="00041403">
        <w:rPr>
          <w:rFonts w:eastAsia="Calibri" w:cstheme="minorHAnsi"/>
        </w:rPr>
        <w:t xml:space="preserve">se ejecuta la construcción de la estructura tipo calzada en voladizo proyectada para ampliar la calzada sur del K65+007 al K65+144. </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1"/>
        </w:numPr>
        <w:spacing w:after="0" w:line="240" w:lineRule="auto"/>
        <w:contextualSpacing/>
        <w:jc w:val="both"/>
        <w:rPr>
          <w:rFonts w:eastAsia="Calibri" w:cstheme="minorHAnsi"/>
        </w:rPr>
      </w:pPr>
      <w:r w:rsidRPr="00041403">
        <w:rPr>
          <w:rFonts w:eastAsia="Calibri" w:cstheme="minorHAnsi"/>
        </w:rPr>
        <w:t>Además, se efectuaron cortes en el talud localizado en el K59+550 y en el K64+300 y se realizaron actividades de campo y etapas iniciales de diseños para la construcción del puente elevado para conectar con el Municipio de Nocaima.</w:t>
      </w:r>
    </w:p>
    <w:p w:rsidR="00EB3BC8" w:rsidRPr="00041403" w:rsidRDefault="00EB3BC8" w:rsidP="00EB3BC8">
      <w:pPr>
        <w:spacing w:after="0" w:line="240" w:lineRule="auto"/>
        <w:jc w:val="both"/>
        <w:rPr>
          <w:rFonts w:eastAsiaTheme="minorHAnsi" w:cstheme="minorHAnsi"/>
        </w:rPr>
      </w:pPr>
    </w:p>
    <w:p w:rsidR="00EB3BC8" w:rsidRPr="00041403" w:rsidRDefault="00EB3BC8" w:rsidP="00EB3BC8">
      <w:pPr>
        <w:spacing w:after="0" w:line="240" w:lineRule="auto"/>
        <w:jc w:val="center"/>
        <w:rPr>
          <w:rFonts w:eastAsiaTheme="minorHAnsi" w:cstheme="minorHAnsi"/>
          <w:sz w:val="24"/>
          <w:szCs w:val="24"/>
        </w:rPr>
      </w:pPr>
      <w:r w:rsidRPr="00041403">
        <w:rPr>
          <w:rFonts w:eastAsiaTheme="minorHAnsi" w:cstheme="minorHAnsi"/>
          <w:noProof/>
        </w:rPr>
        <w:drawing>
          <wp:inline distT="0" distB="0" distL="0" distR="0" wp14:anchorId="4DF264A9" wp14:editId="670C7B2A">
            <wp:extent cx="2880000" cy="2160000"/>
            <wp:effectExtent l="0" t="0" r="0" b="0"/>
            <wp:docPr id="76" name="Imagen 5" descr="Z:\C_1133_BOGOTA_VILLETA\12_Fotografías\2015\06. JUNIO\2015-06-02_OPE_TEC\1 (48).JPG"/>
            <wp:cNvGraphicFramePr/>
            <a:graphic xmlns:a="http://schemas.openxmlformats.org/drawingml/2006/main">
              <a:graphicData uri="http://schemas.openxmlformats.org/drawingml/2006/picture">
                <pic:pic xmlns:pic="http://schemas.openxmlformats.org/drawingml/2006/picture">
                  <pic:nvPicPr>
                    <pic:cNvPr id="6" name="Imagen 5" descr="Z:\C_1133_BOGOTA_VILLETA\12_Fotografías\2015\06. JUNIO\2015-06-02_OPE_TEC\1 (48).JPG"/>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sz w:val="18"/>
          <w:szCs w:val="18"/>
        </w:rPr>
        <w:t>Tramo 2, corte en el talud</w:t>
      </w:r>
    </w:p>
    <w:p w:rsidR="00EB3BC8" w:rsidRPr="00041403" w:rsidRDefault="00EB3BC8" w:rsidP="00EB3BC8">
      <w:pPr>
        <w:spacing w:after="0" w:line="240" w:lineRule="auto"/>
        <w:jc w:val="center"/>
        <w:rPr>
          <w:rFonts w:eastAsiaTheme="minorHAnsi" w:cstheme="minorHAnsi"/>
          <w:sz w:val="24"/>
          <w:szCs w:val="24"/>
        </w:rPr>
      </w:pP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2"/>
        </w:numPr>
        <w:spacing w:after="0" w:line="240" w:lineRule="auto"/>
        <w:contextualSpacing/>
        <w:jc w:val="both"/>
        <w:rPr>
          <w:rFonts w:eastAsia="Calibri" w:cstheme="minorHAnsi"/>
        </w:rPr>
      </w:pPr>
      <w:r w:rsidRPr="00041403">
        <w:rPr>
          <w:rFonts w:eastAsia="Calibri" w:cstheme="minorHAnsi"/>
        </w:rPr>
        <w:t>En el mes de junio de 2015, se inició la construcción de un box c</w:t>
      </w:r>
      <w:r w:rsidRPr="00041403">
        <w:rPr>
          <w:rFonts w:eastAsia="Calibri" w:cstheme="minorHAnsi"/>
          <w:lang w:val="es-419"/>
        </w:rPr>
        <w:t>o</w:t>
      </w:r>
      <w:r w:rsidRPr="00041403">
        <w:rPr>
          <w:rFonts w:eastAsia="Calibri" w:cstheme="minorHAnsi"/>
        </w:rPr>
        <w:t>ulvert</w:t>
      </w:r>
      <w:r w:rsidRPr="00041403">
        <w:rPr>
          <w:rFonts w:eastAsia="Calibri" w:cstheme="minorHAnsi"/>
          <w:lang w:val="es-419"/>
        </w:rPr>
        <w:t>.</w:t>
      </w:r>
    </w:p>
    <w:p w:rsidR="00EB3BC8" w:rsidRPr="00041403" w:rsidRDefault="00EB3BC8" w:rsidP="00EB3BC8">
      <w:pPr>
        <w:spacing w:after="0" w:line="240" w:lineRule="auto"/>
        <w:ind w:left="720"/>
        <w:contextualSpacing/>
        <w:jc w:val="both"/>
        <w:rPr>
          <w:rFonts w:eastAsia="Calibri" w:cstheme="minorHAnsi"/>
        </w:rPr>
      </w:pPr>
    </w:p>
    <w:p w:rsidR="00EB3BC8" w:rsidRPr="00041403" w:rsidRDefault="00EB3BC8" w:rsidP="000021B2">
      <w:pPr>
        <w:numPr>
          <w:ilvl w:val="0"/>
          <w:numId w:val="72"/>
        </w:numPr>
        <w:spacing w:after="0" w:line="240" w:lineRule="auto"/>
        <w:contextualSpacing/>
        <w:jc w:val="both"/>
        <w:rPr>
          <w:rFonts w:eastAsia="Calibri" w:cstheme="minorHAnsi"/>
        </w:rPr>
      </w:pPr>
      <w:r w:rsidRPr="00041403">
        <w:rPr>
          <w:rFonts w:eastAsia="Calibri" w:cstheme="minorHAnsi"/>
        </w:rPr>
        <w:t xml:space="preserve">Se construyeron disipadores en gaviones, </w:t>
      </w:r>
      <w:r w:rsidRPr="00041403">
        <w:rPr>
          <w:rFonts w:eastAsia="Calibri" w:cstheme="minorHAnsi"/>
          <w:lang w:val="es-419"/>
        </w:rPr>
        <w:t xml:space="preserve">como también </w:t>
      </w:r>
      <w:r w:rsidRPr="00041403">
        <w:rPr>
          <w:rFonts w:eastAsia="Calibri" w:cstheme="minorHAnsi"/>
        </w:rPr>
        <w:t xml:space="preserve">se terminó la construcción de </w:t>
      </w:r>
      <w:r w:rsidRPr="00041403">
        <w:rPr>
          <w:rFonts w:eastAsia="Calibri" w:cstheme="minorHAnsi"/>
          <w:lang w:val="es-419"/>
        </w:rPr>
        <w:t xml:space="preserve">un </w:t>
      </w:r>
      <w:r w:rsidRPr="00041403">
        <w:rPr>
          <w:rFonts w:eastAsia="Calibri" w:cstheme="minorHAnsi"/>
        </w:rPr>
        <w:t>filtro longitudinal y caja para la alcantarilla.</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2"/>
        </w:numPr>
        <w:spacing w:after="0" w:line="240" w:lineRule="auto"/>
        <w:contextualSpacing/>
        <w:jc w:val="both"/>
        <w:rPr>
          <w:rFonts w:eastAsia="Calibri" w:cstheme="minorHAnsi"/>
        </w:rPr>
      </w:pPr>
      <w:r w:rsidRPr="00041403">
        <w:rPr>
          <w:rFonts w:eastAsia="Calibri" w:cstheme="minorHAnsi"/>
        </w:rPr>
        <w:t>De otro lado, se</w:t>
      </w:r>
      <w:r w:rsidRPr="00041403">
        <w:rPr>
          <w:rFonts w:eastAsia="Calibri" w:cstheme="minorHAnsi"/>
          <w:b/>
        </w:rPr>
        <w:t xml:space="preserve"> </w:t>
      </w:r>
      <w:r w:rsidRPr="00041403">
        <w:rPr>
          <w:rFonts w:eastAsia="Calibri" w:cstheme="minorHAnsi"/>
        </w:rPr>
        <w:t xml:space="preserve">terminó la excavación y conformación de la calzada entre el K64+210 y el K64+440 y se instaló la subbase granular, base granular y mezcla asfáltica MDC-1. </w:t>
      </w:r>
    </w:p>
    <w:p w:rsidR="00EB3BC8" w:rsidRPr="00041403" w:rsidRDefault="00EB3BC8" w:rsidP="00EB3BC8">
      <w:pPr>
        <w:spacing w:after="0" w:line="240" w:lineRule="auto"/>
        <w:rPr>
          <w:rFonts w:eastAsiaTheme="minorHAnsi" w:cstheme="minorHAnsi"/>
          <w:sz w:val="24"/>
          <w:szCs w:val="24"/>
        </w:rPr>
      </w:pPr>
    </w:p>
    <w:p w:rsidR="00EB3BC8" w:rsidRPr="00041403" w:rsidRDefault="00EB3BC8" w:rsidP="00EB3BC8">
      <w:pPr>
        <w:spacing w:after="0" w:line="240" w:lineRule="auto"/>
        <w:jc w:val="center"/>
        <w:rPr>
          <w:rFonts w:eastAsiaTheme="minorHAnsi" w:cstheme="minorHAnsi"/>
          <w:sz w:val="24"/>
          <w:szCs w:val="24"/>
        </w:rPr>
      </w:pPr>
      <w:r w:rsidRPr="00041403">
        <w:rPr>
          <w:rFonts w:eastAsiaTheme="minorHAnsi" w:cstheme="minorHAnsi"/>
          <w:noProof/>
        </w:rPr>
        <w:drawing>
          <wp:inline distT="0" distB="0" distL="0" distR="0" wp14:anchorId="64DDD6F1" wp14:editId="2D8BCFD7">
            <wp:extent cx="2880000" cy="2160000"/>
            <wp:effectExtent l="0" t="0" r="0" b="0"/>
            <wp:docPr id="50" name="Imagen 5" descr="Z:\C_1133_BOGOTA_VILLETA\12_Fotografías\2015\06. JUNIO\2015-06-26 TEC\1 (47).JPG"/>
            <wp:cNvGraphicFramePr/>
            <a:graphic xmlns:a="http://schemas.openxmlformats.org/drawingml/2006/main">
              <a:graphicData uri="http://schemas.openxmlformats.org/drawingml/2006/picture">
                <pic:pic xmlns:pic="http://schemas.openxmlformats.org/drawingml/2006/picture">
                  <pic:nvPicPr>
                    <pic:cNvPr id="6" name="Imagen 5" descr="Z:\C_1133_BOGOTA_VILLETA\12_Fotografías\2015\06. JUNIO\2015-06-26 TEC\1 (47).JPG"/>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sz w:val="18"/>
          <w:szCs w:val="18"/>
        </w:rPr>
        <w:t>Tramo 2, base asfáltica instalada MDC-1</w:t>
      </w:r>
    </w:p>
    <w:p w:rsidR="00EB3BC8" w:rsidRPr="00041403" w:rsidRDefault="00EB3BC8" w:rsidP="00EB3BC8">
      <w:pPr>
        <w:spacing w:after="0" w:line="240" w:lineRule="auto"/>
        <w:rPr>
          <w:rFonts w:eastAsiaTheme="minorHAnsi" w:cstheme="minorHAnsi"/>
          <w:sz w:val="24"/>
          <w:szCs w:val="24"/>
        </w:rPr>
      </w:pPr>
    </w:p>
    <w:p w:rsidR="00EB3BC8" w:rsidRPr="00041403" w:rsidRDefault="00EB3BC8" w:rsidP="000021B2">
      <w:pPr>
        <w:numPr>
          <w:ilvl w:val="0"/>
          <w:numId w:val="73"/>
        </w:numPr>
        <w:spacing w:after="0" w:line="240" w:lineRule="auto"/>
        <w:contextualSpacing/>
        <w:jc w:val="both"/>
        <w:rPr>
          <w:rFonts w:eastAsia="Calibri" w:cstheme="minorHAnsi"/>
        </w:rPr>
      </w:pPr>
      <w:r w:rsidRPr="00041403">
        <w:rPr>
          <w:rFonts w:eastAsia="Calibri" w:cstheme="minorHAnsi"/>
        </w:rPr>
        <w:t>Adicionalmente, se terminaron los trabajos de perfilado del Talud localizado entre el K64+870 y el K64+940 y se llevan a cabo las perforaciones para instalación de malla pernada para evitar la caída de material a la vía.</w:t>
      </w:r>
    </w:p>
    <w:p w:rsidR="00EB3BC8" w:rsidRPr="00041403" w:rsidRDefault="00EB3BC8" w:rsidP="00EB3BC8">
      <w:pPr>
        <w:spacing w:after="0" w:line="240" w:lineRule="auto"/>
        <w:ind w:left="720"/>
        <w:contextualSpacing/>
        <w:jc w:val="both"/>
        <w:rPr>
          <w:rFonts w:eastAsia="Calibri" w:cstheme="minorHAnsi"/>
        </w:rPr>
      </w:pPr>
    </w:p>
    <w:p w:rsidR="00EB3BC8" w:rsidRPr="00041403" w:rsidRDefault="00EB3BC8" w:rsidP="000021B2">
      <w:pPr>
        <w:numPr>
          <w:ilvl w:val="0"/>
          <w:numId w:val="73"/>
        </w:numPr>
        <w:spacing w:after="0" w:line="240" w:lineRule="auto"/>
        <w:contextualSpacing/>
        <w:jc w:val="both"/>
        <w:rPr>
          <w:rFonts w:eastAsia="Calibri" w:cstheme="minorHAnsi"/>
        </w:rPr>
      </w:pPr>
      <w:r w:rsidRPr="00041403">
        <w:rPr>
          <w:rFonts w:eastAsia="Calibri" w:cstheme="minorHAnsi"/>
        </w:rPr>
        <w:t>Se continuaron los trabajos de corte y perfilado del talud localizado en el K59+250.</w:t>
      </w:r>
    </w:p>
    <w:p w:rsidR="00EB3BC8" w:rsidRPr="00041403" w:rsidRDefault="00EB3BC8" w:rsidP="00EB3BC8">
      <w:pPr>
        <w:spacing w:after="0" w:line="240" w:lineRule="auto"/>
        <w:rPr>
          <w:rFonts w:eastAsiaTheme="minorHAnsi" w:cstheme="minorHAnsi"/>
          <w:b/>
        </w:rPr>
      </w:pPr>
    </w:p>
    <w:p w:rsidR="00EB3BC8" w:rsidRPr="00041403" w:rsidRDefault="00EB3BC8" w:rsidP="000021B2">
      <w:pPr>
        <w:numPr>
          <w:ilvl w:val="0"/>
          <w:numId w:val="73"/>
        </w:numPr>
        <w:spacing w:after="0" w:line="240" w:lineRule="auto"/>
        <w:contextualSpacing/>
        <w:jc w:val="both"/>
        <w:rPr>
          <w:rFonts w:eastAsia="Calibri" w:cstheme="minorHAnsi"/>
        </w:rPr>
      </w:pPr>
      <w:r w:rsidRPr="00041403">
        <w:rPr>
          <w:rFonts w:eastAsia="Calibri" w:cstheme="minorHAnsi"/>
        </w:rPr>
        <w:t>Con relación a otras obras, durante el segundo trimestre del año en curso, el Concesionario continuo con los trabajos de reforzamiento del estribo sur-oriental del puente sobre el río Villeta K76+400,  en el mes de junio se terminó la conformación del jarillón y se realizó la demolición de la aleta del estribo.</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3"/>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En este Tramo se continúa con la ejecución de las Obras de Estabilización contratadas por el Fondo de Adaptación.</w:t>
      </w:r>
    </w:p>
    <w:p w:rsidR="00EB3BC8" w:rsidRPr="00041403" w:rsidRDefault="00EB3BC8" w:rsidP="00EB3BC8">
      <w:pPr>
        <w:spacing w:after="0" w:line="240" w:lineRule="auto"/>
        <w:jc w:val="both"/>
        <w:rPr>
          <w:rFonts w:eastAsiaTheme="minorHAnsi" w:cstheme="minorHAnsi"/>
          <w:color w:val="000000" w:themeColor="text1"/>
        </w:rPr>
      </w:pPr>
    </w:p>
    <w:p w:rsidR="00543C6E" w:rsidRDefault="00543C6E" w:rsidP="00EB3BC8">
      <w:pPr>
        <w:spacing w:after="0" w:line="240" w:lineRule="auto"/>
        <w:jc w:val="both"/>
        <w:rPr>
          <w:rFonts w:eastAsia="Calibri"/>
          <w:b/>
        </w:rPr>
      </w:pPr>
    </w:p>
    <w:p w:rsidR="00EB3BC8" w:rsidRPr="00041403" w:rsidRDefault="00543C6E" w:rsidP="00EB3BC8">
      <w:pPr>
        <w:spacing w:after="0" w:line="240" w:lineRule="auto"/>
        <w:jc w:val="both"/>
        <w:rPr>
          <w:rFonts w:eastAsiaTheme="minorHAnsi" w:cstheme="minorHAnsi"/>
          <w:color w:val="000000" w:themeColor="text1"/>
        </w:rPr>
      </w:pPr>
      <w:r w:rsidRPr="00543C6E">
        <w:rPr>
          <w:rFonts w:eastAsia="Calibri"/>
          <w:b/>
        </w:rPr>
        <w:t>Tramo 3: El Chuscal (K37+900) – La Vega (K56+700), que incluye el Tramo 3.1</w:t>
      </w:r>
    </w:p>
    <w:p w:rsidR="00EB3BC8" w:rsidRPr="00041403" w:rsidRDefault="00EB3BC8" w:rsidP="00EB3BC8">
      <w:pPr>
        <w:keepNext/>
        <w:spacing w:after="0" w:line="240" w:lineRule="auto"/>
        <w:jc w:val="both"/>
        <w:outlineLvl w:val="2"/>
        <w:rPr>
          <w:rFonts w:eastAsiaTheme="minorHAnsi" w:cstheme="minorHAnsi"/>
          <w:b/>
          <w:color w:val="000000" w:themeColor="text1"/>
        </w:rPr>
      </w:pPr>
    </w:p>
    <w:p w:rsidR="00EB3BC8" w:rsidRPr="00041403" w:rsidRDefault="00EB3BC8" w:rsidP="000021B2">
      <w:pPr>
        <w:numPr>
          <w:ilvl w:val="0"/>
          <w:numId w:val="74"/>
        </w:numPr>
        <w:spacing w:after="0" w:line="240" w:lineRule="auto"/>
        <w:contextualSpacing/>
        <w:jc w:val="both"/>
        <w:rPr>
          <w:rFonts w:eastAsia="Calibri" w:cstheme="minorHAnsi"/>
        </w:rPr>
      </w:pPr>
      <w:r w:rsidRPr="00041403">
        <w:rPr>
          <w:rFonts w:eastAsia="Calibri" w:cstheme="minorHAnsi"/>
        </w:rPr>
        <w:t xml:space="preserve">Durante el segundo trimestre del año 2015, a nivel de capas asfálticas; se tienen terminados y en operación vehicular los puentes vehiculares, además de un avance representativo en muros de contención, en explanación y conformación de capas granulares, en construcción de cunetas, en conformación de separador y en colocación de concreto lanzado para proteger taludes. </w:t>
      </w:r>
    </w:p>
    <w:p w:rsidR="00EB3BC8" w:rsidRPr="00041403" w:rsidRDefault="00EB3BC8" w:rsidP="00EB3BC8">
      <w:pPr>
        <w:spacing w:after="0" w:line="240" w:lineRule="auto"/>
        <w:jc w:val="both"/>
        <w:rPr>
          <w:rFonts w:eastAsiaTheme="minorHAnsi" w:cstheme="minorHAnsi"/>
        </w:rPr>
      </w:pPr>
    </w:p>
    <w:p w:rsidR="00EB3BC8" w:rsidRPr="00041403" w:rsidRDefault="00EB3BC8" w:rsidP="00EB3BC8">
      <w:pPr>
        <w:spacing w:after="0" w:line="240" w:lineRule="auto"/>
        <w:jc w:val="center"/>
        <w:rPr>
          <w:rFonts w:eastAsiaTheme="minorHAnsi" w:cstheme="minorHAnsi"/>
          <w:sz w:val="24"/>
          <w:szCs w:val="24"/>
        </w:rPr>
      </w:pPr>
      <w:r w:rsidRPr="00041403">
        <w:rPr>
          <w:rFonts w:eastAsiaTheme="minorHAnsi" w:cstheme="minorHAnsi"/>
          <w:noProof/>
        </w:rPr>
        <w:drawing>
          <wp:inline distT="0" distB="0" distL="0" distR="0" wp14:anchorId="67B14159" wp14:editId="1624CFCC">
            <wp:extent cx="2718486" cy="1944130"/>
            <wp:effectExtent l="0" t="0" r="5715" b="0"/>
            <wp:docPr id="77" name="1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10 Imagen"/>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24956" cy="1948757"/>
                    </a:xfrm>
                    <a:prstGeom prst="rect">
                      <a:avLst/>
                    </a:prstGeom>
                  </pic:spPr>
                </pic:pic>
              </a:graphicData>
            </a:graphic>
          </wp:inline>
        </w:drawing>
      </w: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sz w:val="18"/>
          <w:szCs w:val="18"/>
        </w:rPr>
        <w:t>Tramo 3, Construcción muro de contención</w:t>
      </w:r>
    </w:p>
    <w:p w:rsidR="00EB3BC8" w:rsidRPr="00041403" w:rsidRDefault="00EB3BC8" w:rsidP="00EB3BC8">
      <w:pPr>
        <w:spacing w:after="0" w:line="240" w:lineRule="auto"/>
        <w:jc w:val="center"/>
        <w:rPr>
          <w:rFonts w:eastAsiaTheme="minorHAnsi" w:cstheme="minorHAnsi"/>
        </w:rPr>
      </w:pPr>
    </w:p>
    <w:p w:rsidR="00EB3BC8" w:rsidRPr="00041403" w:rsidRDefault="00EB3BC8" w:rsidP="000021B2">
      <w:pPr>
        <w:numPr>
          <w:ilvl w:val="0"/>
          <w:numId w:val="74"/>
        </w:numPr>
        <w:spacing w:after="0" w:line="240" w:lineRule="auto"/>
        <w:contextualSpacing/>
        <w:jc w:val="both"/>
        <w:rPr>
          <w:rFonts w:eastAsia="Calibri" w:cstheme="minorHAnsi"/>
        </w:rPr>
      </w:pPr>
      <w:r w:rsidRPr="00041403">
        <w:rPr>
          <w:rFonts w:eastAsia="Calibri" w:cstheme="minorHAnsi"/>
        </w:rPr>
        <w:t>A finales de junio de 2015, se contó con doble calzada discontinua en operación vehicular entre el K37+900 y el K52+300, anotando que actualmente los trabajos construcción se concentran entre el K52+300 y el K53+200 (inicio Tramo 3.1), presentando en este sector tramos discontinuos de doble calzada.</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4"/>
        </w:numPr>
        <w:spacing w:after="0" w:line="240" w:lineRule="auto"/>
        <w:contextualSpacing/>
        <w:jc w:val="both"/>
        <w:rPr>
          <w:rFonts w:eastAsia="Calibri" w:cstheme="minorHAnsi"/>
        </w:rPr>
      </w:pPr>
      <w:r w:rsidRPr="00041403">
        <w:rPr>
          <w:rFonts w:eastAsia="Calibri" w:cstheme="minorHAnsi"/>
          <w:color w:val="000000" w:themeColor="text1"/>
        </w:rPr>
        <w:t xml:space="preserve">En este trimestre, se realizaron diferentes obras de drenaje longitudinal y transversal, las cuales incluyeron cunetas, disipadores en concreto y en gaviones, alcantarillas y </w:t>
      </w:r>
      <w:r w:rsidRPr="00041403">
        <w:rPr>
          <w:rFonts w:eastAsia="Calibri" w:cstheme="minorHAnsi"/>
        </w:rPr>
        <w:t>box c</w:t>
      </w:r>
      <w:r w:rsidRPr="00041403">
        <w:rPr>
          <w:rFonts w:eastAsia="Calibri" w:cstheme="minorHAnsi"/>
          <w:lang w:val="es-419"/>
        </w:rPr>
        <w:t>o</w:t>
      </w:r>
      <w:r w:rsidRPr="00041403">
        <w:rPr>
          <w:rFonts w:eastAsia="Calibri" w:cstheme="minorHAnsi"/>
        </w:rPr>
        <w:t>ulvert</w:t>
      </w:r>
      <w:r w:rsidRPr="00041403">
        <w:rPr>
          <w:rFonts w:eastAsia="Calibri" w:cstheme="minorHAnsi"/>
          <w:lang w:val="es-419"/>
        </w:rPr>
        <w:t xml:space="preserve">; </w:t>
      </w:r>
      <w:r w:rsidRPr="00041403">
        <w:rPr>
          <w:rFonts w:eastAsia="Calibri" w:cstheme="minorHAnsi"/>
        </w:rPr>
        <w:t>adicionalmente</w:t>
      </w:r>
      <w:r w:rsidRPr="00041403">
        <w:rPr>
          <w:rFonts w:eastAsia="Calibri" w:cstheme="minorHAnsi"/>
          <w:lang w:val="es-419"/>
        </w:rPr>
        <w:t>,</w:t>
      </w:r>
      <w:r w:rsidRPr="00041403">
        <w:rPr>
          <w:rFonts w:eastAsia="Calibri" w:cstheme="minorHAnsi"/>
        </w:rPr>
        <w:t xml:space="preserve"> </w:t>
      </w:r>
      <w:r w:rsidRPr="00041403">
        <w:rPr>
          <w:rFonts w:eastAsia="Calibri" w:cstheme="minorHAnsi"/>
          <w:color w:val="000000" w:themeColor="text1"/>
        </w:rPr>
        <w:t xml:space="preserve">se </w:t>
      </w:r>
      <w:r w:rsidRPr="00041403">
        <w:rPr>
          <w:rFonts w:eastAsia="Calibri" w:cstheme="minorHAnsi"/>
        </w:rPr>
        <w:t>adelantaron trabajos de construcción de muros de contención.</w:t>
      </w:r>
    </w:p>
    <w:p w:rsidR="00EB3BC8" w:rsidRPr="00041403" w:rsidRDefault="00EB3BC8" w:rsidP="00EB3BC8">
      <w:pPr>
        <w:spacing w:after="0" w:line="240" w:lineRule="auto"/>
        <w:jc w:val="both"/>
        <w:rPr>
          <w:rFonts w:eastAsiaTheme="minorHAnsi" w:cstheme="minorHAnsi"/>
          <w:color w:val="000000" w:themeColor="text1"/>
        </w:rPr>
      </w:pPr>
    </w:p>
    <w:p w:rsidR="00EB3BC8" w:rsidRPr="00041403" w:rsidRDefault="00EB3BC8" w:rsidP="000021B2">
      <w:pPr>
        <w:numPr>
          <w:ilvl w:val="0"/>
          <w:numId w:val="74"/>
        </w:numPr>
        <w:spacing w:after="0" w:line="240" w:lineRule="auto"/>
        <w:contextualSpacing/>
        <w:jc w:val="both"/>
        <w:rPr>
          <w:rFonts w:eastAsia="Calibri" w:cstheme="minorHAnsi"/>
        </w:rPr>
      </w:pPr>
      <w:r w:rsidRPr="00041403">
        <w:rPr>
          <w:rFonts w:eastAsia="Calibri" w:cstheme="minorHAnsi"/>
          <w:color w:val="000000" w:themeColor="text1"/>
        </w:rPr>
        <w:t xml:space="preserve">Por otra parte, durante el mes de mayo del presente año, se </w:t>
      </w:r>
      <w:r w:rsidRPr="00041403">
        <w:rPr>
          <w:rFonts w:eastAsia="Calibri" w:cstheme="minorHAnsi"/>
        </w:rPr>
        <w:t>efectuó la excavación para conformación de la calzada entre las abscisas del K53+010/070, K64+210/440 y K65+074/144, se realizó el mejoramiento de la subrasante y/o construcción de terraplén entre las siguientes abscisas: K48+120/135 y K53+010/070.</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4"/>
        </w:numPr>
        <w:spacing w:after="0" w:line="240" w:lineRule="auto"/>
        <w:contextualSpacing/>
        <w:jc w:val="both"/>
        <w:rPr>
          <w:rFonts w:eastAsia="Calibri" w:cstheme="minorHAnsi"/>
        </w:rPr>
      </w:pPr>
      <w:r w:rsidRPr="00041403">
        <w:rPr>
          <w:rFonts w:eastAsia="Calibri" w:cstheme="minorHAnsi"/>
        </w:rPr>
        <w:t>También se instaló subbase granular entre las siguientes abscisas: K43+270/444 y K53+010/07 base granular en una longitud entre el K53+010 y el K53+070 y Mezcla Asfáltica MDC-1 y MDC-2 entre el K49+520/090 y el K53+010/070.</w:t>
      </w:r>
    </w:p>
    <w:p w:rsidR="00EB3BC8" w:rsidRPr="00041403" w:rsidRDefault="00EB3BC8" w:rsidP="00EB3BC8">
      <w:pPr>
        <w:spacing w:after="0" w:line="240" w:lineRule="auto"/>
        <w:jc w:val="both"/>
        <w:rPr>
          <w:rFonts w:eastAsiaTheme="minorHAnsi" w:cstheme="minorHAnsi"/>
        </w:rPr>
      </w:pPr>
    </w:p>
    <w:p w:rsidR="00EB3BC8" w:rsidRPr="00041403" w:rsidRDefault="00EB3BC8" w:rsidP="00EB3BC8">
      <w:pPr>
        <w:spacing w:after="0" w:line="240" w:lineRule="auto"/>
        <w:jc w:val="center"/>
        <w:rPr>
          <w:rFonts w:eastAsiaTheme="minorHAnsi" w:cstheme="minorHAnsi"/>
          <w:sz w:val="24"/>
          <w:szCs w:val="24"/>
        </w:rPr>
      </w:pPr>
      <w:r w:rsidRPr="00041403">
        <w:rPr>
          <w:rFonts w:eastAsiaTheme="minorHAnsi" w:cstheme="minorHAnsi"/>
          <w:noProof/>
        </w:rPr>
        <w:drawing>
          <wp:inline distT="0" distB="0" distL="0" distR="0" wp14:anchorId="1D447E22" wp14:editId="67A79A98">
            <wp:extent cx="2880000" cy="2160000"/>
            <wp:effectExtent l="0" t="0" r="0" b="0"/>
            <wp:docPr id="78" name="17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17 Imagen"/>
                    <pic:cNvPicPr preferRelativeResize="0">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sz w:val="18"/>
          <w:szCs w:val="18"/>
        </w:rPr>
        <w:t>Tramo 3, Instalación de mezcla asfáltica MDC – 1</w:t>
      </w:r>
    </w:p>
    <w:p w:rsidR="00EB3BC8" w:rsidRPr="00041403" w:rsidRDefault="00EB3BC8" w:rsidP="00EB3BC8">
      <w:pPr>
        <w:spacing w:after="0" w:line="240" w:lineRule="auto"/>
        <w:jc w:val="center"/>
        <w:rPr>
          <w:rFonts w:eastAsiaTheme="minorHAnsi" w:cstheme="minorHAnsi"/>
          <w:sz w:val="18"/>
          <w:szCs w:val="18"/>
        </w:rPr>
      </w:pPr>
    </w:p>
    <w:p w:rsidR="00EB3BC8" w:rsidRPr="00041403" w:rsidRDefault="00EB3BC8" w:rsidP="000021B2">
      <w:pPr>
        <w:numPr>
          <w:ilvl w:val="0"/>
          <w:numId w:val="76"/>
        </w:numPr>
        <w:spacing w:after="0" w:line="240" w:lineRule="auto"/>
        <w:contextualSpacing/>
        <w:jc w:val="both"/>
        <w:rPr>
          <w:rFonts w:eastAsia="Calibri" w:cstheme="minorHAnsi"/>
        </w:rPr>
      </w:pPr>
      <w:r w:rsidRPr="00041403">
        <w:rPr>
          <w:rFonts w:eastAsia="Calibri" w:cstheme="minorHAnsi"/>
        </w:rPr>
        <w:t>En el mes de junio de 2015, se ejecutó la excavación y conformación de la calzada entre el K48+065 y el K48+135 y entre el K52+070 y el K52+300, así mismo, en esto</w:t>
      </w:r>
      <w:r w:rsidRPr="00041403">
        <w:rPr>
          <w:rFonts w:eastAsia="Calibri" w:cstheme="minorHAnsi"/>
          <w:lang w:val="es-419"/>
        </w:rPr>
        <w:t>s</w:t>
      </w:r>
      <w:r w:rsidRPr="00041403">
        <w:rPr>
          <w:rFonts w:eastAsia="Calibri" w:cstheme="minorHAnsi"/>
        </w:rPr>
        <w:t xml:space="preserve"> sectores se instaló la subbase granular, base granular y mezcla asfáltica MDC-1 y se conformó el carril de incorporación del retorno localizado entre el K43+295 y el K43+480 (185 m) y se instalaron las capas de rodadura a nivel de MDC-2.</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6"/>
        </w:numPr>
        <w:spacing w:after="0" w:line="240" w:lineRule="auto"/>
        <w:contextualSpacing/>
        <w:jc w:val="both"/>
        <w:rPr>
          <w:rFonts w:eastAsia="Calibri" w:cstheme="minorHAnsi"/>
        </w:rPr>
      </w:pPr>
      <w:r w:rsidRPr="00041403">
        <w:rPr>
          <w:rFonts w:eastAsia="Calibri" w:cstheme="minorHAnsi"/>
        </w:rPr>
        <w:t>En el segundo trimestre del año 2015 se trabajó en la estabilización del Talud localizado entre el K43+810 y el K43+870 y entre el K48+420 y el K48+500, adicionalmente, se protegió con piedra pegada el Talud localizado entre el K53+010 y el K53+070.</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6"/>
        </w:numPr>
        <w:spacing w:after="0" w:line="240" w:lineRule="auto"/>
        <w:contextualSpacing/>
        <w:jc w:val="both"/>
        <w:rPr>
          <w:rFonts w:eastAsia="Calibri" w:cstheme="minorHAnsi"/>
        </w:rPr>
      </w:pPr>
      <w:r w:rsidRPr="00041403">
        <w:rPr>
          <w:rFonts w:eastAsia="Calibri" w:cstheme="minorHAnsi"/>
        </w:rPr>
        <w:t>Se construyó el New Jersey entre las abscisas K50+238 y K50+420 y entre las abscisas K48+065/135 y K49+500/830, además, del murete en el separador ubicado entre las abscisas K49+090 y K49+200.</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6"/>
        </w:numPr>
        <w:spacing w:after="0" w:line="240" w:lineRule="auto"/>
        <w:contextualSpacing/>
        <w:jc w:val="both"/>
        <w:rPr>
          <w:rFonts w:eastAsia="Calibri" w:cstheme="minorHAnsi"/>
        </w:rPr>
      </w:pPr>
      <w:r w:rsidRPr="00041403">
        <w:rPr>
          <w:rFonts w:eastAsia="Calibri" w:cstheme="minorHAnsi"/>
        </w:rPr>
        <w:t>En relación con el paso urbano por el Municipio de La Vega, el Concesionario continua realizando las gestiones para la construcción de la calzada adicional del K53+200 al K54+450, así mismo, la zona del K54+450 al K56+700, que también hace parte del Tramo 3.1, no se podrá iniciar su construcción hasta tanto la ANLA no apruebe la licencia ambiental para su construcción, realizados trámites previos de solicitud por parte del Concesionario.</w:t>
      </w:r>
    </w:p>
    <w:p w:rsidR="00EB3BC8" w:rsidRPr="00041403" w:rsidRDefault="00EB3BC8" w:rsidP="00EB3BC8">
      <w:pPr>
        <w:spacing w:after="0" w:line="240" w:lineRule="auto"/>
        <w:rPr>
          <w:rFonts w:eastAsiaTheme="minorHAnsi" w:cstheme="minorHAnsi"/>
        </w:rPr>
      </w:pPr>
    </w:p>
    <w:p w:rsidR="00EB3BC8" w:rsidRPr="00041403" w:rsidRDefault="00EB3BC8" w:rsidP="00EB3BC8">
      <w:pPr>
        <w:keepNext/>
        <w:spacing w:after="0" w:line="240" w:lineRule="auto"/>
        <w:jc w:val="both"/>
        <w:outlineLvl w:val="2"/>
        <w:rPr>
          <w:rFonts w:eastAsiaTheme="minorHAnsi" w:cstheme="minorHAnsi"/>
          <w:b/>
          <w:color w:val="000000" w:themeColor="text1"/>
        </w:rPr>
      </w:pPr>
    </w:p>
    <w:p w:rsidR="00EB3BC8" w:rsidRPr="00041403" w:rsidRDefault="00EB3BC8" w:rsidP="00A90A9E">
      <w:pPr>
        <w:keepNext/>
        <w:spacing w:after="0" w:line="240" w:lineRule="auto"/>
        <w:contextualSpacing/>
        <w:jc w:val="both"/>
        <w:outlineLvl w:val="2"/>
        <w:rPr>
          <w:rFonts w:eastAsia="Calibri" w:cstheme="minorHAnsi"/>
          <w:b/>
          <w:color w:val="000000" w:themeColor="text1"/>
        </w:rPr>
      </w:pPr>
      <w:bookmarkStart w:id="67" w:name="_Toc426547740"/>
      <w:bookmarkStart w:id="68" w:name="_Toc426558469"/>
      <w:bookmarkStart w:id="69" w:name="_Toc426559213"/>
      <w:r w:rsidRPr="00041403">
        <w:rPr>
          <w:rFonts w:eastAsia="Calibri" w:cstheme="minorHAnsi"/>
          <w:b/>
          <w:color w:val="000000" w:themeColor="text1"/>
        </w:rPr>
        <w:t>Tramo 4: El Vino (K31+200) – El Chuscal (K37+900)</w:t>
      </w:r>
      <w:bookmarkEnd w:id="67"/>
      <w:bookmarkEnd w:id="68"/>
      <w:bookmarkEnd w:id="69"/>
    </w:p>
    <w:p w:rsidR="00EB3BC8" w:rsidRPr="00041403" w:rsidRDefault="00EB3BC8" w:rsidP="00EB3BC8">
      <w:pPr>
        <w:keepNext/>
        <w:spacing w:after="0" w:line="240" w:lineRule="auto"/>
        <w:jc w:val="both"/>
        <w:outlineLvl w:val="2"/>
        <w:rPr>
          <w:rFonts w:eastAsiaTheme="minorHAnsi" w:cstheme="minorHAnsi"/>
          <w:b/>
          <w:color w:val="000000" w:themeColor="text1"/>
        </w:rPr>
      </w:pPr>
    </w:p>
    <w:p w:rsidR="00EB3BC8" w:rsidRPr="00041403" w:rsidRDefault="00EB3BC8" w:rsidP="00EB3BC8">
      <w:pPr>
        <w:spacing w:after="0" w:line="240" w:lineRule="auto"/>
        <w:rPr>
          <w:rFonts w:eastAsiaTheme="minorHAnsi" w:cstheme="minorHAnsi"/>
          <w:b/>
          <w:color w:val="000000" w:themeColor="text1"/>
        </w:rPr>
      </w:pPr>
      <w:r w:rsidRPr="00041403">
        <w:rPr>
          <w:rFonts w:eastAsiaTheme="minorHAnsi" w:cstheme="minorHAnsi"/>
          <w:b/>
          <w:color w:val="000000" w:themeColor="text1"/>
          <w:lang w:val="es-419"/>
        </w:rPr>
        <w:t xml:space="preserve">4.1 </w:t>
      </w:r>
      <w:r w:rsidRPr="00041403">
        <w:rPr>
          <w:rFonts w:eastAsiaTheme="minorHAnsi" w:cstheme="minorHAnsi"/>
          <w:b/>
          <w:color w:val="000000" w:themeColor="text1"/>
        </w:rPr>
        <w:t>Tramo 4B – El Vino (K31+200) – Sabaneta (K32+350)</w:t>
      </w:r>
    </w:p>
    <w:p w:rsidR="00EB3BC8" w:rsidRPr="00041403" w:rsidRDefault="00EB3BC8" w:rsidP="00EB3BC8">
      <w:pPr>
        <w:spacing w:after="0" w:line="240" w:lineRule="auto"/>
        <w:rPr>
          <w:rFonts w:eastAsiaTheme="minorHAnsi" w:cstheme="minorHAnsi"/>
          <w:b/>
          <w:color w:val="000000" w:themeColor="text1"/>
        </w:rPr>
      </w:pPr>
    </w:p>
    <w:p w:rsidR="00EB3BC8" w:rsidRPr="00041403" w:rsidRDefault="00EB3BC8" w:rsidP="000021B2">
      <w:pPr>
        <w:numPr>
          <w:ilvl w:val="0"/>
          <w:numId w:val="77"/>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 xml:space="preserve">En el segundo trimestre del año 2015, el Concesionario </w:t>
      </w:r>
      <w:r w:rsidRPr="00041403">
        <w:rPr>
          <w:rFonts w:eastAsia="Calibri" w:cstheme="minorHAnsi"/>
          <w:color w:val="000000" w:themeColor="text1"/>
          <w:lang w:val="es-419"/>
        </w:rPr>
        <w:t>adelantó</w:t>
      </w:r>
      <w:r w:rsidRPr="00041403">
        <w:rPr>
          <w:rFonts w:eastAsia="Calibri" w:cstheme="minorHAnsi"/>
          <w:color w:val="000000" w:themeColor="text1"/>
        </w:rPr>
        <w:t xml:space="preserve"> los trámites de compra de los predios faltantes requeridos en el Caserío El Vino. </w:t>
      </w:r>
    </w:p>
    <w:p w:rsidR="00EB3BC8" w:rsidRPr="00041403" w:rsidRDefault="00EB3BC8" w:rsidP="00EB3BC8">
      <w:pPr>
        <w:spacing w:after="0" w:line="240" w:lineRule="auto"/>
        <w:ind w:left="720"/>
        <w:contextualSpacing/>
        <w:jc w:val="both"/>
        <w:rPr>
          <w:rFonts w:eastAsia="Calibri" w:cstheme="minorHAnsi"/>
          <w:color w:val="000000" w:themeColor="text1"/>
        </w:rPr>
      </w:pPr>
    </w:p>
    <w:p w:rsidR="00EB3BC8" w:rsidRPr="00041403" w:rsidRDefault="00EB3BC8" w:rsidP="000021B2">
      <w:pPr>
        <w:numPr>
          <w:ilvl w:val="0"/>
          <w:numId w:val="77"/>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Actualmente, se tienen 0,77 Km de segunda calzada construidos, con continuidad de doble calzada solo del K31+200 hacia el K31+690, con separador tipo New Jersey del K31+200 al K31+520.</w:t>
      </w:r>
    </w:p>
    <w:p w:rsidR="00EB3BC8" w:rsidRPr="00041403" w:rsidRDefault="00EB3BC8" w:rsidP="00EB3BC8">
      <w:pPr>
        <w:spacing w:line="240" w:lineRule="auto"/>
        <w:ind w:left="720"/>
        <w:contextualSpacing/>
        <w:rPr>
          <w:rFonts w:eastAsia="Calibri" w:cstheme="minorHAnsi"/>
          <w:color w:val="000000" w:themeColor="text1"/>
        </w:rPr>
      </w:pPr>
    </w:p>
    <w:p w:rsidR="00EB3BC8" w:rsidRPr="00041403" w:rsidRDefault="00EB3BC8" w:rsidP="000021B2">
      <w:pPr>
        <w:numPr>
          <w:ilvl w:val="0"/>
          <w:numId w:val="77"/>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lastRenderedPageBreak/>
        <w:t xml:space="preserve">En los meses de mayo y junio de 2015, no se  avanzó en la construcción de obras en este tramo, por lo que aún restan por pavimentar aproximadamente 380 m, anotando que actualmente se cuenta con doble calzada discontinua en los siguientes sectores: K31+200 al K31+690 (490 m), K31+820 al K31+880 (60 m), del K31+920 al K32+155 (235 m) y del K32+180 al K32+215 (35 m). </w:t>
      </w:r>
    </w:p>
    <w:p w:rsidR="00EB3BC8" w:rsidRPr="00041403" w:rsidRDefault="00EB3BC8" w:rsidP="00EB3BC8">
      <w:pPr>
        <w:spacing w:after="0" w:line="240" w:lineRule="auto"/>
        <w:jc w:val="both"/>
        <w:rPr>
          <w:rFonts w:eastAsiaTheme="minorHAnsi" w:cstheme="minorHAnsi"/>
          <w:color w:val="000000" w:themeColor="text1"/>
        </w:rPr>
      </w:pPr>
    </w:p>
    <w:p w:rsidR="00EB3BC8" w:rsidRPr="00041403" w:rsidRDefault="00EB3BC8" w:rsidP="000021B2">
      <w:pPr>
        <w:numPr>
          <w:ilvl w:val="0"/>
          <w:numId w:val="77"/>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En el mes de julio se espera acometer las obras de pavimentación de la vía, en la medida que se liberen los predios con sectores continuos lo suficientemente representativos.</w:t>
      </w:r>
    </w:p>
    <w:p w:rsidR="00EB3BC8" w:rsidRPr="00041403" w:rsidRDefault="00EB3BC8" w:rsidP="00EB3BC8">
      <w:pPr>
        <w:spacing w:after="0" w:line="240" w:lineRule="auto"/>
        <w:jc w:val="both"/>
        <w:rPr>
          <w:rFonts w:eastAsiaTheme="minorHAnsi" w:cstheme="minorHAnsi"/>
          <w:color w:val="000000" w:themeColor="text1"/>
          <w:sz w:val="24"/>
          <w:szCs w:val="24"/>
        </w:rPr>
      </w:pPr>
    </w:p>
    <w:p w:rsidR="00EB3BC8" w:rsidRPr="00041403" w:rsidRDefault="00EB3BC8" w:rsidP="00EB3BC8">
      <w:pPr>
        <w:spacing w:after="0" w:line="240" w:lineRule="auto"/>
        <w:jc w:val="center"/>
        <w:rPr>
          <w:rFonts w:eastAsiaTheme="minorHAnsi" w:cstheme="minorHAnsi"/>
          <w:color w:val="000000" w:themeColor="text1"/>
          <w:sz w:val="24"/>
          <w:szCs w:val="24"/>
        </w:rPr>
      </w:pPr>
      <w:r w:rsidRPr="00041403">
        <w:rPr>
          <w:rFonts w:eastAsiaTheme="minorHAnsi" w:cstheme="minorHAnsi"/>
          <w:noProof/>
          <w:color w:val="000000" w:themeColor="text1"/>
          <w:sz w:val="24"/>
          <w:szCs w:val="24"/>
        </w:rPr>
        <w:drawing>
          <wp:inline distT="0" distB="0" distL="0" distR="0" wp14:anchorId="23E2948F" wp14:editId="4669F589">
            <wp:extent cx="2880000" cy="2160000"/>
            <wp:effectExtent l="0" t="0" r="0" b="0"/>
            <wp:docPr id="53" name="Imagen 53" descr="Z:\C_1133_BOGOTA_VILLETA\12_Fotografías\2015\07. JULIO\2015-07-08 OPE\K31+300 (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Z:\C_1133_BOGOTA_VILLETA\12_Fotografías\2015\07. JULIO\2015-07-08 OPE\K31+300 (3).JPG"/>
                    <pic:cNvPicPr preferRelativeResize="0">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EB3BC8" w:rsidRPr="00041403" w:rsidRDefault="00EB3BC8" w:rsidP="00EB3BC8">
      <w:pPr>
        <w:spacing w:after="0" w:line="240" w:lineRule="auto"/>
        <w:jc w:val="center"/>
        <w:rPr>
          <w:rFonts w:eastAsiaTheme="minorHAnsi" w:cstheme="minorHAnsi"/>
          <w:color w:val="000000" w:themeColor="text1"/>
          <w:sz w:val="18"/>
          <w:szCs w:val="18"/>
        </w:rPr>
      </w:pPr>
      <w:r w:rsidRPr="00041403">
        <w:rPr>
          <w:rFonts w:eastAsiaTheme="minorHAnsi" w:cstheme="minorHAnsi"/>
          <w:color w:val="000000" w:themeColor="text1"/>
          <w:sz w:val="18"/>
          <w:szCs w:val="18"/>
        </w:rPr>
        <w:t>Tramo 4B, Instalación de mezcla asfáltica</w:t>
      </w:r>
    </w:p>
    <w:p w:rsidR="00EB3BC8" w:rsidRPr="00041403" w:rsidRDefault="00EB3BC8" w:rsidP="00EB3BC8">
      <w:pPr>
        <w:spacing w:after="0" w:line="240" w:lineRule="auto"/>
        <w:ind w:left="360"/>
        <w:jc w:val="both"/>
        <w:rPr>
          <w:rFonts w:eastAsiaTheme="minorHAnsi" w:cstheme="minorHAnsi"/>
          <w:color w:val="000000" w:themeColor="text1"/>
          <w:sz w:val="24"/>
          <w:szCs w:val="24"/>
        </w:rPr>
      </w:pPr>
    </w:p>
    <w:p w:rsidR="00EB3BC8" w:rsidRPr="00041403" w:rsidRDefault="00EB3BC8" w:rsidP="00EB3BC8">
      <w:pPr>
        <w:spacing w:after="0" w:line="240" w:lineRule="auto"/>
        <w:rPr>
          <w:rFonts w:eastAsiaTheme="minorHAnsi" w:cstheme="minorHAnsi"/>
          <w:b/>
          <w:color w:val="000000" w:themeColor="text1"/>
        </w:rPr>
      </w:pPr>
      <w:r w:rsidRPr="00041403">
        <w:rPr>
          <w:rFonts w:eastAsiaTheme="minorHAnsi" w:cstheme="minorHAnsi"/>
          <w:b/>
          <w:color w:val="000000" w:themeColor="text1"/>
          <w:lang w:val="es-419"/>
        </w:rPr>
        <w:t xml:space="preserve">4.2 </w:t>
      </w:r>
      <w:r w:rsidRPr="00041403">
        <w:rPr>
          <w:rFonts w:eastAsiaTheme="minorHAnsi" w:cstheme="minorHAnsi"/>
          <w:b/>
          <w:color w:val="000000" w:themeColor="text1"/>
        </w:rPr>
        <w:t>Tramo 4A, Sabaneta (K32+350) – El Chuscal (K37+900)</w:t>
      </w:r>
    </w:p>
    <w:p w:rsidR="00EB3BC8" w:rsidRPr="00041403" w:rsidRDefault="00EB3BC8" w:rsidP="00EB3BC8">
      <w:pPr>
        <w:spacing w:after="0" w:line="240" w:lineRule="auto"/>
        <w:rPr>
          <w:rFonts w:eastAsiaTheme="minorHAnsi" w:cstheme="minorHAnsi"/>
          <w:b/>
          <w:color w:val="000000" w:themeColor="text1"/>
        </w:rPr>
      </w:pPr>
    </w:p>
    <w:p w:rsidR="00EB3BC8" w:rsidRPr="00041403" w:rsidRDefault="00EB3BC8" w:rsidP="000021B2">
      <w:pPr>
        <w:numPr>
          <w:ilvl w:val="0"/>
          <w:numId w:val="78"/>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 xml:space="preserve">En el segundo trimestre del año 2015, se alcanzó una construcción de 0,81 km de calzada adicional, a nivel de capas asfálticas, además de un avance representativo en la construcción de muros de contención. </w:t>
      </w:r>
    </w:p>
    <w:p w:rsidR="00EB3BC8" w:rsidRPr="00041403" w:rsidRDefault="00EB3BC8" w:rsidP="00EB3BC8">
      <w:pPr>
        <w:spacing w:after="0" w:line="240" w:lineRule="auto"/>
        <w:jc w:val="both"/>
        <w:rPr>
          <w:rFonts w:eastAsiaTheme="minorHAnsi" w:cstheme="minorHAnsi"/>
          <w:color w:val="000000" w:themeColor="text1"/>
        </w:rPr>
      </w:pPr>
    </w:p>
    <w:p w:rsidR="00EB3BC8" w:rsidRPr="00041403" w:rsidRDefault="00EB3BC8" w:rsidP="000021B2">
      <w:pPr>
        <w:numPr>
          <w:ilvl w:val="0"/>
          <w:numId w:val="78"/>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Mediante resolución No 0692 10 de junio de 2015 emitida por el ANLA se modifica la resolución No 1212 de 2012 donde se emite la Licencia ambiental para el sector 4A y se incluyen para su construcción los subsectores Jericó (km 33+550- k33 +950) y Santandereano (km 36+300 – km 36+670).</w:t>
      </w:r>
    </w:p>
    <w:p w:rsidR="00EB3BC8" w:rsidRPr="00041403" w:rsidRDefault="00EB3BC8" w:rsidP="00EB3BC8">
      <w:pPr>
        <w:spacing w:after="0" w:line="240" w:lineRule="auto"/>
        <w:rPr>
          <w:rFonts w:eastAsiaTheme="minorHAnsi" w:cstheme="minorHAnsi"/>
          <w:color w:val="000000" w:themeColor="text1"/>
        </w:rPr>
      </w:pPr>
    </w:p>
    <w:p w:rsidR="00EB3BC8" w:rsidRPr="00041403" w:rsidRDefault="00EB3BC8" w:rsidP="000021B2">
      <w:pPr>
        <w:numPr>
          <w:ilvl w:val="0"/>
          <w:numId w:val="78"/>
        </w:numPr>
        <w:spacing w:after="0" w:line="240" w:lineRule="auto"/>
        <w:contextualSpacing/>
        <w:jc w:val="both"/>
        <w:rPr>
          <w:rFonts w:eastAsia="Calibri" w:cstheme="minorHAnsi"/>
        </w:rPr>
      </w:pPr>
      <w:r w:rsidRPr="00041403">
        <w:rPr>
          <w:rFonts w:eastAsia="Calibri" w:cstheme="minorHAnsi"/>
          <w:color w:val="000000" w:themeColor="text1"/>
        </w:rPr>
        <w:t xml:space="preserve">En este trimestre, </w:t>
      </w:r>
      <w:r w:rsidRPr="00041403">
        <w:rPr>
          <w:rFonts w:eastAsia="Calibri" w:cstheme="minorHAnsi"/>
        </w:rPr>
        <w:t>se construyó alcantarilla, se efectuó la excavación para conformación de la calzada entre las abscisas del K34+520 al K34+620 y del K35+800 al K35+950, se realizó el mejoramiento de la subrasante y/o construcción de terraplén entre  el K33+229 y el K33+330,se instaló subbase granular entre el K35+865 y el K35+950, se instaló Base granular entre el K33+229 y el K33+330 y se instaló Mezcla Asfáltica MDC-1 y MDC-2 entre el K35+100 y el K35+400.</w:t>
      </w:r>
    </w:p>
    <w:p w:rsidR="00EB3BC8" w:rsidRPr="00041403" w:rsidRDefault="00EB3BC8" w:rsidP="00EB3BC8">
      <w:pPr>
        <w:spacing w:line="240" w:lineRule="auto"/>
        <w:ind w:left="720"/>
        <w:contextualSpacing/>
        <w:rPr>
          <w:rFonts w:eastAsia="Calibri" w:cstheme="minorHAnsi"/>
          <w:sz w:val="24"/>
          <w:szCs w:val="24"/>
        </w:rPr>
      </w:pPr>
    </w:p>
    <w:p w:rsidR="00EB3BC8" w:rsidRPr="00041403" w:rsidRDefault="00EB3BC8" w:rsidP="00EB3BC8">
      <w:pPr>
        <w:spacing w:after="0" w:line="240" w:lineRule="auto"/>
        <w:jc w:val="both"/>
        <w:rPr>
          <w:rFonts w:eastAsiaTheme="minorHAnsi" w:cstheme="minorHAnsi"/>
          <w:sz w:val="24"/>
          <w:szCs w:val="24"/>
        </w:rPr>
      </w:pPr>
    </w:p>
    <w:p w:rsidR="00EB3BC8" w:rsidRPr="00041403" w:rsidRDefault="00EB3BC8" w:rsidP="00EB3BC8">
      <w:pPr>
        <w:spacing w:after="0" w:line="240" w:lineRule="auto"/>
        <w:jc w:val="both"/>
        <w:rPr>
          <w:rFonts w:eastAsiaTheme="minorHAnsi" w:cstheme="minorHAnsi"/>
          <w:sz w:val="24"/>
          <w:szCs w:val="24"/>
        </w:rPr>
      </w:pPr>
      <w:r w:rsidRPr="00041403">
        <w:rPr>
          <w:rFonts w:eastAsiaTheme="minorHAnsi" w:cstheme="minorHAnsi"/>
          <w:noProof/>
        </w:rPr>
        <w:lastRenderedPageBreak/>
        <w:drawing>
          <wp:inline distT="0" distB="0" distL="0" distR="0" wp14:anchorId="69FD5C76" wp14:editId="37D116F3">
            <wp:extent cx="2618917" cy="2067182"/>
            <wp:effectExtent l="0" t="0" r="0" b="9525"/>
            <wp:docPr id="54" name="Imagen 5" descr="Z:\C_1133_BOGOTA_VILLETA\12_Fotografías\2015\06. JUNIO\2015-06-16 TEC\1 (68).JPG"/>
            <wp:cNvGraphicFramePr/>
            <a:graphic xmlns:a="http://schemas.openxmlformats.org/drawingml/2006/main">
              <a:graphicData uri="http://schemas.openxmlformats.org/drawingml/2006/picture">
                <pic:pic xmlns:pic="http://schemas.openxmlformats.org/drawingml/2006/picture">
                  <pic:nvPicPr>
                    <pic:cNvPr id="6" name="Imagen 5" descr="Z:\C_1133_BOGOTA_VILLETA\12_Fotografías\2015\06. JUNIO\2015-06-16 TEC\1 (68).JPG"/>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2632392" cy="2077818"/>
                    </a:xfrm>
                    <a:prstGeom prst="rect">
                      <a:avLst/>
                    </a:prstGeom>
                    <a:noFill/>
                    <a:ln>
                      <a:noFill/>
                    </a:ln>
                  </pic:spPr>
                </pic:pic>
              </a:graphicData>
            </a:graphic>
          </wp:inline>
        </w:drawing>
      </w:r>
      <w:r w:rsidRPr="00041403">
        <w:rPr>
          <w:rFonts w:eastAsiaTheme="minorHAnsi" w:cstheme="minorHAnsi"/>
          <w:noProof/>
        </w:rPr>
        <w:t xml:space="preserve">        </w:t>
      </w:r>
      <w:r w:rsidRPr="00041403">
        <w:rPr>
          <w:rFonts w:eastAsiaTheme="minorHAnsi" w:cstheme="minorHAnsi"/>
          <w:noProof/>
        </w:rPr>
        <w:drawing>
          <wp:inline distT="0" distB="0" distL="0" distR="0" wp14:anchorId="6B6A3A52" wp14:editId="654C5805">
            <wp:extent cx="2693595" cy="2067560"/>
            <wp:effectExtent l="0" t="0" r="0" b="8890"/>
            <wp:docPr id="55" name="8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8 Imagen"/>
                    <pic:cNvPicPr preferRelativeResize="0">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98424" cy="2071267"/>
                    </a:xfrm>
                    <a:prstGeom prst="rect">
                      <a:avLst/>
                    </a:prstGeom>
                  </pic:spPr>
                </pic:pic>
              </a:graphicData>
            </a:graphic>
          </wp:inline>
        </w:drawing>
      </w:r>
    </w:p>
    <w:p w:rsidR="00EB3BC8" w:rsidRPr="00041403" w:rsidRDefault="00EB3BC8" w:rsidP="00EB3BC8">
      <w:pPr>
        <w:spacing w:after="0" w:line="240" w:lineRule="auto"/>
        <w:rPr>
          <w:rFonts w:eastAsiaTheme="minorHAnsi" w:cstheme="minorHAnsi"/>
          <w:sz w:val="18"/>
          <w:szCs w:val="18"/>
        </w:rPr>
      </w:pPr>
      <w:r w:rsidRPr="00041403">
        <w:rPr>
          <w:rFonts w:eastAsiaTheme="minorHAnsi" w:cstheme="minorHAnsi"/>
          <w:sz w:val="18"/>
          <w:szCs w:val="18"/>
        </w:rPr>
        <w:t xml:space="preserve">        Tramo 4A, Construcción de terraplén                           Tramo 4A, Instalación de mezcla asfáltica MDC-2</w:t>
      </w:r>
    </w:p>
    <w:p w:rsidR="00EB3BC8" w:rsidRPr="00041403" w:rsidRDefault="00EB3BC8" w:rsidP="00EB3BC8">
      <w:pPr>
        <w:spacing w:after="0" w:line="240" w:lineRule="auto"/>
        <w:jc w:val="both"/>
        <w:rPr>
          <w:rFonts w:eastAsiaTheme="minorHAnsi" w:cstheme="minorHAnsi"/>
          <w:sz w:val="24"/>
          <w:szCs w:val="24"/>
        </w:rPr>
      </w:pPr>
    </w:p>
    <w:p w:rsidR="00EB3BC8" w:rsidRPr="00041403" w:rsidRDefault="00EB3BC8" w:rsidP="00EB3BC8">
      <w:pPr>
        <w:keepNext/>
        <w:spacing w:after="0" w:line="240" w:lineRule="auto"/>
        <w:jc w:val="both"/>
        <w:outlineLvl w:val="2"/>
        <w:rPr>
          <w:rFonts w:eastAsia="Times New Roman" w:cstheme="minorHAnsi"/>
          <w:b/>
          <w:bCs/>
          <w:color w:val="000000" w:themeColor="text1"/>
        </w:rPr>
      </w:pPr>
    </w:p>
    <w:p w:rsidR="00EB3BC8" w:rsidRPr="00041403" w:rsidRDefault="00EB3BC8" w:rsidP="00A90A9E">
      <w:pPr>
        <w:keepNext/>
        <w:spacing w:after="0" w:line="240" w:lineRule="auto"/>
        <w:jc w:val="both"/>
        <w:outlineLvl w:val="2"/>
        <w:rPr>
          <w:rFonts w:eastAsia="Times New Roman" w:cstheme="minorHAnsi"/>
          <w:b/>
          <w:bCs/>
          <w:color w:val="000000" w:themeColor="text1"/>
        </w:rPr>
      </w:pPr>
      <w:bookmarkStart w:id="70" w:name="_Toc426547741"/>
      <w:bookmarkStart w:id="71" w:name="_Toc426558470"/>
      <w:bookmarkStart w:id="72" w:name="_Toc426559214"/>
      <w:r w:rsidRPr="00041403">
        <w:rPr>
          <w:rFonts w:eastAsia="Times New Roman" w:cstheme="minorHAnsi"/>
          <w:b/>
          <w:bCs/>
          <w:color w:val="000000" w:themeColor="text1"/>
        </w:rPr>
        <w:t>Tramo 5, El Rosal – El Vino</w:t>
      </w:r>
      <w:bookmarkEnd w:id="70"/>
      <w:bookmarkEnd w:id="71"/>
      <w:bookmarkEnd w:id="72"/>
      <w:r w:rsidRPr="00041403">
        <w:rPr>
          <w:rFonts w:eastAsia="Times New Roman" w:cstheme="minorHAnsi"/>
          <w:b/>
          <w:bCs/>
          <w:color w:val="000000" w:themeColor="text1"/>
        </w:rPr>
        <w:t xml:space="preserve"> </w:t>
      </w:r>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9"/>
        </w:numPr>
        <w:spacing w:after="0" w:line="240" w:lineRule="auto"/>
        <w:contextualSpacing/>
        <w:jc w:val="both"/>
        <w:rPr>
          <w:rFonts w:eastAsia="Calibri" w:cstheme="minorHAnsi"/>
        </w:rPr>
      </w:pPr>
      <w:r w:rsidRPr="00041403">
        <w:rPr>
          <w:rFonts w:eastAsia="Calibri" w:cstheme="minorHAnsi"/>
        </w:rPr>
        <w:t>Este tramo se encuentra Comprendido entre el Cruce El Rosal (Km 22+200) hasta El Caserío del Vino (Km 31+200) en una longitud aproximada de 9.0 kilómetros. Se encuentran ubicados dos (2) retornos vehiculares; Actualmente el sector cuenta con una doble calzada con un separador central en zona verde, que discurre a través de un terreno de topografía montañosa con pendientes promedio del 7.1% y peraltes máximos del 8%. Se encuentra en operación.</w:t>
      </w:r>
    </w:p>
    <w:p w:rsidR="00EB3BC8" w:rsidRPr="00041403" w:rsidRDefault="00EB3BC8" w:rsidP="00EB3BC8">
      <w:pPr>
        <w:spacing w:after="0" w:line="240" w:lineRule="auto"/>
        <w:ind w:left="720"/>
        <w:contextualSpacing/>
        <w:jc w:val="both"/>
        <w:rPr>
          <w:rFonts w:eastAsia="Calibri" w:cstheme="minorHAnsi"/>
          <w:sz w:val="24"/>
          <w:szCs w:val="24"/>
        </w:rPr>
      </w:pPr>
    </w:p>
    <w:p w:rsidR="00EB3BC8" w:rsidRPr="00041403" w:rsidRDefault="00EB3BC8" w:rsidP="00EB3BC8">
      <w:pPr>
        <w:spacing w:after="0" w:line="240" w:lineRule="auto"/>
        <w:jc w:val="center"/>
        <w:rPr>
          <w:rFonts w:eastAsiaTheme="minorHAnsi" w:cstheme="minorHAnsi"/>
          <w:sz w:val="24"/>
          <w:szCs w:val="24"/>
        </w:rPr>
      </w:pPr>
      <w:r w:rsidRPr="00041403">
        <w:rPr>
          <w:rFonts w:eastAsiaTheme="minorHAnsi" w:cstheme="minorHAnsi"/>
          <w:noProof/>
        </w:rPr>
        <w:drawing>
          <wp:inline distT="0" distB="0" distL="0" distR="0" wp14:anchorId="3CD997F3" wp14:editId="02A720D8">
            <wp:extent cx="2880000" cy="2160000"/>
            <wp:effectExtent l="0" t="0" r="0" b="0"/>
            <wp:docPr id="57" name="Imagen 8" descr="Z:\C_1133_BOGOTA_VILLETA\12_Fotografías\2015\06. JUNIO\2015-06-17 OPE\K22 K25 CS\IMG_0859.JPG"/>
            <wp:cNvGraphicFramePr/>
            <a:graphic xmlns:a="http://schemas.openxmlformats.org/drawingml/2006/main">
              <a:graphicData uri="http://schemas.openxmlformats.org/drawingml/2006/picture">
                <pic:pic xmlns:pic="http://schemas.openxmlformats.org/drawingml/2006/picture">
                  <pic:nvPicPr>
                    <pic:cNvPr id="9" name="Imagen 8" descr="Z:\C_1133_BOGOTA_VILLETA\12_Fotografías\2015\06. JUNIO\2015-06-17 OPE\K22 K25 CS\IMG_0859.JPG"/>
                    <pic:cNvPicPr preferRelativeResize="0"/>
                  </pic:nvPicPr>
                  <pic:blipFill>
                    <a:blip r:embed="rId47">
                      <a:extLst>
                        <a:ext uri="{BEBA8EAE-BF5A-486C-A8C5-ECC9F3942E4B}">
                          <a14:imgProps xmlns:a14="http://schemas.microsoft.com/office/drawing/2010/main">
                            <a14:imgLayer r:embed="rId4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sz w:val="18"/>
          <w:szCs w:val="18"/>
        </w:rPr>
        <w:t>Tramo 5, en Operación.  Mantenimiento en la demarcación horizontal</w:t>
      </w:r>
    </w:p>
    <w:p w:rsidR="00EB3BC8" w:rsidRPr="00041403" w:rsidRDefault="00EB3BC8" w:rsidP="00EB3BC8">
      <w:pPr>
        <w:spacing w:after="0" w:line="240" w:lineRule="auto"/>
        <w:rPr>
          <w:rFonts w:eastAsiaTheme="minorHAnsi" w:cstheme="minorHAnsi"/>
          <w:b/>
          <w:color w:val="000000" w:themeColor="text1"/>
          <w:sz w:val="24"/>
          <w:szCs w:val="24"/>
        </w:rPr>
      </w:pPr>
    </w:p>
    <w:p w:rsidR="00EB3BC8" w:rsidRPr="00041403" w:rsidRDefault="00EB3BC8" w:rsidP="00EB3BC8">
      <w:pPr>
        <w:spacing w:after="0" w:line="240" w:lineRule="auto"/>
        <w:rPr>
          <w:rFonts w:eastAsiaTheme="minorHAnsi" w:cstheme="minorHAnsi"/>
          <w:b/>
          <w:color w:val="000000" w:themeColor="text1"/>
          <w:sz w:val="24"/>
          <w:szCs w:val="24"/>
        </w:rPr>
      </w:pPr>
    </w:p>
    <w:p w:rsidR="00EB3BC8" w:rsidRPr="00041403" w:rsidRDefault="00EB3BC8" w:rsidP="00A90A9E">
      <w:pPr>
        <w:keepNext/>
        <w:spacing w:after="0" w:line="240" w:lineRule="auto"/>
        <w:jc w:val="both"/>
        <w:outlineLvl w:val="2"/>
        <w:rPr>
          <w:rFonts w:eastAsia="Times New Roman" w:cstheme="minorHAnsi"/>
          <w:b/>
          <w:bCs/>
          <w:color w:val="000000" w:themeColor="text1"/>
        </w:rPr>
      </w:pPr>
      <w:bookmarkStart w:id="73" w:name="_Toc426547742"/>
      <w:bookmarkStart w:id="74" w:name="_Toc426558471"/>
      <w:bookmarkStart w:id="75" w:name="_Toc426559215"/>
      <w:r w:rsidRPr="00041403">
        <w:rPr>
          <w:rFonts w:eastAsia="Times New Roman" w:cstheme="minorHAnsi"/>
          <w:b/>
          <w:bCs/>
          <w:color w:val="000000" w:themeColor="text1"/>
        </w:rPr>
        <w:t>Tramo 6, Puente Piedra – El Rosal</w:t>
      </w:r>
      <w:bookmarkEnd w:id="73"/>
      <w:bookmarkEnd w:id="74"/>
      <w:bookmarkEnd w:id="75"/>
    </w:p>
    <w:p w:rsidR="00EB3BC8" w:rsidRPr="00041403" w:rsidRDefault="00EB3BC8" w:rsidP="00EB3BC8">
      <w:pPr>
        <w:spacing w:after="0" w:line="240" w:lineRule="auto"/>
        <w:jc w:val="both"/>
        <w:rPr>
          <w:rFonts w:eastAsiaTheme="minorHAnsi" w:cstheme="minorHAnsi"/>
        </w:rPr>
      </w:pPr>
    </w:p>
    <w:p w:rsidR="00EB3BC8" w:rsidRPr="00041403" w:rsidRDefault="00EB3BC8" w:rsidP="000021B2">
      <w:pPr>
        <w:numPr>
          <w:ilvl w:val="0"/>
          <w:numId w:val="79"/>
        </w:numPr>
        <w:spacing w:after="0" w:line="240" w:lineRule="auto"/>
        <w:contextualSpacing/>
        <w:jc w:val="both"/>
        <w:rPr>
          <w:rFonts w:eastAsia="Calibri" w:cstheme="minorHAnsi"/>
        </w:rPr>
      </w:pPr>
      <w:r w:rsidRPr="00041403">
        <w:rPr>
          <w:rFonts w:eastAsia="Calibri" w:cstheme="minorHAnsi"/>
        </w:rPr>
        <w:t xml:space="preserve">Este tramo se encuentra comprendido entre Puente Piedra (Km 15+000) y el Cruce El Rosal (Km 22+200), en una longitud aproximada de 7.2 kilómetros.  Se encuentran ubicados cinco (5) puentes peatonales, dos (2) paraderos, un (1) puente vehicular elevado, de calzada bidireccional, 1 carril por sentido, en el cruce El Rosal – Facatativá y tres (3) retornos vehiculares; construcción en doble calzada con un separador central en zona verde, donde se recorre un terreno de topografía plana con pendientes promedio del 0.7% y peraltes del </w:t>
      </w:r>
      <w:r w:rsidRPr="00041403">
        <w:rPr>
          <w:rFonts w:eastAsia="Calibri" w:cstheme="minorHAnsi"/>
        </w:rPr>
        <w:lastRenderedPageBreak/>
        <w:t>2% en bombeo normal. Este sector comprende una topografía generalmente plana en doble calzada. Se encuentra en operación.</w:t>
      </w:r>
    </w:p>
    <w:p w:rsidR="00EB3BC8" w:rsidRPr="00041403" w:rsidRDefault="00EB3BC8" w:rsidP="000021B2">
      <w:pPr>
        <w:numPr>
          <w:ilvl w:val="0"/>
          <w:numId w:val="79"/>
        </w:numPr>
        <w:spacing w:after="0" w:line="240" w:lineRule="auto"/>
        <w:contextualSpacing/>
        <w:jc w:val="both"/>
        <w:rPr>
          <w:rFonts w:eastAsia="Calibri" w:cstheme="minorHAnsi"/>
          <w:sz w:val="24"/>
          <w:szCs w:val="24"/>
        </w:rPr>
      </w:pP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noProof/>
          <w:sz w:val="18"/>
          <w:szCs w:val="18"/>
        </w:rPr>
        <w:drawing>
          <wp:inline distT="0" distB="0" distL="0" distR="0" wp14:anchorId="60A3B098" wp14:editId="02BAA4EC">
            <wp:extent cx="2880000" cy="2160000"/>
            <wp:effectExtent l="0" t="0" r="0" b="0"/>
            <wp:docPr id="79" name="Imagen 7" descr="Z:\C_1133_BOGOTA_VILLETA\12_Fotografías\2015\06. JUNIO\2015-06-03 OPE\K17 K18+800 SC\IMG_9468.JPG"/>
            <wp:cNvGraphicFramePr/>
            <a:graphic xmlns:a="http://schemas.openxmlformats.org/drawingml/2006/main">
              <a:graphicData uri="http://schemas.openxmlformats.org/drawingml/2006/picture">
                <pic:pic xmlns:pic="http://schemas.openxmlformats.org/drawingml/2006/picture">
                  <pic:nvPicPr>
                    <pic:cNvPr id="8" name="Imagen 7" descr="Z:\C_1133_BOGOTA_VILLETA\12_Fotografías\2015\06. JUNIO\2015-06-03 OPE\K17 K18+800 SC\IMG_9468.JPG"/>
                    <pic:cNvPicPr preferRelativeResize="0"/>
                  </pic:nvPicPr>
                  <pic:blipFill>
                    <a:blip r:embed="rId49">
                      <a:extLst>
                        <a:ext uri="{BEBA8EAE-BF5A-486C-A8C5-ECC9F3942E4B}">
                          <a14:imgProps xmlns:a14="http://schemas.microsoft.com/office/drawing/2010/main">
                            <a14:imgLayer r:embed="rId5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sz w:val="18"/>
          <w:szCs w:val="18"/>
        </w:rPr>
        <w:t>Tramo 6, en Operación. Perfilado de la zona verde en el separador central</w:t>
      </w:r>
    </w:p>
    <w:p w:rsidR="00EB3BC8" w:rsidRPr="00041403" w:rsidRDefault="00EB3BC8" w:rsidP="00EB3BC8">
      <w:pPr>
        <w:spacing w:after="0" w:line="240" w:lineRule="auto"/>
        <w:jc w:val="center"/>
        <w:rPr>
          <w:rFonts w:eastAsiaTheme="minorHAnsi" w:cstheme="minorHAnsi"/>
          <w:b/>
          <w:sz w:val="24"/>
          <w:szCs w:val="24"/>
        </w:rPr>
      </w:pPr>
    </w:p>
    <w:p w:rsidR="00EB3BC8" w:rsidRPr="00041403" w:rsidRDefault="00EB3BC8" w:rsidP="00EB3BC8">
      <w:pPr>
        <w:spacing w:after="0" w:line="240" w:lineRule="auto"/>
        <w:jc w:val="center"/>
        <w:rPr>
          <w:rFonts w:eastAsiaTheme="minorHAnsi" w:cstheme="minorHAnsi"/>
          <w:b/>
          <w:sz w:val="24"/>
          <w:szCs w:val="24"/>
        </w:rPr>
      </w:pPr>
    </w:p>
    <w:p w:rsidR="00EB3BC8" w:rsidRPr="00041403" w:rsidRDefault="00EB3BC8" w:rsidP="00A90A9E">
      <w:pPr>
        <w:keepNext/>
        <w:spacing w:after="0" w:line="240" w:lineRule="auto"/>
        <w:contextualSpacing/>
        <w:jc w:val="both"/>
        <w:outlineLvl w:val="2"/>
        <w:rPr>
          <w:rFonts w:eastAsia="Calibri" w:cstheme="minorHAnsi"/>
          <w:b/>
          <w:bCs/>
        </w:rPr>
      </w:pPr>
      <w:bookmarkStart w:id="76" w:name="_Toc426547743"/>
      <w:bookmarkStart w:id="77" w:name="_Toc426558472"/>
      <w:bookmarkStart w:id="78" w:name="_Toc426559216"/>
      <w:r w:rsidRPr="00041403">
        <w:rPr>
          <w:rFonts w:eastAsia="Calibri" w:cstheme="minorHAnsi"/>
          <w:b/>
          <w:bCs/>
        </w:rPr>
        <w:t>Tramo 7, Bogotá (Puente el Cortijo) – Puente Piedra. Km 0+000 al Km 15+000</w:t>
      </w:r>
      <w:bookmarkEnd w:id="76"/>
      <w:bookmarkEnd w:id="77"/>
      <w:bookmarkEnd w:id="78"/>
    </w:p>
    <w:p w:rsidR="00EB3BC8" w:rsidRPr="00041403" w:rsidRDefault="00EB3BC8" w:rsidP="00EB3BC8">
      <w:pPr>
        <w:keepNext/>
        <w:spacing w:after="0" w:line="240" w:lineRule="auto"/>
        <w:jc w:val="both"/>
        <w:outlineLvl w:val="2"/>
        <w:rPr>
          <w:rFonts w:eastAsiaTheme="minorHAnsi" w:cstheme="minorHAnsi"/>
          <w:b/>
          <w:bCs/>
        </w:rPr>
      </w:pPr>
    </w:p>
    <w:p w:rsidR="00EB3BC8" w:rsidRPr="00041403" w:rsidRDefault="00EB3BC8" w:rsidP="000021B2">
      <w:pPr>
        <w:numPr>
          <w:ilvl w:val="0"/>
          <w:numId w:val="80"/>
        </w:numPr>
        <w:spacing w:after="0" w:line="240" w:lineRule="auto"/>
        <w:contextualSpacing/>
        <w:jc w:val="both"/>
        <w:rPr>
          <w:rFonts w:eastAsia="Calibri" w:cstheme="minorHAnsi"/>
        </w:rPr>
      </w:pPr>
      <w:r w:rsidRPr="00041403">
        <w:rPr>
          <w:rFonts w:eastAsia="Calibri" w:cstheme="minorHAnsi"/>
        </w:rPr>
        <w:t>Este tramo se encuentra comprendido entre el río Bogotá (Km 0+000) y Puente Piedra (Km 15+000), en una longitud de 15 kilómetros se encuentran ubicados dos (2) puentes peatonales, cuatro (4) paraderos, cuatro (4) retornos vehiculares, un (1) peaje y dos (2) estaciones de pesaje. Actualmente este sector se encuentra construido en doble calzada, con doble carril y con un separador central en zona verde. Su topografía es generalmente plana. Se encuentra en operación.</w:t>
      </w:r>
    </w:p>
    <w:p w:rsidR="00EB3BC8" w:rsidRPr="00041403" w:rsidRDefault="00EB3BC8" w:rsidP="00EB3BC8">
      <w:pPr>
        <w:spacing w:after="0" w:line="240" w:lineRule="auto"/>
        <w:jc w:val="both"/>
        <w:rPr>
          <w:rFonts w:eastAsiaTheme="minorHAnsi" w:cstheme="minorHAnsi"/>
          <w:sz w:val="24"/>
          <w:szCs w:val="24"/>
        </w:rPr>
      </w:pP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noProof/>
          <w:sz w:val="18"/>
          <w:szCs w:val="18"/>
        </w:rPr>
        <w:drawing>
          <wp:inline distT="0" distB="0" distL="0" distR="0" wp14:anchorId="4D5592DA" wp14:editId="66EF99F9">
            <wp:extent cx="2880000" cy="2160000"/>
            <wp:effectExtent l="0" t="0" r="0" b="0"/>
            <wp:docPr id="60" name="Imagen 5" descr="Z:\C_1133_BOGOTA_VILLETA\12_Fotografías\2015\06. JUNIO\2015-06-16 OPE\K9+000\IMG_0653.JPG"/>
            <wp:cNvGraphicFramePr/>
            <a:graphic xmlns:a="http://schemas.openxmlformats.org/drawingml/2006/main">
              <a:graphicData uri="http://schemas.openxmlformats.org/drawingml/2006/picture">
                <pic:pic xmlns:pic="http://schemas.openxmlformats.org/drawingml/2006/picture">
                  <pic:nvPicPr>
                    <pic:cNvPr id="6" name="Imagen 5" descr="Z:\C_1133_BOGOTA_VILLETA\12_Fotografías\2015\06. JUNIO\2015-06-16 OPE\K9+000\IMG_0653.JPG"/>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EB3BC8" w:rsidRPr="00041403" w:rsidRDefault="00EB3BC8" w:rsidP="00EB3BC8">
      <w:pPr>
        <w:spacing w:after="0" w:line="240" w:lineRule="auto"/>
        <w:jc w:val="center"/>
        <w:rPr>
          <w:rFonts w:eastAsiaTheme="minorHAnsi" w:cstheme="minorHAnsi"/>
          <w:sz w:val="18"/>
          <w:szCs w:val="18"/>
        </w:rPr>
      </w:pPr>
      <w:r w:rsidRPr="00041403">
        <w:rPr>
          <w:rFonts w:eastAsiaTheme="minorHAnsi" w:cstheme="minorHAnsi"/>
          <w:sz w:val="18"/>
          <w:szCs w:val="18"/>
        </w:rPr>
        <w:t>Tramo 7, en Operación. Peaje Siberia operando 3X5 (3 hacia Bogotá, 5 hacia Villeta)</w:t>
      </w:r>
    </w:p>
    <w:p w:rsidR="00EB3BC8" w:rsidRPr="00041403" w:rsidRDefault="00EB3BC8" w:rsidP="00EB3BC8">
      <w:pPr>
        <w:spacing w:after="0" w:line="240" w:lineRule="auto"/>
        <w:jc w:val="both"/>
        <w:rPr>
          <w:rFonts w:eastAsiaTheme="minorHAnsi" w:cstheme="minorHAnsi"/>
          <w:sz w:val="24"/>
          <w:szCs w:val="24"/>
        </w:rPr>
      </w:pPr>
    </w:p>
    <w:p w:rsidR="00EB3BC8" w:rsidRPr="00041403" w:rsidRDefault="00EB3BC8" w:rsidP="00EB3BC8">
      <w:pPr>
        <w:keepNext/>
        <w:spacing w:after="0" w:line="240" w:lineRule="auto"/>
        <w:jc w:val="both"/>
        <w:outlineLvl w:val="2"/>
        <w:rPr>
          <w:rFonts w:eastAsiaTheme="minorHAnsi" w:cstheme="minorHAnsi"/>
          <w:b/>
          <w:color w:val="000000" w:themeColor="text1"/>
        </w:rPr>
      </w:pPr>
      <w:bookmarkStart w:id="79" w:name="_Toc426547744"/>
      <w:bookmarkStart w:id="80" w:name="_Toc426558473"/>
      <w:bookmarkStart w:id="81" w:name="_Toc426559217"/>
      <w:r w:rsidRPr="00041403">
        <w:rPr>
          <w:rFonts w:eastAsiaTheme="minorHAnsi" w:cstheme="minorHAnsi"/>
          <w:b/>
          <w:color w:val="000000" w:themeColor="text1"/>
          <w:lang w:val="es-419"/>
        </w:rPr>
        <w:t xml:space="preserve">7.2 </w:t>
      </w:r>
      <w:r w:rsidRPr="00041403">
        <w:rPr>
          <w:rFonts w:eastAsiaTheme="minorHAnsi" w:cstheme="minorHAnsi"/>
          <w:b/>
          <w:color w:val="000000" w:themeColor="text1"/>
        </w:rPr>
        <w:t>Tramo 7.2, Construcción del nuevo puente vehicular sobre el río Bogotá, para la calzada norte, en cercanías del K0+000 del proyecto.</w:t>
      </w:r>
      <w:bookmarkEnd w:id="79"/>
      <w:bookmarkEnd w:id="80"/>
      <w:bookmarkEnd w:id="81"/>
    </w:p>
    <w:p w:rsidR="00EB3BC8" w:rsidRPr="00041403" w:rsidRDefault="00EB3BC8" w:rsidP="00EB3BC8">
      <w:pPr>
        <w:keepNext/>
        <w:spacing w:after="0" w:line="240" w:lineRule="auto"/>
        <w:jc w:val="both"/>
        <w:outlineLvl w:val="2"/>
        <w:rPr>
          <w:rFonts w:eastAsiaTheme="minorHAnsi" w:cstheme="minorHAnsi"/>
          <w:b/>
          <w:color w:val="000000" w:themeColor="text1"/>
        </w:rPr>
      </w:pPr>
    </w:p>
    <w:p w:rsidR="00EB3BC8" w:rsidRPr="00041403" w:rsidRDefault="00EB3BC8" w:rsidP="000021B2">
      <w:pPr>
        <w:numPr>
          <w:ilvl w:val="0"/>
          <w:numId w:val="80"/>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Mediante la suscripción el día 26 de mayo de 2015 de la Modificación Nº 8 al Acta de Incorporación del Acuerdo Conciliatorio al Contrato de Concesión Nº 447 de 1994, se contrataron las obras para</w:t>
      </w:r>
      <w:r w:rsidRPr="00041403">
        <w:rPr>
          <w:rFonts w:eastAsia="Calibri" w:cstheme="minorHAnsi"/>
        </w:rPr>
        <w:t xml:space="preserve"> </w:t>
      </w:r>
      <w:r w:rsidRPr="00041403">
        <w:rPr>
          <w:rFonts w:eastAsia="Calibri" w:cstheme="minorHAnsi"/>
          <w:color w:val="000000" w:themeColor="text1"/>
        </w:rPr>
        <w:t xml:space="preserve">la construcción del nuevo puente vehicular sobre el río Bogotá </w:t>
      </w:r>
      <w:r w:rsidRPr="00041403">
        <w:rPr>
          <w:rFonts w:eastAsia="Calibri" w:cstheme="minorHAnsi"/>
          <w:color w:val="000000" w:themeColor="text1"/>
        </w:rPr>
        <w:lastRenderedPageBreak/>
        <w:t>para la calzada norte y las demás obras necesarias para la solución de movilidad en el empalme con Bogotá.</w:t>
      </w:r>
    </w:p>
    <w:p w:rsidR="00EB3BC8" w:rsidRPr="00041403" w:rsidRDefault="00EB3BC8" w:rsidP="00EB3BC8">
      <w:pPr>
        <w:spacing w:after="0" w:line="240" w:lineRule="auto"/>
        <w:jc w:val="both"/>
        <w:rPr>
          <w:rFonts w:eastAsiaTheme="minorHAnsi" w:cstheme="minorHAnsi"/>
          <w:color w:val="000000" w:themeColor="text1"/>
        </w:rPr>
      </w:pPr>
    </w:p>
    <w:p w:rsidR="00EB3BC8" w:rsidRPr="00041403" w:rsidRDefault="00EB3BC8" w:rsidP="000021B2">
      <w:pPr>
        <w:numPr>
          <w:ilvl w:val="0"/>
          <w:numId w:val="80"/>
        </w:numPr>
        <w:spacing w:after="0" w:line="240" w:lineRule="auto"/>
        <w:contextualSpacing/>
        <w:jc w:val="both"/>
        <w:rPr>
          <w:rFonts w:eastAsiaTheme="minorHAnsi" w:cstheme="minorHAnsi"/>
          <w:color w:val="000000" w:themeColor="text1"/>
        </w:rPr>
      </w:pPr>
      <w:r w:rsidRPr="00041403">
        <w:rPr>
          <w:rFonts w:eastAsia="Calibri" w:cstheme="minorHAnsi"/>
          <w:color w:val="000000" w:themeColor="text1"/>
        </w:rPr>
        <w:t>Posteriormente, el 10 de junio de 2015 se suscribió el Acta de Inicio de Construcción del Tramo 7.2 (Construcción Puente vehicular sobre río Bogotá y el Mejoramiento Geométrico sobre Calle 80).</w:t>
      </w:r>
    </w:p>
    <w:p w:rsidR="00EB3BC8" w:rsidRPr="00041403" w:rsidRDefault="00EB3BC8" w:rsidP="00EB3BC8">
      <w:pPr>
        <w:spacing w:after="0" w:line="240" w:lineRule="auto"/>
        <w:contextualSpacing/>
        <w:jc w:val="both"/>
        <w:rPr>
          <w:rFonts w:eastAsiaTheme="minorHAnsi" w:cstheme="minorHAnsi"/>
          <w:color w:val="000000" w:themeColor="text1"/>
        </w:rPr>
      </w:pPr>
    </w:p>
    <w:p w:rsidR="00EB3BC8" w:rsidRPr="00041403" w:rsidRDefault="00EB3BC8" w:rsidP="000021B2">
      <w:pPr>
        <w:numPr>
          <w:ilvl w:val="0"/>
          <w:numId w:val="80"/>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En cuanto a las obras correspondientes a la Prolongación del puente peatonal, Urbanismo y paisajismo, el Concesionario avanza con los trámites de los permisos, anotando que una vez se cuente con los mismos se procederá a suscribir el documento correspondiente para la contratación de las obras.</w:t>
      </w:r>
    </w:p>
    <w:p w:rsidR="00EB3BC8" w:rsidRPr="00041403" w:rsidRDefault="00EB3BC8" w:rsidP="00EB3BC8">
      <w:pPr>
        <w:spacing w:after="0" w:line="240" w:lineRule="auto"/>
        <w:jc w:val="both"/>
        <w:rPr>
          <w:rFonts w:eastAsiaTheme="minorHAnsi" w:cstheme="minorHAnsi"/>
          <w:color w:val="000000" w:themeColor="text1"/>
        </w:rPr>
      </w:pPr>
    </w:p>
    <w:p w:rsidR="00EB3BC8" w:rsidRPr="00041403" w:rsidRDefault="00EB3BC8" w:rsidP="000021B2">
      <w:pPr>
        <w:numPr>
          <w:ilvl w:val="0"/>
          <w:numId w:val="80"/>
        </w:numPr>
        <w:spacing w:after="0" w:line="240" w:lineRule="auto"/>
        <w:contextualSpacing/>
        <w:jc w:val="both"/>
        <w:rPr>
          <w:rFonts w:eastAsia="Calibri" w:cstheme="minorHAnsi"/>
          <w:color w:val="000000" w:themeColor="text1"/>
        </w:rPr>
      </w:pPr>
      <w:r w:rsidRPr="00041403">
        <w:rPr>
          <w:rFonts w:eastAsia="Calibri" w:cstheme="minorHAnsi"/>
          <w:color w:val="000000" w:themeColor="text1"/>
        </w:rPr>
        <w:t>Dado lo anterior, a continuación se resume el avance de las obras de construcción del Puente vehicular sobre río Bogotá y el Mejoramiento Geométrico sobre Calle 80, así:</w:t>
      </w:r>
    </w:p>
    <w:p w:rsidR="00EB3BC8" w:rsidRPr="00041403" w:rsidRDefault="00EB3BC8" w:rsidP="00EB3BC8">
      <w:pPr>
        <w:spacing w:line="240" w:lineRule="auto"/>
        <w:ind w:left="720"/>
        <w:contextualSpacing/>
        <w:rPr>
          <w:rFonts w:eastAsia="Calibri" w:cstheme="minorHAnsi"/>
        </w:rPr>
      </w:pPr>
    </w:p>
    <w:p w:rsidR="00EB3BC8" w:rsidRPr="00041403" w:rsidRDefault="00EB3BC8" w:rsidP="000021B2">
      <w:pPr>
        <w:numPr>
          <w:ilvl w:val="1"/>
          <w:numId w:val="80"/>
        </w:numPr>
        <w:spacing w:after="0" w:line="240" w:lineRule="auto"/>
        <w:contextualSpacing/>
        <w:jc w:val="both"/>
        <w:rPr>
          <w:rFonts w:eastAsia="Calibri" w:cstheme="minorHAnsi"/>
          <w:color w:val="000000" w:themeColor="text1"/>
        </w:rPr>
      </w:pPr>
      <w:r w:rsidRPr="00041403">
        <w:rPr>
          <w:rFonts w:eastAsia="Calibri" w:cstheme="minorHAnsi"/>
        </w:rPr>
        <w:t>Entre el 10 y 23 de junio de 2015 el Concesionario inicio los apiques para la localización de la tubería de agua potable (Red Aguas de la Sabana), efectuó el retiro material de descapote en el costado occidental del río Bogotá y trasladó los equipos requeridos para el inicio de las perforaciones de los pilotes del estribo del vano de salida al costado occidental del río Bogotá. Así mismo, se instaló el campamento.</w:t>
      </w:r>
    </w:p>
    <w:p w:rsidR="00EB3BC8" w:rsidRPr="00041403" w:rsidRDefault="00EB3BC8" w:rsidP="000021B2">
      <w:pPr>
        <w:numPr>
          <w:ilvl w:val="1"/>
          <w:numId w:val="80"/>
        </w:numPr>
        <w:spacing w:after="0" w:line="240" w:lineRule="auto"/>
        <w:contextualSpacing/>
        <w:jc w:val="both"/>
        <w:rPr>
          <w:rFonts w:eastAsia="Calibri" w:cstheme="minorHAnsi"/>
          <w:color w:val="000000" w:themeColor="text1"/>
        </w:rPr>
      </w:pPr>
      <w:r w:rsidRPr="00041403">
        <w:rPr>
          <w:rFonts w:eastAsia="Calibri" w:cstheme="minorHAnsi"/>
        </w:rPr>
        <w:t>El día 23 de junio se iniciaron las actividades de armado de las canastas para refuerzo de los pilotes, así como el replanteo y la excavación de los prehuecos para dar inicio con las actividades de perforación y fundida de los pilotes del estribo del vano de salida al costado occidental del río Bogotá.</w:t>
      </w:r>
    </w:p>
    <w:p w:rsidR="00EB3BC8" w:rsidRPr="00041403" w:rsidRDefault="00EB3BC8" w:rsidP="00EB3BC8">
      <w:pPr>
        <w:spacing w:after="0" w:line="240" w:lineRule="auto"/>
        <w:ind w:left="720"/>
        <w:contextualSpacing/>
        <w:rPr>
          <w:rFonts w:eastAsia="Calibri" w:cstheme="minorHAnsi"/>
          <w:sz w:val="24"/>
          <w:szCs w:val="24"/>
        </w:rPr>
      </w:pPr>
    </w:p>
    <w:p w:rsidR="00EB3BC8" w:rsidRPr="00041403" w:rsidRDefault="00EB3BC8" w:rsidP="00EB3BC8">
      <w:pPr>
        <w:spacing w:after="0" w:line="240" w:lineRule="auto"/>
        <w:ind w:left="360"/>
        <w:rPr>
          <w:rFonts w:eastAsiaTheme="minorHAnsi" w:cstheme="minorHAnsi"/>
          <w:sz w:val="24"/>
          <w:szCs w:val="24"/>
        </w:rPr>
      </w:pPr>
      <w:r w:rsidRPr="00041403">
        <w:rPr>
          <w:rFonts w:eastAsiaTheme="minorHAnsi" w:cstheme="minorHAnsi"/>
          <w:noProof/>
        </w:rPr>
        <w:drawing>
          <wp:inline distT="0" distB="0" distL="0" distR="0" wp14:anchorId="10F2E211" wp14:editId="50D75C46">
            <wp:extent cx="2710248" cy="2026508"/>
            <wp:effectExtent l="0" t="0" r="0" b="0"/>
            <wp:docPr id="80" name="Imagen 5" descr="Z:\C_1133_BOGOTA_VILLETA\12_Fotografías\2015\06. JUNIO\2015-06-30 TEC\Río Bogotá\1 (24).JPG"/>
            <wp:cNvGraphicFramePr/>
            <a:graphic xmlns:a="http://schemas.openxmlformats.org/drawingml/2006/main">
              <a:graphicData uri="http://schemas.openxmlformats.org/drawingml/2006/picture">
                <pic:pic xmlns:pic="http://schemas.openxmlformats.org/drawingml/2006/picture">
                  <pic:nvPicPr>
                    <pic:cNvPr id="6" name="Imagen 5" descr="Z:\C_1133_BOGOTA_VILLETA\12_Fotografías\2015\06. JUNIO\2015-06-30 TEC\Río Bogotá\1 (24).JPG"/>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2716403" cy="2031111"/>
                    </a:xfrm>
                    <a:prstGeom prst="rect">
                      <a:avLst/>
                    </a:prstGeom>
                    <a:noFill/>
                    <a:ln>
                      <a:noFill/>
                    </a:ln>
                  </pic:spPr>
                </pic:pic>
              </a:graphicData>
            </a:graphic>
          </wp:inline>
        </w:drawing>
      </w:r>
      <w:r w:rsidRPr="00041403">
        <w:rPr>
          <w:rFonts w:eastAsiaTheme="minorHAnsi" w:cstheme="minorHAnsi"/>
          <w:noProof/>
        </w:rPr>
        <w:t xml:space="preserve">  </w:t>
      </w:r>
      <w:r w:rsidRPr="00041403">
        <w:rPr>
          <w:rFonts w:eastAsiaTheme="minorHAnsi" w:cstheme="minorHAnsi"/>
          <w:noProof/>
        </w:rPr>
        <w:drawing>
          <wp:inline distT="0" distB="0" distL="0" distR="0" wp14:anchorId="70FBC8D0" wp14:editId="0653B62C">
            <wp:extent cx="2527952" cy="1933398"/>
            <wp:effectExtent l="0" t="0" r="5715" b="0"/>
            <wp:docPr id="480" name="Imagen 6" descr="Z:\C_1133_BOGOTA_VILLETA\12_Fotografías\2015\06. JUNIO\2015-06-30 TEC\Río Bogotá\1 (66).JPG"/>
            <wp:cNvGraphicFramePr/>
            <a:graphic xmlns:a="http://schemas.openxmlformats.org/drawingml/2006/main">
              <a:graphicData uri="http://schemas.openxmlformats.org/drawingml/2006/picture">
                <pic:pic xmlns:pic="http://schemas.openxmlformats.org/drawingml/2006/picture">
                  <pic:nvPicPr>
                    <pic:cNvPr id="7" name="Imagen 6" descr="Z:\C_1133_BOGOTA_VILLETA\12_Fotografías\2015\06. JUNIO\2015-06-30 TEC\Río Bogotá\1 (66).JPG"/>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2597242" cy="1986392"/>
                    </a:xfrm>
                    <a:prstGeom prst="rect">
                      <a:avLst/>
                    </a:prstGeom>
                    <a:noFill/>
                    <a:ln>
                      <a:noFill/>
                    </a:ln>
                  </pic:spPr>
                </pic:pic>
              </a:graphicData>
            </a:graphic>
          </wp:inline>
        </w:drawing>
      </w:r>
    </w:p>
    <w:p w:rsidR="00EB3BC8" w:rsidRPr="00041403" w:rsidRDefault="00EB3BC8" w:rsidP="00EB3BC8">
      <w:pPr>
        <w:spacing w:after="0" w:line="240" w:lineRule="auto"/>
        <w:ind w:left="360"/>
        <w:jc w:val="center"/>
        <w:rPr>
          <w:rFonts w:eastAsiaTheme="minorHAnsi" w:cstheme="minorHAnsi"/>
          <w:sz w:val="18"/>
          <w:szCs w:val="18"/>
        </w:rPr>
      </w:pPr>
      <w:r w:rsidRPr="00041403">
        <w:rPr>
          <w:rFonts w:eastAsiaTheme="minorHAnsi" w:cstheme="minorHAnsi"/>
          <w:sz w:val="18"/>
          <w:szCs w:val="18"/>
        </w:rPr>
        <w:t>Tramo 7.2, Instalación de canasta  y fundida pilote</w:t>
      </w:r>
    </w:p>
    <w:p w:rsidR="00EB3BC8" w:rsidRPr="00041403" w:rsidRDefault="00EB3BC8" w:rsidP="00EB3BC8">
      <w:pPr>
        <w:spacing w:after="0" w:line="240" w:lineRule="auto"/>
        <w:jc w:val="both"/>
        <w:rPr>
          <w:rFonts w:eastAsiaTheme="minorHAnsi" w:cstheme="minorHAnsi"/>
          <w:sz w:val="24"/>
          <w:szCs w:val="24"/>
        </w:rPr>
      </w:pPr>
    </w:p>
    <w:p w:rsidR="00EB3BC8" w:rsidRPr="00041403" w:rsidRDefault="00EB3BC8" w:rsidP="00EB3BC8">
      <w:pPr>
        <w:spacing w:after="0" w:line="240" w:lineRule="auto"/>
        <w:jc w:val="both"/>
        <w:rPr>
          <w:rFonts w:eastAsiaTheme="minorHAnsi" w:cstheme="minorHAnsi"/>
        </w:rPr>
      </w:pPr>
      <w:r w:rsidRPr="00041403">
        <w:rPr>
          <w:rFonts w:eastAsiaTheme="minorHAnsi" w:cstheme="minorHAnsi"/>
        </w:rPr>
        <w:t>A continuación se presenta un esquema con el avance en la ejecución de los pilotes para la cimentación del puente vehicular sobre el río Bogotá, el cual presenta corte al 9 de julio de 2015, así:</w:t>
      </w:r>
    </w:p>
    <w:p w:rsidR="00EB3BC8" w:rsidRPr="00041403" w:rsidRDefault="00EB3BC8" w:rsidP="00EB3BC8">
      <w:pPr>
        <w:spacing w:after="0" w:line="240" w:lineRule="auto"/>
        <w:jc w:val="both"/>
        <w:rPr>
          <w:rFonts w:eastAsiaTheme="minorHAnsi" w:cstheme="minorHAnsi"/>
          <w:sz w:val="24"/>
          <w:szCs w:val="24"/>
        </w:rPr>
      </w:pPr>
    </w:p>
    <w:p w:rsidR="00EB3BC8" w:rsidRPr="00041403" w:rsidRDefault="00EB3BC8" w:rsidP="00EB3BC8">
      <w:pPr>
        <w:spacing w:after="0" w:line="240" w:lineRule="auto"/>
        <w:jc w:val="both"/>
        <w:rPr>
          <w:rFonts w:eastAsiaTheme="minorHAnsi" w:cstheme="minorHAnsi"/>
          <w:sz w:val="24"/>
          <w:szCs w:val="24"/>
        </w:rPr>
      </w:pPr>
    </w:p>
    <w:p w:rsidR="00EB3BC8" w:rsidRPr="00041403" w:rsidRDefault="00EB3BC8" w:rsidP="00EB3BC8">
      <w:pPr>
        <w:keepNext/>
        <w:spacing w:after="0" w:line="240" w:lineRule="auto"/>
        <w:jc w:val="center"/>
        <w:rPr>
          <w:rFonts w:eastAsia="Times New Roman" w:cstheme="minorHAnsi"/>
          <w:b/>
          <w:bCs/>
          <w:sz w:val="24"/>
          <w:szCs w:val="24"/>
        </w:rPr>
      </w:pPr>
      <w:bookmarkStart w:id="82" w:name="_Toc424309069"/>
      <w:r w:rsidRPr="00041403">
        <w:rPr>
          <w:rFonts w:eastAsia="Times New Roman" w:cstheme="minorHAnsi"/>
          <w:b/>
          <w:bCs/>
          <w:sz w:val="24"/>
          <w:szCs w:val="24"/>
        </w:rPr>
        <w:lastRenderedPageBreak/>
        <w:t>Avance Pilotaje Puente vehicular sobre el río Bogotá</w:t>
      </w:r>
      <w:bookmarkEnd w:id="82"/>
    </w:p>
    <w:p w:rsidR="00EB3BC8" w:rsidRPr="00041403" w:rsidRDefault="00EB3BC8" w:rsidP="00EB3BC8">
      <w:pPr>
        <w:spacing w:after="0" w:line="240" w:lineRule="auto"/>
        <w:jc w:val="center"/>
        <w:rPr>
          <w:rFonts w:eastAsiaTheme="minorHAnsi" w:cstheme="minorHAnsi"/>
          <w:sz w:val="24"/>
          <w:szCs w:val="24"/>
        </w:rPr>
      </w:pPr>
      <w:r w:rsidRPr="00041403">
        <w:rPr>
          <w:rFonts w:eastAsiaTheme="minorHAnsi" w:cstheme="minorHAnsi"/>
          <w:noProof/>
          <w:sz w:val="24"/>
          <w:szCs w:val="24"/>
        </w:rPr>
        <w:drawing>
          <wp:inline distT="0" distB="0" distL="0" distR="0" wp14:anchorId="54806AF5" wp14:editId="5D9422F3">
            <wp:extent cx="4827181" cy="3138721"/>
            <wp:effectExtent l="0" t="0" r="0" b="5080"/>
            <wp:docPr id="481" name="Imagen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3788" t="30497" r="49359" b="10638"/>
                    <a:stretch/>
                  </pic:blipFill>
                  <pic:spPr bwMode="auto">
                    <a:xfrm>
                      <a:off x="0" y="0"/>
                      <a:ext cx="4849881" cy="3153481"/>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EB3BC8" w:rsidRPr="00041403" w:rsidRDefault="00EB3BC8" w:rsidP="00EB3BC8">
      <w:pPr>
        <w:autoSpaceDE w:val="0"/>
        <w:autoSpaceDN w:val="0"/>
        <w:adjustRightInd w:val="0"/>
        <w:spacing w:after="0" w:line="240" w:lineRule="auto"/>
        <w:jc w:val="center"/>
        <w:rPr>
          <w:rFonts w:eastAsiaTheme="minorHAnsi" w:cstheme="minorHAnsi"/>
          <w:sz w:val="18"/>
          <w:szCs w:val="18"/>
        </w:rPr>
      </w:pPr>
      <w:r w:rsidRPr="00041403">
        <w:rPr>
          <w:rFonts w:eastAsiaTheme="minorHAnsi" w:cstheme="minorHAnsi"/>
          <w:sz w:val="18"/>
          <w:szCs w:val="18"/>
        </w:rPr>
        <w:t>Fuente: Elaboración propia</w:t>
      </w:r>
    </w:p>
    <w:p w:rsidR="00EB3BC8" w:rsidRPr="00041403" w:rsidRDefault="00EB3BC8" w:rsidP="00EB3BC8">
      <w:pPr>
        <w:autoSpaceDE w:val="0"/>
        <w:autoSpaceDN w:val="0"/>
        <w:adjustRightInd w:val="0"/>
        <w:spacing w:after="0" w:line="240" w:lineRule="auto"/>
        <w:rPr>
          <w:rFonts w:eastAsiaTheme="minorHAnsi" w:cstheme="minorHAnsi"/>
          <w:b/>
        </w:rPr>
      </w:pPr>
      <w:r w:rsidRPr="00041403">
        <w:rPr>
          <w:rFonts w:eastAsiaTheme="minorHAnsi" w:cstheme="minorHAnsi"/>
          <w:b/>
        </w:rPr>
        <w:t>Metas de ejecución</w:t>
      </w:r>
    </w:p>
    <w:p w:rsidR="00EB3BC8" w:rsidRPr="00041403" w:rsidRDefault="00EB3BC8" w:rsidP="00EB3BC8">
      <w:pPr>
        <w:autoSpaceDE w:val="0"/>
        <w:autoSpaceDN w:val="0"/>
        <w:adjustRightInd w:val="0"/>
        <w:spacing w:after="0" w:line="240" w:lineRule="auto"/>
        <w:rPr>
          <w:rFonts w:eastAsiaTheme="minorHAnsi" w:cstheme="minorHAnsi"/>
          <w:b/>
          <w:sz w:val="24"/>
          <w:szCs w:val="24"/>
        </w:rPr>
      </w:pPr>
    </w:p>
    <w:tbl>
      <w:tblPr>
        <w:tblW w:w="7528" w:type="dxa"/>
        <w:jc w:val="center"/>
        <w:tblLayout w:type="fixed"/>
        <w:tblCellMar>
          <w:left w:w="70" w:type="dxa"/>
          <w:right w:w="70" w:type="dxa"/>
        </w:tblCellMar>
        <w:tblLook w:val="04A0" w:firstRow="1" w:lastRow="0" w:firstColumn="1" w:lastColumn="0" w:noHBand="0" w:noVBand="1"/>
      </w:tblPr>
      <w:tblGrid>
        <w:gridCol w:w="866"/>
        <w:gridCol w:w="1134"/>
        <w:gridCol w:w="1559"/>
        <w:gridCol w:w="1276"/>
        <w:gridCol w:w="1417"/>
        <w:gridCol w:w="1276"/>
      </w:tblGrid>
      <w:tr w:rsidR="00EB3BC8" w:rsidRPr="00041403" w:rsidTr="005E52E0">
        <w:trPr>
          <w:trHeight w:val="1098"/>
          <w:jc w:val="center"/>
        </w:trPr>
        <w:tc>
          <w:tcPr>
            <w:tcW w:w="86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Tramo</w:t>
            </w:r>
          </w:p>
        </w:tc>
        <w:tc>
          <w:tcPr>
            <w:tcW w:w="113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Longitud</w:t>
            </w:r>
          </w:p>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 xml:space="preserve"> (km)</w:t>
            </w:r>
          </w:p>
        </w:tc>
        <w:tc>
          <w:tcPr>
            <w:tcW w:w="1559"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Ejecutado</w:t>
            </w:r>
          </w:p>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 xml:space="preserve"> hasta 2013</w:t>
            </w:r>
          </w:p>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(km)</w:t>
            </w:r>
          </w:p>
        </w:tc>
        <w:tc>
          <w:tcPr>
            <w:tcW w:w="1276" w:type="dxa"/>
            <w:tcBorders>
              <w:top w:val="single" w:sz="4" w:space="0" w:color="auto"/>
              <w:left w:val="nil"/>
              <w:bottom w:val="single" w:sz="4" w:space="0" w:color="auto"/>
              <w:right w:val="single" w:sz="4" w:space="0" w:color="auto"/>
            </w:tcBorders>
            <w:shd w:val="clear" w:color="000000" w:fill="BFBFBF"/>
            <w:noWrap/>
            <w:vAlign w:val="center"/>
            <w:hideMark/>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 xml:space="preserve">Ejecutado </w:t>
            </w:r>
          </w:p>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 xml:space="preserve"> 2014</w:t>
            </w:r>
          </w:p>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(km)</w:t>
            </w:r>
          </w:p>
        </w:tc>
        <w:tc>
          <w:tcPr>
            <w:tcW w:w="141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Ejecutado  2015</w:t>
            </w:r>
          </w:p>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(km)</w:t>
            </w:r>
          </w:p>
        </w:tc>
        <w:tc>
          <w:tcPr>
            <w:tcW w:w="1276" w:type="dxa"/>
            <w:tcBorders>
              <w:top w:val="single" w:sz="4" w:space="0" w:color="auto"/>
              <w:left w:val="single" w:sz="4" w:space="0" w:color="auto"/>
              <w:bottom w:val="single" w:sz="4" w:space="0" w:color="auto"/>
              <w:right w:val="single" w:sz="4" w:space="0" w:color="auto"/>
            </w:tcBorders>
            <w:shd w:val="clear" w:color="000000" w:fill="BFBFBF"/>
            <w:vAlign w:val="center"/>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Meta  2015</w:t>
            </w:r>
          </w:p>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(km)</w:t>
            </w:r>
          </w:p>
        </w:tc>
      </w:tr>
      <w:tr w:rsidR="00EB3BC8" w:rsidRPr="00041403" w:rsidTr="005E52E0">
        <w:trPr>
          <w:trHeight w:val="338"/>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 xml:space="preserve"> 2,876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2,876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r>
      <w:tr w:rsidR="00EB3BC8" w:rsidRPr="00041403" w:rsidTr="005E52E0">
        <w:trPr>
          <w:trHeight w:val="338"/>
          <w:jc w:val="center"/>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2</w:t>
            </w:r>
          </w:p>
        </w:tc>
        <w:tc>
          <w:tcPr>
            <w:tcW w:w="1134"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22,05</w:t>
            </w:r>
          </w:p>
        </w:tc>
        <w:tc>
          <w:tcPr>
            <w:tcW w:w="1559"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15,50</w:t>
            </w:r>
          </w:p>
        </w:tc>
        <w:tc>
          <w:tcPr>
            <w:tcW w:w="1276"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5,24</w:t>
            </w:r>
          </w:p>
        </w:tc>
        <w:tc>
          <w:tcPr>
            <w:tcW w:w="1417"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0,23</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1,08</w:t>
            </w:r>
          </w:p>
        </w:tc>
      </w:tr>
      <w:tr w:rsidR="00EB3BC8" w:rsidRPr="00041403" w:rsidTr="005E52E0">
        <w:trPr>
          <w:trHeight w:val="338"/>
          <w:jc w:val="center"/>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3</w:t>
            </w:r>
          </w:p>
        </w:tc>
        <w:tc>
          <w:tcPr>
            <w:tcW w:w="1134"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15,30</w:t>
            </w:r>
          </w:p>
        </w:tc>
        <w:tc>
          <w:tcPr>
            <w:tcW w:w="1559"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6,46</w:t>
            </w:r>
          </w:p>
        </w:tc>
        <w:tc>
          <w:tcPr>
            <w:tcW w:w="1276"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6,76</w:t>
            </w:r>
          </w:p>
        </w:tc>
        <w:tc>
          <w:tcPr>
            <w:tcW w:w="1417"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1,88</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0.20</w:t>
            </w:r>
          </w:p>
        </w:tc>
      </w:tr>
      <w:tr w:rsidR="00EB3BC8" w:rsidRPr="00041403" w:rsidTr="005E52E0">
        <w:trPr>
          <w:trHeight w:val="338"/>
          <w:jc w:val="center"/>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3,1</w:t>
            </w:r>
          </w:p>
        </w:tc>
        <w:tc>
          <w:tcPr>
            <w:tcW w:w="1134"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3,50</w:t>
            </w:r>
          </w:p>
        </w:tc>
        <w:tc>
          <w:tcPr>
            <w:tcW w:w="1559"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276"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1,25*</w:t>
            </w:r>
          </w:p>
        </w:tc>
      </w:tr>
      <w:tr w:rsidR="00EB3BC8" w:rsidRPr="00041403" w:rsidTr="005E52E0">
        <w:trPr>
          <w:trHeight w:val="338"/>
          <w:jc w:val="center"/>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4A</w:t>
            </w:r>
          </w:p>
        </w:tc>
        <w:tc>
          <w:tcPr>
            <w:tcW w:w="1134"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5,55</w:t>
            </w:r>
          </w:p>
        </w:tc>
        <w:tc>
          <w:tcPr>
            <w:tcW w:w="1559"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276"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0,81</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4,65</w:t>
            </w:r>
          </w:p>
        </w:tc>
      </w:tr>
      <w:tr w:rsidR="00EB3BC8" w:rsidRPr="00041403" w:rsidTr="005E52E0">
        <w:trPr>
          <w:trHeight w:val="338"/>
          <w:jc w:val="center"/>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4B</w:t>
            </w:r>
          </w:p>
        </w:tc>
        <w:tc>
          <w:tcPr>
            <w:tcW w:w="1134"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1,15</w:t>
            </w:r>
          </w:p>
        </w:tc>
        <w:tc>
          <w:tcPr>
            <w:tcW w:w="1559"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276"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0,77</w:t>
            </w:r>
          </w:p>
        </w:tc>
        <w:tc>
          <w:tcPr>
            <w:tcW w:w="1417"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0,38</w:t>
            </w:r>
          </w:p>
        </w:tc>
      </w:tr>
      <w:tr w:rsidR="00EB3BC8" w:rsidRPr="00041403" w:rsidTr="005E52E0">
        <w:trPr>
          <w:trHeight w:val="338"/>
          <w:jc w:val="center"/>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5</w:t>
            </w:r>
          </w:p>
        </w:tc>
        <w:tc>
          <w:tcPr>
            <w:tcW w:w="1134"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9,00</w:t>
            </w:r>
          </w:p>
        </w:tc>
        <w:tc>
          <w:tcPr>
            <w:tcW w:w="1559"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9,00</w:t>
            </w:r>
          </w:p>
        </w:tc>
        <w:tc>
          <w:tcPr>
            <w:tcW w:w="1276"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r>
      <w:tr w:rsidR="00EB3BC8" w:rsidRPr="00041403" w:rsidTr="005E52E0">
        <w:trPr>
          <w:trHeight w:val="338"/>
          <w:jc w:val="center"/>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6</w:t>
            </w:r>
          </w:p>
        </w:tc>
        <w:tc>
          <w:tcPr>
            <w:tcW w:w="1134"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7,20</w:t>
            </w:r>
          </w:p>
        </w:tc>
        <w:tc>
          <w:tcPr>
            <w:tcW w:w="1559"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7,20</w:t>
            </w:r>
          </w:p>
        </w:tc>
        <w:tc>
          <w:tcPr>
            <w:tcW w:w="1276"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r>
      <w:tr w:rsidR="00EB3BC8" w:rsidRPr="00041403" w:rsidTr="005E52E0">
        <w:trPr>
          <w:trHeight w:val="338"/>
          <w:jc w:val="center"/>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7</w:t>
            </w:r>
          </w:p>
        </w:tc>
        <w:tc>
          <w:tcPr>
            <w:tcW w:w="1134"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15,00</w:t>
            </w:r>
          </w:p>
        </w:tc>
        <w:tc>
          <w:tcPr>
            <w:tcW w:w="1559"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rPr>
                <w:rFonts w:eastAsiaTheme="minorHAnsi" w:cstheme="minorHAnsi"/>
                <w:color w:val="000000"/>
              </w:rPr>
            </w:pPr>
            <w:r w:rsidRPr="00041403">
              <w:rPr>
                <w:rFonts w:eastAsiaTheme="minorHAnsi" w:cstheme="minorHAnsi"/>
                <w:color w:val="000000"/>
              </w:rPr>
              <w:t xml:space="preserve">      15,00</w:t>
            </w:r>
          </w:p>
        </w:tc>
        <w:tc>
          <w:tcPr>
            <w:tcW w:w="1276"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 xml:space="preserve"> 0</w:t>
            </w:r>
          </w:p>
        </w:tc>
        <w:tc>
          <w:tcPr>
            <w:tcW w:w="1276" w:type="dxa"/>
            <w:tcBorders>
              <w:top w:val="single" w:sz="4" w:space="0" w:color="auto"/>
              <w:left w:val="nil"/>
              <w:bottom w:val="single" w:sz="4" w:space="0" w:color="auto"/>
              <w:right w:val="single" w:sz="4" w:space="0" w:color="auto"/>
            </w:tcBorders>
            <w:vAlign w:val="center"/>
          </w:tcPr>
          <w:p w:rsidR="00EB3BC8" w:rsidRPr="00041403" w:rsidRDefault="00EB3BC8" w:rsidP="005E52E0">
            <w:pPr>
              <w:spacing w:after="0" w:line="240" w:lineRule="auto"/>
              <w:jc w:val="center"/>
              <w:rPr>
                <w:rFonts w:eastAsiaTheme="minorHAnsi" w:cstheme="minorHAnsi"/>
                <w:color w:val="000000"/>
              </w:rPr>
            </w:pPr>
            <w:r w:rsidRPr="00041403">
              <w:rPr>
                <w:rFonts w:eastAsiaTheme="minorHAnsi" w:cstheme="minorHAnsi"/>
                <w:color w:val="000000"/>
              </w:rPr>
              <w:t>0,10*</w:t>
            </w:r>
          </w:p>
        </w:tc>
      </w:tr>
      <w:tr w:rsidR="00EB3BC8" w:rsidRPr="00041403" w:rsidTr="005E52E0">
        <w:trPr>
          <w:trHeight w:val="338"/>
          <w:jc w:val="center"/>
        </w:trPr>
        <w:tc>
          <w:tcPr>
            <w:tcW w:w="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Total</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EB3BC8" w:rsidRPr="00041403" w:rsidRDefault="00EB3BC8" w:rsidP="005E52E0">
            <w:pPr>
              <w:spacing w:after="0" w:line="240" w:lineRule="auto"/>
              <w:rPr>
                <w:rFonts w:eastAsiaTheme="minorHAnsi" w:cstheme="minorHAnsi"/>
                <w:b/>
                <w:bCs/>
                <w:color w:val="000000"/>
              </w:rPr>
            </w:pPr>
            <w:r w:rsidRPr="00041403">
              <w:rPr>
                <w:rFonts w:eastAsiaTheme="minorHAnsi" w:cstheme="minorHAnsi"/>
                <w:b/>
                <w:bCs/>
                <w:color w:val="000000"/>
              </w:rPr>
              <w:t xml:space="preserve">    81,626</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EB3BC8" w:rsidRPr="00041403" w:rsidRDefault="00EB3BC8" w:rsidP="005E52E0">
            <w:pPr>
              <w:spacing w:after="0" w:line="240" w:lineRule="auto"/>
              <w:rPr>
                <w:rFonts w:eastAsiaTheme="minorHAnsi" w:cstheme="minorHAnsi"/>
                <w:b/>
                <w:bCs/>
                <w:color w:val="000000"/>
              </w:rPr>
            </w:pPr>
            <w:r w:rsidRPr="00041403">
              <w:rPr>
                <w:rFonts w:eastAsiaTheme="minorHAnsi" w:cstheme="minorHAnsi"/>
                <w:b/>
                <w:bCs/>
                <w:color w:val="000000"/>
              </w:rPr>
              <w:t xml:space="preserve">      56,036</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12,770</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2,190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EB3BC8" w:rsidRPr="00041403" w:rsidRDefault="00EB3BC8" w:rsidP="005E52E0">
            <w:pPr>
              <w:spacing w:after="0" w:line="240" w:lineRule="auto"/>
              <w:jc w:val="center"/>
              <w:rPr>
                <w:rFonts w:eastAsiaTheme="minorHAnsi" w:cstheme="minorHAnsi"/>
                <w:b/>
                <w:bCs/>
                <w:color w:val="000000"/>
              </w:rPr>
            </w:pPr>
            <w:r w:rsidRPr="00041403">
              <w:rPr>
                <w:rFonts w:eastAsiaTheme="minorHAnsi" w:cstheme="minorHAnsi"/>
                <w:b/>
                <w:bCs/>
                <w:color w:val="000000"/>
              </w:rPr>
              <w:t>9,67</w:t>
            </w:r>
          </w:p>
        </w:tc>
      </w:tr>
    </w:tbl>
    <w:p w:rsidR="00EB3BC8" w:rsidRPr="00041403" w:rsidRDefault="00EB3BC8" w:rsidP="00EB3BC8">
      <w:pPr>
        <w:spacing w:after="0" w:line="240" w:lineRule="auto"/>
        <w:jc w:val="center"/>
        <w:rPr>
          <w:rFonts w:eastAsiaTheme="minorHAnsi" w:cstheme="minorHAnsi"/>
          <w:color w:val="000000" w:themeColor="text1"/>
          <w:sz w:val="18"/>
          <w:szCs w:val="18"/>
        </w:rPr>
      </w:pPr>
      <w:r w:rsidRPr="00041403">
        <w:rPr>
          <w:rFonts w:eastAsiaTheme="minorHAnsi" w:cstheme="minorHAnsi"/>
          <w:color w:val="000000" w:themeColor="text1"/>
          <w:sz w:val="18"/>
          <w:szCs w:val="18"/>
        </w:rPr>
        <w:t>Fuente: Elaboración propia</w:t>
      </w:r>
    </w:p>
    <w:p w:rsidR="00EB3BC8" w:rsidRPr="00041403" w:rsidRDefault="00EB3BC8" w:rsidP="00EB3BC8">
      <w:pPr>
        <w:spacing w:after="0" w:line="240" w:lineRule="auto"/>
        <w:rPr>
          <w:rFonts w:eastAsiaTheme="minorHAnsi" w:cstheme="minorHAnsi"/>
          <w:sz w:val="24"/>
          <w:szCs w:val="24"/>
        </w:rPr>
      </w:pPr>
    </w:p>
    <w:p w:rsidR="00EB3BC8" w:rsidRPr="00041403" w:rsidRDefault="00EB3BC8" w:rsidP="00EB3BC8">
      <w:pPr>
        <w:spacing w:after="0" w:line="240" w:lineRule="auto"/>
        <w:rPr>
          <w:rFonts w:eastAsiaTheme="minorHAnsi" w:cstheme="minorHAnsi"/>
          <w:b/>
        </w:rPr>
      </w:pPr>
      <w:r w:rsidRPr="00041403">
        <w:rPr>
          <w:rFonts w:eastAsiaTheme="minorHAnsi" w:cstheme="minorHAnsi"/>
          <w:b/>
        </w:rPr>
        <w:t>NOTAS:</w:t>
      </w:r>
    </w:p>
    <w:p w:rsidR="00EB3BC8" w:rsidRPr="00041403" w:rsidRDefault="00EB3BC8" w:rsidP="00EB3BC8">
      <w:pPr>
        <w:spacing w:after="0" w:line="240" w:lineRule="auto"/>
        <w:jc w:val="both"/>
        <w:rPr>
          <w:rFonts w:eastAsiaTheme="minorHAnsi" w:cstheme="minorHAnsi"/>
          <w:sz w:val="18"/>
        </w:rPr>
      </w:pPr>
      <w:r w:rsidRPr="00041403">
        <w:rPr>
          <w:rFonts w:eastAsiaTheme="minorHAnsi" w:cstheme="minorHAnsi"/>
          <w:sz w:val="18"/>
        </w:rPr>
        <w:t xml:space="preserve">* Desde mediados de enero de 2015 se declaró el desistimiento del trámite de solicitud de licencia ambiental para el sector del K53+200 al K54+450, que hace parte del Tramo 3.1, ante lo cual no se requiere licencia ambiental para la construcción de éste sector, sino que se elaborarán las fichas a incluir en el PAGA respectivo, situación que permite realizar las gestiones preliminares a la construcción de la segunda calzada. En el sector final, del K54+450 al K56+700 no se podrá iniciar la construcción hasta no obtenerse la licencia ambiental. Durante el mes de febrero de 2015 se adelantaron los trámites ante la CAR sobre el permiso de aprovechamiento forestal de 92 individuos  presentes en el sector del Tramo 3.1, Subsector 1 (K53+200 -  K54+450) y la solicitud del permiso de ocupación de cauce para la ampliación de cuatro (4 </w:t>
      </w:r>
      <w:r w:rsidRPr="00041403">
        <w:rPr>
          <w:rFonts w:eastAsiaTheme="minorHAnsi" w:cstheme="minorHAnsi"/>
          <w:sz w:val="18"/>
        </w:rPr>
        <w:lastRenderedPageBreak/>
        <w:t xml:space="preserve">alcantarillas de dicho sector), en el mes de mayo de 2015 se realizó la evaluación técnica por parte de funcionarios de la CAR de los respectivos  permisos, queda pendiente la emisión del concepto técnico y del acto administrativo.  Se realizaron levantamientos topográficos e inspección de redes y se ejecutan gestiones prediales preliminares. . </w:t>
      </w:r>
    </w:p>
    <w:p w:rsidR="00EB3BC8" w:rsidRPr="00041403" w:rsidRDefault="00EB3BC8" w:rsidP="00EB3BC8">
      <w:pPr>
        <w:shd w:val="clear" w:color="auto" w:fill="FFFFFF"/>
        <w:spacing w:after="0" w:line="240" w:lineRule="auto"/>
        <w:jc w:val="both"/>
        <w:rPr>
          <w:rFonts w:eastAsiaTheme="minorHAnsi" w:cstheme="minorHAnsi"/>
          <w:sz w:val="18"/>
        </w:rPr>
      </w:pPr>
      <w:r w:rsidRPr="00041403">
        <w:rPr>
          <w:rFonts w:eastAsiaTheme="minorHAnsi" w:cstheme="minorHAnsi"/>
          <w:sz w:val="18"/>
        </w:rPr>
        <w:t xml:space="preserve">La ANLA en el mes de febrero de 2015 realizó observaciones concernientes a los componentes físico, biótico y social al documento de complementación del Estudio de Impacto Ambiental del Tramo 4A (Informe Hidrogeológico, Diseño de estructura y Diseño Geométrico) presentado por el Concesionario,  documento necesario para la obtención de la licencia ambiental de los sectores excluidos, Jericó y El Santandereano.  A fines de marzo de 2015 el Concesionario entregó el documento respectivo actualizado, subsanadas las observaciones realizadas por la ANLA, para revisión de esta entidad. </w:t>
      </w:r>
    </w:p>
    <w:p w:rsidR="00EB3BC8" w:rsidRPr="00041403" w:rsidRDefault="00EB3BC8" w:rsidP="00EB3BC8">
      <w:pPr>
        <w:shd w:val="clear" w:color="auto" w:fill="FFFFFF"/>
        <w:spacing w:after="0" w:line="240" w:lineRule="auto"/>
        <w:jc w:val="both"/>
        <w:rPr>
          <w:rFonts w:eastAsiaTheme="minorHAnsi" w:cstheme="minorHAnsi"/>
          <w:sz w:val="18"/>
        </w:rPr>
      </w:pPr>
    </w:p>
    <w:p w:rsidR="00EB3BC8" w:rsidRPr="00041403" w:rsidRDefault="00EB3BC8" w:rsidP="00EB3BC8">
      <w:pPr>
        <w:shd w:val="clear" w:color="auto" w:fill="FFFFFF"/>
        <w:spacing w:after="0" w:line="240" w:lineRule="auto"/>
        <w:jc w:val="both"/>
        <w:rPr>
          <w:rFonts w:eastAsia="Calibri" w:cstheme="minorHAnsi"/>
          <w:sz w:val="18"/>
        </w:rPr>
      </w:pPr>
      <w:r w:rsidRPr="00041403">
        <w:rPr>
          <w:rFonts w:eastAsiaTheme="minorHAnsi" w:cstheme="minorHAnsi"/>
          <w:sz w:val="18"/>
        </w:rPr>
        <w:t xml:space="preserve">El Concesionario entrego a la CAR Regional Gualivá copia del documento de ajuste definitivo entregado al ANLA de los componentes abiótico, biótico y socioeconómico para la modificación de la Licencia ambiental del tramo 4 A de los sectores de Jericó y Santandereano. </w:t>
      </w:r>
      <w:r w:rsidRPr="00041403">
        <w:rPr>
          <w:rFonts w:eastAsia="Calibri" w:cstheme="minorHAnsi"/>
          <w:sz w:val="18"/>
        </w:rPr>
        <w:t>Mediante resolución N</w:t>
      </w:r>
      <w:r w:rsidRPr="00041403">
        <w:rPr>
          <w:rFonts w:eastAsia="Calibri" w:cstheme="minorHAnsi"/>
          <w:sz w:val="18"/>
          <w:vertAlign w:val="superscript"/>
        </w:rPr>
        <w:t>o</w:t>
      </w:r>
      <w:r w:rsidRPr="00041403">
        <w:rPr>
          <w:rFonts w:eastAsia="Calibri" w:cstheme="minorHAnsi"/>
          <w:sz w:val="18"/>
        </w:rPr>
        <w:t xml:space="preserve"> 1313 del 29 de mayo de 2015 se modifica el artículo 1 de la Resolución 1264 del 27 de septiembre de 2013 cuyo objetivo es la inclusión de un individuo de la especie </w:t>
      </w:r>
      <w:r w:rsidRPr="00041403">
        <w:rPr>
          <w:rFonts w:eastAsia="Calibri" w:cstheme="minorHAnsi"/>
          <w:i/>
          <w:sz w:val="18"/>
        </w:rPr>
        <w:t>Ocotea sp</w:t>
      </w:r>
      <w:r w:rsidRPr="00041403">
        <w:rPr>
          <w:rFonts w:eastAsia="Calibri" w:cstheme="minorHAnsi"/>
          <w:sz w:val="18"/>
        </w:rPr>
        <w:t xml:space="preserve"> y un individuo de la especie </w:t>
      </w:r>
      <w:r w:rsidRPr="00041403">
        <w:rPr>
          <w:rFonts w:eastAsia="Calibri" w:cstheme="minorHAnsi"/>
          <w:i/>
          <w:sz w:val="18"/>
        </w:rPr>
        <w:t>Juglans neotropica</w:t>
      </w:r>
      <w:r w:rsidRPr="00041403">
        <w:rPr>
          <w:rFonts w:eastAsia="Calibri" w:cstheme="minorHAnsi"/>
          <w:sz w:val="18"/>
        </w:rPr>
        <w:t xml:space="preserve"> debido al cambio del diseño de trazado de la doble calzada.</w:t>
      </w:r>
    </w:p>
    <w:p w:rsidR="00EB3BC8" w:rsidRPr="00041403" w:rsidRDefault="00EB3BC8" w:rsidP="00EB3BC8">
      <w:pPr>
        <w:shd w:val="clear" w:color="auto" w:fill="FFFFFF"/>
        <w:spacing w:after="0" w:line="240" w:lineRule="auto"/>
        <w:jc w:val="both"/>
        <w:rPr>
          <w:rFonts w:eastAsia="Calibri" w:cstheme="minorHAnsi"/>
          <w:sz w:val="18"/>
        </w:rPr>
      </w:pPr>
    </w:p>
    <w:p w:rsidR="00EB3BC8" w:rsidRPr="00041403" w:rsidRDefault="00EB3BC8" w:rsidP="00EB3BC8">
      <w:pPr>
        <w:shd w:val="clear" w:color="auto" w:fill="FFFFFF"/>
        <w:spacing w:after="0" w:line="240" w:lineRule="auto"/>
        <w:jc w:val="both"/>
        <w:rPr>
          <w:rFonts w:eastAsiaTheme="minorHAnsi" w:cstheme="minorHAnsi"/>
          <w:sz w:val="18"/>
        </w:rPr>
      </w:pPr>
      <w:r w:rsidRPr="00041403">
        <w:rPr>
          <w:rFonts w:eastAsia="Calibri" w:cstheme="minorHAnsi"/>
          <w:sz w:val="18"/>
        </w:rPr>
        <w:t>Mediante resolución N</w:t>
      </w:r>
      <w:r w:rsidRPr="00041403">
        <w:rPr>
          <w:rFonts w:eastAsia="Calibri" w:cstheme="minorHAnsi"/>
          <w:sz w:val="18"/>
          <w:vertAlign w:val="superscript"/>
        </w:rPr>
        <w:t>o</w:t>
      </w:r>
      <w:r w:rsidRPr="00041403">
        <w:rPr>
          <w:rFonts w:eastAsia="Calibri" w:cstheme="minorHAnsi"/>
          <w:sz w:val="18"/>
        </w:rPr>
        <w:t xml:space="preserve"> 0692 10 de junio de 2015 emitida por el ANLA se modifica la resolución N</w:t>
      </w:r>
      <w:r w:rsidRPr="00041403">
        <w:rPr>
          <w:rFonts w:eastAsia="Calibri" w:cstheme="minorHAnsi"/>
          <w:sz w:val="18"/>
          <w:vertAlign w:val="superscript"/>
        </w:rPr>
        <w:t>o</w:t>
      </w:r>
      <w:r w:rsidRPr="00041403">
        <w:rPr>
          <w:rFonts w:eastAsia="Calibri" w:cstheme="minorHAnsi"/>
          <w:sz w:val="18"/>
        </w:rPr>
        <w:t xml:space="preserve"> 1212 de 2012 donde se emite la Licencia ambiental para el sector 4 A y se incluyen para su construcción los subsectores Jericó (km 33+550- k33 +950) y Santandereano (km 36+300 – km 36+670).</w:t>
      </w:r>
    </w:p>
    <w:p w:rsidR="00EB3BC8" w:rsidRPr="00041403" w:rsidRDefault="00EB3BC8" w:rsidP="00EB3BC8">
      <w:pPr>
        <w:shd w:val="clear" w:color="auto" w:fill="FFFFFF"/>
        <w:spacing w:after="0" w:line="240" w:lineRule="auto"/>
        <w:jc w:val="both"/>
        <w:rPr>
          <w:rFonts w:eastAsiaTheme="minorHAnsi" w:cstheme="minorHAnsi"/>
          <w:color w:val="FF0000"/>
          <w:sz w:val="18"/>
        </w:rPr>
      </w:pPr>
    </w:p>
    <w:p w:rsidR="00EB3BC8" w:rsidRPr="00041403" w:rsidRDefault="00EB3BC8" w:rsidP="00EB3BC8">
      <w:pPr>
        <w:spacing w:after="0" w:line="240" w:lineRule="auto"/>
        <w:jc w:val="both"/>
        <w:rPr>
          <w:rFonts w:eastAsiaTheme="minorHAnsi" w:cstheme="minorHAnsi"/>
          <w:b/>
        </w:rPr>
      </w:pPr>
      <w:r w:rsidRPr="00041403">
        <w:rPr>
          <w:rFonts w:eastAsiaTheme="minorHAnsi" w:cstheme="minorHAnsi"/>
          <w:sz w:val="18"/>
        </w:rPr>
        <w:t>* El 26 de mayo de 2015 se suscribió por las partes la Modificación N° 8 al Acuerdo Conciliatorio, que la construcción del nuevo puente vehicular sobre el río Bogotá para la calzada norte y obras necesarias para la solución de movilidad en el empalme con Bogotá</w:t>
      </w:r>
      <w:r w:rsidRPr="00041403">
        <w:rPr>
          <w:rFonts w:eastAsiaTheme="minorHAnsi" w:cstheme="minorHAnsi"/>
        </w:rPr>
        <w:t>.</w:t>
      </w:r>
    </w:p>
    <w:p w:rsidR="00EB3BC8" w:rsidRPr="00CA2027" w:rsidRDefault="00EB3BC8" w:rsidP="00EB3BC8">
      <w:pPr>
        <w:tabs>
          <w:tab w:val="left" w:pos="6570"/>
        </w:tabs>
        <w:spacing w:after="0" w:line="240" w:lineRule="auto"/>
        <w:jc w:val="both"/>
        <w:rPr>
          <w:rFonts w:ascii="Arial" w:eastAsiaTheme="minorHAnsi" w:hAnsi="Arial" w:cs="Arial"/>
        </w:rPr>
      </w:pPr>
      <w:r w:rsidRPr="00CA2027">
        <w:rPr>
          <w:rFonts w:ascii="Arial" w:eastAsiaTheme="minorHAnsi" w:hAnsi="Arial" w:cs="Arial"/>
        </w:rPr>
        <w:t xml:space="preserve">                                           </w:t>
      </w:r>
    </w:p>
    <w:p w:rsidR="00EB3BC8" w:rsidRPr="00CA2027" w:rsidRDefault="00EB3BC8" w:rsidP="00EB3BC8">
      <w:pPr>
        <w:spacing w:line="240" w:lineRule="auto"/>
        <w:jc w:val="both"/>
        <w:rPr>
          <w:rFonts w:ascii="Arial" w:eastAsiaTheme="minorHAnsi" w:hAnsi="Arial" w:cs="Arial"/>
          <w:color w:val="000000" w:themeColor="text1"/>
        </w:rPr>
      </w:pPr>
    </w:p>
    <w:p w:rsidR="00EB3BC8" w:rsidRPr="00041403" w:rsidRDefault="00EB3BC8" w:rsidP="00EB3BC8">
      <w:pPr>
        <w:spacing w:line="240" w:lineRule="auto"/>
        <w:jc w:val="both"/>
        <w:rPr>
          <w:rFonts w:eastAsia="Times New Roman" w:cstheme="minorHAnsi"/>
          <w:b/>
          <w:lang w:val="es-ES"/>
        </w:rPr>
      </w:pPr>
      <w:r w:rsidRPr="00041403">
        <w:rPr>
          <w:rFonts w:eastAsia="Times New Roman" w:cstheme="minorHAnsi"/>
          <w:b/>
          <w:lang w:val="es-ES"/>
        </w:rPr>
        <w:t xml:space="preserve">5. INFORME DE GESTIÓN PROYECTO CONCESIÓN NEIVA ESPINAL GIRARDOT </w:t>
      </w:r>
    </w:p>
    <w:p w:rsidR="00EB3BC8" w:rsidRPr="00041403" w:rsidRDefault="00041403" w:rsidP="00041403">
      <w:pPr>
        <w:spacing w:after="0" w:line="240" w:lineRule="auto"/>
        <w:jc w:val="both"/>
        <w:rPr>
          <w:rFonts w:eastAsia="Times New Roman" w:cstheme="minorHAnsi"/>
          <w:b/>
          <w:lang w:val="es-ES" w:eastAsia="es-ES"/>
        </w:rPr>
      </w:pPr>
      <w:r w:rsidRPr="00041403">
        <w:rPr>
          <w:rFonts w:eastAsia="Times New Roman" w:cstheme="minorHAnsi"/>
          <w:b/>
          <w:lang w:val="es-ES" w:eastAsia="es-ES"/>
        </w:rPr>
        <w:t>Área Técnica</w:t>
      </w:r>
    </w:p>
    <w:p w:rsidR="00EB3BC8" w:rsidRPr="00041403" w:rsidRDefault="00EB3BC8" w:rsidP="00EB3BC8">
      <w:pPr>
        <w:spacing w:after="0" w:line="240" w:lineRule="auto"/>
        <w:ind w:left="426"/>
        <w:jc w:val="both"/>
        <w:rPr>
          <w:rFonts w:eastAsia="Times New Roman" w:cstheme="minorHAnsi"/>
          <w:b/>
          <w:lang w:val="es-ES" w:eastAsia="es-ES"/>
        </w:rPr>
      </w:pPr>
    </w:p>
    <w:p w:rsidR="00EB3BC8" w:rsidRPr="00041403" w:rsidRDefault="00041403" w:rsidP="00041403">
      <w:pPr>
        <w:spacing w:after="0" w:line="240" w:lineRule="auto"/>
        <w:jc w:val="both"/>
        <w:rPr>
          <w:rFonts w:eastAsia="Times New Roman" w:cstheme="minorHAnsi"/>
          <w:b/>
          <w:lang w:val="es-ES" w:eastAsia="es-ES"/>
        </w:rPr>
      </w:pPr>
      <w:r w:rsidRPr="00041403">
        <w:rPr>
          <w:rFonts w:eastAsia="Times New Roman" w:cstheme="minorHAnsi"/>
          <w:b/>
          <w:lang w:val="es-ES" w:eastAsia="es-ES"/>
        </w:rPr>
        <w:t xml:space="preserve">Variante Guamo </w:t>
      </w:r>
    </w:p>
    <w:p w:rsidR="00EB3BC8" w:rsidRPr="00041403" w:rsidRDefault="00EB3BC8" w:rsidP="00EB3BC8">
      <w:pPr>
        <w:spacing w:after="0" w:line="240" w:lineRule="auto"/>
        <w:jc w:val="both"/>
        <w:rPr>
          <w:rFonts w:eastAsia="Times New Roman" w:cstheme="minorHAnsi"/>
          <w:b/>
          <w:u w:val="single"/>
          <w:lang w:val="es-ES" w:eastAsia="es-ES"/>
        </w:rPr>
      </w:pP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lang w:val="es-ES" w:eastAsia="es-ES"/>
        </w:rPr>
        <w:t>Avance: 100%</w:t>
      </w: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lang w:val="es-ES" w:eastAsia="es-ES"/>
        </w:rPr>
        <w:t>La variante tiene una longitud de 6,01Km.</w:t>
      </w: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lang w:val="es-ES" w:eastAsia="es-ES"/>
        </w:rPr>
        <w:t>El Concesionario realizó instalación de defensas metálicas en los sitios requeridos y ya instaló los captafaros faltantes.</w:t>
      </w:r>
    </w:p>
    <w:p w:rsidR="00EB3BC8" w:rsidRPr="00041403" w:rsidRDefault="00EB3BC8" w:rsidP="00041403">
      <w:pPr>
        <w:spacing w:after="0" w:line="240" w:lineRule="auto"/>
        <w:rPr>
          <w:rFonts w:eastAsia="Times New Roman" w:cstheme="minorHAnsi"/>
          <w:lang w:val="es-ES" w:eastAsia="es-ES"/>
        </w:rPr>
      </w:pPr>
    </w:p>
    <w:p w:rsidR="00EB3BC8" w:rsidRPr="00041403" w:rsidRDefault="00041403" w:rsidP="00041403">
      <w:pPr>
        <w:spacing w:after="0" w:line="240" w:lineRule="auto"/>
        <w:jc w:val="both"/>
        <w:rPr>
          <w:rFonts w:eastAsia="Times New Roman" w:cstheme="minorHAnsi"/>
          <w:b/>
          <w:lang w:val="es-ES" w:eastAsia="es-ES"/>
        </w:rPr>
      </w:pPr>
      <w:r>
        <w:rPr>
          <w:rFonts w:eastAsia="Times New Roman" w:cstheme="minorHAnsi"/>
          <w:b/>
          <w:lang w:val="es-ES" w:eastAsia="es-ES"/>
        </w:rPr>
        <w:t>Variante e</w:t>
      </w:r>
      <w:r w:rsidRPr="00041403">
        <w:rPr>
          <w:rFonts w:eastAsia="Times New Roman" w:cstheme="minorHAnsi"/>
          <w:b/>
          <w:lang w:val="es-ES" w:eastAsia="es-ES"/>
        </w:rPr>
        <w:t xml:space="preserve">l Espinal </w:t>
      </w:r>
    </w:p>
    <w:p w:rsidR="00EB3BC8" w:rsidRPr="00041403" w:rsidRDefault="00EB3BC8" w:rsidP="00EB3BC8">
      <w:pPr>
        <w:keepNext/>
        <w:spacing w:after="0" w:line="240" w:lineRule="auto"/>
        <w:jc w:val="both"/>
        <w:outlineLvl w:val="0"/>
        <w:rPr>
          <w:rFonts w:eastAsia="Times New Roman" w:cstheme="minorHAnsi"/>
          <w:b/>
          <w:lang w:eastAsia="es-ES"/>
        </w:rPr>
      </w:pPr>
    </w:p>
    <w:p w:rsidR="00EB3BC8" w:rsidRPr="00041403" w:rsidRDefault="00EB3BC8" w:rsidP="000021B2">
      <w:pPr>
        <w:numPr>
          <w:ilvl w:val="0"/>
          <w:numId w:val="59"/>
        </w:numPr>
        <w:spacing w:after="0" w:line="240" w:lineRule="auto"/>
        <w:jc w:val="both"/>
        <w:rPr>
          <w:rFonts w:eastAsia="Times New Roman" w:cstheme="minorHAnsi"/>
          <w:lang w:val="es-ES" w:eastAsia="es-ES"/>
        </w:rPr>
      </w:pPr>
      <w:r w:rsidRPr="00041403">
        <w:rPr>
          <w:rFonts w:eastAsia="Times New Roman" w:cstheme="minorHAnsi"/>
          <w:lang w:val="es-ES" w:eastAsia="es-ES"/>
        </w:rPr>
        <w:t>Avance 100%</w:t>
      </w:r>
    </w:p>
    <w:p w:rsidR="00EB3BC8" w:rsidRPr="00041403" w:rsidRDefault="00EB3BC8" w:rsidP="000021B2">
      <w:pPr>
        <w:numPr>
          <w:ilvl w:val="0"/>
          <w:numId w:val="59"/>
        </w:numPr>
        <w:spacing w:after="0" w:line="240" w:lineRule="auto"/>
        <w:jc w:val="both"/>
        <w:rPr>
          <w:rFonts w:eastAsia="Times New Roman" w:cstheme="minorHAnsi"/>
          <w:lang w:val="es-ES" w:eastAsia="es-ES"/>
        </w:rPr>
      </w:pPr>
      <w:r w:rsidRPr="00041403">
        <w:rPr>
          <w:rFonts w:eastAsia="Times New Roman" w:cstheme="minorHAnsi"/>
          <w:lang w:val="es-ES" w:eastAsia="es-ES"/>
        </w:rPr>
        <w:t xml:space="preserve">El Box Coulvert del K2+620 sobre la antigua Vía Chicoral, está terminado, está pendiente la profundización de los canales por parte de USOCOELLO. </w:t>
      </w:r>
    </w:p>
    <w:p w:rsidR="00EB3BC8" w:rsidRPr="00041403" w:rsidRDefault="00EB3BC8" w:rsidP="000021B2">
      <w:pPr>
        <w:numPr>
          <w:ilvl w:val="0"/>
          <w:numId w:val="59"/>
        </w:numPr>
        <w:spacing w:after="0" w:line="240" w:lineRule="auto"/>
        <w:jc w:val="both"/>
        <w:rPr>
          <w:rFonts w:eastAsia="Times New Roman" w:cstheme="minorHAnsi"/>
          <w:lang w:val="es-ES" w:eastAsia="es-ES"/>
        </w:rPr>
      </w:pPr>
      <w:r w:rsidRPr="00041403">
        <w:rPr>
          <w:rFonts w:eastAsia="Times New Roman" w:cstheme="minorHAnsi"/>
          <w:lang w:val="es-ES" w:eastAsia="es-ES"/>
        </w:rPr>
        <w:t xml:space="preserve">Las obras se  suspendieron del 27 de marzo al 20 de abril. </w:t>
      </w:r>
    </w:p>
    <w:p w:rsidR="00EB3BC8" w:rsidRPr="00041403" w:rsidRDefault="00EB3BC8" w:rsidP="000021B2">
      <w:pPr>
        <w:numPr>
          <w:ilvl w:val="0"/>
          <w:numId w:val="59"/>
        </w:numPr>
        <w:spacing w:after="0" w:line="240" w:lineRule="auto"/>
        <w:jc w:val="both"/>
        <w:rPr>
          <w:rFonts w:eastAsia="Times New Roman" w:cstheme="minorHAnsi"/>
          <w:lang w:val="es-ES" w:eastAsia="es-ES"/>
        </w:rPr>
      </w:pPr>
      <w:r w:rsidRPr="00041403">
        <w:rPr>
          <w:rFonts w:eastAsia="Times New Roman" w:cstheme="minorHAnsi"/>
          <w:lang w:val="es-ES" w:eastAsia="es-ES"/>
        </w:rPr>
        <w:t>En el tramo del K0+000 al K0+100 se demolieron las casas del Barrio La Nacional, las empresas de servicios públicos realizaron traslado de redes, se hizo mejoramiento del terreno y compactación de terraplén en material de subbase.</w:t>
      </w:r>
    </w:p>
    <w:p w:rsidR="00EB3BC8" w:rsidRPr="00041403" w:rsidRDefault="00EB3BC8" w:rsidP="000021B2">
      <w:pPr>
        <w:numPr>
          <w:ilvl w:val="0"/>
          <w:numId w:val="59"/>
        </w:numPr>
        <w:spacing w:after="0" w:line="240" w:lineRule="auto"/>
        <w:jc w:val="both"/>
        <w:rPr>
          <w:rFonts w:eastAsia="Times New Roman" w:cstheme="minorHAnsi"/>
          <w:lang w:val="es-ES" w:eastAsia="es-ES"/>
        </w:rPr>
      </w:pPr>
      <w:r w:rsidRPr="00041403">
        <w:rPr>
          <w:rFonts w:eastAsia="Times New Roman" w:cstheme="minorHAnsi"/>
          <w:lang w:val="es-ES" w:eastAsia="es-ES"/>
        </w:rPr>
        <w:t>Mediante el Otrosí del 20 de abril de 2015 se amplió el plazo para la construcción de la variante en 45 días.</w:t>
      </w:r>
    </w:p>
    <w:p w:rsidR="00EB3BC8" w:rsidRPr="00041403" w:rsidRDefault="00EB3BC8" w:rsidP="000021B2">
      <w:pPr>
        <w:numPr>
          <w:ilvl w:val="0"/>
          <w:numId w:val="59"/>
        </w:numPr>
        <w:spacing w:after="0" w:line="240" w:lineRule="auto"/>
        <w:jc w:val="both"/>
        <w:rPr>
          <w:rFonts w:eastAsia="Times New Roman" w:cstheme="minorHAnsi"/>
          <w:lang w:val="es-ES" w:eastAsia="es-ES"/>
        </w:rPr>
      </w:pPr>
      <w:r w:rsidRPr="00041403">
        <w:rPr>
          <w:rFonts w:eastAsia="Times New Roman" w:cstheme="minorHAnsi"/>
          <w:lang w:val="es-ES" w:eastAsia="es-ES"/>
        </w:rPr>
        <w:t>La vía se encuentra totalmente pavimentada y señalizada desde el K0+000 al K3+990.</w:t>
      </w:r>
    </w:p>
    <w:p w:rsidR="00EB3BC8" w:rsidRPr="00041403" w:rsidRDefault="00EB3BC8" w:rsidP="000021B2">
      <w:pPr>
        <w:numPr>
          <w:ilvl w:val="0"/>
          <w:numId w:val="59"/>
        </w:numPr>
        <w:spacing w:after="0" w:line="240" w:lineRule="auto"/>
        <w:jc w:val="both"/>
        <w:rPr>
          <w:rFonts w:eastAsia="Times New Roman" w:cstheme="minorHAnsi"/>
          <w:lang w:val="es-ES" w:eastAsia="es-ES"/>
        </w:rPr>
      </w:pPr>
      <w:r w:rsidRPr="00041403">
        <w:rPr>
          <w:rFonts w:eastAsia="Times New Roman" w:cstheme="minorHAnsi"/>
          <w:lang w:val="es-ES" w:eastAsia="es-ES"/>
        </w:rPr>
        <w:t>Se  inauguró el 9 de junio de 2015</w:t>
      </w:r>
    </w:p>
    <w:p w:rsidR="00EB3BC8" w:rsidRPr="00041403" w:rsidRDefault="00EB3BC8" w:rsidP="00EB3BC8">
      <w:pPr>
        <w:spacing w:after="0" w:line="240" w:lineRule="auto"/>
        <w:ind w:left="426"/>
        <w:jc w:val="both"/>
        <w:rPr>
          <w:rFonts w:eastAsia="Times New Roman" w:cstheme="minorHAnsi"/>
          <w:b/>
          <w:lang w:val="es-ES" w:eastAsia="es-ES"/>
        </w:rPr>
      </w:pPr>
    </w:p>
    <w:p w:rsidR="00EB3BC8" w:rsidRPr="00041403" w:rsidRDefault="00041403" w:rsidP="00041403">
      <w:pPr>
        <w:spacing w:after="0" w:line="240" w:lineRule="auto"/>
        <w:jc w:val="both"/>
        <w:rPr>
          <w:rFonts w:eastAsia="Times New Roman" w:cstheme="minorHAnsi"/>
          <w:b/>
          <w:lang w:val="es-ES" w:eastAsia="es-ES"/>
        </w:rPr>
      </w:pPr>
      <w:r w:rsidRPr="00041403">
        <w:rPr>
          <w:rFonts w:eastAsia="Times New Roman" w:cstheme="minorHAnsi"/>
          <w:b/>
          <w:lang w:val="es-ES" w:eastAsia="es-ES"/>
        </w:rPr>
        <w:t xml:space="preserve">Actividades </w:t>
      </w:r>
      <w:r>
        <w:rPr>
          <w:rFonts w:eastAsia="Times New Roman" w:cstheme="minorHAnsi"/>
          <w:b/>
          <w:lang w:val="es-ES" w:eastAsia="es-ES"/>
        </w:rPr>
        <w:t>d</w:t>
      </w:r>
      <w:r w:rsidRPr="00041403">
        <w:rPr>
          <w:rFonts w:eastAsia="Times New Roman" w:cstheme="minorHAnsi"/>
          <w:b/>
          <w:lang w:val="es-ES" w:eastAsia="es-ES"/>
        </w:rPr>
        <w:t>e Mantenimiento</w:t>
      </w:r>
    </w:p>
    <w:p w:rsidR="00EB3BC8" w:rsidRPr="00041403" w:rsidRDefault="00EB3BC8" w:rsidP="00EB3BC8">
      <w:pPr>
        <w:spacing w:after="0" w:line="240" w:lineRule="auto"/>
        <w:jc w:val="both"/>
        <w:rPr>
          <w:rFonts w:eastAsia="Times New Roman" w:cstheme="minorHAnsi"/>
          <w:b/>
          <w:lang w:val="es-ES" w:eastAsia="es-ES"/>
        </w:rPr>
      </w:pPr>
    </w:p>
    <w:p w:rsidR="00EB3BC8" w:rsidRPr="00041403" w:rsidRDefault="00EB3BC8" w:rsidP="000021B2">
      <w:pPr>
        <w:numPr>
          <w:ilvl w:val="0"/>
          <w:numId w:val="59"/>
        </w:numPr>
        <w:spacing w:after="0" w:line="240" w:lineRule="auto"/>
        <w:rPr>
          <w:rFonts w:eastAsia="Times New Roman" w:cstheme="minorHAnsi"/>
          <w:lang w:val="es-ES" w:eastAsia="es-ES"/>
        </w:rPr>
      </w:pPr>
      <w:r w:rsidRPr="00041403">
        <w:rPr>
          <w:rFonts w:eastAsia="Times New Roman" w:cstheme="minorHAnsi"/>
          <w:lang w:val="es-ES" w:eastAsia="es-ES"/>
        </w:rPr>
        <w:lastRenderedPageBreak/>
        <w:t>Actividades de rocería y poda de árboles.</w:t>
      </w:r>
    </w:p>
    <w:p w:rsidR="00EB3BC8" w:rsidRPr="00041403" w:rsidRDefault="00EB3BC8" w:rsidP="000021B2">
      <w:pPr>
        <w:numPr>
          <w:ilvl w:val="0"/>
          <w:numId w:val="59"/>
        </w:numPr>
        <w:spacing w:after="0" w:line="240" w:lineRule="auto"/>
        <w:rPr>
          <w:rFonts w:eastAsia="Times New Roman" w:cstheme="minorHAnsi"/>
          <w:lang w:val="es-ES" w:eastAsia="es-ES"/>
        </w:rPr>
      </w:pPr>
      <w:r w:rsidRPr="00041403">
        <w:rPr>
          <w:rFonts w:eastAsia="Times New Roman" w:cstheme="minorHAnsi"/>
          <w:lang w:val="es-ES" w:eastAsia="es-ES"/>
        </w:rPr>
        <w:t>Actividades de parcheo puntuales del PR 12+000 al PR 25+000</w:t>
      </w:r>
    </w:p>
    <w:p w:rsidR="00EB3BC8" w:rsidRPr="00041403" w:rsidRDefault="00EB3BC8" w:rsidP="000021B2">
      <w:pPr>
        <w:numPr>
          <w:ilvl w:val="0"/>
          <w:numId w:val="59"/>
        </w:numPr>
        <w:spacing w:after="0" w:line="240" w:lineRule="auto"/>
        <w:rPr>
          <w:rFonts w:eastAsia="Times New Roman" w:cstheme="minorHAnsi"/>
          <w:lang w:val="es-ES" w:eastAsia="es-ES"/>
        </w:rPr>
      </w:pPr>
      <w:r w:rsidRPr="00041403">
        <w:rPr>
          <w:rFonts w:eastAsia="Times New Roman" w:cstheme="minorHAnsi"/>
          <w:lang w:val="es-ES" w:eastAsia="es-ES"/>
        </w:rPr>
        <w:t>Sobrecarpeta asfáltica entre el PR0+000 al PR0+700</w:t>
      </w:r>
    </w:p>
    <w:p w:rsidR="00EB3BC8" w:rsidRPr="00041403" w:rsidRDefault="00EB3BC8" w:rsidP="000021B2">
      <w:pPr>
        <w:numPr>
          <w:ilvl w:val="0"/>
          <w:numId w:val="59"/>
        </w:numPr>
        <w:spacing w:after="0" w:line="240" w:lineRule="auto"/>
        <w:contextualSpacing/>
        <w:jc w:val="both"/>
        <w:rPr>
          <w:rFonts w:eastAsia="Times New Roman" w:cstheme="minorHAnsi"/>
          <w:lang w:val="es-ES" w:eastAsia="es-ES"/>
        </w:rPr>
      </w:pPr>
      <w:r w:rsidRPr="00041403">
        <w:rPr>
          <w:rFonts w:eastAsia="Times New Roman" w:cstheme="minorHAnsi"/>
          <w:lang w:val="es-ES" w:eastAsia="es-ES"/>
        </w:rPr>
        <w:t>Actividades de parcheo puntuales del PR3+000 al PR4+000, del PR19+400 al PR21+400, del PR27+000 al PR30+000y del PR105+000 al PR106+000</w:t>
      </w:r>
    </w:p>
    <w:p w:rsidR="00EB3BC8" w:rsidRPr="00041403" w:rsidRDefault="00EB3BC8" w:rsidP="000021B2">
      <w:pPr>
        <w:numPr>
          <w:ilvl w:val="0"/>
          <w:numId w:val="59"/>
        </w:numPr>
        <w:spacing w:after="0" w:line="240" w:lineRule="auto"/>
        <w:contextualSpacing/>
        <w:jc w:val="both"/>
        <w:rPr>
          <w:rFonts w:eastAsia="Times New Roman" w:cstheme="minorHAnsi"/>
          <w:lang w:val="es-ES" w:eastAsia="es-ES"/>
        </w:rPr>
      </w:pPr>
      <w:r w:rsidRPr="00041403">
        <w:rPr>
          <w:rFonts w:eastAsia="Times New Roman" w:cstheme="minorHAnsi"/>
          <w:lang w:val="es-ES" w:eastAsia="es-ES"/>
        </w:rPr>
        <w:t>Colocación de sobrecarpeta del PR0+000 al PR0+720, del PR31+100 al PR31+950</w:t>
      </w:r>
    </w:p>
    <w:p w:rsidR="00EB3BC8" w:rsidRPr="00041403" w:rsidRDefault="00EB3BC8" w:rsidP="000021B2">
      <w:pPr>
        <w:numPr>
          <w:ilvl w:val="0"/>
          <w:numId w:val="59"/>
        </w:numPr>
        <w:spacing w:after="0" w:line="240" w:lineRule="auto"/>
        <w:contextualSpacing/>
        <w:jc w:val="both"/>
        <w:rPr>
          <w:rFonts w:eastAsia="Times New Roman" w:cstheme="minorHAnsi"/>
          <w:lang w:val="es-ES" w:eastAsia="es-ES"/>
        </w:rPr>
      </w:pPr>
      <w:r w:rsidRPr="00041403">
        <w:rPr>
          <w:rFonts w:eastAsia="Times New Roman" w:cstheme="minorHAnsi"/>
          <w:lang w:val="es-ES" w:eastAsia="es-ES"/>
        </w:rPr>
        <w:t>Señalización horizontal de la variante Natagaima y Espinal</w:t>
      </w:r>
    </w:p>
    <w:p w:rsidR="00EB3BC8" w:rsidRPr="00041403" w:rsidRDefault="00EB3BC8" w:rsidP="000021B2">
      <w:pPr>
        <w:numPr>
          <w:ilvl w:val="0"/>
          <w:numId w:val="59"/>
        </w:numPr>
        <w:spacing w:after="0" w:line="240" w:lineRule="auto"/>
        <w:jc w:val="both"/>
        <w:rPr>
          <w:rFonts w:eastAsia="Times New Roman" w:cstheme="minorHAnsi"/>
          <w:color w:val="000000"/>
          <w:lang w:val="es-ES" w:eastAsia="es-ES"/>
        </w:rPr>
      </w:pPr>
      <w:r w:rsidRPr="00041403">
        <w:rPr>
          <w:rFonts w:eastAsia="Times New Roman" w:cstheme="minorHAnsi"/>
          <w:lang w:val="es-ES" w:eastAsia="es-ES"/>
        </w:rPr>
        <w:t>Señalización vertical variante Espinal.</w:t>
      </w:r>
    </w:p>
    <w:p w:rsidR="00EB3BC8" w:rsidRPr="00041403" w:rsidRDefault="00EB3BC8" w:rsidP="00EB3BC8">
      <w:pPr>
        <w:spacing w:after="0" w:line="240" w:lineRule="auto"/>
        <w:jc w:val="both"/>
        <w:rPr>
          <w:rFonts w:eastAsia="Times New Roman" w:cstheme="minorHAnsi"/>
          <w:color w:val="000000"/>
          <w:lang w:val="es-ES" w:eastAsia="es-ES"/>
        </w:rPr>
      </w:pPr>
    </w:p>
    <w:p w:rsidR="00EB3BC8" w:rsidRPr="00041403" w:rsidRDefault="00EB3BC8" w:rsidP="00EB3BC8">
      <w:pPr>
        <w:spacing w:after="0" w:line="240" w:lineRule="auto"/>
        <w:jc w:val="both"/>
        <w:rPr>
          <w:rFonts w:eastAsia="Times New Roman" w:cstheme="minorHAnsi"/>
          <w:color w:val="000000"/>
          <w:lang w:val="es-ES" w:eastAsia="es-ES"/>
        </w:rPr>
      </w:pPr>
      <w:r w:rsidRPr="00041403">
        <w:rPr>
          <w:rFonts w:eastAsia="Times New Roman" w:cstheme="minorHAnsi"/>
          <w:color w:val="000000"/>
          <w:lang w:val="es-ES" w:eastAsia="es-ES"/>
        </w:rPr>
        <w:t>Teniendo en cuenta que el Contrato de Concesión 0849/1995 tiene fecha de terminación el 21 de junio de 2016, y con el fin de iniciar la preparación de la liquidación del mismo, se requirió a la Interventoría para que emita un concepto integral en el cual se incluyan entre otros aspectos los siguientes:</w:t>
      </w:r>
    </w:p>
    <w:p w:rsidR="00EB3BC8" w:rsidRPr="00041403" w:rsidRDefault="00EB3BC8" w:rsidP="00EB3BC8">
      <w:pPr>
        <w:spacing w:after="0" w:line="240" w:lineRule="auto"/>
        <w:jc w:val="both"/>
        <w:rPr>
          <w:rFonts w:eastAsia="Times New Roman" w:cstheme="minorHAnsi"/>
          <w:color w:val="000000"/>
          <w:lang w:val="es-ES" w:eastAsia="es-ES"/>
        </w:rPr>
      </w:pPr>
    </w:p>
    <w:p w:rsidR="00EB3BC8" w:rsidRPr="00041403" w:rsidRDefault="00EB3BC8" w:rsidP="000021B2">
      <w:pPr>
        <w:numPr>
          <w:ilvl w:val="0"/>
          <w:numId w:val="60"/>
        </w:numPr>
        <w:spacing w:after="0" w:line="240" w:lineRule="auto"/>
        <w:contextualSpacing/>
        <w:jc w:val="both"/>
        <w:rPr>
          <w:rFonts w:eastAsia="Times New Roman" w:cstheme="minorHAnsi"/>
          <w:color w:val="000000"/>
          <w:lang w:val="es-ES" w:eastAsia="es-ES"/>
        </w:rPr>
      </w:pPr>
      <w:r w:rsidRPr="00041403">
        <w:rPr>
          <w:rFonts w:eastAsia="Times New Roman" w:cstheme="minorHAnsi"/>
          <w:color w:val="000000"/>
          <w:lang w:val="es-ES" w:eastAsia="es-ES"/>
        </w:rPr>
        <w:t>Concepto técnico de las obras ejecutadas en las variantes de Guamo y Espinal en el que se indique si son aceptadas por la Interventoría en su totalidad</w:t>
      </w:r>
    </w:p>
    <w:p w:rsidR="00EB3BC8" w:rsidRPr="00041403" w:rsidRDefault="00EB3BC8" w:rsidP="000021B2">
      <w:pPr>
        <w:numPr>
          <w:ilvl w:val="0"/>
          <w:numId w:val="60"/>
        </w:numPr>
        <w:spacing w:after="0" w:line="240" w:lineRule="auto"/>
        <w:contextualSpacing/>
        <w:jc w:val="both"/>
        <w:rPr>
          <w:rFonts w:eastAsia="Times New Roman" w:cstheme="minorHAnsi"/>
          <w:color w:val="000000"/>
          <w:lang w:val="es-ES" w:eastAsia="es-ES"/>
        </w:rPr>
      </w:pPr>
      <w:r w:rsidRPr="00041403">
        <w:rPr>
          <w:rFonts w:eastAsia="Times New Roman" w:cstheme="minorHAnsi"/>
          <w:color w:val="000000"/>
          <w:lang w:val="es-ES" w:eastAsia="es-ES"/>
        </w:rPr>
        <w:t>Estado de la gestión predial adelantada por el Concesionario a la fecha, en el que se incluya el estado de los predios en expropiación.</w:t>
      </w:r>
    </w:p>
    <w:p w:rsidR="00EB3BC8" w:rsidRPr="00041403" w:rsidRDefault="00EB3BC8" w:rsidP="000021B2">
      <w:pPr>
        <w:numPr>
          <w:ilvl w:val="0"/>
          <w:numId w:val="60"/>
        </w:numPr>
        <w:spacing w:after="0" w:line="240" w:lineRule="auto"/>
        <w:contextualSpacing/>
        <w:jc w:val="both"/>
        <w:rPr>
          <w:rFonts w:eastAsia="Times New Roman" w:cstheme="minorHAnsi"/>
          <w:color w:val="000000"/>
          <w:lang w:val="es-ES" w:eastAsia="es-ES"/>
        </w:rPr>
      </w:pPr>
      <w:r w:rsidRPr="00041403">
        <w:rPr>
          <w:rFonts w:eastAsia="Times New Roman" w:cstheme="minorHAnsi"/>
          <w:color w:val="000000"/>
          <w:lang w:val="es-ES" w:eastAsia="es-ES"/>
        </w:rPr>
        <w:t>Evaluación jurídica sobre las obligaciones y cumplimiento por parte del Concesionario en el reemplazo de los vehículos de policía de carreteras y de servicio, y estado de los mismos para la reversión.</w:t>
      </w:r>
    </w:p>
    <w:p w:rsidR="00EB3BC8" w:rsidRPr="00041403" w:rsidRDefault="00EB3BC8" w:rsidP="000021B2">
      <w:pPr>
        <w:numPr>
          <w:ilvl w:val="0"/>
          <w:numId w:val="60"/>
        </w:numPr>
        <w:spacing w:after="0" w:line="240" w:lineRule="auto"/>
        <w:contextualSpacing/>
        <w:jc w:val="both"/>
        <w:rPr>
          <w:rFonts w:eastAsia="Times New Roman" w:cstheme="minorHAnsi"/>
          <w:color w:val="000000"/>
          <w:lang w:val="es-ES" w:eastAsia="es-ES"/>
        </w:rPr>
      </w:pPr>
      <w:r w:rsidRPr="00041403">
        <w:rPr>
          <w:rFonts w:eastAsia="Times New Roman" w:cstheme="minorHAnsi"/>
          <w:color w:val="000000"/>
          <w:lang w:val="es-ES" w:eastAsia="es-ES"/>
        </w:rPr>
        <w:t>Estado de la infraestructura operativa que se revertirá una vez terminado el Contrato.</w:t>
      </w:r>
    </w:p>
    <w:p w:rsidR="00EB3BC8" w:rsidRPr="00041403" w:rsidRDefault="00EB3BC8" w:rsidP="00EB3BC8">
      <w:pPr>
        <w:spacing w:after="0" w:line="240" w:lineRule="auto"/>
        <w:ind w:left="708"/>
        <w:jc w:val="both"/>
        <w:rPr>
          <w:rFonts w:eastAsia="Times New Roman" w:cstheme="minorHAnsi"/>
          <w:color w:val="000000"/>
          <w:lang w:val="es-ES" w:eastAsia="es-ES"/>
        </w:rPr>
      </w:pPr>
      <w:r w:rsidRPr="00041403">
        <w:rPr>
          <w:rFonts w:eastAsia="Times New Roman" w:cstheme="minorHAnsi"/>
          <w:color w:val="000000"/>
          <w:lang w:val="es-ES" w:eastAsia="es-ES"/>
        </w:rPr>
        <w:t>Los demás aspectos que considere la Interventoría que son de importancia para la reversión y liquidación del contrato y recibo a satisfacción de las obras ejecutadas.</w:t>
      </w:r>
    </w:p>
    <w:p w:rsidR="00EB3BC8" w:rsidRPr="00041403" w:rsidRDefault="00EB3BC8" w:rsidP="00EB3BC8">
      <w:pPr>
        <w:spacing w:after="0" w:line="240" w:lineRule="auto"/>
        <w:ind w:left="708"/>
        <w:jc w:val="both"/>
        <w:rPr>
          <w:rFonts w:eastAsia="Times New Roman" w:cstheme="minorHAnsi"/>
          <w:lang w:val="es-ES" w:eastAsia="es-ES"/>
        </w:rPr>
      </w:pPr>
    </w:p>
    <w:p w:rsidR="00EB3BC8" w:rsidRPr="00041403" w:rsidRDefault="00041403" w:rsidP="00041403">
      <w:pPr>
        <w:spacing w:after="0" w:line="240" w:lineRule="auto"/>
        <w:jc w:val="both"/>
        <w:rPr>
          <w:rFonts w:eastAsia="Times New Roman" w:cstheme="minorHAnsi"/>
          <w:b/>
          <w:lang w:val="es-ES" w:eastAsia="es-ES"/>
        </w:rPr>
      </w:pPr>
      <w:r w:rsidRPr="00041403">
        <w:rPr>
          <w:rFonts w:eastAsia="Times New Roman" w:cstheme="minorHAnsi"/>
          <w:b/>
          <w:lang w:val="es-ES" w:eastAsia="es-ES"/>
        </w:rPr>
        <w:t>Aspectos Sociales</w:t>
      </w:r>
    </w:p>
    <w:p w:rsidR="00EB3BC8" w:rsidRPr="00041403" w:rsidRDefault="00EB3BC8" w:rsidP="00EB3BC8">
      <w:pPr>
        <w:spacing w:before="240" w:after="240" w:line="240" w:lineRule="auto"/>
        <w:jc w:val="both"/>
        <w:rPr>
          <w:rFonts w:eastAsia="Times New Roman" w:cstheme="minorHAnsi"/>
          <w:b/>
          <w:u w:val="single"/>
          <w:lang w:val="es-ES" w:eastAsia="es-ES"/>
        </w:rPr>
      </w:pPr>
      <w:r w:rsidRPr="00041403">
        <w:rPr>
          <w:rFonts w:eastAsia="Times New Roman" w:cstheme="minorHAnsi"/>
          <w:b/>
          <w:u w:val="single"/>
          <w:lang w:val="es-ES" w:eastAsia="es-ES"/>
        </w:rPr>
        <w:t>Consulta Previa Comunidad indígena La Luisa - Guamo</w:t>
      </w:r>
    </w:p>
    <w:p w:rsidR="00EB3BC8" w:rsidRPr="00041403" w:rsidRDefault="00EB3BC8" w:rsidP="00EB3BC8">
      <w:pPr>
        <w:shd w:val="clear" w:color="auto" w:fill="FFFFFF"/>
        <w:spacing w:before="240" w:after="240" w:line="240" w:lineRule="auto"/>
        <w:ind w:right="51"/>
        <w:jc w:val="both"/>
        <w:rPr>
          <w:rFonts w:eastAsia="Times New Roman" w:cstheme="minorHAnsi"/>
          <w:lang w:val="es-ES" w:eastAsia="es-ES"/>
        </w:rPr>
      </w:pPr>
      <w:r w:rsidRPr="00041403">
        <w:rPr>
          <w:rFonts w:eastAsia="Times New Roman" w:cstheme="minorHAnsi"/>
          <w:lang w:val="es-ES" w:eastAsia="es-ES"/>
        </w:rPr>
        <w:t>Teniendo en cuenta que ya se han surtido las diferentes etapas de la consulta y ante la suspensión reiterativa e injustificada por parte de la comunidad que ha impedido la continuación del proceso, solicitamos a la Dirección de Consulta Previa se considere la aplicación de la Directiva de 10 de 2013 y se ordene el cierre del proceso de Consulta Previa, dado que la comunidad manifiesta reiteradamente que hasta tanto ellos no tengan un nuevo Estudio de Impacto Ambiental no continuarán, y requieren por parte de la ANI les sea asignado dos terrenos uno para instalar su cabildo y otro para el cementerio, ante lo cual la ANI manifiesta que el objeto social de la Agencia no es otorgar tierras, sino en este caso compensar los impactos causados por el proyecto y que la instancia encargada de adjudicar tierras es INCODER, así mismo  siempre demostró su disponibilidad para allegar la Licencia Ambiental y material del EIA con el que se licencio la variante, además de la información detallada que ellos han solicitado.</w:t>
      </w:r>
    </w:p>
    <w:p w:rsidR="00EB3BC8" w:rsidRPr="00041403" w:rsidRDefault="00EB3BC8" w:rsidP="00EB3BC8">
      <w:pPr>
        <w:spacing w:before="240" w:after="0" w:line="240" w:lineRule="auto"/>
        <w:jc w:val="both"/>
        <w:rPr>
          <w:rFonts w:eastAsia="Times New Roman" w:cstheme="minorHAnsi"/>
          <w:lang w:val="es-ES" w:eastAsia="es-ES"/>
        </w:rPr>
      </w:pPr>
      <w:r w:rsidRPr="00041403">
        <w:rPr>
          <w:rFonts w:eastAsia="Times New Roman" w:cstheme="minorHAnsi"/>
          <w:lang w:val="es-ES" w:eastAsia="es-ES"/>
        </w:rPr>
        <w:t>El Ministerio del Interior respondió mediante comunicación con radicado ANI No 2015-409-016497-2 del 20/03/2015 mediante el cual manifiestan que antes de proceder a analizar la solicitud de cierre de la consulta previa, la ANI establezca para cada una de las propuestas para compensar los impactos causados a la comunidad La Luisa etnia Pijao, un término de efectivo cumplimiento. Adicionalmente solicitan que se les comunique si la ANI está en capacidad de disponer recursos económicos para la compra de los predios que la comunidad ha solicitado insistentemente.</w:t>
      </w:r>
    </w:p>
    <w:p w:rsidR="00EB3BC8" w:rsidRPr="00041403" w:rsidRDefault="00EB3BC8" w:rsidP="00EB3BC8">
      <w:pPr>
        <w:spacing w:before="240" w:after="0" w:line="240" w:lineRule="auto"/>
        <w:jc w:val="both"/>
        <w:rPr>
          <w:rFonts w:eastAsia="Times New Roman" w:cstheme="minorHAnsi"/>
          <w:lang w:val="es-ES" w:eastAsia="es-ES"/>
        </w:rPr>
      </w:pPr>
      <w:r w:rsidRPr="00041403">
        <w:rPr>
          <w:rFonts w:eastAsia="Times New Roman" w:cstheme="minorHAnsi"/>
          <w:lang w:val="es-ES" w:eastAsia="es-ES"/>
        </w:rPr>
        <w:lastRenderedPageBreak/>
        <w:t>La Gerencia Socio ambiental dio respuesta mediante radicado No 2015-603-008872-1 del 29/04/2015 en la cual se manifiesta que la ANI ha dado cabal cumplimiento al procedimiento y convocatorias de la Consulta Previa, sin embargo la comunidad no se encuentra interesada en las medidas de manejo propuestas por la ANI, por cuanto solamente están interesadas en que se les compre un terreno para constituirse como parcialidad. Se reitera nuevamente la solicitud al Ministerio del Interior de cerrar la consulta previa.</w:t>
      </w:r>
    </w:p>
    <w:p w:rsidR="00EB3BC8" w:rsidRPr="00041403" w:rsidRDefault="00EB3BC8" w:rsidP="00EB3BC8">
      <w:pPr>
        <w:spacing w:after="0" w:line="240" w:lineRule="auto"/>
        <w:jc w:val="both"/>
        <w:rPr>
          <w:rFonts w:eastAsia="Times New Roman" w:cstheme="minorHAnsi"/>
          <w:lang w:val="es-ES" w:eastAsia="es-ES"/>
        </w:rPr>
      </w:pPr>
    </w:p>
    <w:p w:rsidR="00EB3BC8" w:rsidRPr="00041403" w:rsidRDefault="00EB3BC8" w:rsidP="00EB3BC8">
      <w:pPr>
        <w:spacing w:after="240" w:line="240" w:lineRule="auto"/>
        <w:jc w:val="both"/>
        <w:rPr>
          <w:rFonts w:eastAsia="Times New Roman" w:cstheme="minorHAnsi"/>
          <w:b/>
          <w:lang w:val="es-ES" w:eastAsia="es-ES"/>
        </w:rPr>
      </w:pPr>
      <w:r w:rsidRPr="00041403">
        <w:rPr>
          <w:rFonts w:eastAsia="Times New Roman" w:cstheme="minorHAnsi"/>
          <w:b/>
          <w:lang w:val="es-ES" w:eastAsia="es-ES"/>
        </w:rPr>
        <w:t>Habitantes Barrio La Nacional</w:t>
      </w:r>
    </w:p>
    <w:p w:rsidR="00EB3BC8" w:rsidRPr="00041403" w:rsidRDefault="00EB3BC8" w:rsidP="00EB3BC8">
      <w:pPr>
        <w:spacing w:after="240" w:line="240" w:lineRule="auto"/>
        <w:jc w:val="both"/>
        <w:rPr>
          <w:rFonts w:eastAsia="Times New Roman" w:cstheme="minorHAnsi"/>
          <w:i/>
          <w:lang w:val="es-ES_tradnl" w:eastAsia="es-ES"/>
        </w:rPr>
      </w:pPr>
      <w:r w:rsidRPr="00041403">
        <w:rPr>
          <w:rFonts w:eastAsia="Times New Roman" w:cstheme="minorHAnsi"/>
          <w:lang w:val="es-ES" w:eastAsia="es-ES"/>
        </w:rPr>
        <w:t xml:space="preserve">Mediante comunicación No 2015-603-002666-1 del 11/02/2015 la Gerencia Socio Ambiental de la ANI solicitó a la ANLA cambio menor o ajuste normal dentro del giro ordinario para el manejo que debe darse a población irregular del Barrio La Nacional, ubicada en los predios requeridos para la terminación de la variante de Espinal, mediante la restitución de los predios de las familias. </w:t>
      </w:r>
    </w:p>
    <w:p w:rsidR="00EB3BC8" w:rsidRPr="00041403" w:rsidRDefault="00EB3BC8" w:rsidP="00EB3BC8">
      <w:pPr>
        <w:spacing w:after="240" w:line="240" w:lineRule="auto"/>
        <w:jc w:val="both"/>
        <w:rPr>
          <w:rFonts w:eastAsia="Times New Roman" w:cstheme="minorHAnsi"/>
          <w:lang w:val="es-ES" w:eastAsia="es-ES"/>
        </w:rPr>
      </w:pPr>
      <w:r w:rsidRPr="00041403">
        <w:rPr>
          <w:rFonts w:eastAsia="Times New Roman" w:cstheme="minorHAnsi"/>
          <w:lang w:val="es-ES" w:eastAsia="es-ES"/>
        </w:rPr>
        <w:t xml:space="preserve">La ANLA mediante comunicación 2015007104-2-001 da respuesta en los siguientes términos: </w:t>
      </w:r>
    </w:p>
    <w:p w:rsidR="00EB3BC8" w:rsidRPr="00041403" w:rsidRDefault="00EB3BC8" w:rsidP="00EB3BC8">
      <w:pPr>
        <w:spacing w:after="240" w:line="240" w:lineRule="auto"/>
        <w:jc w:val="both"/>
        <w:rPr>
          <w:rFonts w:eastAsia="Times New Roman" w:cstheme="minorHAnsi"/>
          <w:lang w:val="es-ES" w:eastAsia="es-ES"/>
        </w:rPr>
      </w:pPr>
      <w:r w:rsidRPr="00041403">
        <w:rPr>
          <w:rFonts w:eastAsia="Times New Roman" w:cstheme="minorHAnsi"/>
          <w:i/>
          <w:lang w:val="es-ES" w:eastAsia="es-ES"/>
        </w:rPr>
        <w:t xml:space="preserve">“ En atención al radicado del asunto, mediante el cual solicita pronunciamiento frente al manejo de las cuatro (4) familias que se encuentran en condición de vulnerabilidad en el PR40+500 – Barrio La Nacional esta Autoridad concluyó que las actividades propuestas no generan impactos adicionales a los contemplados en la licencia ambiental, considerando que estos ya fueron valorados en la ficha No 3 de “Manejo de Predios Área de Influencia Directa”, de igual manera, no contempla uso, aprovechamiento o afectación de recursos naturales renovables, de conformidad con lo establecido en el parágrafo primero del artículo 7 del Decreto 770 del 22 de abril de 2014 y parágrafo primero del artículo 29 del Decreto 2041 de 2014, por lo tanto, se considera viable el giro ordinario de la actividad licenciada. </w:t>
      </w:r>
    </w:p>
    <w:p w:rsidR="00EB3BC8" w:rsidRPr="00041403" w:rsidRDefault="00EB3BC8" w:rsidP="00EB3BC8">
      <w:pPr>
        <w:spacing w:after="240" w:line="240" w:lineRule="auto"/>
        <w:jc w:val="both"/>
        <w:rPr>
          <w:rFonts w:eastAsia="Times New Roman" w:cstheme="minorHAnsi"/>
          <w:i/>
          <w:lang w:val="es-ES" w:eastAsia="es-ES"/>
        </w:rPr>
      </w:pPr>
      <w:r w:rsidRPr="00041403">
        <w:rPr>
          <w:rFonts w:eastAsia="Times New Roman" w:cstheme="minorHAnsi"/>
          <w:i/>
          <w:lang w:val="es-ES" w:eastAsia="es-ES"/>
        </w:rPr>
        <w:t xml:space="preserve">En concordancia con lo anterior, para trasladar las mencionadas familias, se deberá proceder </w:t>
      </w:r>
      <w:r w:rsidRPr="00041403">
        <w:rPr>
          <w:rFonts w:eastAsia="Times New Roman" w:cstheme="minorHAnsi"/>
          <w:i/>
          <w:lang w:val="es-ES" w:eastAsia="es-ES"/>
        </w:rPr>
        <w:tab/>
        <w:t>de acuerdo a la Metodología para Reasentamiento contemplada en la Resolución 0077 de 2012 que establece lo concerniente a unidades sociales irregulares, igualmente, deberá considerar los lineamientos internacionales del Banco Mundial descritos en la Política Operacional “Reasentamiento Involuntario” OP.4.12 de 2001 y su ANEXO A.”</w:t>
      </w:r>
    </w:p>
    <w:p w:rsidR="00EB3BC8" w:rsidRPr="00041403" w:rsidRDefault="00EB3BC8" w:rsidP="00EB3BC8">
      <w:pPr>
        <w:spacing w:after="240" w:line="240" w:lineRule="auto"/>
        <w:jc w:val="both"/>
        <w:rPr>
          <w:rFonts w:eastAsia="Times New Roman" w:cstheme="minorHAnsi"/>
          <w:lang w:val="es-ES" w:eastAsia="es-ES"/>
        </w:rPr>
      </w:pPr>
      <w:r w:rsidRPr="00041403">
        <w:rPr>
          <w:rFonts w:eastAsia="Times New Roman" w:cstheme="minorHAnsi"/>
          <w:lang w:val="es-ES" w:eastAsia="es-ES"/>
        </w:rPr>
        <w:t>El Área Social de la ANI lideró el proceso, con el acompañamiento de la Interventoría del proyecto, mediante el cual se logró la desafectación de los predios requeridos del Barrio La Nacional para la terminación de la variante Espinal. Se llevaron a cabo labores de campo en las cuales se reunieron con las cabezas de cada familia y se hizo el levantamiento de las fichas socioeconómicas de acuerdo con lo establecido en la Resolución 0077 de 2012.</w:t>
      </w: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lang w:val="es-ES" w:eastAsia="es-ES"/>
        </w:rPr>
        <w:t>A cada unidad familiar se les hizo reposición por viviendas ya construidas, con servicios públicos y  con escritura pública, totalmente saneadas. Se delegó al Concesionario la adquisición de los predios requeridos para el reasentamiento de las familias, así como su escrituración.</w:t>
      </w:r>
    </w:p>
    <w:p w:rsidR="00EB3BC8" w:rsidRPr="00041403" w:rsidRDefault="00EB3BC8" w:rsidP="00EB3BC8">
      <w:pPr>
        <w:spacing w:after="0" w:line="240" w:lineRule="auto"/>
        <w:jc w:val="both"/>
        <w:rPr>
          <w:rFonts w:eastAsia="Times New Roman" w:cstheme="minorHAnsi"/>
          <w:lang w:val="es-ES" w:eastAsia="es-ES"/>
        </w:rPr>
      </w:pPr>
    </w:p>
    <w:p w:rsidR="00EB3BC8" w:rsidRPr="00041403" w:rsidRDefault="00041403" w:rsidP="00041403">
      <w:pPr>
        <w:spacing w:after="0" w:line="240" w:lineRule="auto"/>
        <w:jc w:val="both"/>
        <w:rPr>
          <w:rFonts w:eastAsia="Times New Roman" w:cstheme="minorHAnsi"/>
          <w:b/>
          <w:lang w:val="es-ES" w:eastAsia="es-ES"/>
        </w:rPr>
      </w:pPr>
      <w:r w:rsidRPr="00041403">
        <w:rPr>
          <w:rFonts w:eastAsia="Times New Roman" w:cstheme="minorHAnsi"/>
          <w:b/>
          <w:lang w:val="es-ES" w:eastAsia="es-ES"/>
        </w:rPr>
        <w:t>Aspectos Ambientales</w:t>
      </w:r>
    </w:p>
    <w:p w:rsidR="00EB3BC8" w:rsidRPr="00041403" w:rsidRDefault="00EB3BC8" w:rsidP="00EB3BC8">
      <w:pPr>
        <w:spacing w:after="0" w:line="240" w:lineRule="auto"/>
        <w:jc w:val="both"/>
        <w:rPr>
          <w:rFonts w:eastAsia="Times New Roman" w:cstheme="minorHAnsi"/>
          <w:lang w:val="es-ES" w:eastAsia="es-ES"/>
        </w:rPr>
      </w:pP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lang w:val="es-ES" w:eastAsia="es-ES"/>
        </w:rPr>
        <w:t xml:space="preserve">Se remitió a la ANLA comunicación donde se consulta sobre la posibilidad de compensar con la compra de un predio de reserva para conservación de un nacimiento, en el municipio de El Espinal ya que la consecución de terrenos para reforestación no ha sido viable, solo se cuenta con un predio del SENA para reforestación con especies agroforestales, pero el área es menor  a la establecida en </w:t>
      </w:r>
      <w:r w:rsidRPr="00041403">
        <w:rPr>
          <w:rFonts w:eastAsia="Times New Roman" w:cstheme="minorHAnsi"/>
          <w:lang w:val="es-ES" w:eastAsia="es-ES"/>
        </w:rPr>
        <w:lastRenderedPageBreak/>
        <w:t xml:space="preserve">la Licencia Ambiental. Como respuesta  la ANLA respondió que para poder hacer el cambio se debe modificar la Licencia Ambiental, hasta tanto no se puede hacer la reforestación en Espinal. </w:t>
      </w:r>
    </w:p>
    <w:p w:rsidR="00EB3BC8" w:rsidRPr="00041403" w:rsidRDefault="00EB3BC8" w:rsidP="00EB3BC8">
      <w:pPr>
        <w:spacing w:after="0" w:line="240" w:lineRule="auto"/>
        <w:jc w:val="both"/>
        <w:rPr>
          <w:rFonts w:eastAsia="Times New Roman" w:cstheme="minorHAnsi"/>
          <w:lang w:val="es-ES" w:eastAsia="es-ES"/>
        </w:rPr>
      </w:pP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lang w:val="es-ES" w:eastAsia="es-ES"/>
        </w:rPr>
        <w:t>Para las reforestaciones de Guamo y Natagaima, la ANLA ya emitió resolución para la ejecución de las mismas según el Plan presentado y la ANI autorizó al Concesionario para realizar las actividades de reforestación en Guamo y Natagaima y el cerco protector a los humedales en el Guamo.</w:t>
      </w:r>
    </w:p>
    <w:p w:rsidR="00EB3BC8" w:rsidRPr="00041403" w:rsidRDefault="00EB3BC8" w:rsidP="00EB3BC8">
      <w:pPr>
        <w:spacing w:after="0" w:line="240" w:lineRule="auto"/>
        <w:jc w:val="both"/>
        <w:rPr>
          <w:rFonts w:eastAsia="Times New Roman" w:cstheme="minorHAnsi"/>
          <w:lang w:val="es-ES" w:eastAsia="es-ES"/>
        </w:rPr>
      </w:pP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lang w:val="es-ES" w:eastAsia="es-ES"/>
        </w:rPr>
        <w:t>El predio donde se pretendía realizar la reforestación con la comunidad indígena de Balocá no se puede utilizar por información dada por el INCODER, por lo que se hace necesario conseguir un nuevo predio. La ANI realizará la socialización de los planes de reforestación aprobados con las comunidades indígenas de Natagaima, para de esta forma el Concesionario inicie con las actividades en este sector.</w:t>
      </w:r>
    </w:p>
    <w:p w:rsidR="00EB3BC8" w:rsidRPr="00041403" w:rsidRDefault="00EB3BC8" w:rsidP="00EB3BC8">
      <w:pPr>
        <w:spacing w:after="0" w:line="240" w:lineRule="auto"/>
        <w:jc w:val="both"/>
        <w:rPr>
          <w:rFonts w:eastAsia="Times New Roman" w:cstheme="minorHAnsi"/>
          <w:lang w:val="es-ES" w:eastAsia="es-ES"/>
        </w:rPr>
      </w:pPr>
    </w:p>
    <w:p w:rsidR="00EB3BC8" w:rsidRPr="00041403" w:rsidRDefault="00041403" w:rsidP="00041403">
      <w:pPr>
        <w:spacing w:after="0" w:line="240" w:lineRule="auto"/>
        <w:jc w:val="both"/>
        <w:rPr>
          <w:rFonts w:eastAsia="Times New Roman" w:cstheme="minorHAnsi"/>
          <w:b/>
          <w:lang w:val="es-ES" w:eastAsia="es-ES"/>
        </w:rPr>
      </w:pPr>
      <w:r w:rsidRPr="00041403">
        <w:rPr>
          <w:rFonts w:eastAsia="Times New Roman" w:cstheme="minorHAnsi"/>
          <w:b/>
          <w:lang w:val="es-ES" w:eastAsia="es-ES"/>
        </w:rPr>
        <w:t>Área Financiera</w:t>
      </w:r>
    </w:p>
    <w:p w:rsidR="00EB3BC8" w:rsidRPr="00041403" w:rsidRDefault="00EB3BC8" w:rsidP="00EB3BC8">
      <w:pPr>
        <w:spacing w:after="0" w:line="240" w:lineRule="auto"/>
        <w:jc w:val="both"/>
        <w:rPr>
          <w:rFonts w:eastAsia="Times New Roman" w:cstheme="minorHAnsi"/>
          <w:noProof/>
        </w:rPr>
      </w:pP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lang w:val="es-ES" w:eastAsia="es-ES"/>
        </w:rPr>
        <w:t>Las actividades de Interventoría de construcción de las variantes de Guamo y Espinal se ejecutaron desde febrero de 2013 a mayo de 2015, los valores causados en pesos de diciembre de 2011 por este concepto ascienden a la suma de MIL QUINIENTOS DOS MILLONES TRESCIENTOS NOVENTA MIL DOSCIENTOS TREINTA Y NUEVE PESOS ($1.502.390.239) en pesos de diciembre de 2011.</w:t>
      </w:r>
    </w:p>
    <w:p w:rsidR="00EB3BC8" w:rsidRPr="00041403" w:rsidRDefault="00EB3BC8" w:rsidP="00EB3BC8">
      <w:pPr>
        <w:spacing w:before="240" w:after="0" w:line="240" w:lineRule="auto"/>
        <w:jc w:val="both"/>
        <w:rPr>
          <w:rFonts w:eastAsia="Times New Roman" w:cstheme="minorHAnsi"/>
          <w:lang w:val="es-ES" w:eastAsia="es-ES"/>
        </w:rPr>
      </w:pPr>
      <w:r w:rsidRPr="00041403">
        <w:rPr>
          <w:rFonts w:eastAsia="Times New Roman" w:cstheme="minorHAnsi"/>
          <w:lang w:val="es-ES" w:eastAsia="es-ES"/>
        </w:rPr>
        <w:t xml:space="preserve">El Contrato de Interventoría No 072 de 2012 contempla que las actividades asociadas a la Interventoría de construcción de las variantes de Guamo y Espinal tendría una duración “estimada” de 10 meses. En estos términos, el inciso segundo del literal (b) de la sección No 1.03 “Valor del Contrato y Forma de Pago”, con base en el plazo que sirvió de referencia, establece el valor de este componente en la suma de total de NOVECIENTOS TREINTA Y CUATRO MILLONES CIENTO NOVENTA Y CUATRO MIL PESOS ($ 934.194.400) en constantes del 31 de diciembre de 2011, valor que incluye IVA.   </w:t>
      </w:r>
    </w:p>
    <w:p w:rsidR="00EB3BC8" w:rsidRPr="00041403" w:rsidRDefault="00EB3BC8" w:rsidP="00EB3BC8">
      <w:pPr>
        <w:spacing w:before="240" w:after="0" w:line="240" w:lineRule="auto"/>
        <w:jc w:val="both"/>
        <w:rPr>
          <w:rFonts w:eastAsia="Times New Roman" w:cstheme="minorHAnsi"/>
          <w:lang w:val="es-ES" w:eastAsia="es-ES"/>
        </w:rPr>
      </w:pPr>
      <w:r w:rsidRPr="00041403">
        <w:rPr>
          <w:rFonts w:eastAsia="Times New Roman" w:cstheme="minorHAnsi"/>
          <w:lang w:val="es-ES" w:eastAsia="es-ES"/>
        </w:rPr>
        <w:t>Por lo anteriormente expuesto, el valor que tuvo que trasladarse del rubro de las actividades de Interventoría de Operación y Mantenimiento para las actividades asociadas a la Interventoría de construcción de las variantes de Guamo y Espinal asciende a la suma de QUINIENTOS SESENTA Y OCHO MILLONES CIENTO NOVENTA Y CINCO MIL OCHOCIENTOS TREINTA Y NUEVE PESOS ($568.195.839) en constantes del 31 de diciembre de 2011.</w:t>
      </w:r>
    </w:p>
    <w:p w:rsidR="00EB3BC8" w:rsidRPr="00041403" w:rsidRDefault="00EB3BC8" w:rsidP="00EB3BC8">
      <w:pPr>
        <w:spacing w:before="240" w:after="0" w:line="240" w:lineRule="auto"/>
        <w:jc w:val="both"/>
        <w:rPr>
          <w:rFonts w:eastAsia="Times New Roman" w:cstheme="minorHAnsi"/>
          <w:lang w:val="es-ES" w:eastAsia="es-ES"/>
        </w:rPr>
      </w:pPr>
      <w:r w:rsidRPr="00041403">
        <w:rPr>
          <w:rFonts w:eastAsia="Times New Roman" w:cstheme="minorHAnsi"/>
          <w:lang w:val="es-ES" w:eastAsia="es-ES"/>
        </w:rPr>
        <w:t>El contrato de Interventoría prevé una duración de 46 meses para la etapa de operación, los cuales vencían el 21 de abril de 2016, dados los traslados de recursos efectuados, el saldo pendiente por ejecutar del Contrato No 072 de 2012 no son suficientes y se hace necesario adicionar el contrato de Interventoría para garantizar la ejecución de las actividades de Interventoría de Operación y Mantenimiento hasta el 21 de junio de 2016.</w:t>
      </w:r>
    </w:p>
    <w:p w:rsidR="00EB3BC8" w:rsidRPr="00041403" w:rsidRDefault="00EB3BC8" w:rsidP="00EB3BC8">
      <w:pPr>
        <w:spacing w:before="240" w:after="0" w:line="240" w:lineRule="auto"/>
        <w:jc w:val="both"/>
        <w:rPr>
          <w:rFonts w:eastAsia="Times New Roman" w:cstheme="minorHAnsi"/>
          <w:lang w:val="es-ES" w:eastAsia="es-ES"/>
        </w:rPr>
      </w:pPr>
      <w:r w:rsidRPr="00041403">
        <w:rPr>
          <w:rFonts w:eastAsia="Times New Roman" w:cstheme="minorHAnsi"/>
          <w:lang w:val="es-ES" w:eastAsia="es-ES"/>
        </w:rPr>
        <w:t>En conclusión el Contrato de Interventoría No SEA-072 de 2012 debe adicionarse por un valor de $729.110.479 en pesos de diciembre de 2011.</w:t>
      </w:r>
    </w:p>
    <w:p w:rsidR="00EB3BC8" w:rsidRPr="00041403" w:rsidRDefault="00EB3BC8" w:rsidP="00EB3BC8">
      <w:pPr>
        <w:spacing w:before="240" w:after="0" w:line="240" w:lineRule="auto"/>
        <w:jc w:val="both"/>
        <w:rPr>
          <w:rFonts w:eastAsia="Times New Roman" w:cstheme="minorHAnsi"/>
          <w:lang w:val="es-ES" w:eastAsia="es-ES"/>
        </w:rPr>
      </w:pPr>
      <w:r w:rsidRPr="00041403">
        <w:rPr>
          <w:rFonts w:eastAsia="Times New Roman" w:cstheme="minorHAnsi"/>
          <w:lang w:val="es-ES" w:eastAsia="es-ES"/>
        </w:rPr>
        <w:t xml:space="preserve">Teniendo en cuenta las observaciones realizadas por el Consorcio Intersa – Ingeocim respecto a la liquidación del contrato de Interventoría 062/2005, según el contrato la indexación se realiza cada 13 meses por lo que la liquidación presentada por el Consorcio es correcta y se procederá a su liquidación. El Área Financiera mediante Memorando 20153080049883 del 30/04/2015 presentó la liquidación y el balance financiero del contrato el cual se hizo basado en lo establecido </w:t>
      </w:r>
      <w:r w:rsidRPr="00041403">
        <w:rPr>
          <w:rFonts w:eastAsia="Times New Roman" w:cstheme="minorHAnsi"/>
          <w:lang w:val="es-ES" w:eastAsia="es-ES"/>
        </w:rPr>
        <w:lastRenderedPageBreak/>
        <w:t xml:space="preserve">contractualmente   en el parágrafo primero de la cláusula segunda </w:t>
      </w:r>
      <w:r w:rsidRPr="00041403">
        <w:rPr>
          <w:rFonts w:eastAsia="Times New Roman" w:cstheme="minorHAnsi"/>
          <w:i/>
          <w:lang w:val="es-ES" w:eastAsia="es-ES"/>
        </w:rPr>
        <w:t>“El valor del contrato es fijo y se actualizará anualmente, al vencimiento de los doce meses transcurridos a partir de la fecha de iniciación del contrato o del último ajuste efectuado, tomando como base el IPC vigente, certificado por el DANE, del mes anterior a la fecha de presentación de la propuesta (y no de la fecha de suscripción del contrato), o del mes anterior al último ajuste .”</w:t>
      </w:r>
      <w:r w:rsidRPr="00041403">
        <w:rPr>
          <w:rFonts w:eastAsia="Times New Roman" w:cstheme="minorHAnsi"/>
          <w:lang w:val="es-ES" w:eastAsia="es-ES"/>
        </w:rPr>
        <w:t xml:space="preserve"> Está pendiente que el Área Financiera remita a Defensa Judicial la documentación para la liquidación del contrato.</w:t>
      </w:r>
    </w:p>
    <w:p w:rsidR="00EB3BC8" w:rsidRPr="00041403" w:rsidRDefault="00EB3BC8" w:rsidP="00EB3BC8">
      <w:pPr>
        <w:spacing w:before="240" w:after="0" w:line="240" w:lineRule="auto"/>
        <w:jc w:val="both"/>
        <w:rPr>
          <w:rFonts w:eastAsia="Times New Roman" w:cstheme="minorHAnsi"/>
          <w:lang w:val="es-ES" w:eastAsia="es-ES"/>
        </w:rPr>
      </w:pPr>
      <w:r w:rsidRPr="00041403">
        <w:rPr>
          <w:rFonts w:eastAsia="Times New Roman" w:cstheme="minorHAnsi"/>
          <w:lang w:val="es-ES" w:eastAsia="es-ES"/>
        </w:rPr>
        <w:t xml:space="preserve">Se solicitó a la Fiduciaria certificar los pagos realizados al Concesionario por concepto del Modificatorio del 27 de enero de 2006 con soportes, con el ánimo de verificar los pagos realizados, </w:t>
      </w:r>
    </w:p>
    <w:p w:rsidR="00EB3BC8" w:rsidRPr="00041403" w:rsidRDefault="00986789" w:rsidP="00EB3BC8">
      <w:pPr>
        <w:spacing w:before="240" w:after="0" w:line="240" w:lineRule="auto"/>
        <w:jc w:val="both"/>
        <w:rPr>
          <w:rFonts w:eastAsia="Times New Roman" w:cstheme="minorHAnsi"/>
          <w:b/>
          <w:lang w:val="es-ES" w:eastAsia="es-ES"/>
        </w:rPr>
      </w:pPr>
      <w:r w:rsidRPr="00041403">
        <w:rPr>
          <w:rFonts w:eastAsia="Times New Roman" w:cstheme="minorHAnsi"/>
          <w:b/>
          <w:lang w:val="es-ES" w:eastAsia="es-ES"/>
        </w:rPr>
        <w:t>Área Jurídica</w:t>
      </w:r>
    </w:p>
    <w:p w:rsidR="00EB3BC8" w:rsidRPr="00041403" w:rsidRDefault="00EB3BC8" w:rsidP="00EB3BC8">
      <w:pPr>
        <w:spacing w:after="0" w:line="240" w:lineRule="auto"/>
        <w:jc w:val="both"/>
        <w:rPr>
          <w:rFonts w:eastAsia="Times New Roman" w:cstheme="minorHAnsi"/>
          <w:b/>
          <w:lang w:val="es-ES" w:eastAsia="es-ES"/>
        </w:rPr>
      </w:pPr>
    </w:p>
    <w:p w:rsidR="00EB3BC8" w:rsidRPr="00041403" w:rsidRDefault="00EB3BC8" w:rsidP="00EB3BC8">
      <w:pPr>
        <w:spacing w:after="0" w:line="240" w:lineRule="auto"/>
        <w:rPr>
          <w:rFonts w:eastAsia="Times New Roman" w:cstheme="minorHAnsi"/>
          <w:b/>
          <w:u w:val="single"/>
        </w:rPr>
      </w:pPr>
      <w:r w:rsidRPr="00041403">
        <w:rPr>
          <w:rFonts w:eastAsia="Times New Roman" w:cstheme="minorHAnsi"/>
          <w:b/>
          <w:u w:val="single"/>
        </w:rPr>
        <w:t>Acuerdo Conciliatorio Tribunales de Arbitramento:</w:t>
      </w:r>
    </w:p>
    <w:p w:rsidR="00EB3BC8" w:rsidRPr="00041403" w:rsidRDefault="00EB3BC8" w:rsidP="00EB3BC8">
      <w:pPr>
        <w:spacing w:after="0" w:line="240" w:lineRule="auto"/>
        <w:rPr>
          <w:rFonts w:eastAsia="Times New Roman" w:cstheme="minorHAnsi"/>
          <w:b/>
        </w:rPr>
      </w:pPr>
    </w:p>
    <w:p w:rsidR="00EB3BC8" w:rsidRPr="00041403" w:rsidRDefault="00EB3BC8" w:rsidP="00EB3BC8">
      <w:pPr>
        <w:spacing w:after="0" w:line="240" w:lineRule="auto"/>
        <w:jc w:val="both"/>
        <w:rPr>
          <w:rFonts w:eastAsia="Times New Roman" w:cstheme="minorHAnsi"/>
        </w:rPr>
      </w:pPr>
      <w:r w:rsidRPr="00041403">
        <w:rPr>
          <w:rFonts w:eastAsia="Times New Roman" w:cstheme="minorHAnsi"/>
        </w:rPr>
        <w:t>El 22 de mayo de 2015 se firmó el acuerdo conciliatorio sobre 3 de los 4 Tribunales de Arbitramento instaurados por el Concesionario así:</w:t>
      </w:r>
    </w:p>
    <w:p w:rsidR="00EB3BC8" w:rsidRPr="00041403" w:rsidRDefault="00EB3BC8" w:rsidP="00EB3BC8">
      <w:pPr>
        <w:spacing w:after="0" w:line="240" w:lineRule="auto"/>
        <w:rPr>
          <w:rFonts w:eastAsia="Times New Roman" w:cstheme="minorHAns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b/>
          <w:i/>
        </w:rPr>
        <w:t>“PRIMERO:</w:t>
      </w:r>
      <w:r w:rsidRPr="00041403">
        <w:rPr>
          <w:rFonts w:eastAsia="Times New Roman" w:cstheme="minorHAnsi"/>
          <w:i/>
        </w:rPr>
        <w:t xml:space="preserve"> En el Tribunal Arbitral que tiene por objeto resolver la reclamación por concepto del “Saldo Tribunal de Puentes”,  las partes acuerdan que respecto del valor del capital reclamado por CSS CONSTRUCTORES S.A., se le reconocerá una tasa de interés  del IPC + 12% , de tal forma que el valor a pagar liquidado a 30 de abril de 2015 asciende a la suma de </w:t>
      </w:r>
      <w:r w:rsidRPr="00041403">
        <w:rPr>
          <w:rFonts w:eastAsia="Times New Roman" w:cstheme="minorHAnsi"/>
          <w:b/>
          <w:i/>
        </w:rPr>
        <w:t>VEINTE MIL NOVECIENTOS SESENTA Y SEIS MILLONES NOVECIENTOS SETENTA Y NUEVE MIL TRESCIENTOS SETENTA Y SIETE PESOS M/CTE ($20.966.979.377)</w:t>
      </w:r>
      <w:r w:rsidRPr="00041403">
        <w:rPr>
          <w:rFonts w:eastAsia="Times New Roman" w:cstheme="minorHAnsi"/>
          <w:i/>
        </w:rPr>
        <w:t xml:space="preserve">, los cuales la ANI pagará al Concesionario con TES. La ANI efectuará el pago señalado dentro de los diez (10) meses siguientes a la fecha de ejecutoria de la providencia que apruebe la conciliación, durante los cuales se generan intereses a la tasa del DTF (artículo 195 del Código de Procedimiento Administrativo y de lo Contencioso Administrativo) sólo a partir del momento en que el Concesionario acredite el cumplimiento de los requisitos exigidos por el Ministerio de Hacienda y Crédito Público para efectuar el pago, los cuales están contenidos en la Circular 7 del 23 de diciembre de 1997 y sus modificaciones. </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b/>
          <w:i/>
        </w:rPr>
        <w:t>SEGUNDO:</w:t>
      </w:r>
      <w:r w:rsidRPr="00041403">
        <w:rPr>
          <w:rFonts w:eastAsia="Times New Roman" w:cstheme="minorHAnsi"/>
          <w:i/>
        </w:rPr>
        <w:t xml:space="preserve"> En el Tribunal de Arbitramento que tiene por objeto resolver la reclamación por concepto de las “Actividades Ambientales ejecutadas dentro del alcance Complementario”, de común acuerdo las partes  tendrán en cuenta las actividades que previamente evaluó el Ing. Rafael Ospina, consultor del INCO en el año 2008, quien realizó labores de campo,  documentales y determinó que de todas las actividades ambientales reclamadas por el Concesionario trece (13) eran susceptibles de reconocimiento por haberse ejecutado dentro del alcance complementario. La Interventoría actual del proyecto, el Área Ambiental de la ANI y del Concesionario revisaron los documentos probatorios  de la demanda aportados por el Concesionario encontrando que once (11) actividades contaban con los soportes suficientes. En conclusión,  se reconocen a diciembre de 2014, aquellas actividades ambientales  avaladas por la Interventoría actual del Contrato y que cuentan con los soportes suficientes que evidencian la realización de las actividades reclamadas,  las que además se considera  son complementarias a las obligaciones establecidas contractualmente para el Concesionario.</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 xml:space="preserve">Para la liquidación de estas actividades objeto de reconocimiento se tuvo en cuenta una tasa de interés del IPC + 12% , de tal forma que el valor a pagar liquidado a 30 de abril de 2015 </w:t>
      </w:r>
      <w:r w:rsidRPr="00041403">
        <w:rPr>
          <w:rFonts w:eastAsia="Times New Roman" w:cstheme="minorHAnsi"/>
          <w:i/>
        </w:rPr>
        <w:lastRenderedPageBreak/>
        <w:t xml:space="preserve">asciende a la suma de </w:t>
      </w:r>
      <w:r w:rsidRPr="00041403">
        <w:rPr>
          <w:rFonts w:eastAsia="Times New Roman" w:cstheme="minorHAnsi"/>
          <w:b/>
          <w:i/>
        </w:rPr>
        <w:t xml:space="preserve">MIL SEISCIENTOS TREINTA Y CUATRO MILLONES CUATROCIENTOS CINCUENTA Y OCHO MIL SETECIENTOS SESENTA Y SIETE PESOS ($1.634.458.767), </w:t>
      </w:r>
      <w:r w:rsidRPr="00041403">
        <w:rPr>
          <w:rFonts w:eastAsia="Times New Roman" w:cstheme="minorHAnsi"/>
          <w:i/>
        </w:rPr>
        <w:t xml:space="preserve">los que se pagarán con cargo a la subcuenta de “Obras y Costos no previstos en el contrato de concesión N°0849/95” dentro del mes siguiente a la ejecutoria de la providencia que apruebe la conciliación por parte del Tribunal Arbitral. </w:t>
      </w:r>
    </w:p>
    <w:p w:rsidR="00EB3BC8" w:rsidRPr="00041403" w:rsidRDefault="00EB3BC8" w:rsidP="00EB3BC8">
      <w:pPr>
        <w:spacing w:after="0" w:line="240" w:lineRule="auto"/>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b/>
          <w:i/>
        </w:rPr>
        <w:t>TERCERO:</w:t>
      </w:r>
      <w:r w:rsidRPr="00041403">
        <w:rPr>
          <w:rFonts w:eastAsia="Times New Roman" w:cstheme="minorHAnsi"/>
          <w:i/>
        </w:rPr>
        <w:t xml:space="preserve"> En el Tribunal de arbitramento que tiene por objeto resolver la reclamación por concepto de la “Operación y Mantenimiento ejecutados en la concesión dentro del Alcance Complementario”, se acordó lo siguiente:</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 xml:space="preserve">I. </w:t>
      </w:r>
      <w:r w:rsidRPr="00041403">
        <w:rPr>
          <w:rFonts w:eastAsia="Times New Roman" w:cstheme="minorHAnsi"/>
          <w:i/>
          <w:u w:val="single"/>
        </w:rPr>
        <w:t>Mantenimiento rutinario del alcance complementario:</w:t>
      </w:r>
      <w:r w:rsidRPr="00041403">
        <w:rPr>
          <w:rFonts w:eastAsia="Times New Roman" w:cstheme="minorHAnsi"/>
          <w:i/>
        </w:rPr>
        <w:t xml:space="preserve"> Se reconoce el valor presentado en la demanda arbitral, el cual corresponde al calculado por el perito, Javier Restrepo Toro, en el tribunal instaurado en el año 2003 y que fue conciliado mediante el acta 32 en mayo de 2005. Se reconocen los mantenimientos causados desde marzo de 2011 a diciembre de 2013.</w:t>
      </w:r>
    </w:p>
    <w:p w:rsidR="00EB3BC8" w:rsidRPr="00041403" w:rsidRDefault="00EB3BC8" w:rsidP="00EB3BC8">
      <w:pPr>
        <w:spacing w:after="0" w:line="240" w:lineRule="auto"/>
        <w:ind w:left="708"/>
        <w:jc w:val="both"/>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 xml:space="preserve">II. </w:t>
      </w:r>
      <w:r w:rsidRPr="00041403">
        <w:rPr>
          <w:rFonts w:eastAsia="Times New Roman" w:cstheme="minorHAnsi"/>
          <w:i/>
          <w:u w:val="single"/>
        </w:rPr>
        <w:t>IVA del mantenimiento rutinario del alcance complementario:</w:t>
      </w:r>
      <w:r w:rsidRPr="00041403">
        <w:rPr>
          <w:rFonts w:eastAsia="Times New Roman" w:cstheme="minorHAnsi"/>
          <w:i/>
        </w:rPr>
        <w:t xml:space="preserve"> No se reconoce por cuanto este tema también fue puesto a consideración en el tribunal del año 2003, y no fue objeto de reconocimiento en el Acta 32, por considerar que los precios del Concesionario en la propuesta ya incluían el IVA.</w:t>
      </w:r>
    </w:p>
    <w:p w:rsidR="00EB3BC8" w:rsidRPr="00041403" w:rsidRDefault="00EB3BC8" w:rsidP="00EB3BC8">
      <w:pPr>
        <w:spacing w:after="0" w:line="240" w:lineRule="auto"/>
        <w:ind w:left="708"/>
        <w:jc w:val="both"/>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 xml:space="preserve">III. </w:t>
      </w:r>
      <w:r w:rsidRPr="00041403">
        <w:rPr>
          <w:rFonts w:eastAsia="Times New Roman" w:cstheme="minorHAnsi"/>
          <w:i/>
          <w:u w:val="single"/>
        </w:rPr>
        <w:t>Operación del alcance complementario:</w:t>
      </w:r>
      <w:r w:rsidRPr="00041403">
        <w:rPr>
          <w:rFonts w:eastAsia="Times New Roman" w:cstheme="minorHAnsi"/>
          <w:i/>
        </w:rPr>
        <w:t xml:space="preserve"> Se reconoce valorando los mayores costos en los que incurrió el Concesionario por la operación del tramo entre Espinal y Girardot, los cuales equivalen al 22% sobre el valor total de la operación del proyecto. Estos se liquidaron teniendo en cuenta el 22% de los costos establecidos en la propuesta del Concesionario para la operación del alcance básico. Se reconoce la operación del alcance complementario causado desde abril de 2005 a diciembre de 2013.</w:t>
      </w:r>
    </w:p>
    <w:p w:rsidR="00EB3BC8" w:rsidRPr="00041403" w:rsidRDefault="00EB3BC8" w:rsidP="00EB3BC8">
      <w:pPr>
        <w:spacing w:after="0" w:line="240" w:lineRule="auto"/>
        <w:ind w:left="708"/>
        <w:jc w:val="both"/>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 xml:space="preserve">IV. </w:t>
      </w:r>
      <w:r w:rsidRPr="00041403">
        <w:rPr>
          <w:rFonts w:eastAsia="Times New Roman" w:cstheme="minorHAnsi"/>
          <w:i/>
          <w:u w:val="single"/>
        </w:rPr>
        <w:t>Mantenimiento periódico del alcance complementario:</w:t>
      </w:r>
      <w:r w:rsidRPr="00041403">
        <w:rPr>
          <w:rFonts w:eastAsia="Times New Roman" w:cstheme="minorHAnsi"/>
          <w:i/>
        </w:rPr>
        <w:t xml:space="preserve"> Se reconoce teniendo como base los costos del contrato básico, aplicando para el tramo entre Espinal y el Puente San Rafael los aumentos de TPD y Factor Camión propuestos por el perito para el Acta de Conciliación de mayo de 2005, con respecto al costo del alcance básico. Para la ampliación de calzada de 10m a 10,90m, y para el tramo entre el Puente San Rafael – Girardot, se tomó el valor proporcional al costo del mantenimiento periódico del alcance básico. Se reconoce el mantenimiento periódico del alcance complementario causado desde abril de 2005 a diciembre de 2013.</w:t>
      </w:r>
    </w:p>
    <w:p w:rsidR="00EB3BC8" w:rsidRPr="00041403" w:rsidRDefault="00EB3BC8" w:rsidP="00EB3BC8">
      <w:pPr>
        <w:spacing w:after="0" w:line="240" w:lineRule="auto"/>
        <w:ind w:left="708"/>
        <w:jc w:val="both"/>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 xml:space="preserve">V. </w:t>
      </w:r>
      <w:r w:rsidRPr="00041403">
        <w:rPr>
          <w:rFonts w:eastAsia="Times New Roman" w:cstheme="minorHAnsi"/>
          <w:i/>
          <w:u w:val="single"/>
        </w:rPr>
        <w:t>Mantenimiento y operación infraestructura operativa:</w:t>
      </w:r>
      <w:r w:rsidRPr="00041403">
        <w:rPr>
          <w:rFonts w:eastAsia="Times New Roman" w:cstheme="minorHAnsi"/>
          <w:i/>
        </w:rPr>
        <w:t xml:space="preserve"> En concordancia con lo planteado en el modelo financiero básico, se reconoce los costos de reposición de infraestructura cada cinco (5) años para la estación de pesaje de Flandes y la diferencia entre el peaje de Flandes y Guamo. Se liquidan de manera proporcional a los costos de reposición de la infraestructura operativa del alcance básico. Se reconoce la reposición de infraestructura operativa del alcance complementario, causados desde abril de 2005 a diciembre de 2013.</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Todos los costos relacionados con esta demanda arbitral son reconocidos a una tasa de interés del IPC + 12%</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b/>
          <w:i/>
        </w:rPr>
        <w:t>CUARTO: MANTENIMIENTOS NO EJECUTADOS POR EL CONCESIONARIO DEL ALCANCE BÁSICO:</w:t>
      </w:r>
      <w:r w:rsidRPr="00041403">
        <w:rPr>
          <w:rFonts w:eastAsia="Times New Roman" w:cstheme="minorHAnsi"/>
          <w:i/>
        </w:rPr>
        <w:t xml:space="preserve"> Se reconoce que del alcance básico no se realizaron los mantenimientos y operación </w:t>
      </w:r>
      <w:r w:rsidRPr="00041403">
        <w:rPr>
          <w:rFonts w:eastAsia="Times New Roman" w:cstheme="minorHAnsi"/>
          <w:i/>
        </w:rPr>
        <w:lastRenderedPageBreak/>
        <w:t>de las variantes de Guamo y Natagaima en las fechas planteadas en el modelo financiero básico, por lo que se valoran de manera proporcional a los costos de mantenimiento y operación del alcance básico.</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Por considerarse incluidos dentro del modelo financiero, se liquida con la TIR contractual del 11,64% + IPC</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b/>
          <w:i/>
        </w:rPr>
        <w:t>EXPLOTACIÓN PUBLICITARIA DE LOS PEAJES:</w:t>
      </w:r>
      <w:r w:rsidRPr="00041403">
        <w:rPr>
          <w:rFonts w:eastAsia="Times New Roman" w:cstheme="minorHAnsi"/>
          <w:i/>
        </w:rPr>
        <w:t xml:space="preserve"> Corresponde a la proporción de los valores derivados de la explotación comercial por publicidad de los peajes a ser reconocida a la Entidad. Actualmente se está a la espera de la certificación de la Fiduciaria con los valores reconocidos por este efecto consignados a la subcuenta “Obras y costos no previstos en el contrato de concesión N°0849/95”, que se descontarán del valor liquidado al que se hace referencia a continuación. Este valor se liquida a una tasa de interés del IPC +12%</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 xml:space="preserve">El saldo correspondiente a la suma adeudada al Concesionario por el valor reconocido por la ejecución dentro del alcance complementario de las actividades de mantenimiento y operación, descontados los valores a favor de la ANI generados por el mantenimiento y operación no ejecutados dentro del alcance básico y el valor correspondiente a la explotación publicitaria en los peajes, saldo que liquidado a 30 de abril de 2015, asciende a </w:t>
      </w:r>
      <w:r w:rsidRPr="00041403">
        <w:rPr>
          <w:rFonts w:eastAsia="Times New Roman" w:cstheme="minorHAnsi"/>
          <w:b/>
          <w:i/>
        </w:rPr>
        <w:t>VEINTICUATRO MIL OCHOCIENTOS DIECINUEVE MILLONES OCHOCIENTOS NOVENTA Y OCHO MIL VEINTIOCHO PESOS  ($24.819.898.028</w:t>
      </w:r>
      <w:r w:rsidRPr="00041403">
        <w:rPr>
          <w:rFonts w:eastAsia="Times New Roman" w:cstheme="minorHAnsi"/>
          <w:i/>
        </w:rPr>
        <w:t xml:space="preserve">), el cual se pagará por parte de la ANI en un primer pago por </w:t>
      </w:r>
      <w:r w:rsidRPr="00041403">
        <w:rPr>
          <w:rFonts w:eastAsia="Times New Roman" w:cstheme="minorHAnsi"/>
          <w:b/>
          <w:i/>
        </w:rPr>
        <w:t>DIEZ MIL MILLONES DE PESOS ($10.000’000.000)</w:t>
      </w:r>
      <w:r w:rsidRPr="00041403">
        <w:rPr>
          <w:rFonts w:eastAsia="Times New Roman" w:cstheme="minorHAnsi"/>
          <w:i/>
        </w:rPr>
        <w:t xml:space="preserve"> con cargo a los recursos disponibles en la subcuenta de “Obras y Costos no previstos” dentro del mes siguiente a la ejecutoria de la providencia que apruebe la conciliación. El saldo restante, esto es, la suma de </w:t>
      </w:r>
      <w:r w:rsidRPr="00041403">
        <w:rPr>
          <w:rFonts w:eastAsia="Times New Roman" w:cstheme="minorHAnsi"/>
          <w:b/>
          <w:i/>
        </w:rPr>
        <w:t>CATORCE MIL OCHOCIENTOS DIECINUEVE MILLONES OCHOCIENTOS NOVENTA Y OCHO MIL VEINTIOCHO PESOS ($14.819.898.028)</w:t>
      </w:r>
      <w:r w:rsidRPr="00041403">
        <w:rPr>
          <w:rFonts w:eastAsia="Times New Roman" w:cstheme="minorHAnsi"/>
          <w:i/>
        </w:rPr>
        <w:t xml:space="preserve">, se pagará con los excedentes que mensualmente queden disponibles por concepto del recaudo de los peajes Neiva, Patá y Flandes, que se produzcan una vez obtenida la TIR contractual teniendo en cuenta el seguimiento al modelo financiero de que trata el Otrosí del 30 de enero de 2014, lo anterior descontando, para cada mes, los costos de mantenimiento, operación y administración de peajes causados. </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b/>
          <w:i/>
        </w:rPr>
        <w:t>MANTENIMIENTOS NO EJECUTADOS Y PAGOS ANTICIPADOS DEL MODIFICATORIO DEL 27 DE ENERO DE 2006:</w:t>
      </w:r>
      <w:r w:rsidRPr="00041403">
        <w:rPr>
          <w:rFonts w:eastAsia="Times New Roman" w:cstheme="minorHAnsi"/>
          <w:i/>
        </w:rPr>
        <w:t xml:space="preserve"> Se acuerda que, una vez sean entregadas a satisfacción las obras de las variantes de Guamo y Espinal, se pagará al Concesionario, con cargo a la subcuenta de "Obras y costos no previstos del contrato de concesión N°0849/95" el valor correspondiente al saldo pendiente por pagar por las actividades ejecutadas en virtud del modificatorio del 27 de enero de 2006, teniendo en cuenta, para su determinación, los siguientes aspectos:</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1088"/>
        <w:jc w:val="both"/>
        <w:rPr>
          <w:rFonts w:eastAsia="Times New Roman" w:cstheme="minorHAnsi"/>
          <w:i/>
        </w:rPr>
      </w:pPr>
      <w:r w:rsidRPr="00041403">
        <w:rPr>
          <w:rFonts w:eastAsia="Times New Roman" w:cstheme="minorHAnsi"/>
          <w:i/>
        </w:rPr>
        <w:t>- Se determinará el saldo pendiente por pagar a favor del Concesionario, considerando el valor total previsto en el modificatorio y su programa de inversión, así como los pagos ya efectuados,</w:t>
      </w:r>
    </w:p>
    <w:p w:rsidR="00EB3BC8" w:rsidRPr="00041403" w:rsidRDefault="00EB3BC8" w:rsidP="00EB3BC8">
      <w:pPr>
        <w:spacing w:after="0" w:line="240" w:lineRule="auto"/>
        <w:ind w:left="1088"/>
        <w:jc w:val="both"/>
        <w:rPr>
          <w:rFonts w:eastAsia="Times New Roman" w:cstheme="minorHAnsi"/>
          <w:i/>
        </w:rPr>
      </w:pPr>
      <w:r w:rsidRPr="00041403">
        <w:rPr>
          <w:rFonts w:eastAsia="Times New Roman" w:cstheme="minorHAnsi"/>
          <w:i/>
        </w:rPr>
        <w:t xml:space="preserve">- Se determinará el mantenimiento y operación no ejecutados en las variantes de Guamo y Espinal </w:t>
      </w:r>
    </w:p>
    <w:p w:rsidR="00EB3BC8" w:rsidRPr="00041403" w:rsidRDefault="00EB3BC8" w:rsidP="00EB3BC8">
      <w:pPr>
        <w:spacing w:after="0" w:line="240" w:lineRule="auto"/>
        <w:ind w:left="1088"/>
        <w:jc w:val="both"/>
        <w:rPr>
          <w:rFonts w:eastAsia="Times New Roman" w:cstheme="minorHAnsi"/>
          <w:i/>
        </w:rPr>
      </w:pPr>
      <w:r w:rsidRPr="00041403">
        <w:rPr>
          <w:rFonts w:eastAsia="Times New Roman" w:cstheme="minorHAnsi"/>
          <w:i/>
        </w:rPr>
        <w:t xml:space="preserve">- Se determinará la diferencia de costos entre el puente peatonal de Espinal (incluido en el modificatorio) y los pompeyanos construidos </w:t>
      </w:r>
    </w:p>
    <w:p w:rsidR="00EB3BC8" w:rsidRPr="00041403" w:rsidRDefault="00EB3BC8" w:rsidP="00EB3BC8">
      <w:pPr>
        <w:spacing w:after="0" w:line="240" w:lineRule="auto"/>
        <w:ind w:left="1088"/>
        <w:jc w:val="both"/>
        <w:rPr>
          <w:rFonts w:eastAsia="Times New Roman" w:cstheme="minorHAnsi"/>
          <w:i/>
        </w:rPr>
      </w:pPr>
      <w:r w:rsidRPr="00041403">
        <w:rPr>
          <w:rFonts w:eastAsia="Times New Roman" w:cstheme="minorHAnsi"/>
          <w:i/>
        </w:rPr>
        <w:lastRenderedPageBreak/>
        <w:t>- Se evaluará el efecto generado por concepto de los pagos anticipados realizados por la ANI, cruzándolos contra los costos de OPEX y CAPEX realmente ejecutados según los avances de obra aplicando una tasa de interés del IPC + 12%.</w:t>
      </w:r>
    </w:p>
    <w:p w:rsidR="00EB3BC8" w:rsidRPr="00041403" w:rsidRDefault="00EB3BC8" w:rsidP="00EB3BC8">
      <w:pPr>
        <w:spacing w:after="0" w:line="240" w:lineRule="auto"/>
        <w:ind w:left="1088"/>
        <w:jc w:val="both"/>
        <w:rPr>
          <w:rFonts w:eastAsia="Times New Roman" w:cstheme="minorHAnsi"/>
          <w:i/>
        </w:rPr>
      </w:pPr>
      <w:r w:rsidRPr="00041403">
        <w:rPr>
          <w:rFonts w:eastAsia="Times New Roman" w:cstheme="minorHAnsi"/>
          <w:i/>
        </w:rPr>
        <w:t xml:space="preserve">- Se revisará la pertinencia del impacto planteado por el Concesionario relacionado con la diferencia del incremento de los salarios con respecto al incremento del IPC durante los años que duró la ejecución de las obras de las variantes de Guamo y Espinal. </w:t>
      </w:r>
    </w:p>
    <w:p w:rsidR="00EB3BC8" w:rsidRPr="00041403" w:rsidRDefault="00EB3BC8" w:rsidP="00EB3BC8">
      <w:pPr>
        <w:spacing w:after="0" w:line="240" w:lineRule="auto"/>
        <w:ind w:left="708"/>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b/>
          <w:i/>
        </w:rPr>
        <w:t>QUINTO:</w:t>
      </w:r>
      <w:r w:rsidRPr="00041403">
        <w:rPr>
          <w:rFonts w:eastAsia="Times New Roman" w:cstheme="minorHAnsi"/>
          <w:i/>
        </w:rPr>
        <w:t xml:space="preserve"> En el Tribunal de Arbitramento cuya pretensión corresponde a la “Financiación de Órdenes de Pago Autorizadas dentro del Alcance Complementario, así como la demanda de Reconvención presentada por la ANI y relacionada con el “Excedente recibido por el Concesionario entre el IMG y el Máximo Aportante”, continuará su trámite ante la Cámara de Comercio de Bogotá, una vez concluya la suspensión solicitada por las Partes.</w:t>
      </w:r>
    </w:p>
    <w:p w:rsidR="00EB3BC8" w:rsidRPr="00041403" w:rsidRDefault="00EB3BC8" w:rsidP="00EB3BC8">
      <w:pPr>
        <w:spacing w:after="0" w:line="240" w:lineRule="auto"/>
        <w:ind w:left="708"/>
        <w:jc w:val="both"/>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b/>
          <w:i/>
        </w:rPr>
        <w:t>SEXTO:</w:t>
      </w:r>
      <w:r w:rsidRPr="00041403">
        <w:rPr>
          <w:rFonts w:eastAsia="Times New Roman" w:cstheme="minorHAnsi"/>
          <w:i/>
        </w:rPr>
        <w:t xml:space="preserve"> Respecto de los PREDIOS DONDE FUNCIONA LA INFRAESTRUCTURA OPERATIVA DEL PROYECTO que no han sido transferidos a la ANI, las partes acuerdan que de manera conjunta adelantaran todos los trámites necesarios para que estos queden en cabeza de la ANI. Para lo cual el IGAC  realizará  los avalúos de los predios requeridos y en lo que tiene que ver con CSS CONSTRUCTORES aceptará el resultado de los mismos. La ANI efectuará este pago con cargo a los excedentes del proyecto, una vez los predios se encuentren a nombre de la entidad, dentro de los treinta (30) días hábiles siguientes a la firma de la escritura, de no hacerse el pago en este plazo se aplicara la misma regla del artículo 195 del Código de Procedimiento Administrativo y de lo Contencioso Administrativo, para efectos de la causación de intereses.</w:t>
      </w:r>
    </w:p>
    <w:p w:rsidR="00EB3BC8" w:rsidRPr="00041403" w:rsidRDefault="00EB3BC8" w:rsidP="00EB3BC8">
      <w:pPr>
        <w:spacing w:after="0" w:line="240" w:lineRule="auto"/>
        <w:jc w:val="both"/>
        <w:rPr>
          <w:rFonts w:eastAsia="Times New Roman" w:cstheme="minorHAnsi"/>
          <w:i/>
        </w:rPr>
      </w:pPr>
    </w:p>
    <w:p w:rsidR="00EB3BC8" w:rsidRPr="00041403" w:rsidRDefault="00EB3BC8" w:rsidP="00EB3BC8">
      <w:pPr>
        <w:spacing w:after="0" w:line="240" w:lineRule="auto"/>
        <w:ind w:left="708"/>
        <w:jc w:val="both"/>
        <w:rPr>
          <w:rFonts w:eastAsia="Times New Roman" w:cstheme="minorHAnsi"/>
          <w:i/>
        </w:rPr>
      </w:pPr>
      <w:r w:rsidRPr="00041403">
        <w:rPr>
          <w:rFonts w:eastAsia="Times New Roman" w:cstheme="minorHAnsi"/>
          <w:i/>
        </w:rPr>
        <w:t>Asimismo, surtido el trámite señalado, las Partes se obligan a no presentar demanda, petición o reclamación alguna por los mismos hechos y/o circunstancias que motivaron las demandas arbitrales presentadas, ya sea ante el Tribunal Arbitral o ante otro tribunal de este tipo, o ante cualquier otra autoridad jurisdiccional.”</w:t>
      </w:r>
    </w:p>
    <w:p w:rsidR="00EB3BC8" w:rsidRPr="00041403" w:rsidRDefault="00EB3BC8" w:rsidP="00EB3BC8">
      <w:pPr>
        <w:spacing w:after="0" w:line="240" w:lineRule="auto"/>
        <w:rPr>
          <w:rFonts w:eastAsia="Times New Roman" w:cstheme="minorHAnsi"/>
          <w:i/>
        </w:rPr>
      </w:pPr>
    </w:p>
    <w:p w:rsidR="00EB3BC8" w:rsidRPr="00041403" w:rsidRDefault="00EB3BC8" w:rsidP="00EB3BC8">
      <w:pPr>
        <w:spacing w:after="0" w:line="240" w:lineRule="auto"/>
        <w:jc w:val="both"/>
        <w:rPr>
          <w:rFonts w:eastAsia="Times New Roman" w:cstheme="minorHAnsi"/>
          <w:lang w:val="es-ES" w:eastAsia="es-ES"/>
        </w:rPr>
      </w:pPr>
      <w:r w:rsidRPr="00041403">
        <w:rPr>
          <w:rFonts w:eastAsia="Times New Roman" w:cstheme="minorHAnsi"/>
        </w:rPr>
        <w:t>Para que el acuerdo conciliatorio pueda ser revisado y avalado por el Tribunal, se  solicitó que sean contestadas por parte de la ANI todas las demandas presentadas por el Concesionario, procedimiento que se tiene estipulado finalizar en agosto del presente año y esperar por la decisión del Tribunal, el Ministerio Público y la Procuraduría respecto del acuerdo conciliatorio presentado ante ellos por la Agencia Nacional de Infraestructura y el concesionario CSS Constructores S.A.</w:t>
      </w:r>
    </w:p>
    <w:p w:rsidR="00EB3BC8" w:rsidRPr="00CA2027" w:rsidRDefault="00EB3BC8" w:rsidP="00EB3BC8">
      <w:pPr>
        <w:spacing w:line="240" w:lineRule="auto"/>
        <w:jc w:val="both"/>
        <w:rPr>
          <w:rFonts w:ascii="Arial" w:hAnsi="Arial" w:cs="Arial"/>
        </w:rPr>
      </w:pPr>
      <w:r w:rsidRPr="00CA2027">
        <w:rPr>
          <w:rFonts w:ascii="Arial" w:hAnsi="Arial" w:cs="Arial"/>
          <w:b/>
        </w:rPr>
        <w:t xml:space="preserve"> </w:t>
      </w:r>
    </w:p>
    <w:p w:rsidR="00EB3BC8" w:rsidRPr="001F4A72" w:rsidRDefault="00EB3BC8" w:rsidP="001F4A72">
      <w:pPr>
        <w:spacing w:line="240" w:lineRule="auto"/>
        <w:jc w:val="both"/>
        <w:rPr>
          <w:rFonts w:eastAsia="Times New Roman" w:cstheme="minorHAnsi"/>
          <w:b/>
          <w:lang w:val="es-ES"/>
        </w:rPr>
      </w:pPr>
      <w:r w:rsidRPr="001F4A72">
        <w:rPr>
          <w:rFonts w:eastAsia="Times New Roman" w:cstheme="minorHAnsi"/>
          <w:b/>
          <w:lang w:val="es-ES"/>
        </w:rPr>
        <w:t>6. INFORME DE GESTION PROYECTO HONDA GIRARDOT PUERTO SALGAR</w:t>
      </w:r>
    </w:p>
    <w:p w:rsidR="00EB3BC8" w:rsidRPr="001F4A72" w:rsidRDefault="00EB3BC8" w:rsidP="00EB3BC8">
      <w:pPr>
        <w:pStyle w:val="Prrafodelista"/>
        <w:spacing w:line="240" w:lineRule="auto"/>
        <w:ind w:left="0"/>
        <w:jc w:val="both"/>
        <w:rPr>
          <w:rFonts w:eastAsia="Times New Roman" w:cstheme="minorHAnsi"/>
        </w:rPr>
      </w:pPr>
      <w:r w:rsidRPr="001F4A72">
        <w:rPr>
          <w:rFonts w:eastAsia="Times New Roman" w:cstheme="minorHAnsi"/>
        </w:rPr>
        <w:t xml:space="preserve">En el segundo trimestre del año 2015, en la concesión se han realizado actividades de: </w:t>
      </w:r>
    </w:p>
    <w:p w:rsidR="00EB3BC8" w:rsidRPr="001F4A72" w:rsidRDefault="00EB3BC8" w:rsidP="00EB3BC8">
      <w:pPr>
        <w:pStyle w:val="Prrafodelista"/>
        <w:spacing w:line="240" w:lineRule="auto"/>
        <w:ind w:left="0"/>
        <w:jc w:val="both"/>
        <w:rPr>
          <w:rFonts w:eastAsia="Times New Roman" w:cstheme="minorHAnsi"/>
        </w:rPr>
      </w:pPr>
    </w:p>
    <w:p w:rsidR="00EB3BC8" w:rsidRPr="001F4A72" w:rsidRDefault="00EB3BC8" w:rsidP="00EB3BC8">
      <w:pPr>
        <w:pStyle w:val="Prrafodelista"/>
        <w:spacing w:line="240" w:lineRule="auto"/>
        <w:ind w:left="0"/>
        <w:jc w:val="both"/>
        <w:rPr>
          <w:rFonts w:eastAsia="Times New Roman" w:cstheme="minorHAnsi"/>
        </w:rPr>
      </w:pPr>
      <w:r w:rsidRPr="001F4A72">
        <w:rPr>
          <w:rFonts w:eastAsia="Times New Roman" w:cstheme="minorHAnsi"/>
          <w:b/>
        </w:rPr>
        <w:t>Estudios y Diseños</w:t>
      </w:r>
      <w:r w:rsidRPr="001F4A72">
        <w:rPr>
          <w:rFonts w:eastAsia="Times New Roman" w:cstheme="minorHAnsi"/>
        </w:rPr>
        <w:t>: el 2 de junio de 2015, el concesionario radicó los estudios y diseños a la Interventoría del Proyecto en cumplimiento con la fecha a los 210 días después de la firma del acta de inicio del contrato. Entregaron diseño  geométrico de las 5 UF y los diseños de detalle para las UF 1 y 2 que serán por la que darán inicio. La interventoría se encuentra en revisión hasta el 17 de julio de 2015.</w:t>
      </w:r>
    </w:p>
    <w:p w:rsidR="00EB3BC8" w:rsidRPr="001F4A72" w:rsidRDefault="00EB3BC8" w:rsidP="00EB3BC8">
      <w:pPr>
        <w:pStyle w:val="Prrafodelista"/>
        <w:spacing w:line="240" w:lineRule="auto"/>
        <w:ind w:left="0"/>
        <w:jc w:val="both"/>
        <w:rPr>
          <w:rFonts w:eastAsia="Times New Roman" w:cstheme="minorHAnsi"/>
        </w:rPr>
      </w:pP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r w:rsidRPr="001F4A72">
        <w:rPr>
          <w:rFonts w:eastAsia="Times New Roman" w:cstheme="minorHAnsi"/>
        </w:rPr>
        <w:t xml:space="preserve">Operación y mantenimiento: Limpieza de bermas y obras de drenaje, Limpieza general de la zona del derecho de vía y rocería, Limpieza de señales y defensas metálicas, realizadas en todo el  </w:t>
      </w:r>
      <w:r w:rsidRPr="001F4A72">
        <w:rPr>
          <w:rFonts w:eastAsia="Times New Roman" w:cstheme="minorHAnsi"/>
        </w:rPr>
        <w:lastRenderedPageBreak/>
        <w:t>proyecto, intervenciones menores del pavimento existente, mantenimiento de señalización y demarcación, atención de puntos críticos.</w:t>
      </w: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r w:rsidRPr="001F4A72">
        <w:rPr>
          <w:rFonts w:eastAsia="Times New Roman" w:cstheme="minorHAnsi"/>
          <w:b/>
        </w:rPr>
        <w:t>Amigable Componedor</w:t>
      </w:r>
      <w:r w:rsidRPr="001F4A72">
        <w:rPr>
          <w:rFonts w:eastAsia="Times New Roman" w:cstheme="minorHAnsi"/>
        </w:rPr>
        <w:t>: Se designó el Dr. Jaime Bernal Cuellar como el amigable componedor de la ANI para este proyecto, el pasado 21 de mayo de 2015, designando al tercer miembro del amigable componedor  Dr. Luis Hernando Parra Nieto.</w:t>
      </w: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r w:rsidRPr="001F4A72">
        <w:rPr>
          <w:rFonts w:eastAsia="Times New Roman" w:cstheme="minorHAnsi"/>
          <w:b/>
        </w:rPr>
        <w:t>Firma protocolo Policía de Carreteras</w:t>
      </w:r>
      <w:r w:rsidRPr="001F4A72">
        <w:rPr>
          <w:rFonts w:eastAsia="Times New Roman" w:cstheme="minorHAnsi"/>
        </w:rPr>
        <w:t>: Se firmó el protocolo con la POLCA el 27 de abril de 2015, y se entregaron los equipos el 27 de junio de 2015.</w:t>
      </w: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r w:rsidRPr="001F4A72">
        <w:rPr>
          <w:rFonts w:eastAsia="Times New Roman" w:cstheme="minorHAnsi"/>
          <w:b/>
        </w:rPr>
        <w:t>Instalación de vallas</w:t>
      </w:r>
      <w:r w:rsidRPr="001F4A72">
        <w:rPr>
          <w:rFonts w:eastAsia="Times New Roman" w:cstheme="minorHAnsi"/>
        </w:rPr>
        <w:t>: El 21 de junio de 2015, se instalaron las 2 vallas  conforme a la Resolución 1219 de 4 de mayo de 2015.</w:t>
      </w: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r w:rsidRPr="001F4A72">
        <w:rPr>
          <w:rFonts w:eastAsia="Times New Roman" w:cstheme="minorHAnsi"/>
          <w:b/>
        </w:rPr>
        <w:t xml:space="preserve"> Problemas presentados a la fecha</w:t>
      </w:r>
      <w:r w:rsidRPr="001F4A72">
        <w:rPr>
          <w:rFonts w:eastAsia="Times New Roman" w:cstheme="minorHAnsi"/>
        </w:rPr>
        <w:t>: Temas Ambientales: Aun no se han terminado de aprobar completamente el PAGA de la UF 2, pues está pendiente la radicación de los permisos.</w:t>
      </w:r>
    </w:p>
    <w:p w:rsidR="00EB3BC8" w:rsidRPr="001F4A72" w:rsidRDefault="00EB3BC8" w:rsidP="00EB3BC8">
      <w:pPr>
        <w:pStyle w:val="Prrafodelista"/>
        <w:keepNext/>
        <w:spacing w:before="240" w:after="240" w:line="240" w:lineRule="auto"/>
        <w:ind w:left="0"/>
        <w:jc w:val="both"/>
        <w:outlineLvl w:val="3"/>
        <w:rPr>
          <w:rFonts w:eastAsia="Times New Roman" w:cstheme="minorHAnsi"/>
        </w:rPr>
      </w:pPr>
      <w:r w:rsidRPr="001F4A72">
        <w:rPr>
          <w:rFonts w:eastAsia="Times New Roman" w:cstheme="minorHAnsi"/>
        </w:rPr>
        <w:t>Tema Cormagdalena. No tienen definida la ronda del Rio Magdalena, por lo cual el concesionario está haciendo esta labor que puede influir en la toma de decisiones en la adquisición predial y de diseños en puntos críticos cercanos al Rio Magdalena.</w:t>
      </w:r>
    </w:p>
    <w:p w:rsidR="00EB3BC8" w:rsidRPr="00E54BAA" w:rsidRDefault="00EB3BC8" w:rsidP="00EB3BC8">
      <w:pPr>
        <w:pStyle w:val="Prrafodelista"/>
        <w:spacing w:line="240" w:lineRule="auto"/>
        <w:ind w:left="0"/>
        <w:jc w:val="both"/>
        <w:rPr>
          <w:rFonts w:ascii="Arial" w:eastAsia="Calibri" w:hAnsi="Arial" w:cs="Arial"/>
          <w:i/>
          <w:color w:val="000000"/>
        </w:rPr>
      </w:pPr>
    </w:p>
    <w:p w:rsidR="00EB3BC8" w:rsidRPr="00E54BAA" w:rsidRDefault="00EB3BC8" w:rsidP="00EB3BC8">
      <w:pPr>
        <w:pStyle w:val="Prrafodelista"/>
        <w:keepNext/>
        <w:spacing w:before="240" w:after="240" w:line="240" w:lineRule="auto"/>
        <w:ind w:left="0"/>
        <w:jc w:val="both"/>
        <w:outlineLvl w:val="3"/>
        <w:rPr>
          <w:rFonts w:ascii="Arial" w:hAnsi="Arial" w:cs="Arial"/>
        </w:rPr>
      </w:pPr>
    </w:p>
    <w:p w:rsidR="00EB3BC8" w:rsidRPr="00BB456D" w:rsidRDefault="00EB3BC8" w:rsidP="00EB3BC8">
      <w:pPr>
        <w:pStyle w:val="Prrafodelista"/>
        <w:keepNext/>
        <w:spacing w:before="240" w:after="240" w:line="240" w:lineRule="auto"/>
        <w:ind w:left="0"/>
        <w:jc w:val="both"/>
        <w:outlineLvl w:val="3"/>
        <w:rPr>
          <w:rFonts w:ascii="Calibri" w:hAnsi="Calibri" w:cs="Arial"/>
        </w:rPr>
      </w:pPr>
      <w:r>
        <w:rPr>
          <w:rFonts w:ascii="Calibri" w:hAnsi="Calibri" w:cs="Calibri"/>
          <w:noProof/>
        </w:rPr>
        <w:drawing>
          <wp:inline distT="0" distB="0" distL="0" distR="0" wp14:anchorId="170DBE57" wp14:editId="054BBEF7">
            <wp:extent cx="2652584" cy="2034009"/>
            <wp:effectExtent l="0" t="0" r="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66709" cy="2044840"/>
                    </a:xfrm>
                    <a:prstGeom prst="rect">
                      <a:avLst/>
                    </a:prstGeom>
                    <a:noFill/>
                  </pic:spPr>
                </pic:pic>
              </a:graphicData>
            </a:graphic>
          </wp:inline>
        </w:drawing>
      </w:r>
      <w:r>
        <w:rPr>
          <w:rFonts w:ascii="Calibri" w:hAnsi="Calibri" w:cs="Calibri"/>
          <w:noProof/>
        </w:rPr>
        <w:t xml:space="preserve">     </w:t>
      </w:r>
      <w:r>
        <w:rPr>
          <w:rFonts w:ascii="Calibri" w:hAnsi="Calibri" w:cs="Calibri"/>
          <w:noProof/>
        </w:rPr>
        <w:drawing>
          <wp:inline distT="0" distB="0" distL="0" distR="0" wp14:anchorId="45E9B56A" wp14:editId="31E17960">
            <wp:extent cx="2611086" cy="2035594"/>
            <wp:effectExtent l="0" t="0" r="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15921" cy="2039363"/>
                    </a:xfrm>
                    <a:prstGeom prst="rect">
                      <a:avLst/>
                    </a:prstGeom>
                    <a:noFill/>
                  </pic:spPr>
                </pic:pic>
              </a:graphicData>
            </a:graphic>
          </wp:inline>
        </w:drawing>
      </w:r>
    </w:p>
    <w:p w:rsidR="00EB3BC8" w:rsidRPr="005674B7" w:rsidRDefault="00EB3BC8" w:rsidP="00EB3BC8">
      <w:pPr>
        <w:spacing w:line="240" w:lineRule="auto"/>
        <w:ind w:left="720"/>
        <w:jc w:val="both"/>
        <w:rPr>
          <w:rFonts w:ascii="Arial" w:hAnsi="Arial" w:cs="Arial"/>
          <w:b/>
        </w:rPr>
      </w:pPr>
    </w:p>
    <w:p w:rsidR="00EB3BC8" w:rsidRDefault="00EB3BC8" w:rsidP="00EB3BC8">
      <w:pPr>
        <w:spacing w:line="240" w:lineRule="auto"/>
        <w:ind w:left="720"/>
        <w:jc w:val="both"/>
        <w:rPr>
          <w:rFonts w:ascii="Arial" w:hAnsi="Arial" w:cs="Arial"/>
          <w:b/>
          <w:lang w:val="es-ES"/>
        </w:rPr>
      </w:pPr>
    </w:p>
    <w:p w:rsidR="00EB3BC8" w:rsidRDefault="00EB3BC8" w:rsidP="00EB3BC8">
      <w:pPr>
        <w:spacing w:line="240" w:lineRule="auto"/>
        <w:jc w:val="both"/>
        <w:rPr>
          <w:rFonts w:ascii="Arial" w:hAnsi="Arial" w:cs="Arial"/>
          <w:b/>
          <w:lang w:val="es-ES"/>
        </w:rPr>
      </w:pPr>
    </w:p>
    <w:p w:rsidR="00EB3BC8" w:rsidRDefault="00EB3BC8" w:rsidP="00EB3BC8">
      <w:pPr>
        <w:spacing w:line="240" w:lineRule="auto"/>
        <w:jc w:val="both"/>
        <w:rPr>
          <w:rFonts w:ascii="Arial" w:hAnsi="Arial" w:cs="Arial"/>
          <w:b/>
          <w:lang w:val="es-ES"/>
        </w:rPr>
      </w:pPr>
    </w:p>
    <w:p w:rsidR="00EB3BC8" w:rsidRDefault="00EB3BC8" w:rsidP="00EB3BC8">
      <w:pPr>
        <w:spacing w:line="240" w:lineRule="auto"/>
        <w:jc w:val="both"/>
        <w:rPr>
          <w:rFonts w:ascii="Arial" w:hAnsi="Arial" w:cs="Arial"/>
          <w:b/>
          <w:lang w:val="es-ES"/>
        </w:rPr>
      </w:pPr>
    </w:p>
    <w:p w:rsidR="00EB3BC8" w:rsidRDefault="00EB3BC8" w:rsidP="00EB3BC8">
      <w:pPr>
        <w:spacing w:line="240" w:lineRule="auto"/>
        <w:jc w:val="both"/>
        <w:rPr>
          <w:rFonts w:ascii="Arial" w:hAnsi="Arial" w:cs="Arial"/>
          <w:b/>
          <w:lang w:val="es-ES"/>
        </w:rPr>
      </w:pPr>
    </w:p>
    <w:p w:rsidR="00EB3BC8" w:rsidRDefault="00EB3BC8" w:rsidP="00EB3BC8">
      <w:pPr>
        <w:spacing w:line="240" w:lineRule="auto"/>
        <w:jc w:val="both"/>
        <w:rPr>
          <w:rFonts w:ascii="Arial" w:hAnsi="Arial" w:cs="Arial"/>
          <w:b/>
          <w:lang w:val="es-ES"/>
        </w:rPr>
      </w:pPr>
    </w:p>
    <w:p w:rsidR="00EB3BC8" w:rsidRDefault="00EB3BC8" w:rsidP="00EB3BC8">
      <w:pPr>
        <w:spacing w:line="240" w:lineRule="auto"/>
        <w:jc w:val="both"/>
        <w:rPr>
          <w:rFonts w:ascii="Arial" w:hAnsi="Arial" w:cs="Arial"/>
          <w:b/>
          <w:lang w:val="es-ES"/>
        </w:rPr>
      </w:pPr>
    </w:p>
    <w:p w:rsidR="00EB3BC8" w:rsidRDefault="00EB3BC8" w:rsidP="00EB3BC8">
      <w:pPr>
        <w:spacing w:line="240" w:lineRule="auto"/>
        <w:jc w:val="both"/>
        <w:rPr>
          <w:rFonts w:ascii="Arial" w:hAnsi="Arial" w:cs="Arial"/>
          <w:b/>
          <w:lang w:val="es-ES"/>
        </w:rPr>
      </w:pPr>
    </w:p>
    <w:p w:rsidR="00EB3BC8" w:rsidRPr="00657F34" w:rsidRDefault="00EB3BC8" w:rsidP="00657F34">
      <w:pPr>
        <w:spacing w:after="0" w:line="240" w:lineRule="auto"/>
        <w:jc w:val="both"/>
        <w:rPr>
          <w:rFonts w:eastAsia="Times New Roman" w:cs="Calibri"/>
          <w:b/>
          <w:color w:val="000000"/>
          <w:u w:val="single"/>
        </w:rPr>
      </w:pPr>
      <w:r w:rsidRPr="00657F34">
        <w:rPr>
          <w:rFonts w:eastAsia="Times New Roman" w:cs="Calibri"/>
          <w:b/>
          <w:color w:val="000000"/>
          <w:u w:val="single"/>
        </w:rPr>
        <w:lastRenderedPageBreak/>
        <w:t>GERENCIA DE PROYECTOS CARRETERO 2</w:t>
      </w:r>
    </w:p>
    <w:p w:rsidR="00EB3BC8" w:rsidRPr="003E356D" w:rsidRDefault="00EB3BC8" w:rsidP="00EB3BC8">
      <w:pPr>
        <w:pStyle w:val="Prrafodelista"/>
        <w:spacing w:line="240" w:lineRule="auto"/>
        <w:jc w:val="center"/>
        <w:rPr>
          <w:rFonts w:ascii="Arial" w:hAnsi="Arial" w:cs="Arial"/>
          <w:b/>
          <w:sz w:val="28"/>
          <w:szCs w:val="28"/>
        </w:rPr>
      </w:pPr>
    </w:p>
    <w:p w:rsidR="00EB3BC8" w:rsidRPr="00853E9E" w:rsidRDefault="00EB3BC8" w:rsidP="00EB3BC8">
      <w:pPr>
        <w:spacing w:line="240" w:lineRule="auto"/>
        <w:jc w:val="both"/>
        <w:rPr>
          <w:rFonts w:eastAsia="Times New Roman" w:cstheme="minorHAnsi"/>
          <w:b/>
          <w:lang w:val="es-ES"/>
        </w:rPr>
      </w:pPr>
      <w:r w:rsidRPr="00853E9E">
        <w:rPr>
          <w:rFonts w:eastAsia="Times New Roman" w:cstheme="minorHAnsi"/>
          <w:b/>
          <w:lang w:val="es-ES"/>
        </w:rPr>
        <w:t>7. INFORME DE GESTIÓN PROYECTO CONCESIÓN DESARROLLO VIAL PARA EL    NORTE DE BOGOTÁ DEVINORTE</w:t>
      </w:r>
    </w:p>
    <w:p w:rsidR="00EB3BC8" w:rsidRPr="00C72016" w:rsidRDefault="00EB3BC8" w:rsidP="00EB3BC8">
      <w:pPr>
        <w:pStyle w:val="Prrafodelista"/>
        <w:tabs>
          <w:tab w:val="left" w:pos="426"/>
        </w:tabs>
        <w:spacing w:after="0"/>
        <w:jc w:val="both"/>
        <w:rPr>
          <w:rFonts w:ascii="Arial" w:eastAsia="Times New Roman" w:hAnsi="Arial" w:cs="Arial"/>
          <w:lang w:eastAsia="es-ES"/>
        </w:rPr>
      </w:pPr>
    </w:p>
    <w:p w:rsidR="00EB3BC8" w:rsidRPr="00853E9E" w:rsidRDefault="00EB3BC8" w:rsidP="00EB3BC8">
      <w:pPr>
        <w:tabs>
          <w:tab w:val="left" w:pos="426"/>
        </w:tabs>
        <w:spacing w:after="0"/>
        <w:jc w:val="both"/>
        <w:rPr>
          <w:rFonts w:cstheme="minorHAnsi"/>
          <w:b/>
        </w:rPr>
      </w:pPr>
      <w:r w:rsidRPr="00C72016">
        <w:rPr>
          <w:rFonts w:ascii="Arial" w:eastAsia="Times New Roman" w:hAnsi="Arial" w:cs="Arial"/>
          <w:b/>
          <w:lang w:eastAsia="es-ES"/>
        </w:rPr>
        <w:t xml:space="preserve">       </w:t>
      </w:r>
      <w:r w:rsidRPr="00853E9E">
        <w:rPr>
          <w:rFonts w:eastAsia="Times New Roman" w:cstheme="minorHAnsi"/>
          <w:b/>
          <w:lang w:eastAsia="es-ES"/>
        </w:rPr>
        <w:t>Generalidades</w:t>
      </w:r>
      <w:r w:rsidRPr="00853E9E">
        <w:rPr>
          <w:rFonts w:cstheme="minorHAnsi"/>
          <w:b/>
        </w:rPr>
        <w:t xml:space="preserve"> </w:t>
      </w:r>
    </w:p>
    <w:p w:rsidR="00EB3BC8" w:rsidRPr="00853E9E" w:rsidRDefault="00EB3BC8" w:rsidP="000021B2">
      <w:pPr>
        <w:pStyle w:val="Prrafodelista"/>
        <w:numPr>
          <w:ilvl w:val="0"/>
          <w:numId w:val="16"/>
        </w:numPr>
        <w:tabs>
          <w:tab w:val="left" w:pos="426"/>
        </w:tabs>
        <w:jc w:val="both"/>
        <w:rPr>
          <w:rFonts w:cstheme="minorHAnsi"/>
        </w:rPr>
      </w:pPr>
      <w:r w:rsidRPr="00853E9E">
        <w:rPr>
          <w:rFonts w:cstheme="minorHAnsi"/>
        </w:rPr>
        <w:t>Concesionario:  Unión Temporal DEVINORTE</w:t>
      </w:r>
    </w:p>
    <w:p w:rsidR="00EB3BC8" w:rsidRPr="00853E9E" w:rsidRDefault="00EB3BC8" w:rsidP="000021B2">
      <w:pPr>
        <w:pStyle w:val="Prrafodelista"/>
        <w:numPr>
          <w:ilvl w:val="0"/>
          <w:numId w:val="16"/>
        </w:numPr>
        <w:tabs>
          <w:tab w:val="left" w:pos="426"/>
        </w:tabs>
        <w:jc w:val="both"/>
        <w:rPr>
          <w:rFonts w:cstheme="minorHAnsi"/>
        </w:rPr>
      </w:pPr>
      <w:r w:rsidRPr="00853E9E">
        <w:rPr>
          <w:rFonts w:cstheme="minorHAnsi"/>
        </w:rPr>
        <w:t>Inicio : 24 de Noviembre de 1994</w:t>
      </w:r>
    </w:p>
    <w:p w:rsidR="00EB3BC8" w:rsidRPr="00853E9E" w:rsidRDefault="00EB3BC8" w:rsidP="000021B2">
      <w:pPr>
        <w:pStyle w:val="Prrafodelista"/>
        <w:numPr>
          <w:ilvl w:val="0"/>
          <w:numId w:val="16"/>
        </w:numPr>
        <w:tabs>
          <w:tab w:val="left" w:pos="426"/>
        </w:tabs>
        <w:jc w:val="both"/>
        <w:rPr>
          <w:rFonts w:cstheme="minorHAnsi"/>
        </w:rPr>
      </w:pPr>
      <w:r w:rsidRPr="00853E9E">
        <w:rPr>
          <w:rFonts w:cstheme="minorHAnsi"/>
        </w:rPr>
        <w:t>Fin: 30 de noviembre de 2016 (Acta 29/12/2005)</w:t>
      </w:r>
    </w:p>
    <w:p w:rsidR="00EB3BC8" w:rsidRPr="00853E9E" w:rsidRDefault="00EB3BC8" w:rsidP="000021B2">
      <w:pPr>
        <w:pStyle w:val="Prrafodelista"/>
        <w:numPr>
          <w:ilvl w:val="0"/>
          <w:numId w:val="16"/>
        </w:numPr>
        <w:tabs>
          <w:tab w:val="left" w:pos="426"/>
        </w:tabs>
        <w:jc w:val="both"/>
        <w:rPr>
          <w:rFonts w:cstheme="minorHAnsi"/>
        </w:rPr>
      </w:pPr>
      <w:r w:rsidRPr="00853E9E">
        <w:rPr>
          <w:rFonts w:cstheme="minorHAnsi"/>
        </w:rPr>
        <w:t xml:space="preserve">Etapa </w:t>
      </w:r>
      <w:r w:rsidRPr="00853E9E">
        <w:rPr>
          <w:rFonts w:cstheme="minorHAnsi"/>
          <w:lang w:val="es-ES_tradnl"/>
        </w:rPr>
        <w:t>Actual:</w:t>
      </w:r>
      <w:r w:rsidRPr="00853E9E">
        <w:rPr>
          <w:rFonts w:cstheme="minorHAnsi"/>
        </w:rPr>
        <w:t xml:space="preserve"> Operación. A la fecha se encuentran en estudios, diseños y construcción algunas obras faltantes </w:t>
      </w:r>
    </w:p>
    <w:p w:rsidR="00EB3BC8" w:rsidRPr="00853E9E" w:rsidRDefault="00EB3BC8" w:rsidP="000021B2">
      <w:pPr>
        <w:pStyle w:val="Prrafodelista"/>
        <w:numPr>
          <w:ilvl w:val="0"/>
          <w:numId w:val="16"/>
        </w:numPr>
        <w:tabs>
          <w:tab w:val="left" w:pos="426"/>
        </w:tabs>
        <w:jc w:val="both"/>
        <w:rPr>
          <w:rFonts w:cstheme="minorHAnsi"/>
        </w:rPr>
      </w:pPr>
      <w:r w:rsidRPr="00853E9E">
        <w:rPr>
          <w:rFonts w:cstheme="minorHAnsi"/>
        </w:rPr>
        <w:t>Longitud : 50.8 Km</w:t>
      </w:r>
    </w:p>
    <w:p w:rsidR="00EB3BC8" w:rsidRPr="00853E9E" w:rsidRDefault="00EB3BC8" w:rsidP="000021B2">
      <w:pPr>
        <w:pStyle w:val="Prrafodelista"/>
        <w:numPr>
          <w:ilvl w:val="0"/>
          <w:numId w:val="16"/>
        </w:numPr>
        <w:tabs>
          <w:tab w:val="left" w:pos="426"/>
        </w:tabs>
        <w:jc w:val="both"/>
        <w:rPr>
          <w:rFonts w:cstheme="minorHAnsi"/>
        </w:rPr>
      </w:pPr>
      <w:r w:rsidRPr="00853E9E">
        <w:rPr>
          <w:rFonts w:cstheme="minorHAnsi"/>
        </w:rPr>
        <w:t>Valor Inicial: $ 68.748.693.984 (1994)</w:t>
      </w:r>
    </w:p>
    <w:p w:rsidR="00EB3BC8" w:rsidRPr="00853E9E" w:rsidRDefault="00EB3BC8" w:rsidP="000021B2">
      <w:pPr>
        <w:pStyle w:val="Prrafodelista"/>
        <w:numPr>
          <w:ilvl w:val="0"/>
          <w:numId w:val="16"/>
        </w:numPr>
        <w:tabs>
          <w:tab w:val="left" w:pos="426"/>
        </w:tabs>
        <w:jc w:val="both"/>
        <w:rPr>
          <w:rFonts w:cstheme="minorHAnsi"/>
        </w:rPr>
      </w:pPr>
      <w:r w:rsidRPr="00853E9E">
        <w:rPr>
          <w:rFonts w:cstheme="minorHAnsi"/>
        </w:rPr>
        <w:t>Valor final: $ 102.388.962.000 (1994)</w:t>
      </w:r>
    </w:p>
    <w:p w:rsidR="00EB3BC8" w:rsidRPr="00853E9E" w:rsidRDefault="00EB3BC8" w:rsidP="000021B2">
      <w:pPr>
        <w:pStyle w:val="Prrafodelista"/>
        <w:numPr>
          <w:ilvl w:val="0"/>
          <w:numId w:val="16"/>
        </w:numPr>
        <w:tabs>
          <w:tab w:val="left" w:pos="426"/>
        </w:tabs>
        <w:jc w:val="both"/>
        <w:rPr>
          <w:rFonts w:cstheme="minorHAnsi"/>
        </w:rPr>
      </w:pPr>
      <w:r w:rsidRPr="00853E9E">
        <w:rPr>
          <w:rFonts w:cstheme="minorHAnsi"/>
        </w:rPr>
        <w:t>Avance estimado proyecto: 9</w:t>
      </w:r>
      <w:r w:rsidRPr="00853E9E">
        <w:rPr>
          <w:rFonts w:cstheme="minorHAnsi"/>
          <w:lang w:val="es-419"/>
        </w:rPr>
        <w:t>8</w:t>
      </w:r>
      <w:r w:rsidRPr="00853E9E">
        <w:rPr>
          <w:rFonts w:cstheme="minorHAnsi"/>
        </w:rPr>
        <w:t>.5%</w:t>
      </w:r>
    </w:p>
    <w:p w:rsidR="00EB3BC8" w:rsidRPr="00853E9E" w:rsidRDefault="00EB3BC8" w:rsidP="00EB3BC8">
      <w:pPr>
        <w:tabs>
          <w:tab w:val="left" w:pos="426"/>
        </w:tabs>
        <w:ind w:left="360"/>
        <w:jc w:val="both"/>
        <w:rPr>
          <w:rFonts w:cstheme="minorHAnsi"/>
        </w:rPr>
      </w:pPr>
      <w:r w:rsidRPr="00853E9E">
        <w:rPr>
          <w:rFonts w:cstheme="minorHAnsi"/>
          <w:b/>
        </w:rPr>
        <w:t>Problemática y acciones</w:t>
      </w:r>
    </w:p>
    <w:p w:rsidR="00EB3BC8" w:rsidRPr="00853E9E" w:rsidRDefault="00EB3BC8" w:rsidP="00853E9E">
      <w:pPr>
        <w:tabs>
          <w:tab w:val="left" w:pos="426"/>
        </w:tabs>
        <w:spacing w:after="0"/>
        <w:jc w:val="both"/>
        <w:rPr>
          <w:rFonts w:cstheme="minorHAnsi"/>
          <w:b/>
        </w:rPr>
      </w:pPr>
      <w:r w:rsidRPr="00853E9E">
        <w:rPr>
          <w:rFonts w:cstheme="minorHAnsi"/>
          <w:b/>
        </w:rPr>
        <w:t>En Construcción intersección en la T de Portachuelo</w:t>
      </w:r>
    </w:p>
    <w:p w:rsidR="00EB3BC8" w:rsidRPr="00C72016" w:rsidRDefault="00EB3BC8" w:rsidP="00EB3BC8">
      <w:pPr>
        <w:tabs>
          <w:tab w:val="left" w:pos="426"/>
        </w:tabs>
        <w:jc w:val="both"/>
        <w:rPr>
          <w:rFonts w:ascii="Arial" w:hAnsi="Arial" w:cs="Arial"/>
          <w:lang w:val="es-ES_tradnl"/>
        </w:rPr>
      </w:pPr>
    </w:p>
    <w:p w:rsidR="00EB3BC8" w:rsidRPr="00853E9E" w:rsidRDefault="00EB3BC8" w:rsidP="00EB3BC8">
      <w:pPr>
        <w:tabs>
          <w:tab w:val="left" w:pos="426"/>
        </w:tabs>
        <w:jc w:val="both"/>
        <w:rPr>
          <w:rFonts w:cstheme="minorHAnsi"/>
          <w:noProof/>
          <w:lang w:val="es-419"/>
        </w:rPr>
      </w:pPr>
      <w:r w:rsidRPr="00853E9E">
        <w:rPr>
          <w:rFonts w:cstheme="minorHAnsi"/>
          <w:noProof/>
          <w:lang w:val="es-419"/>
        </w:rPr>
        <w:t>El 13 de abril de 2015 se suscribio el acta de terminacion de obra, documento necesario para efectuar el pago de la contruccion de la interseccion “T de Portachuelo”. El pasado 6 de mayo de 2015, se realizo la inauguracion de la obra, por parte del Vicepresidente de la Republica, Dr. German Vargas Lleras.</w:t>
      </w:r>
    </w:p>
    <w:p w:rsidR="00EB3BC8" w:rsidRPr="00853E9E" w:rsidRDefault="00EB3BC8" w:rsidP="00EB3BC8">
      <w:pPr>
        <w:tabs>
          <w:tab w:val="left" w:pos="426"/>
        </w:tabs>
        <w:jc w:val="both"/>
        <w:rPr>
          <w:rFonts w:cstheme="minorHAnsi"/>
          <w:lang w:val="es-ES_tradnl"/>
        </w:rPr>
      </w:pPr>
      <w:r w:rsidRPr="00853E9E">
        <w:rPr>
          <w:rFonts w:cstheme="minorHAnsi"/>
          <w:noProof/>
          <w:lang w:val="es-419"/>
        </w:rPr>
        <w:t xml:space="preserve">Se encuentra pendiente </w:t>
      </w:r>
      <w:r w:rsidRPr="00853E9E">
        <w:rPr>
          <w:rFonts w:cstheme="minorHAnsi"/>
          <w:noProof/>
        </w:rPr>
        <w:t xml:space="preserve">el recibo definitivo de la obra, a lo cual se esta </w:t>
      </w:r>
      <w:r w:rsidRPr="00853E9E">
        <w:rPr>
          <w:rFonts w:cstheme="minorHAnsi"/>
          <w:noProof/>
          <w:lang w:val="es-419"/>
        </w:rPr>
        <w:t xml:space="preserve"> verificando los cierres ambientales, sociales y prediales para realizar el pago al Co</w:t>
      </w:r>
      <w:r w:rsidRPr="00853E9E">
        <w:rPr>
          <w:rFonts w:cstheme="minorHAnsi"/>
          <w:noProof/>
        </w:rPr>
        <w:t>n</w:t>
      </w:r>
      <w:r w:rsidRPr="00853E9E">
        <w:rPr>
          <w:rFonts w:cstheme="minorHAnsi"/>
          <w:noProof/>
          <w:lang w:val="es-419"/>
        </w:rPr>
        <w:t>cesionario de acuerdo a lo establecido en el Otrosi.</w:t>
      </w:r>
      <w:r w:rsidRPr="00853E9E">
        <w:rPr>
          <w:rFonts w:cstheme="minorHAnsi"/>
          <w:lang w:val="es-ES_tradnl"/>
        </w:rPr>
        <w:t xml:space="preserve"> </w:t>
      </w:r>
    </w:p>
    <w:p w:rsidR="00EB3BC8" w:rsidRDefault="00EB3BC8" w:rsidP="00EB3BC8">
      <w:pPr>
        <w:tabs>
          <w:tab w:val="left" w:pos="426"/>
        </w:tabs>
        <w:jc w:val="both"/>
        <w:rPr>
          <w:rFonts w:ascii="Arial" w:hAnsi="Arial" w:cs="Arial"/>
          <w:lang w:val="es-ES_tradnl"/>
        </w:rPr>
      </w:pPr>
    </w:p>
    <w:p w:rsidR="00EB3BC8" w:rsidRPr="00C72016" w:rsidRDefault="00EB3BC8" w:rsidP="00EB3BC8">
      <w:pPr>
        <w:tabs>
          <w:tab w:val="left" w:pos="426"/>
        </w:tabs>
        <w:jc w:val="center"/>
        <w:rPr>
          <w:rFonts w:ascii="Arial" w:hAnsi="Arial" w:cs="Arial"/>
          <w:lang w:val="es-ES_tradnl"/>
        </w:rPr>
      </w:pPr>
      <w:r w:rsidRPr="00C72016">
        <w:rPr>
          <w:rFonts w:ascii="Arial" w:hAnsi="Arial" w:cs="Arial"/>
          <w:noProof/>
        </w:rPr>
        <w:drawing>
          <wp:inline distT="0" distB="0" distL="0" distR="0" wp14:anchorId="31FA37DC" wp14:editId="673DC08C">
            <wp:extent cx="2599427" cy="1949570"/>
            <wp:effectExtent l="0" t="0" r="0" b="0"/>
            <wp:docPr id="2" name="Imagen 2" descr="C:\HECTOR\FOTOS\PORTACHUELO\Conexión de Vía a Bogotá-Glori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TOR\FOTOS\PORTACHUELO\Conexión de Vía a Bogotá-Glorieta.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55631" cy="1991723"/>
                    </a:xfrm>
                    <a:prstGeom prst="rect">
                      <a:avLst/>
                    </a:prstGeom>
                    <a:noFill/>
                    <a:ln>
                      <a:noFill/>
                    </a:ln>
                  </pic:spPr>
                </pic:pic>
              </a:graphicData>
            </a:graphic>
          </wp:inline>
        </w:drawing>
      </w:r>
    </w:p>
    <w:p w:rsidR="00EB3BC8" w:rsidRPr="00C72016" w:rsidRDefault="00EB3BC8" w:rsidP="00EB3BC8">
      <w:pPr>
        <w:tabs>
          <w:tab w:val="left" w:pos="426"/>
        </w:tabs>
        <w:jc w:val="center"/>
        <w:rPr>
          <w:rFonts w:ascii="Arial" w:hAnsi="Arial" w:cs="Arial"/>
          <w:lang w:val="es-419"/>
        </w:rPr>
      </w:pPr>
    </w:p>
    <w:p w:rsidR="00EB3BC8" w:rsidRDefault="00EB3BC8" w:rsidP="00EB3BC8">
      <w:pPr>
        <w:pStyle w:val="Prrafodelista"/>
        <w:tabs>
          <w:tab w:val="left" w:pos="426"/>
        </w:tabs>
        <w:ind w:left="644"/>
        <w:jc w:val="both"/>
        <w:rPr>
          <w:rFonts w:ascii="Arial" w:hAnsi="Arial" w:cs="Arial"/>
          <w:b/>
        </w:rPr>
      </w:pPr>
    </w:p>
    <w:p w:rsidR="00EB3BC8" w:rsidRPr="001A5042" w:rsidRDefault="00EB3BC8" w:rsidP="001A5042">
      <w:pPr>
        <w:tabs>
          <w:tab w:val="left" w:pos="426"/>
        </w:tabs>
        <w:jc w:val="both"/>
        <w:rPr>
          <w:rFonts w:cstheme="minorHAnsi"/>
          <w:b/>
        </w:rPr>
      </w:pPr>
      <w:r w:rsidRPr="001A5042">
        <w:rPr>
          <w:rFonts w:cstheme="minorHAnsi"/>
          <w:b/>
        </w:rPr>
        <w:t>Ind</w:t>
      </w:r>
      <w:r w:rsidR="001A5042">
        <w:rPr>
          <w:rFonts w:cstheme="minorHAnsi"/>
          <w:b/>
        </w:rPr>
        <w:t xml:space="preserve">efinición construcción puentes </w:t>
      </w:r>
      <w:r w:rsidRPr="001A5042">
        <w:rPr>
          <w:rFonts w:cstheme="minorHAnsi"/>
          <w:b/>
        </w:rPr>
        <w:t>sobre vía férrea</w:t>
      </w:r>
    </w:p>
    <w:p w:rsidR="00EB3BC8" w:rsidRPr="00795720" w:rsidRDefault="00EB3BC8" w:rsidP="00EB3BC8">
      <w:pPr>
        <w:tabs>
          <w:tab w:val="left" w:pos="426"/>
        </w:tabs>
        <w:jc w:val="both"/>
        <w:rPr>
          <w:rFonts w:cstheme="minorHAnsi"/>
          <w:lang w:val="es-419"/>
        </w:rPr>
      </w:pPr>
      <w:r w:rsidRPr="00795720">
        <w:rPr>
          <w:rFonts w:cstheme="minorHAnsi"/>
        </w:rPr>
        <w:t xml:space="preserve">El Concesionario, ha entregado los prediseños  y presupuesto de los puentes vehiculares sobre vía Férrea Santana y Zhué. Han existido algunos inconvenientes con la implantación de los puentes, debido al gálibo exigido. Una vez revisado </w:t>
      </w:r>
      <w:r w:rsidRPr="00795720">
        <w:rPr>
          <w:rFonts w:cstheme="minorHAnsi"/>
          <w:lang w:val="es-419"/>
        </w:rPr>
        <w:t xml:space="preserve">por interventoría </w:t>
      </w:r>
      <w:r w:rsidRPr="00795720">
        <w:rPr>
          <w:rFonts w:cstheme="minorHAnsi"/>
        </w:rPr>
        <w:t>el diseño, las cantidades de obras y el presupuesto y considerando los cambios en las normas sismoresistentes y los gálibos estipulados</w:t>
      </w:r>
      <w:r w:rsidRPr="00795720">
        <w:rPr>
          <w:rFonts w:cstheme="minorHAnsi"/>
          <w:lang w:val="es-419"/>
        </w:rPr>
        <w:t xml:space="preserve">, se concluyó que se </w:t>
      </w:r>
      <w:r w:rsidRPr="00795720">
        <w:rPr>
          <w:rFonts w:cstheme="minorHAnsi"/>
        </w:rPr>
        <w:t xml:space="preserve">generaría un impacto importante en el acceso a empresas de la zona, lo que requeriría construir accesos independientes con los respectivos costos de construcción y afectación predial, por tal motivo </w:t>
      </w:r>
      <w:r w:rsidRPr="00795720">
        <w:rPr>
          <w:rFonts w:cstheme="minorHAnsi"/>
          <w:lang w:val="es-419"/>
        </w:rPr>
        <w:t>la sustracción del alcance básico de la ejecución de estos puentes vehiculares, se encuentran incluidos dentro del acuerdo conciliatorio que se adelanta en el marco del Tribunal de Arbitramento.</w:t>
      </w:r>
    </w:p>
    <w:p w:rsidR="00EB3BC8" w:rsidRPr="00795720" w:rsidRDefault="00EB3BC8" w:rsidP="00795720">
      <w:pPr>
        <w:tabs>
          <w:tab w:val="left" w:pos="426"/>
        </w:tabs>
        <w:jc w:val="both"/>
        <w:rPr>
          <w:rFonts w:cstheme="minorHAnsi"/>
          <w:b/>
        </w:rPr>
      </w:pPr>
      <w:r w:rsidRPr="00795720">
        <w:rPr>
          <w:rFonts w:cstheme="minorHAnsi"/>
          <w:b/>
        </w:rPr>
        <w:t>Sustitución box peatonal por puente peatonal en sector La Caro – Centro Chía.</w:t>
      </w:r>
    </w:p>
    <w:p w:rsidR="00EB3BC8" w:rsidRPr="00795720" w:rsidRDefault="00EB3BC8" w:rsidP="00EB3BC8">
      <w:pPr>
        <w:tabs>
          <w:tab w:val="left" w:pos="426"/>
        </w:tabs>
        <w:jc w:val="both"/>
        <w:rPr>
          <w:rFonts w:cstheme="minorHAnsi"/>
        </w:rPr>
      </w:pPr>
      <w:r w:rsidRPr="00795720">
        <w:rPr>
          <w:rFonts w:cstheme="minorHAnsi"/>
        </w:rPr>
        <w:t xml:space="preserve">La Gobernación de Cundinamarca, por intermedio del ICCU, adelanta el proceso contractual, para la construcción del puente peatonal Unisabana, en el sector del tercer Carril La Caro – Centro Chía. . A la fecha, el contrato que construirá dicho puente peatonal, se encuentra adjudicado mediante la Resolución N° 285 del 20 de Junio de 2014, se estima que este construido en 2015. </w:t>
      </w:r>
    </w:p>
    <w:p w:rsidR="00EB3BC8" w:rsidRPr="00795720" w:rsidRDefault="00EB3BC8" w:rsidP="00795720">
      <w:pPr>
        <w:tabs>
          <w:tab w:val="left" w:pos="426"/>
        </w:tabs>
        <w:jc w:val="both"/>
        <w:rPr>
          <w:rFonts w:cstheme="minorHAnsi"/>
          <w:b/>
        </w:rPr>
      </w:pPr>
      <w:r w:rsidRPr="00795720">
        <w:rPr>
          <w:rFonts w:cstheme="minorHAnsi"/>
          <w:b/>
        </w:rPr>
        <w:t>Dificultades en establecer los parámetros de actualización del modelo financiero</w:t>
      </w:r>
    </w:p>
    <w:p w:rsidR="00EB3BC8" w:rsidRPr="00795720" w:rsidRDefault="00EB3BC8" w:rsidP="00EB3BC8">
      <w:pPr>
        <w:tabs>
          <w:tab w:val="left" w:pos="426"/>
        </w:tabs>
        <w:jc w:val="both"/>
        <w:rPr>
          <w:rFonts w:cstheme="minorHAnsi"/>
        </w:rPr>
      </w:pPr>
      <w:r w:rsidRPr="00795720">
        <w:rPr>
          <w:rFonts w:cstheme="minorHAnsi"/>
        </w:rPr>
        <w:t>Continúa en el tribunal de Arbitramento, en el trámite procesal respectivo.</w:t>
      </w:r>
    </w:p>
    <w:p w:rsidR="00EB3BC8" w:rsidRPr="00795720" w:rsidRDefault="00EB3BC8" w:rsidP="00795720">
      <w:pPr>
        <w:tabs>
          <w:tab w:val="left" w:pos="426"/>
        </w:tabs>
        <w:jc w:val="both"/>
        <w:rPr>
          <w:rFonts w:cstheme="minorHAnsi"/>
          <w:b/>
        </w:rPr>
      </w:pPr>
      <w:r w:rsidRPr="00795720">
        <w:rPr>
          <w:rFonts w:cstheme="minorHAnsi"/>
          <w:b/>
        </w:rPr>
        <w:t>Falta  soporte distribución del Peaje Teletón y deducción unilateral por parte del Concesionario de los gastos de manejo del peaje</w:t>
      </w:r>
    </w:p>
    <w:p w:rsidR="00EB3BC8" w:rsidRPr="00795720" w:rsidRDefault="00EB3BC8" w:rsidP="00EB3BC8">
      <w:pPr>
        <w:tabs>
          <w:tab w:val="left" w:pos="426"/>
        </w:tabs>
        <w:jc w:val="both"/>
        <w:rPr>
          <w:rFonts w:cstheme="minorHAnsi"/>
        </w:rPr>
      </w:pPr>
      <w:r w:rsidRPr="00795720">
        <w:rPr>
          <w:rFonts w:cstheme="minorHAnsi"/>
        </w:rPr>
        <w:t>Continúa en el tribunal de Arbitramento, en el trámite procesal respectivo.</w:t>
      </w:r>
    </w:p>
    <w:p w:rsidR="00EB3BC8" w:rsidRPr="00795720" w:rsidRDefault="00EB3BC8" w:rsidP="00795720">
      <w:pPr>
        <w:tabs>
          <w:tab w:val="left" w:pos="426"/>
        </w:tabs>
        <w:jc w:val="both"/>
        <w:rPr>
          <w:rFonts w:cstheme="minorHAnsi"/>
          <w:b/>
        </w:rPr>
      </w:pPr>
      <w:r w:rsidRPr="00795720">
        <w:rPr>
          <w:rFonts w:cstheme="minorHAnsi"/>
          <w:b/>
        </w:rPr>
        <w:t>Presunto incumplimiento en Publicidad en peajes</w:t>
      </w:r>
    </w:p>
    <w:p w:rsidR="00EB3BC8" w:rsidRPr="00795720" w:rsidRDefault="00EB3BC8" w:rsidP="00795720">
      <w:pPr>
        <w:tabs>
          <w:tab w:val="left" w:pos="426"/>
        </w:tabs>
        <w:jc w:val="both"/>
        <w:rPr>
          <w:rFonts w:cstheme="minorHAnsi"/>
        </w:rPr>
      </w:pPr>
      <w:r w:rsidRPr="00795720">
        <w:rPr>
          <w:rFonts w:cstheme="minorHAnsi"/>
        </w:rPr>
        <w:t>Continúa en el tribunal de Arbitramento, en el trámite procesal respectivo.</w:t>
      </w:r>
    </w:p>
    <w:p w:rsidR="00EB3BC8" w:rsidRPr="001A3142" w:rsidRDefault="00EB3BC8" w:rsidP="001A3142">
      <w:pPr>
        <w:tabs>
          <w:tab w:val="left" w:pos="426"/>
        </w:tabs>
        <w:jc w:val="both"/>
        <w:rPr>
          <w:rFonts w:cstheme="minorHAnsi"/>
          <w:b/>
        </w:rPr>
      </w:pPr>
      <w:r w:rsidRPr="001A3142">
        <w:rPr>
          <w:rFonts w:cstheme="minorHAnsi"/>
          <w:b/>
        </w:rPr>
        <w:t>Sentencia judicial puente peatonal Briceño</w:t>
      </w:r>
    </w:p>
    <w:p w:rsidR="00EB3BC8" w:rsidRPr="001A3142" w:rsidRDefault="00EB3BC8" w:rsidP="001A3142">
      <w:pPr>
        <w:tabs>
          <w:tab w:val="left" w:pos="426"/>
        </w:tabs>
        <w:jc w:val="both"/>
        <w:rPr>
          <w:rFonts w:cstheme="minorHAnsi"/>
        </w:rPr>
      </w:pPr>
      <w:r w:rsidRPr="001A3142">
        <w:rPr>
          <w:rFonts w:cstheme="minorHAnsi"/>
        </w:rPr>
        <w:t xml:space="preserve">Se suscribió el 13 de Marzo de 2014, el acta de inicio del Otrosí al Contrato de Concesión No. 664 de 1994, suscrito el 7 de febrero de 2014, cuyo objeto es: “Contratar con la Unión Temporal Concesionaria del Proyecto de Concesión Vial “Desarrollo Vial del Norte de Bogotá”, la ejecución de las actividades de repotenciación y rehabilitación del puente peatonal “Briceño”, localizado en el K19+600 aproximadamente, en la ruta COD INVIAS 55A01, incluyendo su mantenimiento rutinario hasta la terminación del Contrato de Concesión No. 664 de 1994, en cumplimiento del fallo de acción popular del H. Tribunal Administrativo de Cundinamarca, Sección Primera, Subsección “A” del 22 de noviembre de 2012”.  </w:t>
      </w:r>
    </w:p>
    <w:p w:rsidR="00EB3BC8" w:rsidRPr="00C72016" w:rsidRDefault="00EB3BC8" w:rsidP="00EB3BC8">
      <w:pPr>
        <w:tabs>
          <w:tab w:val="left" w:pos="426"/>
        </w:tabs>
        <w:spacing w:after="0"/>
        <w:jc w:val="both"/>
        <w:rPr>
          <w:rFonts w:ascii="Arial" w:hAnsi="Arial" w:cs="Arial"/>
          <w:i/>
        </w:rPr>
      </w:pPr>
    </w:p>
    <w:p w:rsidR="00EB3BC8" w:rsidRPr="00285D6E" w:rsidRDefault="00EB3BC8" w:rsidP="00EB3BC8">
      <w:pPr>
        <w:tabs>
          <w:tab w:val="left" w:pos="426"/>
        </w:tabs>
        <w:spacing w:after="0"/>
        <w:jc w:val="both"/>
        <w:rPr>
          <w:rFonts w:cstheme="minorHAnsi"/>
        </w:rPr>
      </w:pPr>
      <w:r w:rsidRPr="00285D6E">
        <w:rPr>
          <w:rFonts w:cstheme="minorHAnsi"/>
        </w:rPr>
        <w:t>La obra finalizó a comienzos de Julio de 2014. Actualmente, se encuentra en trámite el pago al Concesionario de las obras ejecutadas en cumplimiento al otrosí del 7 de febrero de 2014, toda vez que el pasado 24 de abril de 2015, se suscribió la certificación de recibo a satisfacción de las obras.</w:t>
      </w:r>
    </w:p>
    <w:p w:rsidR="00EB3BC8" w:rsidRPr="00C72016" w:rsidRDefault="00EB3BC8" w:rsidP="00EB3BC8">
      <w:pPr>
        <w:tabs>
          <w:tab w:val="left" w:pos="426"/>
        </w:tabs>
        <w:spacing w:after="0"/>
        <w:jc w:val="both"/>
        <w:rPr>
          <w:rFonts w:ascii="Arial" w:hAnsi="Arial" w:cs="Arial"/>
          <w:lang w:val="es-419"/>
        </w:rPr>
      </w:pPr>
    </w:p>
    <w:p w:rsidR="00EB3BC8" w:rsidRPr="00285D6E" w:rsidRDefault="00EB3BC8" w:rsidP="00285D6E">
      <w:pPr>
        <w:tabs>
          <w:tab w:val="left" w:pos="426"/>
        </w:tabs>
        <w:jc w:val="both"/>
        <w:rPr>
          <w:rFonts w:cstheme="minorHAnsi"/>
          <w:b/>
        </w:rPr>
      </w:pPr>
      <w:r w:rsidRPr="00285D6E">
        <w:rPr>
          <w:rFonts w:cstheme="minorHAnsi"/>
          <w:b/>
        </w:rPr>
        <w:t>Variantes Sopo y Cajicá</w:t>
      </w:r>
    </w:p>
    <w:p w:rsidR="00EB3BC8" w:rsidRPr="00285D6E" w:rsidRDefault="00EB3BC8" w:rsidP="00EB3BC8">
      <w:pPr>
        <w:tabs>
          <w:tab w:val="left" w:pos="426"/>
        </w:tabs>
        <w:spacing w:after="0"/>
        <w:jc w:val="both"/>
        <w:rPr>
          <w:rFonts w:cstheme="minorHAnsi"/>
        </w:rPr>
      </w:pPr>
      <w:r w:rsidRPr="00285D6E">
        <w:rPr>
          <w:rFonts w:cstheme="minorHAnsi"/>
        </w:rPr>
        <w:t>En la actualidad el Concesionario está adelantando la elaboración de los Estudios y Diseños de las Variantes Sopó (Briceño-Pueblo Viejo-Las Manas) y Cajicá (El Molino-Canelón), en cumplimiento a lo establecido en el otrosí No. 57 del 30 de abril de 2015.</w:t>
      </w:r>
    </w:p>
    <w:p w:rsidR="00EB3BC8" w:rsidRDefault="00EB3BC8" w:rsidP="00EB3BC8">
      <w:pPr>
        <w:tabs>
          <w:tab w:val="left" w:pos="426"/>
        </w:tabs>
        <w:spacing w:after="0" w:line="240" w:lineRule="auto"/>
        <w:jc w:val="both"/>
        <w:rPr>
          <w:rFonts w:ascii="Arial" w:hAnsi="Arial" w:cs="Arial"/>
        </w:rPr>
      </w:pPr>
    </w:p>
    <w:p w:rsidR="00285D6E" w:rsidRPr="00285D6E" w:rsidRDefault="00285D6E" w:rsidP="00EB3BC8">
      <w:pPr>
        <w:tabs>
          <w:tab w:val="left" w:pos="426"/>
        </w:tabs>
        <w:spacing w:after="0" w:line="240" w:lineRule="auto"/>
        <w:jc w:val="both"/>
        <w:rPr>
          <w:rFonts w:ascii="Arial" w:hAnsi="Arial" w:cs="Arial"/>
        </w:rPr>
      </w:pPr>
    </w:p>
    <w:p w:rsidR="00EB3BC8" w:rsidRPr="00BC470F" w:rsidRDefault="00EB3BC8" w:rsidP="00EB3BC8">
      <w:pPr>
        <w:spacing w:line="240" w:lineRule="auto"/>
        <w:jc w:val="both"/>
        <w:rPr>
          <w:rFonts w:eastAsia="Times New Roman" w:cstheme="minorHAnsi"/>
          <w:b/>
          <w:lang w:val="es-ES"/>
        </w:rPr>
      </w:pPr>
      <w:r w:rsidRPr="00BC470F">
        <w:rPr>
          <w:rFonts w:eastAsia="Times New Roman" w:cstheme="minorHAnsi"/>
          <w:b/>
          <w:lang w:val="es-ES"/>
        </w:rPr>
        <w:t xml:space="preserve">8. INFORME DE GESTIÓN PROYECTO ZIPAQUIRA- BUCARAMANGA (PALENQUE) </w:t>
      </w:r>
    </w:p>
    <w:p w:rsidR="00EB3BC8" w:rsidRPr="00BC470F" w:rsidRDefault="00EB3BC8" w:rsidP="00BC470F">
      <w:pPr>
        <w:tabs>
          <w:tab w:val="left" w:pos="426"/>
        </w:tabs>
        <w:jc w:val="both"/>
        <w:rPr>
          <w:rFonts w:cstheme="minorHAnsi"/>
          <w:b/>
        </w:rPr>
      </w:pPr>
      <w:r w:rsidRPr="00BC470F">
        <w:rPr>
          <w:rFonts w:cstheme="minorHAnsi"/>
          <w:b/>
        </w:rPr>
        <w:t>Rehabilitación del Pavimento</w:t>
      </w:r>
    </w:p>
    <w:p w:rsidR="00EB3BC8" w:rsidRPr="00BC470F" w:rsidRDefault="00EB3BC8" w:rsidP="00EB3BC8">
      <w:pPr>
        <w:spacing w:line="240" w:lineRule="auto"/>
        <w:ind w:left="360"/>
        <w:jc w:val="both"/>
        <w:rPr>
          <w:rFonts w:cstheme="minorHAnsi"/>
        </w:rPr>
      </w:pPr>
      <w:r w:rsidRPr="00BC470F">
        <w:rPr>
          <w:rFonts w:cstheme="minorHAnsi"/>
        </w:rPr>
        <w:t>La actividad de Rehabilitación del Pavimento consiste en fresado de la parte superior de la carpeta asfáltica y reposición de la misma en espesores que varían entre los 3 y 4 cm. En el segundo trimestre de 2015 se ha adelantó esta actividad en 112 Km siendo los sectores continuos y principales de intervención los que se describen a continuación:</w:t>
      </w:r>
    </w:p>
    <w:p w:rsidR="00EB3BC8" w:rsidRPr="00BC470F" w:rsidRDefault="00EB3BC8" w:rsidP="000021B2">
      <w:pPr>
        <w:numPr>
          <w:ilvl w:val="0"/>
          <w:numId w:val="32"/>
        </w:numPr>
        <w:spacing w:after="160" w:line="240" w:lineRule="auto"/>
        <w:contextualSpacing/>
        <w:rPr>
          <w:rFonts w:eastAsiaTheme="minorHAnsi" w:cstheme="minorHAnsi"/>
          <w:color w:val="222222"/>
        </w:rPr>
      </w:pPr>
      <w:r w:rsidRPr="00BC470F">
        <w:rPr>
          <w:rFonts w:eastAsiaTheme="minorHAnsi" w:cstheme="minorHAnsi"/>
          <w:b/>
          <w:color w:val="222222"/>
        </w:rPr>
        <w:t>Frente Ubaté – Zipaquirá</w:t>
      </w:r>
    </w:p>
    <w:p w:rsidR="00EB3BC8" w:rsidRPr="00BC470F" w:rsidRDefault="00EB3BC8" w:rsidP="00EB3BC8">
      <w:pPr>
        <w:spacing w:line="240" w:lineRule="auto"/>
        <w:jc w:val="both"/>
        <w:rPr>
          <w:rFonts w:eastAsiaTheme="minorHAnsi" w:cstheme="minorHAnsi"/>
          <w:color w:val="222222"/>
        </w:rPr>
      </w:pPr>
      <w:r w:rsidRPr="00BC470F">
        <w:rPr>
          <w:rFonts w:eastAsiaTheme="minorHAnsi" w:cstheme="minorHAnsi"/>
          <w:color w:val="222222"/>
        </w:rPr>
        <w:t>En el segundo trimestre del año se intervino entre Ubaté y el sector de Cogua para una intervención en este frente correspondiente aproximadamente a 43.5 Km.</w:t>
      </w:r>
    </w:p>
    <w:p w:rsidR="00EB3BC8" w:rsidRPr="00BC470F" w:rsidRDefault="00EB3BC8" w:rsidP="000021B2">
      <w:pPr>
        <w:numPr>
          <w:ilvl w:val="0"/>
          <w:numId w:val="32"/>
        </w:numPr>
        <w:spacing w:after="160" w:line="240" w:lineRule="auto"/>
        <w:contextualSpacing/>
        <w:rPr>
          <w:rFonts w:eastAsiaTheme="minorHAnsi" w:cstheme="minorHAnsi"/>
          <w:b/>
          <w:color w:val="222222"/>
        </w:rPr>
      </w:pPr>
      <w:r w:rsidRPr="00BC470F">
        <w:rPr>
          <w:rFonts w:eastAsiaTheme="minorHAnsi" w:cstheme="minorHAnsi"/>
          <w:b/>
          <w:color w:val="222222"/>
        </w:rPr>
        <w:t>Barbosa - Santana</w:t>
      </w:r>
    </w:p>
    <w:p w:rsidR="00EB3BC8" w:rsidRPr="00BC470F" w:rsidRDefault="00EB3BC8" w:rsidP="00EB3BC8">
      <w:pPr>
        <w:spacing w:line="240" w:lineRule="auto"/>
        <w:jc w:val="both"/>
        <w:rPr>
          <w:rFonts w:eastAsiaTheme="minorHAnsi" w:cstheme="minorHAnsi"/>
          <w:color w:val="222222"/>
        </w:rPr>
      </w:pPr>
      <w:r w:rsidRPr="00BC470F">
        <w:rPr>
          <w:rFonts w:eastAsiaTheme="minorHAnsi" w:cstheme="minorHAnsi"/>
          <w:color w:val="222222"/>
        </w:rPr>
        <w:t>En el segundo trimestre del año se intervino entre el PR5 45 A06 y el PR 15 de la misma ruta sector Casablanca, para una intervención en este frente correspondiente aproximadamente a 9 Km.</w:t>
      </w:r>
    </w:p>
    <w:p w:rsidR="00EB3BC8" w:rsidRPr="00BC470F" w:rsidRDefault="00EB3BC8" w:rsidP="000021B2">
      <w:pPr>
        <w:numPr>
          <w:ilvl w:val="0"/>
          <w:numId w:val="32"/>
        </w:numPr>
        <w:spacing w:after="160" w:line="240" w:lineRule="auto"/>
        <w:contextualSpacing/>
        <w:jc w:val="both"/>
        <w:rPr>
          <w:rFonts w:eastAsiaTheme="minorHAnsi" w:cstheme="minorHAnsi"/>
          <w:b/>
          <w:color w:val="222222"/>
        </w:rPr>
      </w:pPr>
      <w:r w:rsidRPr="00BC470F">
        <w:rPr>
          <w:rFonts w:eastAsiaTheme="minorHAnsi" w:cstheme="minorHAnsi"/>
          <w:b/>
          <w:color w:val="222222"/>
        </w:rPr>
        <w:t>Frente Aratoca - Floridablanca</w:t>
      </w:r>
    </w:p>
    <w:p w:rsidR="00EB3BC8" w:rsidRPr="00BC470F" w:rsidRDefault="00EB3BC8" w:rsidP="00EB3BC8">
      <w:pPr>
        <w:spacing w:line="240" w:lineRule="auto"/>
        <w:jc w:val="both"/>
        <w:rPr>
          <w:rFonts w:eastAsiaTheme="minorHAnsi" w:cstheme="minorHAnsi"/>
          <w:color w:val="222222"/>
        </w:rPr>
      </w:pPr>
      <w:r w:rsidRPr="00BC470F">
        <w:rPr>
          <w:rFonts w:eastAsiaTheme="minorHAnsi" w:cstheme="minorHAnsi"/>
          <w:color w:val="222222"/>
        </w:rPr>
        <w:t>En el segundo trimestre del año se intervino entre el PR25 45 A07 y el municipio de Floridablanca, para una intervención en este frente correspondiente aproximadamente a 37.9 Km.</w:t>
      </w:r>
    </w:p>
    <w:p w:rsidR="00EB3BC8" w:rsidRPr="007810ED" w:rsidRDefault="00EB3BC8" w:rsidP="00EB3BC8">
      <w:pPr>
        <w:spacing w:line="240" w:lineRule="auto"/>
        <w:jc w:val="both"/>
        <w:rPr>
          <w:rFonts w:ascii="Arial" w:eastAsiaTheme="minorHAnsi" w:hAnsi="Arial" w:cs="Arial"/>
          <w:color w:val="222222"/>
        </w:rPr>
      </w:pPr>
    </w:p>
    <w:p w:rsidR="00EB3BC8" w:rsidRPr="00BC470F" w:rsidRDefault="00EB3BC8" w:rsidP="00EB3BC8">
      <w:pPr>
        <w:spacing w:line="240" w:lineRule="auto"/>
        <w:jc w:val="both"/>
        <w:rPr>
          <w:rFonts w:eastAsiaTheme="minorHAnsi" w:cstheme="minorHAnsi"/>
          <w:color w:val="222222"/>
        </w:rPr>
      </w:pPr>
      <w:r w:rsidRPr="00BC470F">
        <w:rPr>
          <w:rFonts w:eastAsiaTheme="minorHAnsi" w:cstheme="minorHAnsi"/>
          <w:color w:val="222222"/>
        </w:rPr>
        <w:t>Sobre el avance obtenido en el trimestre a continuación se presenta la tabla comparativa.</w:t>
      </w:r>
    </w:p>
    <w:tbl>
      <w:tblPr>
        <w:tblW w:w="5360" w:type="dxa"/>
        <w:jc w:val="center"/>
        <w:tblCellMar>
          <w:left w:w="70" w:type="dxa"/>
          <w:right w:w="70" w:type="dxa"/>
        </w:tblCellMar>
        <w:tblLook w:val="04A0" w:firstRow="1" w:lastRow="0" w:firstColumn="1" w:lastColumn="0" w:noHBand="0" w:noVBand="1"/>
      </w:tblPr>
      <w:tblGrid>
        <w:gridCol w:w="1480"/>
        <w:gridCol w:w="1200"/>
        <w:gridCol w:w="1200"/>
        <w:gridCol w:w="1480"/>
      </w:tblGrid>
      <w:tr w:rsidR="00EB3BC8" w:rsidRPr="00BC470F" w:rsidTr="005E52E0">
        <w:trPr>
          <w:trHeight w:val="630"/>
          <w:jc w:val="center"/>
        </w:trPr>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Mes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Meta</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Ejecutado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%Ejecución</w:t>
            </w:r>
          </w:p>
        </w:tc>
      </w:tr>
      <w:tr w:rsidR="00EB3BC8" w:rsidRPr="00BC470F" w:rsidTr="005E52E0">
        <w:trPr>
          <w:trHeight w:val="315"/>
          <w:jc w:val="center"/>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Abril</w:t>
            </w:r>
          </w:p>
        </w:tc>
        <w:tc>
          <w:tcPr>
            <w:tcW w:w="120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47</w:t>
            </w:r>
          </w:p>
        </w:tc>
        <w:tc>
          <w:tcPr>
            <w:tcW w:w="120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34.9</w:t>
            </w:r>
          </w:p>
        </w:tc>
        <w:tc>
          <w:tcPr>
            <w:tcW w:w="148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74.26</w:t>
            </w:r>
          </w:p>
        </w:tc>
      </w:tr>
      <w:tr w:rsidR="00EB3BC8" w:rsidRPr="00BC470F" w:rsidTr="005E52E0">
        <w:trPr>
          <w:trHeight w:val="315"/>
          <w:jc w:val="center"/>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Mayo</w:t>
            </w:r>
          </w:p>
        </w:tc>
        <w:tc>
          <w:tcPr>
            <w:tcW w:w="120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50.6</w:t>
            </w:r>
          </w:p>
        </w:tc>
        <w:tc>
          <w:tcPr>
            <w:tcW w:w="120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63.9</w:t>
            </w:r>
          </w:p>
        </w:tc>
        <w:tc>
          <w:tcPr>
            <w:tcW w:w="148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126.28</w:t>
            </w:r>
          </w:p>
        </w:tc>
      </w:tr>
      <w:tr w:rsidR="00EB3BC8" w:rsidRPr="00BC470F" w:rsidTr="005E52E0">
        <w:trPr>
          <w:trHeight w:val="315"/>
          <w:jc w:val="center"/>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Junio</w:t>
            </w:r>
          </w:p>
        </w:tc>
        <w:tc>
          <w:tcPr>
            <w:tcW w:w="120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55.6</w:t>
            </w:r>
          </w:p>
        </w:tc>
        <w:tc>
          <w:tcPr>
            <w:tcW w:w="120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13.1</w:t>
            </w:r>
          </w:p>
        </w:tc>
        <w:tc>
          <w:tcPr>
            <w:tcW w:w="148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color w:val="000000"/>
                <w:lang w:eastAsia="es-MX"/>
              </w:rPr>
            </w:pPr>
            <w:r w:rsidRPr="00BC470F">
              <w:rPr>
                <w:rFonts w:eastAsia="Times New Roman" w:cstheme="minorHAnsi"/>
                <w:color w:val="000000"/>
                <w:lang w:eastAsia="es-MX"/>
              </w:rPr>
              <w:t>23.56</w:t>
            </w:r>
          </w:p>
        </w:tc>
      </w:tr>
      <w:tr w:rsidR="00EB3BC8" w:rsidRPr="00BC470F" w:rsidTr="005E52E0">
        <w:trPr>
          <w:trHeight w:val="315"/>
          <w:jc w:val="center"/>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Trimestre 2</w:t>
            </w:r>
          </w:p>
        </w:tc>
        <w:tc>
          <w:tcPr>
            <w:tcW w:w="120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153.2</w:t>
            </w:r>
          </w:p>
        </w:tc>
        <w:tc>
          <w:tcPr>
            <w:tcW w:w="120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111.9</w:t>
            </w:r>
          </w:p>
        </w:tc>
        <w:tc>
          <w:tcPr>
            <w:tcW w:w="1480" w:type="dxa"/>
            <w:tcBorders>
              <w:top w:val="nil"/>
              <w:left w:val="nil"/>
              <w:bottom w:val="single" w:sz="4" w:space="0" w:color="auto"/>
              <w:right w:val="single" w:sz="4" w:space="0" w:color="auto"/>
            </w:tcBorders>
            <w:shd w:val="clear" w:color="000000" w:fill="FFFFFF"/>
            <w:vAlign w:val="center"/>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73.04</w:t>
            </w:r>
          </w:p>
        </w:tc>
      </w:tr>
    </w:tbl>
    <w:p w:rsidR="00BC470F" w:rsidRDefault="00BC470F" w:rsidP="00BC470F">
      <w:pPr>
        <w:spacing w:after="160" w:line="240" w:lineRule="auto"/>
        <w:contextualSpacing/>
        <w:jc w:val="both"/>
        <w:rPr>
          <w:rFonts w:ascii="Arial" w:eastAsiaTheme="minorHAnsi" w:hAnsi="Arial" w:cs="Arial"/>
          <w:b/>
          <w:color w:val="222222"/>
        </w:rPr>
      </w:pPr>
    </w:p>
    <w:p w:rsidR="00EB3BC8" w:rsidRPr="00BC470F" w:rsidRDefault="00EB3BC8" w:rsidP="00BC470F">
      <w:pPr>
        <w:spacing w:after="160" w:line="240" w:lineRule="auto"/>
        <w:contextualSpacing/>
        <w:jc w:val="both"/>
        <w:rPr>
          <w:rFonts w:eastAsiaTheme="minorHAnsi" w:cstheme="minorHAnsi"/>
          <w:b/>
          <w:color w:val="222222"/>
        </w:rPr>
      </w:pPr>
      <w:r w:rsidRPr="00BC470F">
        <w:rPr>
          <w:rFonts w:eastAsiaTheme="minorHAnsi" w:cstheme="minorHAnsi"/>
          <w:b/>
          <w:color w:val="222222"/>
        </w:rPr>
        <w:t>Intervención de Sitios Críticos</w:t>
      </w:r>
    </w:p>
    <w:p w:rsidR="00EB3BC8" w:rsidRPr="00BC470F" w:rsidRDefault="00EB3BC8" w:rsidP="00EB3BC8">
      <w:pPr>
        <w:spacing w:line="240" w:lineRule="auto"/>
        <w:jc w:val="both"/>
        <w:rPr>
          <w:rFonts w:eastAsiaTheme="minorHAnsi" w:cstheme="minorHAnsi"/>
        </w:rPr>
      </w:pPr>
      <w:r w:rsidRPr="00BC470F">
        <w:rPr>
          <w:rFonts w:eastAsiaTheme="minorHAnsi" w:cstheme="minorHAnsi"/>
        </w:rPr>
        <w:t>En el transcurso del trimestre se trabajó en 15 sitios críticos (2, 3, 10, 12, 13, 14, 15, 16, 17, 19, 23, 25, 30, 34, 36, 40, 45, 46, 48, 49, 52, 64, 65, 68, 76, 81), teniéndose al corte 14 sitios con avances igual o superior al 90% (sitios 3, 10, 12, 14, 16, 17, 19, 23, 30, 40, 64, 68, 76, 81).</w:t>
      </w:r>
    </w:p>
    <w:p w:rsidR="00EB3BC8" w:rsidRPr="00BC470F" w:rsidRDefault="00EB3BC8" w:rsidP="00EB3BC8">
      <w:pPr>
        <w:spacing w:line="240" w:lineRule="auto"/>
        <w:jc w:val="both"/>
        <w:rPr>
          <w:rFonts w:eastAsiaTheme="minorHAnsi" w:cstheme="minorHAnsi"/>
        </w:rPr>
      </w:pPr>
      <w:r w:rsidRPr="00BC470F">
        <w:rPr>
          <w:rFonts w:eastAsiaTheme="minorHAnsi" w:cstheme="minorHAnsi"/>
        </w:rPr>
        <w:lastRenderedPageBreak/>
        <w:t>El avance estimado con corte al segundo trimestre de 2015 se presenta en la tabla siguiente:</w:t>
      </w:r>
    </w:p>
    <w:tbl>
      <w:tblPr>
        <w:tblW w:w="3060" w:type="dxa"/>
        <w:jc w:val="center"/>
        <w:tblCellMar>
          <w:left w:w="70" w:type="dxa"/>
          <w:right w:w="70" w:type="dxa"/>
        </w:tblCellMar>
        <w:tblLook w:val="04A0" w:firstRow="1" w:lastRow="0" w:firstColumn="1" w:lastColumn="0" w:noHBand="0" w:noVBand="1"/>
      </w:tblPr>
      <w:tblGrid>
        <w:gridCol w:w="1680"/>
        <w:gridCol w:w="1380"/>
      </w:tblGrid>
      <w:tr w:rsidR="00EB3BC8" w:rsidRPr="00BC470F" w:rsidTr="005E52E0">
        <w:trPr>
          <w:cantSplit/>
          <w:trHeight w:val="300"/>
          <w:tblHeader/>
          <w:jc w:val="center"/>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Puntos Críticos</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EB3BC8" w:rsidRPr="00BC470F" w:rsidRDefault="00EB3BC8" w:rsidP="005E52E0">
            <w:pPr>
              <w:spacing w:after="0" w:line="240" w:lineRule="auto"/>
              <w:jc w:val="center"/>
              <w:rPr>
                <w:rFonts w:eastAsia="Times New Roman" w:cstheme="minorHAnsi"/>
                <w:b/>
                <w:bCs/>
                <w:color w:val="000000"/>
                <w:lang w:eastAsia="es-MX"/>
              </w:rPr>
            </w:pPr>
            <w:r w:rsidRPr="00BC470F">
              <w:rPr>
                <w:rFonts w:eastAsia="Times New Roman" w:cstheme="minorHAnsi"/>
                <w:b/>
                <w:bCs/>
                <w:color w:val="000000"/>
                <w:lang w:eastAsia="es-MX"/>
              </w:rPr>
              <w:t>Acumulado</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2</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70.0%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3</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98.0%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10</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99.0%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12</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97.0%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13</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3.0%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14</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95.0%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15</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5.0%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16</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98.0%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17</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98.0%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19</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94.0%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23</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97.0%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25</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25.0%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30</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98.0%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34</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5.0%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36</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5.0%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40</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98.0%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45</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40.0%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46</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50.0%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48</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20.0%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49</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20.0%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52</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4.0%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64</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97.0%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65</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15.0%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68</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92.0%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76</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92.0%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lang w:eastAsia="es-MX"/>
              </w:rPr>
            </w:pPr>
            <w:r w:rsidRPr="00BC470F">
              <w:rPr>
                <w:rFonts w:eastAsia="Times New Roman" w:cstheme="minorHAnsi"/>
                <w:lang w:eastAsia="es-MX"/>
              </w:rPr>
              <w:t>Sitio crítico 81</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lang w:eastAsia="es-MX"/>
              </w:rPr>
            </w:pPr>
            <w:r w:rsidRPr="00BC470F">
              <w:rPr>
                <w:rFonts w:eastAsia="Times New Roman" w:cstheme="minorHAnsi"/>
                <w:lang w:eastAsia="es-MX"/>
              </w:rPr>
              <w:t>90.0%</w:t>
            </w:r>
          </w:p>
        </w:tc>
      </w:tr>
      <w:tr w:rsidR="00EB3BC8" w:rsidRPr="00BC470F" w:rsidTr="005E52E0">
        <w:trPr>
          <w:cantSplit/>
          <w:trHeight w:val="300"/>
          <w:jc w:val="center"/>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b/>
                <w:bCs/>
                <w:lang w:eastAsia="es-MX"/>
              </w:rPr>
            </w:pPr>
            <w:r w:rsidRPr="00BC470F">
              <w:rPr>
                <w:rFonts w:eastAsia="Times New Roman" w:cstheme="minorHAnsi"/>
                <w:b/>
                <w:bCs/>
                <w:lang w:eastAsia="es-MX"/>
              </w:rPr>
              <w:t>Avance PC</w:t>
            </w:r>
          </w:p>
        </w:tc>
        <w:tc>
          <w:tcPr>
            <w:tcW w:w="1380" w:type="dxa"/>
            <w:tcBorders>
              <w:top w:val="nil"/>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jc w:val="right"/>
              <w:rPr>
                <w:rFonts w:eastAsia="Times New Roman" w:cstheme="minorHAnsi"/>
                <w:b/>
                <w:bCs/>
                <w:lang w:eastAsia="es-MX"/>
              </w:rPr>
            </w:pPr>
            <w:r w:rsidRPr="00BC470F">
              <w:rPr>
                <w:rFonts w:eastAsia="Times New Roman" w:cstheme="minorHAnsi"/>
                <w:b/>
                <w:bCs/>
                <w:lang w:eastAsia="es-MX"/>
              </w:rPr>
              <w:t>39.1%</w:t>
            </w:r>
          </w:p>
        </w:tc>
      </w:tr>
    </w:tbl>
    <w:p w:rsidR="00EB3BC8" w:rsidRPr="00BC470F" w:rsidRDefault="00EB3BC8" w:rsidP="00EB3BC8">
      <w:pPr>
        <w:pStyle w:val="Prrafodelista"/>
        <w:spacing w:line="240" w:lineRule="auto"/>
        <w:rPr>
          <w:rFonts w:eastAsiaTheme="minorHAnsi" w:cstheme="minorHAnsi"/>
          <w:b/>
        </w:rPr>
      </w:pPr>
    </w:p>
    <w:p w:rsidR="00EB3BC8" w:rsidRPr="00BC470F" w:rsidRDefault="00EB3BC8" w:rsidP="00BC470F">
      <w:pPr>
        <w:spacing w:after="160" w:line="240" w:lineRule="auto"/>
        <w:rPr>
          <w:rFonts w:eastAsiaTheme="minorHAnsi" w:cstheme="minorHAnsi"/>
          <w:b/>
        </w:rPr>
      </w:pPr>
      <w:r w:rsidRPr="00BC470F">
        <w:rPr>
          <w:rFonts w:eastAsiaTheme="minorHAnsi" w:cstheme="minorHAnsi"/>
          <w:b/>
        </w:rPr>
        <w:t>Puentes Peatonales</w:t>
      </w:r>
    </w:p>
    <w:p w:rsidR="00EB3BC8" w:rsidRPr="00BC470F" w:rsidRDefault="00EB3BC8" w:rsidP="00EB3BC8">
      <w:pPr>
        <w:spacing w:line="240" w:lineRule="auto"/>
        <w:jc w:val="both"/>
        <w:rPr>
          <w:rFonts w:eastAsiaTheme="minorHAnsi" w:cstheme="minorHAnsi"/>
        </w:rPr>
      </w:pPr>
      <w:r w:rsidRPr="00BC470F">
        <w:rPr>
          <w:rFonts w:eastAsiaTheme="minorHAnsi" w:cstheme="minorHAnsi"/>
        </w:rPr>
        <w:t>Durante el segundo trimestre de 2015 se adelantaron actividades en la totalidad de peatonales presentando el avance acumulado siguiente:</w:t>
      </w:r>
    </w:p>
    <w:tbl>
      <w:tblPr>
        <w:tblW w:w="4806" w:type="dxa"/>
        <w:jc w:val="center"/>
        <w:tblCellMar>
          <w:left w:w="70" w:type="dxa"/>
          <w:right w:w="70" w:type="dxa"/>
        </w:tblCellMar>
        <w:tblLook w:val="04A0" w:firstRow="1" w:lastRow="0" w:firstColumn="1" w:lastColumn="0" w:noHBand="0" w:noVBand="1"/>
      </w:tblPr>
      <w:tblGrid>
        <w:gridCol w:w="3823"/>
        <w:gridCol w:w="983"/>
      </w:tblGrid>
      <w:tr w:rsidR="00EB3BC8" w:rsidRPr="00BC470F" w:rsidTr="005E52E0">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jc w:val="center"/>
              <w:rPr>
                <w:rFonts w:eastAsia="Times New Roman" w:cstheme="minorHAnsi"/>
                <w:b/>
                <w:bCs/>
                <w:lang w:eastAsia="es-MX"/>
              </w:rPr>
            </w:pPr>
            <w:r w:rsidRPr="00BC470F">
              <w:rPr>
                <w:rFonts w:eastAsia="Times New Roman" w:cstheme="minorHAnsi"/>
                <w:b/>
                <w:bCs/>
                <w:lang w:eastAsia="es-MX"/>
              </w:rPr>
              <w:t>Peatonales</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EB3BC8" w:rsidRPr="00BC470F" w:rsidRDefault="00EB3BC8" w:rsidP="005E52E0">
            <w:pPr>
              <w:spacing w:after="0" w:line="240" w:lineRule="auto"/>
              <w:rPr>
                <w:rFonts w:eastAsia="Times New Roman" w:cstheme="minorHAnsi"/>
                <w:b/>
                <w:bCs/>
                <w:lang w:eastAsia="es-MX"/>
              </w:rPr>
            </w:pPr>
            <w:r w:rsidRPr="00BC470F">
              <w:rPr>
                <w:rFonts w:eastAsia="Times New Roman" w:cstheme="minorHAnsi"/>
                <w:b/>
                <w:bCs/>
                <w:lang w:eastAsia="es-MX"/>
              </w:rPr>
              <w:t>Avance a Junio/15</w:t>
            </w:r>
          </w:p>
        </w:tc>
      </w:tr>
      <w:tr w:rsidR="00EB3BC8" w:rsidRPr="00BC470F" w:rsidTr="005E52E0">
        <w:trPr>
          <w:trHeight w:val="300"/>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rPr>
                <w:rFonts w:eastAsia="Times New Roman" w:cstheme="minorHAnsi"/>
                <w:b/>
                <w:bCs/>
                <w:lang w:eastAsia="es-MX"/>
              </w:rPr>
            </w:pPr>
            <w:r w:rsidRPr="00BC470F">
              <w:rPr>
                <w:rFonts w:eastAsia="Times New Roman" w:cstheme="minorHAnsi"/>
                <w:b/>
                <w:bCs/>
                <w:lang w:eastAsia="es-MX"/>
              </w:rPr>
              <w:t>Puente Peatonal de Zipaquirá - La Paz</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EB3BC8" w:rsidRPr="00BC470F" w:rsidRDefault="00EB3BC8" w:rsidP="005E52E0">
            <w:pPr>
              <w:spacing w:line="240" w:lineRule="auto"/>
              <w:jc w:val="center"/>
              <w:rPr>
                <w:rFonts w:eastAsiaTheme="minorHAnsi" w:cstheme="minorHAnsi"/>
                <w:b/>
                <w:bCs/>
              </w:rPr>
            </w:pPr>
            <w:r w:rsidRPr="00BC470F">
              <w:rPr>
                <w:rFonts w:eastAsiaTheme="minorHAnsi" w:cstheme="minorHAnsi"/>
                <w:b/>
                <w:bCs/>
              </w:rPr>
              <w:t>52.0%</w:t>
            </w:r>
          </w:p>
        </w:tc>
      </w:tr>
      <w:tr w:rsidR="00EB3BC8" w:rsidRPr="00BC470F" w:rsidTr="005E52E0">
        <w:trPr>
          <w:trHeight w:val="300"/>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rPr>
                <w:rFonts w:eastAsia="Times New Roman" w:cstheme="minorHAnsi"/>
                <w:b/>
                <w:bCs/>
                <w:lang w:eastAsia="es-MX"/>
              </w:rPr>
            </w:pPr>
            <w:r w:rsidRPr="00BC470F">
              <w:rPr>
                <w:rFonts w:eastAsia="Times New Roman" w:cstheme="minorHAnsi"/>
                <w:b/>
                <w:bCs/>
                <w:lang w:eastAsia="es-MX"/>
              </w:rPr>
              <w:t>Puente Peatonal de Zipaquirá - Santa Isabel</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EB3BC8" w:rsidRPr="00BC470F" w:rsidRDefault="00EB3BC8" w:rsidP="005E52E0">
            <w:pPr>
              <w:spacing w:line="240" w:lineRule="auto"/>
              <w:jc w:val="center"/>
              <w:rPr>
                <w:rFonts w:eastAsiaTheme="minorHAnsi" w:cstheme="minorHAnsi"/>
                <w:b/>
                <w:bCs/>
              </w:rPr>
            </w:pPr>
            <w:r w:rsidRPr="00BC470F">
              <w:rPr>
                <w:rFonts w:eastAsiaTheme="minorHAnsi" w:cstheme="minorHAnsi"/>
                <w:b/>
                <w:bCs/>
              </w:rPr>
              <w:t>80.0%</w:t>
            </w:r>
          </w:p>
        </w:tc>
      </w:tr>
      <w:tr w:rsidR="00EB3BC8" w:rsidRPr="00BC470F" w:rsidTr="005E52E0">
        <w:trPr>
          <w:trHeight w:val="300"/>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rPr>
                <w:rFonts w:eastAsia="Times New Roman" w:cstheme="minorHAnsi"/>
                <w:b/>
                <w:bCs/>
                <w:lang w:eastAsia="es-MX"/>
              </w:rPr>
            </w:pPr>
            <w:r w:rsidRPr="00BC470F">
              <w:rPr>
                <w:rFonts w:eastAsia="Times New Roman" w:cstheme="minorHAnsi"/>
                <w:b/>
                <w:bCs/>
                <w:lang w:eastAsia="es-MX"/>
              </w:rPr>
              <w:t>Puente Peatonal Ruta 45A-04 Cruce vía Cogua</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EB3BC8" w:rsidRPr="00BC470F" w:rsidRDefault="00EB3BC8" w:rsidP="005E52E0">
            <w:pPr>
              <w:spacing w:line="240" w:lineRule="auto"/>
              <w:jc w:val="center"/>
              <w:rPr>
                <w:rFonts w:eastAsiaTheme="minorHAnsi" w:cstheme="minorHAnsi"/>
                <w:b/>
                <w:bCs/>
              </w:rPr>
            </w:pPr>
            <w:r w:rsidRPr="00BC470F">
              <w:rPr>
                <w:rFonts w:eastAsiaTheme="minorHAnsi" w:cstheme="minorHAnsi"/>
                <w:b/>
                <w:bCs/>
              </w:rPr>
              <w:t>85.0%</w:t>
            </w:r>
          </w:p>
        </w:tc>
      </w:tr>
      <w:tr w:rsidR="00EB3BC8" w:rsidRPr="00BC470F" w:rsidTr="005E52E0">
        <w:trPr>
          <w:trHeight w:val="300"/>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rPr>
                <w:rFonts w:eastAsia="Times New Roman" w:cstheme="minorHAnsi"/>
                <w:b/>
                <w:bCs/>
                <w:lang w:eastAsia="es-MX"/>
              </w:rPr>
            </w:pPr>
            <w:r w:rsidRPr="00BC470F">
              <w:rPr>
                <w:rFonts w:eastAsia="Times New Roman" w:cstheme="minorHAnsi"/>
                <w:b/>
                <w:bCs/>
                <w:lang w:eastAsia="es-MX"/>
              </w:rPr>
              <w:lastRenderedPageBreak/>
              <w:t>Puente Peatonal Ruta 45A-04 Cruce vía Nemocón</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EB3BC8" w:rsidRPr="00BC470F" w:rsidRDefault="00EB3BC8" w:rsidP="005E52E0">
            <w:pPr>
              <w:spacing w:line="240" w:lineRule="auto"/>
              <w:jc w:val="center"/>
              <w:rPr>
                <w:rFonts w:eastAsiaTheme="minorHAnsi" w:cstheme="minorHAnsi"/>
                <w:b/>
                <w:bCs/>
              </w:rPr>
            </w:pPr>
            <w:r w:rsidRPr="00BC470F">
              <w:rPr>
                <w:rFonts w:eastAsiaTheme="minorHAnsi" w:cstheme="minorHAnsi"/>
                <w:b/>
                <w:bCs/>
              </w:rPr>
              <w:t>35.0%</w:t>
            </w:r>
          </w:p>
        </w:tc>
      </w:tr>
      <w:tr w:rsidR="00EB3BC8" w:rsidRPr="00BC470F" w:rsidTr="005E52E0">
        <w:trPr>
          <w:trHeight w:val="465"/>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rPr>
                <w:rFonts w:eastAsia="Times New Roman" w:cstheme="minorHAnsi"/>
                <w:b/>
                <w:bCs/>
                <w:lang w:eastAsia="es-MX"/>
              </w:rPr>
            </w:pPr>
            <w:r w:rsidRPr="00BC470F">
              <w:rPr>
                <w:rFonts w:eastAsia="Times New Roman" w:cstheme="minorHAnsi"/>
                <w:b/>
                <w:bCs/>
                <w:lang w:eastAsia="es-MX"/>
              </w:rPr>
              <w:t>Puente Peatonal San Cristóbal (Pie de Cuesta) Ruta 45 A – 07 (PR 79+100)</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EB3BC8" w:rsidRPr="00BC470F" w:rsidRDefault="00EB3BC8" w:rsidP="005E52E0">
            <w:pPr>
              <w:spacing w:line="240" w:lineRule="auto"/>
              <w:jc w:val="center"/>
              <w:rPr>
                <w:rFonts w:eastAsiaTheme="minorHAnsi" w:cstheme="minorHAnsi"/>
                <w:b/>
                <w:bCs/>
              </w:rPr>
            </w:pPr>
            <w:r w:rsidRPr="00BC470F">
              <w:rPr>
                <w:rFonts w:eastAsiaTheme="minorHAnsi" w:cstheme="minorHAnsi"/>
                <w:b/>
                <w:bCs/>
              </w:rPr>
              <w:t>45.0%</w:t>
            </w:r>
          </w:p>
        </w:tc>
      </w:tr>
      <w:tr w:rsidR="00EB3BC8" w:rsidRPr="00BC470F" w:rsidTr="005E52E0">
        <w:trPr>
          <w:trHeight w:val="465"/>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EB3BC8" w:rsidRPr="00BC470F" w:rsidRDefault="00EB3BC8" w:rsidP="005E52E0">
            <w:pPr>
              <w:spacing w:after="0" w:line="240" w:lineRule="auto"/>
              <w:rPr>
                <w:rFonts w:eastAsia="Times New Roman" w:cstheme="minorHAnsi"/>
                <w:b/>
                <w:bCs/>
                <w:lang w:eastAsia="es-MX"/>
              </w:rPr>
            </w:pPr>
            <w:r w:rsidRPr="00BC470F">
              <w:rPr>
                <w:rFonts w:eastAsia="Times New Roman" w:cstheme="minorHAnsi"/>
                <w:b/>
                <w:bCs/>
                <w:lang w:eastAsia="es-MX"/>
              </w:rPr>
              <w:t>Puente Peatonal Cabecera de Llano( Pie de Cuesta ) Ruta 45 A – 07 (PR 79+300)</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EB3BC8" w:rsidRPr="00BC470F" w:rsidRDefault="00EB3BC8" w:rsidP="005E52E0">
            <w:pPr>
              <w:spacing w:line="240" w:lineRule="auto"/>
              <w:jc w:val="center"/>
              <w:rPr>
                <w:rFonts w:eastAsiaTheme="minorHAnsi" w:cstheme="minorHAnsi"/>
                <w:b/>
                <w:bCs/>
              </w:rPr>
            </w:pPr>
            <w:r w:rsidRPr="00BC470F">
              <w:rPr>
                <w:rFonts w:eastAsiaTheme="minorHAnsi" w:cstheme="minorHAnsi"/>
                <w:b/>
                <w:bCs/>
              </w:rPr>
              <w:t>49.0%</w:t>
            </w:r>
          </w:p>
        </w:tc>
      </w:tr>
    </w:tbl>
    <w:p w:rsidR="00EB3BC8" w:rsidRPr="00BC470F" w:rsidRDefault="00EB3BC8" w:rsidP="00EB3BC8">
      <w:pPr>
        <w:spacing w:line="240" w:lineRule="auto"/>
        <w:rPr>
          <w:rFonts w:eastAsiaTheme="minorHAnsi" w:cstheme="minorHAnsi"/>
        </w:rPr>
      </w:pPr>
    </w:p>
    <w:p w:rsidR="00EB3BC8" w:rsidRPr="00BC470F" w:rsidRDefault="00EB3BC8" w:rsidP="00EB3BC8">
      <w:pPr>
        <w:spacing w:line="240" w:lineRule="auto"/>
        <w:rPr>
          <w:rFonts w:eastAsiaTheme="minorHAnsi" w:cstheme="minorHAnsi"/>
        </w:rPr>
      </w:pPr>
      <w:r w:rsidRPr="00BC470F">
        <w:rPr>
          <w:rFonts w:eastAsiaTheme="minorHAnsi" w:cstheme="minorHAnsi"/>
        </w:rPr>
        <w:t>Para un avance acumulado aproximado de 58%.</w:t>
      </w:r>
    </w:p>
    <w:p w:rsidR="00EB3BC8" w:rsidRPr="007A534E" w:rsidRDefault="00EB3BC8" w:rsidP="007A534E">
      <w:pPr>
        <w:spacing w:after="160" w:line="240" w:lineRule="auto"/>
        <w:contextualSpacing/>
        <w:rPr>
          <w:rFonts w:eastAsiaTheme="minorHAnsi" w:cstheme="minorHAnsi"/>
          <w:b/>
        </w:rPr>
      </w:pPr>
      <w:r w:rsidRPr="007A534E">
        <w:rPr>
          <w:rFonts w:eastAsiaTheme="minorHAnsi" w:cstheme="minorHAnsi"/>
          <w:b/>
        </w:rPr>
        <w:t>Ajuste de la Meta</w:t>
      </w:r>
    </w:p>
    <w:p w:rsidR="00EB3BC8" w:rsidRPr="007A534E" w:rsidRDefault="00EB3BC8" w:rsidP="00EB3BC8">
      <w:pPr>
        <w:spacing w:line="240" w:lineRule="auto"/>
        <w:ind w:left="360"/>
        <w:jc w:val="both"/>
        <w:rPr>
          <w:rFonts w:eastAsiaTheme="minorHAnsi" w:cstheme="minorHAnsi"/>
        </w:rPr>
      </w:pPr>
      <w:r w:rsidRPr="007A534E">
        <w:rPr>
          <w:rFonts w:eastAsiaTheme="minorHAnsi" w:cstheme="minorHAnsi"/>
        </w:rPr>
        <w:t>Debido a las controversias que se han planteado por el Concesionario relacionadas con la ejecución y alcance de sitios críticos; autorización de municipios y temas sociales para los puentes peatonales, que la meta planteada inicialmente para el segundo trimestre del año no fue cumplida, sin embargo en cuanto a la meta global del año se considera que se terminarán todas las actividades en el transcurso del segundo semestre de 2015.</w:t>
      </w:r>
    </w:p>
    <w:p w:rsidR="00EB3BC8" w:rsidRPr="007810ED" w:rsidRDefault="00EB3BC8" w:rsidP="00EB3BC8">
      <w:pPr>
        <w:spacing w:line="240" w:lineRule="auto"/>
        <w:jc w:val="both"/>
        <w:rPr>
          <w:rFonts w:ascii="Arial" w:hAnsi="Arial" w:cs="Arial"/>
        </w:rPr>
      </w:pPr>
    </w:p>
    <w:p w:rsidR="00EB3BC8" w:rsidRPr="009E2B33" w:rsidRDefault="00EB3BC8" w:rsidP="009E2B33">
      <w:pPr>
        <w:spacing w:line="240" w:lineRule="auto"/>
        <w:jc w:val="both"/>
        <w:rPr>
          <w:rFonts w:eastAsia="Times New Roman" w:cstheme="minorHAnsi"/>
          <w:b/>
          <w:lang w:val="es-ES"/>
        </w:rPr>
      </w:pPr>
      <w:r w:rsidRPr="009E2B33">
        <w:rPr>
          <w:rFonts w:eastAsia="Times New Roman" w:cstheme="minorHAnsi"/>
          <w:b/>
          <w:lang w:val="es-ES"/>
        </w:rPr>
        <w:t xml:space="preserve">9. INFORME DE GESTIÓN PROYECTO BOGOTÁ VILLAVICENCIO </w:t>
      </w:r>
    </w:p>
    <w:p w:rsidR="00EB3BC8" w:rsidRPr="007810ED" w:rsidRDefault="00EB3BC8" w:rsidP="00EB3BC8">
      <w:pPr>
        <w:autoSpaceDE w:val="0"/>
        <w:autoSpaceDN w:val="0"/>
        <w:adjustRightInd w:val="0"/>
        <w:spacing w:after="0" w:line="240" w:lineRule="auto"/>
        <w:contextualSpacing/>
        <w:jc w:val="both"/>
        <w:rPr>
          <w:rFonts w:ascii="Arial" w:eastAsia="Times New Roman" w:hAnsi="Arial" w:cs="Arial"/>
          <w:b/>
          <w:lang w:val="es-ES" w:eastAsia="es-ES"/>
        </w:rPr>
      </w:pPr>
    </w:p>
    <w:p w:rsidR="00EB3BC8" w:rsidRPr="009E2B33" w:rsidRDefault="00DB790F" w:rsidP="009E2B33">
      <w:pPr>
        <w:spacing w:after="160" w:line="240" w:lineRule="auto"/>
        <w:contextualSpacing/>
        <w:rPr>
          <w:rFonts w:eastAsiaTheme="minorHAnsi" w:cstheme="minorHAnsi"/>
          <w:b/>
        </w:rPr>
      </w:pPr>
      <w:r w:rsidRPr="009E2B33">
        <w:rPr>
          <w:rFonts w:eastAsiaTheme="minorHAnsi" w:cstheme="minorHAnsi"/>
          <w:b/>
        </w:rPr>
        <w:t>Alcance adicional no. 1 de enero de 2010</w:t>
      </w:r>
    </w:p>
    <w:p w:rsidR="00EB3BC8" w:rsidRPr="007810ED" w:rsidRDefault="00EB3BC8" w:rsidP="00EB3BC8">
      <w:pPr>
        <w:autoSpaceDE w:val="0"/>
        <w:autoSpaceDN w:val="0"/>
        <w:adjustRightInd w:val="0"/>
        <w:spacing w:after="0" w:line="240" w:lineRule="auto"/>
        <w:ind w:left="720"/>
        <w:contextualSpacing/>
        <w:jc w:val="both"/>
        <w:rPr>
          <w:rFonts w:ascii="Arial" w:eastAsia="Times New Roman" w:hAnsi="Arial" w:cs="Arial"/>
          <w:b/>
          <w:lang w:val="es-ES" w:eastAsia="es-ES"/>
        </w:rPr>
      </w:pPr>
    </w:p>
    <w:p w:rsidR="00EB3BC8" w:rsidRPr="00DB790F" w:rsidRDefault="00EB3BC8" w:rsidP="00EB3BC8">
      <w:pPr>
        <w:autoSpaceDE w:val="0"/>
        <w:autoSpaceDN w:val="0"/>
        <w:adjustRightInd w:val="0"/>
        <w:spacing w:line="240" w:lineRule="auto"/>
        <w:jc w:val="both"/>
        <w:rPr>
          <w:rFonts w:eastAsiaTheme="minorHAnsi" w:cstheme="minorHAnsi"/>
        </w:rPr>
      </w:pPr>
      <w:r w:rsidRPr="00DB790F">
        <w:rPr>
          <w:rFonts w:eastAsiaTheme="minorHAnsi" w:cstheme="minorHAnsi"/>
        </w:rPr>
        <w:t xml:space="preserve">El alcance del Adicional No. 1 consiste, entre otros, en la ejecución de las obras civiles, eléctricas, electromecánicas, ambientales, sociales y prediales necesarias para la construcción de una vía nueva, las conectantes, retornos y, accesos veredales necesarios, así como el mejoramiento de algunos tramos de la vía existente; para la conformación de un par vial (Doble Calzada) entre el Km 34+100 y el Km 63+000 (28,9 Km), de la Carretera Bogotá Villavicencio, sector: El Tablón -Chirajara, con base en los diseños definitivos aprobados por la Interventoría de diseño Consorcio BILCES para los sectores 1, 2, 3, 3A, 4 y 4A, 1 A y 2A. </w:t>
      </w:r>
    </w:p>
    <w:p w:rsidR="00EB3BC8" w:rsidRPr="00DB790F" w:rsidRDefault="00EB3BC8" w:rsidP="00EB3BC8">
      <w:pPr>
        <w:autoSpaceDE w:val="0"/>
        <w:autoSpaceDN w:val="0"/>
        <w:adjustRightInd w:val="0"/>
        <w:spacing w:line="240" w:lineRule="auto"/>
        <w:jc w:val="both"/>
        <w:rPr>
          <w:rFonts w:eastAsiaTheme="minorHAnsi" w:cstheme="minorHAnsi"/>
        </w:rPr>
      </w:pPr>
      <w:r w:rsidRPr="00DB790F">
        <w:rPr>
          <w:rFonts w:eastAsiaTheme="minorHAnsi" w:cstheme="minorHAnsi"/>
        </w:rPr>
        <w:t>A continuación se relacionan  las obras a construir:</w:t>
      </w:r>
    </w:p>
    <w:p w:rsidR="00EB3BC8" w:rsidRPr="00DB790F" w:rsidRDefault="00EB3BC8" w:rsidP="00EB3BC8">
      <w:pPr>
        <w:autoSpaceDE w:val="0"/>
        <w:autoSpaceDN w:val="0"/>
        <w:adjustRightInd w:val="0"/>
        <w:spacing w:after="0" w:line="240" w:lineRule="auto"/>
        <w:jc w:val="center"/>
        <w:rPr>
          <w:rFonts w:eastAsiaTheme="minorHAnsi" w:cstheme="minorHAnsi"/>
        </w:rPr>
      </w:pPr>
      <w:r w:rsidRPr="00DB790F">
        <w:rPr>
          <w:rFonts w:eastAsiaTheme="minorHAnsi" w:cstheme="minorHAnsi"/>
          <w:noProof/>
        </w:rPr>
        <w:drawing>
          <wp:inline distT="0" distB="0" distL="0" distR="0" wp14:anchorId="47109B97" wp14:editId="632DDCCD">
            <wp:extent cx="5047619" cy="2352381"/>
            <wp:effectExtent l="0" t="0" r="63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047619" cy="2352381"/>
                    </a:xfrm>
                    <a:prstGeom prst="rect">
                      <a:avLst/>
                    </a:prstGeom>
                  </pic:spPr>
                </pic:pic>
              </a:graphicData>
            </a:graphic>
          </wp:inline>
        </w:drawing>
      </w:r>
    </w:p>
    <w:p w:rsidR="00EB3BC8" w:rsidRPr="00DB790F" w:rsidRDefault="00EB3BC8" w:rsidP="00EB3BC8">
      <w:pPr>
        <w:autoSpaceDE w:val="0"/>
        <w:autoSpaceDN w:val="0"/>
        <w:adjustRightInd w:val="0"/>
        <w:spacing w:after="0" w:line="240" w:lineRule="auto"/>
        <w:jc w:val="center"/>
        <w:rPr>
          <w:rFonts w:eastAsiaTheme="minorHAnsi" w:cstheme="minorHAnsi"/>
          <w:b/>
        </w:rPr>
      </w:pPr>
      <w:r w:rsidRPr="00DB790F">
        <w:rPr>
          <w:rFonts w:eastAsiaTheme="minorHAnsi" w:cstheme="minorHAnsi"/>
          <w:b/>
        </w:rPr>
        <w:t>Fuente Supervisión del Proyecto</w:t>
      </w:r>
    </w:p>
    <w:p w:rsidR="00EB3BC8" w:rsidRPr="00DB790F" w:rsidRDefault="00EB3BC8" w:rsidP="00EB3BC8">
      <w:pPr>
        <w:autoSpaceDE w:val="0"/>
        <w:autoSpaceDN w:val="0"/>
        <w:adjustRightInd w:val="0"/>
        <w:spacing w:after="0" w:line="240" w:lineRule="auto"/>
        <w:jc w:val="both"/>
        <w:rPr>
          <w:rFonts w:eastAsiaTheme="minorHAnsi" w:cstheme="minorHAnsi"/>
        </w:rPr>
      </w:pPr>
    </w:p>
    <w:p w:rsidR="00EB3BC8" w:rsidRPr="00DB790F" w:rsidRDefault="00EB3BC8" w:rsidP="00EB3BC8">
      <w:pPr>
        <w:autoSpaceDE w:val="0"/>
        <w:autoSpaceDN w:val="0"/>
        <w:adjustRightInd w:val="0"/>
        <w:spacing w:after="0" w:line="240" w:lineRule="auto"/>
        <w:jc w:val="both"/>
        <w:rPr>
          <w:rFonts w:eastAsiaTheme="minorHAnsi" w:cstheme="minorHAnsi"/>
        </w:rPr>
      </w:pPr>
      <w:r w:rsidRPr="00DB790F">
        <w:rPr>
          <w:rFonts w:eastAsiaTheme="minorHAnsi" w:cstheme="minorHAnsi"/>
        </w:rPr>
        <w:lastRenderedPageBreak/>
        <w:t>El total de vía en superficie incluye retornos, conectantes de la nueva calzada y mejoramientos de la calzada existente.</w:t>
      </w:r>
    </w:p>
    <w:p w:rsidR="00EB3BC8" w:rsidRPr="007810ED" w:rsidRDefault="00EB3BC8" w:rsidP="00EB3BC8">
      <w:pPr>
        <w:spacing w:after="0" w:line="240" w:lineRule="auto"/>
        <w:jc w:val="both"/>
        <w:rPr>
          <w:rFonts w:ascii="Arial" w:eastAsiaTheme="minorHAnsi" w:hAnsi="Arial" w:cs="Arial"/>
        </w:rPr>
      </w:pPr>
    </w:p>
    <w:p w:rsidR="00EB3BC8" w:rsidRPr="00DB790F" w:rsidRDefault="00DB790F" w:rsidP="00DB790F">
      <w:pPr>
        <w:spacing w:after="0" w:line="240" w:lineRule="auto"/>
        <w:contextualSpacing/>
        <w:jc w:val="both"/>
        <w:rPr>
          <w:rFonts w:eastAsia="Times New Roman" w:cstheme="minorHAnsi"/>
          <w:b/>
          <w:lang w:val="es-ES" w:eastAsia="es-ES"/>
        </w:rPr>
      </w:pPr>
      <w:r w:rsidRPr="00DB790F">
        <w:rPr>
          <w:rFonts w:eastAsia="Times New Roman" w:cstheme="minorHAnsi"/>
          <w:b/>
          <w:lang w:val="es-ES" w:eastAsia="es-ES"/>
        </w:rPr>
        <w:t>Estado actual de ejecución del adicional no.1</w:t>
      </w:r>
    </w:p>
    <w:p w:rsidR="00EB3BC8" w:rsidRPr="007810ED" w:rsidRDefault="00EB3BC8" w:rsidP="00EB3BC8">
      <w:pPr>
        <w:spacing w:after="0" w:line="240" w:lineRule="auto"/>
        <w:jc w:val="both"/>
        <w:rPr>
          <w:rFonts w:ascii="Arial" w:eastAsiaTheme="minorHAnsi" w:hAnsi="Arial" w:cs="Arial"/>
        </w:rPr>
      </w:pPr>
      <w:r w:rsidRPr="007810ED">
        <w:rPr>
          <w:rFonts w:ascii="Arial" w:eastAsiaTheme="minorHAnsi" w:hAnsi="Arial" w:cs="Arial"/>
        </w:rPr>
        <w:tab/>
      </w:r>
    </w:p>
    <w:p w:rsidR="00EB3BC8" w:rsidRPr="00DB790F" w:rsidRDefault="00EB3BC8" w:rsidP="00EB3BC8">
      <w:pPr>
        <w:autoSpaceDE w:val="0"/>
        <w:autoSpaceDN w:val="0"/>
        <w:adjustRightInd w:val="0"/>
        <w:spacing w:after="0" w:line="240" w:lineRule="auto"/>
        <w:jc w:val="both"/>
        <w:rPr>
          <w:rFonts w:eastAsiaTheme="minorHAnsi" w:cstheme="minorHAnsi"/>
        </w:rPr>
      </w:pPr>
      <w:r w:rsidRPr="00DB790F">
        <w:rPr>
          <w:rFonts w:eastAsiaTheme="minorHAnsi" w:cstheme="minorHAnsi"/>
        </w:rPr>
        <w:t>El proyecto doble calzada del Adicional N°1 está dividido en 15 etapas y tiene una inversión total de 1.8 billones de pesos de diciembre de 2008.</w:t>
      </w:r>
    </w:p>
    <w:p w:rsidR="00EB3BC8" w:rsidRPr="00DB790F" w:rsidRDefault="00EB3BC8" w:rsidP="00EB3BC8">
      <w:pPr>
        <w:autoSpaceDE w:val="0"/>
        <w:autoSpaceDN w:val="0"/>
        <w:adjustRightInd w:val="0"/>
        <w:spacing w:after="0" w:line="240" w:lineRule="auto"/>
        <w:jc w:val="both"/>
        <w:rPr>
          <w:rFonts w:eastAsiaTheme="minorHAnsi" w:cstheme="minorHAnsi"/>
        </w:rPr>
      </w:pPr>
    </w:p>
    <w:p w:rsidR="00EB3BC8" w:rsidRPr="00DB790F" w:rsidRDefault="00EB3BC8" w:rsidP="00EB3BC8">
      <w:pPr>
        <w:autoSpaceDE w:val="0"/>
        <w:autoSpaceDN w:val="0"/>
        <w:adjustRightInd w:val="0"/>
        <w:spacing w:after="0" w:line="240" w:lineRule="auto"/>
        <w:jc w:val="both"/>
        <w:rPr>
          <w:rFonts w:eastAsiaTheme="minorHAnsi" w:cstheme="minorHAnsi"/>
        </w:rPr>
      </w:pPr>
      <w:r w:rsidRPr="00DB790F">
        <w:rPr>
          <w:rFonts w:eastAsiaTheme="minorHAnsi" w:cstheme="minorHAnsi"/>
        </w:rPr>
        <w:t xml:space="preserve">Las etapas correspondientes de la No. 1 a la 10 hacen parte de la construcción del Par Vial para llevar el sector 2 a doble calzada (capex 1,5 billones de diciembre de 2008) </w:t>
      </w:r>
    </w:p>
    <w:p w:rsidR="00EB3BC8" w:rsidRPr="00DB790F" w:rsidRDefault="00EB3BC8" w:rsidP="00EB3BC8">
      <w:pPr>
        <w:autoSpaceDE w:val="0"/>
        <w:autoSpaceDN w:val="0"/>
        <w:adjustRightInd w:val="0"/>
        <w:spacing w:after="0" w:line="240" w:lineRule="auto"/>
        <w:jc w:val="both"/>
        <w:rPr>
          <w:rFonts w:eastAsiaTheme="minorHAnsi" w:cstheme="minorHAnsi"/>
        </w:rPr>
      </w:pPr>
      <w:r w:rsidRPr="00DB790F">
        <w:rPr>
          <w:rFonts w:eastAsiaTheme="minorHAnsi" w:cstheme="minorHAnsi"/>
        </w:rPr>
        <w:t>Las etapas de la No. 11 a la 15 son obras de la calzada existente, con una inversión aproximada en CAPEX de 0,3 billones de pesos de diciembre 2008.</w:t>
      </w:r>
    </w:p>
    <w:p w:rsidR="00EB3BC8" w:rsidRPr="00DB790F" w:rsidRDefault="00EB3BC8" w:rsidP="00EB3BC8">
      <w:pPr>
        <w:autoSpaceDE w:val="0"/>
        <w:autoSpaceDN w:val="0"/>
        <w:adjustRightInd w:val="0"/>
        <w:spacing w:after="0" w:line="240" w:lineRule="auto"/>
        <w:jc w:val="both"/>
        <w:rPr>
          <w:rFonts w:eastAsiaTheme="minorHAnsi" w:cstheme="minorHAnsi"/>
        </w:rPr>
      </w:pPr>
    </w:p>
    <w:p w:rsidR="00EB3BC8" w:rsidRDefault="00EB3BC8" w:rsidP="00EB3BC8">
      <w:pPr>
        <w:autoSpaceDE w:val="0"/>
        <w:autoSpaceDN w:val="0"/>
        <w:adjustRightInd w:val="0"/>
        <w:spacing w:after="0" w:line="240" w:lineRule="auto"/>
        <w:jc w:val="both"/>
        <w:rPr>
          <w:rFonts w:eastAsiaTheme="minorHAnsi" w:cstheme="minorHAnsi"/>
        </w:rPr>
      </w:pPr>
      <w:r w:rsidRPr="00DB790F">
        <w:rPr>
          <w:rFonts w:eastAsiaTheme="minorHAnsi" w:cstheme="minorHAnsi"/>
        </w:rPr>
        <w:t>El porcentaje de avance de cada una de las etapas para el mes de junio de 2015 se relaciona a continuación:</w:t>
      </w:r>
    </w:p>
    <w:p w:rsidR="00EB3BC8" w:rsidRPr="00DB790F" w:rsidRDefault="00EB3BC8" w:rsidP="00EB3BC8">
      <w:pPr>
        <w:autoSpaceDE w:val="0"/>
        <w:autoSpaceDN w:val="0"/>
        <w:adjustRightInd w:val="0"/>
        <w:spacing w:after="0" w:line="240" w:lineRule="auto"/>
        <w:jc w:val="center"/>
        <w:rPr>
          <w:rFonts w:eastAsiaTheme="minorHAnsi" w:cstheme="minorHAnsi"/>
          <w:sz w:val="24"/>
          <w:szCs w:val="24"/>
        </w:rPr>
      </w:pPr>
      <w:r w:rsidRPr="00DB790F">
        <w:rPr>
          <w:rFonts w:eastAsiaTheme="minorHAnsi" w:cstheme="minorHAnsi"/>
          <w:noProof/>
        </w:rPr>
        <w:drawing>
          <wp:inline distT="0" distB="0" distL="0" distR="0" wp14:anchorId="717C825B" wp14:editId="50A1CDC0">
            <wp:extent cx="4385310" cy="5374257"/>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400702" cy="5393120"/>
                    </a:xfrm>
                    <a:prstGeom prst="rect">
                      <a:avLst/>
                    </a:prstGeom>
                  </pic:spPr>
                </pic:pic>
              </a:graphicData>
            </a:graphic>
          </wp:inline>
        </w:drawing>
      </w:r>
    </w:p>
    <w:p w:rsidR="00EB3BC8" w:rsidRPr="00DB790F" w:rsidRDefault="00EB3BC8" w:rsidP="00EB3BC8">
      <w:pPr>
        <w:autoSpaceDE w:val="0"/>
        <w:autoSpaceDN w:val="0"/>
        <w:adjustRightInd w:val="0"/>
        <w:spacing w:after="0" w:line="240" w:lineRule="auto"/>
        <w:jc w:val="center"/>
        <w:rPr>
          <w:rFonts w:eastAsiaTheme="minorHAnsi" w:cstheme="minorHAnsi"/>
          <w:sz w:val="18"/>
          <w:szCs w:val="18"/>
        </w:rPr>
      </w:pPr>
      <w:r w:rsidRPr="00DB790F">
        <w:rPr>
          <w:rFonts w:eastAsiaTheme="minorHAnsi" w:cstheme="minorHAnsi"/>
          <w:sz w:val="18"/>
          <w:szCs w:val="18"/>
        </w:rPr>
        <w:t>Fuente Supervisión del Proyecto</w:t>
      </w:r>
    </w:p>
    <w:p w:rsidR="00EB3BC8" w:rsidRPr="00DB790F" w:rsidRDefault="00EB3BC8" w:rsidP="00EB3BC8">
      <w:pPr>
        <w:autoSpaceDE w:val="0"/>
        <w:autoSpaceDN w:val="0"/>
        <w:adjustRightInd w:val="0"/>
        <w:spacing w:after="0" w:line="240" w:lineRule="auto"/>
        <w:jc w:val="both"/>
        <w:rPr>
          <w:rFonts w:eastAsiaTheme="minorHAnsi" w:cstheme="minorHAnsi"/>
        </w:rPr>
      </w:pPr>
      <w:r w:rsidRPr="00DB790F">
        <w:rPr>
          <w:rFonts w:eastAsiaTheme="minorHAnsi" w:cstheme="minorHAnsi"/>
        </w:rPr>
        <w:t xml:space="preserve">El avance del Adicional No.1 a mayo de 2015 es aproximadamente del </w:t>
      </w:r>
      <w:r w:rsidRPr="00DB790F">
        <w:rPr>
          <w:rFonts w:eastAsiaTheme="minorHAnsi" w:cstheme="minorHAnsi"/>
          <w:b/>
        </w:rPr>
        <w:t>74.7%.</w:t>
      </w:r>
    </w:p>
    <w:p w:rsidR="00EB3BC8" w:rsidRPr="00DB790F" w:rsidRDefault="00EB3BC8" w:rsidP="00EB3BC8">
      <w:pPr>
        <w:autoSpaceDE w:val="0"/>
        <w:autoSpaceDN w:val="0"/>
        <w:adjustRightInd w:val="0"/>
        <w:spacing w:after="0" w:line="240" w:lineRule="auto"/>
        <w:jc w:val="both"/>
        <w:rPr>
          <w:rFonts w:eastAsiaTheme="minorHAnsi" w:cstheme="minorHAnsi"/>
        </w:rPr>
      </w:pPr>
    </w:p>
    <w:p w:rsidR="00EB3BC8" w:rsidRPr="00DB790F" w:rsidRDefault="00EB3BC8" w:rsidP="00EB3BC8">
      <w:pPr>
        <w:autoSpaceDE w:val="0"/>
        <w:autoSpaceDN w:val="0"/>
        <w:adjustRightInd w:val="0"/>
        <w:spacing w:after="0" w:line="240" w:lineRule="auto"/>
        <w:jc w:val="both"/>
        <w:rPr>
          <w:rFonts w:eastAsiaTheme="minorHAnsi" w:cstheme="minorHAnsi"/>
        </w:rPr>
      </w:pPr>
      <w:r w:rsidRPr="00DB790F">
        <w:rPr>
          <w:rFonts w:eastAsiaTheme="minorHAnsi" w:cstheme="minorHAnsi"/>
        </w:rPr>
        <w:t>La inversión acumulada del Adicional No.1  es de</w:t>
      </w:r>
      <w:r w:rsidRPr="00DB790F">
        <w:rPr>
          <w:rFonts w:eastAsiaTheme="minorHAnsi" w:cstheme="minorHAnsi"/>
          <w:b/>
        </w:rPr>
        <w:t xml:space="preserve"> $1.548.486 </w:t>
      </w:r>
      <w:r w:rsidRPr="00DB790F">
        <w:rPr>
          <w:rFonts w:eastAsiaTheme="minorHAnsi" w:cstheme="minorHAnsi"/>
        </w:rPr>
        <w:t>billones de pesos de diciembre de 2008.</w:t>
      </w:r>
    </w:p>
    <w:p w:rsidR="00EB3BC8" w:rsidRPr="00DB790F" w:rsidRDefault="00EB3BC8" w:rsidP="00EB3BC8">
      <w:pPr>
        <w:autoSpaceDE w:val="0"/>
        <w:autoSpaceDN w:val="0"/>
        <w:adjustRightInd w:val="0"/>
        <w:spacing w:after="0" w:line="240" w:lineRule="auto"/>
        <w:jc w:val="both"/>
        <w:rPr>
          <w:rFonts w:eastAsiaTheme="minorHAnsi" w:cstheme="minorHAnsi"/>
        </w:rPr>
      </w:pPr>
      <w:r w:rsidRPr="00DB790F">
        <w:rPr>
          <w:rFonts w:eastAsiaTheme="minorHAnsi" w:cstheme="minorHAnsi"/>
        </w:rPr>
        <w:t xml:space="preserve">La anterior información se consolida teniendo en cuenta los informes de la Interventoría y los informes de Auditoria Externa de Calidad enviados por el Concesionario, los cuales son radicados mensualmente en la Entidad.  </w:t>
      </w:r>
    </w:p>
    <w:p w:rsidR="00EB3BC8" w:rsidRPr="007810ED" w:rsidRDefault="00EB3BC8" w:rsidP="00EB3BC8">
      <w:pPr>
        <w:autoSpaceDE w:val="0"/>
        <w:autoSpaceDN w:val="0"/>
        <w:adjustRightInd w:val="0"/>
        <w:spacing w:after="0" w:line="240" w:lineRule="auto"/>
        <w:jc w:val="both"/>
        <w:rPr>
          <w:rFonts w:ascii="Arial" w:eastAsiaTheme="minorHAnsi" w:hAnsi="Arial" w:cs="Arial"/>
          <w:b/>
        </w:rPr>
      </w:pPr>
    </w:p>
    <w:p w:rsidR="00EB3BC8" w:rsidRPr="00DB790F" w:rsidRDefault="00DB790F" w:rsidP="00DB790F">
      <w:pPr>
        <w:spacing w:after="0" w:line="240" w:lineRule="auto"/>
        <w:contextualSpacing/>
        <w:jc w:val="both"/>
        <w:rPr>
          <w:rFonts w:eastAsia="Times New Roman" w:cstheme="minorHAnsi"/>
          <w:b/>
          <w:lang w:val="es-ES" w:eastAsia="es-ES"/>
        </w:rPr>
      </w:pPr>
      <w:r w:rsidRPr="00DB790F">
        <w:rPr>
          <w:rFonts w:eastAsia="Times New Roman" w:cstheme="minorHAnsi"/>
          <w:b/>
          <w:lang w:val="es-ES" w:eastAsia="es-ES"/>
        </w:rPr>
        <w:t>Finalización Obras Sectores 3 Y 3a</w:t>
      </w:r>
    </w:p>
    <w:p w:rsidR="00EB3BC8" w:rsidRPr="007810ED" w:rsidRDefault="00EB3BC8" w:rsidP="00EB3BC8">
      <w:pPr>
        <w:spacing w:after="0" w:line="240" w:lineRule="auto"/>
        <w:ind w:left="720"/>
        <w:contextualSpacing/>
        <w:jc w:val="both"/>
        <w:rPr>
          <w:rFonts w:ascii="Arial" w:eastAsia="Times New Roman" w:hAnsi="Arial" w:cs="Arial"/>
          <w:b/>
          <w:lang w:val="es-ES" w:eastAsia="es-ES"/>
        </w:rPr>
      </w:pPr>
    </w:p>
    <w:p w:rsidR="00EB3BC8" w:rsidRPr="00DB790F" w:rsidRDefault="00EB3BC8" w:rsidP="00EB3BC8">
      <w:pPr>
        <w:spacing w:after="0" w:line="240" w:lineRule="auto"/>
        <w:contextualSpacing/>
        <w:jc w:val="both"/>
        <w:rPr>
          <w:rFonts w:eastAsia="Times New Roman" w:cstheme="minorHAnsi"/>
          <w:lang w:val="es-ES" w:eastAsia="es-ES"/>
        </w:rPr>
      </w:pPr>
      <w:r w:rsidRPr="00DB790F">
        <w:rPr>
          <w:rFonts w:eastAsia="Times New Roman" w:cstheme="minorHAnsi"/>
          <w:lang w:val="es-ES" w:eastAsia="es-ES"/>
        </w:rPr>
        <w:t>Las primeras obras a finalizar del Adicional No.1 de enero de 2010, correspondientes a la construcción de un par vial entre El Tablón – Chirajara, corresponden a la Etapa 7- sector 3 comprendidas desde el Km 50+180-Km 55+780 (5.6Km) con una inversión de dicho sector de $223.374 millones de pesos de diciembre de 2008 y Etapa 8 – sector 3A comprendidas desde el Km 55+780-Km 57+390 (1.61Km), con una inversión de $99.937millones de pesos de diciembre de 2008, estas obras finalizaron en junio de 2015, las cuales se mencionan a continuación:</w:t>
      </w:r>
    </w:p>
    <w:p w:rsidR="00EB3BC8" w:rsidRPr="00DB790F" w:rsidRDefault="00EB3BC8" w:rsidP="00EB3BC8">
      <w:pPr>
        <w:spacing w:after="0" w:line="240" w:lineRule="auto"/>
        <w:contextualSpacing/>
        <w:jc w:val="both"/>
        <w:rPr>
          <w:rFonts w:eastAsia="Times New Roman" w:cstheme="minorHAnsi"/>
          <w:lang w:val="es-ES" w:eastAsia="es-ES"/>
        </w:rPr>
      </w:pPr>
    </w:p>
    <w:p w:rsidR="00EB3BC8" w:rsidRPr="00DB790F" w:rsidRDefault="00EB3BC8" w:rsidP="00EB3BC8">
      <w:pPr>
        <w:spacing w:after="0" w:line="240" w:lineRule="auto"/>
        <w:contextualSpacing/>
        <w:jc w:val="both"/>
        <w:rPr>
          <w:rFonts w:eastAsia="Times New Roman" w:cstheme="minorHAnsi"/>
          <w:b/>
          <w:lang w:val="es-ES" w:eastAsia="es-ES"/>
        </w:rPr>
      </w:pPr>
      <w:r w:rsidRPr="00DB790F">
        <w:rPr>
          <w:rFonts w:eastAsia="Times New Roman" w:cstheme="minorHAnsi"/>
          <w:b/>
          <w:lang w:val="es-ES" w:eastAsia="es-ES"/>
        </w:rPr>
        <w:t>Sector 3</w:t>
      </w:r>
    </w:p>
    <w:p w:rsidR="00EB3BC8" w:rsidRPr="00DB790F" w:rsidRDefault="00EB3BC8" w:rsidP="000021B2">
      <w:pPr>
        <w:numPr>
          <w:ilvl w:val="0"/>
          <w:numId w:val="7"/>
        </w:numPr>
        <w:spacing w:after="0" w:line="240" w:lineRule="auto"/>
        <w:contextualSpacing/>
        <w:jc w:val="both"/>
        <w:rPr>
          <w:rFonts w:eastAsia="Times New Roman" w:cstheme="minorHAnsi"/>
          <w:lang w:val="es-ES" w:eastAsia="es-ES"/>
        </w:rPr>
      </w:pPr>
      <w:r w:rsidRPr="00DB790F">
        <w:rPr>
          <w:rFonts w:eastAsia="Times New Roman" w:cstheme="minorHAnsi"/>
          <w:lang w:val="es-ES" w:eastAsia="es-ES"/>
        </w:rPr>
        <w:t xml:space="preserve">Vía en superficie, con un avance del 100% </w:t>
      </w:r>
    </w:p>
    <w:p w:rsidR="00EB3BC8" w:rsidRPr="00DB790F" w:rsidRDefault="00EB3BC8" w:rsidP="000021B2">
      <w:pPr>
        <w:numPr>
          <w:ilvl w:val="0"/>
          <w:numId w:val="7"/>
        </w:numPr>
        <w:spacing w:after="0" w:line="240" w:lineRule="auto"/>
        <w:contextualSpacing/>
        <w:jc w:val="both"/>
        <w:rPr>
          <w:rFonts w:eastAsia="Times New Roman" w:cstheme="minorHAnsi"/>
          <w:lang w:val="es-ES" w:eastAsia="es-ES"/>
        </w:rPr>
      </w:pPr>
      <w:r w:rsidRPr="00DB790F">
        <w:rPr>
          <w:rFonts w:eastAsia="Times New Roman" w:cstheme="minorHAnsi"/>
          <w:lang w:val="es-ES" w:eastAsia="es-ES"/>
        </w:rPr>
        <w:t>9 puentes, con un avance del 100%</w:t>
      </w:r>
    </w:p>
    <w:p w:rsidR="00EB3BC8" w:rsidRPr="00DB790F" w:rsidRDefault="00EB3BC8" w:rsidP="000021B2">
      <w:pPr>
        <w:numPr>
          <w:ilvl w:val="0"/>
          <w:numId w:val="7"/>
        </w:numPr>
        <w:spacing w:after="0" w:line="240" w:lineRule="auto"/>
        <w:contextualSpacing/>
        <w:jc w:val="both"/>
        <w:rPr>
          <w:rFonts w:eastAsia="Times New Roman" w:cstheme="minorHAnsi"/>
          <w:lang w:val="es-ES" w:eastAsia="es-ES"/>
        </w:rPr>
      </w:pPr>
      <w:r w:rsidRPr="00DB790F">
        <w:rPr>
          <w:rFonts w:eastAsia="Times New Roman" w:cstheme="minorHAnsi"/>
          <w:lang w:val="es-ES" w:eastAsia="es-ES"/>
        </w:rPr>
        <w:t>4 Túneles, con un avance del 100%</w:t>
      </w:r>
    </w:p>
    <w:p w:rsidR="00EB3BC8" w:rsidRPr="00DB790F" w:rsidRDefault="00EB3BC8" w:rsidP="00EB3BC8">
      <w:pPr>
        <w:spacing w:line="240" w:lineRule="auto"/>
        <w:jc w:val="both"/>
        <w:rPr>
          <w:rFonts w:eastAsiaTheme="minorHAnsi" w:cstheme="minorHAnsi"/>
          <w:b/>
          <w:lang w:val="es-ES"/>
        </w:rPr>
      </w:pPr>
    </w:p>
    <w:p w:rsidR="00EB3BC8" w:rsidRPr="00DB790F" w:rsidRDefault="00EB3BC8" w:rsidP="00EB3BC8">
      <w:pPr>
        <w:spacing w:line="240" w:lineRule="auto"/>
        <w:jc w:val="both"/>
        <w:rPr>
          <w:rFonts w:eastAsiaTheme="minorHAnsi" w:cstheme="minorHAnsi"/>
          <w:b/>
          <w:lang w:val="es-ES"/>
        </w:rPr>
      </w:pPr>
      <w:r w:rsidRPr="00DB790F">
        <w:rPr>
          <w:rFonts w:eastAsiaTheme="minorHAnsi" w:cstheme="minorHAnsi"/>
          <w:b/>
          <w:lang w:val="es-ES"/>
        </w:rPr>
        <w:t>Sector 3A</w:t>
      </w:r>
    </w:p>
    <w:p w:rsidR="00EB3BC8" w:rsidRPr="00DB790F" w:rsidRDefault="00EB3BC8" w:rsidP="000021B2">
      <w:pPr>
        <w:numPr>
          <w:ilvl w:val="0"/>
          <w:numId w:val="54"/>
        </w:numPr>
        <w:spacing w:after="0" w:line="240" w:lineRule="auto"/>
        <w:contextualSpacing/>
        <w:jc w:val="both"/>
        <w:rPr>
          <w:rFonts w:eastAsia="Times New Roman" w:cstheme="minorHAnsi"/>
          <w:lang w:val="es-ES" w:eastAsia="es-ES"/>
        </w:rPr>
      </w:pPr>
      <w:r w:rsidRPr="00DB790F">
        <w:rPr>
          <w:rFonts w:eastAsia="Times New Roman" w:cstheme="minorHAnsi"/>
          <w:lang w:val="es-ES" w:eastAsia="es-ES"/>
        </w:rPr>
        <w:t xml:space="preserve">Vía en superficie, con un avance del 100% </w:t>
      </w:r>
    </w:p>
    <w:p w:rsidR="00EB3BC8" w:rsidRPr="00DB790F" w:rsidRDefault="00EB3BC8" w:rsidP="000021B2">
      <w:pPr>
        <w:numPr>
          <w:ilvl w:val="0"/>
          <w:numId w:val="54"/>
        </w:numPr>
        <w:spacing w:after="0" w:line="240" w:lineRule="auto"/>
        <w:contextualSpacing/>
        <w:jc w:val="both"/>
        <w:rPr>
          <w:rFonts w:eastAsia="Times New Roman" w:cstheme="minorHAnsi"/>
          <w:lang w:val="es-ES" w:eastAsia="es-ES"/>
        </w:rPr>
      </w:pPr>
      <w:r w:rsidRPr="00DB790F">
        <w:rPr>
          <w:rFonts w:eastAsia="Times New Roman" w:cstheme="minorHAnsi"/>
          <w:lang w:val="es-ES" w:eastAsia="es-ES"/>
        </w:rPr>
        <w:t>4 puentes, con un avance del 100%</w:t>
      </w:r>
    </w:p>
    <w:p w:rsidR="00EB3BC8" w:rsidRPr="00DB790F" w:rsidRDefault="00EB3BC8" w:rsidP="000021B2">
      <w:pPr>
        <w:numPr>
          <w:ilvl w:val="0"/>
          <w:numId w:val="54"/>
        </w:numPr>
        <w:spacing w:after="0" w:line="240" w:lineRule="auto"/>
        <w:contextualSpacing/>
        <w:jc w:val="both"/>
        <w:rPr>
          <w:rFonts w:eastAsia="Times New Roman" w:cstheme="minorHAnsi"/>
          <w:lang w:val="es-ES" w:eastAsia="es-ES"/>
        </w:rPr>
      </w:pPr>
      <w:r w:rsidRPr="00DB790F">
        <w:rPr>
          <w:rFonts w:eastAsia="Times New Roman" w:cstheme="minorHAnsi"/>
          <w:lang w:val="es-ES" w:eastAsia="es-ES"/>
        </w:rPr>
        <w:t>3 Túneles, con un avance del 100%</w:t>
      </w:r>
    </w:p>
    <w:p w:rsidR="00EB3BC8" w:rsidRPr="00DB790F" w:rsidRDefault="00EB3BC8" w:rsidP="00EB3BC8">
      <w:pPr>
        <w:spacing w:line="240" w:lineRule="auto"/>
        <w:jc w:val="both"/>
        <w:rPr>
          <w:rFonts w:eastAsiaTheme="minorHAnsi" w:cstheme="minorHAnsi"/>
        </w:rPr>
      </w:pPr>
    </w:p>
    <w:p w:rsidR="00EB3BC8" w:rsidRPr="00DB790F" w:rsidRDefault="00EB3BC8" w:rsidP="00EB3BC8">
      <w:pPr>
        <w:spacing w:line="240" w:lineRule="auto"/>
        <w:jc w:val="both"/>
        <w:rPr>
          <w:rFonts w:eastAsiaTheme="minorHAnsi" w:cstheme="minorHAnsi"/>
        </w:rPr>
      </w:pPr>
      <w:r w:rsidRPr="00DB790F">
        <w:rPr>
          <w:rFonts w:eastAsiaTheme="minorHAnsi" w:cstheme="minorHAnsi"/>
        </w:rPr>
        <w:t xml:space="preserve">El día 5 de junio de 2015 se inauguraron 6 Km correspondientes al sector 2 (parcial), sector 3 y sector 3ª (parcial), los cuales fueron puestos en operación, </w:t>
      </w:r>
    </w:p>
    <w:p w:rsidR="00EB3BC8" w:rsidRPr="007810ED" w:rsidRDefault="00EB3BC8" w:rsidP="00EB3BC8">
      <w:pPr>
        <w:spacing w:after="0" w:line="240" w:lineRule="auto"/>
        <w:ind w:left="720"/>
        <w:contextualSpacing/>
        <w:jc w:val="both"/>
        <w:rPr>
          <w:rFonts w:ascii="Arial" w:eastAsia="Times New Roman" w:hAnsi="Arial" w:cs="Arial"/>
          <w:b/>
          <w:lang w:val="es-ES" w:eastAsia="es-ES"/>
        </w:rPr>
      </w:pPr>
    </w:p>
    <w:p w:rsidR="00EB3BC8" w:rsidRPr="00DB790F" w:rsidRDefault="00DB790F" w:rsidP="00DB790F">
      <w:pPr>
        <w:spacing w:after="0" w:line="240" w:lineRule="auto"/>
        <w:contextualSpacing/>
        <w:jc w:val="both"/>
        <w:rPr>
          <w:rFonts w:eastAsia="Times New Roman" w:cstheme="minorHAnsi"/>
          <w:b/>
          <w:lang w:val="es-ES" w:eastAsia="es-ES"/>
        </w:rPr>
      </w:pPr>
      <w:r w:rsidRPr="00DB790F">
        <w:rPr>
          <w:rFonts w:eastAsia="Times New Roman" w:cstheme="minorHAnsi"/>
          <w:b/>
          <w:lang w:val="es-ES" w:eastAsia="es-ES"/>
        </w:rPr>
        <w:t>Hechos sobresalientes en la Concesión en el Segundo Trimestre del 2015</w:t>
      </w:r>
    </w:p>
    <w:p w:rsidR="00EB3BC8" w:rsidRPr="007810ED" w:rsidRDefault="00EB3BC8" w:rsidP="00EB3BC8">
      <w:pPr>
        <w:spacing w:after="0" w:line="240" w:lineRule="auto"/>
        <w:ind w:left="720"/>
        <w:contextualSpacing/>
        <w:jc w:val="both"/>
        <w:rPr>
          <w:rFonts w:ascii="Arial" w:eastAsia="Times New Roman" w:hAnsi="Arial" w:cs="Arial"/>
          <w:b/>
          <w:lang w:val="es-ES" w:eastAsia="es-ES"/>
        </w:rPr>
      </w:pPr>
    </w:p>
    <w:p w:rsidR="00EB3BC8" w:rsidRPr="00DB790F" w:rsidRDefault="00EB3BC8" w:rsidP="000021B2">
      <w:pPr>
        <w:numPr>
          <w:ilvl w:val="0"/>
          <w:numId w:val="7"/>
        </w:numPr>
        <w:tabs>
          <w:tab w:val="left" w:pos="284"/>
        </w:tabs>
        <w:autoSpaceDE w:val="0"/>
        <w:autoSpaceDN w:val="0"/>
        <w:adjustRightInd w:val="0"/>
        <w:spacing w:after="0" w:line="240" w:lineRule="auto"/>
        <w:jc w:val="both"/>
        <w:rPr>
          <w:rFonts w:eastAsiaTheme="minorHAnsi" w:cstheme="minorHAnsi"/>
          <w:i/>
        </w:rPr>
      </w:pPr>
      <w:r w:rsidRPr="00DB790F">
        <w:rPr>
          <w:rFonts w:eastAsiaTheme="minorHAnsi" w:cstheme="minorHAnsi"/>
          <w:lang w:val="es-ES"/>
        </w:rPr>
        <w:t xml:space="preserve">Resolución No 1226 del 04 de mayo de 2015, por lo cual se modifica el artículo segundo de la Resolución No 16193 del 1993, modificada por la resolución 4318 de 1998. La cual resuelve: </w:t>
      </w:r>
      <w:r w:rsidRPr="00DB790F">
        <w:rPr>
          <w:rFonts w:eastAsiaTheme="minorHAnsi" w:cstheme="minorHAnsi"/>
          <w:b/>
          <w:lang w:val="es-ES"/>
        </w:rPr>
        <w:t>Artículo 2</w:t>
      </w:r>
      <w:r w:rsidRPr="00DB790F">
        <w:rPr>
          <w:rFonts w:eastAsiaTheme="minorHAnsi" w:cstheme="minorHAnsi"/>
          <w:b/>
          <w:i/>
          <w:lang w:val="es-ES"/>
        </w:rPr>
        <w:t xml:space="preserve">: </w:t>
      </w:r>
      <w:r w:rsidRPr="00DB790F">
        <w:rPr>
          <w:rFonts w:eastAsiaTheme="minorHAnsi" w:cstheme="minorHAnsi"/>
          <w:i/>
          <w:lang w:val="es-ES"/>
        </w:rPr>
        <w:t xml:space="preserve">La Estación de “Peaje Puente Quetame”, localizada 2.1 kilómetros delante de Puente Quetame (Km44+740), se ubicará en el sector de “Naranjal” (Km 50+100)”.  </w:t>
      </w:r>
    </w:p>
    <w:p w:rsidR="00EB3BC8" w:rsidRPr="00DB790F" w:rsidRDefault="00EB3BC8" w:rsidP="00EB3BC8">
      <w:pPr>
        <w:tabs>
          <w:tab w:val="left" w:pos="284"/>
        </w:tabs>
        <w:autoSpaceDE w:val="0"/>
        <w:autoSpaceDN w:val="0"/>
        <w:adjustRightInd w:val="0"/>
        <w:spacing w:after="0" w:line="240" w:lineRule="auto"/>
        <w:ind w:left="720"/>
        <w:jc w:val="both"/>
        <w:rPr>
          <w:rFonts w:eastAsiaTheme="minorHAnsi" w:cstheme="minorHAnsi"/>
        </w:rPr>
      </w:pPr>
    </w:p>
    <w:p w:rsidR="00EB3BC8" w:rsidRPr="00DB790F" w:rsidRDefault="00EB3BC8" w:rsidP="000021B2">
      <w:pPr>
        <w:numPr>
          <w:ilvl w:val="0"/>
          <w:numId w:val="7"/>
        </w:numPr>
        <w:tabs>
          <w:tab w:val="left" w:pos="284"/>
        </w:tabs>
        <w:autoSpaceDE w:val="0"/>
        <w:autoSpaceDN w:val="0"/>
        <w:adjustRightInd w:val="0"/>
        <w:spacing w:after="0" w:line="240" w:lineRule="auto"/>
        <w:jc w:val="both"/>
        <w:rPr>
          <w:rFonts w:eastAsiaTheme="minorHAnsi" w:cstheme="minorHAnsi"/>
        </w:rPr>
      </w:pPr>
      <w:r w:rsidRPr="00DB790F">
        <w:rPr>
          <w:rFonts w:eastAsiaTheme="minorHAnsi" w:cstheme="minorHAnsi"/>
        </w:rPr>
        <w:t>Resolución 1695 del 04 de junio de 2015, por la cual se establece una tarifa especial diferencial para la estación de Peaje Pipiral, quedando las tres estaciones de peaje que componen la carretera Bogotá-Villavicencio, con asignación de beneficios para los usuarios.</w:t>
      </w:r>
    </w:p>
    <w:p w:rsidR="00EB3BC8" w:rsidRPr="00DB790F" w:rsidRDefault="00EB3BC8" w:rsidP="00EB3BC8">
      <w:pPr>
        <w:spacing w:after="0" w:line="240" w:lineRule="auto"/>
        <w:ind w:left="720"/>
        <w:contextualSpacing/>
        <w:rPr>
          <w:rFonts w:eastAsia="Times New Roman" w:cstheme="minorHAnsi"/>
          <w:lang w:eastAsia="es-ES"/>
        </w:rPr>
      </w:pPr>
    </w:p>
    <w:p w:rsidR="00EB3BC8" w:rsidRPr="00DB790F" w:rsidRDefault="00EB3BC8" w:rsidP="000021B2">
      <w:pPr>
        <w:numPr>
          <w:ilvl w:val="0"/>
          <w:numId w:val="7"/>
        </w:numPr>
        <w:tabs>
          <w:tab w:val="left" w:pos="284"/>
        </w:tabs>
        <w:autoSpaceDE w:val="0"/>
        <w:autoSpaceDN w:val="0"/>
        <w:adjustRightInd w:val="0"/>
        <w:spacing w:after="0" w:line="240" w:lineRule="auto"/>
        <w:jc w:val="both"/>
        <w:rPr>
          <w:rFonts w:eastAsiaTheme="minorHAnsi" w:cstheme="minorHAnsi"/>
        </w:rPr>
      </w:pPr>
      <w:r w:rsidRPr="00DB790F">
        <w:rPr>
          <w:rFonts w:eastAsiaTheme="minorHAnsi" w:cstheme="minorHAnsi"/>
        </w:rPr>
        <w:t>Resolución No 1689 del 04 de junio de 2015, por la cual se establece medidas de seguridad operación vehicular de los sectores 3 y 3ª de la doble calzada Bogotá-Villavicencio.</w:t>
      </w:r>
    </w:p>
    <w:p w:rsidR="00EB3BC8" w:rsidRPr="00DB790F" w:rsidRDefault="00EB3BC8" w:rsidP="00EB3BC8">
      <w:pPr>
        <w:spacing w:after="0" w:line="240" w:lineRule="auto"/>
        <w:ind w:left="720"/>
        <w:contextualSpacing/>
        <w:rPr>
          <w:rFonts w:eastAsia="Times New Roman" w:cstheme="minorHAnsi"/>
          <w:lang w:val="es-ES" w:eastAsia="es-ES"/>
        </w:rPr>
      </w:pPr>
    </w:p>
    <w:p w:rsidR="00EB3BC8" w:rsidRPr="00DB790F" w:rsidRDefault="00EB3BC8" w:rsidP="000021B2">
      <w:pPr>
        <w:numPr>
          <w:ilvl w:val="0"/>
          <w:numId w:val="7"/>
        </w:numPr>
        <w:tabs>
          <w:tab w:val="left" w:pos="284"/>
        </w:tabs>
        <w:autoSpaceDE w:val="0"/>
        <w:autoSpaceDN w:val="0"/>
        <w:adjustRightInd w:val="0"/>
        <w:spacing w:after="0" w:line="240" w:lineRule="auto"/>
        <w:jc w:val="both"/>
        <w:rPr>
          <w:rFonts w:eastAsiaTheme="minorHAnsi" w:cstheme="minorHAnsi"/>
        </w:rPr>
      </w:pPr>
      <w:r w:rsidRPr="00DB790F">
        <w:rPr>
          <w:rFonts w:eastAsiaTheme="minorHAnsi" w:cstheme="minorHAnsi"/>
        </w:rPr>
        <w:t>Acta de finalización de obra del sector 3 y 3ª.</w:t>
      </w:r>
    </w:p>
    <w:p w:rsidR="00EB3BC8" w:rsidRPr="007810ED" w:rsidRDefault="00EB3BC8" w:rsidP="00EB3BC8">
      <w:pPr>
        <w:spacing w:after="0" w:line="240" w:lineRule="auto"/>
        <w:ind w:left="720"/>
        <w:contextualSpacing/>
        <w:rPr>
          <w:rFonts w:ascii="Arial" w:eastAsia="Times New Roman" w:hAnsi="Arial" w:cs="Arial"/>
          <w:lang w:val="es-ES" w:eastAsia="es-ES"/>
        </w:rPr>
      </w:pPr>
    </w:p>
    <w:p w:rsidR="00EB3BC8" w:rsidRPr="00DB790F" w:rsidRDefault="00DB790F" w:rsidP="00DB790F">
      <w:pPr>
        <w:spacing w:after="0" w:line="240" w:lineRule="auto"/>
        <w:contextualSpacing/>
        <w:jc w:val="both"/>
        <w:rPr>
          <w:rFonts w:eastAsia="Times New Roman" w:cstheme="minorHAnsi"/>
          <w:b/>
          <w:lang w:val="es-ES" w:eastAsia="es-ES"/>
        </w:rPr>
      </w:pPr>
      <w:r w:rsidRPr="00DB790F">
        <w:rPr>
          <w:rFonts w:eastAsia="Times New Roman" w:cstheme="minorHAnsi"/>
          <w:b/>
          <w:lang w:val="es-ES" w:eastAsia="es-ES"/>
        </w:rPr>
        <w:t>Diferencias en riesgo geológico de Túneles</w:t>
      </w:r>
    </w:p>
    <w:p w:rsidR="00EB3BC8" w:rsidRPr="007810ED" w:rsidRDefault="00EB3BC8" w:rsidP="00EB3BC8">
      <w:pPr>
        <w:spacing w:after="0" w:line="240" w:lineRule="auto"/>
        <w:ind w:left="720"/>
        <w:contextualSpacing/>
        <w:jc w:val="both"/>
        <w:rPr>
          <w:rFonts w:ascii="Arial" w:eastAsia="Times New Roman" w:hAnsi="Arial" w:cs="Arial"/>
          <w:b/>
          <w:lang w:val="es-ES" w:eastAsia="es-ES"/>
        </w:rPr>
      </w:pPr>
    </w:p>
    <w:p w:rsidR="00EB3BC8" w:rsidRPr="00DB790F" w:rsidRDefault="00EB3BC8" w:rsidP="00EB3BC8">
      <w:pPr>
        <w:spacing w:line="240" w:lineRule="auto"/>
        <w:jc w:val="both"/>
        <w:rPr>
          <w:rFonts w:eastAsiaTheme="minorHAnsi" w:cstheme="minorHAnsi"/>
          <w:color w:val="000000"/>
        </w:rPr>
      </w:pPr>
      <w:r w:rsidRPr="00DB790F">
        <w:rPr>
          <w:rFonts w:eastAsiaTheme="minorHAnsi" w:cstheme="minorHAnsi"/>
          <w:color w:val="000000"/>
        </w:rPr>
        <w:t>Controversia: Diferencia total en la definición de Riesgo Geológico y la forma en que pretende el Concesionario liquidar el Riesgo Geológico regulado en la Cláusula Decima Primera del Adicional No. 1 de enero de 2010, se pueden mencionar las siguientes deferencias:</w:t>
      </w:r>
    </w:p>
    <w:p w:rsidR="00EB3BC8" w:rsidRPr="00DB790F" w:rsidRDefault="00EB3BC8" w:rsidP="000021B2">
      <w:pPr>
        <w:numPr>
          <w:ilvl w:val="0"/>
          <w:numId w:val="53"/>
        </w:numPr>
        <w:spacing w:after="160" w:line="240" w:lineRule="auto"/>
        <w:contextualSpacing/>
        <w:jc w:val="both"/>
        <w:rPr>
          <w:rFonts w:eastAsia="Times New Roman" w:cstheme="minorHAnsi"/>
          <w:color w:val="000000"/>
          <w:lang w:val="es-ES" w:eastAsia="es-ES"/>
        </w:rPr>
      </w:pPr>
      <w:r w:rsidRPr="00DB790F">
        <w:rPr>
          <w:rFonts w:eastAsia="Times New Roman" w:cstheme="minorHAnsi"/>
          <w:color w:val="000000"/>
          <w:lang w:val="es-ES" w:eastAsia="es-ES"/>
        </w:rPr>
        <w:t>La liquidación según la Cláusula Decima Primera, del Adicional No. 1, se debe realizar para cada túnel y el Concesionario pretende que se realice por sectores (cada sector tiene dentro de su alcance varios túneles).</w:t>
      </w:r>
    </w:p>
    <w:p w:rsidR="00EB3BC8" w:rsidRPr="00DB790F" w:rsidRDefault="00EB3BC8" w:rsidP="00EB3BC8">
      <w:pPr>
        <w:spacing w:after="0" w:line="240" w:lineRule="auto"/>
        <w:ind w:left="720"/>
        <w:contextualSpacing/>
        <w:jc w:val="both"/>
        <w:rPr>
          <w:rFonts w:eastAsia="Times New Roman" w:cstheme="minorHAnsi"/>
          <w:color w:val="000000"/>
          <w:lang w:val="es-ES" w:eastAsia="es-ES"/>
        </w:rPr>
      </w:pPr>
    </w:p>
    <w:p w:rsidR="00EB3BC8" w:rsidRPr="00DB790F" w:rsidRDefault="00EB3BC8" w:rsidP="000021B2">
      <w:pPr>
        <w:numPr>
          <w:ilvl w:val="0"/>
          <w:numId w:val="53"/>
        </w:numPr>
        <w:spacing w:after="160" w:line="240" w:lineRule="auto"/>
        <w:contextualSpacing/>
        <w:jc w:val="both"/>
        <w:rPr>
          <w:rFonts w:eastAsia="Times New Roman" w:cstheme="minorHAnsi"/>
          <w:color w:val="000000"/>
          <w:lang w:val="es-ES" w:eastAsia="es-ES"/>
        </w:rPr>
      </w:pPr>
      <w:r w:rsidRPr="00DB790F">
        <w:rPr>
          <w:rFonts w:eastAsia="Times New Roman" w:cstheme="minorHAnsi"/>
          <w:color w:val="000000"/>
          <w:lang w:val="es-ES" w:eastAsia="es-ES"/>
        </w:rPr>
        <w:t>El riesgo geológico únicamente se debe reconocer al concesionario cuando exista diferencia de tipo de terreno entre el del diseño Fase III realizado por el Concesionario y el realmente encontrado (Anexo 15 del Adicional No. 1), el Concesionario tiene la pretensión se le reconozca a precios unitarios (</w:t>
      </w:r>
      <w:r w:rsidRPr="00DB790F">
        <w:rPr>
          <w:rFonts w:eastAsia="Times New Roman" w:cstheme="minorHAnsi"/>
          <w:b/>
          <w:color w:val="000000"/>
          <w:lang w:val="es-ES" w:eastAsia="es-ES"/>
        </w:rPr>
        <w:t>excavación y presoporte</w:t>
      </w:r>
      <w:r w:rsidRPr="00DB790F">
        <w:rPr>
          <w:rFonts w:eastAsia="Times New Roman" w:cstheme="minorHAnsi"/>
          <w:color w:val="000000"/>
          <w:lang w:val="es-ES" w:eastAsia="es-ES"/>
        </w:rPr>
        <w:t xml:space="preserve">) todas las cantidades de obra ejecutadas, sin realizar el comparativo correspondiente mencionado anteriormente. </w:t>
      </w:r>
      <w:r w:rsidRPr="00DB790F">
        <w:rPr>
          <w:rFonts w:eastAsia="Times New Roman" w:cstheme="minorHAnsi"/>
          <w:b/>
          <w:color w:val="000000"/>
          <w:lang w:val="es-ES" w:eastAsia="es-ES"/>
        </w:rPr>
        <w:t>(Ejemplo: si el tipo de terreno del diseño fase III fue el mismo encontrado al momento de realizar la excavación, no existe riesgo geológico a favor del Concesionario.)</w:t>
      </w:r>
    </w:p>
    <w:p w:rsidR="00EB3BC8" w:rsidRPr="00DB790F" w:rsidRDefault="00EB3BC8" w:rsidP="00EB3BC8">
      <w:pPr>
        <w:spacing w:line="240" w:lineRule="auto"/>
        <w:contextualSpacing/>
        <w:jc w:val="both"/>
        <w:rPr>
          <w:rFonts w:eastAsia="Times New Roman" w:cstheme="minorHAnsi"/>
          <w:color w:val="000000"/>
          <w:lang w:val="es-ES" w:eastAsia="es-ES"/>
        </w:rPr>
      </w:pPr>
    </w:p>
    <w:p w:rsidR="00EB3BC8" w:rsidRPr="00DB790F" w:rsidRDefault="00EB3BC8" w:rsidP="00EB3BC8">
      <w:pPr>
        <w:spacing w:line="240" w:lineRule="auto"/>
        <w:jc w:val="both"/>
        <w:rPr>
          <w:rFonts w:eastAsiaTheme="minorHAnsi" w:cstheme="minorHAnsi"/>
          <w:color w:val="000000"/>
        </w:rPr>
      </w:pPr>
      <w:r w:rsidRPr="00DB790F">
        <w:rPr>
          <w:rFonts w:eastAsiaTheme="minorHAnsi" w:cstheme="minorHAnsi"/>
          <w:b/>
          <w:color w:val="000000"/>
        </w:rPr>
        <w:t>Posición del Concesionario</w:t>
      </w:r>
      <w:r w:rsidRPr="00DB790F">
        <w:rPr>
          <w:rFonts w:eastAsiaTheme="minorHAnsi" w:cstheme="minorHAnsi"/>
          <w:color w:val="000000"/>
        </w:rPr>
        <w:t xml:space="preserve">: El concesionario tiene la pretensión que le sea reconocido con los precios unitarios pactados en el anexo 16 de Adicional No. 1, todas las cantidades de obra realmente ejecutadas dentro del proceso de excavación y presoporte de los túneles, sin realizar el comparativo de los tipos de terreno identificados en el diseño fase III con los reales encontrados en el proceso constructivo. Como no existe dentro de los documentos contractuales el detalle del presupuesto túnel por túnel, el Concesionario tiene la pretensión se le liquide dicho riesgo geológico por sectores. </w:t>
      </w:r>
      <w:r w:rsidRPr="00DB790F">
        <w:rPr>
          <w:rFonts w:eastAsiaTheme="minorHAnsi" w:cstheme="minorHAnsi"/>
          <w:b/>
          <w:color w:val="000000"/>
        </w:rPr>
        <w:t>(Ejemplo: para el sector 3, que tiene 4 túneles, se conoce un presupuesto de 66.067 millones de pesos (anexo 6 del contrato), pero no se tiene el presupuesto de cada uno de los túneles que permita realizar tal liquidación como está regulado contractualmente.)</w:t>
      </w:r>
    </w:p>
    <w:p w:rsidR="00EB3BC8" w:rsidRPr="00DB790F" w:rsidRDefault="00EB3BC8" w:rsidP="00EB3BC8">
      <w:pPr>
        <w:spacing w:line="240" w:lineRule="auto"/>
        <w:jc w:val="both"/>
        <w:rPr>
          <w:rFonts w:eastAsiaTheme="minorHAnsi" w:cstheme="minorHAnsi"/>
          <w:color w:val="000000"/>
        </w:rPr>
      </w:pPr>
      <w:r w:rsidRPr="00DB790F">
        <w:rPr>
          <w:rFonts w:eastAsiaTheme="minorHAnsi" w:cstheme="minorHAnsi"/>
          <w:color w:val="000000"/>
        </w:rPr>
        <w:t xml:space="preserve">La pretensión del Concesionario, actualizada a junio de 2015, es OCHENTA Y DOS MIL MILLONES OCHOCIENTOS CINCUENTA Y NUEVE MILLONES SETENTA Y CINCO MIL DOSCIENTOS CINCUENTA Y UNO PESOS DE DICIEMBRE DE 2008 </w:t>
      </w:r>
      <w:r w:rsidRPr="00DB790F">
        <w:rPr>
          <w:rFonts w:eastAsiaTheme="minorHAnsi" w:cstheme="minorHAnsi"/>
          <w:b/>
          <w:color w:val="000000"/>
        </w:rPr>
        <w:t>($82.859.075.251)</w:t>
      </w:r>
    </w:p>
    <w:p w:rsidR="00EB3BC8" w:rsidRPr="00DB790F" w:rsidRDefault="00EB3BC8" w:rsidP="00EB3BC8">
      <w:pPr>
        <w:spacing w:line="240" w:lineRule="auto"/>
        <w:jc w:val="both"/>
        <w:rPr>
          <w:rFonts w:eastAsiaTheme="minorHAnsi" w:cstheme="minorHAnsi"/>
          <w:color w:val="000000"/>
        </w:rPr>
      </w:pPr>
      <w:r w:rsidRPr="00DB790F">
        <w:rPr>
          <w:rFonts w:eastAsiaTheme="minorHAnsi" w:cstheme="minorHAnsi"/>
          <w:b/>
          <w:color w:val="000000"/>
        </w:rPr>
        <w:t>Posición de la Interventoría</w:t>
      </w:r>
      <w:r w:rsidRPr="00DB790F">
        <w:rPr>
          <w:rFonts w:eastAsiaTheme="minorHAnsi" w:cstheme="minorHAnsi"/>
          <w:color w:val="000000"/>
        </w:rPr>
        <w:t xml:space="preserve">: De conformidad con la Cláusula Decima Primera, del Adicional No. 1 y su anexo 15 “Especificaciones Particulares de Túneles” se debe realizar la liquidación túnel por túnel, una vez se terminen las actividades de excavación y presoporte, para lo cual según la definición de Riesgo Geológico se debe realizar la liquidación para determinar las cantidades efectivamente ejecutadas, teniendo como base las de los diseños fase III, así las cosas, una vez realizada la liquidación de cada túnel pueden existir recursos a favor del Concesionario o por el contrario a favor de la Agencia Nacional de Infraestructura.  </w:t>
      </w:r>
    </w:p>
    <w:p w:rsidR="00EB3BC8" w:rsidRPr="00DB790F" w:rsidRDefault="00EB3BC8" w:rsidP="00EB3BC8">
      <w:pPr>
        <w:spacing w:line="240" w:lineRule="auto"/>
        <w:jc w:val="both"/>
        <w:rPr>
          <w:rFonts w:eastAsiaTheme="minorHAnsi" w:cstheme="minorHAnsi"/>
          <w:color w:val="000000"/>
        </w:rPr>
      </w:pPr>
      <w:r w:rsidRPr="00DB790F">
        <w:rPr>
          <w:rFonts w:eastAsiaTheme="minorHAnsi" w:cstheme="minorHAnsi"/>
          <w:color w:val="000000"/>
        </w:rPr>
        <w:t>Como no se conoce el presupuesto detallado de cada túnel no es posible cuantificar cual sería el valor a reconocer al concesionario por el Riesgo geológico.</w:t>
      </w:r>
    </w:p>
    <w:p w:rsidR="00EB3BC8" w:rsidRPr="00DB790F" w:rsidRDefault="00EB3BC8" w:rsidP="00EB3BC8">
      <w:pPr>
        <w:spacing w:line="240" w:lineRule="auto"/>
        <w:jc w:val="both"/>
        <w:rPr>
          <w:rFonts w:eastAsiaTheme="minorHAnsi" w:cstheme="minorHAnsi"/>
          <w:color w:val="000000"/>
        </w:rPr>
      </w:pPr>
      <w:r w:rsidRPr="00DB790F">
        <w:rPr>
          <w:rFonts w:eastAsiaTheme="minorHAnsi" w:cstheme="minorHAnsi"/>
          <w:color w:val="000000"/>
        </w:rPr>
        <w:t>Se han realizado mesas de trabajo con la Interventoría, el Concesionario y el equipo de apoyo de la supervisión de la ANI, en las cuales se ha definido que la interventoría realizará una liquidación de los túneles en relación al Riesgo Geológico teniendo como base los documentos contractuales enviados por el Concesionario (Presupuesto y memoria de cálculo desglosada para cada uno de los túneles).</w:t>
      </w:r>
    </w:p>
    <w:p w:rsidR="00EB3BC8" w:rsidRPr="00DB790F" w:rsidRDefault="00DB790F" w:rsidP="00DB790F">
      <w:pPr>
        <w:spacing w:after="0" w:line="240" w:lineRule="auto"/>
        <w:contextualSpacing/>
        <w:jc w:val="both"/>
        <w:rPr>
          <w:rFonts w:eastAsia="Times New Roman" w:cstheme="minorHAnsi"/>
          <w:b/>
          <w:lang w:val="es-ES" w:eastAsia="es-ES"/>
        </w:rPr>
      </w:pPr>
      <w:r w:rsidRPr="00DB790F">
        <w:rPr>
          <w:rFonts w:eastAsia="Times New Roman" w:cstheme="minorHAnsi"/>
          <w:b/>
          <w:lang w:val="es-ES" w:eastAsia="es-ES"/>
        </w:rPr>
        <w:lastRenderedPageBreak/>
        <w:t>Temas Prediales</w:t>
      </w:r>
    </w:p>
    <w:p w:rsidR="00EB3BC8" w:rsidRPr="007810ED" w:rsidRDefault="00EB3BC8" w:rsidP="00EB3BC8">
      <w:pPr>
        <w:spacing w:after="0" w:line="240" w:lineRule="auto"/>
        <w:ind w:left="720"/>
        <w:contextualSpacing/>
        <w:jc w:val="both"/>
        <w:rPr>
          <w:rFonts w:ascii="Arial" w:eastAsia="Times New Roman" w:hAnsi="Arial" w:cs="Arial"/>
          <w:b/>
          <w:lang w:val="es-ES" w:eastAsia="es-ES"/>
        </w:rPr>
      </w:pPr>
    </w:p>
    <w:p w:rsidR="00EB3BC8" w:rsidRPr="00DB790F" w:rsidRDefault="00EB3BC8" w:rsidP="00EB3BC8">
      <w:pPr>
        <w:spacing w:line="240" w:lineRule="auto"/>
        <w:jc w:val="both"/>
        <w:rPr>
          <w:rFonts w:eastAsiaTheme="minorHAnsi" w:cstheme="minorHAnsi"/>
        </w:rPr>
      </w:pPr>
      <w:r w:rsidRPr="00DB790F">
        <w:rPr>
          <w:rFonts w:eastAsiaTheme="minorHAnsi" w:cstheme="minorHAnsi"/>
        </w:rPr>
        <w:t xml:space="preserve">Sean realizados mesas de trabajo con el Concesionario, Interventoría y el equipo de apoyo del área predial de la ANI, con el propósito de definir la deuda predial a diciembre de 2013. </w:t>
      </w:r>
    </w:p>
    <w:p w:rsidR="00EB3BC8" w:rsidRPr="00DB790F" w:rsidRDefault="00EB3BC8" w:rsidP="000021B2">
      <w:pPr>
        <w:numPr>
          <w:ilvl w:val="0"/>
          <w:numId w:val="27"/>
        </w:numPr>
        <w:shd w:val="clear" w:color="auto" w:fill="FFFFFF"/>
        <w:spacing w:after="0" w:line="240" w:lineRule="auto"/>
        <w:contextualSpacing/>
        <w:rPr>
          <w:rFonts w:eastAsia="Times New Roman" w:cstheme="minorHAnsi"/>
          <w:color w:val="212121"/>
          <w:lang w:val="es-ES" w:eastAsia="es-ES"/>
        </w:rPr>
      </w:pPr>
      <w:r w:rsidRPr="00DB790F">
        <w:rPr>
          <w:rFonts w:eastAsia="Times New Roman" w:cstheme="minorHAnsi"/>
          <w:b/>
          <w:color w:val="212121"/>
          <w:lang w:val="es-ES" w:eastAsia="es-ES"/>
        </w:rPr>
        <w:t>Estado de la adquisición predial del proyecto</w:t>
      </w:r>
      <w:r w:rsidRPr="00DB790F">
        <w:rPr>
          <w:rFonts w:eastAsia="Times New Roman" w:cstheme="minorHAnsi"/>
          <w:color w:val="212121"/>
          <w:lang w:val="es-ES" w:eastAsia="es-ES"/>
        </w:rPr>
        <w:t> </w:t>
      </w:r>
    </w:p>
    <w:p w:rsidR="00EB3BC8" w:rsidRPr="00DB790F" w:rsidRDefault="00EB3BC8" w:rsidP="00EB3BC8">
      <w:pPr>
        <w:shd w:val="clear" w:color="auto" w:fill="FFFFFF"/>
        <w:spacing w:after="0" w:line="240" w:lineRule="auto"/>
        <w:ind w:left="720"/>
        <w:contextualSpacing/>
        <w:rPr>
          <w:rFonts w:eastAsia="Times New Roman" w:cstheme="minorHAnsi"/>
          <w:color w:val="212121"/>
          <w:sz w:val="24"/>
          <w:szCs w:val="24"/>
          <w:lang w:val="es-ES" w:eastAsia="es-ES"/>
        </w:rPr>
      </w:pPr>
    </w:p>
    <w:tbl>
      <w:tblPr>
        <w:tblW w:w="8996" w:type="dxa"/>
        <w:tblCellMar>
          <w:left w:w="0" w:type="dxa"/>
          <w:right w:w="0" w:type="dxa"/>
        </w:tblCellMar>
        <w:tblLook w:val="04A0" w:firstRow="1" w:lastRow="0" w:firstColumn="1" w:lastColumn="0" w:noHBand="0" w:noVBand="1"/>
      </w:tblPr>
      <w:tblGrid>
        <w:gridCol w:w="1073"/>
        <w:gridCol w:w="7923"/>
      </w:tblGrid>
      <w:tr w:rsidR="00EB3BC8" w:rsidRPr="00DB790F" w:rsidTr="005E52E0">
        <w:trPr>
          <w:trHeight w:val="514"/>
        </w:trPr>
        <w:tc>
          <w:tcPr>
            <w:tcW w:w="1073" w:type="dxa"/>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b/>
                <w:bCs/>
                <w:color w:val="000000"/>
                <w:sz w:val="20"/>
                <w:szCs w:val="24"/>
              </w:rPr>
              <w:t>No. PREDIOS</w:t>
            </w:r>
          </w:p>
        </w:tc>
        <w:tc>
          <w:tcPr>
            <w:tcW w:w="7923" w:type="dxa"/>
            <w:tcBorders>
              <w:top w:val="single" w:sz="8" w:space="0" w:color="auto"/>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b/>
                <w:bCs/>
                <w:color w:val="000000"/>
                <w:sz w:val="20"/>
                <w:szCs w:val="24"/>
              </w:rPr>
              <w:t>ESTADO</w:t>
            </w:r>
          </w:p>
        </w:tc>
      </w:tr>
      <w:tr w:rsidR="00EB3BC8" w:rsidRPr="00DB790F" w:rsidTr="005E52E0">
        <w:trPr>
          <w:trHeight w:val="290"/>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445</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Predios registrados a nombre de la ANI, Expedientes reposan en la ANI</w:t>
            </w:r>
          </w:p>
        </w:tc>
      </w:tr>
      <w:tr w:rsidR="00EB3BC8" w:rsidRPr="00DB790F" w:rsidTr="005E52E0">
        <w:trPr>
          <w:trHeight w:val="483"/>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28</w:t>
            </w:r>
          </w:p>
        </w:tc>
        <w:tc>
          <w:tcPr>
            <w:tcW w:w="792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Predios registrados a nombre de la ANI con observaciones (INCODER, Certificado No Desarrollabilidad, Servidumbres Activas, Avalúos).</w:t>
            </w:r>
          </w:p>
        </w:tc>
      </w:tr>
      <w:tr w:rsidR="00EB3BC8" w:rsidRPr="00DB790F" w:rsidTr="005E52E0">
        <w:trPr>
          <w:trHeight w:val="290"/>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4</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Predios registrados a nombre de la ANI, Pendiente escritura aclaratoria de área</w:t>
            </w:r>
          </w:p>
        </w:tc>
      </w:tr>
      <w:tr w:rsidR="00EB3BC8" w:rsidRPr="00DB790F" w:rsidTr="005E52E0">
        <w:trPr>
          <w:trHeight w:val="290"/>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2</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Predios registrados a nombre de la ANI, sin observaciones técnicas, jurídicas ni sociales, pendiente por recibir</w:t>
            </w:r>
          </w:p>
        </w:tc>
      </w:tr>
      <w:tr w:rsidR="00EB3BC8" w:rsidRPr="00DB790F" w:rsidTr="005E52E0">
        <w:trPr>
          <w:trHeight w:val="290"/>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1</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2-084. Predio registrado a nombre de la ANI. Pendiente que Concesionario allegue expediente escaneado, para revisión jurídica ANI.</w:t>
            </w:r>
          </w:p>
        </w:tc>
      </w:tr>
      <w:tr w:rsidR="00EB3BC8" w:rsidRPr="00DB790F" w:rsidTr="005E52E0">
        <w:trPr>
          <w:trHeight w:val="290"/>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15</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Botaderos</w:t>
            </w:r>
          </w:p>
        </w:tc>
      </w:tr>
      <w:tr w:rsidR="00EB3BC8" w:rsidRPr="00DB790F" w:rsidTr="005E52E0">
        <w:trPr>
          <w:trHeight w:val="290"/>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16</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Mejoras INVIAS</w:t>
            </w:r>
          </w:p>
        </w:tc>
      </w:tr>
      <w:tr w:rsidR="00EB3BC8" w:rsidRPr="00DB790F" w:rsidTr="005E52E0">
        <w:trPr>
          <w:trHeight w:val="290"/>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6</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Urbano Rural</w:t>
            </w:r>
          </w:p>
        </w:tc>
      </w:tr>
      <w:tr w:rsidR="00EB3BC8" w:rsidRPr="00DB790F" w:rsidTr="005E52E0">
        <w:trPr>
          <w:trHeight w:val="303"/>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color w:val="000000"/>
                <w:sz w:val="20"/>
                <w:szCs w:val="24"/>
              </w:rPr>
              <w:t>84</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color w:val="000000"/>
                <w:sz w:val="20"/>
                <w:szCs w:val="24"/>
              </w:rPr>
              <w:t>En proceso de adquisición</w:t>
            </w:r>
          </w:p>
        </w:tc>
      </w:tr>
      <w:tr w:rsidR="00EB3BC8" w:rsidRPr="00DB790F" w:rsidTr="005E52E0">
        <w:trPr>
          <w:trHeight w:val="303"/>
        </w:trPr>
        <w:tc>
          <w:tcPr>
            <w:tcW w:w="10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jc w:val="center"/>
              <w:rPr>
                <w:rFonts w:eastAsiaTheme="minorHAnsi" w:cstheme="minorHAnsi"/>
                <w:sz w:val="20"/>
                <w:szCs w:val="24"/>
              </w:rPr>
            </w:pPr>
            <w:r w:rsidRPr="00DB790F">
              <w:rPr>
                <w:rFonts w:eastAsiaTheme="minorHAnsi" w:cstheme="minorHAnsi"/>
                <w:b/>
                <w:bCs/>
                <w:color w:val="000000"/>
                <w:sz w:val="20"/>
                <w:szCs w:val="24"/>
              </w:rPr>
              <w:t>601</w:t>
            </w:r>
          </w:p>
        </w:tc>
        <w:tc>
          <w:tcPr>
            <w:tcW w:w="79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B3BC8" w:rsidRPr="00DB790F" w:rsidRDefault="00EB3BC8" w:rsidP="005E52E0">
            <w:pPr>
              <w:spacing w:line="240" w:lineRule="auto"/>
              <w:rPr>
                <w:rFonts w:eastAsiaTheme="minorHAnsi" w:cstheme="minorHAnsi"/>
                <w:sz w:val="20"/>
                <w:szCs w:val="24"/>
              </w:rPr>
            </w:pPr>
            <w:r w:rsidRPr="00DB790F">
              <w:rPr>
                <w:rFonts w:eastAsiaTheme="minorHAnsi" w:cstheme="minorHAnsi"/>
                <w:b/>
                <w:bCs/>
                <w:color w:val="000000"/>
                <w:sz w:val="20"/>
                <w:szCs w:val="24"/>
              </w:rPr>
              <w:t>TOTAL PREDIOS</w:t>
            </w:r>
          </w:p>
        </w:tc>
      </w:tr>
    </w:tbl>
    <w:p w:rsidR="00EB3BC8" w:rsidRPr="00DB790F" w:rsidRDefault="00EB3BC8" w:rsidP="00EB3BC8">
      <w:pPr>
        <w:tabs>
          <w:tab w:val="left" w:pos="284"/>
        </w:tabs>
        <w:autoSpaceDE w:val="0"/>
        <w:autoSpaceDN w:val="0"/>
        <w:adjustRightInd w:val="0"/>
        <w:spacing w:after="0" w:line="240" w:lineRule="auto"/>
        <w:ind w:left="720"/>
        <w:jc w:val="both"/>
        <w:rPr>
          <w:rFonts w:eastAsiaTheme="minorHAnsi" w:cstheme="minorHAnsi"/>
          <w:i/>
          <w:sz w:val="24"/>
          <w:szCs w:val="24"/>
        </w:rPr>
      </w:pPr>
    </w:p>
    <w:p w:rsidR="00EB3BC8" w:rsidRPr="00DB790F" w:rsidRDefault="00EB3BC8" w:rsidP="000021B2">
      <w:pPr>
        <w:numPr>
          <w:ilvl w:val="0"/>
          <w:numId w:val="7"/>
        </w:numPr>
        <w:tabs>
          <w:tab w:val="left" w:pos="284"/>
        </w:tabs>
        <w:autoSpaceDE w:val="0"/>
        <w:autoSpaceDN w:val="0"/>
        <w:adjustRightInd w:val="0"/>
        <w:spacing w:after="0" w:line="240" w:lineRule="auto"/>
        <w:jc w:val="both"/>
        <w:rPr>
          <w:rFonts w:eastAsiaTheme="minorHAnsi" w:cstheme="minorHAnsi"/>
          <w:i/>
        </w:rPr>
      </w:pPr>
      <w:r w:rsidRPr="00DB790F">
        <w:rPr>
          <w:rFonts w:eastAsiaTheme="minorHAnsi" w:cstheme="minorHAnsi"/>
        </w:rPr>
        <w:t>Resolución No 689 del 22 de abril de 2015, “por medio de la cual la Agencia Nacional de Infraestructura declara y reconoce la ocurrencia de una Contingencia Predial dentro del “Proyecto Vial Bogotá-Villavicencio”, correspondiente al Contrato de Concesión No 444 de 1994”, por la suma de DIECIOCHO MIL CUATROCIENTOS NOVENTA Y UN MILLONES NOVECIENTOS SESENTA Y CINCO MIL CIENTO VEINTICINCO pesos ($18.491.965.125) de marzo de 2015.</w:t>
      </w:r>
    </w:p>
    <w:p w:rsidR="00EB3BC8" w:rsidRPr="00DB790F" w:rsidRDefault="00EB3BC8" w:rsidP="00EB3BC8">
      <w:pPr>
        <w:ind w:left="720"/>
        <w:jc w:val="both"/>
        <w:rPr>
          <w:rFonts w:cstheme="minorHAnsi"/>
          <w:sz w:val="18"/>
          <w:szCs w:val="18"/>
        </w:rPr>
      </w:pPr>
      <w:r w:rsidRPr="00DB790F">
        <w:rPr>
          <w:rFonts w:cstheme="minorHAnsi"/>
          <w:b/>
          <w:bCs/>
          <w:noProof/>
          <w:sz w:val="24"/>
          <w:szCs w:val="24"/>
        </w:rPr>
        <w:lastRenderedPageBreak/>
        <w:drawing>
          <wp:anchor distT="0" distB="0" distL="114300" distR="114300" simplePos="0" relativeHeight="251704320" behindDoc="0" locked="0" layoutInCell="1" allowOverlap="1" wp14:anchorId="6A5F1FC8" wp14:editId="5E531E1C">
            <wp:simplePos x="0" y="0"/>
            <wp:positionH relativeFrom="margin">
              <wp:align>center</wp:align>
            </wp:positionH>
            <wp:positionV relativeFrom="paragraph">
              <wp:posOffset>95250</wp:posOffset>
            </wp:positionV>
            <wp:extent cx="2343785" cy="2693670"/>
            <wp:effectExtent l="95250" t="95250" r="94615" b="87630"/>
            <wp:wrapSquare wrapText="bothSides"/>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43785" cy="269367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DB790F">
        <w:rPr>
          <w:rFonts w:eastAsia="Times New Roman" w:cstheme="minorHAnsi"/>
          <w:b/>
          <w:lang w:val="es-ES"/>
        </w:rPr>
        <w:t xml:space="preserve">                          </w:t>
      </w:r>
      <w:r w:rsidRPr="00DB790F">
        <w:rPr>
          <w:rFonts w:eastAsia="Times New Roman" w:cstheme="minorHAnsi"/>
          <w:b/>
          <w:lang w:val="es-ES"/>
        </w:rPr>
        <w:br w:type="textWrapping" w:clear="all"/>
      </w:r>
      <w:r w:rsidRPr="00DB790F">
        <w:rPr>
          <w:rFonts w:cstheme="minorHAnsi"/>
          <w:bCs/>
          <w:sz w:val="18"/>
          <w:szCs w:val="18"/>
        </w:rPr>
        <w:t xml:space="preserve">                                                Conexión y retorno Mesagrande</w:t>
      </w:r>
    </w:p>
    <w:p w:rsidR="00EB3BC8" w:rsidRPr="00865AB3" w:rsidRDefault="00EB3BC8" w:rsidP="00EB3BC8">
      <w:pPr>
        <w:spacing w:line="240" w:lineRule="auto"/>
        <w:jc w:val="both"/>
        <w:rPr>
          <w:rFonts w:ascii="Arial" w:eastAsia="Times New Roman" w:hAnsi="Arial" w:cs="Arial"/>
          <w:b/>
          <w:lang w:val="es-ES"/>
        </w:rPr>
      </w:pPr>
    </w:p>
    <w:p w:rsidR="00EB3BC8" w:rsidRPr="009922EF" w:rsidRDefault="009922EF" w:rsidP="009922EF">
      <w:pPr>
        <w:spacing w:line="240" w:lineRule="auto"/>
        <w:jc w:val="both"/>
        <w:rPr>
          <w:rFonts w:eastAsia="Times New Roman" w:cstheme="minorHAnsi"/>
          <w:b/>
          <w:lang w:val="es-ES"/>
        </w:rPr>
      </w:pPr>
      <w:r>
        <w:rPr>
          <w:rFonts w:eastAsia="Times New Roman" w:cstheme="minorHAnsi"/>
          <w:b/>
          <w:lang w:val="es-ES"/>
        </w:rPr>
        <w:t xml:space="preserve">10. </w:t>
      </w:r>
      <w:r w:rsidR="00EB3BC8" w:rsidRPr="009922EF">
        <w:rPr>
          <w:rFonts w:eastAsia="Times New Roman" w:cstheme="minorHAnsi"/>
          <w:b/>
          <w:lang w:val="es-ES"/>
        </w:rPr>
        <w:t>INFORME DE GESTIÓN PROYECTO ÁREA METROPOLITANA DE CÚCUTA Y NORTE DE SANTANDER</w:t>
      </w:r>
    </w:p>
    <w:p w:rsidR="00EB3BC8" w:rsidRPr="007810ED" w:rsidRDefault="00EB3BC8" w:rsidP="00EB3BC8">
      <w:pPr>
        <w:pStyle w:val="Prrafodelista"/>
        <w:spacing w:line="240" w:lineRule="auto"/>
        <w:jc w:val="both"/>
        <w:rPr>
          <w:rFonts w:ascii="Arial" w:hAnsi="Arial" w:cs="Arial"/>
          <w:highlight w:val="green"/>
        </w:rPr>
      </w:pPr>
    </w:p>
    <w:p w:rsidR="00EB3BC8" w:rsidRPr="005C7CD1" w:rsidRDefault="005C7CD1" w:rsidP="005C7CD1">
      <w:pPr>
        <w:spacing w:after="0" w:line="240" w:lineRule="auto"/>
        <w:jc w:val="both"/>
        <w:rPr>
          <w:rFonts w:cstheme="minorHAnsi"/>
          <w:b/>
          <w:bCs/>
        </w:rPr>
      </w:pPr>
      <w:bookmarkStart w:id="83" w:name="_Toc323754103"/>
      <w:r w:rsidRPr="005C7CD1">
        <w:rPr>
          <w:rFonts w:cstheme="minorHAnsi"/>
          <w:b/>
          <w:bCs/>
          <w:lang w:val="x-none"/>
        </w:rPr>
        <w:t>Antecedentes</w:t>
      </w:r>
    </w:p>
    <w:p w:rsidR="00EB3BC8" w:rsidRPr="007810ED" w:rsidRDefault="00EB3BC8" w:rsidP="00EB3BC8">
      <w:pPr>
        <w:spacing w:after="0" w:line="240" w:lineRule="auto"/>
        <w:ind w:left="360"/>
        <w:jc w:val="both"/>
        <w:rPr>
          <w:rFonts w:ascii="Arial" w:hAnsi="Arial" w:cs="Arial"/>
          <w:b/>
          <w:bCs/>
        </w:rPr>
      </w:pPr>
    </w:p>
    <w:p w:rsidR="00EB3BC8" w:rsidRPr="005C7CD1" w:rsidRDefault="00EB3BC8" w:rsidP="00EB3BC8">
      <w:pPr>
        <w:spacing w:line="240" w:lineRule="auto"/>
        <w:jc w:val="both"/>
        <w:rPr>
          <w:rFonts w:cstheme="minorHAnsi"/>
          <w:bCs/>
        </w:rPr>
      </w:pPr>
      <w:r w:rsidRPr="005C7CD1">
        <w:rPr>
          <w:rFonts w:cstheme="minorHAnsi"/>
          <w:b/>
          <w:bCs/>
        </w:rPr>
        <w:t>Contrato:</w:t>
      </w:r>
      <w:r w:rsidRPr="005C7CD1">
        <w:rPr>
          <w:rFonts w:cstheme="minorHAnsi"/>
          <w:bCs/>
        </w:rPr>
        <w:t xml:space="preserve"> No 006 de 2007</w:t>
      </w:r>
    </w:p>
    <w:p w:rsidR="00EB3BC8" w:rsidRPr="005C7CD1" w:rsidRDefault="00EB3BC8" w:rsidP="00EB3BC8">
      <w:pPr>
        <w:spacing w:line="240" w:lineRule="auto"/>
        <w:jc w:val="both"/>
        <w:rPr>
          <w:rFonts w:cstheme="minorHAnsi"/>
          <w:bCs/>
        </w:rPr>
      </w:pPr>
      <w:r w:rsidRPr="005C7CD1">
        <w:rPr>
          <w:rFonts w:cstheme="minorHAnsi"/>
          <w:b/>
          <w:bCs/>
        </w:rPr>
        <w:t>Concesionario</w:t>
      </w:r>
      <w:r w:rsidRPr="005C7CD1">
        <w:rPr>
          <w:rFonts w:cstheme="minorHAnsi"/>
          <w:bCs/>
        </w:rPr>
        <w:t xml:space="preserve">: San Simón S.A. </w:t>
      </w:r>
    </w:p>
    <w:p w:rsidR="00EB3BC8" w:rsidRPr="005C7CD1" w:rsidRDefault="00EB3BC8" w:rsidP="00EB3BC8">
      <w:pPr>
        <w:spacing w:line="240" w:lineRule="auto"/>
        <w:jc w:val="both"/>
        <w:rPr>
          <w:rFonts w:cstheme="minorHAnsi"/>
          <w:bCs/>
        </w:rPr>
      </w:pPr>
      <w:r w:rsidRPr="005C7CD1">
        <w:rPr>
          <w:rFonts w:cstheme="minorHAnsi"/>
          <w:b/>
          <w:bCs/>
        </w:rPr>
        <w:t xml:space="preserve">Generación: </w:t>
      </w:r>
      <w:r w:rsidRPr="005C7CD1">
        <w:rPr>
          <w:rFonts w:cstheme="minorHAnsi"/>
          <w:bCs/>
        </w:rPr>
        <w:t>Primera Generación</w:t>
      </w:r>
    </w:p>
    <w:p w:rsidR="00EB3BC8" w:rsidRPr="005C7CD1" w:rsidRDefault="00EB3BC8" w:rsidP="00EB3BC8">
      <w:pPr>
        <w:spacing w:line="240" w:lineRule="auto"/>
        <w:jc w:val="both"/>
        <w:rPr>
          <w:rFonts w:cstheme="minorHAnsi"/>
          <w:bCs/>
        </w:rPr>
      </w:pPr>
      <w:r w:rsidRPr="005C7CD1">
        <w:rPr>
          <w:rFonts w:cstheme="minorHAnsi"/>
          <w:bCs/>
        </w:rPr>
        <w:t xml:space="preserve">El contrato de concesión comprende dos tipos de alcances, el </w:t>
      </w:r>
      <w:r w:rsidRPr="005C7CD1">
        <w:rPr>
          <w:rFonts w:cstheme="minorHAnsi"/>
          <w:b/>
          <w:bCs/>
        </w:rPr>
        <w:t>alcance básico</w:t>
      </w:r>
      <w:r w:rsidRPr="005C7CD1">
        <w:rPr>
          <w:rFonts w:cstheme="minorHAnsi"/>
          <w:bCs/>
        </w:rPr>
        <w:t xml:space="preserve"> que lo conforma 16 tramos y 2 peajes con una longitud total origen - destino de 82.04 km en el Área Metropolitana de Cúcuta, y un </w:t>
      </w:r>
      <w:r w:rsidRPr="005C7CD1">
        <w:rPr>
          <w:rFonts w:cstheme="minorHAnsi"/>
          <w:b/>
          <w:bCs/>
        </w:rPr>
        <w:t>alcance progresivo</w:t>
      </w:r>
      <w:r w:rsidRPr="005C7CD1">
        <w:rPr>
          <w:rFonts w:cstheme="minorHAnsi"/>
          <w:bCs/>
        </w:rPr>
        <w:t xml:space="preserve"> que incluye Estudios y Diseños, Mantenimiento y Rehabilitación de las vías nacionales y departamentales del Norte de Santander en el cual se incluye la administración y operación del peaje Los Acacios perteneciente a la ruta 5505.</w:t>
      </w:r>
    </w:p>
    <w:bookmarkEnd w:id="83"/>
    <w:p w:rsidR="00EB3BC8" w:rsidRPr="005C7CD1" w:rsidRDefault="005C7CD1" w:rsidP="005C7CD1">
      <w:pPr>
        <w:spacing w:after="0" w:line="240" w:lineRule="auto"/>
        <w:jc w:val="both"/>
        <w:rPr>
          <w:rFonts w:cstheme="minorHAnsi"/>
          <w:b/>
          <w:bCs/>
          <w:lang w:val="x-none"/>
        </w:rPr>
      </w:pPr>
      <w:r w:rsidRPr="005C7CD1">
        <w:rPr>
          <w:rFonts w:cstheme="minorHAnsi"/>
          <w:b/>
          <w:bCs/>
          <w:lang w:val="x-none"/>
        </w:rPr>
        <w:t xml:space="preserve">Localización </w:t>
      </w:r>
    </w:p>
    <w:p w:rsidR="00EB3BC8" w:rsidRPr="005C7CD1" w:rsidRDefault="00EB3BC8" w:rsidP="00EB3BC8">
      <w:pPr>
        <w:spacing w:after="0" w:line="240" w:lineRule="auto"/>
        <w:ind w:left="360"/>
        <w:jc w:val="both"/>
        <w:rPr>
          <w:rFonts w:cstheme="minorHAnsi"/>
          <w:b/>
          <w:bCs/>
          <w:lang w:val="x-none"/>
        </w:rPr>
      </w:pPr>
    </w:p>
    <w:p w:rsidR="00EB3BC8" w:rsidRPr="005C7CD1" w:rsidRDefault="00EB3BC8" w:rsidP="00EB3BC8">
      <w:pPr>
        <w:spacing w:line="240" w:lineRule="auto"/>
        <w:jc w:val="both"/>
        <w:rPr>
          <w:rFonts w:cstheme="minorHAnsi"/>
          <w:noProof/>
        </w:rPr>
      </w:pPr>
      <w:r w:rsidRPr="005C7CD1">
        <w:rPr>
          <w:rFonts w:cstheme="minorHAnsi"/>
        </w:rPr>
        <w:t>El área de influencia del proyecto de Concesión del Área Metropolitana de Cúcuta y Norte de Santander comprende la zona regional que hace referencia al Departamento de Norte de Santander.</w:t>
      </w:r>
    </w:p>
    <w:p w:rsidR="00EB3BC8" w:rsidRPr="005C7CD1" w:rsidRDefault="00EB3BC8" w:rsidP="00EB3BC8">
      <w:pPr>
        <w:spacing w:line="240" w:lineRule="auto"/>
        <w:jc w:val="both"/>
        <w:rPr>
          <w:rFonts w:cstheme="minorHAnsi"/>
          <w:noProof/>
        </w:rPr>
      </w:pPr>
    </w:p>
    <w:p w:rsidR="00EB3BC8" w:rsidRPr="001C1691" w:rsidRDefault="00EB3BC8" w:rsidP="00EB3BC8">
      <w:pPr>
        <w:spacing w:line="240" w:lineRule="auto"/>
        <w:jc w:val="both"/>
        <w:rPr>
          <w:noProof/>
        </w:rPr>
      </w:pPr>
    </w:p>
    <w:p w:rsidR="00EB3BC8" w:rsidRPr="001C1691" w:rsidRDefault="00EB3BC8" w:rsidP="00EB3BC8">
      <w:pPr>
        <w:spacing w:line="240" w:lineRule="auto"/>
        <w:jc w:val="center"/>
        <w:rPr>
          <w:noProof/>
        </w:rPr>
      </w:pPr>
      <w:r w:rsidRPr="001C1691">
        <w:rPr>
          <w:noProof/>
        </w:rPr>
        <w:lastRenderedPageBreak/>
        <w:drawing>
          <wp:inline distT="0" distB="0" distL="0" distR="0" wp14:anchorId="35B70BF0" wp14:editId="4A51C204">
            <wp:extent cx="4962525" cy="4700601"/>
            <wp:effectExtent l="19050" t="19050" r="9525" b="24130"/>
            <wp:docPr id="483" name="Imagen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l="29990" t="14917"/>
                    <a:stretch>
                      <a:fillRect/>
                    </a:stretch>
                  </pic:blipFill>
                  <pic:spPr bwMode="auto">
                    <a:xfrm>
                      <a:off x="0" y="0"/>
                      <a:ext cx="4962916" cy="4700971"/>
                    </a:xfrm>
                    <a:prstGeom prst="rect">
                      <a:avLst/>
                    </a:prstGeom>
                    <a:noFill/>
                    <a:ln w="9525" cmpd="dbl">
                      <a:solidFill>
                        <a:srgbClr val="000000"/>
                      </a:solidFill>
                      <a:miter lim="800000"/>
                      <a:headEnd/>
                      <a:tailEnd/>
                    </a:ln>
                    <a:effectLst/>
                  </pic:spPr>
                </pic:pic>
              </a:graphicData>
            </a:graphic>
          </wp:inline>
        </w:drawing>
      </w:r>
    </w:p>
    <w:p w:rsidR="00EB3BC8" w:rsidRPr="00B531C6" w:rsidRDefault="00EB3BC8" w:rsidP="00EB3BC8">
      <w:pPr>
        <w:spacing w:line="240" w:lineRule="auto"/>
        <w:jc w:val="both"/>
        <w:rPr>
          <w:rFonts w:cs="Tahoma"/>
          <w:b/>
        </w:rPr>
      </w:pPr>
    </w:p>
    <w:p w:rsidR="00EB3BC8" w:rsidRPr="005C7CD1" w:rsidRDefault="00EB3BC8" w:rsidP="005C7CD1">
      <w:pPr>
        <w:pStyle w:val="Ttulo3"/>
        <w:keepNext w:val="0"/>
        <w:widowControl w:val="0"/>
        <w:tabs>
          <w:tab w:val="clear" w:pos="1923"/>
        </w:tabs>
        <w:spacing w:before="0"/>
        <w:ind w:left="0" w:firstLine="0"/>
        <w:rPr>
          <w:rFonts w:asciiTheme="minorHAnsi" w:hAnsiTheme="minorHAnsi" w:cstheme="minorHAnsi"/>
          <w:b w:val="0"/>
          <w:szCs w:val="22"/>
          <w:lang w:val="es-CO"/>
        </w:rPr>
      </w:pPr>
      <w:bookmarkStart w:id="84" w:name="_Toc426547745"/>
      <w:bookmarkStart w:id="85" w:name="_Toc426558474"/>
      <w:bookmarkStart w:id="86" w:name="_Toc426559218"/>
      <w:r w:rsidRPr="005C7CD1">
        <w:rPr>
          <w:rFonts w:asciiTheme="minorHAnsi" w:hAnsiTheme="minorHAnsi" w:cstheme="minorHAnsi"/>
          <w:szCs w:val="22"/>
        </w:rPr>
        <w:t>Alcance Básico del Proyecto</w:t>
      </w:r>
      <w:bookmarkEnd w:id="84"/>
      <w:bookmarkEnd w:id="85"/>
      <w:bookmarkEnd w:id="86"/>
    </w:p>
    <w:p w:rsidR="00EB3BC8" w:rsidRPr="005C7CD1" w:rsidRDefault="00EB3BC8" w:rsidP="00EB3BC8">
      <w:pPr>
        <w:spacing w:line="240" w:lineRule="auto"/>
        <w:jc w:val="both"/>
        <w:rPr>
          <w:rFonts w:cstheme="minorHAnsi"/>
        </w:rPr>
      </w:pPr>
      <w:r w:rsidRPr="005C7CD1">
        <w:rPr>
          <w:rFonts w:cstheme="minorHAnsi"/>
        </w:rPr>
        <w:t xml:space="preserve">El alcance básico comprende dieciséis (16) tramos y tres (3) estaciones de peaje, la Parada y el Escobal y  la estación de peaje de los Acacios incluida en el proyecto mediante el otrosí N° 5. Longitud total origen – destino, aproximada para el alcance básico de ochenta kilómetros cuatrocientos treinta metros (80.430m), comprendidos dentro del Área Metropolitana de Cúcuta. </w:t>
      </w:r>
    </w:p>
    <w:p w:rsidR="00EB3BC8" w:rsidRPr="005C7CD1" w:rsidRDefault="00EB3BC8" w:rsidP="00EB3BC8">
      <w:pPr>
        <w:spacing w:line="240" w:lineRule="auto"/>
        <w:jc w:val="both"/>
        <w:rPr>
          <w:rFonts w:cstheme="minorHAnsi"/>
        </w:rPr>
      </w:pPr>
      <w:r w:rsidRPr="005C7CD1">
        <w:rPr>
          <w:rFonts w:cstheme="minorHAnsi"/>
        </w:rPr>
        <w:t>Mediante Otrosí No. 5 del 24 de diciembre de 2008, se adicionaron al alcance básico del contrato las siguientes actividades:</w:t>
      </w:r>
    </w:p>
    <w:p w:rsidR="00EB3BC8" w:rsidRPr="005C7CD1" w:rsidRDefault="00EB3BC8" w:rsidP="000021B2">
      <w:pPr>
        <w:widowControl w:val="0"/>
        <w:numPr>
          <w:ilvl w:val="0"/>
          <w:numId w:val="19"/>
        </w:numPr>
        <w:tabs>
          <w:tab w:val="clear" w:pos="360"/>
          <w:tab w:val="left" w:pos="567"/>
        </w:tabs>
        <w:spacing w:after="0" w:line="240" w:lineRule="auto"/>
        <w:ind w:left="284" w:firstLine="0"/>
        <w:jc w:val="both"/>
        <w:rPr>
          <w:rFonts w:cstheme="minorHAnsi"/>
        </w:rPr>
      </w:pPr>
      <w:r w:rsidRPr="005C7CD1">
        <w:rPr>
          <w:rFonts w:cstheme="minorHAnsi"/>
        </w:rPr>
        <w:t>Obras adicionales en el Municipio de Villa del Rosario Sector de la Parada</w:t>
      </w:r>
      <w:r w:rsidRPr="005C7CD1">
        <w:rPr>
          <w:rFonts w:cstheme="minorHAnsi"/>
        </w:rPr>
        <w:tab/>
        <w:t>.</w:t>
      </w:r>
    </w:p>
    <w:p w:rsidR="00EB3BC8" w:rsidRPr="005C7CD1" w:rsidRDefault="00EB3BC8" w:rsidP="000021B2">
      <w:pPr>
        <w:widowControl w:val="0"/>
        <w:numPr>
          <w:ilvl w:val="0"/>
          <w:numId w:val="19"/>
        </w:numPr>
        <w:tabs>
          <w:tab w:val="clear" w:pos="360"/>
          <w:tab w:val="left" w:pos="567"/>
        </w:tabs>
        <w:spacing w:after="0" w:line="240" w:lineRule="auto"/>
        <w:ind w:left="284" w:firstLine="0"/>
        <w:jc w:val="both"/>
        <w:rPr>
          <w:rFonts w:cstheme="minorHAnsi"/>
        </w:rPr>
      </w:pPr>
      <w:r w:rsidRPr="005C7CD1">
        <w:rPr>
          <w:rFonts w:cstheme="minorHAnsi"/>
        </w:rPr>
        <w:t>Obras adicionales en el Municipio de Cúcuta (Glorieta Aeropuerto).</w:t>
      </w:r>
    </w:p>
    <w:p w:rsidR="00EB3BC8" w:rsidRPr="007810ED" w:rsidRDefault="00EB3BC8" w:rsidP="00EB3BC8">
      <w:pPr>
        <w:spacing w:line="240" w:lineRule="auto"/>
        <w:jc w:val="both"/>
        <w:rPr>
          <w:rFonts w:ascii="Arial" w:hAnsi="Arial" w:cs="Arial"/>
        </w:rPr>
      </w:pPr>
    </w:p>
    <w:p w:rsidR="00EB3BC8" w:rsidRPr="005C7CD1" w:rsidRDefault="00EB3BC8" w:rsidP="005C7CD1">
      <w:pPr>
        <w:pStyle w:val="Ttulo3"/>
        <w:keepNext w:val="0"/>
        <w:widowControl w:val="0"/>
        <w:tabs>
          <w:tab w:val="clear" w:pos="1923"/>
        </w:tabs>
        <w:spacing w:before="0"/>
        <w:ind w:left="0" w:firstLine="0"/>
        <w:rPr>
          <w:rFonts w:asciiTheme="minorHAnsi" w:hAnsiTheme="minorHAnsi" w:cstheme="minorHAnsi"/>
          <w:b w:val="0"/>
          <w:szCs w:val="22"/>
        </w:rPr>
      </w:pPr>
      <w:bookmarkStart w:id="87" w:name="_Toc315095903"/>
      <w:bookmarkStart w:id="88" w:name="_Toc341537180"/>
      <w:bookmarkStart w:id="89" w:name="_Toc356976327"/>
      <w:bookmarkStart w:id="90" w:name="_Toc426547746"/>
      <w:bookmarkStart w:id="91" w:name="_Toc426558475"/>
      <w:bookmarkStart w:id="92" w:name="_Toc426559219"/>
      <w:r w:rsidRPr="005C7CD1">
        <w:rPr>
          <w:rFonts w:asciiTheme="minorHAnsi" w:hAnsiTheme="minorHAnsi" w:cstheme="minorHAnsi"/>
          <w:szCs w:val="22"/>
        </w:rPr>
        <w:t>Alcance Progresivo del Proyecto</w:t>
      </w:r>
      <w:bookmarkEnd w:id="87"/>
      <w:bookmarkEnd w:id="88"/>
      <w:bookmarkEnd w:id="89"/>
      <w:bookmarkEnd w:id="90"/>
      <w:bookmarkEnd w:id="91"/>
      <w:bookmarkEnd w:id="92"/>
    </w:p>
    <w:p w:rsidR="00EB3BC8" w:rsidRPr="005C7CD1" w:rsidRDefault="00EB3BC8" w:rsidP="00EB3BC8">
      <w:pPr>
        <w:spacing w:line="240" w:lineRule="auto"/>
        <w:jc w:val="both"/>
        <w:rPr>
          <w:rFonts w:cstheme="minorHAnsi"/>
        </w:rPr>
      </w:pPr>
      <w:r w:rsidRPr="005C7CD1">
        <w:rPr>
          <w:rFonts w:cstheme="minorHAnsi"/>
        </w:rPr>
        <w:t>Las obras contempladas en el alcance progresivo de acuerdo a lo contenido en el apéndice E, del Contrato de Concesión, son las siguientes:</w:t>
      </w:r>
    </w:p>
    <w:p w:rsidR="00EB3BC8" w:rsidRPr="005C7CD1" w:rsidRDefault="00EB3BC8" w:rsidP="000021B2">
      <w:pPr>
        <w:widowControl w:val="0"/>
        <w:numPr>
          <w:ilvl w:val="0"/>
          <w:numId w:val="81"/>
        </w:numPr>
        <w:tabs>
          <w:tab w:val="left" w:pos="567"/>
        </w:tabs>
        <w:spacing w:after="0" w:line="240" w:lineRule="auto"/>
        <w:ind w:left="567" w:hanging="283"/>
        <w:jc w:val="both"/>
        <w:rPr>
          <w:rFonts w:cstheme="minorHAnsi"/>
        </w:rPr>
      </w:pPr>
      <w:r w:rsidRPr="005C7CD1">
        <w:rPr>
          <w:rFonts w:cstheme="minorHAnsi"/>
        </w:rPr>
        <w:t xml:space="preserve">Estudios y diseño para la rehabilitación y mejoramiento de la vía Cúcuta – Pamplona en una </w:t>
      </w:r>
      <w:r w:rsidRPr="005C7CD1">
        <w:rPr>
          <w:rFonts w:cstheme="minorHAnsi"/>
        </w:rPr>
        <w:lastRenderedPageBreak/>
        <w:t>longitud estimada de 74 Km. (Activado mediante otrosí No 5)</w:t>
      </w:r>
    </w:p>
    <w:p w:rsidR="00EB3BC8" w:rsidRPr="005C7CD1" w:rsidRDefault="00EB3BC8" w:rsidP="000021B2">
      <w:pPr>
        <w:widowControl w:val="0"/>
        <w:numPr>
          <w:ilvl w:val="0"/>
          <w:numId w:val="81"/>
        </w:numPr>
        <w:tabs>
          <w:tab w:val="left" w:pos="567"/>
        </w:tabs>
        <w:spacing w:after="0" w:line="240" w:lineRule="auto"/>
        <w:ind w:left="567" w:hanging="283"/>
        <w:jc w:val="both"/>
        <w:rPr>
          <w:rFonts w:cstheme="minorHAnsi"/>
        </w:rPr>
      </w:pPr>
      <w:r w:rsidRPr="005C7CD1">
        <w:rPr>
          <w:rFonts w:cstheme="minorHAnsi"/>
        </w:rPr>
        <w:t>Estudios y diseño para la rehabilitación y mejoramiento de la vía Cúcuta-Tibú – La Gabarra en una longitud estimada de 162 Km.</w:t>
      </w:r>
    </w:p>
    <w:p w:rsidR="00EB3BC8" w:rsidRPr="005C7CD1" w:rsidRDefault="00EB3BC8" w:rsidP="000021B2">
      <w:pPr>
        <w:widowControl w:val="0"/>
        <w:numPr>
          <w:ilvl w:val="0"/>
          <w:numId w:val="81"/>
        </w:numPr>
        <w:tabs>
          <w:tab w:val="left" w:pos="567"/>
        </w:tabs>
        <w:spacing w:after="0" w:line="240" w:lineRule="auto"/>
        <w:ind w:left="567" w:hanging="283"/>
        <w:jc w:val="both"/>
        <w:rPr>
          <w:rFonts w:cstheme="minorHAnsi"/>
        </w:rPr>
      </w:pPr>
      <w:r w:rsidRPr="005C7CD1">
        <w:rPr>
          <w:rFonts w:cstheme="minorHAnsi"/>
        </w:rPr>
        <w:t>Estudios y diseño para la construcción de la variante de Villa del Rosario en doble calzada, con una longitud estimada de 3,5 Km.</w:t>
      </w:r>
    </w:p>
    <w:p w:rsidR="00EB3BC8" w:rsidRPr="005C7CD1" w:rsidRDefault="00EB3BC8" w:rsidP="000021B2">
      <w:pPr>
        <w:widowControl w:val="0"/>
        <w:numPr>
          <w:ilvl w:val="0"/>
          <w:numId w:val="81"/>
        </w:numPr>
        <w:tabs>
          <w:tab w:val="left" w:pos="567"/>
        </w:tabs>
        <w:spacing w:after="0" w:line="240" w:lineRule="auto"/>
        <w:ind w:left="567" w:hanging="283"/>
        <w:jc w:val="both"/>
        <w:rPr>
          <w:rFonts w:cstheme="minorHAnsi"/>
        </w:rPr>
      </w:pPr>
      <w:r w:rsidRPr="005C7CD1">
        <w:rPr>
          <w:rFonts w:cstheme="minorHAnsi"/>
        </w:rPr>
        <w:t xml:space="preserve">Estudios, diseño y construcción del Puente sobre el Río Pamplonita en el anillo vial occidental de Cúcuta. </w:t>
      </w:r>
    </w:p>
    <w:p w:rsidR="00EB3BC8" w:rsidRPr="005C7CD1" w:rsidRDefault="00EB3BC8" w:rsidP="000021B2">
      <w:pPr>
        <w:widowControl w:val="0"/>
        <w:numPr>
          <w:ilvl w:val="0"/>
          <w:numId w:val="81"/>
        </w:numPr>
        <w:tabs>
          <w:tab w:val="left" w:pos="567"/>
        </w:tabs>
        <w:spacing w:after="0" w:line="240" w:lineRule="auto"/>
        <w:ind w:left="567" w:hanging="283"/>
        <w:jc w:val="both"/>
        <w:rPr>
          <w:rFonts w:cstheme="minorHAnsi"/>
        </w:rPr>
      </w:pPr>
      <w:r w:rsidRPr="005C7CD1">
        <w:rPr>
          <w:rFonts w:cstheme="minorHAnsi"/>
        </w:rPr>
        <w:t>Estudios y diseño para la rehabilitación y mejoramiento de la vía Tibú – El Tarra – Convención – La Mata en una longitud estimada de 205 Km. (Activado mediante contratos adicionales No 1 y 2)</w:t>
      </w:r>
    </w:p>
    <w:p w:rsidR="00EB3BC8" w:rsidRPr="007810ED" w:rsidRDefault="00EB3BC8" w:rsidP="00EB3BC8">
      <w:pPr>
        <w:spacing w:line="240" w:lineRule="auto"/>
        <w:jc w:val="both"/>
        <w:rPr>
          <w:rFonts w:ascii="Arial" w:hAnsi="Arial" w:cs="Arial"/>
          <w:lang w:eastAsia="x-none"/>
        </w:rPr>
      </w:pPr>
    </w:p>
    <w:p w:rsidR="00EB3BC8" w:rsidRPr="005C7CD1" w:rsidRDefault="00EB3BC8" w:rsidP="00EB3BC8">
      <w:pPr>
        <w:spacing w:line="240" w:lineRule="auto"/>
        <w:jc w:val="both"/>
        <w:rPr>
          <w:rFonts w:cstheme="minorHAnsi"/>
          <w:lang w:eastAsia="x-none"/>
        </w:rPr>
      </w:pPr>
      <w:r w:rsidRPr="005C7CD1">
        <w:rPr>
          <w:rFonts w:cstheme="minorHAnsi"/>
          <w:lang w:eastAsia="x-none"/>
        </w:rPr>
        <w:t xml:space="preserve">Hasta la fecha los alcances progresivos activados son: </w:t>
      </w:r>
    </w:p>
    <w:p w:rsidR="00EB3BC8" w:rsidRPr="005C7CD1" w:rsidRDefault="00EB3BC8" w:rsidP="000021B2">
      <w:pPr>
        <w:widowControl w:val="0"/>
        <w:numPr>
          <w:ilvl w:val="0"/>
          <w:numId w:val="20"/>
        </w:numPr>
        <w:spacing w:after="0" w:line="240" w:lineRule="auto"/>
        <w:jc w:val="both"/>
        <w:rPr>
          <w:rFonts w:cstheme="minorHAnsi"/>
        </w:rPr>
      </w:pPr>
      <w:r w:rsidRPr="005C7CD1">
        <w:rPr>
          <w:rFonts w:cstheme="minorHAnsi"/>
        </w:rPr>
        <w:t xml:space="preserve">Mediante el Otrosí 5 se activó parcialmente el Alcance Progresivo No. 1 en lo que se refiere: </w:t>
      </w:r>
    </w:p>
    <w:p w:rsidR="00EB3BC8" w:rsidRPr="005C7CD1" w:rsidRDefault="00EB3BC8" w:rsidP="000021B2">
      <w:pPr>
        <w:widowControl w:val="0"/>
        <w:numPr>
          <w:ilvl w:val="1"/>
          <w:numId w:val="21"/>
        </w:numPr>
        <w:tabs>
          <w:tab w:val="clear" w:pos="645"/>
        </w:tabs>
        <w:spacing w:after="0" w:line="240" w:lineRule="auto"/>
        <w:ind w:left="567" w:hanging="283"/>
        <w:jc w:val="both"/>
        <w:rPr>
          <w:rFonts w:cstheme="minorHAnsi"/>
        </w:rPr>
      </w:pPr>
      <w:r w:rsidRPr="005C7CD1">
        <w:rPr>
          <w:rFonts w:cstheme="minorHAnsi"/>
        </w:rPr>
        <w:t>Ejecución de los estudios, diseños y obras de construcción de la segunda calzada del corredor Cúcuta – Pamplona incluyendo la variante pamplona en una extensión aproximada de 68 Km.</w:t>
      </w:r>
    </w:p>
    <w:p w:rsidR="00EB3BC8" w:rsidRPr="005C7CD1" w:rsidRDefault="00EB3BC8" w:rsidP="000021B2">
      <w:pPr>
        <w:widowControl w:val="0"/>
        <w:numPr>
          <w:ilvl w:val="1"/>
          <w:numId w:val="21"/>
        </w:numPr>
        <w:tabs>
          <w:tab w:val="clear" w:pos="645"/>
        </w:tabs>
        <w:spacing w:after="0" w:line="240" w:lineRule="auto"/>
        <w:ind w:left="567" w:hanging="283"/>
        <w:jc w:val="both"/>
        <w:rPr>
          <w:rFonts w:cstheme="minorHAnsi"/>
        </w:rPr>
      </w:pPr>
      <w:r w:rsidRPr="005C7CD1">
        <w:rPr>
          <w:rFonts w:cstheme="minorHAnsi"/>
        </w:rPr>
        <w:t>Operación de las casetas de peaje y pesaje Los Acacios.</w:t>
      </w:r>
    </w:p>
    <w:p w:rsidR="00EB3BC8" w:rsidRPr="005C7CD1" w:rsidRDefault="00EB3BC8" w:rsidP="000021B2">
      <w:pPr>
        <w:widowControl w:val="0"/>
        <w:numPr>
          <w:ilvl w:val="1"/>
          <w:numId w:val="21"/>
        </w:numPr>
        <w:tabs>
          <w:tab w:val="clear" w:pos="645"/>
        </w:tabs>
        <w:spacing w:after="0" w:line="240" w:lineRule="auto"/>
        <w:ind w:left="567" w:hanging="283"/>
        <w:jc w:val="both"/>
        <w:rPr>
          <w:rFonts w:cstheme="minorHAnsi"/>
        </w:rPr>
      </w:pPr>
      <w:r w:rsidRPr="005C7CD1">
        <w:rPr>
          <w:rFonts w:cstheme="minorHAnsi"/>
        </w:rPr>
        <w:t>Mantenimiento rutinario de la calzada existente entre Cúcuta - Pamplona en una extensión aproximada de sesenta (60) kilómetros.</w:t>
      </w:r>
    </w:p>
    <w:p w:rsidR="00EB3BC8" w:rsidRPr="005C7CD1" w:rsidRDefault="00EB3BC8" w:rsidP="00EB3BC8">
      <w:pPr>
        <w:widowControl w:val="0"/>
        <w:spacing w:line="240" w:lineRule="auto"/>
        <w:ind w:left="642"/>
        <w:jc w:val="both"/>
        <w:rPr>
          <w:rFonts w:cstheme="minorHAnsi"/>
        </w:rPr>
      </w:pPr>
    </w:p>
    <w:p w:rsidR="00EB3BC8" w:rsidRPr="005C7CD1" w:rsidRDefault="00EB3BC8" w:rsidP="000021B2">
      <w:pPr>
        <w:widowControl w:val="0"/>
        <w:numPr>
          <w:ilvl w:val="0"/>
          <w:numId w:val="20"/>
        </w:numPr>
        <w:spacing w:after="0" w:line="240" w:lineRule="auto"/>
        <w:jc w:val="both"/>
        <w:rPr>
          <w:rFonts w:cstheme="minorHAnsi"/>
        </w:rPr>
      </w:pPr>
      <w:r w:rsidRPr="005C7CD1">
        <w:rPr>
          <w:rFonts w:cstheme="minorHAnsi"/>
        </w:rPr>
        <w:t xml:space="preserve">Mediante el Otrosí No 7 suscrito el 15 de Julio de 2010 entre el INCO (Hoy Agencia Nacional de  Infraestructura)  y la sociedad concesionaria San Simón S.A. dentro del Contrato de Concesión N° 006 de 2007 proyecto Área Metropolitana de Cúcuta y Norte de Santander, se contrataron las siguientes obras: </w:t>
      </w:r>
    </w:p>
    <w:p w:rsidR="00EB3BC8" w:rsidRPr="005C7CD1" w:rsidRDefault="00EB3BC8" w:rsidP="00EB3BC8">
      <w:pPr>
        <w:pStyle w:val="Ttulo4"/>
        <w:keepNext w:val="0"/>
        <w:widowControl w:val="0"/>
        <w:spacing w:before="0"/>
        <w:ind w:left="567"/>
        <w:jc w:val="both"/>
        <w:rPr>
          <w:rFonts w:asciiTheme="minorHAnsi" w:hAnsiTheme="minorHAnsi" w:cstheme="minorHAnsi"/>
        </w:rPr>
      </w:pPr>
    </w:p>
    <w:p w:rsidR="00EB3BC8" w:rsidRPr="005C7CD1" w:rsidRDefault="00EB3BC8" w:rsidP="000021B2">
      <w:pPr>
        <w:pStyle w:val="Ttulo4"/>
        <w:keepNext w:val="0"/>
        <w:widowControl w:val="0"/>
        <w:numPr>
          <w:ilvl w:val="0"/>
          <w:numId w:val="22"/>
        </w:numPr>
        <w:spacing w:before="0"/>
        <w:ind w:left="567" w:hanging="284"/>
        <w:jc w:val="both"/>
        <w:rPr>
          <w:rFonts w:asciiTheme="minorHAnsi" w:hAnsiTheme="minorHAnsi" w:cstheme="minorHAnsi"/>
          <w:caps/>
        </w:rPr>
      </w:pPr>
      <w:r w:rsidRPr="005C7CD1">
        <w:rPr>
          <w:rFonts w:asciiTheme="minorHAnsi" w:hAnsiTheme="minorHAnsi" w:cstheme="minorHAnsi"/>
        </w:rPr>
        <w:t>Restablecimiento de la banca en los siguientes puntos críticos: pr125+040, pr117+450, pr117+350, pr113+000, pr99+500, 81+700, pr76+500 y pr73+100 de la calzada existente Cúcuta - Pamplona; los primeros siete puntos señalados, están ordenados en forma descendente en el sentido Cúcuta - Pamplona y requieren de estudios y diseños.</w:t>
      </w:r>
    </w:p>
    <w:p w:rsidR="00EB3BC8" w:rsidRPr="005C7CD1" w:rsidRDefault="00EB3BC8" w:rsidP="000021B2">
      <w:pPr>
        <w:pStyle w:val="Ttulo4"/>
        <w:keepNext w:val="0"/>
        <w:widowControl w:val="0"/>
        <w:numPr>
          <w:ilvl w:val="0"/>
          <w:numId w:val="22"/>
        </w:numPr>
        <w:spacing w:before="0"/>
        <w:ind w:left="567" w:hanging="283"/>
        <w:jc w:val="both"/>
        <w:rPr>
          <w:rFonts w:asciiTheme="minorHAnsi" w:hAnsiTheme="minorHAnsi" w:cstheme="minorHAnsi"/>
          <w:caps/>
        </w:rPr>
      </w:pPr>
      <w:r w:rsidRPr="005C7CD1">
        <w:rPr>
          <w:rFonts w:asciiTheme="minorHAnsi" w:hAnsiTheme="minorHAnsi" w:cstheme="minorHAnsi"/>
        </w:rPr>
        <w:t>Mantenimiento periódico calzada existente Cúcuta – Pamplona</w:t>
      </w:r>
    </w:p>
    <w:p w:rsidR="00EB3BC8" w:rsidRPr="005C7CD1" w:rsidRDefault="00EB3BC8" w:rsidP="00EB3BC8">
      <w:pPr>
        <w:pStyle w:val="Ttulo4"/>
        <w:keepNext w:val="0"/>
        <w:widowControl w:val="0"/>
        <w:spacing w:before="0"/>
        <w:jc w:val="both"/>
        <w:rPr>
          <w:rFonts w:asciiTheme="minorHAnsi" w:hAnsiTheme="minorHAnsi" w:cstheme="minorHAnsi"/>
        </w:rPr>
      </w:pPr>
      <w:r w:rsidRPr="005C7CD1">
        <w:rPr>
          <w:rFonts w:asciiTheme="minorHAnsi" w:hAnsiTheme="minorHAnsi" w:cstheme="minorHAnsi"/>
        </w:rPr>
        <w:t xml:space="preserve">          Construcción de 9 km aproximados, de la segunda calzada Cúcuta  - Pamplona.</w:t>
      </w:r>
    </w:p>
    <w:p w:rsidR="00EB3BC8" w:rsidRPr="005C7CD1" w:rsidRDefault="00EB3BC8" w:rsidP="00EB3BC8">
      <w:pPr>
        <w:widowControl w:val="0"/>
        <w:spacing w:line="240" w:lineRule="auto"/>
        <w:jc w:val="both"/>
        <w:rPr>
          <w:rFonts w:cstheme="minorHAnsi"/>
        </w:rPr>
      </w:pPr>
    </w:p>
    <w:p w:rsidR="00EB3BC8" w:rsidRPr="005C7CD1" w:rsidRDefault="00EB3BC8" w:rsidP="000021B2">
      <w:pPr>
        <w:widowControl w:val="0"/>
        <w:numPr>
          <w:ilvl w:val="0"/>
          <w:numId w:val="20"/>
        </w:numPr>
        <w:spacing w:after="0" w:line="240" w:lineRule="auto"/>
        <w:jc w:val="both"/>
        <w:rPr>
          <w:rFonts w:cstheme="minorHAnsi"/>
        </w:rPr>
      </w:pPr>
      <w:r w:rsidRPr="005C7CD1">
        <w:rPr>
          <w:rFonts w:cstheme="minorHAnsi"/>
        </w:rPr>
        <w:t xml:space="preserve">Mediante el contrato Adicional 1 se activó el Alcance Progresivo No. 5 y su objeto quedo establecido de la siguiente forma: </w:t>
      </w:r>
    </w:p>
    <w:p w:rsidR="00EB3BC8" w:rsidRPr="005C7CD1" w:rsidRDefault="00EB3BC8" w:rsidP="00EB3BC8">
      <w:pPr>
        <w:widowControl w:val="0"/>
        <w:spacing w:line="240" w:lineRule="auto"/>
        <w:ind w:left="642"/>
        <w:jc w:val="both"/>
        <w:rPr>
          <w:rFonts w:cstheme="minorHAnsi"/>
        </w:rPr>
      </w:pPr>
    </w:p>
    <w:p w:rsidR="00EB3BC8" w:rsidRPr="005C7CD1" w:rsidRDefault="00EB3BC8" w:rsidP="000021B2">
      <w:pPr>
        <w:widowControl w:val="0"/>
        <w:numPr>
          <w:ilvl w:val="1"/>
          <w:numId w:val="23"/>
        </w:numPr>
        <w:tabs>
          <w:tab w:val="clear" w:pos="645"/>
          <w:tab w:val="num" w:pos="567"/>
        </w:tabs>
        <w:spacing w:after="0" w:line="240" w:lineRule="auto"/>
        <w:ind w:left="567" w:hanging="283"/>
        <w:jc w:val="both"/>
        <w:rPr>
          <w:rFonts w:cstheme="minorHAnsi"/>
        </w:rPr>
      </w:pPr>
      <w:r w:rsidRPr="005C7CD1">
        <w:rPr>
          <w:rFonts w:cstheme="minorHAnsi"/>
        </w:rPr>
        <w:t>Elaborar los estudios y diseños para el mejoramiento del tramo de Tibú a El Tarra, en una longitud aproximada de 70 km.</w:t>
      </w:r>
    </w:p>
    <w:p w:rsidR="00EB3BC8" w:rsidRPr="005C7CD1" w:rsidRDefault="00EB3BC8" w:rsidP="000021B2">
      <w:pPr>
        <w:widowControl w:val="0"/>
        <w:numPr>
          <w:ilvl w:val="1"/>
          <w:numId w:val="23"/>
        </w:numPr>
        <w:tabs>
          <w:tab w:val="clear" w:pos="645"/>
          <w:tab w:val="num" w:pos="567"/>
        </w:tabs>
        <w:spacing w:after="0" w:line="240" w:lineRule="auto"/>
        <w:ind w:left="567" w:hanging="283"/>
        <w:jc w:val="both"/>
        <w:rPr>
          <w:rFonts w:cstheme="minorHAnsi"/>
        </w:rPr>
      </w:pPr>
      <w:r w:rsidRPr="005C7CD1">
        <w:rPr>
          <w:rFonts w:cstheme="minorHAnsi"/>
        </w:rPr>
        <w:t>Mejoramiento y recuperación del tramo Tibú – El Tarra con el fin de garantizar la transitabilidad del K16+100 al K70+000.</w:t>
      </w:r>
    </w:p>
    <w:p w:rsidR="00EB3BC8" w:rsidRPr="005C7CD1" w:rsidRDefault="00EB3BC8" w:rsidP="000021B2">
      <w:pPr>
        <w:widowControl w:val="0"/>
        <w:numPr>
          <w:ilvl w:val="1"/>
          <w:numId w:val="23"/>
        </w:numPr>
        <w:tabs>
          <w:tab w:val="clear" w:pos="645"/>
          <w:tab w:val="num" w:pos="567"/>
        </w:tabs>
        <w:spacing w:after="0" w:line="240" w:lineRule="auto"/>
        <w:ind w:left="567" w:hanging="283"/>
        <w:jc w:val="both"/>
        <w:rPr>
          <w:rFonts w:cstheme="minorHAnsi"/>
        </w:rPr>
      </w:pPr>
      <w:r w:rsidRPr="005C7CD1">
        <w:rPr>
          <w:rFonts w:cstheme="minorHAnsi"/>
        </w:rPr>
        <w:t>Construcción a nivel de subbase de 16.1 km de vía entre Tibú y Orú (K0+000 – K16+100).</w:t>
      </w:r>
    </w:p>
    <w:p w:rsidR="00EB3BC8" w:rsidRPr="005C7CD1" w:rsidRDefault="00EB3BC8" w:rsidP="000021B2">
      <w:pPr>
        <w:widowControl w:val="0"/>
        <w:numPr>
          <w:ilvl w:val="1"/>
          <w:numId w:val="23"/>
        </w:numPr>
        <w:tabs>
          <w:tab w:val="clear" w:pos="645"/>
          <w:tab w:val="num" w:pos="567"/>
        </w:tabs>
        <w:spacing w:after="0" w:line="240" w:lineRule="auto"/>
        <w:ind w:left="567" w:hanging="283"/>
        <w:jc w:val="both"/>
        <w:rPr>
          <w:rFonts w:cstheme="minorHAnsi"/>
        </w:rPr>
      </w:pPr>
      <w:r w:rsidRPr="005C7CD1">
        <w:rPr>
          <w:rFonts w:cstheme="minorHAnsi"/>
        </w:rPr>
        <w:t>Gestión ambiental.</w:t>
      </w:r>
    </w:p>
    <w:p w:rsidR="00EB3BC8" w:rsidRPr="005C7CD1" w:rsidRDefault="00EB3BC8" w:rsidP="000021B2">
      <w:pPr>
        <w:widowControl w:val="0"/>
        <w:numPr>
          <w:ilvl w:val="1"/>
          <w:numId w:val="23"/>
        </w:numPr>
        <w:tabs>
          <w:tab w:val="clear" w:pos="645"/>
          <w:tab w:val="num" w:pos="567"/>
        </w:tabs>
        <w:spacing w:after="0" w:line="240" w:lineRule="auto"/>
        <w:ind w:left="567" w:hanging="283"/>
        <w:jc w:val="both"/>
        <w:rPr>
          <w:rFonts w:cstheme="minorHAnsi"/>
        </w:rPr>
      </w:pPr>
      <w:r w:rsidRPr="005C7CD1">
        <w:rPr>
          <w:rFonts w:cstheme="minorHAnsi"/>
        </w:rPr>
        <w:t>Gestión predial.</w:t>
      </w:r>
    </w:p>
    <w:p w:rsidR="00EB3BC8" w:rsidRPr="005C7CD1" w:rsidRDefault="00EB3BC8" w:rsidP="00EB3BC8">
      <w:pPr>
        <w:widowControl w:val="0"/>
        <w:spacing w:line="240" w:lineRule="auto"/>
        <w:jc w:val="both"/>
        <w:rPr>
          <w:rFonts w:cstheme="minorHAnsi"/>
        </w:rPr>
      </w:pPr>
    </w:p>
    <w:p w:rsidR="00EB3BC8" w:rsidRPr="005C7CD1" w:rsidRDefault="00EB3BC8" w:rsidP="000021B2">
      <w:pPr>
        <w:widowControl w:val="0"/>
        <w:numPr>
          <w:ilvl w:val="0"/>
          <w:numId w:val="20"/>
        </w:numPr>
        <w:spacing w:after="0" w:line="240" w:lineRule="auto"/>
        <w:jc w:val="both"/>
        <w:rPr>
          <w:rFonts w:cstheme="minorHAnsi"/>
        </w:rPr>
      </w:pPr>
      <w:r w:rsidRPr="005C7CD1">
        <w:rPr>
          <w:rFonts w:cstheme="minorHAnsi"/>
        </w:rPr>
        <w:t xml:space="preserve">Mediante el contrato Adicional 2 se dio continuidad el Alcance Progresivo No. 5 y su objeto </w:t>
      </w:r>
      <w:r w:rsidRPr="005C7CD1">
        <w:rPr>
          <w:rFonts w:cstheme="minorHAnsi"/>
        </w:rPr>
        <w:lastRenderedPageBreak/>
        <w:t xml:space="preserve">quedó establecido de la siguiente forma: Activar parcialmente el alcance progresivo Tibú – El Tarra – Convención – La Mata del contrato de concesión No. 006 del 02 de Agosto de 2007 proyecto vial Área Metropolitana de Cúcuta y Norte de Santander para: </w:t>
      </w:r>
    </w:p>
    <w:p w:rsidR="00EB3BC8" w:rsidRPr="005C7CD1" w:rsidRDefault="00EB3BC8" w:rsidP="000021B2">
      <w:pPr>
        <w:widowControl w:val="0"/>
        <w:numPr>
          <w:ilvl w:val="0"/>
          <w:numId w:val="24"/>
        </w:numPr>
        <w:spacing w:after="0" w:line="240" w:lineRule="auto"/>
        <w:ind w:left="567" w:hanging="283"/>
        <w:jc w:val="both"/>
        <w:rPr>
          <w:rFonts w:cstheme="minorHAnsi"/>
        </w:rPr>
      </w:pPr>
      <w:r w:rsidRPr="005C7CD1">
        <w:rPr>
          <w:rFonts w:cstheme="minorHAnsi"/>
        </w:rPr>
        <w:t>El mejoramiento a nivel de subbase del tramo Tibú – El Tarra, inicialmente estimado entre el Km 016+100 y el Km 33+100.</w:t>
      </w:r>
    </w:p>
    <w:p w:rsidR="00EB3BC8" w:rsidRPr="005C7CD1" w:rsidRDefault="00EB3BC8" w:rsidP="000021B2">
      <w:pPr>
        <w:widowControl w:val="0"/>
        <w:numPr>
          <w:ilvl w:val="0"/>
          <w:numId w:val="24"/>
        </w:numPr>
        <w:spacing w:after="0" w:line="240" w:lineRule="auto"/>
        <w:ind w:left="567" w:hanging="283"/>
        <w:jc w:val="both"/>
        <w:rPr>
          <w:rFonts w:cstheme="minorHAnsi"/>
        </w:rPr>
      </w:pPr>
      <w:r w:rsidRPr="005C7CD1">
        <w:rPr>
          <w:rFonts w:cstheme="minorHAnsi"/>
        </w:rPr>
        <w:t>La Ejecución de obras que garanticen la transitabilidad en el corredor El Tarra – Convención – La Mata con un alcance que será determinado y valorado a partir de un recorrido técnico entre el INCO (Agencia Nacional de Infraestructura), la Interventoría y el concesionario.</w:t>
      </w:r>
    </w:p>
    <w:p w:rsidR="00EB3BC8" w:rsidRPr="007810ED" w:rsidRDefault="00EB3BC8" w:rsidP="00EB3BC8">
      <w:pPr>
        <w:widowControl w:val="0"/>
        <w:spacing w:line="240" w:lineRule="auto"/>
        <w:jc w:val="both"/>
        <w:rPr>
          <w:rFonts w:ascii="Arial" w:hAnsi="Arial" w:cs="Arial"/>
        </w:rPr>
      </w:pPr>
    </w:p>
    <w:p w:rsidR="00EB3BC8" w:rsidRPr="005C7CD1" w:rsidRDefault="00EB3BC8" w:rsidP="005C7CD1">
      <w:pPr>
        <w:pStyle w:val="Descripcin"/>
        <w:ind w:left="1287"/>
        <w:jc w:val="center"/>
        <w:rPr>
          <w:rFonts w:asciiTheme="minorHAnsi" w:hAnsiTheme="minorHAnsi" w:cstheme="minorHAnsi"/>
        </w:rPr>
      </w:pPr>
      <w:r w:rsidRPr="005C7CD1">
        <w:rPr>
          <w:rFonts w:asciiTheme="minorHAnsi" w:hAnsiTheme="minorHAnsi" w:cstheme="minorHAnsi"/>
        </w:rPr>
        <w:t>Tramos del alcance progresivo</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2"/>
        <w:gridCol w:w="2131"/>
        <w:gridCol w:w="1483"/>
        <w:gridCol w:w="2127"/>
      </w:tblGrid>
      <w:tr w:rsidR="00EB3BC8" w:rsidRPr="005C7CD1" w:rsidTr="005E52E0">
        <w:trPr>
          <w:jc w:val="center"/>
        </w:trPr>
        <w:tc>
          <w:tcPr>
            <w:tcW w:w="3752" w:type="dxa"/>
            <w:shd w:val="clear" w:color="auto" w:fill="C6D9F1"/>
            <w:vAlign w:val="center"/>
          </w:tcPr>
          <w:p w:rsidR="00EB3BC8" w:rsidRPr="005C7CD1" w:rsidRDefault="00EB3BC8" w:rsidP="005E52E0">
            <w:pPr>
              <w:spacing w:line="240" w:lineRule="auto"/>
              <w:jc w:val="both"/>
              <w:rPr>
                <w:rFonts w:cstheme="minorHAnsi"/>
                <w:b/>
              </w:rPr>
            </w:pPr>
            <w:r w:rsidRPr="005C7CD1">
              <w:rPr>
                <w:rFonts w:cstheme="minorHAnsi"/>
                <w:b/>
              </w:rPr>
              <w:t>Tramo</w:t>
            </w:r>
          </w:p>
        </w:tc>
        <w:tc>
          <w:tcPr>
            <w:tcW w:w="2131" w:type="dxa"/>
            <w:shd w:val="clear" w:color="auto" w:fill="C6D9F1"/>
            <w:vAlign w:val="center"/>
          </w:tcPr>
          <w:p w:rsidR="00EB3BC8" w:rsidRPr="005C7CD1" w:rsidRDefault="00EB3BC8" w:rsidP="005E52E0">
            <w:pPr>
              <w:spacing w:line="240" w:lineRule="auto"/>
              <w:jc w:val="both"/>
              <w:rPr>
                <w:rFonts w:cstheme="minorHAnsi"/>
                <w:b/>
              </w:rPr>
            </w:pPr>
            <w:r w:rsidRPr="005C7CD1">
              <w:rPr>
                <w:rFonts w:cstheme="minorHAnsi"/>
                <w:b/>
              </w:rPr>
              <w:t>Descripción Calzada</w:t>
            </w:r>
          </w:p>
        </w:tc>
        <w:tc>
          <w:tcPr>
            <w:tcW w:w="1483" w:type="dxa"/>
            <w:shd w:val="clear" w:color="auto" w:fill="C6D9F1"/>
            <w:vAlign w:val="center"/>
          </w:tcPr>
          <w:p w:rsidR="00EB3BC8" w:rsidRPr="005C7CD1" w:rsidRDefault="00EB3BC8" w:rsidP="005E52E0">
            <w:pPr>
              <w:spacing w:line="240" w:lineRule="auto"/>
              <w:jc w:val="both"/>
              <w:rPr>
                <w:rFonts w:cstheme="minorHAnsi"/>
                <w:b/>
              </w:rPr>
            </w:pPr>
            <w:r w:rsidRPr="005C7CD1">
              <w:rPr>
                <w:rFonts w:cstheme="minorHAnsi"/>
                <w:b/>
              </w:rPr>
              <w:t>Longitud (Km)*</w:t>
            </w:r>
          </w:p>
        </w:tc>
        <w:tc>
          <w:tcPr>
            <w:tcW w:w="2127" w:type="dxa"/>
            <w:shd w:val="clear" w:color="auto" w:fill="C6D9F1"/>
          </w:tcPr>
          <w:p w:rsidR="00EB3BC8" w:rsidRPr="005C7CD1" w:rsidRDefault="00EB3BC8" w:rsidP="005E52E0">
            <w:pPr>
              <w:spacing w:line="240" w:lineRule="auto"/>
              <w:jc w:val="both"/>
              <w:rPr>
                <w:rFonts w:cstheme="minorHAnsi"/>
                <w:b/>
              </w:rPr>
            </w:pPr>
            <w:r w:rsidRPr="005C7CD1">
              <w:rPr>
                <w:rFonts w:cstheme="minorHAnsi"/>
                <w:b/>
              </w:rPr>
              <w:t>Estado</w:t>
            </w:r>
          </w:p>
        </w:tc>
      </w:tr>
      <w:tr w:rsidR="00EB3BC8" w:rsidRPr="005C7CD1" w:rsidTr="005E52E0">
        <w:trPr>
          <w:trHeight w:val="593"/>
          <w:jc w:val="center"/>
        </w:trPr>
        <w:tc>
          <w:tcPr>
            <w:tcW w:w="3752" w:type="dxa"/>
            <w:vAlign w:val="center"/>
          </w:tcPr>
          <w:p w:rsidR="00EB3BC8" w:rsidRPr="005C7CD1" w:rsidRDefault="00EB3BC8" w:rsidP="005E52E0">
            <w:pPr>
              <w:spacing w:line="240" w:lineRule="auto"/>
              <w:jc w:val="both"/>
              <w:rPr>
                <w:rFonts w:cstheme="minorHAnsi"/>
              </w:rPr>
            </w:pPr>
            <w:r w:rsidRPr="005C7CD1">
              <w:rPr>
                <w:rFonts w:cstheme="minorHAnsi"/>
              </w:rPr>
              <w:t>Construcción de la segunda calzada Cúcuta Pamplona</w:t>
            </w:r>
          </w:p>
        </w:tc>
        <w:tc>
          <w:tcPr>
            <w:tcW w:w="2131" w:type="dxa"/>
            <w:vAlign w:val="center"/>
          </w:tcPr>
          <w:p w:rsidR="00EB3BC8" w:rsidRPr="005C7CD1" w:rsidRDefault="00EB3BC8" w:rsidP="005E52E0">
            <w:pPr>
              <w:spacing w:line="240" w:lineRule="auto"/>
              <w:jc w:val="both"/>
              <w:rPr>
                <w:rFonts w:cstheme="minorHAnsi"/>
              </w:rPr>
            </w:pPr>
            <w:r w:rsidRPr="005C7CD1">
              <w:rPr>
                <w:rFonts w:cstheme="minorHAnsi"/>
              </w:rPr>
              <w:t>Doble calzada</w:t>
            </w:r>
          </w:p>
        </w:tc>
        <w:tc>
          <w:tcPr>
            <w:tcW w:w="1483" w:type="dxa"/>
            <w:vAlign w:val="center"/>
          </w:tcPr>
          <w:p w:rsidR="00EB3BC8" w:rsidRPr="005C7CD1" w:rsidRDefault="00EB3BC8" w:rsidP="005E52E0">
            <w:pPr>
              <w:spacing w:line="240" w:lineRule="auto"/>
              <w:jc w:val="both"/>
              <w:rPr>
                <w:rFonts w:cstheme="minorHAnsi"/>
              </w:rPr>
            </w:pPr>
            <w:r w:rsidRPr="005C7CD1">
              <w:rPr>
                <w:rFonts w:cstheme="minorHAnsi"/>
              </w:rPr>
              <w:t>74</w:t>
            </w:r>
          </w:p>
        </w:tc>
        <w:tc>
          <w:tcPr>
            <w:tcW w:w="2127" w:type="dxa"/>
          </w:tcPr>
          <w:p w:rsidR="00EB3BC8" w:rsidRPr="005C7CD1" w:rsidRDefault="00EB3BC8" w:rsidP="005E52E0">
            <w:pPr>
              <w:spacing w:line="240" w:lineRule="auto"/>
              <w:jc w:val="both"/>
              <w:rPr>
                <w:rFonts w:cstheme="minorHAnsi"/>
              </w:rPr>
            </w:pPr>
            <w:r w:rsidRPr="005C7CD1">
              <w:rPr>
                <w:rFonts w:cstheme="minorHAnsi"/>
              </w:rPr>
              <w:t>Activado parcialmente.</w:t>
            </w:r>
          </w:p>
        </w:tc>
      </w:tr>
      <w:tr w:rsidR="00EB3BC8" w:rsidRPr="005C7CD1" w:rsidTr="005E52E0">
        <w:trPr>
          <w:trHeight w:val="754"/>
          <w:jc w:val="center"/>
        </w:trPr>
        <w:tc>
          <w:tcPr>
            <w:tcW w:w="3752" w:type="dxa"/>
            <w:vAlign w:val="center"/>
          </w:tcPr>
          <w:p w:rsidR="00EB3BC8" w:rsidRPr="005C7CD1" w:rsidRDefault="00EB3BC8" w:rsidP="005E52E0">
            <w:pPr>
              <w:spacing w:line="240" w:lineRule="auto"/>
              <w:jc w:val="both"/>
              <w:rPr>
                <w:rFonts w:cstheme="minorHAnsi"/>
              </w:rPr>
            </w:pPr>
            <w:r w:rsidRPr="005C7CD1">
              <w:rPr>
                <w:rFonts w:cstheme="minorHAnsi"/>
              </w:rPr>
              <w:t>Rehabilitación y mejoramiento de la Vía Cúcuta-Tibú-La Gabarra</w:t>
            </w:r>
          </w:p>
        </w:tc>
        <w:tc>
          <w:tcPr>
            <w:tcW w:w="2131" w:type="dxa"/>
            <w:vAlign w:val="center"/>
          </w:tcPr>
          <w:p w:rsidR="00EB3BC8" w:rsidRPr="005C7CD1" w:rsidRDefault="00EB3BC8" w:rsidP="005E52E0">
            <w:pPr>
              <w:spacing w:line="240" w:lineRule="auto"/>
              <w:jc w:val="both"/>
              <w:rPr>
                <w:rFonts w:cstheme="minorHAnsi"/>
              </w:rPr>
            </w:pPr>
            <w:r w:rsidRPr="005C7CD1">
              <w:rPr>
                <w:rFonts w:cstheme="minorHAnsi"/>
              </w:rPr>
              <w:t>Calzada Sencilla</w:t>
            </w:r>
          </w:p>
        </w:tc>
        <w:tc>
          <w:tcPr>
            <w:tcW w:w="1483" w:type="dxa"/>
            <w:vAlign w:val="center"/>
          </w:tcPr>
          <w:p w:rsidR="00EB3BC8" w:rsidRPr="005C7CD1" w:rsidRDefault="00EB3BC8" w:rsidP="005E52E0">
            <w:pPr>
              <w:spacing w:line="240" w:lineRule="auto"/>
              <w:jc w:val="both"/>
              <w:rPr>
                <w:rFonts w:cstheme="minorHAnsi"/>
              </w:rPr>
            </w:pPr>
            <w:r w:rsidRPr="005C7CD1">
              <w:rPr>
                <w:rFonts w:cstheme="minorHAnsi"/>
              </w:rPr>
              <w:t>162</w:t>
            </w:r>
          </w:p>
        </w:tc>
        <w:tc>
          <w:tcPr>
            <w:tcW w:w="2127" w:type="dxa"/>
          </w:tcPr>
          <w:p w:rsidR="00EB3BC8" w:rsidRPr="005C7CD1" w:rsidRDefault="00EB3BC8" w:rsidP="005E52E0">
            <w:pPr>
              <w:spacing w:line="240" w:lineRule="auto"/>
              <w:jc w:val="both"/>
              <w:rPr>
                <w:rFonts w:cstheme="minorHAnsi"/>
              </w:rPr>
            </w:pPr>
            <w:r w:rsidRPr="005C7CD1">
              <w:rPr>
                <w:rFonts w:cstheme="minorHAnsi"/>
              </w:rPr>
              <w:t>Sin activar</w:t>
            </w:r>
          </w:p>
          <w:p w:rsidR="00EB3BC8" w:rsidRPr="005C7CD1" w:rsidRDefault="00EB3BC8" w:rsidP="005E52E0">
            <w:pPr>
              <w:spacing w:line="240" w:lineRule="auto"/>
              <w:jc w:val="both"/>
              <w:rPr>
                <w:rFonts w:cstheme="minorHAnsi"/>
              </w:rPr>
            </w:pPr>
          </w:p>
        </w:tc>
      </w:tr>
      <w:tr w:rsidR="00EB3BC8" w:rsidRPr="005C7CD1" w:rsidTr="005E52E0">
        <w:trPr>
          <w:trHeight w:val="643"/>
          <w:jc w:val="center"/>
        </w:trPr>
        <w:tc>
          <w:tcPr>
            <w:tcW w:w="3752" w:type="dxa"/>
            <w:vAlign w:val="center"/>
          </w:tcPr>
          <w:p w:rsidR="00EB3BC8" w:rsidRPr="005C7CD1" w:rsidRDefault="00EB3BC8" w:rsidP="005E52E0">
            <w:pPr>
              <w:spacing w:line="240" w:lineRule="auto"/>
              <w:jc w:val="both"/>
              <w:rPr>
                <w:rFonts w:cstheme="minorHAnsi"/>
              </w:rPr>
            </w:pPr>
            <w:r w:rsidRPr="005C7CD1">
              <w:rPr>
                <w:rFonts w:cstheme="minorHAnsi"/>
              </w:rPr>
              <w:t>Construcción de la variante a Villa del Rosario</w:t>
            </w:r>
          </w:p>
        </w:tc>
        <w:tc>
          <w:tcPr>
            <w:tcW w:w="2131" w:type="dxa"/>
            <w:vAlign w:val="center"/>
          </w:tcPr>
          <w:p w:rsidR="00EB3BC8" w:rsidRPr="005C7CD1" w:rsidRDefault="00EB3BC8" w:rsidP="005E52E0">
            <w:pPr>
              <w:spacing w:line="240" w:lineRule="auto"/>
              <w:jc w:val="both"/>
              <w:rPr>
                <w:rFonts w:cstheme="minorHAnsi"/>
              </w:rPr>
            </w:pPr>
            <w:r w:rsidRPr="005C7CD1">
              <w:rPr>
                <w:rFonts w:cstheme="minorHAnsi"/>
              </w:rPr>
              <w:t>Doble Calzada</w:t>
            </w:r>
          </w:p>
        </w:tc>
        <w:tc>
          <w:tcPr>
            <w:tcW w:w="1483" w:type="dxa"/>
            <w:vAlign w:val="center"/>
          </w:tcPr>
          <w:p w:rsidR="00EB3BC8" w:rsidRPr="005C7CD1" w:rsidRDefault="00EB3BC8" w:rsidP="005E52E0">
            <w:pPr>
              <w:spacing w:line="240" w:lineRule="auto"/>
              <w:jc w:val="both"/>
              <w:rPr>
                <w:rFonts w:cstheme="minorHAnsi"/>
              </w:rPr>
            </w:pPr>
            <w:r w:rsidRPr="005C7CD1">
              <w:rPr>
                <w:rFonts w:cstheme="minorHAnsi"/>
              </w:rPr>
              <w:t>7</w:t>
            </w:r>
          </w:p>
        </w:tc>
        <w:tc>
          <w:tcPr>
            <w:tcW w:w="2127" w:type="dxa"/>
          </w:tcPr>
          <w:p w:rsidR="00EB3BC8" w:rsidRPr="005C7CD1" w:rsidRDefault="00EB3BC8" w:rsidP="005E52E0">
            <w:pPr>
              <w:spacing w:line="240" w:lineRule="auto"/>
              <w:jc w:val="both"/>
              <w:rPr>
                <w:rFonts w:cstheme="minorHAnsi"/>
              </w:rPr>
            </w:pPr>
            <w:r w:rsidRPr="005C7CD1">
              <w:rPr>
                <w:rFonts w:cstheme="minorHAnsi"/>
              </w:rPr>
              <w:t>Sin activar</w:t>
            </w:r>
          </w:p>
        </w:tc>
      </w:tr>
      <w:tr w:rsidR="00EB3BC8" w:rsidRPr="005C7CD1" w:rsidTr="005E52E0">
        <w:trPr>
          <w:jc w:val="center"/>
        </w:trPr>
        <w:tc>
          <w:tcPr>
            <w:tcW w:w="3752" w:type="dxa"/>
            <w:vAlign w:val="center"/>
          </w:tcPr>
          <w:p w:rsidR="00EB3BC8" w:rsidRPr="005C7CD1" w:rsidRDefault="00EB3BC8" w:rsidP="005E52E0">
            <w:pPr>
              <w:spacing w:line="240" w:lineRule="auto"/>
              <w:jc w:val="both"/>
              <w:rPr>
                <w:rFonts w:cstheme="minorHAnsi"/>
              </w:rPr>
            </w:pPr>
            <w:r w:rsidRPr="005C7CD1">
              <w:rPr>
                <w:rFonts w:cstheme="minorHAnsi"/>
              </w:rPr>
              <w:t>Construcción del Puente sobre el Rio Pamplonita en el anillo vial Occidental</w:t>
            </w:r>
          </w:p>
        </w:tc>
        <w:tc>
          <w:tcPr>
            <w:tcW w:w="2131" w:type="dxa"/>
            <w:vAlign w:val="center"/>
          </w:tcPr>
          <w:p w:rsidR="00EB3BC8" w:rsidRPr="005C7CD1" w:rsidRDefault="00EB3BC8" w:rsidP="005E52E0">
            <w:pPr>
              <w:spacing w:line="240" w:lineRule="auto"/>
              <w:jc w:val="both"/>
              <w:rPr>
                <w:rFonts w:cstheme="minorHAnsi"/>
              </w:rPr>
            </w:pPr>
            <w:r w:rsidRPr="005C7CD1">
              <w:rPr>
                <w:rFonts w:cstheme="minorHAnsi"/>
              </w:rPr>
              <w:t>Calzada Sencilla</w:t>
            </w:r>
          </w:p>
        </w:tc>
        <w:tc>
          <w:tcPr>
            <w:tcW w:w="1483" w:type="dxa"/>
            <w:vAlign w:val="center"/>
          </w:tcPr>
          <w:p w:rsidR="00EB3BC8" w:rsidRPr="005C7CD1" w:rsidRDefault="00EB3BC8" w:rsidP="005E52E0">
            <w:pPr>
              <w:spacing w:line="240" w:lineRule="auto"/>
              <w:jc w:val="both"/>
              <w:rPr>
                <w:rFonts w:cstheme="minorHAnsi"/>
              </w:rPr>
            </w:pPr>
            <w:r w:rsidRPr="005C7CD1">
              <w:rPr>
                <w:rFonts w:cstheme="minorHAnsi"/>
              </w:rPr>
              <w:t>0.105</w:t>
            </w:r>
          </w:p>
        </w:tc>
        <w:tc>
          <w:tcPr>
            <w:tcW w:w="2127" w:type="dxa"/>
          </w:tcPr>
          <w:p w:rsidR="00EB3BC8" w:rsidRPr="005C7CD1" w:rsidRDefault="00EB3BC8" w:rsidP="005E52E0">
            <w:pPr>
              <w:spacing w:line="240" w:lineRule="auto"/>
              <w:jc w:val="both"/>
              <w:rPr>
                <w:rFonts w:cstheme="minorHAnsi"/>
              </w:rPr>
            </w:pPr>
            <w:r w:rsidRPr="005C7CD1">
              <w:rPr>
                <w:rFonts w:cstheme="minorHAnsi"/>
              </w:rPr>
              <w:t>Sin activar, urgente activar para completar el anillo vial occidental</w:t>
            </w:r>
          </w:p>
        </w:tc>
      </w:tr>
      <w:tr w:rsidR="00EB3BC8" w:rsidRPr="005C7CD1" w:rsidTr="005E52E0">
        <w:trPr>
          <w:jc w:val="center"/>
        </w:trPr>
        <w:tc>
          <w:tcPr>
            <w:tcW w:w="3752" w:type="dxa"/>
            <w:vAlign w:val="center"/>
          </w:tcPr>
          <w:p w:rsidR="00EB3BC8" w:rsidRPr="005C7CD1" w:rsidRDefault="00EB3BC8" w:rsidP="005E52E0">
            <w:pPr>
              <w:spacing w:line="240" w:lineRule="auto"/>
              <w:jc w:val="both"/>
              <w:rPr>
                <w:rFonts w:cstheme="minorHAnsi"/>
              </w:rPr>
            </w:pPr>
            <w:r w:rsidRPr="005C7CD1">
              <w:rPr>
                <w:rFonts w:cstheme="minorHAnsi"/>
              </w:rPr>
              <w:t>Rehabilitación y mejoramiento de la vía Tibú-El Tarra- Convención- La Mata</w:t>
            </w:r>
          </w:p>
        </w:tc>
        <w:tc>
          <w:tcPr>
            <w:tcW w:w="2131" w:type="dxa"/>
            <w:vAlign w:val="center"/>
          </w:tcPr>
          <w:p w:rsidR="00EB3BC8" w:rsidRPr="005C7CD1" w:rsidRDefault="00EB3BC8" w:rsidP="005E52E0">
            <w:pPr>
              <w:spacing w:line="240" w:lineRule="auto"/>
              <w:jc w:val="both"/>
              <w:rPr>
                <w:rFonts w:cstheme="minorHAnsi"/>
              </w:rPr>
            </w:pPr>
            <w:r w:rsidRPr="005C7CD1">
              <w:rPr>
                <w:rFonts w:cstheme="minorHAnsi"/>
              </w:rPr>
              <w:t>Calzada Sencilla</w:t>
            </w:r>
          </w:p>
        </w:tc>
        <w:tc>
          <w:tcPr>
            <w:tcW w:w="1483" w:type="dxa"/>
            <w:vAlign w:val="center"/>
          </w:tcPr>
          <w:p w:rsidR="00EB3BC8" w:rsidRPr="005C7CD1" w:rsidRDefault="00EB3BC8" w:rsidP="005E52E0">
            <w:pPr>
              <w:spacing w:line="240" w:lineRule="auto"/>
              <w:jc w:val="both"/>
              <w:rPr>
                <w:rFonts w:cstheme="minorHAnsi"/>
              </w:rPr>
            </w:pPr>
            <w:r w:rsidRPr="005C7CD1">
              <w:rPr>
                <w:rFonts w:cstheme="minorHAnsi"/>
              </w:rPr>
              <w:t>205</w:t>
            </w:r>
          </w:p>
        </w:tc>
        <w:tc>
          <w:tcPr>
            <w:tcW w:w="2127" w:type="dxa"/>
          </w:tcPr>
          <w:p w:rsidR="00EB3BC8" w:rsidRPr="005C7CD1" w:rsidRDefault="00EB3BC8" w:rsidP="005E52E0">
            <w:pPr>
              <w:spacing w:line="240" w:lineRule="auto"/>
              <w:jc w:val="both"/>
              <w:rPr>
                <w:rFonts w:cstheme="minorHAnsi"/>
              </w:rPr>
            </w:pPr>
            <w:r w:rsidRPr="005C7CD1">
              <w:rPr>
                <w:rFonts w:cstheme="minorHAnsi"/>
              </w:rPr>
              <w:t>Activado con los adicionales 1 y 2.</w:t>
            </w:r>
          </w:p>
        </w:tc>
      </w:tr>
    </w:tbl>
    <w:p w:rsidR="00EB3BC8" w:rsidRPr="00917D4D" w:rsidRDefault="00EB3BC8" w:rsidP="00EB3BC8">
      <w:pPr>
        <w:spacing w:line="240" w:lineRule="auto"/>
        <w:ind w:left="2268"/>
        <w:jc w:val="both"/>
        <w:rPr>
          <w:rFonts w:cs="Arial"/>
          <w:lang w:val="es-ES_tradnl"/>
        </w:rPr>
      </w:pPr>
      <w:r w:rsidRPr="001C1691">
        <w:rPr>
          <w:rFonts w:cs="Arial"/>
          <w:lang w:val="es-ES_tradnl"/>
        </w:rPr>
        <w:t xml:space="preserve">                </w:t>
      </w:r>
      <w:r>
        <w:rPr>
          <w:rFonts w:cs="Arial"/>
          <w:lang w:val="es-ES_tradnl"/>
        </w:rPr>
        <w:t xml:space="preserve">                               </w:t>
      </w:r>
    </w:p>
    <w:p w:rsidR="00EB3BC8" w:rsidRPr="005C7CD1" w:rsidRDefault="005C7CD1" w:rsidP="005C7CD1">
      <w:pPr>
        <w:pStyle w:val="Ttulo1"/>
        <w:keepLines w:val="0"/>
        <w:spacing w:before="0" w:line="240" w:lineRule="auto"/>
        <w:jc w:val="both"/>
        <w:rPr>
          <w:rFonts w:asciiTheme="minorHAnsi" w:hAnsiTheme="minorHAnsi" w:cstheme="minorHAnsi"/>
          <w:color w:val="auto"/>
          <w:sz w:val="22"/>
          <w:szCs w:val="22"/>
        </w:rPr>
      </w:pPr>
      <w:bookmarkStart w:id="93" w:name="_Toc360888217"/>
      <w:bookmarkStart w:id="94" w:name="_Toc426547747"/>
      <w:bookmarkStart w:id="95" w:name="_Toc426558476"/>
      <w:bookmarkStart w:id="96" w:name="_Toc426559220"/>
      <w:r w:rsidRPr="005C7CD1">
        <w:rPr>
          <w:rFonts w:asciiTheme="minorHAnsi" w:hAnsiTheme="minorHAnsi" w:cstheme="minorHAnsi"/>
          <w:color w:val="auto"/>
          <w:sz w:val="22"/>
          <w:szCs w:val="22"/>
        </w:rPr>
        <w:t>Obras Desarrolladas</w:t>
      </w:r>
      <w:bookmarkEnd w:id="93"/>
      <w:r w:rsidRPr="005C7CD1">
        <w:rPr>
          <w:rFonts w:asciiTheme="minorHAnsi" w:hAnsiTheme="minorHAnsi" w:cstheme="minorHAnsi"/>
          <w:color w:val="auto"/>
          <w:sz w:val="22"/>
          <w:szCs w:val="22"/>
        </w:rPr>
        <w:t xml:space="preserve"> </w:t>
      </w:r>
      <w:r>
        <w:rPr>
          <w:rFonts w:asciiTheme="minorHAnsi" w:hAnsiTheme="minorHAnsi" w:cstheme="minorHAnsi"/>
          <w:color w:val="auto"/>
          <w:sz w:val="22"/>
          <w:szCs w:val="22"/>
        </w:rPr>
        <w:t>h</w:t>
      </w:r>
      <w:r w:rsidRPr="005C7CD1">
        <w:rPr>
          <w:rFonts w:asciiTheme="minorHAnsi" w:hAnsiTheme="minorHAnsi" w:cstheme="minorHAnsi"/>
          <w:color w:val="auto"/>
          <w:sz w:val="22"/>
          <w:szCs w:val="22"/>
        </w:rPr>
        <w:t xml:space="preserve">asta </w:t>
      </w:r>
      <w:r>
        <w:rPr>
          <w:rFonts w:asciiTheme="minorHAnsi" w:hAnsiTheme="minorHAnsi" w:cstheme="minorHAnsi"/>
          <w:color w:val="auto"/>
          <w:sz w:val="22"/>
          <w:szCs w:val="22"/>
        </w:rPr>
        <w:t>l</w:t>
      </w:r>
      <w:r w:rsidRPr="005C7CD1">
        <w:rPr>
          <w:rFonts w:asciiTheme="minorHAnsi" w:hAnsiTheme="minorHAnsi" w:cstheme="minorHAnsi"/>
          <w:color w:val="auto"/>
          <w:sz w:val="22"/>
          <w:szCs w:val="22"/>
        </w:rPr>
        <w:t>a Fecha</w:t>
      </w:r>
      <w:bookmarkEnd w:id="94"/>
      <w:bookmarkEnd w:id="95"/>
      <w:bookmarkEnd w:id="96"/>
    </w:p>
    <w:p w:rsidR="00EB3BC8" w:rsidRPr="007810ED" w:rsidRDefault="00EB3BC8" w:rsidP="00EB3BC8">
      <w:pPr>
        <w:spacing w:line="240" w:lineRule="auto"/>
        <w:jc w:val="both"/>
        <w:rPr>
          <w:rFonts w:ascii="Arial" w:hAnsi="Arial" w:cs="Arial"/>
        </w:rPr>
      </w:pPr>
    </w:p>
    <w:p w:rsidR="00EB3BC8" w:rsidRPr="005C7CD1" w:rsidRDefault="00EB3BC8" w:rsidP="00EB3BC8">
      <w:pPr>
        <w:spacing w:line="240" w:lineRule="auto"/>
        <w:jc w:val="both"/>
        <w:rPr>
          <w:rFonts w:ascii="Calibri" w:hAnsi="Calibri" w:cs="Calibri"/>
        </w:rPr>
      </w:pPr>
      <w:r w:rsidRPr="005C7CD1">
        <w:rPr>
          <w:rFonts w:ascii="Calibri" w:hAnsi="Calibri" w:cs="Calibri"/>
        </w:rPr>
        <w:t>A la fecha la mayoría de obras han sido terminadas y se encuentran en funcionamiento, pero no en operación debido a que No Cumple con el Índice de estado, solo se encuentra en Construcción el tramo 8 (anillo vial occidental).</w:t>
      </w:r>
      <w:bookmarkStart w:id="97" w:name="_Toc360888218"/>
      <w:bookmarkStart w:id="98" w:name="_Toc341537184"/>
      <w:bookmarkStart w:id="99" w:name="_Toc343252232"/>
    </w:p>
    <w:p w:rsidR="005C7CD1" w:rsidRDefault="005C7CD1" w:rsidP="005C7CD1">
      <w:pPr>
        <w:pStyle w:val="Ttulo1"/>
        <w:keepLines w:val="0"/>
        <w:spacing w:before="0" w:line="240" w:lineRule="auto"/>
        <w:jc w:val="both"/>
        <w:rPr>
          <w:rFonts w:asciiTheme="minorHAnsi" w:hAnsiTheme="minorHAnsi" w:cstheme="minorHAnsi"/>
          <w:color w:val="auto"/>
          <w:sz w:val="22"/>
          <w:szCs w:val="22"/>
        </w:rPr>
      </w:pPr>
      <w:bookmarkStart w:id="100" w:name="_Toc351024588"/>
      <w:bookmarkStart w:id="101" w:name="_Toc351024705"/>
      <w:bookmarkStart w:id="102" w:name="_Toc351024819"/>
      <w:bookmarkStart w:id="103" w:name="_Toc351024912"/>
      <w:bookmarkStart w:id="104" w:name="_Toc351025004"/>
      <w:bookmarkStart w:id="105" w:name="_Toc352935277"/>
      <w:bookmarkStart w:id="106" w:name="_Toc352935376"/>
      <w:bookmarkStart w:id="107" w:name="_Toc352936135"/>
      <w:bookmarkStart w:id="108" w:name="_Toc353176059"/>
      <w:bookmarkStart w:id="109" w:name="_Toc353351236"/>
      <w:bookmarkStart w:id="110" w:name="_Toc353351348"/>
      <w:bookmarkStart w:id="111" w:name="_Toc353351482"/>
      <w:bookmarkStart w:id="112" w:name="_Toc353434296"/>
      <w:bookmarkStart w:id="113" w:name="_Toc353434591"/>
      <w:bookmarkStart w:id="114" w:name="_Toc353434821"/>
      <w:bookmarkStart w:id="115" w:name="_Toc353434928"/>
      <w:bookmarkStart w:id="116" w:name="_Toc353445222"/>
      <w:bookmarkStart w:id="117" w:name="_Toc353445304"/>
      <w:bookmarkStart w:id="118" w:name="_Toc353445470"/>
      <w:bookmarkStart w:id="119" w:name="_Toc353445615"/>
      <w:bookmarkStart w:id="120" w:name="_Toc353445752"/>
      <w:bookmarkStart w:id="121" w:name="_Toc353449150"/>
      <w:bookmarkStart w:id="122" w:name="_Toc353449256"/>
      <w:bookmarkStart w:id="123" w:name="_Toc353449440"/>
      <w:bookmarkStart w:id="124" w:name="_Toc353449614"/>
      <w:bookmarkStart w:id="125" w:name="_Toc353449698"/>
      <w:bookmarkStart w:id="126" w:name="_Toc353457713"/>
      <w:bookmarkStart w:id="127" w:name="_Toc353457953"/>
      <w:bookmarkStart w:id="128" w:name="_Toc355272392"/>
      <w:bookmarkStart w:id="129" w:name="_Toc355604227"/>
      <w:bookmarkStart w:id="130" w:name="_Toc355604315"/>
      <w:bookmarkStart w:id="131" w:name="_Toc355788860"/>
      <w:bookmarkStart w:id="132" w:name="_Toc355788950"/>
      <w:bookmarkStart w:id="133" w:name="_Toc356831774"/>
      <w:bookmarkStart w:id="134" w:name="_Toc356832458"/>
      <w:bookmarkStart w:id="135" w:name="_Toc356832551"/>
      <w:bookmarkStart w:id="136" w:name="_Toc356833355"/>
      <w:bookmarkStart w:id="137" w:name="_Toc356833608"/>
      <w:bookmarkStart w:id="138" w:name="_Toc356834852"/>
      <w:bookmarkStart w:id="139" w:name="_Toc356835058"/>
      <w:bookmarkStart w:id="140" w:name="_Toc358280638"/>
      <w:bookmarkStart w:id="141" w:name="_Toc358359589"/>
      <w:bookmarkStart w:id="142" w:name="_Toc360710853"/>
      <w:bookmarkStart w:id="143" w:name="_Toc360710937"/>
      <w:bookmarkStart w:id="144" w:name="_Toc360711019"/>
      <w:bookmarkStart w:id="145" w:name="_Toc360888219"/>
      <w:bookmarkStart w:id="146" w:name="_Toc349219981"/>
      <w:bookmarkStart w:id="147" w:name="_Toc349220347"/>
      <w:bookmarkStart w:id="148" w:name="_Toc349220592"/>
      <w:bookmarkStart w:id="149" w:name="_Toc349221181"/>
      <w:bookmarkStart w:id="150" w:name="_Toc349221442"/>
      <w:bookmarkStart w:id="151" w:name="_Toc349221541"/>
      <w:bookmarkStart w:id="152" w:name="_Toc349221641"/>
      <w:bookmarkStart w:id="153" w:name="_Toc349221740"/>
      <w:bookmarkStart w:id="154" w:name="_Toc350521066"/>
      <w:bookmarkStart w:id="155" w:name="_Toc350927736"/>
      <w:bookmarkStart w:id="156" w:name="_Toc351024589"/>
      <w:bookmarkStart w:id="157" w:name="_Toc351024706"/>
      <w:bookmarkStart w:id="158" w:name="_Toc351024820"/>
      <w:bookmarkStart w:id="159" w:name="_Toc351024913"/>
      <w:bookmarkStart w:id="160" w:name="_Toc351025005"/>
      <w:bookmarkStart w:id="161" w:name="_Toc352935278"/>
      <w:bookmarkStart w:id="162" w:name="_Toc352935377"/>
      <w:bookmarkStart w:id="163" w:name="_Toc352936136"/>
      <w:bookmarkStart w:id="164" w:name="_Toc353176060"/>
      <w:bookmarkStart w:id="165" w:name="_Toc353351237"/>
      <w:bookmarkStart w:id="166" w:name="_Toc353351349"/>
      <w:bookmarkStart w:id="167" w:name="_Toc353351483"/>
      <w:bookmarkStart w:id="168" w:name="_Toc353434297"/>
      <w:bookmarkStart w:id="169" w:name="_Toc353434592"/>
      <w:bookmarkStart w:id="170" w:name="_Toc353434822"/>
      <w:bookmarkStart w:id="171" w:name="_Toc353434929"/>
      <w:bookmarkStart w:id="172" w:name="_Toc353445223"/>
      <w:bookmarkStart w:id="173" w:name="_Toc353445305"/>
      <w:bookmarkStart w:id="174" w:name="_Toc353445471"/>
      <w:bookmarkStart w:id="175" w:name="_Toc353445616"/>
      <w:bookmarkStart w:id="176" w:name="_Toc353445753"/>
      <w:bookmarkStart w:id="177" w:name="_Toc353449151"/>
      <w:bookmarkStart w:id="178" w:name="_Toc353449257"/>
      <w:bookmarkStart w:id="179" w:name="_Toc353449441"/>
      <w:bookmarkStart w:id="180" w:name="_Toc353449615"/>
      <w:bookmarkStart w:id="181" w:name="_Toc353449699"/>
      <w:bookmarkStart w:id="182" w:name="_Toc353457714"/>
      <w:bookmarkStart w:id="183" w:name="_Toc353457954"/>
      <w:bookmarkStart w:id="184" w:name="_Toc355272393"/>
      <w:bookmarkStart w:id="185" w:name="_Toc355604228"/>
      <w:bookmarkStart w:id="186" w:name="_Toc355604316"/>
      <w:bookmarkStart w:id="187" w:name="_Toc355788861"/>
      <w:bookmarkStart w:id="188" w:name="_Toc355788951"/>
      <w:bookmarkStart w:id="189" w:name="_Toc356831775"/>
      <w:bookmarkStart w:id="190" w:name="_Toc356832459"/>
      <w:bookmarkStart w:id="191" w:name="_Toc356832552"/>
      <w:bookmarkStart w:id="192" w:name="_Toc356833356"/>
      <w:bookmarkStart w:id="193" w:name="_Toc356833609"/>
      <w:bookmarkStart w:id="194" w:name="_Toc356834853"/>
      <w:bookmarkStart w:id="195" w:name="_Toc356835059"/>
      <w:bookmarkStart w:id="196" w:name="_Toc358280639"/>
      <w:bookmarkStart w:id="197" w:name="_Toc358359590"/>
      <w:bookmarkStart w:id="198" w:name="_Toc360710854"/>
      <w:bookmarkStart w:id="199" w:name="_Toc360710938"/>
      <w:bookmarkStart w:id="200" w:name="_Toc360711020"/>
      <w:bookmarkStart w:id="201" w:name="_Toc360888220"/>
      <w:bookmarkStart w:id="202" w:name="_Toc360888221"/>
      <w:bookmarkStart w:id="203" w:name="_Toc341537185"/>
      <w:bookmarkStart w:id="204" w:name="_Toc343252233"/>
      <w:bookmarkStart w:id="205" w:name="_Toc350927744"/>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EB3BC8" w:rsidRPr="005C7CD1" w:rsidRDefault="00EB3BC8" w:rsidP="005C7CD1">
      <w:pPr>
        <w:pStyle w:val="Ttulo1"/>
        <w:keepLines w:val="0"/>
        <w:spacing w:before="0" w:line="240" w:lineRule="auto"/>
        <w:jc w:val="both"/>
        <w:rPr>
          <w:rFonts w:asciiTheme="minorHAnsi" w:hAnsiTheme="minorHAnsi" w:cstheme="minorHAnsi"/>
          <w:color w:val="auto"/>
          <w:sz w:val="22"/>
          <w:szCs w:val="22"/>
        </w:rPr>
      </w:pPr>
      <w:bookmarkStart w:id="206" w:name="_Toc426547748"/>
      <w:bookmarkStart w:id="207" w:name="_Toc426558477"/>
      <w:bookmarkStart w:id="208" w:name="_Toc426559221"/>
      <w:r w:rsidRPr="005C7CD1">
        <w:rPr>
          <w:rFonts w:asciiTheme="minorHAnsi" w:hAnsiTheme="minorHAnsi" w:cstheme="minorHAnsi"/>
          <w:color w:val="auto"/>
          <w:sz w:val="22"/>
          <w:szCs w:val="22"/>
        </w:rPr>
        <w:t>Tramo 8</w:t>
      </w:r>
      <w:bookmarkEnd w:id="202"/>
      <w:r w:rsidRPr="005C7CD1">
        <w:rPr>
          <w:rFonts w:asciiTheme="minorHAnsi" w:hAnsiTheme="minorHAnsi" w:cstheme="minorHAnsi"/>
          <w:color w:val="auto"/>
          <w:sz w:val="22"/>
          <w:szCs w:val="22"/>
        </w:rPr>
        <w:t xml:space="preserve"> Anillo vial occidental</w:t>
      </w:r>
      <w:bookmarkStart w:id="209" w:name="_Toc360888222"/>
      <w:bookmarkEnd w:id="206"/>
      <w:bookmarkEnd w:id="207"/>
      <w:bookmarkEnd w:id="208"/>
    </w:p>
    <w:p w:rsidR="00EB3BC8" w:rsidRPr="007810ED" w:rsidRDefault="00EB3BC8" w:rsidP="00EB3BC8">
      <w:pPr>
        <w:spacing w:line="240" w:lineRule="auto"/>
        <w:rPr>
          <w:rFonts w:ascii="Arial" w:hAnsi="Arial" w:cs="Arial"/>
        </w:rPr>
      </w:pPr>
    </w:p>
    <w:p w:rsidR="00EB3BC8" w:rsidRPr="005C7CD1" w:rsidRDefault="00EB3BC8" w:rsidP="00EB3BC8">
      <w:pPr>
        <w:spacing w:line="240" w:lineRule="auto"/>
        <w:jc w:val="both"/>
        <w:rPr>
          <w:rFonts w:ascii="Calibri" w:hAnsi="Calibri" w:cs="Calibri"/>
        </w:rPr>
      </w:pPr>
      <w:r w:rsidRPr="005C7CD1">
        <w:rPr>
          <w:rFonts w:ascii="Calibri" w:hAnsi="Calibri" w:cs="Calibri"/>
        </w:rPr>
        <w:t xml:space="preserve">Falta por intervenir el sector desde el K03+500 hasta el K03+950 en el cual se tienen inconvenientes de tipo predial. Hasta la fecha no se ha podido culminar el proceso de adquisición de los predios 46, 48 y 53 del sector A.  El tema está en cabeza de la Alcaldía de Cúcuta por restitución de espacio público. </w:t>
      </w:r>
    </w:p>
    <w:p w:rsidR="00EB3BC8" w:rsidRPr="005C7CD1" w:rsidRDefault="00EB3BC8" w:rsidP="005C7CD1">
      <w:pPr>
        <w:pStyle w:val="Ttulo1"/>
        <w:keepLines w:val="0"/>
        <w:spacing w:before="0" w:line="240" w:lineRule="auto"/>
        <w:jc w:val="both"/>
        <w:rPr>
          <w:rFonts w:asciiTheme="minorHAnsi" w:hAnsiTheme="minorHAnsi" w:cstheme="minorHAnsi"/>
          <w:color w:val="auto"/>
          <w:sz w:val="22"/>
          <w:szCs w:val="22"/>
        </w:rPr>
      </w:pPr>
      <w:bookmarkStart w:id="210" w:name="_Toc426547749"/>
      <w:bookmarkStart w:id="211" w:name="_Toc426558478"/>
      <w:bookmarkStart w:id="212" w:name="_Toc426559222"/>
      <w:r w:rsidRPr="005C7CD1">
        <w:rPr>
          <w:rFonts w:asciiTheme="minorHAnsi" w:hAnsiTheme="minorHAnsi" w:cstheme="minorHAnsi"/>
          <w:color w:val="auto"/>
          <w:sz w:val="22"/>
          <w:szCs w:val="22"/>
        </w:rPr>
        <w:lastRenderedPageBreak/>
        <w:t>Construcción de la segunda calzada Cúcuta – Pamplona.</w:t>
      </w:r>
      <w:bookmarkEnd w:id="210"/>
      <w:bookmarkEnd w:id="211"/>
      <w:bookmarkEnd w:id="212"/>
      <w:r w:rsidRPr="005C7CD1">
        <w:rPr>
          <w:rFonts w:asciiTheme="minorHAnsi" w:hAnsiTheme="minorHAnsi" w:cstheme="minorHAnsi"/>
          <w:color w:val="auto"/>
          <w:sz w:val="22"/>
          <w:szCs w:val="22"/>
        </w:rPr>
        <w:t xml:space="preserve"> </w:t>
      </w:r>
    </w:p>
    <w:p w:rsidR="005C7CD1" w:rsidRDefault="005C7CD1" w:rsidP="00EB3BC8">
      <w:pPr>
        <w:spacing w:line="240" w:lineRule="auto"/>
        <w:jc w:val="both"/>
        <w:rPr>
          <w:rFonts w:ascii="Arial" w:hAnsi="Arial" w:cs="Arial"/>
        </w:rPr>
      </w:pPr>
    </w:p>
    <w:p w:rsidR="00EB3BC8" w:rsidRPr="005C7CD1" w:rsidRDefault="00EB3BC8" w:rsidP="00EB3BC8">
      <w:pPr>
        <w:spacing w:line="240" w:lineRule="auto"/>
        <w:jc w:val="both"/>
        <w:rPr>
          <w:rFonts w:cstheme="minorHAnsi"/>
        </w:rPr>
      </w:pPr>
      <w:r w:rsidRPr="005C7CD1">
        <w:rPr>
          <w:rFonts w:cstheme="minorHAnsi"/>
        </w:rPr>
        <w:t>La obra fue puesta al servicio no hay acta de terminación de obras, teniendo en cuenta que se presentan observaciones de la interventoría para el recibo.</w:t>
      </w:r>
    </w:p>
    <w:p w:rsidR="00EB3BC8" w:rsidRPr="007810ED" w:rsidRDefault="00EB3BC8" w:rsidP="000021B2">
      <w:pPr>
        <w:widowControl w:val="0"/>
        <w:numPr>
          <w:ilvl w:val="0"/>
          <w:numId w:val="12"/>
        </w:numPr>
        <w:tabs>
          <w:tab w:val="left" w:pos="567"/>
        </w:tabs>
        <w:spacing w:after="0" w:line="240" w:lineRule="auto"/>
        <w:jc w:val="both"/>
        <w:outlineLvl w:val="1"/>
        <w:rPr>
          <w:rFonts w:ascii="Arial" w:eastAsia="Arial Unicode MS" w:hAnsi="Arial" w:cs="Arial"/>
          <w:bCs/>
          <w:snapToGrid w:val="0"/>
          <w:vanish/>
          <w:lang w:val="x-none"/>
        </w:rPr>
      </w:pPr>
      <w:bookmarkStart w:id="213" w:name="_Toc426547676"/>
      <w:bookmarkStart w:id="214" w:name="_Toc426547750"/>
      <w:bookmarkStart w:id="215" w:name="_Toc426558479"/>
      <w:bookmarkStart w:id="216" w:name="_Toc426559223"/>
      <w:bookmarkEnd w:id="213"/>
      <w:bookmarkEnd w:id="214"/>
      <w:bookmarkEnd w:id="215"/>
      <w:bookmarkEnd w:id="216"/>
    </w:p>
    <w:p w:rsidR="00EB3BC8" w:rsidRPr="005C7CD1" w:rsidRDefault="00EB3BC8" w:rsidP="005C7CD1">
      <w:pPr>
        <w:pStyle w:val="Ttulo1"/>
        <w:keepLines w:val="0"/>
        <w:spacing w:before="0" w:line="240" w:lineRule="auto"/>
        <w:jc w:val="both"/>
        <w:rPr>
          <w:rFonts w:asciiTheme="minorHAnsi" w:hAnsiTheme="minorHAnsi" w:cstheme="minorHAnsi"/>
          <w:color w:val="auto"/>
          <w:sz w:val="22"/>
          <w:szCs w:val="22"/>
        </w:rPr>
      </w:pPr>
      <w:bookmarkStart w:id="217" w:name="_Toc426547751"/>
      <w:bookmarkStart w:id="218" w:name="_Toc426558480"/>
      <w:bookmarkStart w:id="219" w:name="_Toc426559224"/>
      <w:bookmarkEnd w:id="203"/>
      <w:bookmarkEnd w:id="204"/>
      <w:bookmarkEnd w:id="205"/>
      <w:bookmarkEnd w:id="209"/>
      <w:r w:rsidRPr="005C7CD1">
        <w:rPr>
          <w:rFonts w:asciiTheme="minorHAnsi" w:hAnsiTheme="minorHAnsi" w:cstheme="minorHAnsi"/>
          <w:color w:val="auto"/>
          <w:sz w:val="22"/>
          <w:szCs w:val="22"/>
        </w:rPr>
        <w:t>Estado de la vía Cúcuta – Pamplona</w:t>
      </w:r>
      <w:bookmarkEnd w:id="217"/>
      <w:bookmarkEnd w:id="218"/>
      <w:bookmarkEnd w:id="219"/>
    </w:p>
    <w:p w:rsidR="005C7CD1" w:rsidRDefault="005C7CD1" w:rsidP="00EB3BC8">
      <w:pPr>
        <w:spacing w:line="240" w:lineRule="auto"/>
        <w:jc w:val="both"/>
        <w:rPr>
          <w:rFonts w:ascii="Arial" w:hAnsi="Arial" w:cs="Arial"/>
        </w:rPr>
      </w:pPr>
    </w:p>
    <w:p w:rsidR="00EB3BC8" w:rsidRPr="005C7CD1" w:rsidRDefault="00EB3BC8" w:rsidP="00EB3BC8">
      <w:pPr>
        <w:spacing w:line="240" w:lineRule="auto"/>
        <w:jc w:val="both"/>
        <w:rPr>
          <w:rFonts w:cstheme="minorHAnsi"/>
        </w:rPr>
      </w:pPr>
      <w:r w:rsidRPr="005C7CD1">
        <w:rPr>
          <w:rFonts w:cstheme="minorHAnsi"/>
        </w:rPr>
        <w:t xml:space="preserve">El corredor vial Cúcuta – Pamplona fue una de las vías más afectadas por la oleada invernal 2010-2011 </w:t>
      </w:r>
    </w:p>
    <w:p w:rsidR="00EB3BC8" w:rsidRPr="005C7CD1" w:rsidRDefault="00EB3BC8" w:rsidP="00EB3BC8">
      <w:pPr>
        <w:spacing w:line="240" w:lineRule="auto"/>
        <w:jc w:val="both"/>
        <w:rPr>
          <w:rFonts w:cstheme="minorHAnsi"/>
        </w:rPr>
      </w:pPr>
      <w:r w:rsidRPr="005C7CD1">
        <w:rPr>
          <w:rFonts w:cstheme="minorHAnsi"/>
        </w:rPr>
        <w:t>Actualmente por medio del Convenio, ANI – Fondo Adaptación, se incluyeron obras de “Recuperación de los sitios críticos presentados en la Vía Cúcuta Pamplona” de los cuales 13 puntos inestables ya fueron ejecutados.</w:t>
      </w:r>
    </w:p>
    <w:p w:rsidR="00EB3BC8" w:rsidRPr="00440B31" w:rsidRDefault="00EB3BC8" w:rsidP="00440B31">
      <w:pPr>
        <w:pStyle w:val="Ttulo1"/>
        <w:keepLines w:val="0"/>
        <w:spacing w:before="0" w:line="240" w:lineRule="auto"/>
        <w:jc w:val="both"/>
        <w:rPr>
          <w:rFonts w:asciiTheme="minorHAnsi" w:hAnsiTheme="minorHAnsi" w:cstheme="minorHAnsi"/>
          <w:color w:val="auto"/>
          <w:sz w:val="22"/>
          <w:szCs w:val="22"/>
        </w:rPr>
      </w:pPr>
      <w:bookmarkStart w:id="220" w:name="_Toc350927750"/>
      <w:bookmarkStart w:id="221" w:name="_Toc360888227"/>
      <w:bookmarkStart w:id="222" w:name="_Toc426547752"/>
      <w:bookmarkStart w:id="223" w:name="_Toc426558481"/>
      <w:bookmarkStart w:id="224" w:name="_Toc426559225"/>
      <w:r w:rsidRPr="00440B31">
        <w:rPr>
          <w:rFonts w:asciiTheme="minorHAnsi" w:hAnsiTheme="minorHAnsi" w:cstheme="minorHAnsi"/>
          <w:color w:val="auto"/>
          <w:sz w:val="22"/>
          <w:szCs w:val="22"/>
        </w:rPr>
        <w:t>Tibú – EL Tarra K0+000 al K70+000</w:t>
      </w:r>
      <w:bookmarkEnd w:id="220"/>
      <w:bookmarkEnd w:id="221"/>
      <w:bookmarkEnd w:id="222"/>
      <w:bookmarkEnd w:id="223"/>
      <w:bookmarkEnd w:id="224"/>
    </w:p>
    <w:p w:rsidR="00EB3BC8" w:rsidRPr="00440B31" w:rsidRDefault="00EB3BC8" w:rsidP="00440B31">
      <w:pPr>
        <w:pStyle w:val="Ttulo1"/>
        <w:keepLines w:val="0"/>
        <w:spacing w:before="0" w:line="240" w:lineRule="auto"/>
        <w:jc w:val="both"/>
        <w:rPr>
          <w:rFonts w:asciiTheme="minorHAnsi" w:hAnsiTheme="minorHAnsi" w:cstheme="minorHAnsi"/>
          <w:color w:val="auto"/>
          <w:sz w:val="22"/>
          <w:szCs w:val="22"/>
        </w:rPr>
      </w:pPr>
    </w:p>
    <w:p w:rsidR="00EB3BC8" w:rsidRPr="00440B31" w:rsidRDefault="00EB3BC8" w:rsidP="00EB3BC8">
      <w:pPr>
        <w:spacing w:line="240" w:lineRule="auto"/>
        <w:jc w:val="both"/>
        <w:rPr>
          <w:rFonts w:cstheme="minorHAnsi"/>
        </w:rPr>
      </w:pPr>
      <w:r w:rsidRPr="00440B31">
        <w:rPr>
          <w:rFonts w:cstheme="minorHAnsi"/>
          <w:b/>
        </w:rPr>
        <w:t>Contrato Adicional No 1</w:t>
      </w:r>
      <w:r w:rsidRPr="00440B31">
        <w:rPr>
          <w:rFonts w:cstheme="minorHAnsi"/>
        </w:rPr>
        <w:t xml:space="preserve">, El Concesionario debe subsanar las anomalías que presenta la obra construida, las cuales se encuentran descritas en el acta de terminación que se realizó con la firma Interventora CONCOL B&amp;C el 15 de febrero de 2011. La Interventoría Consorcio SCLV  realizó un informe del estado actual del tramo intervenido con por el Concesionario San Simón, en dicho informe se advierte que las falencias descritas en el acta de terminación persisten. Actualmente se adelanta una solicitud de disminución por incumplimiento.  </w:t>
      </w:r>
    </w:p>
    <w:p w:rsidR="00EB3BC8" w:rsidRPr="00440B31" w:rsidRDefault="00EB3BC8" w:rsidP="00EB3BC8">
      <w:pPr>
        <w:spacing w:line="240" w:lineRule="auto"/>
        <w:jc w:val="both"/>
        <w:rPr>
          <w:rFonts w:cstheme="minorHAnsi"/>
          <w:i/>
        </w:rPr>
      </w:pPr>
      <w:r w:rsidRPr="00440B31">
        <w:rPr>
          <w:rFonts w:cstheme="minorHAnsi"/>
          <w:b/>
          <w:bCs/>
          <w:lang w:val="x-none"/>
        </w:rPr>
        <w:t>Adicional No. 2</w:t>
      </w:r>
      <w:r w:rsidRPr="00440B31">
        <w:rPr>
          <w:rFonts w:cstheme="minorHAnsi"/>
          <w:bCs/>
        </w:rPr>
        <w:t xml:space="preserve">, suscrito </w:t>
      </w:r>
      <w:r w:rsidRPr="00440B31">
        <w:rPr>
          <w:rFonts w:cstheme="minorHAnsi"/>
        </w:rPr>
        <w:t xml:space="preserve">el 29 de diciembre de 2009, activó parcialmente el Alcance Progresivo para: </w:t>
      </w:r>
      <w:r w:rsidRPr="00440B31">
        <w:rPr>
          <w:rFonts w:cstheme="minorHAnsi"/>
          <w:i/>
        </w:rPr>
        <w:t>i) El mejoramiento a nivel de subbase del tramo Tibú – El Tarra, inicialmente estimado entre el km 016 + 100 y el km 33 +100.  ii) La ejecución de las obras que garanticen la transitabilidad en el corredor El Tarra – Convención – La Mata.</w:t>
      </w:r>
    </w:p>
    <w:p w:rsidR="00EB3BC8" w:rsidRPr="00440B31" w:rsidRDefault="00EB3BC8" w:rsidP="000021B2">
      <w:pPr>
        <w:pStyle w:val="Prrafodelista"/>
        <w:numPr>
          <w:ilvl w:val="0"/>
          <w:numId w:val="25"/>
        </w:numPr>
        <w:autoSpaceDE w:val="0"/>
        <w:autoSpaceDN w:val="0"/>
        <w:spacing w:before="100" w:beforeAutospacing="1" w:after="100" w:afterAutospacing="1" w:line="240" w:lineRule="auto"/>
        <w:contextualSpacing w:val="0"/>
        <w:jc w:val="both"/>
        <w:rPr>
          <w:rFonts w:cstheme="minorHAnsi"/>
        </w:rPr>
      </w:pPr>
      <w:r w:rsidRPr="00440B31">
        <w:rPr>
          <w:rStyle w:val="noleidos0"/>
          <w:rFonts w:cstheme="minorHAnsi"/>
        </w:rPr>
        <w:t xml:space="preserve">El 28 de febrero de 2014 se firmó el otrosí 1 al adicional 2, con el objeto de </w:t>
      </w:r>
      <w:r w:rsidRPr="00440B31">
        <w:rPr>
          <w:rFonts w:cstheme="minorHAnsi"/>
          <w:bCs/>
        </w:rPr>
        <w:t>“</w:t>
      </w:r>
      <w:r w:rsidRPr="00440B31">
        <w:rPr>
          <w:rFonts w:cstheme="minorHAnsi"/>
          <w:bCs/>
          <w:i/>
        </w:rPr>
        <w:t>Modificar la Cláusula Primera del Adicional No.2 del 29 de diciembre de 2009, la cual quedará así para todos los efectos: El CONCESIONARIO se compromete a ejecutar la construcción del Puente Rojo sobre el Rio Tarra con sus respectivos accesos y adelantar la gestión predial, social y ambiental para la ejecución de la obra, garantizando de esta manera la transitabilidad en el corredor Tibú – El Tarra</w:t>
      </w:r>
      <w:r w:rsidRPr="00440B31">
        <w:rPr>
          <w:rFonts w:cstheme="minorHAnsi"/>
          <w:bCs/>
        </w:rPr>
        <w:t>”.(…)</w:t>
      </w:r>
    </w:p>
    <w:p w:rsidR="00EB3BC8" w:rsidRPr="00440B31" w:rsidRDefault="00EB3BC8" w:rsidP="000021B2">
      <w:pPr>
        <w:pStyle w:val="Prrafodelista"/>
        <w:numPr>
          <w:ilvl w:val="0"/>
          <w:numId w:val="25"/>
        </w:numPr>
        <w:autoSpaceDE w:val="0"/>
        <w:autoSpaceDN w:val="0"/>
        <w:spacing w:before="100" w:beforeAutospacing="1" w:after="100" w:afterAutospacing="1" w:line="240" w:lineRule="auto"/>
        <w:contextualSpacing w:val="0"/>
        <w:jc w:val="both"/>
        <w:rPr>
          <w:rFonts w:cstheme="minorHAnsi"/>
          <w:bCs/>
        </w:rPr>
      </w:pPr>
      <w:r w:rsidRPr="00440B31">
        <w:rPr>
          <w:rFonts w:cstheme="minorHAnsi"/>
          <w:bCs/>
        </w:rPr>
        <w:t>Se suscribió Acta de inicio el día 3 de septiembre de 2014 con las siguientes estipulaciones.</w:t>
      </w:r>
    </w:p>
    <w:p w:rsidR="00EB3BC8" w:rsidRPr="00440B31" w:rsidRDefault="00EB3BC8" w:rsidP="00EB3BC8">
      <w:pPr>
        <w:pStyle w:val="Prrafodelista"/>
        <w:autoSpaceDE w:val="0"/>
        <w:autoSpaceDN w:val="0"/>
        <w:spacing w:line="240" w:lineRule="auto"/>
        <w:ind w:left="360"/>
        <w:jc w:val="both"/>
        <w:rPr>
          <w:rFonts w:cstheme="minorHAnsi"/>
          <w:bCs/>
        </w:rPr>
      </w:pPr>
      <w:r w:rsidRPr="00440B31">
        <w:rPr>
          <w:rFonts w:cstheme="minorHAnsi"/>
          <w:bCs/>
        </w:rPr>
        <w:t>DURACION: Dieciocho (18) meses, las obras correspondientes a la construcción del Puente Rojo sobre el Rio Tarra, se ejecutaran en el plazo de dieciocho (18) meses contados a partir de la suscripción del Acta de Inicio para ejecución de las obras, previo cumplimiento de los requisitos de perfeccionamiento y ejecución.</w:t>
      </w:r>
    </w:p>
    <w:p w:rsidR="00EB3BC8" w:rsidRPr="00440B31" w:rsidRDefault="00EB3BC8" w:rsidP="00EB3BC8">
      <w:pPr>
        <w:spacing w:line="240" w:lineRule="auto"/>
        <w:ind w:left="360"/>
        <w:jc w:val="both"/>
        <w:rPr>
          <w:rFonts w:cstheme="minorHAnsi"/>
        </w:rPr>
      </w:pPr>
      <w:r w:rsidRPr="00440B31">
        <w:rPr>
          <w:rFonts w:cstheme="minorHAnsi"/>
        </w:rPr>
        <w:t>A la fecha no se cuenta con Licencia Ambiental  trámite ambiental de levantamiento de Veda a cargo del Ministerio de Ambiente.</w:t>
      </w:r>
    </w:p>
    <w:p w:rsidR="00440B31" w:rsidRDefault="00440B31" w:rsidP="00440B31">
      <w:pPr>
        <w:spacing w:after="160" w:line="240" w:lineRule="auto"/>
        <w:rPr>
          <w:rFonts w:ascii="Arial" w:hAnsi="Arial" w:cs="Arial"/>
          <w:b/>
        </w:rPr>
      </w:pPr>
    </w:p>
    <w:p w:rsidR="00EB3BC8" w:rsidRPr="00440B31" w:rsidRDefault="00440B31" w:rsidP="00440B31">
      <w:pPr>
        <w:pStyle w:val="Ttulo1"/>
        <w:keepLines w:val="0"/>
        <w:spacing w:before="0" w:line="240" w:lineRule="auto"/>
        <w:jc w:val="both"/>
        <w:rPr>
          <w:rFonts w:asciiTheme="minorHAnsi" w:hAnsiTheme="minorHAnsi" w:cstheme="minorHAnsi"/>
          <w:color w:val="auto"/>
          <w:sz w:val="22"/>
          <w:szCs w:val="22"/>
        </w:rPr>
      </w:pPr>
      <w:bookmarkStart w:id="225" w:name="_Toc426547753"/>
      <w:bookmarkStart w:id="226" w:name="_Toc426558482"/>
      <w:bookmarkStart w:id="227" w:name="_Toc426559226"/>
      <w:r w:rsidRPr="00440B31">
        <w:rPr>
          <w:rFonts w:asciiTheme="minorHAnsi" w:hAnsiTheme="minorHAnsi" w:cstheme="minorHAnsi"/>
          <w:color w:val="auto"/>
          <w:sz w:val="22"/>
          <w:szCs w:val="22"/>
        </w:rPr>
        <w:t>Estaciones de peaje.</w:t>
      </w:r>
      <w:bookmarkEnd w:id="225"/>
      <w:bookmarkEnd w:id="226"/>
      <w:bookmarkEnd w:id="227"/>
    </w:p>
    <w:p w:rsidR="00EB3BC8" w:rsidRPr="007810ED" w:rsidRDefault="00EB3BC8" w:rsidP="00EB3BC8">
      <w:pPr>
        <w:ind w:firstLine="6"/>
        <w:jc w:val="both"/>
        <w:rPr>
          <w:lang w:eastAsia="en-US"/>
        </w:rPr>
      </w:pPr>
      <w:r w:rsidRPr="007810ED">
        <w:rPr>
          <w:lang w:eastAsia="en-US"/>
        </w:rPr>
        <w:t xml:space="preserve"> </w:t>
      </w:r>
    </w:p>
    <w:p w:rsidR="00EB3BC8" w:rsidRPr="00440B31" w:rsidRDefault="00EB3BC8" w:rsidP="00EB3BC8">
      <w:pPr>
        <w:ind w:firstLine="6"/>
        <w:jc w:val="both"/>
        <w:rPr>
          <w:rFonts w:cstheme="minorHAnsi"/>
          <w:b/>
          <w:lang w:eastAsia="en-US"/>
        </w:rPr>
      </w:pPr>
      <w:r w:rsidRPr="00440B31">
        <w:rPr>
          <w:rFonts w:cstheme="minorHAnsi"/>
          <w:lang w:eastAsia="en-US"/>
        </w:rPr>
        <w:lastRenderedPageBreak/>
        <w:t>La Sociedad Concesionaria San Simón, tiene el manejo de los peajes de La Parada y El Escobal  y el peaje y estación de pesaje los  Acacios en el corredor existente Cúcuta Pamplona.</w:t>
      </w:r>
    </w:p>
    <w:p w:rsidR="00EB3BC8" w:rsidRPr="00440B31" w:rsidRDefault="00EB3BC8" w:rsidP="00EB3BC8">
      <w:pPr>
        <w:pStyle w:val="Ttulo3"/>
        <w:rPr>
          <w:rFonts w:asciiTheme="minorHAnsi" w:hAnsiTheme="minorHAnsi" w:cstheme="minorHAnsi"/>
          <w:snapToGrid w:val="0"/>
          <w:szCs w:val="22"/>
          <w:lang w:val="es-CO"/>
        </w:rPr>
      </w:pPr>
      <w:bookmarkStart w:id="228" w:name="_Toc350927796"/>
      <w:bookmarkStart w:id="229" w:name="_Toc361307835"/>
      <w:bookmarkStart w:id="230" w:name="_Toc426547754"/>
      <w:bookmarkStart w:id="231" w:name="_Toc426558483"/>
      <w:bookmarkStart w:id="232" w:name="_Toc426559227"/>
      <w:r w:rsidRPr="00440B31">
        <w:rPr>
          <w:rFonts w:asciiTheme="minorHAnsi" w:hAnsiTheme="minorHAnsi" w:cstheme="minorHAnsi"/>
          <w:szCs w:val="22"/>
          <w:lang w:val="es-CO"/>
        </w:rPr>
        <w:t>Estación</w:t>
      </w:r>
      <w:r w:rsidRPr="00440B31">
        <w:rPr>
          <w:rFonts w:asciiTheme="minorHAnsi" w:hAnsiTheme="minorHAnsi" w:cstheme="minorHAnsi"/>
          <w:snapToGrid w:val="0"/>
          <w:szCs w:val="22"/>
        </w:rPr>
        <w:t xml:space="preserve"> de peaje La Parada</w:t>
      </w:r>
      <w:bookmarkEnd w:id="228"/>
      <w:bookmarkEnd w:id="229"/>
      <w:bookmarkEnd w:id="230"/>
      <w:bookmarkEnd w:id="231"/>
      <w:bookmarkEnd w:id="232"/>
    </w:p>
    <w:p w:rsidR="00EB3BC8" w:rsidRPr="00440B31" w:rsidRDefault="00EB3BC8" w:rsidP="00EB3BC8">
      <w:pPr>
        <w:spacing w:line="240" w:lineRule="auto"/>
        <w:jc w:val="both"/>
        <w:rPr>
          <w:rFonts w:cstheme="minorHAnsi"/>
        </w:rPr>
      </w:pPr>
      <w:r w:rsidRPr="00440B31">
        <w:rPr>
          <w:rFonts w:cstheme="minorHAnsi"/>
        </w:rPr>
        <w:t>Está localizado sobre la Autopista Internacional en el K2+000 (Tamo 9), cuenta con 4 carriles de cobro y se encuentran operando con boletería manual. La estación de peaje opera en un solo sentido (Desde Villa del Rosario hacia Cúcuta).</w:t>
      </w:r>
    </w:p>
    <w:p w:rsidR="00EB3BC8" w:rsidRPr="00440B31" w:rsidRDefault="00EB3BC8" w:rsidP="00EB3BC8">
      <w:pPr>
        <w:pStyle w:val="Ttulo3"/>
        <w:rPr>
          <w:rFonts w:asciiTheme="minorHAnsi" w:hAnsiTheme="minorHAnsi" w:cstheme="minorHAnsi"/>
          <w:snapToGrid w:val="0"/>
          <w:szCs w:val="22"/>
        </w:rPr>
      </w:pPr>
      <w:bookmarkStart w:id="233" w:name="_Toc350927797"/>
      <w:bookmarkStart w:id="234" w:name="_Toc361307836"/>
      <w:bookmarkStart w:id="235" w:name="_Toc426547755"/>
      <w:bookmarkStart w:id="236" w:name="_Toc426558484"/>
      <w:bookmarkStart w:id="237" w:name="_Toc426559228"/>
      <w:r w:rsidRPr="00440B31">
        <w:rPr>
          <w:rFonts w:asciiTheme="minorHAnsi" w:hAnsiTheme="minorHAnsi" w:cstheme="minorHAnsi"/>
          <w:snapToGrid w:val="0"/>
          <w:szCs w:val="22"/>
        </w:rPr>
        <w:t>Estación de peaje El Escobal</w:t>
      </w:r>
      <w:bookmarkEnd w:id="233"/>
      <w:bookmarkEnd w:id="234"/>
      <w:bookmarkEnd w:id="235"/>
      <w:bookmarkEnd w:id="236"/>
      <w:bookmarkEnd w:id="237"/>
    </w:p>
    <w:p w:rsidR="00EB3BC8" w:rsidRPr="00440B31" w:rsidRDefault="00EB3BC8" w:rsidP="00EB3BC8">
      <w:pPr>
        <w:spacing w:line="240" w:lineRule="auto"/>
        <w:jc w:val="both"/>
        <w:rPr>
          <w:rFonts w:cstheme="minorHAnsi"/>
        </w:rPr>
      </w:pPr>
      <w:r w:rsidRPr="00440B31">
        <w:rPr>
          <w:rFonts w:cstheme="minorHAnsi"/>
        </w:rPr>
        <w:t>Está ubicado en el K2+000 de la Avenida Demetrio Mendoza (tramo 7), cuenta con 2 carriles de cobro y se encuentran operando con boletería manual, operando en un solo sentido (Desde el puente Internacional Francisco de Paula Santander hacia Cúcuta).</w:t>
      </w:r>
    </w:p>
    <w:p w:rsidR="00EB3BC8" w:rsidRPr="00440B31" w:rsidRDefault="00EB3BC8" w:rsidP="00EB3BC8">
      <w:pPr>
        <w:pStyle w:val="Ttulo3"/>
        <w:rPr>
          <w:rFonts w:asciiTheme="minorHAnsi" w:hAnsiTheme="minorHAnsi" w:cstheme="minorHAnsi"/>
          <w:snapToGrid w:val="0"/>
          <w:szCs w:val="22"/>
        </w:rPr>
      </w:pPr>
      <w:bookmarkStart w:id="238" w:name="_Toc350927798"/>
      <w:bookmarkStart w:id="239" w:name="_Toc361307837"/>
      <w:bookmarkStart w:id="240" w:name="_Toc426547756"/>
      <w:bookmarkStart w:id="241" w:name="_Toc426558485"/>
      <w:bookmarkStart w:id="242" w:name="_Toc426559229"/>
      <w:r w:rsidRPr="00440B31">
        <w:rPr>
          <w:rFonts w:asciiTheme="minorHAnsi" w:hAnsiTheme="minorHAnsi" w:cstheme="minorHAnsi"/>
          <w:snapToGrid w:val="0"/>
          <w:szCs w:val="22"/>
        </w:rPr>
        <w:t>Estación de peaje Los Acacios</w:t>
      </w:r>
      <w:bookmarkEnd w:id="238"/>
      <w:bookmarkEnd w:id="239"/>
      <w:bookmarkEnd w:id="240"/>
      <w:bookmarkEnd w:id="241"/>
      <w:bookmarkEnd w:id="242"/>
    </w:p>
    <w:p w:rsidR="00EB3BC8" w:rsidRPr="00440B31" w:rsidRDefault="00EB3BC8" w:rsidP="00EB3BC8">
      <w:pPr>
        <w:spacing w:line="240" w:lineRule="auto"/>
        <w:jc w:val="both"/>
        <w:rPr>
          <w:rFonts w:cstheme="minorHAnsi"/>
        </w:rPr>
      </w:pPr>
      <w:r w:rsidRPr="00440B31">
        <w:rPr>
          <w:rFonts w:cstheme="minorHAnsi"/>
        </w:rPr>
        <w:t>Se encuentra ubicado en la vía Cúcuta – Pamplona (Ruta 5505) en el PR120+000 (Sector recta corozal), cuenta con 4 carriles de cobro, dos para cada sentido.</w:t>
      </w:r>
    </w:p>
    <w:p w:rsidR="00EB3BC8" w:rsidRPr="007810ED" w:rsidRDefault="00EB3BC8" w:rsidP="00EB3BC8">
      <w:pPr>
        <w:ind w:firstLine="6"/>
        <w:jc w:val="both"/>
        <w:rPr>
          <w:b/>
          <w:lang w:eastAsia="en-US"/>
        </w:rPr>
      </w:pPr>
    </w:p>
    <w:p w:rsidR="00EB3BC8" w:rsidRPr="009E68D3" w:rsidRDefault="00A91ED8" w:rsidP="009E68D3">
      <w:pPr>
        <w:pStyle w:val="Ttulo1"/>
        <w:keepLines w:val="0"/>
        <w:spacing w:before="0" w:line="240" w:lineRule="auto"/>
        <w:jc w:val="both"/>
        <w:rPr>
          <w:rFonts w:asciiTheme="minorHAnsi" w:hAnsiTheme="minorHAnsi" w:cstheme="minorHAnsi"/>
          <w:color w:val="auto"/>
          <w:sz w:val="22"/>
          <w:szCs w:val="22"/>
        </w:rPr>
      </w:pPr>
      <w:bookmarkStart w:id="243" w:name="_Toc426547757"/>
      <w:bookmarkStart w:id="244" w:name="_Toc426558486"/>
      <w:bookmarkStart w:id="245" w:name="_Toc426559230"/>
      <w:r w:rsidRPr="009E68D3">
        <w:rPr>
          <w:rFonts w:asciiTheme="minorHAnsi" w:hAnsiTheme="minorHAnsi" w:cstheme="minorHAnsi"/>
          <w:color w:val="auto"/>
          <w:sz w:val="22"/>
          <w:szCs w:val="22"/>
        </w:rPr>
        <w:t xml:space="preserve">Interventoría – </w:t>
      </w:r>
      <w:r>
        <w:rPr>
          <w:rFonts w:asciiTheme="minorHAnsi" w:hAnsiTheme="minorHAnsi" w:cstheme="minorHAnsi"/>
          <w:color w:val="auto"/>
          <w:sz w:val="22"/>
          <w:szCs w:val="22"/>
        </w:rPr>
        <w:t>C</w:t>
      </w:r>
      <w:r w:rsidRPr="009E68D3">
        <w:rPr>
          <w:rFonts w:asciiTheme="minorHAnsi" w:hAnsiTheme="minorHAnsi" w:cstheme="minorHAnsi"/>
          <w:color w:val="auto"/>
          <w:sz w:val="22"/>
          <w:szCs w:val="22"/>
        </w:rPr>
        <w:t xml:space="preserve">onsorcio </w:t>
      </w:r>
      <w:r>
        <w:rPr>
          <w:rFonts w:asciiTheme="minorHAnsi" w:hAnsiTheme="minorHAnsi" w:cstheme="minorHAnsi"/>
          <w:color w:val="auto"/>
          <w:sz w:val="22"/>
          <w:szCs w:val="22"/>
        </w:rPr>
        <w:t>C</w:t>
      </w:r>
      <w:r w:rsidRPr="009E68D3">
        <w:rPr>
          <w:rFonts w:asciiTheme="minorHAnsi" w:hAnsiTheme="minorHAnsi" w:cstheme="minorHAnsi"/>
          <w:color w:val="auto"/>
          <w:sz w:val="22"/>
          <w:szCs w:val="22"/>
        </w:rPr>
        <w:t xml:space="preserve">oncesión </w:t>
      </w:r>
      <w:r>
        <w:rPr>
          <w:rFonts w:asciiTheme="minorHAnsi" w:hAnsiTheme="minorHAnsi" w:cstheme="minorHAnsi"/>
          <w:color w:val="auto"/>
          <w:sz w:val="22"/>
          <w:szCs w:val="22"/>
        </w:rPr>
        <w:t>V</w:t>
      </w:r>
      <w:r w:rsidRPr="009E68D3">
        <w:rPr>
          <w:rFonts w:asciiTheme="minorHAnsi" w:hAnsiTheme="minorHAnsi" w:cstheme="minorHAnsi"/>
          <w:color w:val="auto"/>
          <w:sz w:val="22"/>
          <w:szCs w:val="22"/>
        </w:rPr>
        <w:t xml:space="preserve">ial </w:t>
      </w:r>
      <w:r>
        <w:rPr>
          <w:rFonts w:asciiTheme="minorHAnsi" w:hAnsiTheme="minorHAnsi" w:cstheme="minorHAnsi"/>
          <w:color w:val="auto"/>
          <w:sz w:val="22"/>
          <w:szCs w:val="22"/>
        </w:rPr>
        <w:t>N</w:t>
      </w:r>
      <w:r w:rsidRPr="009E68D3">
        <w:rPr>
          <w:rFonts w:asciiTheme="minorHAnsi" w:hAnsiTheme="minorHAnsi" w:cstheme="minorHAnsi"/>
          <w:color w:val="auto"/>
          <w:sz w:val="22"/>
          <w:szCs w:val="22"/>
        </w:rPr>
        <w:t xml:space="preserve">orte </w:t>
      </w:r>
      <w:r>
        <w:rPr>
          <w:rFonts w:asciiTheme="minorHAnsi" w:hAnsiTheme="minorHAnsi" w:cstheme="minorHAnsi"/>
          <w:color w:val="auto"/>
          <w:sz w:val="22"/>
          <w:szCs w:val="22"/>
        </w:rPr>
        <w:t>S</w:t>
      </w:r>
      <w:r w:rsidRPr="009E68D3">
        <w:rPr>
          <w:rFonts w:asciiTheme="minorHAnsi" w:hAnsiTheme="minorHAnsi" w:cstheme="minorHAnsi"/>
          <w:color w:val="auto"/>
          <w:sz w:val="22"/>
          <w:szCs w:val="22"/>
        </w:rPr>
        <w:t>antander.</w:t>
      </w:r>
      <w:bookmarkEnd w:id="243"/>
      <w:bookmarkEnd w:id="244"/>
      <w:bookmarkEnd w:id="245"/>
      <w:r w:rsidRPr="009E68D3">
        <w:rPr>
          <w:rFonts w:asciiTheme="minorHAnsi" w:hAnsiTheme="minorHAnsi" w:cstheme="minorHAnsi"/>
          <w:color w:val="auto"/>
          <w:sz w:val="22"/>
          <w:szCs w:val="22"/>
        </w:rPr>
        <w:t xml:space="preserve">   </w:t>
      </w:r>
    </w:p>
    <w:p w:rsidR="00EB3BC8" w:rsidRPr="00A91ED8" w:rsidRDefault="00EB3BC8" w:rsidP="00EB3BC8">
      <w:pPr>
        <w:spacing w:after="0" w:line="240" w:lineRule="auto"/>
        <w:jc w:val="both"/>
        <w:outlineLvl w:val="0"/>
        <w:rPr>
          <w:rFonts w:cstheme="minorHAnsi"/>
          <w:b/>
        </w:rPr>
      </w:pPr>
    </w:p>
    <w:p w:rsidR="00EB3BC8" w:rsidRPr="00A91ED8" w:rsidRDefault="00EB3BC8" w:rsidP="00EB3BC8">
      <w:pPr>
        <w:spacing w:after="0" w:line="240" w:lineRule="auto"/>
        <w:jc w:val="both"/>
        <w:outlineLvl w:val="0"/>
        <w:rPr>
          <w:rFonts w:cstheme="minorHAnsi"/>
        </w:rPr>
      </w:pPr>
      <w:bookmarkStart w:id="246" w:name="_Toc426547758"/>
      <w:bookmarkStart w:id="247" w:name="_Toc426558487"/>
      <w:bookmarkStart w:id="248" w:name="_Toc426559231"/>
      <w:r w:rsidRPr="00A91ED8">
        <w:rPr>
          <w:rFonts w:cstheme="minorHAnsi"/>
          <w:b/>
        </w:rPr>
        <w:t xml:space="preserve">Contrato: </w:t>
      </w:r>
      <w:r w:rsidRPr="00A91ED8">
        <w:rPr>
          <w:rFonts w:cstheme="minorHAnsi"/>
        </w:rPr>
        <w:t>034 del 26 de Febrero de 2014</w:t>
      </w:r>
      <w:bookmarkEnd w:id="246"/>
      <w:bookmarkEnd w:id="247"/>
      <w:bookmarkEnd w:id="248"/>
    </w:p>
    <w:p w:rsidR="00EB3BC8" w:rsidRPr="00A91ED8" w:rsidRDefault="00EB3BC8" w:rsidP="00EB3BC8">
      <w:pPr>
        <w:spacing w:after="0" w:line="240" w:lineRule="auto"/>
        <w:jc w:val="both"/>
        <w:outlineLvl w:val="0"/>
        <w:rPr>
          <w:rFonts w:cstheme="minorHAnsi"/>
        </w:rPr>
      </w:pPr>
      <w:bookmarkStart w:id="249" w:name="_Toc426547759"/>
      <w:bookmarkStart w:id="250" w:name="_Toc426558488"/>
      <w:bookmarkStart w:id="251" w:name="_Toc426559232"/>
      <w:r w:rsidRPr="00A91ED8">
        <w:rPr>
          <w:rFonts w:cstheme="minorHAnsi"/>
          <w:b/>
        </w:rPr>
        <w:t>Plazo de ejecución</w:t>
      </w:r>
      <w:r w:rsidRPr="00A91ED8">
        <w:rPr>
          <w:rFonts w:cstheme="minorHAnsi"/>
        </w:rPr>
        <w:t>: Veinticuatro (24) meses</w:t>
      </w:r>
      <w:bookmarkEnd w:id="249"/>
      <w:bookmarkEnd w:id="250"/>
      <w:bookmarkEnd w:id="251"/>
    </w:p>
    <w:p w:rsidR="00EB3BC8" w:rsidRPr="00A91ED8" w:rsidRDefault="00EB3BC8" w:rsidP="00EB3BC8">
      <w:pPr>
        <w:spacing w:after="0" w:line="240" w:lineRule="auto"/>
        <w:jc w:val="both"/>
        <w:outlineLvl w:val="0"/>
        <w:rPr>
          <w:rFonts w:cstheme="minorHAnsi"/>
        </w:rPr>
      </w:pPr>
      <w:bookmarkStart w:id="252" w:name="_Toc426547760"/>
      <w:bookmarkStart w:id="253" w:name="_Toc426558489"/>
      <w:bookmarkStart w:id="254" w:name="_Toc426559233"/>
      <w:r w:rsidRPr="00A91ED8">
        <w:rPr>
          <w:rFonts w:cstheme="minorHAnsi"/>
          <w:b/>
        </w:rPr>
        <w:t>Fecha de inicio:</w:t>
      </w:r>
      <w:r w:rsidRPr="00A91ED8">
        <w:rPr>
          <w:rFonts w:cstheme="minorHAnsi"/>
        </w:rPr>
        <w:t xml:space="preserve"> 18 de Marzo de 2014</w:t>
      </w:r>
      <w:bookmarkEnd w:id="252"/>
      <w:bookmarkEnd w:id="253"/>
      <w:bookmarkEnd w:id="254"/>
    </w:p>
    <w:p w:rsidR="00EB3BC8" w:rsidRPr="00A91ED8" w:rsidRDefault="00EB3BC8" w:rsidP="00EB3BC8">
      <w:pPr>
        <w:spacing w:after="0" w:line="240" w:lineRule="auto"/>
        <w:jc w:val="both"/>
        <w:outlineLvl w:val="0"/>
        <w:rPr>
          <w:rFonts w:cstheme="minorHAnsi"/>
        </w:rPr>
      </w:pPr>
      <w:bookmarkStart w:id="255" w:name="_Toc426547761"/>
      <w:bookmarkStart w:id="256" w:name="_Toc426558490"/>
      <w:bookmarkStart w:id="257" w:name="_Toc426559234"/>
      <w:r w:rsidRPr="00A91ED8">
        <w:rPr>
          <w:rFonts w:cstheme="minorHAnsi"/>
          <w:b/>
        </w:rPr>
        <w:t>Fecha de terminación:</w:t>
      </w:r>
      <w:r w:rsidRPr="00A91ED8">
        <w:rPr>
          <w:rFonts w:cstheme="minorHAnsi"/>
        </w:rPr>
        <w:t xml:space="preserve"> 17 de Marzo de 2016</w:t>
      </w:r>
      <w:bookmarkEnd w:id="255"/>
      <w:bookmarkEnd w:id="256"/>
      <w:bookmarkEnd w:id="257"/>
    </w:p>
    <w:p w:rsidR="00EB3BC8" w:rsidRPr="007810ED" w:rsidRDefault="00EB3BC8" w:rsidP="00EB3BC8">
      <w:pPr>
        <w:spacing w:line="240" w:lineRule="auto"/>
        <w:jc w:val="both"/>
        <w:rPr>
          <w:rFonts w:ascii="Arial" w:hAnsi="Arial" w:cs="Arial"/>
        </w:rPr>
      </w:pPr>
    </w:p>
    <w:p w:rsidR="00EB3BC8" w:rsidRPr="00A91ED8" w:rsidRDefault="00EB3BC8" w:rsidP="00A91ED8">
      <w:pPr>
        <w:pStyle w:val="Ttulo1"/>
        <w:keepLines w:val="0"/>
        <w:spacing w:before="0" w:line="240" w:lineRule="auto"/>
        <w:jc w:val="both"/>
        <w:rPr>
          <w:rFonts w:asciiTheme="minorHAnsi" w:hAnsiTheme="minorHAnsi" w:cstheme="minorHAnsi"/>
          <w:color w:val="auto"/>
          <w:sz w:val="22"/>
          <w:szCs w:val="22"/>
        </w:rPr>
      </w:pPr>
      <w:bookmarkStart w:id="258" w:name="_Toc426547762"/>
      <w:bookmarkStart w:id="259" w:name="_Toc426558491"/>
      <w:bookmarkStart w:id="260" w:name="_Toc426559235"/>
      <w:r w:rsidRPr="00A91ED8">
        <w:rPr>
          <w:rFonts w:asciiTheme="minorHAnsi" w:hAnsiTheme="minorHAnsi" w:cstheme="minorHAnsi"/>
          <w:color w:val="auto"/>
          <w:sz w:val="22"/>
          <w:szCs w:val="22"/>
        </w:rPr>
        <w:t>Actividades actuales:</w:t>
      </w:r>
      <w:bookmarkEnd w:id="258"/>
      <w:bookmarkEnd w:id="259"/>
      <w:bookmarkEnd w:id="260"/>
    </w:p>
    <w:p w:rsidR="00A91ED8" w:rsidRDefault="00A91ED8" w:rsidP="00A91ED8">
      <w:pPr>
        <w:spacing w:after="0" w:line="240" w:lineRule="auto"/>
        <w:ind w:left="720"/>
        <w:jc w:val="both"/>
        <w:rPr>
          <w:rFonts w:ascii="Arial" w:hAnsi="Arial" w:cs="Arial"/>
        </w:rPr>
      </w:pPr>
    </w:p>
    <w:p w:rsidR="00EB3BC8" w:rsidRPr="00A91ED8" w:rsidRDefault="00EB3BC8" w:rsidP="000021B2">
      <w:pPr>
        <w:numPr>
          <w:ilvl w:val="0"/>
          <w:numId w:val="83"/>
        </w:numPr>
        <w:spacing w:after="0" w:line="240" w:lineRule="auto"/>
        <w:jc w:val="both"/>
        <w:rPr>
          <w:rFonts w:cstheme="minorHAnsi"/>
        </w:rPr>
      </w:pPr>
      <w:r w:rsidRPr="00A91ED8">
        <w:rPr>
          <w:rFonts w:cstheme="minorHAnsi"/>
        </w:rPr>
        <w:t>El 25 de noviembre de 2014, se firmó el otrosí No. 10, que ratificar obligaciones adquiridas durante lo convenido en el Acuerdo de Conciliación entre La Agencia Nacional de Infraestructura - ANI y el Concesionario San Simón S.A</w:t>
      </w:r>
    </w:p>
    <w:p w:rsidR="00EB3BC8" w:rsidRPr="00A91ED8" w:rsidRDefault="00EB3BC8" w:rsidP="00EB3BC8">
      <w:pPr>
        <w:spacing w:after="0" w:line="240" w:lineRule="auto"/>
        <w:ind w:left="720"/>
        <w:jc w:val="both"/>
        <w:rPr>
          <w:rFonts w:cstheme="minorHAnsi"/>
        </w:rPr>
      </w:pPr>
    </w:p>
    <w:p w:rsidR="00EB3BC8" w:rsidRPr="00A91ED8" w:rsidRDefault="00EB3BC8" w:rsidP="000021B2">
      <w:pPr>
        <w:numPr>
          <w:ilvl w:val="0"/>
          <w:numId w:val="83"/>
        </w:numPr>
        <w:spacing w:after="0" w:line="240" w:lineRule="auto"/>
        <w:jc w:val="both"/>
        <w:rPr>
          <w:rFonts w:cstheme="minorHAnsi"/>
        </w:rPr>
      </w:pPr>
      <w:r w:rsidRPr="00A91ED8">
        <w:rPr>
          <w:rFonts w:cstheme="minorHAnsi"/>
        </w:rPr>
        <w:t>El 17 de diciembre de 2014 se firmó el Otrosí No. 11 para desafectar QUINIENTOS CINCUENTA (550) metros de calzada doble incluyendo la Glorieta Los Vientos, comprendidos entre el PR68+025 al PR68+575, que corresponden al abscisado K4+812 al K4+262 del alcance del Contrato, los cuales hacen parte del Tramo 2 “Diagonal Santander, Autopista Atalaya, el Zulia”, del Proyecto de Concesión Área Metropolitana de Cúcuta y Norte de Santander.</w:t>
      </w:r>
    </w:p>
    <w:p w:rsidR="00EB3BC8" w:rsidRPr="007810ED" w:rsidRDefault="00EB3BC8" w:rsidP="00EB3BC8">
      <w:pPr>
        <w:spacing w:line="240" w:lineRule="auto"/>
        <w:rPr>
          <w:rFonts w:ascii="Arial" w:hAnsi="Arial" w:cs="Arial"/>
          <w:b/>
        </w:rPr>
      </w:pPr>
    </w:p>
    <w:p w:rsidR="00EB3BC8" w:rsidRPr="00A91ED8" w:rsidRDefault="00EB3BC8" w:rsidP="00A91ED8">
      <w:pPr>
        <w:pStyle w:val="Ttulo1"/>
        <w:keepLines w:val="0"/>
        <w:spacing w:before="0" w:line="240" w:lineRule="auto"/>
        <w:jc w:val="both"/>
        <w:rPr>
          <w:rFonts w:asciiTheme="minorHAnsi" w:hAnsiTheme="minorHAnsi" w:cstheme="minorHAnsi"/>
          <w:color w:val="auto"/>
          <w:sz w:val="22"/>
          <w:szCs w:val="22"/>
        </w:rPr>
      </w:pPr>
      <w:bookmarkStart w:id="261" w:name="_Toc426547763"/>
      <w:bookmarkStart w:id="262" w:name="_Toc426558492"/>
      <w:bookmarkStart w:id="263" w:name="_Toc426559236"/>
      <w:r w:rsidRPr="00A91ED8">
        <w:rPr>
          <w:rFonts w:asciiTheme="minorHAnsi" w:hAnsiTheme="minorHAnsi" w:cstheme="minorHAnsi"/>
          <w:color w:val="auto"/>
          <w:sz w:val="22"/>
          <w:szCs w:val="22"/>
        </w:rPr>
        <w:t>Estado Tribunal de Arbitramento:</w:t>
      </w:r>
      <w:bookmarkEnd w:id="261"/>
      <w:bookmarkEnd w:id="262"/>
      <w:bookmarkEnd w:id="263"/>
      <w:r w:rsidRPr="00A91ED8">
        <w:rPr>
          <w:rFonts w:asciiTheme="minorHAnsi" w:hAnsiTheme="minorHAnsi" w:cstheme="minorHAnsi"/>
          <w:color w:val="auto"/>
          <w:sz w:val="22"/>
          <w:szCs w:val="22"/>
        </w:rPr>
        <w:t xml:space="preserve"> </w:t>
      </w:r>
    </w:p>
    <w:p w:rsidR="00EB3BC8" w:rsidRPr="006749BC" w:rsidRDefault="00EB3BC8" w:rsidP="000021B2">
      <w:pPr>
        <w:pStyle w:val="Prrafodelista"/>
        <w:numPr>
          <w:ilvl w:val="1"/>
          <w:numId w:val="30"/>
        </w:numPr>
        <w:spacing w:before="100" w:beforeAutospacing="1" w:after="100" w:afterAutospacing="1" w:line="240" w:lineRule="auto"/>
        <w:contextualSpacing w:val="0"/>
        <w:jc w:val="both"/>
        <w:rPr>
          <w:rFonts w:cstheme="minorHAnsi"/>
        </w:rPr>
      </w:pPr>
      <w:r w:rsidRPr="007810ED">
        <w:rPr>
          <w:rFonts w:ascii="Arial" w:hAnsi="Arial" w:cs="Arial"/>
        </w:rPr>
        <w:t xml:space="preserve">El 9 de diciembre de 2013 se firmó el primer Acuerdo Conciliatorio el cual </w:t>
      </w:r>
      <w:r w:rsidRPr="006749BC">
        <w:rPr>
          <w:rFonts w:cstheme="minorHAnsi"/>
        </w:rPr>
        <w:t>aprobado por el Tribunal de Arbitramento el 16 de diciembre de 2013.</w:t>
      </w:r>
    </w:p>
    <w:p w:rsidR="00EB3BC8" w:rsidRPr="006749BC" w:rsidRDefault="00EB3BC8" w:rsidP="000021B2">
      <w:pPr>
        <w:numPr>
          <w:ilvl w:val="1"/>
          <w:numId w:val="30"/>
        </w:numPr>
        <w:spacing w:after="0" w:line="240" w:lineRule="auto"/>
        <w:jc w:val="both"/>
        <w:rPr>
          <w:rFonts w:cstheme="minorHAnsi"/>
        </w:rPr>
      </w:pPr>
      <w:r w:rsidRPr="006749BC">
        <w:rPr>
          <w:rFonts w:cstheme="minorHAnsi"/>
          <w:bCs/>
        </w:rPr>
        <w:t xml:space="preserve"> Los demás temas objeto de Tribunal están actualmente </w:t>
      </w:r>
      <w:r w:rsidRPr="006749BC">
        <w:rPr>
          <w:rFonts w:cstheme="minorHAnsi"/>
        </w:rPr>
        <w:t>en práctica de pruebas y los apoderados deben presentar un escrito en el que se determinen los hechos y pretensiones por los que continúa el tribunal. Desde la aprobación y hasta hoy no se han realizado audiencia.</w:t>
      </w:r>
    </w:p>
    <w:p w:rsidR="00EB3BC8" w:rsidRPr="007810ED" w:rsidRDefault="00EB3BC8" w:rsidP="00EB3BC8">
      <w:pPr>
        <w:spacing w:line="240" w:lineRule="auto"/>
        <w:jc w:val="both"/>
        <w:rPr>
          <w:rFonts w:ascii="Arial" w:hAnsi="Arial" w:cs="Arial"/>
        </w:rPr>
      </w:pPr>
    </w:p>
    <w:p w:rsidR="00EB3BC8" w:rsidRPr="006749BC" w:rsidRDefault="00EB3BC8" w:rsidP="00EB3BC8">
      <w:pPr>
        <w:spacing w:line="240" w:lineRule="auto"/>
        <w:jc w:val="both"/>
        <w:rPr>
          <w:rFonts w:cstheme="minorHAnsi"/>
        </w:rPr>
      </w:pPr>
      <w:r w:rsidRPr="006749BC">
        <w:rPr>
          <w:rFonts w:cstheme="minorHAnsi"/>
        </w:rPr>
        <w:t>Se han adelantado reuniones para verificar un Segundo Acuerdo Conciliatorio en el cual se expuso por parte del Concesionario San Simón los argumentos sobre los temas de Ola Invernal, intervenciones en tramo 16, traslado de redes el Tarra, Intersecciones, desplazamiento de inversión y recursos predios temas del Tribunal de Arbitramento convocado por San Simón. Se deja aclaración en la reunión que el tema no conciliable corresponde al tema de desplazamiento de inversión y fondeo predial, por cuanto fueron temas que en el anterior acuerdo no se pudieron subsanar.</w:t>
      </w:r>
    </w:p>
    <w:p w:rsidR="00EB3BC8" w:rsidRPr="006749BC" w:rsidRDefault="00EB3BC8" w:rsidP="00EB3BC8">
      <w:pPr>
        <w:spacing w:line="240" w:lineRule="auto"/>
        <w:jc w:val="both"/>
        <w:rPr>
          <w:rFonts w:cstheme="minorHAnsi"/>
        </w:rPr>
      </w:pPr>
      <w:r w:rsidRPr="006749BC">
        <w:rPr>
          <w:rFonts w:cstheme="minorHAnsi"/>
        </w:rPr>
        <w:t xml:space="preserve">La Concesionaria San Simón presenta propuesta para un Acuerdo Conciliatorio relacionado a las intersecciones viales tramos 8-2, 8-5 y 9-3. La Interventoría Consorcio Concesión Vial Norte Santander, presentó concepto de viabilidad enmarcado en la seguridad vial y en el cumplimiento de la normatividad vigente de las obras propuestas por la Concesionaria para un Acuerdo Conciliatorio relativo a las intersecciones tramos 8-2, 8-5 y 9-3, por lo anterior, se solicita a la Concesionaria San Simón S.A. presentar una propuesta técnica y económica de intersecciones a desnivel en los tramos 8-2 y tramo 9-3, con el fin de verificar alternativas de financiación entre las partes que permita la ejecución de las obras.  </w:t>
      </w:r>
    </w:p>
    <w:p w:rsidR="00EB3BC8" w:rsidRPr="006749BC" w:rsidRDefault="00EB3BC8" w:rsidP="00EB3BC8">
      <w:pPr>
        <w:spacing w:line="240" w:lineRule="auto"/>
        <w:jc w:val="both"/>
        <w:rPr>
          <w:rFonts w:cstheme="minorHAnsi"/>
        </w:rPr>
      </w:pPr>
      <w:r w:rsidRPr="006749BC">
        <w:rPr>
          <w:rFonts w:cstheme="minorHAnsi"/>
        </w:rPr>
        <w:t>Mediante radicado ANI 20143060205631 se solcito a la Concesión presentar un estimativo del valor predial que conllevaría la realización de cada una de las obras propuestas, así como los aspectos ambientales a tener en cuenta. A la fecha se encuentra en revisión la viabilidad de acuerdo. Se realizaron reuniones internas y se requiere documentar más a fondo el tema de intersecciones.</w:t>
      </w:r>
    </w:p>
    <w:p w:rsidR="00EB3BC8" w:rsidRPr="006749BC" w:rsidRDefault="00EB3BC8" w:rsidP="000021B2">
      <w:pPr>
        <w:pStyle w:val="Prrafodelista"/>
        <w:numPr>
          <w:ilvl w:val="0"/>
          <w:numId w:val="82"/>
        </w:numPr>
        <w:spacing w:before="100" w:beforeAutospacing="1" w:after="100" w:afterAutospacing="1" w:line="240" w:lineRule="auto"/>
        <w:contextualSpacing w:val="0"/>
        <w:jc w:val="both"/>
        <w:rPr>
          <w:rFonts w:cstheme="minorHAnsi"/>
          <w:b/>
        </w:rPr>
      </w:pPr>
      <w:r w:rsidRPr="006749BC">
        <w:rPr>
          <w:rFonts w:cstheme="minorHAnsi"/>
          <w:b/>
        </w:rPr>
        <w:t xml:space="preserve">ESTADO ACUERDO CONCILIATORIO 9 diciembre de 2013 – incorporado en el Otrosí 10  </w:t>
      </w:r>
    </w:p>
    <w:p w:rsidR="00EB3BC8" w:rsidRPr="006749BC" w:rsidRDefault="00EB3BC8" w:rsidP="000021B2">
      <w:pPr>
        <w:pStyle w:val="ecxmsonormal"/>
        <w:numPr>
          <w:ilvl w:val="1"/>
          <w:numId w:val="82"/>
        </w:numPr>
        <w:spacing w:before="0" w:beforeAutospacing="0" w:after="0" w:afterAutospacing="0"/>
        <w:jc w:val="both"/>
        <w:rPr>
          <w:rFonts w:asciiTheme="minorHAnsi" w:hAnsiTheme="minorHAnsi" w:cstheme="minorHAnsi"/>
          <w:b/>
          <w:sz w:val="22"/>
          <w:szCs w:val="22"/>
          <w:lang w:val="es-ES_tradnl" w:eastAsia="es-ES"/>
        </w:rPr>
      </w:pPr>
      <w:r w:rsidRPr="006749BC">
        <w:rPr>
          <w:rFonts w:asciiTheme="minorHAnsi" w:hAnsiTheme="minorHAnsi" w:cstheme="minorHAnsi"/>
          <w:b/>
          <w:sz w:val="22"/>
          <w:szCs w:val="22"/>
          <w:lang w:val="es-ES_tradnl" w:eastAsia="es-ES"/>
        </w:rPr>
        <w:t>DIFERENCIAL TARIFARIO</w:t>
      </w:r>
    </w:p>
    <w:p w:rsidR="00EB3BC8" w:rsidRPr="006749BC" w:rsidRDefault="00EB3BC8" w:rsidP="000021B2">
      <w:pPr>
        <w:pStyle w:val="ecxmsonormal"/>
        <w:numPr>
          <w:ilvl w:val="0"/>
          <w:numId w:val="17"/>
        </w:numPr>
        <w:spacing w:before="0" w:beforeAutospacing="0" w:after="0" w:afterAutospacing="0"/>
        <w:jc w:val="both"/>
        <w:rPr>
          <w:rFonts w:asciiTheme="minorHAnsi" w:hAnsiTheme="minorHAnsi" w:cstheme="minorHAnsi"/>
          <w:sz w:val="22"/>
          <w:szCs w:val="22"/>
          <w:lang w:val="es-ES_tradnl" w:eastAsia="es-ES"/>
        </w:rPr>
      </w:pPr>
      <w:r w:rsidRPr="006749BC">
        <w:rPr>
          <w:rFonts w:asciiTheme="minorHAnsi" w:hAnsiTheme="minorHAnsi" w:cstheme="minorHAnsi"/>
          <w:sz w:val="22"/>
          <w:szCs w:val="22"/>
          <w:lang w:val="es-ES_tradnl" w:eastAsia="es-ES"/>
        </w:rPr>
        <w:t>Actualmente está en revisión por interventoría el diferencial tarifario entre agosto 2014 y diciembre 2014.</w:t>
      </w:r>
    </w:p>
    <w:p w:rsidR="00EB3BC8" w:rsidRPr="006749BC" w:rsidRDefault="00EB3BC8" w:rsidP="000021B2">
      <w:pPr>
        <w:pStyle w:val="Prrafodelista"/>
        <w:numPr>
          <w:ilvl w:val="1"/>
          <w:numId w:val="82"/>
        </w:numPr>
        <w:spacing w:before="100" w:beforeAutospacing="1" w:after="100" w:afterAutospacing="1" w:line="240" w:lineRule="auto"/>
        <w:contextualSpacing w:val="0"/>
        <w:jc w:val="both"/>
        <w:rPr>
          <w:rFonts w:cstheme="minorHAnsi"/>
        </w:rPr>
      </w:pPr>
      <w:r w:rsidRPr="006749BC">
        <w:rPr>
          <w:rFonts w:cstheme="minorHAnsi"/>
          <w:b/>
        </w:rPr>
        <w:t xml:space="preserve">ESTADO OBRAS ACUERDO CONCILIATORIO </w:t>
      </w:r>
    </w:p>
    <w:p w:rsidR="00EB3BC8" w:rsidRPr="006749BC" w:rsidRDefault="00EB3BC8" w:rsidP="00EB3BC8">
      <w:pPr>
        <w:pStyle w:val="Prrafodelista"/>
        <w:spacing w:before="100" w:beforeAutospacing="1" w:after="100" w:afterAutospacing="1" w:line="240" w:lineRule="auto"/>
        <w:contextualSpacing w:val="0"/>
        <w:jc w:val="both"/>
        <w:rPr>
          <w:rFonts w:cstheme="minorHAnsi"/>
        </w:rPr>
      </w:pPr>
      <w:r w:rsidRPr="006749BC">
        <w:rPr>
          <w:rFonts w:cstheme="minorHAnsi"/>
          <w:noProof/>
        </w:rPr>
        <w:drawing>
          <wp:inline distT="0" distB="0" distL="0" distR="0" wp14:anchorId="3D8CE666" wp14:editId="616FB3D0">
            <wp:extent cx="5048129" cy="3179806"/>
            <wp:effectExtent l="0" t="0" r="635" b="1905"/>
            <wp:docPr id="486" name="Imagen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72945" cy="3195438"/>
                    </a:xfrm>
                    <a:prstGeom prst="rect">
                      <a:avLst/>
                    </a:prstGeom>
                    <a:noFill/>
                    <a:ln>
                      <a:noFill/>
                    </a:ln>
                  </pic:spPr>
                </pic:pic>
              </a:graphicData>
            </a:graphic>
          </wp:inline>
        </w:drawing>
      </w:r>
    </w:p>
    <w:p w:rsidR="00EB3BC8" w:rsidRPr="006749BC" w:rsidRDefault="00EB3BC8" w:rsidP="00EB3BC8">
      <w:pPr>
        <w:spacing w:line="240" w:lineRule="auto"/>
        <w:jc w:val="both"/>
        <w:rPr>
          <w:rFonts w:cstheme="minorHAnsi"/>
          <w:b/>
        </w:rPr>
      </w:pPr>
    </w:p>
    <w:p w:rsidR="00EB3BC8" w:rsidRPr="006749BC" w:rsidRDefault="00EB3BC8" w:rsidP="00EB3BC8">
      <w:pPr>
        <w:spacing w:line="240" w:lineRule="auto"/>
        <w:jc w:val="both"/>
        <w:rPr>
          <w:rFonts w:cstheme="minorHAnsi"/>
        </w:rPr>
      </w:pPr>
      <w:r w:rsidRPr="006749BC">
        <w:rPr>
          <w:rFonts w:cstheme="minorHAnsi"/>
          <w:b/>
        </w:rPr>
        <w:t xml:space="preserve">Estudios y diseños Acciones Populares: </w:t>
      </w:r>
      <w:r w:rsidRPr="006749BC">
        <w:rPr>
          <w:rFonts w:cstheme="minorHAnsi"/>
        </w:rPr>
        <w:t xml:space="preserve"> La Concesionaria presentó los estudios y diseños para dar cumplimiento a los 3 fallos</w:t>
      </w:r>
      <w:r w:rsidRPr="006749BC">
        <w:rPr>
          <w:rFonts w:cstheme="minorHAnsi"/>
          <w:lang w:eastAsia="es-MX"/>
        </w:rPr>
        <w:t xml:space="preserve"> objeto del Acuerdo así: Específicamente los Estudios y Diseños a que hace referencia la Acción Popular No. </w:t>
      </w:r>
      <w:r w:rsidRPr="006749BC">
        <w:rPr>
          <w:rFonts w:cstheme="minorHAnsi"/>
        </w:rPr>
        <w:t>2009-018, se encuentra en la actualidad debidamente aprobado por la Interventoría del Contrato de Concesión No. 006 de 2007, estudios y diseños que  contemplan la construcción de un sendero peatonal  de 514 metros de longitud y 2 metros de ancho paralelo a la carrera 10 costado este, así como la construcción de muros de contención escalonados a la altura máxima de 5 metros entre el K0+032 al K0+170 y entre el K0+184 y K0+225.  Los estudios y diseños de las obras ordenadas en los fallos de las Acciones Populares Nos.  2007-307 y 2008-171, fueron revisados por la interventoría quien presentó observaciones a los diseños estructurales del puente peatonal “El Recreo”, rampas de acceso a puentes peatonales y muros de contención para el sendero peatonal en la vía Cúcuta –Pamplona.</w:t>
      </w:r>
    </w:p>
    <w:p w:rsidR="00EB3BC8" w:rsidRPr="006749BC" w:rsidRDefault="00EB3BC8" w:rsidP="00EB3BC8">
      <w:pPr>
        <w:spacing w:line="240" w:lineRule="auto"/>
        <w:jc w:val="both"/>
        <w:rPr>
          <w:rFonts w:cstheme="minorHAnsi"/>
        </w:rPr>
      </w:pPr>
      <w:r w:rsidRPr="006749BC">
        <w:rPr>
          <w:rFonts w:cstheme="minorHAnsi"/>
        </w:rPr>
        <w:t xml:space="preserve">La Concesionaria presentó  atendió las observaciones a los diseños estructurales puente peatonal el recreo, rampas de acceso a puentes peatonales y muros de contención para sendero peatonal de la vía Cúcuta – Pamplona.  </w:t>
      </w:r>
    </w:p>
    <w:p w:rsidR="00EB3BC8" w:rsidRPr="006749BC" w:rsidRDefault="00EB3BC8" w:rsidP="000021B2">
      <w:pPr>
        <w:pStyle w:val="Prrafodelista"/>
        <w:numPr>
          <w:ilvl w:val="0"/>
          <w:numId w:val="18"/>
        </w:numPr>
        <w:spacing w:before="100" w:beforeAutospacing="1" w:after="100" w:afterAutospacing="1" w:line="240" w:lineRule="auto"/>
        <w:contextualSpacing w:val="0"/>
        <w:jc w:val="both"/>
        <w:rPr>
          <w:rFonts w:cstheme="minorHAnsi"/>
        </w:rPr>
      </w:pPr>
      <w:r w:rsidRPr="006749BC">
        <w:rPr>
          <w:rFonts w:cstheme="minorHAnsi"/>
        </w:rPr>
        <w:t>diseños están revisados y avalados y  actualmente están verificando los valores definitivos de las obras propuestas.</w:t>
      </w:r>
    </w:p>
    <w:p w:rsidR="00EB3BC8" w:rsidRPr="006749BC" w:rsidRDefault="00EB3BC8" w:rsidP="00EB3BC8">
      <w:pPr>
        <w:pStyle w:val="Prrafodelista"/>
        <w:spacing w:before="100" w:beforeAutospacing="1" w:after="100" w:afterAutospacing="1" w:line="240" w:lineRule="auto"/>
        <w:ind w:left="360"/>
        <w:contextualSpacing w:val="0"/>
        <w:jc w:val="both"/>
        <w:rPr>
          <w:rFonts w:cstheme="minorHAnsi"/>
        </w:rPr>
      </w:pPr>
      <w:r w:rsidRPr="006749BC">
        <w:rPr>
          <w:rFonts w:cstheme="minorHAnsi"/>
        </w:rPr>
        <w:t>El valor de las obras que ordenan los fallos Judiciales aproximadamente está en las siguientes cifras:</w:t>
      </w:r>
    </w:p>
    <w:p w:rsidR="00EB3BC8" w:rsidRPr="006749BC" w:rsidRDefault="00EB3BC8" w:rsidP="000021B2">
      <w:pPr>
        <w:pStyle w:val="Prrafodelista"/>
        <w:numPr>
          <w:ilvl w:val="0"/>
          <w:numId w:val="31"/>
        </w:numPr>
        <w:spacing w:line="240" w:lineRule="auto"/>
        <w:rPr>
          <w:rFonts w:cstheme="minorHAnsi"/>
        </w:rPr>
      </w:pPr>
      <w:r w:rsidRPr="006749BC">
        <w:rPr>
          <w:rFonts w:cstheme="minorHAnsi"/>
        </w:rPr>
        <w:t xml:space="preserve">Construcción Rampa de acceso Puente Peatonal Once de Noviembre, Tramo 14 Av. Los Patios </w:t>
      </w:r>
    </w:p>
    <w:p w:rsidR="00EB3BC8" w:rsidRPr="006749BC" w:rsidRDefault="00EB3BC8" w:rsidP="00EB3BC8">
      <w:pPr>
        <w:pStyle w:val="Prrafodelista"/>
        <w:spacing w:line="240" w:lineRule="auto"/>
        <w:ind w:left="360"/>
        <w:rPr>
          <w:rFonts w:cstheme="minorHAnsi"/>
        </w:rPr>
      </w:pPr>
    </w:p>
    <w:p w:rsidR="00EB3BC8" w:rsidRPr="006749BC" w:rsidRDefault="00EB3BC8" w:rsidP="00EB3BC8">
      <w:pPr>
        <w:pStyle w:val="Prrafodelista"/>
        <w:spacing w:line="240" w:lineRule="auto"/>
        <w:ind w:left="360"/>
        <w:rPr>
          <w:rFonts w:cstheme="minorHAnsi"/>
        </w:rPr>
      </w:pPr>
      <w:r w:rsidRPr="006749BC">
        <w:rPr>
          <w:rFonts w:cstheme="minorHAnsi"/>
        </w:rPr>
        <w:t>Acción Popular 2008-171</w:t>
      </w:r>
    </w:p>
    <w:tbl>
      <w:tblPr>
        <w:tblW w:w="9180" w:type="dxa"/>
        <w:tblCellMar>
          <w:left w:w="0" w:type="dxa"/>
          <w:right w:w="0" w:type="dxa"/>
        </w:tblCellMar>
        <w:tblLook w:val="04A0" w:firstRow="1" w:lastRow="0" w:firstColumn="1" w:lastColumn="0" w:noHBand="0" w:noVBand="1"/>
      </w:tblPr>
      <w:tblGrid>
        <w:gridCol w:w="1795"/>
        <w:gridCol w:w="1999"/>
        <w:gridCol w:w="1559"/>
        <w:gridCol w:w="1843"/>
        <w:gridCol w:w="1984"/>
      </w:tblGrid>
      <w:tr w:rsidR="00EB3BC8" w:rsidRPr="006749BC" w:rsidTr="005E52E0">
        <w:tc>
          <w:tcPr>
            <w:tcW w:w="1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VR CONST. OBRA</w:t>
            </w:r>
          </w:p>
        </w:tc>
        <w:tc>
          <w:tcPr>
            <w:tcW w:w="19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AMBIENTAL</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SOCIAL</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PREDIAL</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VALOR TOTAL</w:t>
            </w:r>
          </w:p>
        </w:tc>
      </w:tr>
      <w:tr w:rsidR="00EB3BC8" w:rsidRPr="006749BC" w:rsidTr="005E52E0">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662.853.623.00</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37.522.000.00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38.863.123.00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1.285.318.042.00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$2.024.556.788.00</w:t>
            </w:r>
          </w:p>
        </w:tc>
      </w:tr>
    </w:tbl>
    <w:p w:rsidR="00EB3BC8" w:rsidRPr="006749BC" w:rsidRDefault="00EB3BC8" w:rsidP="00EB3BC8">
      <w:pPr>
        <w:spacing w:line="240" w:lineRule="auto"/>
        <w:rPr>
          <w:rFonts w:eastAsia="Calibri" w:cstheme="minorHAnsi"/>
        </w:rPr>
      </w:pPr>
    </w:p>
    <w:p w:rsidR="00EB3BC8" w:rsidRPr="006749BC" w:rsidRDefault="00EB3BC8" w:rsidP="000021B2">
      <w:pPr>
        <w:pStyle w:val="Prrafodelista"/>
        <w:numPr>
          <w:ilvl w:val="0"/>
          <w:numId w:val="31"/>
        </w:numPr>
        <w:spacing w:line="240" w:lineRule="auto"/>
        <w:rPr>
          <w:rFonts w:cstheme="minorHAnsi"/>
        </w:rPr>
      </w:pPr>
      <w:r w:rsidRPr="006749BC">
        <w:rPr>
          <w:rFonts w:cstheme="minorHAnsi"/>
        </w:rPr>
        <w:t xml:space="preserve">Construcción Sendero Peatonal Sector Juana Paula, Tramo 14 Avenida los Patios </w:t>
      </w:r>
    </w:p>
    <w:p w:rsidR="00EB3BC8" w:rsidRPr="006749BC" w:rsidRDefault="00EB3BC8" w:rsidP="00EB3BC8">
      <w:pPr>
        <w:pStyle w:val="Prrafodelista"/>
        <w:spacing w:line="240" w:lineRule="auto"/>
        <w:ind w:left="360"/>
        <w:rPr>
          <w:rFonts w:cstheme="minorHAnsi"/>
        </w:rPr>
      </w:pPr>
      <w:r w:rsidRPr="006749BC">
        <w:rPr>
          <w:rFonts w:cstheme="minorHAnsi"/>
        </w:rPr>
        <w:t>Acción Popular 2009-018</w:t>
      </w:r>
    </w:p>
    <w:tbl>
      <w:tblPr>
        <w:tblW w:w="9180" w:type="dxa"/>
        <w:tblCellMar>
          <w:left w:w="0" w:type="dxa"/>
          <w:right w:w="0" w:type="dxa"/>
        </w:tblCellMar>
        <w:tblLook w:val="04A0" w:firstRow="1" w:lastRow="0" w:firstColumn="1" w:lastColumn="0" w:noHBand="0" w:noVBand="1"/>
      </w:tblPr>
      <w:tblGrid>
        <w:gridCol w:w="1824"/>
        <w:gridCol w:w="1974"/>
        <w:gridCol w:w="1558"/>
        <w:gridCol w:w="1842"/>
        <w:gridCol w:w="1982"/>
      </w:tblGrid>
      <w:tr w:rsidR="00EB3BC8" w:rsidRPr="006749BC" w:rsidTr="005E52E0">
        <w:tc>
          <w:tcPr>
            <w:tcW w:w="18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VR CONST. OBRA</w:t>
            </w:r>
          </w:p>
        </w:tc>
        <w:tc>
          <w:tcPr>
            <w:tcW w:w="19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AMBIENTAL</w:t>
            </w:r>
          </w:p>
        </w:tc>
        <w:tc>
          <w:tcPr>
            <w:tcW w:w="15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SOCIAL</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PREDIAL</w:t>
            </w:r>
          </w:p>
        </w:tc>
        <w:tc>
          <w:tcPr>
            <w:tcW w:w="19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VALOR TOTAL</w:t>
            </w:r>
          </w:p>
        </w:tc>
      </w:tr>
      <w:tr w:rsidR="00EB3BC8" w:rsidRPr="006749BC" w:rsidTr="005E52E0">
        <w:tc>
          <w:tcPr>
            <w:tcW w:w="1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1.518.788.436.00</w:t>
            </w:r>
          </w:p>
        </w:tc>
        <w:tc>
          <w:tcPr>
            <w:tcW w:w="1974"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60.995.000.00</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38.863.123.00</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1.001.875.000.00</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$2.620.521.559.00</w:t>
            </w:r>
          </w:p>
        </w:tc>
      </w:tr>
    </w:tbl>
    <w:p w:rsidR="00EB3BC8" w:rsidRPr="006749BC" w:rsidRDefault="00EB3BC8" w:rsidP="00EB3BC8">
      <w:pPr>
        <w:pStyle w:val="Prrafodelista"/>
        <w:spacing w:line="240" w:lineRule="auto"/>
        <w:ind w:left="360"/>
        <w:rPr>
          <w:rFonts w:eastAsia="Calibri" w:cstheme="minorHAnsi"/>
        </w:rPr>
      </w:pPr>
    </w:p>
    <w:p w:rsidR="00EB3BC8" w:rsidRPr="006749BC" w:rsidRDefault="00EB3BC8" w:rsidP="000021B2">
      <w:pPr>
        <w:pStyle w:val="Prrafodelista"/>
        <w:numPr>
          <w:ilvl w:val="0"/>
          <w:numId w:val="31"/>
        </w:numPr>
        <w:spacing w:line="240" w:lineRule="auto"/>
        <w:rPr>
          <w:rFonts w:cstheme="minorHAnsi"/>
        </w:rPr>
      </w:pPr>
      <w:r w:rsidRPr="006749BC">
        <w:rPr>
          <w:rFonts w:cstheme="minorHAnsi"/>
        </w:rPr>
        <w:t xml:space="preserve">Construcción Puente el Recreo 1 Costado del Cementerio, Tramo 14 Avenida los Patios </w:t>
      </w:r>
    </w:p>
    <w:p w:rsidR="00EB3BC8" w:rsidRPr="006749BC" w:rsidRDefault="00EB3BC8" w:rsidP="00EB3BC8">
      <w:pPr>
        <w:pStyle w:val="Prrafodelista"/>
        <w:spacing w:line="240" w:lineRule="auto"/>
        <w:ind w:left="360"/>
        <w:rPr>
          <w:rFonts w:cstheme="minorHAnsi"/>
        </w:rPr>
      </w:pPr>
      <w:r w:rsidRPr="006749BC">
        <w:rPr>
          <w:rFonts w:cstheme="minorHAnsi"/>
        </w:rPr>
        <w:t>Acción Popular 2007-307</w:t>
      </w:r>
    </w:p>
    <w:tbl>
      <w:tblPr>
        <w:tblW w:w="9180" w:type="dxa"/>
        <w:tblCellMar>
          <w:left w:w="0" w:type="dxa"/>
          <w:right w:w="0" w:type="dxa"/>
        </w:tblCellMar>
        <w:tblLook w:val="04A0" w:firstRow="1" w:lastRow="0" w:firstColumn="1" w:lastColumn="0" w:noHBand="0" w:noVBand="1"/>
      </w:tblPr>
      <w:tblGrid>
        <w:gridCol w:w="1795"/>
        <w:gridCol w:w="1999"/>
        <w:gridCol w:w="1559"/>
        <w:gridCol w:w="1843"/>
        <w:gridCol w:w="1984"/>
      </w:tblGrid>
      <w:tr w:rsidR="00EB3BC8" w:rsidRPr="006749BC" w:rsidTr="005E52E0">
        <w:tc>
          <w:tcPr>
            <w:tcW w:w="1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VR CONST. OBRA</w:t>
            </w:r>
          </w:p>
        </w:tc>
        <w:tc>
          <w:tcPr>
            <w:tcW w:w="19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AMBIENTAL</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SOCIAL</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PREDIAL</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VALOR TOTAL</w:t>
            </w:r>
          </w:p>
        </w:tc>
      </w:tr>
      <w:tr w:rsidR="00EB3BC8" w:rsidRPr="006749BC" w:rsidTr="005E52E0">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551.855.816.00</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32.670.000.00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38.863.123.00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center"/>
              <w:rPr>
                <w:rFonts w:cstheme="minorHAnsi"/>
              </w:rPr>
            </w:pPr>
            <w:r w:rsidRPr="006749BC">
              <w:rPr>
                <w:rFonts w:cstheme="minorHAnsi"/>
              </w:rPr>
              <w:t>NO REQUIERE</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$623.388.939.00</w:t>
            </w:r>
          </w:p>
        </w:tc>
      </w:tr>
    </w:tbl>
    <w:p w:rsidR="00EB3BC8" w:rsidRPr="006749BC" w:rsidRDefault="00EB3BC8" w:rsidP="00EB3BC8">
      <w:pPr>
        <w:pStyle w:val="Prrafodelista"/>
        <w:spacing w:line="240" w:lineRule="auto"/>
        <w:ind w:left="360"/>
        <w:rPr>
          <w:rFonts w:eastAsia="Calibri" w:cstheme="minorHAnsi"/>
        </w:rPr>
      </w:pPr>
    </w:p>
    <w:p w:rsidR="00EB3BC8" w:rsidRPr="006749BC" w:rsidRDefault="00EB3BC8" w:rsidP="000021B2">
      <w:pPr>
        <w:pStyle w:val="Prrafodelista"/>
        <w:numPr>
          <w:ilvl w:val="0"/>
          <w:numId w:val="31"/>
        </w:numPr>
        <w:spacing w:line="240" w:lineRule="auto"/>
        <w:rPr>
          <w:rFonts w:cstheme="minorHAnsi"/>
        </w:rPr>
      </w:pPr>
      <w:r w:rsidRPr="006749BC">
        <w:rPr>
          <w:rFonts w:cstheme="minorHAnsi"/>
        </w:rPr>
        <w:t xml:space="preserve">Construcción Puente el Recreo 2 Tramo 14 </w:t>
      </w:r>
    </w:p>
    <w:p w:rsidR="00EB3BC8" w:rsidRPr="006749BC" w:rsidRDefault="00EB3BC8" w:rsidP="00EB3BC8">
      <w:pPr>
        <w:pStyle w:val="Prrafodelista"/>
        <w:spacing w:line="240" w:lineRule="auto"/>
        <w:ind w:left="360"/>
        <w:rPr>
          <w:rFonts w:cstheme="minorHAnsi"/>
        </w:rPr>
      </w:pPr>
      <w:r w:rsidRPr="006749BC">
        <w:rPr>
          <w:rFonts w:cstheme="minorHAnsi"/>
        </w:rPr>
        <w:t>Acción Popular 2007-307</w:t>
      </w:r>
    </w:p>
    <w:tbl>
      <w:tblPr>
        <w:tblW w:w="9180" w:type="dxa"/>
        <w:tblCellMar>
          <w:left w:w="0" w:type="dxa"/>
          <w:right w:w="0" w:type="dxa"/>
        </w:tblCellMar>
        <w:tblLook w:val="04A0" w:firstRow="1" w:lastRow="0" w:firstColumn="1" w:lastColumn="0" w:noHBand="0" w:noVBand="1"/>
      </w:tblPr>
      <w:tblGrid>
        <w:gridCol w:w="1795"/>
        <w:gridCol w:w="1999"/>
        <w:gridCol w:w="1559"/>
        <w:gridCol w:w="1843"/>
        <w:gridCol w:w="1984"/>
      </w:tblGrid>
      <w:tr w:rsidR="00EB3BC8" w:rsidRPr="006749BC" w:rsidTr="005E52E0">
        <w:tc>
          <w:tcPr>
            <w:tcW w:w="1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VR CONST. OBRA</w:t>
            </w:r>
          </w:p>
        </w:tc>
        <w:tc>
          <w:tcPr>
            <w:tcW w:w="19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AMBIENTAL</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SOCIAL</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COSTO PREDIAL</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rPr>
                <w:rFonts w:cstheme="minorHAnsi"/>
                <w:b/>
                <w:bCs/>
              </w:rPr>
            </w:pPr>
            <w:r w:rsidRPr="006749BC">
              <w:rPr>
                <w:rFonts w:cstheme="minorHAnsi"/>
                <w:b/>
                <w:bCs/>
              </w:rPr>
              <w:t>VALOR TOTAL</w:t>
            </w:r>
          </w:p>
        </w:tc>
      </w:tr>
      <w:tr w:rsidR="00EB3BC8" w:rsidRPr="006749BC" w:rsidTr="005E52E0">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656.824.599.00</w:t>
            </w:r>
          </w:p>
        </w:tc>
        <w:tc>
          <w:tcPr>
            <w:tcW w:w="1999" w:type="dxa"/>
            <w:tcBorders>
              <w:top w:val="nil"/>
              <w:left w:val="nil"/>
              <w:bottom w:val="single" w:sz="8" w:space="0" w:color="auto"/>
              <w:right w:val="single" w:sz="8" w:space="0" w:color="auto"/>
            </w:tcBorders>
            <w:tcMar>
              <w:top w:w="0" w:type="dxa"/>
              <w:left w:w="108" w:type="dxa"/>
              <w:bottom w:w="0" w:type="dxa"/>
              <w:right w:w="108" w:type="dxa"/>
            </w:tcMar>
          </w:tcPr>
          <w:p w:rsidR="00EB3BC8" w:rsidRPr="006749BC" w:rsidRDefault="00EB3BC8" w:rsidP="005E52E0">
            <w:pPr>
              <w:spacing w:line="240" w:lineRule="auto"/>
              <w:jc w:val="right"/>
              <w:rPr>
                <w:rFonts w:cstheme="minorHAnsi"/>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B3BC8" w:rsidRPr="006749BC" w:rsidRDefault="00EB3BC8" w:rsidP="005E52E0">
            <w:pPr>
              <w:spacing w:line="240" w:lineRule="auto"/>
              <w:jc w:val="right"/>
              <w:rPr>
                <w:rFonts w:cstheme="minorHAnsi"/>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center"/>
              <w:rPr>
                <w:rFonts w:cstheme="minorHAnsi"/>
              </w:rPr>
            </w:pPr>
            <w:r w:rsidRPr="006749BC">
              <w:rPr>
                <w:rFonts w:cstheme="minorHAnsi"/>
              </w:rPr>
              <w:t>NO REQUIERE</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EB3BC8" w:rsidRPr="006749BC" w:rsidRDefault="00EB3BC8" w:rsidP="005E52E0">
            <w:pPr>
              <w:spacing w:line="240" w:lineRule="auto"/>
              <w:jc w:val="right"/>
              <w:rPr>
                <w:rFonts w:cstheme="minorHAnsi"/>
              </w:rPr>
            </w:pPr>
            <w:r w:rsidRPr="006749BC">
              <w:rPr>
                <w:rFonts w:cstheme="minorHAnsi"/>
              </w:rPr>
              <w:t>$656.824.599.00</w:t>
            </w:r>
          </w:p>
        </w:tc>
      </w:tr>
    </w:tbl>
    <w:p w:rsidR="00EB3BC8" w:rsidRPr="006749BC" w:rsidRDefault="00EB3BC8" w:rsidP="00EB3BC8">
      <w:pPr>
        <w:spacing w:line="240" w:lineRule="auto"/>
        <w:rPr>
          <w:rFonts w:eastAsia="Calibri" w:cstheme="minorHAnsi"/>
          <w:sz w:val="16"/>
        </w:rPr>
      </w:pPr>
      <w:r w:rsidRPr="006749BC">
        <w:rPr>
          <w:rFonts w:cstheme="minorHAnsi"/>
          <w:b/>
          <w:bCs/>
          <w:sz w:val="16"/>
        </w:rPr>
        <w:t>NOTA:</w:t>
      </w:r>
      <w:r w:rsidRPr="006749BC">
        <w:rPr>
          <w:rFonts w:cstheme="minorHAnsi"/>
          <w:sz w:val="16"/>
        </w:rPr>
        <w:t xml:space="preserve"> Los costos ambientales y sociales son compartidos para los dos sectores del Recreo</w:t>
      </w:r>
    </w:p>
    <w:p w:rsidR="00EB3BC8" w:rsidRPr="006749BC" w:rsidRDefault="00EB3BC8" w:rsidP="00EB3BC8">
      <w:pPr>
        <w:spacing w:line="240" w:lineRule="auto"/>
        <w:rPr>
          <w:rFonts w:cstheme="minorHAnsi"/>
        </w:rPr>
      </w:pPr>
      <w:r w:rsidRPr="006749BC">
        <w:rPr>
          <w:rFonts w:cstheme="minorHAnsi"/>
        </w:rPr>
        <w:t>VALOR ESTIMADO TOTAL OBRAS Y GESTIONES  $5.925.291.885,00 precios de Junio de 2014</w:t>
      </w:r>
    </w:p>
    <w:p w:rsidR="00EB3BC8" w:rsidRPr="006749BC" w:rsidRDefault="00EB3BC8" w:rsidP="00EB3BC8">
      <w:pPr>
        <w:spacing w:line="240" w:lineRule="auto"/>
        <w:rPr>
          <w:rFonts w:cstheme="minorHAnsi"/>
        </w:rPr>
      </w:pPr>
      <w:r w:rsidRPr="006749BC">
        <w:rPr>
          <w:rFonts w:cstheme="minorHAnsi"/>
        </w:rPr>
        <w:t>VALOR ESTIMADO DE INTERVENTORIA 7% DE LA OBRA $240.000.000 precios de Junio de 2014</w:t>
      </w:r>
    </w:p>
    <w:p w:rsidR="00EB3BC8" w:rsidRPr="006749BC" w:rsidRDefault="00EB3BC8" w:rsidP="00EB3BC8">
      <w:pPr>
        <w:spacing w:line="240" w:lineRule="auto"/>
        <w:jc w:val="both"/>
        <w:rPr>
          <w:rFonts w:cstheme="minorHAnsi"/>
        </w:rPr>
      </w:pPr>
      <w:r w:rsidRPr="006749BC">
        <w:rPr>
          <w:rFonts w:cstheme="minorHAnsi"/>
          <w:b/>
        </w:rPr>
        <w:t xml:space="preserve">Puente sobre el Rio Pamplonita: </w:t>
      </w:r>
    </w:p>
    <w:p w:rsidR="00EB3BC8" w:rsidRPr="006749BC" w:rsidRDefault="00EB3BC8" w:rsidP="00EB3BC8">
      <w:pPr>
        <w:spacing w:line="240" w:lineRule="auto"/>
        <w:jc w:val="both"/>
        <w:rPr>
          <w:rFonts w:cstheme="minorHAnsi"/>
        </w:rPr>
      </w:pPr>
      <w:r w:rsidRPr="006749BC">
        <w:rPr>
          <w:rFonts w:cstheme="minorHAnsi"/>
        </w:rPr>
        <w:t xml:space="preserve">El valor definitivo de la construcción del Puente sobre el rio Pamplonita será a precio global fijo, y este será definido por las partes una vez se cuente con los Estudios y Diseños a nivel de detalle fase III, debidamente validado por la Interventoría, para lo cual se suscribirá la correspondiente Acta.  </w:t>
      </w:r>
    </w:p>
    <w:p w:rsidR="00EB3BC8" w:rsidRPr="006749BC" w:rsidRDefault="00EB3BC8" w:rsidP="000021B2">
      <w:pPr>
        <w:pStyle w:val="Prrafodelista"/>
        <w:numPr>
          <w:ilvl w:val="0"/>
          <w:numId w:val="18"/>
        </w:numPr>
        <w:spacing w:before="100" w:beforeAutospacing="1" w:after="100" w:afterAutospacing="1" w:line="240" w:lineRule="auto"/>
        <w:contextualSpacing w:val="0"/>
        <w:jc w:val="both"/>
        <w:rPr>
          <w:rFonts w:cstheme="minorHAnsi"/>
        </w:rPr>
      </w:pPr>
      <w:r w:rsidRPr="006749BC">
        <w:rPr>
          <w:rFonts w:cstheme="minorHAnsi"/>
        </w:rPr>
        <w:t>EL CONCESIONARIO ejecutara la obra correspondiente al Puente sobre el rio Pamplonita en un plazo de veinticuatro (24) meses, suscribiendo Acta de Inicio de construcción a más tardar dentro de los cinco (5) días siguientes a la aprobación de los estudios, diseños y valor de la construcción.</w:t>
      </w:r>
    </w:p>
    <w:p w:rsidR="00EB3BC8" w:rsidRPr="006749BC" w:rsidRDefault="00EB3BC8" w:rsidP="000021B2">
      <w:pPr>
        <w:pStyle w:val="Prrafodelista"/>
        <w:numPr>
          <w:ilvl w:val="0"/>
          <w:numId w:val="18"/>
        </w:numPr>
        <w:spacing w:before="100" w:beforeAutospacing="1" w:after="100" w:afterAutospacing="1" w:line="240" w:lineRule="auto"/>
        <w:contextualSpacing w:val="0"/>
        <w:jc w:val="both"/>
        <w:rPr>
          <w:rFonts w:cstheme="minorHAnsi"/>
        </w:rPr>
      </w:pPr>
      <w:r w:rsidRPr="006749BC">
        <w:rPr>
          <w:rFonts w:cstheme="minorHAnsi"/>
        </w:rPr>
        <w:t>La construcción del Puente sobre el río Pamplonita, cuenta con licencia ambiental según Resolución No. 1249 del 20 de Diciembre de 2002, expedida por el Ministerio del Medio Ambiente.</w:t>
      </w:r>
    </w:p>
    <w:p w:rsidR="00EB3BC8" w:rsidRPr="006749BC" w:rsidRDefault="00EB3BC8" w:rsidP="000021B2">
      <w:pPr>
        <w:pStyle w:val="Prrafodelista"/>
        <w:numPr>
          <w:ilvl w:val="0"/>
          <w:numId w:val="18"/>
        </w:numPr>
        <w:spacing w:before="100" w:beforeAutospacing="1" w:after="100" w:afterAutospacing="1" w:line="240" w:lineRule="auto"/>
        <w:contextualSpacing w:val="0"/>
        <w:jc w:val="both"/>
        <w:rPr>
          <w:rFonts w:cstheme="minorHAnsi"/>
        </w:rPr>
      </w:pPr>
      <w:r w:rsidRPr="006749BC">
        <w:rPr>
          <w:rFonts w:cstheme="minorHAnsi"/>
        </w:rPr>
        <w:t xml:space="preserve">La Concesión presenta ajuste al presupuesto de acuerdo con las reuniones adelantadas con interventoría. </w:t>
      </w:r>
    </w:p>
    <w:p w:rsidR="00EB3BC8" w:rsidRPr="006749BC" w:rsidRDefault="00EB3BC8" w:rsidP="000021B2">
      <w:pPr>
        <w:pStyle w:val="Prrafodelista"/>
        <w:numPr>
          <w:ilvl w:val="0"/>
          <w:numId w:val="18"/>
        </w:numPr>
        <w:spacing w:before="100" w:beforeAutospacing="1" w:after="100" w:afterAutospacing="1" w:line="240" w:lineRule="auto"/>
        <w:contextualSpacing w:val="0"/>
        <w:jc w:val="both"/>
        <w:rPr>
          <w:rFonts w:cstheme="minorHAnsi"/>
        </w:rPr>
      </w:pPr>
      <w:r w:rsidRPr="006749BC">
        <w:rPr>
          <w:rFonts w:cstheme="minorHAnsi"/>
        </w:rPr>
        <w:t xml:space="preserve">La interventoría informa  que ya se tiene una cifra avalada por valor de 18.550 MM, para lo cual presentaran oficialmente el aval y el sustento jurídico.  </w:t>
      </w:r>
    </w:p>
    <w:p w:rsidR="00EB3BC8" w:rsidRPr="006749BC" w:rsidRDefault="00EB3BC8" w:rsidP="00EB3BC8">
      <w:pPr>
        <w:spacing w:line="240" w:lineRule="auto"/>
        <w:jc w:val="both"/>
        <w:rPr>
          <w:rFonts w:cstheme="minorHAnsi"/>
          <w:b/>
        </w:rPr>
      </w:pPr>
      <w:r w:rsidRPr="006749BC">
        <w:rPr>
          <w:rFonts w:cstheme="minorHAnsi"/>
          <w:b/>
        </w:rPr>
        <w:t xml:space="preserve">Intersección Rumichaca: </w:t>
      </w:r>
    </w:p>
    <w:p w:rsidR="00EB3BC8" w:rsidRPr="006749BC" w:rsidRDefault="00EB3BC8" w:rsidP="00EB3BC8">
      <w:pPr>
        <w:spacing w:line="240" w:lineRule="auto"/>
        <w:jc w:val="both"/>
        <w:rPr>
          <w:rFonts w:cstheme="minorHAnsi"/>
        </w:rPr>
      </w:pPr>
      <w:r w:rsidRPr="006749BC">
        <w:rPr>
          <w:rFonts w:cstheme="minorHAnsi"/>
        </w:rPr>
        <w:t>La obra correspondiente al Tramo 10, “Intersección a desnivel Rumichaca”, el CONCESIONARIO entregó los estudios y diseños a nivel de detalle Fase III, los cuales están en revisión por la interventoría y deberán ser verificados y validados.</w:t>
      </w:r>
    </w:p>
    <w:p w:rsidR="00EB3BC8" w:rsidRPr="006749BC" w:rsidRDefault="00EB3BC8" w:rsidP="000021B2">
      <w:pPr>
        <w:pStyle w:val="Prrafodelista"/>
        <w:numPr>
          <w:ilvl w:val="0"/>
          <w:numId w:val="18"/>
        </w:numPr>
        <w:spacing w:before="100" w:beforeAutospacing="1" w:after="100" w:afterAutospacing="1" w:line="240" w:lineRule="auto"/>
        <w:contextualSpacing w:val="0"/>
        <w:jc w:val="both"/>
        <w:rPr>
          <w:rFonts w:cstheme="minorHAnsi"/>
        </w:rPr>
      </w:pPr>
      <w:r w:rsidRPr="006749BC">
        <w:rPr>
          <w:rFonts w:cstheme="minorHAnsi"/>
        </w:rPr>
        <w:t>EL CONCESIONARIO ejecutará las obras correspondientes al Tramo 10 “Intersección desnivel Rumichaca” en un plazo de veinticuatro (24) meses contados a partir de la fecha de suscripción de Acta Inicio de conformidad con el cronograma verificado y validado por la Interventoría del proyecto.</w:t>
      </w:r>
    </w:p>
    <w:p w:rsidR="00EB3BC8" w:rsidRPr="006749BC" w:rsidRDefault="00EB3BC8" w:rsidP="000021B2">
      <w:pPr>
        <w:pStyle w:val="Prrafodelista"/>
        <w:numPr>
          <w:ilvl w:val="0"/>
          <w:numId w:val="18"/>
        </w:numPr>
        <w:spacing w:before="100" w:beforeAutospacing="1" w:after="100" w:afterAutospacing="1" w:line="240" w:lineRule="auto"/>
        <w:contextualSpacing w:val="0"/>
        <w:jc w:val="both"/>
        <w:rPr>
          <w:rFonts w:cstheme="minorHAnsi"/>
        </w:rPr>
      </w:pPr>
      <w:r w:rsidRPr="006749BC">
        <w:rPr>
          <w:rFonts w:cstheme="minorHAnsi"/>
        </w:rPr>
        <w:t>La Concesión entrega a interventoría los estudios y diseños de Rumichaca ajustados para revisión.</w:t>
      </w:r>
    </w:p>
    <w:p w:rsidR="00EB3BC8" w:rsidRPr="006749BC" w:rsidRDefault="00EB3BC8" w:rsidP="000021B2">
      <w:pPr>
        <w:pStyle w:val="Prrafodelista"/>
        <w:numPr>
          <w:ilvl w:val="0"/>
          <w:numId w:val="18"/>
        </w:numPr>
        <w:spacing w:before="100" w:beforeAutospacing="1" w:after="100" w:afterAutospacing="1" w:line="240" w:lineRule="auto"/>
        <w:contextualSpacing w:val="0"/>
        <w:jc w:val="both"/>
        <w:rPr>
          <w:rFonts w:cstheme="minorHAnsi"/>
        </w:rPr>
      </w:pPr>
      <w:r w:rsidRPr="006749BC">
        <w:rPr>
          <w:rFonts w:cstheme="minorHAnsi"/>
        </w:rPr>
        <w:t xml:space="preserve">Los diseños de la Intersección Rumichaca deben ser ajustados y sustentados por tal motivo a la Fecha no hay una aprobación definitiva, no obstante la Concesión se encuentra adelantando la Gestión Predial. </w:t>
      </w:r>
    </w:p>
    <w:p w:rsidR="00EB3BC8" w:rsidRPr="00590BA0" w:rsidRDefault="00EB3BC8" w:rsidP="00EB3BC8">
      <w:pPr>
        <w:spacing w:line="240" w:lineRule="auto"/>
        <w:jc w:val="both"/>
        <w:rPr>
          <w:rFonts w:ascii="Arial" w:hAnsi="Arial" w:cs="Arial"/>
        </w:rPr>
      </w:pPr>
      <w:r w:rsidRPr="00590BA0">
        <w:rPr>
          <w:rFonts w:ascii="Arial" w:hAnsi="Arial" w:cs="Arial"/>
        </w:rPr>
        <w:t xml:space="preserve">  </w:t>
      </w:r>
    </w:p>
    <w:p w:rsidR="00EB3BC8" w:rsidRPr="00590BA0" w:rsidRDefault="00EB3BC8" w:rsidP="00EB3BC8">
      <w:pPr>
        <w:spacing w:after="0" w:line="240" w:lineRule="auto"/>
        <w:jc w:val="center"/>
        <w:rPr>
          <w:rFonts w:ascii="Arial" w:eastAsia="Times New Roman" w:hAnsi="Arial" w:cs="Arial"/>
          <w:b/>
          <w:noProof/>
          <w:highlight w:val="green"/>
          <w:lang w:val="es-ES"/>
        </w:rPr>
      </w:pPr>
    </w:p>
    <w:p w:rsidR="00EB3BC8" w:rsidRPr="00F33AB9" w:rsidRDefault="00EB3BC8" w:rsidP="00EB3BC8">
      <w:pPr>
        <w:spacing w:line="240" w:lineRule="auto"/>
        <w:jc w:val="both"/>
        <w:rPr>
          <w:rFonts w:eastAsia="Times New Roman" w:cstheme="minorHAnsi"/>
          <w:b/>
          <w:lang w:val="es-ES"/>
        </w:rPr>
      </w:pPr>
      <w:r w:rsidRPr="00F33AB9">
        <w:rPr>
          <w:rFonts w:eastAsia="Times New Roman" w:cstheme="minorHAnsi"/>
          <w:b/>
          <w:lang w:val="es-ES"/>
        </w:rPr>
        <w:t xml:space="preserve">11. INFORME DE GESTIÓN PROYECTO GIRARDOT IBAGUE CAJAMARCA </w:t>
      </w:r>
    </w:p>
    <w:p w:rsidR="00EB3BC8" w:rsidRPr="00590BA0" w:rsidRDefault="00EB3BC8" w:rsidP="00EB3BC8">
      <w:pPr>
        <w:spacing w:after="0" w:line="240" w:lineRule="auto"/>
        <w:jc w:val="center"/>
        <w:rPr>
          <w:rFonts w:ascii="Arial" w:eastAsia="Times New Roman" w:hAnsi="Arial" w:cs="Arial"/>
          <w:b/>
          <w:lang w:val="es-ES" w:eastAsia="es-ES"/>
        </w:rPr>
      </w:pPr>
    </w:p>
    <w:p w:rsidR="00EB3BC8" w:rsidRPr="00C02C09" w:rsidRDefault="00EB3BC8" w:rsidP="00EB3BC8">
      <w:pPr>
        <w:spacing w:after="0" w:line="240" w:lineRule="auto"/>
        <w:jc w:val="both"/>
        <w:rPr>
          <w:rFonts w:eastAsia="Times New Roman" w:cstheme="minorHAnsi"/>
          <w:lang w:val="es-ES" w:eastAsia="es-ES"/>
        </w:rPr>
      </w:pPr>
      <w:r w:rsidRPr="00C02C09">
        <w:rPr>
          <w:rFonts w:eastAsia="Times New Roman" w:cstheme="minorHAnsi"/>
          <w:lang w:val="es-ES" w:eastAsia="es-ES"/>
        </w:rPr>
        <w:t>CONTRATO: 007 de 2007</w:t>
      </w:r>
    </w:p>
    <w:p w:rsidR="00EB3BC8" w:rsidRPr="00C02C09" w:rsidRDefault="00EB3BC8" w:rsidP="00EB3BC8">
      <w:pPr>
        <w:spacing w:after="0" w:line="240" w:lineRule="auto"/>
        <w:jc w:val="both"/>
        <w:rPr>
          <w:rFonts w:eastAsia="Times New Roman" w:cstheme="minorHAnsi"/>
          <w:lang w:val="es-ES" w:eastAsia="es-ES"/>
        </w:rPr>
      </w:pPr>
      <w:r w:rsidRPr="00C02C09">
        <w:rPr>
          <w:rFonts w:eastAsia="Times New Roman" w:cstheme="minorHAnsi"/>
          <w:lang w:val="es-ES" w:eastAsia="es-ES"/>
        </w:rPr>
        <w:t>CONCESION: SAN RAFAEL</w:t>
      </w:r>
    </w:p>
    <w:p w:rsidR="00EB3BC8" w:rsidRPr="00C02C09" w:rsidRDefault="00EB3BC8" w:rsidP="00EB3BC8">
      <w:pPr>
        <w:spacing w:after="0" w:line="240" w:lineRule="auto"/>
        <w:jc w:val="both"/>
        <w:rPr>
          <w:rFonts w:eastAsia="Times New Roman" w:cstheme="minorHAnsi"/>
          <w:lang w:val="es-ES" w:eastAsia="es-ES"/>
        </w:rPr>
      </w:pPr>
      <w:r w:rsidRPr="00C02C09">
        <w:rPr>
          <w:rFonts w:eastAsia="Times New Roman" w:cstheme="minorHAnsi"/>
          <w:lang w:val="es-ES" w:eastAsia="es-ES"/>
        </w:rPr>
        <w:t>INTERVENTORIA: Consorcio INTERCONCESIONES</w:t>
      </w:r>
    </w:p>
    <w:p w:rsidR="00EB3BC8" w:rsidRPr="00C02C09" w:rsidRDefault="00EB3BC8" w:rsidP="00EB3BC8">
      <w:pPr>
        <w:tabs>
          <w:tab w:val="left" w:pos="5340"/>
        </w:tabs>
        <w:spacing w:after="0" w:line="240" w:lineRule="auto"/>
        <w:jc w:val="both"/>
        <w:rPr>
          <w:rFonts w:eastAsia="Times New Roman" w:cstheme="minorHAnsi"/>
          <w:bCs/>
          <w:spacing w:val="-3"/>
          <w:lang w:val="es-ES" w:eastAsia="es-ES"/>
        </w:rPr>
      </w:pPr>
    </w:p>
    <w:p w:rsidR="00EB3BC8" w:rsidRPr="00C02C09" w:rsidRDefault="00EB3BC8" w:rsidP="00EB3BC8">
      <w:pPr>
        <w:tabs>
          <w:tab w:val="left" w:pos="5340"/>
        </w:tabs>
        <w:spacing w:after="0" w:line="240" w:lineRule="auto"/>
        <w:jc w:val="both"/>
        <w:rPr>
          <w:rFonts w:eastAsia="Times New Roman" w:cstheme="minorHAnsi"/>
          <w:bCs/>
          <w:spacing w:val="-3"/>
          <w:lang w:val="es-ES" w:eastAsia="es-ES"/>
        </w:rPr>
      </w:pPr>
      <w:r w:rsidRPr="00C02C09">
        <w:rPr>
          <w:rFonts w:eastAsia="Times New Roman" w:cstheme="minorHAnsi"/>
          <w:bCs/>
          <w:spacing w:val="-3"/>
          <w:lang w:val="es-ES" w:eastAsia="es-ES"/>
        </w:rPr>
        <w:t>En el segundo trimestre del año en curso se han llevado actividades de seguimiento y acompañamiento para los temas que se describen a continuación:</w:t>
      </w:r>
    </w:p>
    <w:p w:rsidR="00EB3BC8" w:rsidRPr="00C02C09" w:rsidRDefault="00EB3BC8" w:rsidP="00EB3BC8">
      <w:pPr>
        <w:tabs>
          <w:tab w:val="left" w:pos="5340"/>
        </w:tabs>
        <w:spacing w:after="0" w:line="240" w:lineRule="auto"/>
        <w:jc w:val="both"/>
        <w:rPr>
          <w:rFonts w:eastAsia="Times New Roman" w:cstheme="minorHAnsi"/>
          <w:bCs/>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 xml:space="preserve">PLAN DE MEJORAMIENTO INSTITUCIONAL: </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Se llevó a cabo el cierre de todos los hallazgos pendientes correspondientes al contrato de concesión 007 de 2007 siendo el ultimo el No. 412 Índice de estado.</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 xml:space="preserve">AUDITORIA INTERNA: </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Los días 25 y 26 de Abril se realizó la auditoria al proyecto por medio de la Oficina de Control Interno obteniendo una calificación de 80.27.</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AMIGABLES COMPONEDORES:</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En el segundo trimestre del año en curso se realizó la activación de los amigables componedores en dos procesos:</w:t>
      </w:r>
    </w:p>
    <w:p w:rsidR="00EB3BC8" w:rsidRPr="00C02C09" w:rsidRDefault="00EB3BC8" w:rsidP="000021B2">
      <w:pPr>
        <w:numPr>
          <w:ilvl w:val="0"/>
          <w:numId w:val="52"/>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 xml:space="preserve">El primero activado correspondiente a los temas: </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*Póliza todo riesgo</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*Fondeo subcuenta predial</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*Dimensiones señales verticales</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*Alcance de las intervenciones en el tramo 5 (ley 105)</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p>
    <w:p w:rsidR="00EB3BC8" w:rsidRPr="00C02C09" w:rsidRDefault="00EB3BC8" w:rsidP="000021B2">
      <w:pPr>
        <w:numPr>
          <w:ilvl w:val="0"/>
          <w:numId w:val="52"/>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 xml:space="preserve">El segundo Amigable correspondiente al tema: </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*Índice de estado.</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OTRO SI 10 SEGUNDA CALZADA VARIANTE GUALANDAY:</w:t>
      </w:r>
    </w:p>
    <w:p w:rsidR="00EB3BC8" w:rsidRPr="00C02C09" w:rsidRDefault="00EB3BC8" w:rsidP="000021B2">
      <w:pPr>
        <w:numPr>
          <w:ilvl w:val="0"/>
          <w:numId w:val="51"/>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En el desarrollo de los diseños correspondientes a la segunda calzada de la variante, mediante mesas de trabajo se llegaron a concertaciones técnicas que dieron como resultado un diseño con los ajustes requeridos (Bermas, Pendientes máximas, Especificaciones).</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p>
    <w:p w:rsidR="00EB3BC8" w:rsidRPr="00C02C09" w:rsidRDefault="00EB3BC8" w:rsidP="000021B2">
      <w:pPr>
        <w:numPr>
          <w:ilvl w:val="0"/>
          <w:numId w:val="51"/>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Se llevó a cabo acompañamiento en la socialización del proyecto mediante reuniones y mesas de trabajo en la que se logró comprometer al concesionario para la presentación de alternativas que mitiguen los impactos negativos y el descontento de la comunidad de Gualanday la cual ha llevado su problemática hasta por medio de derechos de petición.</w:t>
      </w:r>
    </w:p>
    <w:p w:rsidR="00EB3BC8" w:rsidRPr="00C02C09" w:rsidRDefault="00EB3BC8" w:rsidP="00EB3BC8">
      <w:pPr>
        <w:spacing w:after="0" w:line="240" w:lineRule="auto"/>
        <w:ind w:left="720"/>
        <w:contextualSpacing/>
        <w:rPr>
          <w:rFonts w:eastAsia="Times New Roman" w:cstheme="minorHAnsi"/>
          <w:bCs/>
          <w:spacing w:val="-3"/>
          <w:lang w:val="es-ES" w:eastAsia="es-ES"/>
        </w:rPr>
      </w:pP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El acompañamiento y preparación de  dichas alternativas ha llevado a empujar el trámite de la radicación de la Licencia ambiental la cual en este trimestre ha generado el avance en la gestión ante el ANLA, Se notificó el auto de inicio el 4 de junio y se realizó visita de evaluación, se espera notificación.</w:t>
      </w:r>
    </w:p>
    <w:p w:rsidR="00EB3BC8" w:rsidRPr="00C02C09" w:rsidRDefault="00EB3BC8" w:rsidP="000021B2">
      <w:pPr>
        <w:numPr>
          <w:ilvl w:val="0"/>
          <w:numId w:val="51"/>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 xml:space="preserve">Una vez entregados los diseños definitivos, se solicita al Concesionario  y a la Interventoría  el análisis y concertación del presupuesto de la segunda calzada, por lo que se han hecho </w:t>
      </w:r>
      <w:r w:rsidRPr="00C02C09">
        <w:rPr>
          <w:rFonts w:eastAsia="Times New Roman" w:cstheme="minorHAnsi"/>
          <w:bCs/>
          <w:spacing w:val="-3"/>
          <w:lang w:val="es-ES" w:eastAsia="es-ES"/>
        </w:rPr>
        <w:lastRenderedPageBreak/>
        <w:t>mesas de trabajo y reuniones en la que se ha evidenciado que el presupuesto supera el techo financiero establecido en el otrosí 10, por lo que se proyecta el acta de verificación y el otrosí 11</w:t>
      </w:r>
    </w:p>
    <w:p w:rsidR="00EB3BC8" w:rsidRPr="00C02C09" w:rsidRDefault="00EB3BC8" w:rsidP="00EB3BC8">
      <w:pPr>
        <w:tabs>
          <w:tab w:val="left" w:pos="5340"/>
        </w:tabs>
        <w:spacing w:after="0" w:line="240" w:lineRule="auto"/>
        <w:ind w:left="1080"/>
        <w:contextualSpacing/>
        <w:jc w:val="both"/>
        <w:rPr>
          <w:rFonts w:eastAsia="Times New Roman" w:cstheme="minorHAnsi"/>
          <w:bCs/>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INTERSECCION BUENOS AIRES:</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 xml:space="preserve">En planes de regularización se ha solicitado el avance de las gestiones pertinentes a la ejecución de las obras correspondientes a la intersección Buenos Aires, cabe aclarar que el inicio de estas obras está condicionado a la definición de las responsabilidades y compromisos del concesionario para habilitar la línea férrea una vez esta se active, este compromiso está en curso entre el Concesionario San Rafael y el INVIAS. </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CONSTRUCCION CICLORUTA VARIANTE PICALEÑA:</w:t>
      </w:r>
    </w:p>
    <w:p w:rsidR="00EB3BC8" w:rsidRPr="00C02C09" w:rsidRDefault="00EB3BC8" w:rsidP="00EB3BC8">
      <w:pPr>
        <w:tabs>
          <w:tab w:val="left" w:pos="5340"/>
        </w:tabs>
        <w:spacing w:after="0" w:line="240" w:lineRule="auto"/>
        <w:ind w:left="720"/>
        <w:contextualSpacing/>
        <w:jc w:val="both"/>
        <w:rPr>
          <w:rFonts w:eastAsia="Times New Roman" w:cstheme="minorHAnsi"/>
          <w:spacing w:val="-3"/>
          <w:lang w:val="es-ES" w:eastAsia="es-ES"/>
        </w:rPr>
      </w:pPr>
      <w:r w:rsidRPr="00C02C09">
        <w:rPr>
          <w:rFonts w:eastAsia="Times New Roman" w:cstheme="minorHAnsi"/>
          <w:bCs/>
          <w:spacing w:val="-3"/>
          <w:lang w:val="es-ES" w:eastAsia="es-ES"/>
        </w:rPr>
        <w:t>La supervisión en conjunto con la interventoría considera inviable la propuesta del concesionario para ejecutar la cicloruta faltante en una zona que no es funcional, por lo anterior se le exige al concesionario llevar a cabo las actividades pendientes para la construcción de la cicloruta como lo establece el contrato, en planes de regularización quedo establecido el compromiso por parte del Concesionario.</w:t>
      </w:r>
    </w:p>
    <w:p w:rsidR="00EB3BC8" w:rsidRPr="00C02C09" w:rsidRDefault="00EB3BC8" w:rsidP="00EB3BC8">
      <w:pPr>
        <w:tabs>
          <w:tab w:val="left" w:pos="5340"/>
        </w:tabs>
        <w:spacing w:after="0" w:line="240" w:lineRule="auto"/>
        <w:ind w:left="720"/>
        <w:contextualSpacing/>
        <w:jc w:val="both"/>
        <w:rPr>
          <w:rFonts w:eastAsia="Times New Roman" w:cstheme="minorHAnsi"/>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spacing w:val="-3"/>
          <w:lang w:val="es-ES" w:eastAsia="es-ES"/>
        </w:rPr>
      </w:pPr>
      <w:r w:rsidRPr="00C02C09">
        <w:rPr>
          <w:rFonts w:eastAsia="Times New Roman" w:cstheme="minorHAnsi"/>
          <w:bCs/>
          <w:spacing w:val="-3"/>
          <w:lang w:val="es-ES" w:eastAsia="es-ES"/>
        </w:rPr>
        <w:t>GESTIÓN COMPONENTE PREDIAL:</w:t>
      </w:r>
    </w:p>
    <w:p w:rsidR="00EB3BC8" w:rsidRPr="00C02C09" w:rsidRDefault="00EB3BC8" w:rsidP="000021B2">
      <w:pPr>
        <w:numPr>
          <w:ilvl w:val="0"/>
          <w:numId w:val="51"/>
        </w:numPr>
        <w:tabs>
          <w:tab w:val="left" w:pos="5340"/>
        </w:tabs>
        <w:spacing w:after="0" w:line="240" w:lineRule="auto"/>
        <w:contextualSpacing/>
        <w:jc w:val="both"/>
        <w:rPr>
          <w:rFonts w:eastAsia="Times New Roman" w:cstheme="minorHAnsi"/>
          <w:spacing w:val="-3"/>
          <w:lang w:val="es-ES" w:eastAsia="es-ES"/>
        </w:rPr>
      </w:pPr>
      <w:r w:rsidRPr="00C02C09">
        <w:rPr>
          <w:rFonts w:eastAsia="Times New Roman" w:cstheme="minorHAnsi"/>
          <w:spacing w:val="-3"/>
          <w:lang w:val="es-ES" w:eastAsia="es-ES"/>
        </w:rPr>
        <w:t>El componente predial presenta  atrasos en la verificación de los manejos financieros por falta de información que no ha suministrado la fiducia del contrato, por lo anterior se ha solicitado a la fiducia en varias ocasiones esta información.</w:t>
      </w:r>
    </w:p>
    <w:p w:rsidR="00EB3BC8" w:rsidRPr="00C02C09" w:rsidRDefault="00EB3BC8" w:rsidP="000021B2">
      <w:pPr>
        <w:numPr>
          <w:ilvl w:val="0"/>
          <w:numId w:val="51"/>
        </w:numPr>
        <w:tabs>
          <w:tab w:val="left" w:pos="5340"/>
        </w:tabs>
        <w:spacing w:after="0" w:line="240" w:lineRule="auto"/>
        <w:contextualSpacing/>
        <w:jc w:val="both"/>
        <w:rPr>
          <w:rFonts w:eastAsia="Times New Roman" w:cstheme="minorHAnsi"/>
          <w:spacing w:val="-3"/>
          <w:lang w:val="es-ES" w:eastAsia="es-ES"/>
        </w:rPr>
      </w:pPr>
      <w:r w:rsidRPr="00C02C09">
        <w:rPr>
          <w:rFonts w:eastAsia="Times New Roman" w:cstheme="minorHAnsi"/>
          <w:spacing w:val="-3"/>
          <w:lang w:val="es-ES" w:eastAsia="es-ES"/>
        </w:rPr>
        <w:t xml:space="preserve">La definición de la tira predial para la construcción de la segunda calzada se ha concertado en las mesas de trabajo para lo cual se acuerda que la franja a adquirir para las obras es de 15 m a lado y lado del eje y en donde se requiera más área será sustentado técnicamente y avalado por la interventoría. </w:t>
      </w:r>
    </w:p>
    <w:p w:rsidR="00EB3BC8" w:rsidRPr="00C02C09" w:rsidRDefault="00EB3BC8" w:rsidP="000021B2">
      <w:pPr>
        <w:numPr>
          <w:ilvl w:val="0"/>
          <w:numId w:val="51"/>
        </w:numPr>
        <w:tabs>
          <w:tab w:val="left" w:pos="5340"/>
        </w:tabs>
        <w:spacing w:after="0" w:line="240" w:lineRule="auto"/>
        <w:contextualSpacing/>
        <w:jc w:val="both"/>
        <w:rPr>
          <w:rFonts w:eastAsia="Times New Roman" w:cstheme="minorHAnsi"/>
          <w:spacing w:val="-3"/>
          <w:lang w:val="es-ES" w:eastAsia="es-ES"/>
        </w:rPr>
      </w:pPr>
      <w:r w:rsidRPr="00C02C09">
        <w:rPr>
          <w:rFonts w:eastAsia="Times New Roman" w:cstheme="minorHAnsi"/>
          <w:spacing w:val="-3"/>
          <w:lang w:val="es-ES" w:eastAsia="es-ES"/>
        </w:rPr>
        <w:t xml:space="preserve">Se presenta un problema para el cierre de los predios de Pablo Laserna, mediante mesas de trabajo, visitas de verificación y acompañamiento se ha logrado un acercamiento entre las partes para la solución de esta problemática. </w:t>
      </w:r>
    </w:p>
    <w:p w:rsidR="00EB3BC8" w:rsidRPr="00C02C09" w:rsidRDefault="00EB3BC8" w:rsidP="000021B2">
      <w:pPr>
        <w:numPr>
          <w:ilvl w:val="0"/>
          <w:numId w:val="51"/>
        </w:numPr>
        <w:tabs>
          <w:tab w:val="left" w:pos="5340"/>
        </w:tabs>
        <w:spacing w:after="0" w:line="240" w:lineRule="auto"/>
        <w:contextualSpacing/>
        <w:jc w:val="both"/>
        <w:rPr>
          <w:rFonts w:eastAsia="Times New Roman" w:cstheme="minorHAnsi"/>
          <w:spacing w:val="-3"/>
          <w:lang w:val="es-ES" w:eastAsia="es-ES"/>
        </w:rPr>
      </w:pPr>
      <w:r w:rsidRPr="00C02C09">
        <w:rPr>
          <w:rFonts w:eastAsia="Times New Roman" w:cstheme="minorHAnsi"/>
          <w:spacing w:val="-3"/>
          <w:lang w:val="es-ES" w:eastAsia="es-ES"/>
        </w:rPr>
        <w:t>Predios tramo 5: Se ha solicitado al Concesionario los recursos correspondientes a la compra de predios que no debieron adquirirse en el tramo 5, este acepto y hará la correspondiente devolución.</w:t>
      </w:r>
    </w:p>
    <w:p w:rsidR="00EB3BC8" w:rsidRPr="00C02C09" w:rsidRDefault="00EB3BC8" w:rsidP="00EB3BC8">
      <w:pPr>
        <w:tabs>
          <w:tab w:val="left" w:pos="5340"/>
        </w:tabs>
        <w:spacing w:after="0" w:line="240" w:lineRule="auto"/>
        <w:jc w:val="both"/>
        <w:rPr>
          <w:rFonts w:eastAsia="Times New Roman" w:cstheme="minorHAnsi"/>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PERMISOS:</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Se han hecho gestiones para la consecución de permisos teniendo en cuenta las prioridades como por ejemplo La Fuerza Aérea y Aeronáutica.</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VALLAS:</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Se consideró pertinente llevar a cabo la instalación de las vallas correspondientes a la segunda calzada de gualanday posteriormente se tenga la licencia ambiental.</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EJECUCION Y AVANCE:</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 xml:space="preserve">El proyecto  general se encuentra en las fases de construcción, operación y mantenimiento por lo que se prevé acciones en todas las disciplinas (Social-Ambiental-Técnica-Jurídica y financiera), </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Se proyecta Otrosí 11</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Definición de alternativas y obras correspondientes al componente Social.</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Concertaciones Ambientales</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lastRenderedPageBreak/>
        <w:t>Áreas de servicio</w:t>
      </w:r>
    </w:p>
    <w:p w:rsidR="00EB3BC8" w:rsidRPr="00C02C09" w:rsidRDefault="00EB3BC8" w:rsidP="00EB3BC8">
      <w:pPr>
        <w:tabs>
          <w:tab w:val="left" w:pos="5340"/>
        </w:tabs>
        <w:spacing w:after="0" w:line="240" w:lineRule="auto"/>
        <w:ind w:left="720"/>
        <w:contextualSpacing/>
        <w:jc w:val="both"/>
        <w:rPr>
          <w:rFonts w:eastAsia="Times New Roman" w:cstheme="minorHAnsi"/>
          <w:bCs/>
          <w:spacing w:val="-3"/>
          <w:lang w:val="es-ES" w:eastAsia="es-ES"/>
        </w:rPr>
      </w:pPr>
    </w:p>
    <w:p w:rsidR="00EB3BC8" w:rsidRPr="00C02C09" w:rsidRDefault="00EB3BC8" w:rsidP="00EB3BC8">
      <w:pPr>
        <w:tabs>
          <w:tab w:val="left" w:pos="5340"/>
        </w:tabs>
        <w:spacing w:after="0" w:line="240" w:lineRule="auto"/>
        <w:contextualSpacing/>
        <w:jc w:val="both"/>
        <w:rPr>
          <w:rFonts w:eastAsia="Times New Roman" w:cstheme="minorHAnsi"/>
          <w:spacing w:val="-3"/>
          <w:lang w:val="es-ES" w:eastAsia="es-ES"/>
        </w:rPr>
      </w:pPr>
    </w:p>
    <w:p w:rsidR="00EB3BC8" w:rsidRPr="00C02C09" w:rsidRDefault="00EB3BC8" w:rsidP="000021B2">
      <w:pPr>
        <w:numPr>
          <w:ilvl w:val="0"/>
          <w:numId w:val="50"/>
        </w:numPr>
        <w:tabs>
          <w:tab w:val="left" w:pos="5340"/>
        </w:tabs>
        <w:spacing w:after="0" w:line="240" w:lineRule="auto"/>
        <w:contextualSpacing/>
        <w:jc w:val="both"/>
        <w:rPr>
          <w:rFonts w:eastAsia="Times New Roman" w:cstheme="minorHAnsi"/>
          <w:bCs/>
          <w:spacing w:val="-3"/>
          <w:lang w:val="es-ES" w:eastAsia="es-ES"/>
        </w:rPr>
      </w:pPr>
      <w:r w:rsidRPr="00C02C09">
        <w:rPr>
          <w:rFonts w:eastAsia="Times New Roman" w:cstheme="minorHAnsi"/>
          <w:bCs/>
          <w:spacing w:val="-3"/>
          <w:lang w:val="es-ES" w:eastAsia="es-ES"/>
        </w:rPr>
        <w:t>REGISTRO FOTOGRAFICO:</w:t>
      </w:r>
    </w:p>
    <w:p w:rsidR="00EB3BC8" w:rsidRPr="00C02C09" w:rsidRDefault="00EB3BC8" w:rsidP="00EB3BC8">
      <w:pPr>
        <w:tabs>
          <w:tab w:val="left" w:pos="5340"/>
        </w:tabs>
        <w:spacing w:after="0" w:line="240" w:lineRule="auto"/>
        <w:ind w:left="720"/>
        <w:contextualSpacing/>
        <w:jc w:val="both"/>
        <w:rPr>
          <w:rFonts w:eastAsia="Times New Roman" w:cstheme="minorHAnsi"/>
          <w:spacing w:val="-3"/>
          <w:lang w:val="es-ES" w:eastAsia="es-ES"/>
        </w:rPr>
      </w:pPr>
    </w:p>
    <w:p w:rsidR="00EB3BC8" w:rsidRPr="00C02C09" w:rsidRDefault="00EB3BC8" w:rsidP="00EB3BC8">
      <w:pPr>
        <w:tabs>
          <w:tab w:val="left" w:pos="5340"/>
        </w:tabs>
        <w:spacing w:after="0" w:line="240" w:lineRule="auto"/>
        <w:ind w:left="720"/>
        <w:contextualSpacing/>
        <w:rPr>
          <w:rFonts w:eastAsia="Times New Roman" w:cstheme="minorHAnsi"/>
          <w:noProof/>
          <w:spacing w:val="-3"/>
        </w:rPr>
      </w:pPr>
      <w:r w:rsidRPr="00C02C09">
        <w:rPr>
          <w:rFonts w:eastAsia="Times New Roman" w:cstheme="minorHAnsi"/>
          <w:noProof/>
          <w:spacing w:val="-3"/>
        </w:rPr>
        <w:t xml:space="preserve">                </w:t>
      </w:r>
      <w:r w:rsidRPr="00C02C09">
        <w:rPr>
          <w:rFonts w:eastAsia="Times New Roman" w:cstheme="minorHAnsi"/>
          <w:noProof/>
          <w:spacing w:val="-3"/>
        </w:rPr>
        <w:drawing>
          <wp:inline distT="0" distB="0" distL="0" distR="0" wp14:anchorId="15522DD3" wp14:editId="0CB4A36A">
            <wp:extent cx="2162175" cy="1621340"/>
            <wp:effectExtent l="0" t="0" r="0" b="0"/>
            <wp:docPr id="39" name="Imagen 39" descr="G:\GIC\05 COMISIONES\01 COMISION 13,14,15 Y 16 ABRIL DE 2015\104___03\IMG_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GIC\05 COMISIONES\01 COMISION 13,14,15 Y 16 ABRIL DE 2015\104___03\IMG_035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92863" cy="1644352"/>
                    </a:xfrm>
                    <a:prstGeom prst="rect">
                      <a:avLst/>
                    </a:prstGeom>
                    <a:noFill/>
                    <a:ln>
                      <a:noFill/>
                    </a:ln>
                  </pic:spPr>
                </pic:pic>
              </a:graphicData>
            </a:graphic>
          </wp:inline>
        </w:drawing>
      </w:r>
      <w:r w:rsidRPr="00C02C09">
        <w:rPr>
          <w:rFonts w:eastAsia="Times New Roman" w:cstheme="minorHAnsi"/>
          <w:noProof/>
          <w:spacing w:val="-3"/>
        </w:rPr>
        <w:t xml:space="preserve">       </w:t>
      </w:r>
      <w:r w:rsidRPr="00C02C09">
        <w:rPr>
          <w:rFonts w:eastAsia="Times New Roman" w:cstheme="minorHAnsi"/>
          <w:noProof/>
          <w:spacing w:val="-3"/>
        </w:rPr>
        <w:drawing>
          <wp:inline distT="0" distB="0" distL="0" distR="0" wp14:anchorId="08EDCFFC" wp14:editId="2650AC0C">
            <wp:extent cx="2214635" cy="1595046"/>
            <wp:effectExtent l="0" t="0" r="0" b="5715"/>
            <wp:docPr id="40" name="Imagen 40" descr="G:\GIC\05 COMISIONES\01 COMISION 13,14,15 Y 16 ABRIL DE 2015\105___04\IMG_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GIC\05 COMISIONES\01 COMISION 13,14,15 Y 16 ABRIL DE 2015\105___04\IMG_040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92265" cy="1650958"/>
                    </a:xfrm>
                    <a:prstGeom prst="rect">
                      <a:avLst/>
                    </a:prstGeom>
                    <a:noFill/>
                    <a:ln>
                      <a:noFill/>
                    </a:ln>
                  </pic:spPr>
                </pic:pic>
              </a:graphicData>
            </a:graphic>
          </wp:inline>
        </w:drawing>
      </w:r>
    </w:p>
    <w:p w:rsidR="00EB3BC8" w:rsidRPr="00C02C09" w:rsidRDefault="00EB3BC8" w:rsidP="00EB3BC8">
      <w:pPr>
        <w:tabs>
          <w:tab w:val="left" w:pos="5340"/>
        </w:tabs>
        <w:spacing w:after="0" w:line="240" w:lineRule="auto"/>
        <w:ind w:left="720"/>
        <w:contextualSpacing/>
        <w:rPr>
          <w:rFonts w:eastAsia="Times New Roman" w:cstheme="minorHAnsi"/>
          <w:noProof/>
          <w:spacing w:val="-3"/>
        </w:rPr>
      </w:pPr>
    </w:p>
    <w:p w:rsidR="00EB3BC8" w:rsidRPr="00C02C09" w:rsidRDefault="00EB3BC8" w:rsidP="00EB3BC8">
      <w:pPr>
        <w:tabs>
          <w:tab w:val="left" w:pos="5340"/>
        </w:tabs>
        <w:spacing w:after="0" w:line="240" w:lineRule="auto"/>
        <w:ind w:left="720"/>
        <w:contextualSpacing/>
        <w:rPr>
          <w:rFonts w:eastAsia="Times New Roman" w:cstheme="minorHAnsi"/>
          <w:snapToGrid w:val="0"/>
          <w:color w:val="000000"/>
          <w:w w:val="0"/>
          <w:sz w:val="0"/>
          <w:szCs w:val="0"/>
          <w:u w:color="000000"/>
          <w:bdr w:val="none" w:sz="0" w:space="0" w:color="000000"/>
          <w:shd w:val="clear" w:color="000000" w:fill="000000"/>
          <w:lang w:val="x-none" w:eastAsia="x-none" w:bidi="x-none"/>
        </w:rPr>
      </w:pPr>
    </w:p>
    <w:p w:rsidR="00EB3BC8" w:rsidRPr="00C02C09" w:rsidRDefault="00EB3BC8" w:rsidP="00EB3BC8">
      <w:pPr>
        <w:spacing w:after="0" w:line="240" w:lineRule="auto"/>
        <w:jc w:val="both"/>
        <w:rPr>
          <w:rFonts w:eastAsia="Times New Roman" w:cstheme="minorHAnsi"/>
          <w:lang w:val="es-ES" w:eastAsia="es-ES"/>
        </w:rPr>
      </w:pPr>
      <w:r w:rsidRPr="00C02C09">
        <w:rPr>
          <w:rFonts w:eastAsia="Times New Roman" w:cstheme="minorHAnsi"/>
          <w:lang w:val="es-ES" w:eastAsia="es-ES"/>
        </w:rPr>
        <w:t xml:space="preserve">                        </w:t>
      </w:r>
      <w:r w:rsidRPr="00C02C09">
        <w:rPr>
          <w:rFonts w:eastAsia="Times New Roman" w:cstheme="minorHAnsi"/>
          <w:noProof/>
          <w:spacing w:val="-3"/>
        </w:rPr>
        <w:drawing>
          <wp:inline distT="0" distB="0" distL="0" distR="0" wp14:anchorId="7FE5165B" wp14:editId="1297A4A3">
            <wp:extent cx="2230766" cy="1423622"/>
            <wp:effectExtent l="0" t="0" r="0" b="5715"/>
            <wp:docPr id="82" name="Imagen 82" descr="G:\GIC\05 COMISIONES\03 COMISION 25 y 26 MAYO DE 2015\20150526_153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GIC\05 COMISIONES\03 COMISION 25 y 26 MAYO DE 2015\20150526_153418.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22089" cy="1481902"/>
                    </a:xfrm>
                    <a:prstGeom prst="rect">
                      <a:avLst/>
                    </a:prstGeom>
                    <a:noFill/>
                    <a:ln>
                      <a:noFill/>
                    </a:ln>
                  </pic:spPr>
                </pic:pic>
              </a:graphicData>
            </a:graphic>
          </wp:inline>
        </w:drawing>
      </w:r>
      <w:r w:rsidRPr="00C02C09">
        <w:rPr>
          <w:rFonts w:eastAsia="Times New Roman" w:cstheme="minorHAnsi"/>
          <w:lang w:val="es-ES" w:eastAsia="es-ES"/>
        </w:rPr>
        <w:t xml:space="preserve"> </w:t>
      </w:r>
      <w:r w:rsidRPr="00C02C09">
        <w:rPr>
          <w:rFonts w:eastAsia="Times New Roman" w:cstheme="minorHAnsi"/>
          <w:noProof/>
          <w:spacing w:val="-3"/>
        </w:rPr>
        <w:t xml:space="preserve">    </w:t>
      </w:r>
      <w:r w:rsidRPr="00C02C09">
        <w:rPr>
          <w:rFonts w:eastAsia="Times New Roman" w:cstheme="minorHAnsi"/>
          <w:noProof/>
          <w:spacing w:val="-3"/>
        </w:rPr>
        <w:drawing>
          <wp:inline distT="0" distB="0" distL="0" distR="0" wp14:anchorId="5E93B331" wp14:editId="634E3E8F">
            <wp:extent cx="2214245" cy="1463506"/>
            <wp:effectExtent l="0" t="0" r="0" b="3810"/>
            <wp:docPr id="41" name="Imagen 41" descr="G:\GIC\05 COMISIONES\01 COMISION 13,14,15 Y 16 ABRIL DE 2015\105___04\IMG_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GIC\05 COMISIONES\01 COMISION 13,14,15 Y 16 ABRIL DE 2015\105___04\IMG_046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3271" cy="1489300"/>
                    </a:xfrm>
                    <a:prstGeom prst="rect">
                      <a:avLst/>
                    </a:prstGeom>
                    <a:noFill/>
                    <a:ln>
                      <a:noFill/>
                    </a:ln>
                  </pic:spPr>
                </pic:pic>
              </a:graphicData>
            </a:graphic>
          </wp:inline>
        </w:drawing>
      </w:r>
    </w:p>
    <w:p w:rsidR="00EB3BC8" w:rsidRDefault="00EB3BC8" w:rsidP="00EB3BC8">
      <w:pPr>
        <w:tabs>
          <w:tab w:val="left" w:pos="426"/>
        </w:tabs>
        <w:spacing w:after="0" w:line="240" w:lineRule="auto"/>
        <w:jc w:val="both"/>
        <w:rPr>
          <w:rFonts w:ascii="Arial" w:eastAsia="Times New Roman" w:hAnsi="Arial" w:cs="Arial"/>
          <w:b/>
          <w:lang w:eastAsia="es-ES"/>
        </w:rPr>
      </w:pPr>
      <w:r w:rsidRPr="002E1D0A">
        <w:rPr>
          <w:rFonts w:ascii="Arial" w:eastAsia="Times New Roman" w:hAnsi="Arial" w:cs="Arial"/>
          <w:b/>
          <w:lang w:eastAsia="es-ES"/>
        </w:rPr>
        <w:t xml:space="preserve">    </w:t>
      </w:r>
    </w:p>
    <w:p w:rsidR="00EB3BC8" w:rsidRDefault="00EB3BC8" w:rsidP="00EB3BC8">
      <w:pPr>
        <w:tabs>
          <w:tab w:val="left" w:pos="426"/>
        </w:tabs>
        <w:spacing w:after="0" w:line="240" w:lineRule="auto"/>
        <w:jc w:val="both"/>
        <w:rPr>
          <w:rFonts w:ascii="Arial" w:eastAsia="Times New Roman" w:hAnsi="Arial" w:cs="Arial"/>
          <w:b/>
          <w:lang w:eastAsia="es-ES"/>
        </w:rPr>
      </w:pPr>
    </w:p>
    <w:p w:rsidR="00EB3BC8" w:rsidRDefault="00EB3BC8" w:rsidP="00EB3BC8">
      <w:pPr>
        <w:tabs>
          <w:tab w:val="left" w:pos="426"/>
        </w:tabs>
        <w:spacing w:after="0" w:line="240" w:lineRule="auto"/>
        <w:jc w:val="both"/>
        <w:rPr>
          <w:rFonts w:ascii="Arial" w:eastAsia="Times New Roman" w:hAnsi="Arial" w:cs="Arial"/>
          <w:b/>
          <w:lang w:eastAsia="es-ES"/>
        </w:rPr>
      </w:pPr>
    </w:p>
    <w:p w:rsidR="00EB3BC8" w:rsidRPr="00416275" w:rsidRDefault="00EB3BC8" w:rsidP="00EB3BC8">
      <w:pPr>
        <w:tabs>
          <w:tab w:val="left" w:pos="426"/>
        </w:tabs>
        <w:spacing w:after="0" w:line="240" w:lineRule="auto"/>
        <w:jc w:val="both"/>
        <w:rPr>
          <w:rFonts w:ascii="Arial" w:eastAsia="Times New Roman" w:hAnsi="Arial" w:cs="Arial"/>
          <w:b/>
          <w:lang w:eastAsia="es-ES"/>
        </w:rPr>
      </w:pPr>
    </w:p>
    <w:p w:rsidR="00EB3BC8" w:rsidRPr="0079796F" w:rsidRDefault="00EB3BC8" w:rsidP="00EB3BC8">
      <w:pPr>
        <w:spacing w:line="240" w:lineRule="auto"/>
        <w:jc w:val="both"/>
        <w:rPr>
          <w:rFonts w:eastAsia="Times New Roman" w:cstheme="minorHAnsi"/>
          <w:b/>
          <w:lang w:val="es-ES"/>
        </w:rPr>
      </w:pPr>
      <w:r w:rsidRPr="0079796F">
        <w:rPr>
          <w:rFonts w:eastAsia="Times New Roman" w:cstheme="minorHAnsi"/>
          <w:b/>
          <w:lang w:val="es-ES"/>
        </w:rPr>
        <w:t xml:space="preserve">12.  INFORME DE GESTIÓN PROYECTO FONTIBÓN – FACATATIVA – LOS ALPES  </w:t>
      </w:r>
    </w:p>
    <w:p w:rsidR="00EB3BC8" w:rsidRPr="00185C2A" w:rsidRDefault="00EB3BC8" w:rsidP="00185C2A">
      <w:pPr>
        <w:spacing w:after="0" w:line="240" w:lineRule="auto"/>
        <w:jc w:val="both"/>
        <w:rPr>
          <w:rFonts w:cstheme="minorHAnsi"/>
          <w:b/>
        </w:rPr>
      </w:pPr>
      <w:r w:rsidRPr="00185C2A">
        <w:rPr>
          <w:rFonts w:cstheme="minorHAnsi"/>
          <w:b/>
        </w:rPr>
        <w:t xml:space="preserve">Actividades / Hechos sobresalientes </w:t>
      </w:r>
    </w:p>
    <w:p w:rsidR="00EB3BC8" w:rsidRPr="00185C2A" w:rsidRDefault="00EB3BC8" w:rsidP="00EB3BC8">
      <w:pPr>
        <w:spacing w:after="0" w:line="240" w:lineRule="auto"/>
        <w:contextualSpacing/>
        <w:jc w:val="both"/>
        <w:rPr>
          <w:rFonts w:cstheme="minorHAnsi"/>
        </w:rPr>
      </w:pPr>
    </w:p>
    <w:p w:rsidR="00EB3BC8" w:rsidRPr="00185C2A" w:rsidRDefault="00EB3BC8" w:rsidP="00EB3BC8">
      <w:pPr>
        <w:spacing w:after="0" w:line="240" w:lineRule="auto"/>
        <w:contextualSpacing/>
        <w:jc w:val="both"/>
        <w:rPr>
          <w:rFonts w:cstheme="minorHAnsi"/>
        </w:rPr>
      </w:pPr>
      <w:r w:rsidRPr="00185C2A">
        <w:rPr>
          <w:rFonts w:cstheme="minorHAnsi"/>
          <w:u w:val="single"/>
        </w:rPr>
        <w:t>ABRIL 8:</w:t>
      </w:r>
      <w:r w:rsidRPr="00185C2A">
        <w:rPr>
          <w:rFonts w:cstheme="minorHAnsi"/>
        </w:rPr>
        <w:t xml:space="preserve"> Mesa de trabajo para atender las observaciones de la interventoría acerca de los avalúos presentados por el concesionario para la adquisición de los cinco predios necesarios para la construcción de la doble calzada entro los k16+850-k20+800,</w:t>
      </w:r>
    </w:p>
    <w:p w:rsidR="00EB3BC8" w:rsidRPr="00185C2A" w:rsidRDefault="00EB3BC8" w:rsidP="00EB3BC8">
      <w:pPr>
        <w:spacing w:after="0" w:line="240" w:lineRule="auto"/>
        <w:contextualSpacing/>
        <w:jc w:val="both"/>
        <w:rPr>
          <w:rFonts w:cstheme="minorHAnsi"/>
          <w:u w:val="single"/>
        </w:rPr>
      </w:pPr>
    </w:p>
    <w:p w:rsidR="00EB3BC8" w:rsidRPr="00185C2A" w:rsidRDefault="00EB3BC8" w:rsidP="00EB3BC8">
      <w:pPr>
        <w:spacing w:after="0" w:line="240" w:lineRule="auto"/>
        <w:contextualSpacing/>
        <w:jc w:val="both"/>
        <w:rPr>
          <w:rFonts w:cstheme="minorHAnsi"/>
        </w:rPr>
      </w:pPr>
      <w:r w:rsidRPr="00185C2A">
        <w:rPr>
          <w:rFonts w:cstheme="minorHAnsi"/>
          <w:u w:val="single"/>
        </w:rPr>
        <w:t>ABRIL 9</w:t>
      </w:r>
      <w:r w:rsidRPr="00185C2A">
        <w:rPr>
          <w:rFonts w:cstheme="minorHAnsi"/>
        </w:rPr>
        <w:t>: Reunión con el propietario del predio 38A para para  el tema de mejoras, accesos al predio y la fecha estimada de entrega.</w:t>
      </w:r>
    </w:p>
    <w:p w:rsidR="00EB3BC8" w:rsidRPr="00185C2A" w:rsidRDefault="00EB3BC8" w:rsidP="00EB3BC8">
      <w:pPr>
        <w:spacing w:after="0" w:line="240" w:lineRule="auto"/>
        <w:contextualSpacing/>
        <w:jc w:val="both"/>
        <w:rPr>
          <w:rFonts w:cstheme="minorHAnsi"/>
          <w:u w:val="single"/>
        </w:rPr>
      </w:pPr>
    </w:p>
    <w:p w:rsidR="00EB3BC8" w:rsidRPr="00185C2A" w:rsidRDefault="00EB3BC8" w:rsidP="00EB3BC8">
      <w:pPr>
        <w:spacing w:after="0" w:line="240" w:lineRule="auto"/>
        <w:contextualSpacing/>
        <w:jc w:val="both"/>
        <w:rPr>
          <w:rFonts w:cstheme="minorHAnsi"/>
        </w:rPr>
      </w:pPr>
      <w:r w:rsidRPr="00185C2A">
        <w:rPr>
          <w:rFonts w:cstheme="minorHAnsi"/>
          <w:u w:val="single"/>
        </w:rPr>
        <w:t>ABRIL 13:</w:t>
      </w:r>
      <w:r w:rsidRPr="00185C2A">
        <w:rPr>
          <w:rFonts w:cstheme="minorHAnsi"/>
        </w:rPr>
        <w:t xml:space="preserve"> Recorrido del proyecto con el acompañamiento del INVIAS para la verificación del cumplimiento en la ejecución de las obras del otrosí No. 9.</w:t>
      </w:r>
    </w:p>
    <w:p w:rsidR="00EB3BC8" w:rsidRPr="00185C2A" w:rsidRDefault="00EB3BC8" w:rsidP="00EB3BC8">
      <w:pPr>
        <w:spacing w:after="0" w:line="240" w:lineRule="auto"/>
        <w:contextualSpacing/>
        <w:jc w:val="both"/>
        <w:rPr>
          <w:rFonts w:cstheme="minorHAnsi"/>
        </w:rPr>
      </w:pPr>
    </w:p>
    <w:p w:rsidR="00EB3BC8" w:rsidRPr="00185C2A" w:rsidRDefault="00EB3BC8" w:rsidP="00EB3BC8">
      <w:pPr>
        <w:spacing w:after="0" w:line="240" w:lineRule="auto"/>
        <w:jc w:val="both"/>
        <w:rPr>
          <w:rFonts w:cstheme="minorHAnsi"/>
        </w:rPr>
      </w:pPr>
      <w:r w:rsidRPr="00185C2A">
        <w:rPr>
          <w:rFonts w:cstheme="minorHAnsi"/>
          <w:u w:val="single"/>
        </w:rPr>
        <w:t>ABRIL 14:</w:t>
      </w:r>
      <w:r w:rsidRPr="00185C2A">
        <w:rPr>
          <w:rFonts w:cstheme="minorHAnsi"/>
        </w:rPr>
        <w:t xml:space="preserve"> Auditoría financiera en compañía de la Oficina de Control Interno.</w:t>
      </w:r>
    </w:p>
    <w:p w:rsidR="00EB3BC8" w:rsidRPr="00185C2A" w:rsidRDefault="00EB3BC8" w:rsidP="00EB3BC8">
      <w:pPr>
        <w:spacing w:after="0" w:line="240" w:lineRule="auto"/>
        <w:rPr>
          <w:rFonts w:cstheme="minorHAnsi"/>
        </w:rPr>
      </w:pPr>
    </w:p>
    <w:p w:rsidR="00EB3BC8" w:rsidRPr="00185C2A" w:rsidRDefault="00EB3BC8" w:rsidP="00EB3BC8">
      <w:pPr>
        <w:spacing w:after="0" w:line="240" w:lineRule="auto"/>
        <w:jc w:val="both"/>
        <w:rPr>
          <w:rFonts w:cstheme="minorHAnsi"/>
        </w:rPr>
      </w:pPr>
      <w:r w:rsidRPr="00185C2A">
        <w:rPr>
          <w:rFonts w:cstheme="minorHAnsi"/>
          <w:u w:val="single"/>
        </w:rPr>
        <w:t>ABRIL 15:</w:t>
      </w:r>
      <w:r w:rsidRPr="00185C2A">
        <w:rPr>
          <w:rFonts w:cstheme="minorHAnsi"/>
        </w:rPr>
        <w:t xml:space="preserve"> Reunión acerca del PEMP para la antigua estación del ferrocarril en Tres Esquinas con el grupo de trabajo interno de Patrimonio del Ministerio de Cultura.</w:t>
      </w:r>
    </w:p>
    <w:p w:rsidR="00EB3BC8" w:rsidRPr="00185C2A" w:rsidRDefault="00EB3BC8" w:rsidP="00EB3BC8">
      <w:pPr>
        <w:spacing w:after="0" w:line="240" w:lineRule="auto"/>
        <w:jc w:val="both"/>
        <w:rPr>
          <w:rFonts w:cstheme="minorHAnsi"/>
        </w:rPr>
      </w:pPr>
    </w:p>
    <w:p w:rsidR="00EB3BC8" w:rsidRPr="00185C2A" w:rsidRDefault="00EB3BC8" w:rsidP="00EB3BC8">
      <w:pPr>
        <w:spacing w:after="0" w:line="240" w:lineRule="auto"/>
        <w:jc w:val="both"/>
        <w:rPr>
          <w:rFonts w:cstheme="minorHAnsi"/>
        </w:rPr>
      </w:pPr>
      <w:r w:rsidRPr="00185C2A">
        <w:rPr>
          <w:rFonts w:cstheme="minorHAnsi"/>
          <w:u w:val="single"/>
        </w:rPr>
        <w:lastRenderedPageBreak/>
        <w:t>ABRIL 17:</w:t>
      </w:r>
      <w:r w:rsidRPr="00185C2A">
        <w:rPr>
          <w:rFonts w:cstheme="minorHAnsi"/>
        </w:rPr>
        <w:t xml:space="preserve"> Comité de Patrimonio del Ministerio de Cultura donde se aprobó el PEMP para la antigua estación del ferrocarril en Tres Esquinas.</w:t>
      </w:r>
    </w:p>
    <w:p w:rsidR="00EB3BC8" w:rsidRPr="00185C2A" w:rsidRDefault="00EB3BC8" w:rsidP="00EB3BC8">
      <w:pPr>
        <w:spacing w:after="0" w:line="240" w:lineRule="auto"/>
        <w:jc w:val="both"/>
        <w:rPr>
          <w:rFonts w:cstheme="minorHAnsi"/>
        </w:rPr>
      </w:pPr>
    </w:p>
    <w:p w:rsidR="00EB3BC8" w:rsidRPr="00185C2A" w:rsidRDefault="00EB3BC8" w:rsidP="00EB3BC8">
      <w:pPr>
        <w:spacing w:after="0" w:line="240" w:lineRule="auto"/>
        <w:jc w:val="both"/>
        <w:rPr>
          <w:rFonts w:cstheme="minorHAnsi"/>
        </w:rPr>
      </w:pPr>
      <w:r w:rsidRPr="00185C2A">
        <w:rPr>
          <w:rFonts w:cstheme="minorHAnsi"/>
          <w:u w:val="single"/>
        </w:rPr>
        <w:t>ABRIL 27:</w:t>
      </w:r>
      <w:r w:rsidRPr="00185C2A">
        <w:rPr>
          <w:rFonts w:cstheme="minorHAnsi"/>
        </w:rPr>
        <w:t xml:space="preserve"> Programación y asistencia a la mesa de trabajo jurídico - financiera para determinar la procedencia de hacer el reconocimiento de los vehículos exentos por la Ley 787 del proyecto.</w:t>
      </w:r>
    </w:p>
    <w:p w:rsidR="00EB3BC8" w:rsidRPr="00185C2A" w:rsidRDefault="00EB3BC8" w:rsidP="00EB3BC8">
      <w:pPr>
        <w:spacing w:after="0" w:line="240" w:lineRule="auto"/>
        <w:jc w:val="both"/>
        <w:rPr>
          <w:rFonts w:cstheme="minorHAnsi"/>
        </w:rPr>
      </w:pPr>
    </w:p>
    <w:p w:rsidR="00EB3BC8" w:rsidRPr="00185C2A" w:rsidRDefault="00EB3BC8" w:rsidP="00EB3BC8">
      <w:pPr>
        <w:spacing w:after="0" w:line="240" w:lineRule="auto"/>
        <w:jc w:val="both"/>
        <w:rPr>
          <w:rFonts w:cstheme="minorHAnsi"/>
        </w:rPr>
      </w:pPr>
      <w:r w:rsidRPr="00185C2A">
        <w:rPr>
          <w:rFonts w:cstheme="minorHAnsi"/>
          <w:u w:val="single"/>
        </w:rPr>
        <w:t>MAYO 10</w:t>
      </w:r>
      <w:r w:rsidRPr="00185C2A">
        <w:rPr>
          <w:rFonts w:cstheme="minorHAnsi"/>
          <w:b/>
        </w:rPr>
        <w:t xml:space="preserve">: </w:t>
      </w:r>
      <w:r w:rsidRPr="00185C2A">
        <w:rPr>
          <w:rFonts w:cstheme="minorHAnsi"/>
        </w:rPr>
        <w:t>Mesa técnica para tratar el permiso de EDS MIS ABUELOS.</w:t>
      </w:r>
    </w:p>
    <w:p w:rsidR="00EB3BC8" w:rsidRPr="00185C2A" w:rsidRDefault="00EB3BC8" w:rsidP="00EB3BC8">
      <w:pPr>
        <w:spacing w:after="0" w:line="240" w:lineRule="auto"/>
        <w:jc w:val="both"/>
        <w:rPr>
          <w:rFonts w:cstheme="minorHAnsi"/>
          <w:b/>
        </w:rPr>
      </w:pPr>
    </w:p>
    <w:p w:rsidR="00EB3BC8" w:rsidRPr="00185C2A" w:rsidRDefault="00EB3BC8" w:rsidP="00EB3BC8">
      <w:pPr>
        <w:spacing w:after="0" w:line="240" w:lineRule="auto"/>
        <w:jc w:val="both"/>
        <w:rPr>
          <w:rFonts w:cstheme="minorHAnsi"/>
        </w:rPr>
      </w:pPr>
      <w:r w:rsidRPr="00185C2A">
        <w:rPr>
          <w:rFonts w:cstheme="minorHAnsi"/>
          <w:u w:val="single"/>
        </w:rPr>
        <w:t>JUNIO 18</w:t>
      </w:r>
      <w:r w:rsidRPr="00185C2A">
        <w:rPr>
          <w:rFonts w:cstheme="minorHAnsi"/>
          <w:b/>
        </w:rPr>
        <w:t xml:space="preserve">: </w:t>
      </w:r>
      <w:r w:rsidRPr="00185C2A">
        <w:rPr>
          <w:rFonts w:cstheme="minorHAnsi"/>
        </w:rPr>
        <w:t>Programación y asistencia para definir con el Concesionario y la Interventoría la ubicación de las Vallas informativas para la iniciación de las obras de Fase II, Programación y asistencia junto con el Concesionario y la Interventoría para la inspección en sitio de acuerdo al Derecho de Petición remitido por la señora Mariela Barbosa Y Programación y asistencia para presentación del PEMP ante las Alcaldías de Mosquera y Funza.</w:t>
      </w:r>
    </w:p>
    <w:p w:rsidR="00EB3BC8" w:rsidRPr="00185C2A" w:rsidRDefault="00EB3BC8" w:rsidP="00EB3BC8">
      <w:pPr>
        <w:spacing w:after="0" w:line="240" w:lineRule="auto"/>
        <w:jc w:val="both"/>
        <w:rPr>
          <w:rFonts w:cstheme="minorHAnsi"/>
          <w:b/>
        </w:rPr>
      </w:pPr>
    </w:p>
    <w:p w:rsidR="00EB3BC8" w:rsidRPr="00185C2A" w:rsidRDefault="00EB3BC8" w:rsidP="00EB3BC8">
      <w:pPr>
        <w:spacing w:after="0" w:line="240" w:lineRule="auto"/>
        <w:jc w:val="both"/>
        <w:rPr>
          <w:rFonts w:cstheme="minorHAnsi"/>
          <w:b/>
        </w:rPr>
      </w:pPr>
      <w:r w:rsidRPr="00185C2A">
        <w:rPr>
          <w:rFonts w:cstheme="minorHAnsi"/>
          <w:u w:val="single"/>
        </w:rPr>
        <w:t>JUNIO 26</w:t>
      </w:r>
      <w:r w:rsidRPr="00185C2A">
        <w:rPr>
          <w:rFonts w:cstheme="minorHAnsi"/>
          <w:b/>
        </w:rPr>
        <w:t xml:space="preserve">: </w:t>
      </w:r>
      <w:r w:rsidRPr="00185C2A">
        <w:rPr>
          <w:rFonts w:cstheme="minorHAnsi"/>
        </w:rPr>
        <w:t>Asistencia junto con el Concesionario y la Interventoría para visita al lugar de las obras de la Alcaldía de Mosquera para determinar si se necesita el trámite de permiso temporal para la ocupación de vía.</w:t>
      </w:r>
    </w:p>
    <w:p w:rsidR="00EB3BC8" w:rsidRPr="00185C2A" w:rsidRDefault="00EB3BC8" w:rsidP="00EB3BC8">
      <w:pPr>
        <w:spacing w:after="0" w:line="240" w:lineRule="auto"/>
        <w:jc w:val="both"/>
        <w:rPr>
          <w:rFonts w:cstheme="minorHAnsi"/>
          <w:b/>
        </w:rPr>
      </w:pPr>
    </w:p>
    <w:p w:rsidR="00EB3BC8" w:rsidRPr="00185C2A" w:rsidRDefault="00EB3BC8" w:rsidP="00EB3BC8">
      <w:pPr>
        <w:spacing w:after="0" w:line="240" w:lineRule="auto"/>
        <w:jc w:val="both"/>
        <w:rPr>
          <w:rFonts w:cstheme="minorHAnsi"/>
        </w:rPr>
      </w:pPr>
    </w:p>
    <w:p w:rsidR="00EB3BC8" w:rsidRPr="00185C2A" w:rsidRDefault="00EB3BC8" w:rsidP="00EB3BC8">
      <w:pPr>
        <w:pStyle w:val="Prrafodelista"/>
        <w:numPr>
          <w:ilvl w:val="0"/>
          <w:numId w:val="5"/>
        </w:numPr>
        <w:spacing w:after="0" w:line="240" w:lineRule="auto"/>
        <w:ind w:left="405"/>
        <w:contextualSpacing w:val="0"/>
        <w:jc w:val="both"/>
        <w:rPr>
          <w:rFonts w:cstheme="minorHAnsi"/>
          <w:b/>
        </w:rPr>
      </w:pPr>
      <w:r w:rsidRPr="00185C2A">
        <w:rPr>
          <w:rFonts w:cstheme="minorHAnsi"/>
          <w:b/>
        </w:rPr>
        <w:t xml:space="preserve">Actividades / Hechos sobresalientes pendientes por realizar </w:t>
      </w:r>
    </w:p>
    <w:p w:rsidR="00EB3BC8" w:rsidRPr="00185C2A" w:rsidRDefault="00EB3BC8" w:rsidP="000021B2">
      <w:pPr>
        <w:pStyle w:val="Prrafodelista"/>
        <w:numPr>
          <w:ilvl w:val="0"/>
          <w:numId w:val="6"/>
        </w:numPr>
        <w:spacing w:after="0" w:line="240" w:lineRule="auto"/>
        <w:jc w:val="both"/>
        <w:rPr>
          <w:rFonts w:cstheme="minorHAnsi"/>
        </w:rPr>
      </w:pPr>
      <w:r w:rsidRPr="00185C2A">
        <w:rPr>
          <w:rFonts w:cstheme="minorHAnsi"/>
        </w:rPr>
        <w:t xml:space="preserve">Puesta en funcionamiento del Box en el K15+980. </w:t>
      </w:r>
    </w:p>
    <w:p w:rsidR="00EB3BC8" w:rsidRPr="00590BA0" w:rsidRDefault="00EB3BC8" w:rsidP="00EB3BC8">
      <w:pPr>
        <w:spacing w:after="0" w:line="240" w:lineRule="auto"/>
        <w:jc w:val="both"/>
        <w:rPr>
          <w:rFonts w:ascii="Arial" w:hAnsi="Arial" w:cs="Arial"/>
        </w:rPr>
      </w:pPr>
    </w:p>
    <w:p w:rsidR="00EB3BC8" w:rsidRPr="00590BA0" w:rsidRDefault="00EB3BC8" w:rsidP="00EB3BC8">
      <w:pPr>
        <w:spacing w:after="0" w:line="240" w:lineRule="auto"/>
        <w:jc w:val="both"/>
        <w:rPr>
          <w:rFonts w:ascii="Arial" w:hAnsi="Arial" w:cs="Arial"/>
        </w:rPr>
      </w:pPr>
    </w:p>
    <w:p w:rsidR="00EB3BC8" w:rsidRPr="00185C2A" w:rsidRDefault="00EB3BC8" w:rsidP="00EB3BC8">
      <w:pPr>
        <w:spacing w:line="240" w:lineRule="auto"/>
        <w:jc w:val="both"/>
        <w:rPr>
          <w:rFonts w:eastAsia="Times New Roman" w:cstheme="minorHAnsi"/>
          <w:b/>
          <w:lang w:val="es-ES"/>
        </w:rPr>
      </w:pPr>
      <w:r w:rsidRPr="00185C2A">
        <w:rPr>
          <w:rFonts w:eastAsia="Times New Roman" w:cstheme="minorHAnsi"/>
          <w:b/>
          <w:lang w:val="es-ES"/>
        </w:rPr>
        <w:t>13.  INFORME DE GESTIÓN PROYECTO PERIMETRAL DE ORIENTE CUNDINAMARCA</w:t>
      </w:r>
    </w:p>
    <w:p w:rsidR="00EB3BC8" w:rsidRPr="0087640C" w:rsidRDefault="00EB3BC8" w:rsidP="00EB3BC8">
      <w:pPr>
        <w:tabs>
          <w:tab w:val="left" w:pos="426"/>
        </w:tabs>
        <w:spacing w:after="0" w:line="240" w:lineRule="auto"/>
        <w:jc w:val="both"/>
        <w:rPr>
          <w:rFonts w:cstheme="minorHAnsi"/>
          <w:b/>
        </w:rPr>
      </w:pPr>
      <w:r w:rsidRPr="0087640C">
        <w:rPr>
          <w:rFonts w:eastAsia="Times New Roman" w:cstheme="minorHAnsi"/>
          <w:b/>
          <w:lang w:eastAsia="es-ES"/>
        </w:rPr>
        <w:t>Generalidades</w:t>
      </w:r>
      <w:r w:rsidRPr="0087640C">
        <w:rPr>
          <w:rFonts w:cstheme="minorHAnsi"/>
          <w:b/>
        </w:rPr>
        <w:t xml:space="preserve"> </w:t>
      </w:r>
    </w:p>
    <w:p w:rsidR="00EB3BC8" w:rsidRPr="0087640C" w:rsidRDefault="00EB3BC8" w:rsidP="00EB3BC8">
      <w:pPr>
        <w:pStyle w:val="Prrafodelista"/>
        <w:tabs>
          <w:tab w:val="left" w:pos="426"/>
        </w:tabs>
        <w:spacing w:after="0" w:line="240" w:lineRule="auto"/>
        <w:jc w:val="both"/>
        <w:rPr>
          <w:rFonts w:cstheme="minorHAnsi"/>
          <w:b/>
        </w:rPr>
      </w:pPr>
    </w:p>
    <w:p w:rsidR="00EB3BC8" w:rsidRPr="0087640C" w:rsidRDefault="00EB3BC8" w:rsidP="000021B2">
      <w:pPr>
        <w:pStyle w:val="Prrafodelista"/>
        <w:numPr>
          <w:ilvl w:val="0"/>
          <w:numId w:val="16"/>
        </w:numPr>
        <w:tabs>
          <w:tab w:val="left" w:pos="426"/>
        </w:tabs>
        <w:spacing w:line="240" w:lineRule="auto"/>
        <w:jc w:val="both"/>
        <w:rPr>
          <w:rFonts w:cstheme="minorHAnsi"/>
        </w:rPr>
      </w:pPr>
      <w:r w:rsidRPr="0087640C">
        <w:rPr>
          <w:rFonts w:cstheme="minorHAnsi"/>
        </w:rPr>
        <w:t>Concesionario:  Perimetral Oriental de Bogotá SAS</w:t>
      </w:r>
    </w:p>
    <w:p w:rsidR="00EB3BC8" w:rsidRPr="0087640C" w:rsidRDefault="00EB3BC8" w:rsidP="000021B2">
      <w:pPr>
        <w:pStyle w:val="Prrafodelista"/>
        <w:numPr>
          <w:ilvl w:val="0"/>
          <w:numId w:val="16"/>
        </w:numPr>
        <w:tabs>
          <w:tab w:val="left" w:pos="426"/>
        </w:tabs>
        <w:spacing w:line="240" w:lineRule="auto"/>
        <w:jc w:val="both"/>
        <w:rPr>
          <w:rFonts w:cstheme="minorHAnsi"/>
        </w:rPr>
      </w:pPr>
      <w:r w:rsidRPr="0087640C">
        <w:rPr>
          <w:rFonts w:cstheme="minorHAnsi"/>
        </w:rPr>
        <w:t>Fecha del acta de inicio : 19 de Diciembre de 2014</w:t>
      </w:r>
    </w:p>
    <w:p w:rsidR="00EB3BC8" w:rsidRPr="0087640C" w:rsidRDefault="00EB3BC8" w:rsidP="000021B2">
      <w:pPr>
        <w:pStyle w:val="Prrafodelista"/>
        <w:numPr>
          <w:ilvl w:val="0"/>
          <w:numId w:val="16"/>
        </w:numPr>
        <w:tabs>
          <w:tab w:val="left" w:pos="426"/>
        </w:tabs>
        <w:spacing w:line="240" w:lineRule="auto"/>
        <w:jc w:val="both"/>
        <w:rPr>
          <w:rFonts w:cstheme="minorHAnsi"/>
        </w:rPr>
      </w:pPr>
      <w:r w:rsidRPr="0087640C">
        <w:rPr>
          <w:rFonts w:cstheme="minorHAnsi"/>
        </w:rPr>
        <w:t>Fecha de finalización: 19 de Diciembre de 2039</w:t>
      </w:r>
    </w:p>
    <w:p w:rsidR="00EB3BC8" w:rsidRPr="0087640C" w:rsidRDefault="00EB3BC8" w:rsidP="000021B2">
      <w:pPr>
        <w:pStyle w:val="Prrafodelista"/>
        <w:numPr>
          <w:ilvl w:val="0"/>
          <w:numId w:val="16"/>
        </w:numPr>
        <w:tabs>
          <w:tab w:val="left" w:pos="426"/>
        </w:tabs>
        <w:spacing w:line="240" w:lineRule="auto"/>
        <w:jc w:val="both"/>
        <w:rPr>
          <w:rFonts w:cstheme="minorHAnsi"/>
        </w:rPr>
      </w:pPr>
      <w:r w:rsidRPr="0087640C">
        <w:rPr>
          <w:rFonts w:cstheme="minorHAnsi"/>
        </w:rPr>
        <w:t xml:space="preserve">Etapa </w:t>
      </w:r>
      <w:r w:rsidRPr="0087640C">
        <w:rPr>
          <w:rFonts w:cstheme="minorHAnsi"/>
          <w:lang w:val="es-ES_tradnl"/>
        </w:rPr>
        <w:t>Actual:</w:t>
      </w:r>
      <w:r w:rsidRPr="0087640C">
        <w:rPr>
          <w:rFonts w:cstheme="minorHAnsi"/>
        </w:rPr>
        <w:t xml:space="preserve"> Preconstrucción</w:t>
      </w:r>
    </w:p>
    <w:p w:rsidR="00EB3BC8" w:rsidRPr="0087640C" w:rsidRDefault="00EB3BC8" w:rsidP="000021B2">
      <w:pPr>
        <w:pStyle w:val="Prrafodelista"/>
        <w:numPr>
          <w:ilvl w:val="0"/>
          <w:numId w:val="16"/>
        </w:numPr>
        <w:tabs>
          <w:tab w:val="left" w:pos="426"/>
        </w:tabs>
        <w:spacing w:line="240" w:lineRule="auto"/>
        <w:jc w:val="both"/>
        <w:rPr>
          <w:rFonts w:cstheme="minorHAnsi"/>
        </w:rPr>
      </w:pPr>
      <w:r w:rsidRPr="0087640C">
        <w:rPr>
          <w:rFonts w:cstheme="minorHAnsi"/>
        </w:rPr>
        <w:t>Longitud : 152.08 Km</w:t>
      </w:r>
    </w:p>
    <w:p w:rsidR="00EB3BC8" w:rsidRPr="0087640C" w:rsidRDefault="00EB3BC8" w:rsidP="000021B2">
      <w:pPr>
        <w:pStyle w:val="Prrafodelista"/>
        <w:numPr>
          <w:ilvl w:val="0"/>
          <w:numId w:val="16"/>
        </w:numPr>
        <w:tabs>
          <w:tab w:val="left" w:pos="426"/>
        </w:tabs>
        <w:spacing w:line="240" w:lineRule="auto"/>
        <w:jc w:val="both"/>
        <w:rPr>
          <w:rFonts w:cstheme="minorHAnsi"/>
        </w:rPr>
      </w:pPr>
      <w:r w:rsidRPr="0087640C">
        <w:rPr>
          <w:rFonts w:cstheme="minorHAnsi"/>
        </w:rPr>
        <w:t>Valor Inicial: $ 1.647.776.111.169 (Diciembre de 2012)</w:t>
      </w:r>
    </w:p>
    <w:p w:rsidR="00EB3BC8" w:rsidRPr="0087640C" w:rsidRDefault="00EB3BC8" w:rsidP="000021B2">
      <w:pPr>
        <w:pStyle w:val="Prrafodelista"/>
        <w:numPr>
          <w:ilvl w:val="0"/>
          <w:numId w:val="16"/>
        </w:numPr>
        <w:tabs>
          <w:tab w:val="left" w:pos="426"/>
        </w:tabs>
        <w:spacing w:line="240" w:lineRule="auto"/>
        <w:jc w:val="both"/>
        <w:rPr>
          <w:rFonts w:cstheme="minorHAnsi"/>
        </w:rPr>
      </w:pPr>
      <w:r w:rsidRPr="0087640C">
        <w:rPr>
          <w:rFonts w:cstheme="minorHAnsi"/>
        </w:rPr>
        <w:t>Avance estimado etapa actual: 50%</w:t>
      </w:r>
    </w:p>
    <w:p w:rsidR="00EB3BC8" w:rsidRPr="0087640C" w:rsidRDefault="00EB3BC8" w:rsidP="00EB3BC8">
      <w:pPr>
        <w:pStyle w:val="Prrafodelista"/>
        <w:tabs>
          <w:tab w:val="left" w:pos="426"/>
        </w:tabs>
        <w:spacing w:line="240" w:lineRule="auto"/>
        <w:jc w:val="both"/>
        <w:rPr>
          <w:rFonts w:cstheme="minorHAnsi"/>
        </w:rPr>
      </w:pPr>
    </w:p>
    <w:p w:rsidR="00EB3BC8" w:rsidRPr="0087640C" w:rsidRDefault="00EB3BC8" w:rsidP="0087640C">
      <w:pPr>
        <w:tabs>
          <w:tab w:val="left" w:pos="426"/>
        </w:tabs>
        <w:spacing w:line="240" w:lineRule="auto"/>
        <w:jc w:val="both"/>
        <w:rPr>
          <w:rFonts w:cstheme="minorHAnsi"/>
        </w:rPr>
      </w:pPr>
      <w:r w:rsidRPr="0087640C">
        <w:rPr>
          <w:rFonts w:cstheme="minorHAnsi"/>
          <w:b/>
        </w:rPr>
        <w:t>Temas de gestión y acciones</w:t>
      </w:r>
    </w:p>
    <w:p w:rsidR="00EB3BC8" w:rsidRPr="0087640C" w:rsidRDefault="00EB3BC8" w:rsidP="00EB3BC8">
      <w:pPr>
        <w:tabs>
          <w:tab w:val="left" w:pos="426"/>
        </w:tabs>
        <w:spacing w:after="0" w:line="240" w:lineRule="auto"/>
        <w:jc w:val="both"/>
        <w:rPr>
          <w:rFonts w:cstheme="minorHAnsi"/>
          <w:b/>
        </w:rPr>
      </w:pPr>
    </w:p>
    <w:p w:rsidR="00EB3BC8" w:rsidRPr="0087640C" w:rsidRDefault="0087640C" w:rsidP="0087640C">
      <w:pPr>
        <w:tabs>
          <w:tab w:val="left" w:pos="426"/>
        </w:tabs>
        <w:spacing w:after="0" w:line="240" w:lineRule="auto"/>
        <w:jc w:val="both"/>
        <w:rPr>
          <w:rFonts w:cstheme="minorHAnsi"/>
          <w:b/>
        </w:rPr>
      </w:pPr>
      <w:r w:rsidRPr="0087640C">
        <w:rPr>
          <w:rFonts w:cstheme="minorHAnsi"/>
          <w:b/>
        </w:rPr>
        <w:t xml:space="preserve">Estudios </w:t>
      </w:r>
      <w:r>
        <w:rPr>
          <w:rFonts w:cstheme="minorHAnsi"/>
          <w:b/>
        </w:rPr>
        <w:t>de Trazado y</w:t>
      </w:r>
      <w:r w:rsidRPr="0087640C">
        <w:rPr>
          <w:rFonts w:cstheme="minorHAnsi"/>
          <w:b/>
        </w:rPr>
        <w:t xml:space="preserve"> Diseño Geometrico</w:t>
      </w:r>
    </w:p>
    <w:p w:rsidR="00EB3BC8" w:rsidRPr="0087640C" w:rsidRDefault="00EB3BC8" w:rsidP="00EB3BC8">
      <w:pPr>
        <w:tabs>
          <w:tab w:val="left" w:pos="426"/>
        </w:tabs>
        <w:spacing w:after="0" w:line="240" w:lineRule="auto"/>
        <w:jc w:val="both"/>
        <w:rPr>
          <w:rFonts w:cstheme="minorHAnsi"/>
          <w:b/>
        </w:rPr>
      </w:pPr>
    </w:p>
    <w:p w:rsidR="00EB3BC8" w:rsidRPr="0087640C" w:rsidRDefault="00EB3BC8" w:rsidP="000021B2">
      <w:pPr>
        <w:pStyle w:val="Prrafodelista"/>
        <w:numPr>
          <w:ilvl w:val="0"/>
          <w:numId w:val="33"/>
        </w:numPr>
        <w:tabs>
          <w:tab w:val="left" w:pos="426"/>
        </w:tabs>
        <w:spacing w:after="0" w:line="240" w:lineRule="auto"/>
        <w:jc w:val="both"/>
        <w:rPr>
          <w:rFonts w:cstheme="minorHAnsi"/>
        </w:rPr>
      </w:pPr>
      <w:r w:rsidRPr="0087640C">
        <w:rPr>
          <w:rFonts w:cstheme="minorHAnsi"/>
        </w:rPr>
        <w:t>Se están realizando mesas de trabajo conjuntas entre el Concesionario, la Interventoría y la ANI en las cuales se está realizando seguimiento al avance de los estudios de trazado y diseño geométrico de todas las UFs. Mediante diferentes comunicaciones la Interventoría Consorcio Intervías 4G, ha realizado las observaciones técnicas pertinentes a las versiones del diseño presentado. El plazo contractual para esta obligación finaliza el 18 de Julio de 2015.</w:t>
      </w:r>
    </w:p>
    <w:p w:rsidR="00EB3BC8" w:rsidRPr="0087640C" w:rsidRDefault="00EB3BC8" w:rsidP="00EB3BC8">
      <w:pPr>
        <w:tabs>
          <w:tab w:val="left" w:pos="426"/>
        </w:tabs>
        <w:spacing w:after="0" w:line="240" w:lineRule="auto"/>
        <w:jc w:val="both"/>
        <w:rPr>
          <w:rFonts w:cstheme="minorHAnsi"/>
        </w:rPr>
      </w:pPr>
    </w:p>
    <w:p w:rsidR="00EB3BC8" w:rsidRPr="0087640C" w:rsidRDefault="00EB3BC8" w:rsidP="00EB3BC8">
      <w:pPr>
        <w:tabs>
          <w:tab w:val="left" w:pos="426"/>
        </w:tabs>
        <w:spacing w:after="0" w:line="240" w:lineRule="auto"/>
        <w:jc w:val="both"/>
        <w:rPr>
          <w:rFonts w:cstheme="minorHAnsi"/>
        </w:rPr>
      </w:pPr>
    </w:p>
    <w:p w:rsidR="00EB3BC8" w:rsidRPr="0087640C" w:rsidRDefault="0087640C" w:rsidP="0087640C">
      <w:pPr>
        <w:tabs>
          <w:tab w:val="left" w:pos="426"/>
        </w:tabs>
        <w:spacing w:after="0" w:line="240" w:lineRule="auto"/>
        <w:jc w:val="both"/>
        <w:rPr>
          <w:rFonts w:cstheme="minorHAnsi"/>
          <w:b/>
        </w:rPr>
      </w:pPr>
      <w:r w:rsidRPr="0087640C">
        <w:rPr>
          <w:rFonts w:cstheme="minorHAnsi"/>
          <w:b/>
        </w:rPr>
        <w:lastRenderedPageBreak/>
        <w:t xml:space="preserve">Plan </w:t>
      </w:r>
      <w:r>
        <w:rPr>
          <w:rFonts w:cstheme="minorHAnsi"/>
          <w:b/>
        </w:rPr>
        <w:t>d</w:t>
      </w:r>
      <w:r w:rsidRPr="0087640C">
        <w:rPr>
          <w:rFonts w:cstheme="minorHAnsi"/>
          <w:b/>
        </w:rPr>
        <w:t>e Obras</w:t>
      </w:r>
    </w:p>
    <w:p w:rsidR="00EB3BC8" w:rsidRPr="0087640C" w:rsidRDefault="00EB3BC8" w:rsidP="00EB3BC8">
      <w:pPr>
        <w:tabs>
          <w:tab w:val="left" w:pos="426"/>
        </w:tabs>
        <w:spacing w:after="0" w:line="240" w:lineRule="auto"/>
        <w:ind w:left="720"/>
        <w:jc w:val="both"/>
        <w:rPr>
          <w:rFonts w:cstheme="minorHAnsi"/>
        </w:rPr>
      </w:pPr>
    </w:p>
    <w:p w:rsidR="00EB3BC8" w:rsidRPr="0087640C" w:rsidRDefault="00EB3BC8" w:rsidP="000021B2">
      <w:pPr>
        <w:pStyle w:val="Prrafodelista"/>
        <w:numPr>
          <w:ilvl w:val="0"/>
          <w:numId w:val="33"/>
        </w:numPr>
        <w:tabs>
          <w:tab w:val="left" w:pos="426"/>
        </w:tabs>
        <w:spacing w:after="0" w:line="240" w:lineRule="auto"/>
        <w:jc w:val="both"/>
        <w:rPr>
          <w:rFonts w:cstheme="minorHAnsi"/>
        </w:rPr>
      </w:pPr>
      <w:r w:rsidRPr="0087640C">
        <w:rPr>
          <w:rFonts w:cstheme="minorHAnsi"/>
        </w:rPr>
        <w:t>Se han adelantado reuniones de seguimiento para determinar las UF  donde se  iniciaría la etapa de construcción. A la fecha se considera, que dado el alcance de la UF1, esta sería la primera unidad funcional en intervenir; continuando con las unidades funcionales 3 y 2. El plazo contractual para esta obligación finaliza el 17 de Septiembre de 2015.</w:t>
      </w:r>
    </w:p>
    <w:p w:rsidR="00EB3BC8" w:rsidRPr="0087640C" w:rsidRDefault="00EB3BC8" w:rsidP="00EB3BC8">
      <w:pPr>
        <w:pStyle w:val="Prrafodelista"/>
        <w:tabs>
          <w:tab w:val="left" w:pos="426"/>
        </w:tabs>
        <w:spacing w:after="0" w:line="240" w:lineRule="auto"/>
        <w:jc w:val="both"/>
        <w:rPr>
          <w:rFonts w:cstheme="minorHAnsi"/>
          <w:b/>
        </w:rPr>
      </w:pPr>
    </w:p>
    <w:p w:rsidR="00EB3BC8" w:rsidRPr="0087640C" w:rsidRDefault="00EB3BC8" w:rsidP="00EB3BC8">
      <w:pPr>
        <w:tabs>
          <w:tab w:val="left" w:pos="426"/>
        </w:tabs>
        <w:spacing w:after="0" w:line="240" w:lineRule="auto"/>
        <w:jc w:val="both"/>
        <w:rPr>
          <w:rFonts w:cstheme="minorHAnsi"/>
        </w:rPr>
      </w:pPr>
    </w:p>
    <w:p w:rsidR="00EB3BC8" w:rsidRPr="0087640C" w:rsidRDefault="0087640C" w:rsidP="0087640C">
      <w:pPr>
        <w:tabs>
          <w:tab w:val="left" w:pos="426"/>
        </w:tabs>
        <w:spacing w:after="0" w:line="240" w:lineRule="auto"/>
        <w:jc w:val="both"/>
        <w:rPr>
          <w:rFonts w:cstheme="minorHAnsi"/>
          <w:b/>
          <w:lang w:val="es-ES"/>
        </w:rPr>
      </w:pPr>
      <w:r>
        <w:rPr>
          <w:rFonts w:cstheme="minorHAnsi"/>
          <w:b/>
          <w:lang w:val="es-ES"/>
        </w:rPr>
        <w:t>Gestió</w:t>
      </w:r>
      <w:r w:rsidRPr="0087640C">
        <w:rPr>
          <w:rFonts w:cstheme="minorHAnsi"/>
          <w:b/>
          <w:lang w:val="es-ES"/>
        </w:rPr>
        <w:t>n Ambiental</w:t>
      </w:r>
    </w:p>
    <w:p w:rsidR="00EB3BC8" w:rsidRPr="0087640C" w:rsidRDefault="00EB3BC8" w:rsidP="00EB3BC8">
      <w:pPr>
        <w:tabs>
          <w:tab w:val="left" w:pos="426"/>
        </w:tabs>
        <w:spacing w:after="0" w:line="240" w:lineRule="auto"/>
        <w:jc w:val="both"/>
        <w:rPr>
          <w:rFonts w:cstheme="minorHAnsi"/>
          <w:b/>
          <w:lang w:val="es-ES"/>
        </w:rPr>
      </w:pPr>
    </w:p>
    <w:p w:rsidR="00EB3BC8" w:rsidRPr="0087640C" w:rsidRDefault="00EB3BC8" w:rsidP="000021B2">
      <w:pPr>
        <w:numPr>
          <w:ilvl w:val="0"/>
          <w:numId w:val="68"/>
        </w:numPr>
        <w:tabs>
          <w:tab w:val="left" w:pos="426"/>
        </w:tabs>
        <w:spacing w:after="0" w:line="240" w:lineRule="auto"/>
        <w:jc w:val="both"/>
        <w:rPr>
          <w:rFonts w:cstheme="minorHAnsi"/>
          <w:lang w:val="es-ES"/>
        </w:rPr>
      </w:pPr>
      <w:r w:rsidRPr="0087640C">
        <w:rPr>
          <w:rFonts w:cstheme="minorHAnsi"/>
          <w:lang w:val="es-ES"/>
        </w:rPr>
        <w:t>Para la ejecución de las actividades de mejoramiento de la vía existente en las UF 1, 2, 3, 4 y 5  el Concesionario adelanta los PAGA´S respectivos. Mediante diferentes comunicaciones la Interventoría Consorcio Intervías 4G, ha realizado  las observaciones respectivas  a los planes presentados. Así mismo, los permisos ambientales a tramitar en las Corporaciones (CORPOGUAVIO – CAR – CORPORINOQUIA) se estarán radicando a partir del 13 de Agosto de 2015.</w:t>
      </w:r>
    </w:p>
    <w:p w:rsidR="00EB3BC8" w:rsidRPr="0087640C" w:rsidRDefault="00EB3BC8" w:rsidP="00EB3BC8">
      <w:pPr>
        <w:tabs>
          <w:tab w:val="left" w:pos="426"/>
        </w:tabs>
        <w:spacing w:after="0" w:line="240" w:lineRule="auto"/>
        <w:ind w:left="1080"/>
        <w:jc w:val="both"/>
        <w:rPr>
          <w:rFonts w:cstheme="minorHAnsi"/>
          <w:lang w:val="es-ES"/>
        </w:rPr>
      </w:pPr>
    </w:p>
    <w:p w:rsidR="00EB3BC8" w:rsidRPr="0087640C" w:rsidRDefault="00EB3BC8" w:rsidP="000021B2">
      <w:pPr>
        <w:numPr>
          <w:ilvl w:val="0"/>
          <w:numId w:val="68"/>
        </w:numPr>
        <w:tabs>
          <w:tab w:val="left" w:pos="426"/>
        </w:tabs>
        <w:spacing w:after="0" w:line="240" w:lineRule="auto"/>
        <w:jc w:val="both"/>
        <w:rPr>
          <w:rFonts w:cstheme="minorHAnsi"/>
          <w:lang w:val="es-ES"/>
        </w:rPr>
      </w:pPr>
      <w:r w:rsidRPr="0087640C">
        <w:rPr>
          <w:rFonts w:cstheme="minorHAnsi"/>
          <w:lang w:val="es-ES"/>
        </w:rPr>
        <w:t>Para las obras que requieren Licenciamiento Ambiental, tales como Variante de Choachí, el concesionario estará radicando el EIA en la ANLA el próximo 15 de Agosto de 2015. Se adelantó una revisión en conjunto Concesionario – Interventoría – ANI con el fin de adelantar las observaciones respectivas.</w:t>
      </w:r>
    </w:p>
    <w:p w:rsidR="00EB3BC8" w:rsidRPr="0087640C" w:rsidRDefault="00EB3BC8" w:rsidP="00EB3BC8">
      <w:pPr>
        <w:tabs>
          <w:tab w:val="left" w:pos="426"/>
        </w:tabs>
        <w:spacing w:after="0" w:line="240" w:lineRule="auto"/>
        <w:ind w:left="1080"/>
        <w:jc w:val="both"/>
        <w:rPr>
          <w:rFonts w:cstheme="minorHAnsi"/>
          <w:lang w:val="es-ES"/>
        </w:rPr>
      </w:pPr>
    </w:p>
    <w:p w:rsidR="00EB3BC8" w:rsidRPr="0087640C" w:rsidRDefault="0087640C" w:rsidP="0087640C">
      <w:pPr>
        <w:tabs>
          <w:tab w:val="left" w:pos="426"/>
        </w:tabs>
        <w:spacing w:after="0" w:line="240" w:lineRule="auto"/>
        <w:jc w:val="both"/>
        <w:rPr>
          <w:rFonts w:cstheme="minorHAnsi"/>
          <w:b/>
        </w:rPr>
      </w:pPr>
      <w:r>
        <w:rPr>
          <w:rFonts w:cstheme="minorHAnsi"/>
          <w:b/>
        </w:rPr>
        <w:t>Gestió</w:t>
      </w:r>
      <w:r w:rsidRPr="0087640C">
        <w:rPr>
          <w:rFonts w:cstheme="minorHAnsi"/>
          <w:b/>
        </w:rPr>
        <w:t>n Predial</w:t>
      </w:r>
    </w:p>
    <w:p w:rsidR="00EB3BC8" w:rsidRPr="0087640C" w:rsidRDefault="00EB3BC8" w:rsidP="00EB3BC8">
      <w:pPr>
        <w:tabs>
          <w:tab w:val="left" w:pos="426"/>
        </w:tabs>
        <w:spacing w:after="0" w:line="240" w:lineRule="auto"/>
        <w:ind w:left="720"/>
        <w:jc w:val="both"/>
        <w:rPr>
          <w:rFonts w:cstheme="minorHAnsi"/>
          <w:b/>
        </w:rPr>
      </w:pPr>
    </w:p>
    <w:p w:rsidR="00EB3BC8" w:rsidRPr="0087640C" w:rsidRDefault="00EB3BC8" w:rsidP="000021B2">
      <w:pPr>
        <w:numPr>
          <w:ilvl w:val="0"/>
          <w:numId w:val="68"/>
        </w:numPr>
        <w:tabs>
          <w:tab w:val="left" w:pos="426"/>
        </w:tabs>
        <w:spacing w:after="0" w:line="240" w:lineRule="auto"/>
        <w:jc w:val="both"/>
        <w:rPr>
          <w:rFonts w:cstheme="minorHAnsi"/>
        </w:rPr>
      </w:pPr>
      <w:r w:rsidRPr="0087640C">
        <w:rPr>
          <w:rFonts w:cstheme="minorHAnsi"/>
        </w:rPr>
        <w:t>Dado que el Concesionario ha expresado que el Estructurador no tuvo en cuenta el impacto de la franja lateral en la determinación de la bolsa predial, se ha solicitado, que se adelante un comparativo de áreas estimadas por el estructurador vs áreas con y sin franja lateral. Este ejercicio debe ser entregado el 31 de Julio de 2015. Lo anterior, con el fin de tomar las medidas y previsiones necesarias.</w:t>
      </w:r>
    </w:p>
    <w:p w:rsidR="00EB3BC8" w:rsidRPr="0087640C" w:rsidRDefault="00EB3BC8" w:rsidP="00EB3BC8">
      <w:pPr>
        <w:tabs>
          <w:tab w:val="left" w:pos="426"/>
        </w:tabs>
        <w:spacing w:after="0" w:line="240" w:lineRule="auto"/>
        <w:jc w:val="both"/>
        <w:rPr>
          <w:rFonts w:cstheme="minorHAnsi"/>
        </w:rPr>
      </w:pPr>
    </w:p>
    <w:p w:rsidR="00EB3BC8" w:rsidRPr="0087640C" w:rsidRDefault="0087640C" w:rsidP="0087640C">
      <w:pPr>
        <w:tabs>
          <w:tab w:val="left" w:pos="426"/>
        </w:tabs>
        <w:spacing w:after="0" w:line="240" w:lineRule="auto"/>
        <w:jc w:val="both"/>
        <w:rPr>
          <w:rFonts w:cstheme="minorHAnsi"/>
          <w:b/>
        </w:rPr>
      </w:pPr>
      <w:r w:rsidRPr="0087640C">
        <w:rPr>
          <w:rFonts w:cstheme="minorHAnsi"/>
          <w:b/>
        </w:rPr>
        <w:t>Convenio Policía Nacional</w:t>
      </w:r>
    </w:p>
    <w:p w:rsidR="00EB3BC8" w:rsidRPr="0087640C" w:rsidRDefault="00EB3BC8" w:rsidP="00EB3BC8">
      <w:pPr>
        <w:pStyle w:val="Prrafodelista"/>
        <w:tabs>
          <w:tab w:val="left" w:pos="426"/>
        </w:tabs>
        <w:spacing w:after="0" w:line="240" w:lineRule="auto"/>
        <w:jc w:val="both"/>
        <w:rPr>
          <w:rFonts w:cstheme="minorHAnsi"/>
        </w:rPr>
      </w:pPr>
    </w:p>
    <w:p w:rsidR="00EB3BC8" w:rsidRPr="0087640C" w:rsidRDefault="00EB3BC8" w:rsidP="000021B2">
      <w:pPr>
        <w:pStyle w:val="Prrafodelista"/>
        <w:numPr>
          <w:ilvl w:val="0"/>
          <w:numId w:val="69"/>
        </w:numPr>
        <w:tabs>
          <w:tab w:val="left" w:pos="426"/>
        </w:tabs>
        <w:spacing w:after="0" w:line="240" w:lineRule="auto"/>
        <w:jc w:val="both"/>
        <w:rPr>
          <w:rFonts w:cstheme="minorHAnsi"/>
        </w:rPr>
      </w:pPr>
      <w:r w:rsidRPr="0087640C">
        <w:rPr>
          <w:rFonts w:cstheme="minorHAnsi"/>
        </w:rPr>
        <w:t xml:space="preserve">Durante el segundo trimestre del 2015 tenemos: </w:t>
      </w:r>
    </w:p>
    <w:p w:rsidR="00EB3BC8" w:rsidRPr="0087640C" w:rsidRDefault="00EB3BC8" w:rsidP="00EB3BC8">
      <w:pPr>
        <w:tabs>
          <w:tab w:val="left" w:pos="426"/>
        </w:tabs>
        <w:spacing w:after="0" w:line="240" w:lineRule="auto"/>
        <w:jc w:val="both"/>
        <w:rPr>
          <w:rFonts w:cstheme="minorHAnsi"/>
          <w:b/>
        </w:rPr>
      </w:pPr>
    </w:p>
    <w:p w:rsidR="00EB3BC8" w:rsidRPr="0087640C" w:rsidRDefault="00EB3BC8" w:rsidP="000021B2">
      <w:pPr>
        <w:pStyle w:val="Prrafodelista"/>
        <w:numPr>
          <w:ilvl w:val="0"/>
          <w:numId w:val="70"/>
        </w:numPr>
        <w:tabs>
          <w:tab w:val="left" w:pos="426"/>
        </w:tabs>
        <w:spacing w:after="0" w:line="240" w:lineRule="auto"/>
        <w:jc w:val="both"/>
        <w:rPr>
          <w:rFonts w:cstheme="minorHAnsi"/>
        </w:rPr>
      </w:pPr>
      <w:r w:rsidRPr="0087640C">
        <w:rPr>
          <w:rFonts w:cstheme="minorHAnsi"/>
        </w:rPr>
        <w:t>Suscripción del Convenio entre la Policía Nacional y el Concesionario (27 de abril del 2015).</w:t>
      </w:r>
    </w:p>
    <w:p w:rsidR="00EB3BC8" w:rsidRPr="0087640C" w:rsidRDefault="00EB3BC8" w:rsidP="000021B2">
      <w:pPr>
        <w:pStyle w:val="Prrafodelista"/>
        <w:numPr>
          <w:ilvl w:val="0"/>
          <w:numId w:val="70"/>
        </w:numPr>
        <w:tabs>
          <w:tab w:val="left" w:pos="426"/>
        </w:tabs>
        <w:spacing w:after="0" w:line="240" w:lineRule="auto"/>
        <w:jc w:val="both"/>
        <w:rPr>
          <w:rFonts w:cstheme="minorHAnsi"/>
        </w:rPr>
      </w:pPr>
      <w:r w:rsidRPr="0087640C">
        <w:rPr>
          <w:rFonts w:cstheme="minorHAnsi"/>
        </w:rPr>
        <w:t>Entrega de bienes, elementos y equipos a la Policía Nacional (14 de Mayo de 2015)</w:t>
      </w:r>
    </w:p>
    <w:p w:rsidR="00EB3BC8" w:rsidRPr="0087640C" w:rsidRDefault="00EB3BC8" w:rsidP="000021B2">
      <w:pPr>
        <w:pStyle w:val="Prrafodelista"/>
        <w:numPr>
          <w:ilvl w:val="0"/>
          <w:numId w:val="70"/>
        </w:numPr>
        <w:tabs>
          <w:tab w:val="left" w:pos="426"/>
        </w:tabs>
        <w:spacing w:after="0" w:line="240" w:lineRule="auto"/>
        <w:jc w:val="both"/>
        <w:rPr>
          <w:rFonts w:cstheme="minorHAnsi"/>
        </w:rPr>
      </w:pPr>
      <w:r w:rsidRPr="0087640C">
        <w:rPr>
          <w:rFonts w:cstheme="minorHAnsi"/>
        </w:rPr>
        <w:t>Suscripción del Otrosí N° 2 cuyo objeto es Modificar el Numeral 3.3.9.2 del Apéndice Técnico 2 “</w:t>
      </w:r>
      <w:r w:rsidRPr="0087640C">
        <w:rPr>
          <w:rFonts w:cstheme="minorHAnsi"/>
          <w:i/>
          <w:iCs/>
        </w:rPr>
        <w:t>Entrega de Bienes a la Policía de Carreteras</w:t>
      </w:r>
      <w:r w:rsidRPr="0087640C">
        <w:rPr>
          <w:rFonts w:cstheme="minorHAnsi"/>
        </w:rPr>
        <w:t>” del Contrato de Concesión N° 002 de 2014. (Mayo 27 de 2015)</w:t>
      </w:r>
    </w:p>
    <w:p w:rsidR="00EB3BC8" w:rsidRPr="0087640C" w:rsidRDefault="00EB3BC8" w:rsidP="000021B2">
      <w:pPr>
        <w:pStyle w:val="Prrafodelista"/>
        <w:numPr>
          <w:ilvl w:val="0"/>
          <w:numId w:val="70"/>
        </w:numPr>
        <w:tabs>
          <w:tab w:val="left" w:pos="426"/>
        </w:tabs>
        <w:spacing w:after="0" w:line="240" w:lineRule="auto"/>
        <w:jc w:val="both"/>
        <w:rPr>
          <w:rFonts w:cstheme="minorHAnsi"/>
        </w:rPr>
      </w:pPr>
      <w:r w:rsidRPr="0087640C">
        <w:rPr>
          <w:rFonts w:cstheme="minorHAnsi"/>
        </w:rPr>
        <w:t>Entrega de bienes, elementos y equipos a la Policía Nacional según lo acordado en el Otrosí N° 2 (Junio 22 de 2015)</w:t>
      </w:r>
    </w:p>
    <w:p w:rsidR="00EB3BC8" w:rsidRPr="00590BA0" w:rsidRDefault="00EB3BC8" w:rsidP="00EB3BC8">
      <w:pPr>
        <w:tabs>
          <w:tab w:val="left" w:pos="426"/>
        </w:tabs>
        <w:spacing w:after="0" w:line="240" w:lineRule="auto"/>
        <w:jc w:val="both"/>
        <w:rPr>
          <w:rFonts w:ascii="Arial" w:hAnsi="Arial" w:cs="Arial"/>
          <w:b/>
        </w:rPr>
      </w:pPr>
    </w:p>
    <w:p w:rsidR="00EB3BC8" w:rsidRPr="00590BA0" w:rsidRDefault="00EB3BC8" w:rsidP="00EB3BC8">
      <w:pPr>
        <w:tabs>
          <w:tab w:val="left" w:pos="426"/>
        </w:tabs>
        <w:spacing w:after="0" w:line="240" w:lineRule="auto"/>
        <w:jc w:val="both"/>
        <w:rPr>
          <w:rFonts w:ascii="Arial" w:hAnsi="Arial" w:cs="Arial"/>
          <w:b/>
        </w:rPr>
      </w:pPr>
    </w:p>
    <w:p w:rsidR="00EB3BC8" w:rsidRPr="00590BA0" w:rsidRDefault="00EB3BC8" w:rsidP="00EB3BC8">
      <w:pPr>
        <w:tabs>
          <w:tab w:val="left" w:pos="426"/>
        </w:tabs>
        <w:spacing w:after="0" w:line="240" w:lineRule="auto"/>
        <w:jc w:val="both"/>
        <w:rPr>
          <w:rFonts w:ascii="Arial" w:hAnsi="Arial" w:cs="Arial"/>
        </w:rPr>
      </w:pPr>
    </w:p>
    <w:p w:rsidR="00EB3BC8" w:rsidRPr="0087640C" w:rsidRDefault="00EB3BC8" w:rsidP="0087640C">
      <w:pPr>
        <w:spacing w:line="240" w:lineRule="auto"/>
        <w:jc w:val="both"/>
        <w:rPr>
          <w:rFonts w:eastAsia="Times New Roman" w:cstheme="minorHAnsi"/>
          <w:b/>
          <w:lang w:val="es-ES"/>
        </w:rPr>
      </w:pPr>
      <w:r w:rsidRPr="0087640C">
        <w:rPr>
          <w:rFonts w:eastAsia="Times New Roman" w:cstheme="minorHAnsi"/>
          <w:b/>
          <w:lang w:val="es-ES"/>
        </w:rPr>
        <w:t xml:space="preserve">14.  INFORME DE GESTIÓN PROYECTO IP GICA  </w:t>
      </w:r>
    </w:p>
    <w:p w:rsidR="00EB3BC8" w:rsidRPr="00455CA2" w:rsidRDefault="00EB3BC8" w:rsidP="00EB3BC8">
      <w:pPr>
        <w:spacing w:line="240" w:lineRule="auto"/>
        <w:rPr>
          <w:rFonts w:eastAsia="Times New Roman" w:cstheme="minorHAnsi"/>
          <w:bCs/>
          <w:spacing w:val="-3"/>
          <w:lang w:val="es-ES" w:eastAsia="es-ES"/>
        </w:rPr>
      </w:pPr>
      <w:r w:rsidRPr="00455CA2">
        <w:rPr>
          <w:rFonts w:eastAsia="Times New Roman" w:cstheme="minorHAnsi"/>
          <w:bCs/>
          <w:spacing w:val="-3"/>
          <w:lang w:val="es-ES" w:eastAsia="es-ES"/>
        </w:rPr>
        <w:lastRenderedPageBreak/>
        <w:t>CONTRATO No 002 de 2015</w:t>
      </w:r>
    </w:p>
    <w:p w:rsidR="00EB3BC8" w:rsidRPr="00455CA2" w:rsidRDefault="00EB3BC8" w:rsidP="00EB3BC8">
      <w:pPr>
        <w:spacing w:line="240" w:lineRule="auto"/>
        <w:rPr>
          <w:rFonts w:eastAsia="Times New Roman" w:cstheme="minorHAnsi"/>
          <w:bCs/>
          <w:spacing w:val="-3"/>
          <w:lang w:val="es-ES" w:eastAsia="es-ES"/>
        </w:rPr>
      </w:pPr>
      <w:r w:rsidRPr="00455CA2">
        <w:rPr>
          <w:rFonts w:eastAsia="Times New Roman" w:cstheme="minorHAnsi"/>
          <w:bCs/>
          <w:spacing w:val="-3"/>
          <w:lang w:val="es-ES" w:eastAsia="es-ES"/>
        </w:rPr>
        <w:t>CONCESIONARIO: APP GICA SA</w:t>
      </w:r>
    </w:p>
    <w:p w:rsidR="00EB3BC8" w:rsidRPr="00455CA2" w:rsidRDefault="00EB3BC8" w:rsidP="00EB3BC8">
      <w:pPr>
        <w:spacing w:line="240" w:lineRule="auto"/>
        <w:rPr>
          <w:rFonts w:eastAsia="Times New Roman" w:cstheme="minorHAnsi"/>
          <w:bCs/>
          <w:spacing w:val="-3"/>
          <w:lang w:val="es-ES" w:eastAsia="es-ES"/>
        </w:rPr>
      </w:pPr>
      <w:r w:rsidRPr="00455CA2">
        <w:rPr>
          <w:rFonts w:eastAsia="Times New Roman" w:cstheme="minorHAnsi"/>
          <w:bCs/>
          <w:spacing w:val="-3"/>
          <w:lang w:val="es-ES" w:eastAsia="es-ES"/>
        </w:rPr>
        <w:t>CONTRATO DE INTERVENTORIA No 076 de 2015</w:t>
      </w:r>
    </w:p>
    <w:p w:rsidR="00EB3BC8" w:rsidRPr="00455CA2" w:rsidRDefault="00EB3BC8" w:rsidP="00EB3BC8">
      <w:pPr>
        <w:spacing w:line="240" w:lineRule="auto"/>
        <w:rPr>
          <w:rFonts w:eastAsia="Times New Roman" w:cstheme="minorHAnsi"/>
          <w:bCs/>
          <w:spacing w:val="-3"/>
          <w:lang w:val="es-ES" w:eastAsia="es-ES"/>
        </w:rPr>
      </w:pPr>
      <w:r w:rsidRPr="00455CA2">
        <w:rPr>
          <w:rFonts w:eastAsia="Times New Roman" w:cstheme="minorHAnsi"/>
          <w:bCs/>
          <w:spacing w:val="-3"/>
          <w:lang w:val="es-ES" w:eastAsia="es-ES"/>
        </w:rPr>
        <w:t>INTERVENTORIA: CONSULTECNICOS SA</w:t>
      </w:r>
    </w:p>
    <w:p w:rsidR="00EB3BC8" w:rsidRPr="00455CA2" w:rsidRDefault="00EB3BC8" w:rsidP="00EB3BC8">
      <w:pPr>
        <w:spacing w:line="240" w:lineRule="auto"/>
        <w:rPr>
          <w:rFonts w:eastAsia="Times New Roman" w:cstheme="minorHAnsi"/>
          <w:bCs/>
          <w:spacing w:val="-3"/>
          <w:lang w:val="es-ES" w:eastAsia="es-ES"/>
        </w:rPr>
      </w:pPr>
      <w:r w:rsidRPr="00455CA2">
        <w:rPr>
          <w:rFonts w:eastAsia="Times New Roman" w:cstheme="minorHAnsi"/>
          <w:bCs/>
          <w:spacing w:val="-3"/>
          <w:lang w:val="es-ES" w:eastAsia="es-ES"/>
        </w:rPr>
        <w:t>Acta de inicio: 14 de Abril de 2015</w:t>
      </w:r>
    </w:p>
    <w:p w:rsidR="00EB3BC8" w:rsidRPr="00455CA2" w:rsidRDefault="00EB3BC8" w:rsidP="00EB3BC8">
      <w:pPr>
        <w:spacing w:line="240" w:lineRule="auto"/>
        <w:jc w:val="both"/>
        <w:rPr>
          <w:rFonts w:eastAsia="Times New Roman" w:cstheme="minorHAnsi"/>
          <w:bCs/>
          <w:spacing w:val="-3"/>
          <w:lang w:val="es-ES" w:eastAsia="es-ES"/>
        </w:rPr>
      </w:pPr>
      <w:r w:rsidRPr="00455CA2">
        <w:rPr>
          <w:rFonts w:eastAsia="Times New Roman" w:cstheme="minorHAnsi"/>
          <w:bCs/>
          <w:spacing w:val="-3"/>
          <w:lang w:val="es-ES" w:eastAsia="es-ES"/>
        </w:rPr>
        <w:t>El proyecto se encuentra en etapa de preconstrucción y viene desarrollando actividades de estudios y diseños de la UF1 esta unidad funcional comprende tres tramos de los cuales el diseño geométrico debe ser entregado a la Interventoría el 24 de julio de 2015.</w:t>
      </w:r>
    </w:p>
    <w:p w:rsidR="00EB3BC8" w:rsidRPr="00455CA2" w:rsidRDefault="00EB3BC8" w:rsidP="00EB3BC8">
      <w:pPr>
        <w:spacing w:line="240" w:lineRule="auto"/>
        <w:jc w:val="both"/>
        <w:rPr>
          <w:rFonts w:eastAsia="Times New Roman" w:cstheme="minorHAnsi"/>
          <w:bCs/>
          <w:spacing w:val="-3"/>
          <w:lang w:val="es-ES" w:eastAsia="es-ES"/>
        </w:rPr>
      </w:pPr>
      <w:r w:rsidRPr="00455CA2">
        <w:rPr>
          <w:rFonts w:eastAsia="Times New Roman" w:cstheme="minorHAnsi"/>
          <w:bCs/>
          <w:spacing w:val="-3"/>
          <w:lang w:val="es-ES" w:eastAsia="es-ES"/>
        </w:rPr>
        <w:t>El Concesionario viene adelantando perforaciones geotécnicas en la UF1 con un avance promedio del 50%, en la UF2 inicio actividades recientemente y lleva un avance del 5% aproximadamente.</w:t>
      </w:r>
    </w:p>
    <w:p w:rsidR="00EB3BC8" w:rsidRPr="00455CA2" w:rsidRDefault="00EB3BC8" w:rsidP="00EB3BC8">
      <w:pPr>
        <w:spacing w:line="240" w:lineRule="auto"/>
        <w:jc w:val="both"/>
        <w:rPr>
          <w:rFonts w:eastAsia="Times New Roman" w:cstheme="minorHAnsi"/>
          <w:bCs/>
          <w:spacing w:val="-3"/>
          <w:lang w:val="es-ES" w:eastAsia="es-ES"/>
        </w:rPr>
      </w:pPr>
      <w:r w:rsidRPr="00455CA2">
        <w:rPr>
          <w:rFonts w:eastAsia="Times New Roman" w:cstheme="minorHAnsi"/>
          <w:bCs/>
          <w:spacing w:val="-3"/>
          <w:lang w:val="es-ES" w:eastAsia="es-ES"/>
        </w:rPr>
        <w:t>En referencia al trámite del Licenciamiento Ambiental de acuerdo al cronograma se tiene lo siguiente:</w:t>
      </w:r>
    </w:p>
    <w:tbl>
      <w:tblPr>
        <w:tblStyle w:val="Tablaconcuadrcula18"/>
        <w:tblW w:w="0" w:type="auto"/>
        <w:jc w:val="center"/>
        <w:tblLook w:val="04A0" w:firstRow="1" w:lastRow="0" w:firstColumn="1" w:lastColumn="0" w:noHBand="0" w:noVBand="1"/>
      </w:tblPr>
      <w:tblGrid>
        <w:gridCol w:w="1765"/>
        <w:gridCol w:w="1765"/>
        <w:gridCol w:w="1766"/>
        <w:gridCol w:w="2496"/>
      </w:tblGrid>
      <w:tr w:rsidR="00EB3BC8" w:rsidRPr="00455CA2" w:rsidTr="005E52E0">
        <w:trPr>
          <w:jc w:val="center"/>
        </w:trPr>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UNIDAD FUNCIONAL</w:t>
            </w:r>
          </w:p>
        </w:tc>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TRAMO</w:t>
            </w:r>
          </w:p>
        </w:tc>
        <w:tc>
          <w:tcPr>
            <w:tcW w:w="1766"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 AVANCE</w:t>
            </w:r>
          </w:p>
        </w:tc>
        <w:tc>
          <w:tcPr>
            <w:tcW w:w="2496"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FECHA DE ENTREGA INTERVENTORIA</w:t>
            </w:r>
          </w:p>
        </w:tc>
      </w:tr>
      <w:tr w:rsidR="00EB3BC8" w:rsidRPr="00455CA2" w:rsidTr="005E52E0">
        <w:trPr>
          <w:jc w:val="center"/>
        </w:trPr>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UF1</w:t>
            </w:r>
          </w:p>
        </w:tc>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1</w:t>
            </w:r>
          </w:p>
        </w:tc>
        <w:tc>
          <w:tcPr>
            <w:tcW w:w="176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95%</w:t>
            </w:r>
          </w:p>
        </w:tc>
        <w:tc>
          <w:tcPr>
            <w:tcW w:w="249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24/07/2015</w:t>
            </w:r>
          </w:p>
        </w:tc>
      </w:tr>
      <w:tr w:rsidR="00EB3BC8" w:rsidRPr="00455CA2" w:rsidTr="005E52E0">
        <w:trPr>
          <w:jc w:val="center"/>
        </w:trPr>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UF1</w:t>
            </w:r>
          </w:p>
        </w:tc>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2</w:t>
            </w:r>
          </w:p>
        </w:tc>
        <w:tc>
          <w:tcPr>
            <w:tcW w:w="176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66%</w:t>
            </w:r>
          </w:p>
        </w:tc>
        <w:tc>
          <w:tcPr>
            <w:tcW w:w="249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25/08/2015</w:t>
            </w:r>
          </w:p>
        </w:tc>
      </w:tr>
      <w:tr w:rsidR="00EB3BC8" w:rsidRPr="00455CA2" w:rsidTr="005E52E0">
        <w:trPr>
          <w:jc w:val="center"/>
        </w:trPr>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UF1</w:t>
            </w:r>
          </w:p>
        </w:tc>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3</w:t>
            </w:r>
          </w:p>
        </w:tc>
        <w:tc>
          <w:tcPr>
            <w:tcW w:w="176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55%</w:t>
            </w:r>
          </w:p>
        </w:tc>
        <w:tc>
          <w:tcPr>
            <w:tcW w:w="249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15/10/2015</w:t>
            </w:r>
          </w:p>
        </w:tc>
      </w:tr>
      <w:tr w:rsidR="00EB3BC8" w:rsidRPr="00455CA2" w:rsidTr="005E52E0">
        <w:trPr>
          <w:jc w:val="center"/>
        </w:trPr>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UF2</w:t>
            </w:r>
          </w:p>
        </w:tc>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4</w:t>
            </w:r>
          </w:p>
        </w:tc>
        <w:tc>
          <w:tcPr>
            <w:tcW w:w="176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50%</w:t>
            </w:r>
          </w:p>
        </w:tc>
        <w:tc>
          <w:tcPr>
            <w:tcW w:w="249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27/11/2015</w:t>
            </w:r>
          </w:p>
        </w:tc>
      </w:tr>
      <w:tr w:rsidR="00EB3BC8" w:rsidRPr="00455CA2" w:rsidTr="005E52E0">
        <w:trPr>
          <w:jc w:val="center"/>
        </w:trPr>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UF2</w:t>
            </w:r>
          </w:p>
        </w:tc>
        <w:tc>
          <w:tcPr>
            <w:tcW w:w="1765" w:type="dxa"/>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5</w:t>
            </w:r>
          </w:p>
        </w:tc>
        <w:tc>
          <w:tcPr>
            <w:tcW w:w="176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100%</w:t>
            </w:r>
          </w:p>
        </w:tc>
        <w:tc>
          <w:tcPr>
            <w:tcW w:w="2496" w:type="dxa"/>
            <w:vAlign w:val="center"/>
          </w:tcPr>
          <w:p w:rsidR="00EB3BC8" w:rsidRPr="00455CA2" w:rsidRDefault="00EB3BC8" w:rsidP="005E52E0">
            <w:pPr>
              <w:jc w:val="center"/>
              <w:rPr>
                <w:rFonts w:eastAsia="Times New Roman" w:cstheme="minorHAnsi"/>
                <w:bCs/>
                <w:spacing w:val="-3"/>
                <w:lang w:val="es-ES" w:eastAsia="es-ES"/>
              </w:rPr>
            </w:pPr>
            <w:r w:rsidRPr="00455CA2">
              <w:rPr>
                <w:rFonts w:eastAsia="Times New Roman" w:cstheme="minorHAnsi"/>
                <w:bCs/>
                <w:spacing w:val="-3"/>
                <w:lang w:val="es-ES" w:eastAsia="es-ES"/>
              </w:rPr>
              <w:t>08/07/2015</w:t>
            </w:r>
          </w:p>
        </w:tc>
      </w:tr>
    </w:tbl>
    <w:p w:rsidR="00EB3BC8" w:rsidRPr="00455CA2" w:rsidRDefault="00EB3BC8" w:rsidP="00EB3BC8">
      <w:pPr>
        <w:spacing w:line="240" w:lineRule="auto"/>
        <w:jc w:val="both"/>
        <w:rPr>
          <w:rFonts w:eastAsia="Times New Roman" w:cstheme="minorHAnsi"/>
          <w:bCs/>
          <w:spacing w:val="-3"/>
          <w:lang w:val="es-ES" w:eastAsia="es-ES"/>
        </w:rPr>
      </w:pPr>
    </w:p>
    <w:p w:rsidR="00EB3BC8" w:rsidRPr="00455CA2" w:rsidRDefault="00EB3BC8" w:rsidP="00EB3BC8">
      <w:pPr>
        <w:spacing w:line="240" w:lineRule="auto"/>
        <w:jc w:val="both"/>
        <w:rPr>
          <w:rFonts w:eastAsia="Times New Roman" w:cstheme="minorHAnsi"/>
          <w:bCs/>
          <w:spacing w:val="-3"/>
          <w:lang w:val="es-ES" w:eastAsia="es-ES"/>
        </w:rPr>
      </w:pPr>
      <w:r w:rsidRPr="00455CA2">
        <w:rPr>
          <w:rFonts w:eastAsia="Times New Roman" w:cstheme="minorHAnsi"/>
          <w:bCs/>
          <w:spacing w:val="-3"/>
          <w:lang w:val="es-ES" w:eastAsia="es-ES"/>
        </w:rPr>
        <w:t>La interventoría se encuentra terminando de observar los documentos para el tramo 5 y se espera cumplir con la fecha programada para la radicación en la ANLA la cual está prevista para el 21 de julio de 2015.</w:t>
      </w:r>
    </w:p>
    <w:p w:rsidR="00EB3BC8" w:rsidRPr="00455CA2" w:rsidRDefault="00EB3BC8" w:rsidP="00EB3BC8">
      <w:pPr>
        <w:spacing w:line="240" w:lineRule="auto"/>
        <w:jc w:val="both"/>
        <w:rPr>
          <w:rFonts w:eastAsia="Times New Roman" w:cstheme="minorHAnsi"/>
          <w:bCs/>
          <w:spacing w:val="-3"/>
          <w:lang w:val="es-ES" w:eastAsia="es-ES"/>
        </w:rPr>
      </w:pPr>
      <w:r w:rsidRPr="00455CA2">
        <w:rPr>
          <w:rFonts w:eastAsia="Times New Roman" w:cstheme="minorHAnsi"/>
          <w:bCs/>
          <w:spacing w:val="-3"/>
          <w:lang w:val="es-ES" w:eastAsia="es-ES"/>
        </w:rPr>
        <w:t>Se vienen adelantando semanalmente los planes de seguimiento con la interventoría donde se tratan los temas del procedimiento para la adquisición predial el cual fue presentado al Concesionario recientemente y no tuvo observaciones,  está pendiente definir el tema de la longitud que se debe tener para la franja de seguridad, el concesionario recomienda que se debe dejar 10 metros y en los puentes se prolongue la line de chaflán, de esa manera se hace la adquisición de predio soportada técnicamente por el concesionario y aprobada por la interventoría.</w:t>
      </w:r>
    </w:p>
    <w:p w:rsidR="00EB3BC8" w:rsidRPr="00590BA0" w:rsidRDefault="00EB3BC8" w:rsidP="00EB3BC8">
      <w:pPr>
        <w:spacing w:line="240" w:lineRule="auto"/>
        <w:jc w:val="both"/>
        <w:rPr>
          <w:rFonts w:ascii="Arial" w:eastAsiaTheme="minorHAnsi" w:hAnsi="Arial" w:cs="Arial"/>
        </w:rPr>
      </w:pPr>
      <w:r w:rsidRPr="00455CA2">
        <w:rPr>
          <w:rFonts w:eastAsia="Times New Roman" w:cstheme="minorHAnsi"/>
          <w:bCs/>
          <w:spacing w:val="-3"/>
          <w:lang w:val="es-ES" w:eastAsia="es-ES"/>
        </w:rPr>
        <w:t>El Concesionario no tiene vías a cargo a la fecha, solo hasta la terminación de la UF1 la cual está prevista e</w:t>
      </w:r>
      <w:r w:rsidRPr="00590BA0">
        <w:rPr>
          <w:rFonts w:ascii="Arial" w:eastAsiaTheme="minorHAnsi" w:hAnsi="Arial" w:cs="Arial"/>
        </w:rPr>
        <w:t xml:space="preserve">ntregar 48 meses después de la firma de inicio de la Etapa de Construcción. </w:t>
      </w:r>
    </w:p>
    <w:p w:rsidR="00EB3BC8" w:rsidRPr="00590BA0" w:rsidRDefault="00EB3BC8" w:rsidP="00EB3BC8">
      <w:pPr>
        <w:spacing w:line="240" w:lineRule="auto"/>
        <w:jc w:val="both"/>
        <w:rPr>
          <w:rFonts w:ascii="Arial" w:eastAsiaTheme="minorHAnsi" w:hAnsi="Arial" w:cs="Arial"/>
        </w:rPr>
      </w:pPr>
    </w:p>
    <w:p w:rsidR="00EB3BC8" w:rsidRPr="000D06A9" w:rsidRDefault="00EB3BC8" w:rsidP="000D06A9">
      <w:pPr>
        <w:spacing w:line="240" w:lineRule="auto"/>
        <w:jc w:val="both"/>
        <w:rPr>
          <w:rFonts w:eastAsia="Times New Roman" w:cstheme="minorHAnsi"/>
          <w:b/>
          <w:lang w:val="es-ES"/>
        </w:rPr>
      </w:pPr>
      <w:r w:rsidRPr="000D06A9">
        <w:rPr>
          <w:rFonts w:eastAsia="Times New Roman" w:cstheme="minorHAnsi"/>
          <w:b/>
          <w:lang w:val="es-ES"/>
        </w:rPr>
        <w:t>15. INFORME DE GESTIÓN PROYECTO IP MALLA VIAL DEL META</w:t>
      </w:r>
    </w:p>
    <w:p w:rsidR="00EB3BC8" w:rsidRPr="002E4B77" w:rsidRDefault="00EB3BC8" w:rsidP="00EB3BC8">
      <w:pPr>
        <w:spacing w:after="0" w:line="240" w:lineRule="auto"/>
        <w:rPr>
          <w:rFonts w:eastAsia="Times New Roman" w:cs="Times New Roman"/>
          <w:sz w:val="24"/>
          <w:szCs w:val="24"/>
          <w:lang w:eastAsia="es-ES"/>
        </w:rPr>
      </w:pPr>
      <w:r>
        <w:rPr>
          <w:rFonts w:ascii="Arial" w:eastAsia="Times New Roman" w:hAnsi="Arial" w:cs="Arial"/>
          <w:b/>
          <w:highlight w:val="green"/>
          <w:lang w:val="es-ES"/>
        </w:rPr>
        <w:t xml:space="preserve"> </w:t>
      </w:r>
      <w:r w:rsidRPr="00544629">
        <w:rPr>
          <w:rFonts w:ascii="Arial" w:eastAsia="Times New Roman" w:hAnsi="Arial" w:cs="Arial"/>
          <w:b/>
          <w:highlight w:val="green"/>
          <w:lang w:val="es-ES"/>
        </w:rPr>
        <w:t xml:space="preserve"> </w:t>
      </w:r>
      <w:r w:rsidRPr="00544629">
        <w:rPr>
          <w:rFonts w:eastAsiaTheme="minorHAnsi"/>
          <w:b/>
          <w:highlight w:val="gree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6353"/>
      </w:tblGrid>
      <w:tr w:rsidR="00EB3BC8" w:rsidRPr="00AA32C5" w:rsidTr="005E52E0">
        <w:tc>
          <w:tcPr>
            <w:tcW w:w="2475" w:type="dxa"/>
            <w:shd w:val="clear" w:color="auto" w:fill="DDD9C3" w:themeFill="background2" w:themeFillShade="E6"/>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 xml:space="preserve">Contrato  de Concesión </w:t>
            </w:r>
          </w:p>
        </w:tc>
        <w:tc>
          <w:tcPr>
            <w:tcW w:w="6353" w:type="dxa"/>
            <w:shd w:val="clear" w:color="auto" w:fill="DDD9C3" w:themeFill="background2" w:themeFillShade="E6"/>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 xml:space="preserve">No. 004 de 2015 </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Trayectos</w:t>
            </w:r>
          </w:p>
        </w:tc>
        <w:tc>
          <w:tcPr>
            <w:tcW w:w="6353" w:type="dxa"/>
          </w:tcPr>
          <w:p w:rsidR="00EB3BC8" w:rsidRPr="00AA32C5" w:rsidRDefault="00EB3BC8" w:rsidP="005E52E0">
            <w:pPr>
              <w:spacing w:after="0" w:line="240" w:lineRule="auto"/>
              <w:ind w:right="59"/>
              <w:rPr>
                <w:rFonts w:eastAsia="Times New Roman" w:cstheme="minorHAnsi"/>
                <w:lang w:val="es-ES" w:eastAsia="es-ES"/>
              </w:rPr>
            </w:pPr>
            <w:r w:rsidRPr="00AA32C5">
              <w:rPr>
                <w:rFonts w:eastAsia="Times New Roman" w:cstheme="minorHAnsi"/>
                <w:lang w:val="es-ES" w:eastAsia="es-ES"/>
              </w:rPr>
              <w:t>Granada – Villavicencio - Villavicencio-Puerto López – Puerto Gaitán – Puente Arimena</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lastRenderedPageBreak/>
              <w:t>Objeto</w:t>
            </w:r>
          </w:p>
        </w:tc>
        <w:tc>
          <w:tcPr>
            <w:tcW w:w="6353" w:type="dxa"/>
          </w:tcPr>
          <w:p w:rsidR="00EB3BC8" w:rsidRPr="00AA32C5" w:rsidRDefault="00EB3BC8" w:rsidP="005E52E0">
            <w:pPr>
              <w:spacing w:after="0" w:line="240" w:lineRule="auto"/>
              <w:jc w:val="both"/>
              <w:rPr>
                <w:rFonts w:eastAsia="Times New Roman" w:cstheme="minorHAnsi"/>
                <w:lang w:val="es-ES_tradnl" w:eastAsia="es-ES"/>
              </w:rPr>
            </w:pPr>
            <w:r w:rsidRPr="00AA32C5">
              <w:rPr>
                <w:rFonts w:eastAsia="Times New Roman" w:cstheme="minorHAnsi"/>
                <w:lang w:val="es-ES" w:eastAsia="es-ES"/>
              </w:rPr>
              <w:t>Realizar por el sistema de concesión los estudios, diseños definitivos, las obras de rehabilitación, la operación y el mantenimiento de las carreteras Villavicencio-Granada, Villavicencio-Puerto López y Villavicencio-Restrepo-Cumaral, en el departamento del Meta.</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CONTRATISTA</w:t>
            </w:r>
          </w:p>
        </w:tc>
        <w:tc>
          <w:tcPr>
            <w:tcW w:w="6353" w:type="dxa"/>
          </w:tcPr>
          <w:p w:rsidR="00EB3BC8" w:rsidRPr="00AA32C5" w:rsidRDefault="00EB3BC8" w:rsidP="005E52E0">
            <w:pPr>
              <w:spacing w:after="0" w:line="240" w:lineRule="auto"/>
              <w:jc w:val="both"/>
              <w:rPr>
                <w:rFonts w:eastAsia="Times New Roman" w:cstheme="minorHAnsi"/>
                <w:lang w:val="es-ES" w:eastAsia="es-ES"/>
              </w:rPr>
            </w:pPr>
            <w:r w:rsidRPr="00AA32C5">
              <w:rPr>
                <w:rFonts w:eastAsia="Times New Roman" w:cstheme="minorHAnsi"/>
                <w:lang w:val="es-ES" w:eastAsia="es-ES"/>
              </w:rPr>
              <w:t>CONCESION VIAL DE LOS LLANOS SAS</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Plazo inicial</w:t>
            </w:r>
          </w:p>
        </w:tc>
        <w:tc>
          <w:tcPr>
            <w:tcW w:w="6353"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30 años  o  360  meses</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Generación</w:t>
            </w:r>
          </w:p>
        </w:tc>
        <w:tc>
          <w:tcPr>
            <w:tcW w:w="6353"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Cuarta  Generación</w:t>
            </w:r>
          </w:p>
        </w:tc>
      </w:tr>
      <w:tr w:rsidR="00EB3BC8" w:rsidRPr="00AA32C5" w:rsidTr="005E52E0">
        <w:tc>
          <w:tcPr>
            <w:tcW w:w="8828" w:type="dxa"/>
            <w:gridSpan w:val="2"/>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DOCUMENTOS MODIFICATORIOS DEL CONTRATO PRINCIPAL (ADICIONALES, OTROSIES, ETC, QUE CAMBIEN EL OBJETO, PLAZO, Y/O VALOR DEL PROYECTO</w:t>
            </w:r>
          </w:p>
        </w:tc>
      </w:tr>
      <w:tr w:rsidR="00EB3BC8" w:rsidRPr="00AA32C5" w:rsidTr="005E52E0">
        <w:tc>
          <w:tcPr>
            <w:tcW w:w="8828" w:type="dxa"/>
            <w:gridSpan w:val="2"/>
          </w:tcPr>
          <w:p w:rsidR="00EB3BC8" w:rsidRPr="00AA32C5" w:rsidRDefault="00EB3BC8" w:rsidP="005E52E0">
            <w:pPr>
              <w:spacing w:after="0" w:line="240" w:lineRule="auto"/>
              <w:jc w:val="center"/>
              <w:rPr>
                <w:rFonts w:eastAsia="Times New Roman" w:cstheme="minorHAnsi"/>
                <w:sz w:val="20"/>
                <w:szCs w:val="20"/>
                <w:lang w:val="es-ES" w:eastAsia="es-ES"/>
              </w:rPr>
            </w:pPr>
            <w:r w:rsidRPr="00AA32C5">
              <w:rPr>
                <w:rFonts w:eastAsia="Times New Roman" w:cstheme="minorHAnsi"/>
                <w:b/>
                <w:sz w:val="20"/>
                <w:szCs w:val="20"/>
                <w:lang w:val="es-ES" w:eastAsia="es-ES"/>
              </w:rPr>
              <w:t>Firma de contrato</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sz w:val="20"/>
                <w:szCs w:val="20"/>
                <w:lang w:val="es-ES" w:eastAsia="es-ES"/>
              </w:rPr>
            </w:pPr>
            <w:r w:rsidRPr="00AA32C5">
              <w:rPr>
                <w:rFonts w:eastAsia="Times New Roman" w:cstheme="minorHAnsi"/>
                <w:sz w:val="20"/>
                <w:szCs w:val="20"/>
                <w:lang w:val="es-ES" w:eastAsia="es-ES"/>
              </w:rPr>
              <w:t>Fecha firma</w:t>
            </w:r>
          </w:p>
        </w:tc>
        <w:tc>
          <w:tcPr>
            <w:tcW w:w="6353" w:type="dxa"/>
          </w:tcPr>
          <w:p w:rsidR="00EB3BC8" w:rsidRPr="00AA32C5" w:rsidRDefault="00EB3BC8" w:rsidP="005E52E0">
            <w:pPr>
              <w:spacing w:after="0" w:line="240" w:lineRule="auto"/>
              <w:jc w:val="both"/>
              <w:rPr>
                <w:rFonts w:eastAsia="Times New Roman" w:cstheme="minorHAnsi"/>
                <w:sz w:val="20"/>
                <w:szCs w:val="20"/>
                <w:lang w:val="es-ES" w:eastAsia="es-ES"/>
              </w:rPr>
            </w:pPr>
            <w:r w:rsidRPr="00AA32C5">
              <w:rPr>
                <w:rFonts w:eastAsia="Times New Roman" w:cstheme="minorHAnsi"/>
                <w:sz w:val="20"/>
                <w:szCs w:val="20"/>
                <w:lang w:val="es-ES" w:eastAsia="es-ES"/>
              </w:rPr>
              <w:t>5 de mayo de 2015</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sz w:val="20"/>
                <w:szCs w:val="20"/>
                <w:lang w:val="es-ES" w:eastAsia="es-ES"/>
              </w:rPr>
            </w:pPr>
            <w:r w:rsidRPr="00AA32C5">
              <w:rPr>
                <w:rFonts w:eastAsia="Times New Roman" w:cstheme="minorHAnsi"/>
                <w:sz w:val="20"/>
                <w:szCs w:val="20"/>
                <w:lang w:val="es-ES" w:eastAsia="es-ES"/>
              </w:rPr>
              <w:t xml:space="preserve">Valor </w:t>
            </w:r>
          </w:p>
        </w:tc>
        <w:tc>
          <w:tcPr>
            <w:tcW w:w="6353" w:type="dxa"/>
          </w:tcPr>
          <w:p w:rsidR="00EB3BC8" w:rsidRPr="00AA32C5" w:rsidRDefault="00EB3BC8" w:rsidP="005E52E0">
            <w:pPr>
              <w:spacing w:after="0" w:line="240" w:lineRule="auto"/>
              <w:jc w:val="both"/>
              <w:rPr>
                <w:rFonts w:eastAsia="Times New Roman" w:cstheme="minorHAnsi"/>
                <w:sz w:val="20"/>
                <w:szCs w:val="20"/>
                <w:lang w:val="es-ES" w:eastAsia="es-ES"/>
              </w:rPr>
            </w:pPr>
            <w:r w:rsidRPr="00AA32C5">
              <w:rPr>
                <w:rFonts w:eastAsia="Times New Roman" w:cstheme="minorHAnsi"/>
                <w:sz w:val="20"/>
                <w:szCs w:val="20"/>
                <w:lang w:val="es-ES" w:eastAsia="es-ES"/>
              </w:rPr>
              <w:t xml:space="preserve">$ 3,2 billones de pesos </w:t>
            </w:r>
          </w:p>
        </w:tc>
      </w:tr>
      <w:tr w:rsidR="00EB3BC8" w:rsidRPr="00AA32C5" w:rsidTr="005E52E0">
        <w:tc>
          <w:tcPr>
            <w:tcW w:w="8828" w:type="dxa"/>
            <w:gridSpan w:val="2"/>
          </w:tcPr>
          <w:p w:rsidR="00EB3BC8" w:rsidRPr="00AA32C5" w:rsidRDefault="00EB3BC8" w:rsidP="005E52E0">
            <w:pPr>
              <w:spacing w:after="0" w:line="240" w:lineRule="auto"/>
              <w:jc w:val="center"/>
              <w:rPr>
                <w:rFonts w:eastAsia="Times New Roman" w:cstheme="minorHAnsi"/>
                <w:sz w:val="20"/>
                <w:szCs w:val="20"/>
                <w:lang w:val="es-ES" w:eastAsia="es-ES"/>
              </w:rPr>
            </w:pPr>
            <w:r w:rsidRPr="00AA32C5">
              <w:rPr>
                <w:rFonts w:eastAsia="Times New Roman" w:cstheme="minorHAnsi"/>
                <w:b/>
                <w:sz w:val="20"/>
                <w:szCs w:val="20"/>
                <w:lang w:val="es-ES" w:eastAsia="es-ES"/>
              </w:rPr>
              <w:t>Otrosí</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sz w:val="20"/>
                <w:szCs w:val="20"/>
                <w:lang w:val="es-ES" w:eastAsia="es-ES"/>
              </w:rPr>
            </w:pPr>
            <w:r w:rsidRPr="00AA32C5">
              <w:rPr>
                <w:rFonts w:eastAsia="Times New Roman" w:cstheme="minorHAnsi"/>
                <w:sz w:val="20"/>
                <w:szCs w:val="20"/>
                <w:lang w:val="es-ES" w:eastAsia="es-ES"/>
              </w:rPr>
              <w:t>Fecha</w:t>
            </w:r>
          </w:p>
        </w:tc>
        <w:tc>
          <w:tcPr>
            <w:tcW w:w="6353" w:type="dxa"/>
          </w:tcPr>
          <w:p w:rsidR="00EB3BC8" w:rsidRPr="00AA32C5" w:rsidRDefault="00EB3BC8" w:rsidP="005E52E0">
            <w:pPr>
              <w:spacing w:after="0" w:line="240" w:lineRule="auto"/>
              <w:jc w:val="both"/>
              <w:rPr>
                <w:rFonts w:eastAsia="Times New Roman" w:cstheme="minorHAnsi"/>
                <w:sz w:val="20"/>
                <w:szCs w:val="20"/>
                <w:lang w:val="es-ES" w:eastAsia="es-ES"/>
              </w:rPr>
            </w:pPr>
            <w:r w:rsidRPr="00AA32C5">
              <w:rPr>
                <w:rFonts w:eastAsia="Times New Roman" w:cstheme="minorHAnsi"/>
                <w:sz w:val="20"/>
                <w:szCs w:val="20"/>
                <w:lang w:val="es-ES" w:eastAsia="es-ES"/>
              </w:rPr>
              <w:t>5 de junio  de 2015</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sz w:val="20"/>
                <w:szCs w:val="20"/>
                <w:lang w:val="es-ES" w:eastAsia="es-ES"/>
              </w:rPr>
            </w:pPr>
            <w:r w:rsidRPr="00AA32C5">
              <w:rPr>
                <w:rFonts w:eastAsia="Times New Roman" w:cstheme="minorHAnsi"/>
                <w:sz w:val="20"/>
                <w:szCs w:val="20"/>
                <w:lang w:val="es-ES" w:eastAsia="es-ES"/>
              </w:rPr>
              <w:t>Objeto</w:t>
            </w:r>
          </w:p>
        </w:tc>
        <w:tc>
          <w:tcPr>
            <w:tcW w:w="6353" w:type="dxa"/>
          </w:tcPr>
          <w:p w:rsidR="00EB3BC8" w:rsidRPr="00AA32C5" w:rsidRDefault="00EB3BC8" w:rsidP="005E52E0">
            <w:pPr>
              <w:spacing w:after="0" w:line="240" w:lineRule="auto"/>
              <w:jc w:val="both"/>
              <w:rPr>
                <w:rFonts w:eastAsia="Times New Roman" w:cstheme="minorHAnsi"/>
                <w:sz w:val="20"/>
                <w:szCs w:val="20"/>
                <w:lang w:val="es-ES" w:eastAsia="es-ES"/>
              </w:rPr>
            </w:pPr>
            <w:r w:rsidRPr="00AA32C5">
              <w:rPr>
                <w:rFonts w:eastAsia="Times New Roman" w:cstheme="minorHAnsi"/>
                <w:color w:val="000000"/>
                <w:sz w:val="20"/>
                <w:szCs w:val="20"/>
                <w:lang w:val="es-ES" w:eastAsia="es-ES"/>
              </w:rPr>
              <w:t xml:space="preserve">Aclaración temas derivado memorando estructuración </w:t>
            </w:r>
          </w:p>
        </w:tc>
      </w:tr>
      <w:tr w:rsidR="00EB3BC8" w:rsidRPr="00AA32C5" w:rsidTr="005E52E0">
        <w:tc>
          <w:tcPr>
            <w:tcW w:w="2475" w:type="dxa"/>
          </w:tcPr>
          <w:p w:rsidR="00EB3BC8" w:rsidRPr="00AA32C5" w:rsidRDefault="00EB3BC8" w:rsidP="005E52E0">
            <w:pPr>
              <w:spacing w:after="0" w:line="240" w:lineRule="auto"/>
              <w:rPr>
                <w:rFonts w:eastAsia="Times New Roman" w:cstheme="minorHAnsi"/>
                <w:sz w:val="20"/>
                <w:szCs w:val="20"/>
                <w:lang w:val="es-ES" w:eastAsia="es-ES"/>
              </w:rPr>
            </w:pPr>
            <w:r w:rsidRPr="00AA32C5">
              <w:rPr>
                <w:rFonts w:eastAsia="Times New Roman" w:cstheme="minorHAnsi"/>
                <w:sz w:val="20"/>
                <w:szCs w:val="20"/>
                <w:lang w:val="es-ES" w:eastAsia="es-ES"/>
              </w:rPr>
              <w:t xml:space="preserve">Acta de inicio </w:t>
            </w:r>
          </w:p>
        </w:tc>
        <w:tc>
          <w:tcPr>
            <w:tcW w:w="6353" w:type="dxa"/>
          </w:tcPr>
          <w:p w:rsidR="00EB3BC8" w:rsidRPr="00AA32C5" w:rsidRDefault="00EB3BC8" w:rsidP="005E52E0">
            <w:pPr>
              <w:spacing w:after="0" w:line="240" w:lineRule="auto"/>
              <w:rPr>
                <w:rFonts w:eastAsia="Times New Roman" w:cstheme="minorHAnsi"/>
                <w:sz w:val="20"/>
                <w:szCs w:val="20"/>
                <w:lang w:val="es-ES" w:eastAsia="es-ES"/>
              </w:rPr>
            </w:pPr>
            <w:r w:rsidRPr="00AA32C5">
              <w:rPr>
                <w:rFonts w:eastAsia="Times New Roman" w:cstheme="minorHAnsi"/>
                <w:sz w:val="20"/>
                <w:szCs w:val="20"/>
                <w:lang w:val="es-ES" w:eastAsia="es-ES"/>
              </w:rPr>
              <w:t>9 de junio de 2015</w:t>
            </w:r>
          </w:p>
        </w:tc>
      </w:tr>
    </w:tbl>
    <w:p w:rsidR="00EB3BC8" w:rsidRPr="00AA32C5" w:rsidRDefault="00EB3BC8" w:rsidP="00EB3BC8">
      <w:pPr>
        <w:spacing w:after="0" w:line="240" w:lineRule="auto"/>
        <w:ind w:left="-142"/>
        <w:rPr>
          <w:rFonts w:eastAsia="Times New Roman" w:cstheme="minorHAnsi"/>
          <w:sz w:val="16"/>
          <w:szCs w:val="16"/>
          <w:lang w:val="es-ES" w:eastAsia="es-ES"/>
        </w:rPr>
      </w:pPr>
    </w:p>
    <w:tbl>
      <w:tblPr>
        <w:tblW w:w="8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3260"/>
        <w:gridCol w:w="2155"/>
      </w:tblGrid>
      <w:tr w:rsidR="00EB3BC8" w:rsidRPr="00AA32C5" w:rsidTr="005E52E0">
        <w:tc>
          <w:tcPr>
            <w:tcW w:w="8818" w:type="dxa"/>
            <w:gridSpan w:val="3"/>
          </w:tcPr>
          <w:p w:rsidR="00EB3BC8" w:rsidRPr="00AA32C5" w:rsidRDefault="00EB3BC8" w:rsidP="005E52E0">
            <w:pPr>
              <w:spacing w:after="0" w:line="240" w:lineRule="auto"/>
              <w:jc w:val="center"/>
              <w:rPr>
                <w:rFonts w:eastAsia="Times New Roman" w:cstheme="minorHAnsi"/>
                <w:b/>
                <w:sz w:val="24"/>
                <w:szCs w:val="24"/>
                <w:lang w:val="es-ES" w:eastAsia="es-ES"/>
              </w:rPr>
            </w:pPr>
            <w:r w:rsidRPr="00AA32C5">
              <w:rPr>
                <w:rFonts w:eastAsia="Times New Roman" w:cstheme="minorHAnsi"/>
                <w:b/>
                <w:sz w:val="24"/>
                <w:szCs w:val="24"/>
                <w:lang w:val="es-ES" w:eastAsia="es-ES"/>
              </w:rPr>
              <w:t>FECHAS IMPORTANTES DEL CONTRATO DE CONCESION</w:t>
            </w:r>
          </w:p>
        </w:tc>
      </w:tr>
      <w:tr w:rsidR="00EB3BC8" w:rsidRPr="00AA32C5" w:rsidTr="005E52E0">
        <w:tc>
          <w:tcPr>
            <w:tcW w:w="3403" w:type="dxa"/>
          </w:tcPr>
          <w:p w:rsidR="00EB3BC8" w:rsidRPr="00AA32C5" w:rsidRDefault="00EB3BC8" w:rsidP="005E52E0">
            <w:pPr>
              <w:spacing w:after="0" w:line="240" w:lineRule="auto"/>
              <w:jc w:val="center"/>
              <w:rPr>
                <w:rFonts w:eastAsia="Times New Roman" w:cstheme="minorHAnsi"/>
                <w:b/>
                <w:sz w:val="24"/>
                <w:szCs w:val="24"/>
                <w:lang w:val="es-ES" w:eastAsia="es-ES"/>
              </w:rPr>
            </w:pPr>
            <w:r w:rsidRPr="00AA32C5">
              <w:rPr>
                <w:rFonts w:eastAsia="Times New Roman" w:cstheme="minorHAnsi"/>
                <w:b/>
                <w:sz w:val="24"/>
                <w:szCs w:val="24"/>
                <w:lang w:val="es-ES" w:eastAsia="es-ES"/>
              </w:rPr>
              <w:t>EVENTO</w:t>
            </w:r>
          </w:p>
        </w:tc>
        <w:tc>
          <w:tcPr>
            <w:tcW w:w="3260" w:type="dxa"/>
          </w:tcPr>
          <w:p w:rsidR="00EB3BC8" w:rsidRPr="00AA32C5" w:rsidRDefault="00EB3BC8" w:rsidP="005E52E0">
            <w:pPr>
              <w:spacing w:after="0" w:line="240" w:lineRule="auto"/>
              <w:jc w:val="center"/>
              <w:rPr>
                <w:rFonts w:eastAsia="Times New Roman" w:cstheme="minorHAnsi"/>
                <w:b/>
                <w:sz w:val="24"/>
                <w:szCs w:val="24"/>
                <w:lang w:val="es-ES" w:eastAsia="es-ES"/>
              </w:rPr>
            </w:pPr>
            <w:r w:rsidRPr="00AA32C5">
              <w:rPr>
                <w:rFonts w:eastAsia="Times New Roman" w:cstheme="minorHAnsi"/>
                <w:b/>
                <w:sz w:val="24"/>
                <w:szCs w:val="24"/>
                <w:lang w:val="es-ES" w:eastAsia="es-ES"/>
              </w:rPr>
              <w:t>INICIAL</w:t>
            </w:r>
          </w:p>
        </w:tc>
        <w:tc>
          <w:tcPr>
            <w:tcW w:w="2155" w:type="dxa"/>
          </w:tcPr>
          <w:p w:rsidR="00EB3BC8" w:rsidRPr="00AA32C5" w:rsidRDefault="00EB3BC8" w:rsidP="005E52E0">
            <w:pPr>
              <w:spacing w:after="0" w:line="240" w:lineRule="auto"/>
              <w:jc w:val="center"/>
              <w:rPr>
                <w:rFonts w:eastAsia="Times New Roman" w:cstheme="minorHAnsi"/>
                <w:b/>
                <w:sz w:val="24"/>
                <w:szCs w:val="24"/>
                <w:lang w:val="es-ES" w:eastAsia="es-ES"/>
              </w:rPr>
            </w:pPr>
            <w:r w:rsidRPr="00AA32C5">
              <w:rPr>
                <w:rFonts w:eastAsia="Times New Roman" w:cstheme="minorHAnsi"/>
                <w:b/>
                <w:sz w:val="24"/>
                <w:szCs w:val="24"/>
                <w:lang w:val="es-ES" w:eastAsia="es-ES"/>
              </w:rPr>
              <w:t>ACTUAL</w:t>
            </w:r>
          </w:p>
        </w:tc>
      </w:tr>
      <w:tr w:rsidR="00EB3BC8" w:rsidRPr="00AA32C5" w:rsidTr="005E52E0">
        <w:tc>
          <w:tcPr>
            <w:tcW w:w="3403" w:type="dxa"/>
          </w:tcPr>
          <w:p w:rsidR="00EB3BC8" w:rsidRPr="00AA32C5" w:rsidRDefault="00EB3BC8" w:rsidP="005E52E0">
            <w:pPr>
              <w:spacing w:after="0" w:line="240" w:lineRule="auto"/>
              <w:rPr>
                <w:rFonts w:eastAsia="Times New Roman" w:cstheme="minorHAnsi"/>
                <w:sz w:val="24"/>
                <w:szCs w:val="24"/>
                <w:lang w:val="es-ES" w:eastAsia="es-ES"/>
              </w:rPr>
            </w:pPr>
            <w:r w:rsidRPr="00AA32C5">
              <w:rPr>
                <w:rFonts w:eastAsia="Times New Roman" w:cstheme="minorHAnsi"/>
                <w:b/>
                <w:sz w:val="24"/>
                <w:szCs w:val="24"/>
                <w:lang w:val="es-ES" w:eastAsia="es-ES"/>
              </w:rPr>
              <w:t>Firma contrato</w:t>
            </w:r>
          </w:p>
        </w:tc>
        <w:tc>
          <w:tcPr>
            <w:tcW w:w="3260" w:type="dxa"/>
          </w:tcPr>
          <w:p w:rsidR="00EB3BC8" w:rsidRPr="00AA32C5" w:rsidRDefault="00EB3BC8" w:rsidP="005E52E0">
            <w:pPr>
              <w:spacing w:after="0" w:line="240" w:lineRule="auto"/>
              <w:jc w:val="center"/>
              <w:rPr>
                <w:rFonts w:eastAsia="Times New Roman" w:cstheme="minorHAnsi"/>
                <w:lang w:val="es-ES" w:eastAsia="es-ES"/>
              </w:rPr>
            </w:pPr>
            <w:r w:rsidRPr="00AA32C5">
              <w:rPr>
                <w:rFonts w:eastAsia="Times New Roman" w:cstheme="minorHAnsi"/>
                <w:lang w:val="es-ES" w:eastAsia="es-ES"/>
              </w:rPr>
              <w:t>5 de mayo de 2015</w:t>
            </w:r>
          </w:p>
        </w:tc>
        <w:tc>
          <w:tcPr>
            <w:tcW w:w="2155" w:type="dxa"/>
          </w:tcPr>
          <w:p w:rsidR="00EB3BC8" w:rsidRPr="00AA32C5" w:rsidRDefault="00EB3BC8" w:rsidP="005E52E0">
            <w:pPr>
              <w:spacing w:after="0" w:line="240" w:lineRule="auto"/>
              <w:jc w:val="center"/>
              <w:rPr>
                <w:rFonts w:eastAsia="Times New Roman" w:cstheme="minorHAnsi"/>
                <w:lang w:val="es-ES" w:eastAsia="es-ES"/>
              </w:rPr>
            </w:pPr>
            <w:r w:rsidRPr="00AA32C5">
              <w:rPr>
                <w:rFonts w:eastAsia="Times New Roman" w:cstheme="minorHAnsi"/>
                <w:lang w:val="es-ES" w:eastAsia="es-ES"/>
              </w:rPr>
              <w:t>5 de mayo de 2015</w:t>
            </w:r>
          </w:p>
        </w:tc>
      </w:tr>
      <w:tr w:rsidR="00EB3BC8" w:rsidRPr="00AA32C5" w:rsidTr="005E52E0">
        <w:tc>
          <w:tcPr>
            <w:tcW w:w="3403" w:type="dxa"/>
          </w:tcPr>
          <w:p w:rsidR="00EB3BC8" w:rsidRPr="00AA32C5" w:rsidRDefault="00EB3BC8" w:rsidP="005E52E0">
            <w:pPr>
              <w:spacing w:after="0" w:line="240" w:lineRule="auto"/>
              <w:rPr>
                <w:rFonts w:eastAsia="Times New Roman" w:cstheme="minorHAnsi"/>
                <w:sz w:val="24"/>
                <w:szCs w:val="24"/>
                <w:lang w:val="es-ES" w:eastAsia="es-ES"/>
              </w:rPr>
            </w:pPr>
            <w:r w:rsidRPr="00AA32C5">
              <w:rPr>
                <w:rFonts w:eastAsia="Times New Roman" w:cstheme="minorHAnsi"/>
                <w:b/>
                <w:sz w:val="24"/>
                <w:szCs w:val="24"/>
                <w:lang w:val="es-ES" w:eastAsia="es-ES"/>
              </w:rPr>
              <w:t>Inicio Etapa Estudios y Diseños</w:t>
            </w:r>
          </w:p>
        </w:tc>
        <w:tc>
          <w:tcPr>
            <w:tcW w:w="3260" w:type="dxa"/>
          </w:tcPr>
          <w:p w:rsidR="00EB3BC8" w:rsidRPr="00AA32C5" w:rsidRDefault="00EB3BC8" w:rsidP="005E52E0">
            <w:pPr>
              <w:spacing w:after="0" w:line="240" w:lineRule="auto"/>
              <w:jc w:val="center"/>
              <w:rPr>
                <w:rFonts w:eastAsia="Times New Roman" w:cstheme="minorHAnsi"/>
                <w:lang w:val="es-ES" w:eastAsia="es-ES"/>
              </w:rPr>
            </w:pPr>
            <w:r w:rsidRPr="00AA32C5">
              <w:rPr>
                <w:rFonts w:eastAsia="Times New Roman" w:cstheme="minorHAnsi"/>
                <w:lang w:val="es-ES" w:eastAsia="es-ES"/>
              </w:rPr>
              <w:t>9 de junio de 2015</w:t>
            </w:r>
          </w:p>
        </w:tc>
        <w:tc>
          <w:tcPr>
            <w:tcW w:w="2155" w:type="dxa"/>
          </w:tcPr>
          <w:p w:rsidR="00EB3BC8" w:rsidRPr="00AA32C5" w:rsidRDefault="00EB3BC8" w:rsidP="005E52E0">
            <w:pPr>
              <w:spacing w:after="0" w:line="240" w:lineRule="auto"/>
              <w:jc w:val="center"/>
              <w:rPr>
                <w:rFonts w:eastAsia="Times New Roman" w:cstheme="minorHAnsi"/>
                <w:lang w:val="es-ES" w:eastAsia="es-ES"/>
              </w:rPr>
            </w:pPr>
            <w:r w:rsidRPr="00AA32C5">
              <w:rPr>
                <w:rFonts w:eastAsia="Times New Roman" w:cstheme="minorHAnsi"/>
                <w:lang w:val="es-ES" w:eastAsia="es-ES"/>
              </w:rPr>
              <w:t>9 de junio de 2015</w:t>
            </w:r>
          </w:p>
        </w:tc>
      </w:tr>
      <w:tr w:rsidR="00EB3BC8" w:rsidRPr="00AA32C5" w:rsidTr="005E52E0">
        <w:tc>
          <w:tcPr>
            <w:tcW w:w="3403" w:type="dxa"/>
          </w:tcPr>
          <w:p w:rsidR="00EB3BC8" w:rsidRPr="00AA32C5" w:rsidRDefault="00EB3BC8" w:rsidP="005E52E0">
            <w:pPr>
              <w:spacing w:after="0" w:line="240" w:lineRule="auto"/>
              <w:rPr>
                <w:rFonts w:eastAsia="Times New Roman" w:cstheme="minorHAnsi"/>
                <w:sz w:val="24"/>
                <w:szCs w:val="24"/>
                <w:lang w:val="es-ES" w:eastAsia="es-ES"/>
              </w:rPr>
            </w:pPr>
            <w:r w:rsidRPr="00AA32C5">
              <w:rPr>
                <w:rFonts w:eastAsia="Times New Roman" w:cstheme="minorHAnsi"/>
                <w:b/>
                <w:sz w:val="24"/>
                <w:szCs w:val="24"/>
                <w:lang w:val="es-ES" w:eastAsia="es-ES"/>
              </w:rPr>
              <w:t>Inicio Etapa Construcción</w:t>
            </w:r>
          </w:p>
        </w:tc>
        <w:tc>
          <w:tcPr>
            <w:tcW w:w="3260" w:type="dxa"/>
          </w:tcPr>
          <w:p w:rsidR="00EB3BC8" w:rsidRPr="00AA32C5" w:rsidRDefault="00EB3BC8" w:rsidP="005E52E0">
            <w:pPr>
              <w:spacing w:after="0" w:line="240" w:lineRule="auto"/>
              <w:jc w:val="center"/>
              <w:rPr>
                <w:rFonts w:eastAsia="Times New Roman" w:cstheme="minorHAnsi"/>
                <w:lang w:val="es-ES" w:eastAsia="es-ES"/>
              </w:rPr>
            </w:pPr>
            <w:r w:rsidRPr="00AA32C5">
              <w:rPr>
                <w:rFonts w:eastAsia="Times New Roman" w:cstheme="minorHAnsi"/>
                <w:lang w:val="es-ES" w:eastAsia="es-ES"/>
              </w:rPr>
              <w:t>9  de junio  de 2016</w:t>
            </w:r>
          </w:p>
        </w:tc>
        <w:tc>
          <w:tcPr>
            <w:tcW w:w="2155" w:type="dxa"/>
          </w:tcPr>
          <w:p w:rsidR="00EB3BC8" w:rsidRPr="00AA32C5" w:rsidRDefault="00EB3BC8" w:rsidP="005E52E0">
            <w:pPr>
              <w:spacing w:after="0" w:line="240" w:lineRule="auto"/>
              <w:jc w:val="center"/>
              <w:rPr>
                <w:rFonts w:eastAsia="Times New Roman" w:cstheme="minorHAnsi"/>
                <w:sz w:val="24"/>
                <w:szCs w:val="24"/>
                <w:lang w:val="es-ES" w:eastAsia="es-ES"/>
              </w:rPr>
            </w:pPr>
          </w:p>
        </w:tc>
      </w:tr>
      <w:tr w:rsidR="00EB3BC8" w:rsidRPr="00AA32C5" w:rsidTr="005E52E0">
        <w:tc>
          <w:tcPr>
            <w:tcW w:w="3403" w:type="dxa"/>
          </w:tcPr>
          <w:p w:rsidR="00EB3BC8" w:rsidRPr="00AA32C5" w:rsidRDefault="00EB3BC8" w:rsidP="005E52E0">
            <w:pPr>
              <w:spacing w:after="0" w:line="240" w:lineRule="auto"/>
              <w:rPr>
                <w:rFonts w:eastAsia="Times New Roman" w:cstheme="minorHAnsi"/>
                <w:sz w:val="24"/>
                <w:szCs w:val="24"/>
                <w:lang w:val="es-ES" w:eastAsia="es-ES"/>
              </w:rPr>
            </w:pPr>
            <w:r w:rsidRPr="00AA32C5">
              <w:rPr>
                <w:rFonts w:eastAsia="Times New Roman" w:cstheme="minorHAnsi"/>
                <w:b/>
                <w:sz w:val="24"/>
                <w:szCs w:val="24"/>
                <w:lang w:val="es-ES" w:eastAsia="es-ES"/>
              </w:rPr>
              <w:t>Inicio Etapa Operación</w:t>
            </w:r>
          </w:p>
        </w:tc>
        <w:tc>
          <w:tcPr>
            <w:tcW w:w="3260" w:type="dxa"/>
          </w:tcPr>
          <w:p w:rsidR="00EB3BC8" w:rsidRPr="00AA32C5" w:rsidRDefault="00EB3BC8" w:rsidP="005E52E0">
            <w:pPr>
              <w:spacing w:after="0" w:line="240" w:lineRule="auto"/>
              <w:jc w:val="center"/>
              <w:rPr>
                <w:rFonts w:eastAsia="Times New Roman" w:cstheme="minorHAnsi"/>
                <w:lang w:val="es-ES" w:eastAsia="es-ES"/>
              </w:rPr>
            </w:pPr>
            <w:r w:rsidRPr="00AA32C5">
              <w:rPr>
                <w:rFonts w:eastAsia="Times New Roman" w:cstheme="minorHAnsi"/>
                <w:lang w:val="es-ES" w:eastAsia="es-ES"/>
              </w:rPr>
              <w:t>9 junio de 2021</w:t>
            </w:r>
          </w:p>
        </w:tc>
        <w:tc>
          <w:tcPr>
            <w:tcW w:w="2155" w:type="dxa"/>
          </w:tcPr>
          <w:p w:rsidR="00EB3BC8" w:rsidRPr="00AA32C5" w:rsidRDefault="00EB3BC8" w:rsidP="005E52E0">
            <w:pPr>
              <w:spacing w:after="0" w:line="240" w:lineRule="auto"/>
              <w:jc w:val="center"/>
              <w:rPr>
                <w:rFonts w:eastAsia="Times New Roman" w:cstheme="minorHAnsi"/>
                <w:sz w:val="24"/>
                <w:szCs w:val="24"/>
                <w:lang w:val="es-ES" w:eastAsia="es-ES"/>
              </w:rPr>
            </w:pPr>
          </w:p>
        </w:tc>
      </w:tr>
      <w:tr w:rsidR="00EB3BC8" w:rsidRPr="00AA32C5" w:rsidTr="005E52E0">
        <w:tc>
          <w:tcPr>
            <w:tcW w:w="3403" w:type="dxa"/>
          </w:tcPr>
          <w:p w:rsidR="00EB3BC8" w:rsidRPr="00AA32C5" w:rsidRDefault="00EB3BC8" w:rsidP="005E52E0">
            <w:pPr>
              <w:spacing w:after="0" w:line="240" w:lineRule="auto"/>
              <w:rPr>
                <w:rFonts w:eastAsia="Times New Roman" w:cstheme="minorHAnsi"/>
                <w:sz w:val="24"/>
                <w:szCs w:val="24"/>
                <w:lang w:val="es-ES" w:eastAsia="es-ES"/>
              </w:rPr>
            </w:pPr>
            <w:r w:rsidRPr="00AA32C5">
              <w:rPr>
                <w:rFonts w:eastAsia="Times New Roman" w:cstheme="minorHAnsi"/>
                <w:b/>
                <w:sz w:val="24"/>
                <w:szCs w:val="24"/>
                <w:lang w:val="es-ES" w:eastAsia="es-ES"/>
              </w:rPr>
              <w:t>Fecha Reversión</w:t>
            </w:r>
          </w:p>
        </w:tc>
        <w:tc>
          <w:tcPr>
            <w:tcW w:w="3260" w:type="dxa"/>
          </w:tcPr>
          <w:p w:rsidR="00EB3BC8" w:rsidRPr="00AA32C5" w:rsidRDefault="00EB3BC8" w:rsidP="005E52E0">
            <w:pPr>
              <w:spacing w:after="0" w:line="240" w:lineRule="auto"/>
              <w:jc w:val="center"/>
              <w:rPr>
                <w:rFonts w:eastAsia="Times New Roman" w:cstheme="minorHAnsi"/>
                <w:lang w:val="es-ES" w:eastAsia="es-ES"/>
              </w:rPr>
            </w:pPr>
            <w:r w:rsidRPr="00AA32C5">
              <w:rPr>
                <w:rFonts w:eastAsia="Times New Roman" w:cstheme="minorHAnsi"/>
                <w:lang w:val="es-ES" w:eastAsia="es-ES"/>
              </w:rPr>
              <w:t>9 de junio de 2045</w:t>
            </w:r>
          </w:p>
        </w:tc>
        <w:tc>
          <w:tcPr>
            <w:tcW w:w="2155" w:type="dxa"/>
          </w:tcPr>
          <w:p w:rsidR="00EB3BC8" w:rsidRPr="00AA32C5" w:rsidRDefault="00EB3BC8" w:rsidP="005E52E0">
            <w:pPr>
              <w:spacing w:after="0" w:line="240" w:lineRule="auto"/>
              <w:jc w:val="center"/>
              <w:rPr>
                <w:rFonts w:eastAsia="Times New Roman" w:cstheme="minorHAnsi"/>
                <w:sz w:val="24"/>
                <w:szCs w:val="24"/>
                <w:lang w:val="es-ES" w:eastAsia="es-ES"/>
              </w:rPr>
            </w:pPr>
          </w:p>
        </w:tc>
      </w:tr>
    </w:tbl>
    <w:p w:rsidR="00EB3BC8" w:rsidRDefault="00EB3BC8" w:rsidP="00EB3BC8">
      <w:pPr>
        <w:spacing w:after="0" w:line="240" w:lineRule="auto"/>
        <w:rPr>
          <w:rFonts w:ascii="Calibri" w:eastAsia="Times New Roman" w:hAnsi="Calibri" w:cs="Arial"/>
          <w:b/>
          <w:sz w:val="24"/>
          <w:szCs w:val="24"/>
          <w:u w:val="single"/>
          <w:lang w:val="es-ES" w:eastAsia="es-ES"/>
        </w:rPr>
      </w:pPr>
    </w:p>
    <w:p w:rsidR="00EB3BC8" w:rsidRPr="00ED3031" w:rsidRDefault="00EB3BC8" w:rsidP="00EB3BC8">
      <w:pPr>
        <w:spacing w:after="0" w:line="240" w:lineRule="auto"/>
        <w:rPr>
          <w:rFonts w:ascii="Calibri" w:eastAsia="Times New Roman" w:hAnsi="Calibri" w:cs="Arial"/>
          <w:b/>
          <w:sz w:val="24"/>
          <w:szCs w:val="24"/>
          <w:u w:val="single"/>
          <w:lang w:val="es-ES" w:eastAsia="es-ES"/>
        </w:rPr>
      </w:pPr>
    </w:p>
    <w:p w:rsidR="00EB3BC8" w:rsidRPr="00AA32C5" w:rsidRDefault="00AA32C5" w:rsidP="00EB3BC8">
      <w:pPr>
        <w:spacing w:after="0" w:line="240" w:lineRule="auto"/>
        <w:rPr>
          <w:rFonts w:eastAsia="Times New Roman" w:cstheme="minorHAnsi"/>
          <w:b/>
          <w:lang w:val="es-ES" w:eastAsia="es-ES"/>
        </w:rPr>
      </w:pPr>
      <w:r w:rsidRPr="00AA32C5">
        <w:rPr>
          <w:rFonts w:eastAsia="Times New Roman" w:cstheme="minorHAnsi"/>
          <w:b/>
          <w:lang w:val="es-ES" w:eastAsia="es-ES"/>
        </w:rPr>
        <w:t>Contrato de Interventoría</w:t>
      </w:r>
    </w:p>
    <w:p w:rsidR="00EB3BC8" w:rsidRPr="00AA32C5" w:rsidRDefault="00EB3BC8" w:rsidP="00EB3BC8">
      <w:pPr>
        <w:spacing w:after="0" w:line="240" w:lineRule="auto"/>
        <w:rPr>
          <w:rFonts w:eastAsia="Times New Roman" w:cstheme="minorHAnsi"/>
          <w:b/>
          <w:lang w:val="es-ES" w:eastAsia="es-ES"/>
        </w:rPr>
      </w:pP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972"/>
        <w:gridCol w:w="2008"/>
        <w:gridCol w:w="2816"/>
      </w:tblGrid>
      <w:tr w:rsidR="00EB3BC8" w:rsidRPr="00AA32C5" w:rsidTr="005E52E0">
        <w:trPr>
          <w:jc w:val="center"/>
        </w:trPr>
        <w:tc>
          <w:tcPr>
            <w:tcW w:w="2533" w:type="dxa"/>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CONTRATO PPAL. No. y FECHA</w:t>
            </w:r>
          </w:p>
        </w:tc>
        <w:tc>
          <w:tcPr>
            <w:tcW w:w="6796" w:type="dxa"/>
            <w:gridSpan w:val="3"/>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251 de fecha 09 de junio de 2015  UNION TEMPORAL META</w:t>
            </w:r>
          </w:p>
        </w:tc>
      </w:tr>
      <w:tr w:rsidR="00EB3BC8" w:rsidRPr="00AA32C5" w:rsidTr="005E52E0">
        <w:trPr>
          <w:jc w:val="center"/>
        </w:trPr>
        <w:tc>
          <w:tcPr>
            <w:tcW w:w="2533" w:type="dxa"/>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OBJETO CONT. PPAL</w:t>
            </w:r>
          </w:p>
        </w:tc>
        <w:tc>
          <w:tcPr>
            <w:tcW w:w="6796" w:type="dxa"/>
            <w:gridSpan w:val="3"/>
          </w:tcPr>
          <w:p w:rsidR="00EB3BC8" w:rsidRPr="00AA32C5" w:rsidRDefault="00EB3BC8" w:rsidP="005E52E0">
            <w:pPr>
              <w:spacing w:after="0" w:line="240" w:lineRule="auto"/>
              <w:jc w:val="both"/>
              <w:rPr>
                <w:rFonts w:eastAsia="Times New Roman" w:cstheme="minorHAnsi"/>
                <w:lang w:val="es-ES" w:eastAsia="es-ES"/>
              </w:rPr>
            </w:pPr>
            <w:r w:rsidRPr="00AA32C5">
              <w:rPr>
                <w:rFonts w:eastAsia="Times New Roman" w:cstheme="minorHAnsi"/>
                <w:lang w:val="es-ES" w:eastAsia="es-ES"/>
              </w:rPr>
              <w:t xml:space="preserve">INTERVENTORÍA INTEGRAL QUE INCLUYE PERO NO SE LIMITA A LA INTERVENTORÍA TÉCNICA, ECONÓMICA, FINANCIERA, CONTABLE, JURÍDICA, ADMINISTRATIVA, OPERATIVA, MEDIO AMBIENTAL Y SOCIO PREDIAL DEL CONTRATO DE CONCESIÓN BAJO UN ESQUEMA DE ASOCIACIÓN PÚBLICO PRIVADA DE </w:t>
            </w:r>
            <w:r w:rsidRPr="00AA32C5">
              <w:rPr>
                <w:rFonts w:eastAsia="Times New Roman" w:cstheme="minorHAnsi"/>
                <w:b/>
                <w:lang w:val="es-ES" w:eastAsia="es-ES"/>
              </w:rPr>
              <w:t>INICIATIVA PRIVADA</w:t>
            </w:r>
            <w:r w:rsidRPr="00AA32C5">
              <w:rPr>
                <w:rFonts w:eastAsia="Times New Roman" w:cstheme="minorHAnsi"/>
                <w:lang w:val="es-ES" w:eastAsia="es-ES"/>
              </w:rPr>
              <w:t xml:space="preserve"> DEL PROYECTO DENOMINADO MALLA VIAL DEL META</w:t>
            </w:r>
          </w:p>
        </w:tc>
      </w:tr>
      <w:tr w:rsidR="00EB3BC8" w:rsidRPr="00AA32C5" w:rsidTr="005E52E0">
        <w:trPr>
          <w:jc w:val="center"/>
        </w:trPr>
        <w:tc>
          <w:tcPr>
            <w:tcW w:w="2533" w:type="dxa"/>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TRAYECTO</w:t>
            </w:r>
          </w:p>
        </w:tc>
        <w:tc>
          <w:tcPr>
            <w:tcW w:w="6796" w:type="dxa"/>
            <w:gridSpan w:val="3"/>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Granada - Villavicencio – Puerto López – Puerto Gaitán – Puente Arimena.</w:t>
            </w:r>
          </w:p>
        </w:tc>
      </w:tr>
      <w:tr w:rsidR="00EB3BC8" w:rsidRPr="00AA32C5" w:rsidTr="005E52E0">
        <w:trPr>
          <w:trHeight w:val="665"/>
          <w:jc w:val="center"/>
        </w:trPr>
        <w:tc>
          <w:tcPr>
            <w:tcW w:w="2533" w:type="dxa"/>
            <w:vMerge w:val="restart"/>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PÓLIZAS</w:t>
            </w:r>
          </w:p>
        </w:tc>
        <w:tc>
          <w:tcPr>
            <w:tcW w:w="1972"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b/>
                <w:lang w:val="es-ES" w:eastAsia="es-ES"/>
              </w:rPr>
              <w:t>AMPARO</w:t>
            </w:r>
          </w:p>
        </w:tc>
        <w:tc>
          <w:tcPr>
            <w:tcW w:w="2008"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b/>
                <w:lang w:val="es-ES" w:eastAsia="es-ES"/>
              </w:rPr>
              <w:t>NUMERO Y ASEGURADORA</w:t>
            </w:r>
          </w:p>
        </w:tc>
        <w:tc>
          <w:tcPr>
            <w:tcW w:w="2816"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b/>
                <w:lang w:val="es-ES" w:eastAsia="es-ES"/>
              </w:rPr>
              <w:t>FECHA VENCIMIENTO</w:t>
            </w:r>
          </w:p>
        </w:tc>
      </w:tr>
      <w:tr w:rsidR="00EB3BC8" w:rsidRPr="00AA32C5" w:rsidTr="005E52E0">
        <w:trPr>
          <w:jc w:val="center"/>
        </w:trPr>
        <w:tc>
          <w:tcPr>
            <w:tcW w:w="2533" w:type="dxa"/>
            <w:vMerge/>
          </w:tcPr>
          <w:p w:rsidR="00EB3BC8" w:rsidRPr="00AA32C5" w:rsidRDefault="00EB3BC8" w:rsidP="005E52E0">
            <w:pPr>
              <w:spacing w:after="0" w:line="240" w:lineRule="auto"/>
              <w:rPr>
                <w:rFonts w:eastAsia="Times New Roman" w:cstheme="minorHAnsi"/>
                <w:b/>
                <w:lang w:val="es-ES" w:eastAsia="es-ES"/>
              </w:rPr>
            </w:pPr>
          </w:p>
        </w:tc>
        <w:tc>
          <w:tcPr>
            <w:tcW w:w="1972"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color w:val="000000"/>
                <w:lang w:val="es-ES"/>
              </w:rPr>
              <w:t xml:space="preserve">Calidad </w:t>
            </w:r>
          </w:p>
        </w:tc>
        <w:tc>
          <w:tcPr>
            <w:tcW w:w="2008" w:type="dxa"/>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color w:val="000000"/>
                <w:lang w:val="es-ES"/>
              </w:rPr>
              <w:t>12-44-101018846 / Seguros del Estado</w:t>
            </w:r>
          </w:p>
        </w:tc>
        <w:tc>
          <w:tcPr>
            <w:tcW w:w="2816" w:type="dxa"/>
            <w:tcBorders>
              <w:top w:val="nil"/>
              <w:left w:val="nil"/>
              <w:bottom w:val="single" w:sz="8" w:space="0" w:color="auto"/>
              <w:right w:val="single" w:sz="8" w:space="0" w:color="auto"/>
            </w:tcBorders>
            <w:vAlign w:val="center"/>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color w:val="000000"/>
                <w:lang w:val="es-ES"/>
              </w:rPr>
              <w:t>09/06/2015 a 09/06/2017</w:t>
            </w:r>
          </w:p>
        </w:tc>
      </w:tr>
      <w:tr w:rsidR="00EB3BC8" w:rsidRPr="00AA32C5" w:rsidTr="005E52E0">
        <w:trPr>
          <w:trHeight w:val="363"/>
          <w:jc w:val="center"/>
        </w:trPr>
        <w:tc>
          <w:tcPr>
            <w:tcW w:w="2533" w:type="dxa"/>
            <w:vMerge/>
          </w:tcPr>
          <w:p w:rsidR="00EB3BC8" w:rsidRPr="00AA32C5" w:rsidRDefault="00EB3BC8" w:rsidP="005E52E0">
            <w:pPr>
              <w:spacing w:after="0" w:line="240" w:lineRule="auto"/>
              <w:rPr>
                <w:rFonts w:eastAsia="Times New Roman" w:cstheme="minorHAnsi"/>
                <w:b/>
                <w:lang w:val="es-ES" w:eastAsia="es-ES"/>
              </w:rPr>
            </w:pPr>
          </w:p>
        </w:tc>
        <w:tc>
          <w:tcPr>
            <w:tcW w:w="1972" w:type="dxa"/>
            <w:tcBorders>
              <w:top w:val="nil"/>
              <w:left w:val="single" w:sz="8" w:space="0" w:color="auto"/>
              <w:bottom w:val="single" w:sz="8" w:space="0" w:color="auto"/>
              <w:right w:val="single" w:sz="8" w:space="0" w:color="auto"/>
            </w:tcBorders>
            <w:vAlign w:val="center"/>
          </w:tcPr>
          <w:p w:rsidR="00EB3BC8" w:rsidRPr="00AA32C5" w:rsidRDefault="00EB3BC8" w:rsidP="005E52E0">
            <w:pPr>
              <w:spacing w:after="0" w:line="240" w:lineRule="auto"/>
              <w:jc w:val="both"/>
              <w:rPr>
                <w:rFonts w:eastAsia="Times New Roman" w:cstheme="minorHAnsi"/>
                <w:lang w:val="es-ES" w:eastAsia="es-ES"/>
              </w:rPr>
            </w:pPr>
            <w:r w:rsidRPr="00AA32C5">
              <w:rPr>
                <w:rFonts w:eastAsia="Times New Roman" w:cstheme="minorHAnsi"/>
                <w:color w:val="000000"/>
                <w:lang w:val="es-ES"/>
              </w:rPr>
              <w:t>Cumplimiento</w:t>
            </w:r>
          </w:p>
        </w:tc>
        <w:tc>
          <w:tcPr>
            <w:tcW w:w="2008" w:type="dxa"/>
            <w:vMerge w:val="restart"/>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color w:val="000000"/>
                <w:lang w:val="es-ES"/>
              </w:rPr>
              <w:t>3002564/ Previsora Seguros del Estado</w:t>
            </w:r>
          </w:p>
        </w:tc>
        <w:tc>
          <w:tcPr>
            <w:tcW w:w="2816" w:type="dxa"/>
            <w:tcBorders>
              <w:top w:val="nil"/>
              <w:left w:val="nil"/>
              <w:bottom w:val="single" w:sz="8" w:space="0" w:color="auto"/>
              <w:right w:val="single" w:sz="8" w:space="0" w:color="auto"/>
            </w:tcBorders>
            <w:vAlign w:val="center"/>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color w:val="000000"/>
                <w:lang w:val="es-ES"/>
              </w:rPr>
              <w:t>09/06/2015 a 09/06/2016</w:t>
            </w:r>
          </w:p>
        </w:tc>
      </w:tr>
      <w:tr w:rsidR="00EB3BC8" w:rsidRPr="00AA32C5" w:rsidTr="005E52E0">
        <w:trPr>
          <w:jc w:val="center"/>
        </w:trPr>
        <w:tc>
          <w:tcPr>
            <w:tcW w:w="2533" w:type="dxa"/>
            <w:vMerge/>
          </w:tcPr>
          <w:p w:rsidR="00EB3BC8" w:rsidRPr="00AA32C5" w:rsidRDefault="00EB3BC8" w:rsidP="005E52E0">
            <w:pPr>
              <w:spacing w:after="0" w:line="240" w:lineRule="auto"/>
              <w:rPr>
                <w:rFonts w:eastAsia="Times New Roman" w:cstheme="minorHAnsi"/>
                <w:b/>
                <w:lang w:val="es-ES" w:eastAsia="es-ES"/>
              </w:rPr>
            </w:pPr>
          </w:p>
        </w:tc>
        <w:tc>
          <w:tcPr>
            <w:tcW w:w="1972" w:type="dxa"/>
            <w:tcBorders>
              <w:top w:val="nil"/>
              <w:left w:val="single" w:sz="8" w:space="0" w:color="auto"/>
              <w:bottom w:val="single" w:sz="8" w:space="0" w:color="auto"/>
              <w:right w:val="single" w:sz="8" w:space="0" w:color="auto"/>
            </w:tcBorders>
            <w:vAlign w:val="center"/>
          </w:tcPr>
          <w:p w:rsidR="00EB3BC8" w:rsidRPr="00AA32C5" w:rsidRDefault="00EB3BC8" w:rsidP="005E52E0">
            <w:pPr>
              <w:spacing w:after="0" w:line="240" w:lineRule="auto"/>
              <w:jc w:val="both"/>
              <w:rPr>
                <w:rFonts w:eastAsia="Times New Roman" w:cstheme="minorHAnsi"/>
                <w:color w:val="000000"/>
                <w:lang w:val="es-ES"/>
              </w:rPr>
            </w:pPr>
            <w:r w:rsidRPr="00AA32C5">
              <w:rPr>
                <w:rFonts w:eastAsia="Times New Roman" w:cstheme="minorHAnsi"/>
                <w:color w:val="000000"/>
                <w:lang w:val="es-ES"/>
              </w:rPr>
              <w:t xml:space="preserve">Salarios y Prestaciones </w:t>
            </w:r>
          </w:p>
        </w:tc>
        <w:tc>
          <w:tcPr>
            <w:tcW w:w="2008" w:type="dxa"/>
            <w:vMerge/>
          </w:tcPr>
          <w:p w:rsidR="00EB3BC8" w:rsidRPr="00AA32C5" w:rsidRDefault="00EB3BC8" w:rsidP="005E52E0">
            <w:pPr>
              <w:spacing w:after="0" w:line="240" w:lineRule="auto"/>
              <w:rPr>
                <w:rFonts w:eastAsia="Times New Roman" w:cstheme="minorHAnsi"/>
                <w:lang w:val="es-ES" w:eastAsia="es-ES"/>
              </w:rPr>
            </w:pPr>
          </w:p>
        </w:tc>
        <w:tc>
          <w:tcPr>
            <w:tcW w:w="2816" w:type="dxa"/>
            <w:tcBorders>
              <w:top w:val="nil"/>
              <w:left w:val="nil"/>
              <w:bottom w:val="single" w:sz="8" w:space="0" w:color="auto"/>
              <w:right w:val="single" w:sz="8" w:space="0" w:color="auto"/>
            </w:tcBorders>
            <w:vAlign w:val="bottom"/>
          </w:tcPr>
          <w:p w:rsidR="00EB3BC8" w:rsidRPr="00AA32C5" w:rsidRDefault="00EB3BC8" w:rsidP="005E52E0">
            <w:pPr>
              <w:spacing w:after="0" w:line="240" w:lineRule="auto"/>
              <w:rPr>
                <w:rFonts w:eastAsia="Times New Roman" w:cstheme="minorHAnsi"/>
                <w:color w:val="000000"/>
                <w:lang w:val="es-ES"/>
              </w:rPr>
            </w:pPr>
            <w:r w:rsidRPr="00AA32C5">
              <w:rPr>
                <w:rFonts w:eastAsia="Times New Roman" w:cstheme="minorHAnsi"/>
                <w:color w:val="000000"/>
                <w:lang w:val="es-ES"/>
              </w:rPr>
              <w:t>09/06/2015 a 09/06/2019</w:t>
            </w:r>
          </w:p>
        </w:tc>
      </w:tr>
      <w:tr w:rsidR="00EB3BC8" w:rsidRPr="00AA32C5" w:rsidTr="005E52E0">
        <w:trPr>
          <w:jc w:val="center"/>
        </w:trPr>
        <w:tc>
          <w:tcPr>
            <w:tcW w:w="2533" w:type="dxa"/>
            <w:vMerge/>
          </w:tcPr>
          <w:p w:rsidR="00EB3BC8" w:rsidRPr="00AA32C5" w:rsidRDefault="00EB3BC8" w:rsidP="005E52E0">
            <w:pPr>
              <w:spacing w:after="0" w:line="240" w:lineRule="auto"/>
              <w:rPr>
                <w:rFonts w:eastAsia="Times New Roman" w:cstheme="minorHAnsi"/>
                <w:b/>
                <w:lang w:val="es-ES" w:eastAsia="es-ES"/>
              </w:rPr>
            </w:pPr>
          </w:p>
        </w:tc>
        <w:tc>
          <w:tcPr>
            <w:tcW w:w="6796" w:type="dxa"/>
            <w:gridSpan w:val="3"/>
            <w:tcBorders>
              <w:top w:val="nil"/>
              <w:left w:val="single" w:sz="8" w:space="0" w:color="auto"/>
              <w:bottom w:val="single" w:sz="8" w:space="0" w:color="auto"/>
              <w:right w:val="single" w:sz="8" w:space="0" w:color="auto"/>
            </w:tcBorders>
            <w:vAlign w:val="center"/>
          </w:tcPr>
          <w:p w:rsidR="00EB3BC8" w:rsidRPr="00AA32C5" w:rsidRDefault="00EB3BC8" w:rsidP="005E52E0">
            <w:pPr>
              <w:spacing w:after="0" w:line="240" w:lineRule="auto"/>
              <w:jc w:val="both"/>
              <w:rPr>
                <w:rFonts w:eastAsia="Times New Roman" w:cstheme="minorHAnsi"/>
                <w:color w:val="000000"/>
                <w:lang w:val="es-ES"/>
              </w:rPr>
            </w:pPr>
            <w:r w:rsidRPr="00AA32C5">
              <w:rPr>
                <w:rFonts w:eastAsia="Times New Roman" w:cstheme="minorHAnsi"/>
                <w:lang w:val="es-ES" w:eastAsia="es-ES"/>
              </w:rPr>
              <w:t>Pólizas aprobada el 9 de junio  de 2015</w:t>
            </w:r>
          </w:p>
        </w:tc>
      </w:tr>
      <w:tr w:rsidR="00EB3BC8" w:rsidRPr="00AA32C5" w:rsidTr="005E52E0">
        <w:trPr>
          <w:jc w:val="center"/>
        </w:trPr>
        <w:tc>
          <w:tcPr>
            <w:tcW w:w="2533" w:type="dxa"/>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lastRenderedPageBreak/>
              <w:t>PLAZO DE EJECUCIÓN ACUMULADO</w:t>
            </w:r>
          </w:p>
        </w:tc>
        <w:tc>
          <w:tcPr>
            <w:tcW w:w="6796" w:type="dxa"/>
            <w:gridSpan w:val="3"/>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 xml:space="preserve">ocho (8)  años  </w:t>
            </w:r>
          </w:p>
        </w:tc>
      </w:tr>
      <w:tr w:rsidR="00EB3BC8" w:rsidRPr="00AA32C5" w:rsidTr="005E52E0">
        <w:trPr>
          <w:jc w:val="center"/>
        </w:trPr>
        <w:tc>
          <w:tcPr>
            <w:tcW w:w="2533" w:type="dxa"/>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VALOR ACUMULADO</w:t>
            </w:r>
          </w:p>
        </w:tc>
        <w:tc>
          <w:tcPr>
            <w:tcW w:w="6796" w:type="dxa"/>
            <w:gridSpan w:val="3"/>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$ 34.695.475.764</w:t>
            </w:r>
          </w:p>
        </w:tc>
      </w:tr>
      <w:tr w:rsidR="00EB3BC8" w:rsidRPr="00AA32C5" w:rsidTr="005E52E0">
        <w:trPr>
          <w:jc w:val="center"/>
        </w:trPr>
        <w:tc>
          <w:tcPr>
            <w:tcW w:w="2533" w:type="dxa"/>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FECHA DE INICIO</w:t>
            </w:r>
          </w:p>
        </w:tc>
        <w:tc>
          <w:tcPr>
            <w:tcW w:w="6796" w:type="dxa"/>
            <w:gridSpan w:val="3"/>
          </w:tcPr>
          <w:p w:rsidR="00EB3BC8" w:rsidRPr="00AA32C5" w:rsidRDefault="00EB3BC8" w:rsidP="005E52E0">
            <w:pPr>
              <w:spacing w:after="0" w:line="240" w:lineRule="auto"/>
              <w:jc w:val="both"/>
              <w:rPr>
                <w:rFonts w:eastAsia="Times New Roman" w:cstheme="minorHAnsi"/>
                <w:lang w:val="es-ES_tradnl" w:eastAsia="es-ES"/>
              </w:rPr>
            </w:pPr>
            <w:r w:rsidRPr="00AA32C5">
              <w:rPr>
                <w:rFonts w:eastAsia="Times New Roman" w:cstheme="minorHAnsi"/>
                <w:lang w:val="es-ES_tradnl" w:eastAsia="es-ES"/>
              </w:rPr>
              <w:t xml:space="preserve"> 9 de junio de 2015</w:t>
            </w:r>
          </w:p>
        </w:tc>
      </w:tr>
      <w:tr w:rsidR="00EB3BC8" w:rsidRPr="00AA32C5" w:rsidTr="005E52E0">
        <w:trPr>
          <w:jc w:val="center"/>
        </w:trPr>
        <w:tc>
          <w:tcPr>
            <w:tcW w:w="2533" w:type="dxa"/>
          </w:tcPr>
          <w:p w:rsidR="00EB3BC8" w:rsidRPr="00AA32C5" w:rsidRDefault="00EB3BC8" w:rsidP="005E52E0">
            <w:pPr>
              <w:spacing w:after="0" w:line="240" w:lineRule="auto"/>
              <w:rPr>
                <w:rFonts w:eastAsia="Times New Roman" w:cstheme="minorHAnsi"/>
                <w:b/>
                <w:lang w:val="es-ES" w:eastAsia="es-ES"/>
              </w:rPr>
            </w:pPr>
            <w:r w:rsidRPr="00AA32C5">
              <w:rPr>
                <w:rFonts w:eastAsia="Times New Roman" w:cstheme="minorHAnsi"/>
                <w:b/>
                <w:lang w:val="es-ES" w:eastAsia="es-ES"/>
              </w:rPr>
              <w:t xml:space="preserve">FECHA DE TERMINACIÓN </w:t>
            </w:r>
          </w:p>
        </w:tc>
        <w:tc>
          <w:tcPr>
            <w:tcW w:w="6796" w:type="dxa"/>
            <w:gridSpan w:val="3"/>
            <w:vAlign w:val="center"/>
          </w:tcPr>
          <w:p w:rsidR="00EB3BC8" w:rsidRPr="00AA32C5" w:rsidRDefault="00EB3BC8" w:rsidP="005E52E0">
            <w:pPr>
              <w:spacing w:after="0" w:line="240" w:lineRule="auto"/>
              <w:rPr>
                <w:rFonts w:eastAsia="Times New Roman" w:cstheme="minorHAnsi"/>
                <w:lang w:val="es-ES" w:eastAsia="es-ES"/>
              </w:rPr>
            </w:pPr>
            <w:r w:rsidRPr="00AA32C5">
              <w:rPr>
                <w:rFonts w:eastAsia="Times New Roman" w:cstheme="minorHAnsi"/>
                <w:lang w:val="es-ES" w:eastAsia="es-ES"/>
              </w:rPr>
              <w:t xml:space="preserve"> 9 de junio de 2023</w:t>
            </w:r>
          </w:p>
        </w:tc>
      </w:tr>
    </w:tbl>
    <w:p w:rsidR="00EB3BC8" w:rsidRDefault="00EB3BC8" w:rsidP="00EB3BC8"/>
    <w:p w:rsidR="00EB3BC8" w:rsidRPr="00EE7A3E" w:rsidRDefault="00EB3BC8" w:rsidP="00EE7A3E">
      <w:pPr>
        <w:spacing w:after="0" w:line="240" w:lineRule="auto"/>
        <w:jc w:val="both"/>
        <w:rPr>
          <w:rFonts w:eastAsia="Times New Roman" w:cs="Calibri"/>
          <w:b/>
          <w:color w:val="000000"/>
          <w:u w:val="single"/>
        </w:rPr>
      </w:pPr>
      <w:r w:rsidRPr="00EE7A3E">
        <w:rPr>
          <w:rFonts w:eastAsia="Times New Roman" w:cs="Calibri"/>
          <w:b/>
          <w:color w:val="000000"/>
          <w:u w:val="single"/>
        </w:rPr>
        <w:t>GERENCIA DE PROYECTOS CARRETERO 3</w:t>
      </w:r>
    </w:p>
    <w:p w:rsidR="00EB3BC8" w:rsidRPr="005133E0" w:rsidRDefault="00EB3BC8" w:rsidP="00EB3BC8">
      <w:pPr>
        <w:spacing w:line="240" w:lineRule="auto"/>
        <w:jc w:val="both"/>
        <w:rPr>
          <w:rFonts w:ascii="Arial" w:hAnsi="Arial" w:cs="Arial"/>
        </w:rPr>
      </w:pPr>
    </w:p>
    <w:p w:rsidR="00EB3BC8" w:rsidRPr="00EE7A3E" w:rsidRDefault="00EB3BC8" w:rsidP="00EB3BC8">
      <w:pPr>
        <w:spacing w:line="240" w:lineRule="auto"/>
        <w:jc w:val="both"/>
        <w:rPr>
          <w:rFonts w:eastAsia="Times New Roman" w:cstheme="minorHAnsi"/>
          <w:b/>
          <w:lang w:val="es-ES"/>
        </w:rPr>
      </w:pPr>
      <w:r w:rsidRPr="00EE7A3E">
        <w:rPr>
          <w:rFonts w:eastAsia="Times New Roman" w:cstheme="minorHAnsi"/>
          <w:b/>
          <w:lang w:val="es-ES"/>
        </w:rPr>
        <w:t>16.  INFORME DE GESTIÓN PROYECTO MALLA VIAL DEL META</w:t>
      </w:r>
      <w:bookmarkStart w:id="264" w:name="_Toc284608482"/>
      <w:bookmarkStart w:id="265" w:name="_Toc286924766"/>
      <w:bookmarkStart w:id="266" w:name="_Toc346013783"/>
      <w:bookmarkStart w:id="267" w:name="_Toc286924765"/>
      <w:r w:rsidRPr="00EE7A3E">
        <w:rPr>
          <w:rFonts w:eastAsia="Times New Roman" w:cstheme="minorHAnsi"/>
          <w:b/>
          <w:lang w:val="es-ES"/>
        </w:rPr>
        <w:t xml:space="preserve"> (1)</w:t>
      </w:r>
    </w:p>
    <w:p w:rsidR="00EB3BC8" w:rsidRPr="005133E0" w:rsidRDefault="00EB3BC8" w:rsidP="00EB3BC8">
      <w:pPr>
        <w:spacing w:after="0" w:line="240" w:lineRule="auto"/>
        <w:jc w:val="center"/>
        <w:rPr>
          <w:rFonts w:eastAsia="Times New Roman" w:cs="Times New Roman"/>
          <w:sz w:val="24"/>
          <w:szCs w:val="24"/>
          <w:lang w:val="es-ES" w:eastAsia="es-E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954"/>
      </w:tblGrid>
      <w:tr w:rsidR="00EB3BC8" w:rsidRPr="00EE7A3E" w:rsidTr="005E52E0">
        <w:tc>
          <w:tcPr>
            <w:tcW w:w="2972" w:type="dxa"/>
            <w:shd w:val="clear" w:color="auto" w:fill="FFFFFF" w:themeFill="background1"/>
          </w:tcPr>
          <w:p w:rsidR="00EB3BC8" w:rsidRPr="00EE7A3E" w:rsidRDefault="00EB3BC8" w:rsidP="005E52E0">
            <w:pPr>
              <w:spacing w:after="0" w:line="240" w:lineRule="auto"/>
              <w:rPr>
                <w:rFonts w:eastAsia="Times New Roman" w:cstheme="minorHAnsi"/>
                <w:b/>
                <w:lang w:val="es-ES" w:eastAsia="es-ES"/>
              </w:rPr>
            </w:pPr>
            <w:r w:rsidRPr="00EE7A3E">
              <w:rPr>
                <w:rFonts w:eastAsia="Times New Roman" w:cstheme="minorHAnsi"/>
                <w:b/>
                <w:lang w:val="es-ES" w:eastAsia="es-ES"/>
              </w:rPr>
              <w:t xml:space="preserve">Datos Contrato  de Concesión </w:t>
            </w:r>
          </w:p>
        </w:tc>
        <w:tc>
          <w:tcPr>
            <w:tcW w:w="5954" w:type="dxa"/>
            <w:shd w:val="clear" w:color="auto" w:fill="FFFFFF" w:themeFill="background1"/>
          </w:tcPr>
          <w:p w:rsidR="00EB3BC8" w:rsidRPr="00EE7A3E" w:rsidRDefault="00EB3BC8" w:rsidP="005E52E0">
            <w:pPr>
              <w:spacing w:after="0" w:line="240" w:lineRule="auto"/>
              <w:jc w:val="center"/>
              <w:rPr>
                <w:rFonts w:eastAsia="Times New Roman" w:cstheme="minorHAnsi"/>
                <w:b/>
                <w:lang w:val="es-ES" w:eastAsia="es-ES"/>
              </w:rPr>
            </w:pPr>
            <w:r w:rsidRPr="00EE7A3E">
              <w:rPr>
                <w:rFonts w:eastAsia="Times New Roman" w:cstheme="minorHAnsi"/>
                <w:b/>
                <w:lang w:val="es-ES" w:eastAsia="es-ES"/>
              </w:rPr>
              <w:t>No. 446 del 02-08-1994</w:t>
            </w:r>
          </w:p>
        </w:tc>
      </w:tr>
      <w:tr w:rsidR="00EB3BC8" w:rsidRPr="00EE7A3E" w:rsidTr="005E52E0">
        <w:tc>
          <w:tcPr>
            <w:tcW w:w="2972"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Trayectos</w:t>
            </w:r>
          </w:p>
        </w:tc>
        <w:tc>
          <w:tcPr>
            <w:tcW w:w="5954" w:type="dxa"/>
          </w:tcPr>
          <w:p w:rsidR="00EB3BC8" w:rsidRPr="00EE7A3E" w:rsidRDefault="00EB3BC8" w:rsidP="005E52E0">
            <w:pPr>
              <w:spacing w:after="0" w:line="240" w:lineRule="auto"/>
              <w:ind w:right="59"/>
              <w:rPr>
                <w:rFonts w:eastAsia="Times New Roman" w:cstheme="minorHAnsi"/>
                <w:lang w:val="es-ES" w:eastAsia="es-ES"/>
              </w:rPr>
            </w:pPr>
            <w:r w:rsidRPr="00EE7A3E">
              <w:rPr>
                <w:rFonts w:eastAsia="Times New Roman" w:cstheme="minorHAnsi"/>
                <w:lang w:val="es-ES" w:eastAsia="es-ES"/>
              </w:rPr>
              <w:t>Villavicencio-Restrepo-Cumaral</w:t>
            </w:r>
          </w:p>
          <w:p w:rsidR="00EB3BC8" w:rsidRPr="00EE7A3E" w:rsidRDefault="00EB3BC8" w:rsidP="005E52E0">
            <w:pPr>
              <w:spacing w:after="0" w:line="240" w:lineRule="auto"/>
              <w:ind w:right="59"/>
              <w:rPr>
                <w:rFonts w:eastAsia="Times New Roman" w:cstheme="minorHAnsi"/>
                <w:lang w:val="es-ES" w:eastAsia="es-ES"/>
              </w:rPr>
            </w:pPr>
            <w:r w:rsidRPr="00EE7A3E">
              <w:rPr>
                <w:rFonts w:eastAsia="Times New Roman" w:cstheme="minorHAnsi"/>
                <w:lang w:val="es-ES" w:eastAsia="es-ES"/>
              </w:rPr>
              <w:t>Villavicencio-Puerto López</w:t>
            </w:r>
          </w:p>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Villavicencio-Granada</w:t>
            </w:r>
          </w:p>
        </w:tc>
      </w:tr>
      <w:tr w:rsidR="00EB3BC8" w:rsidRPr="00EE7A3E" w:rsidTr="005E52E0">
        <w:tc>
          <w:tcPr>
            <w:tcW w:w="2972"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Objeto</w:t>
            </w:r>
          </w:p>
        </w:tc>
        <w:tc>
          <w:tcPr>
            <w:tcW w:w="5954" w:type="dxa"/>
          </w:tcPr>
          <w:p w:rsidR="00EB3BC8" w:rsidRPr="00EE7A3E" w:rsidRDefault="00EB3BC8" w:rsidP="005E52E0">
            <w:pPr>
              <w:spacing w:after="0" w:line="240" w:lineRule="auto"/>
              <w:jc w:val="both"/>
              <w:rPr>
                <w:rFonts w:eastAsia="Times New Roman" w:cstheme="minorHAnsi"/>
                <w:lang w:val="es-ES_tradnl" w:eastAsia="es-ES"/>
              </w:rPr>
            </w:pPr>
            <w:r w:rsidRPr="00EE7A3E">
              <w:rPr>
                <w:rFonts w:eastAsia="Times New Roman" w:cstheme="minorHAnsi"/>
                <w:lang w:val="es-ES" w:eastAsia="es-ES"/>
              </w:rPr>
              <w:t>Realizar por el sistema de concesión los estudios, diseños definitivos, las obras de rehabilitación, la operación y el mantenimiento de las carreteras Villavicencio-Granada, Villavicencio-Puerto López y Villavicencio-Restrepo-Cumaral, en el departamento del Meta.</w:t>
            </w:r>
          </w:p>
        </w:tc>
      </w:tr>
      <w:tr w:rsidR="00EB3BC8" w:rsidRPr="00EE7A3E" w:rsidTr="005E52E0">
        <w:tc>
          <w:tcPr>
            <w:tcW w:w="2972"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CONTRATISTA</w:t>
            </w:r>
          </w:p>
        </w:tc>
        <w:tc>
          <w:tcPr>
            <w:tcW w:w="5954" w:type="dxa"/>
          </w:tcPr>
          <w:p w:rsidR="00EB3BC8" w:rsidRPr="00EE7A3E" w:rsidRDefault="00EB3BC8" w:rsidP="005E52E0">
            <w:pPr>
              <w:spacing w:after="0" w:line="240" w:lineRule="auto"/>
              <w:jc w:val="both"/>
              <w:rPr>
                <w:rFonts w:eastAsia="Times New Roman" w:cstheme="minorHAnsi"/>
                <w:b/>
                <w:lang w:val="es-ES" w:eastAsia="es-ES"/>
              </w:rPr>
            </w:pPr>
            <w:r w:rsidRPr="00EE7A3E">
              <w:rPr>
                <w:rFonts w:eastAsia="Times New Roman" w:cstheme="minorHAnsi"/>
                <w:b/>
                <w:lang w:val="es-ES" w:eastAsia="es-ES"/>
              </w:rPr>
              <w:t>AUTOPISTAS DE LOS LLANOS S.A.</w:t>
            </w:r>
          </w:p>
        </w:tc>
      </w:tr>
      <w:tr w:rsidR="00EB3BC8" w:rsidRPr="00EE7A3E" w:rsidTr="005E52E0">
        <w:tc>
          <w:tcPr>
            <w:tcW w:w="2972"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Plazo inicial</w:t>
            </w:r>
          </w:p>
        </w:tc>
        <w:tc>
          <w:tcPr>
            <w:tcW w:w="5954"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231 meses</w:t>
            </w:r>
          </w:p>
        </w:tc>
      </w:tr>
      <w:tr w:rsidR="00EB3BC8" w:rsidRPr="00EE7A3E" w:rsidTr="005E52E0">
        <w:tc>
          <w:tcPr>
            <w:tcW w:w="2972"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Costo inicial</w:t>
            </w:r>
          </w:p>
        </w:tc>
        <w:tc>
          <w:tcPr>
            <w:tcW w:w="5954"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$ 33.730´097.273 en pesos del mes JUNIO del año 1994</w:t>
            </w:r>
          </w:p>
        </w:tc>
      </w:tr>
      <w:tr w:rsidR="00EB3BC8" w:rsidRPr="00EE7A3E" w:rsidTr="005E52E0">
        <w:tc>
          <w:tcPr>
            <w:tcW w:w="2972"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Generación</w:t>
            </w:r>
          </w:p>
        </w:tc>
        <w:tc>
          <w:tcPr>
            <w:tcW w:w="5954"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Primera Generación</w:t>
            </w:r>
          </w:p>
        </w:tc>
      </w:tr>
      <w:tr w:rsidR="00EB3BC8" w:rsidRPr="00EE7A3E" w:rsidTr="005E52E0">
        <w:tc>
          <w:tcPr>
            <w:tcW w:w="2972" w:type="dxa"/>
          </w:tcPr>
          <w:p w:rsidR="00EB3BC8" w:rsidRPr="00EE7A3E" w:rsidRDefault="00EB3BC8" w:rsidP="005E52E0">
            <w:pPr>
              <w:spacing w:after="0" w:line="240" w:lineRule="auto"/>
              <w:rPr>
                <w:rFonts w:eastAsia="Times New Roman" w:cstheme="minorHAnsi"/>
                <w:highlight w:val="yellow"/>
                <w:lang w:val="es-ES" w:eastAsia="es-ES"/>
              </w:rPr>
            </w:pPr>
            <w:r w:rsidRPr="00EE7A3E">
              <w:rPr>
                <w:rFonts w:eastAsia="Times New Roman" w:cstheme="minorHAnsi"/>
                <w:lang w:val="es-ES" w:eastAsia="es-ES"/>
              </w:rPr>
              <w:t xml:space="preserve">Deuda por Garantía   </w:t>
            </w:r>
          </w:p>
        </w:tc>
        <w:tc>
          <w:tcPr>
            <w:tcW w:w="5954" w:type="dxa"/>
          </w:tcPr>
          <w:p w:rsidR="00EB3BC8" w:rsidRPr="00EE7A3E" w:rsidRDefault="00EB3BC8" w:rsidP="005E52E0">
            <w:pPr>
              <w:spacing w:after="0" w:line="240" w:lineRule="auto"/>
              <w:rPr>
                <w:rFonts w:eastAsia="Times New Roman" w:cstheme="minorHAnsi"/>
                <w:highlight w:val="yellow"/>
                <w:lang w:val="es-ES" w:eastAsia="es-ES"/>
              </w:rPr>
            </w:pPr>
            <w:r w:rsidRPr="00EE7A3E">
              <w:rPr>
                <w:rFonts w:eastAsia="Times New Roman" w:cstheme="minorHAnsi"/>
                <w:lang w:val="es-ES" w:eastAsia="es-ES"/>
              </w:rPr>
              <w:t>La deuda causada por IMG a 23 de noviembre de 2013, quedó incluida en el Otrosí No. 9.</w:t>
            </w:r>
          </w:p>
        </w:tc>
      </w:tr>
      <w:tr w:rsidR="00EB3BC8" w:rsidRPr="00EE7A3E" w:rsidTr="005E52E0">
        <w:tc>
          <w:tcPr>
            <w:tcW w:w="2972"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Ingreso Esperado</w:t>
            </w:r>
          </w:p>
        </w:tc>
        <w:tc>
          <w:tcPr>
            <w:tcW w:w="5954"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No Aplica</w:t>
            </w:r>
          </w:p>
        </w:tc>
      </w:tr>
    </w:tbl>
    <w:p w:rsidR="00EB3BC8" w:rsidRPr="00EE7A3E" w:rsidRDefault="00EB3BC8" w:rsidP="00EB3BC8">
      <w:pPr>
        <w:spacing w:after="0" w:line="240" w:lineRule="auto"/>
        <w:jc w:val="center"/>
        <w:rPr>
          <w:rFonts w:eastAsia="Times New Roman" w:cstheme="minorHAnsi"/>
          <w:sz w:val="24"/>
          <w:szCs w:val="24"/>
          <w:lang w:val="es-ES" w:eastAsia="es-ES"/>
        </w:rPr>
      </w:pPr>
    </w:p>
    <w:tbl>
      <w:tblPr>
        <w:tblW w:w="89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5"/>
        <w:gridCol w:w="3026"/>
        <w:gridCol w:w="2596"/>
      </w:tblGrid>
      <w:tr w:rsidR="00EB3BC8" w:rsidRPr="00EE7A3E" w:rsidTr="005E52E0">
        <w:trPr>
          <w:trHeight w:val="286"/>
        </w:trPr>
        <w:tc>
          <w:tcPr>
            <w:tcW w:w="8967" w:type="dxa"/>
            <w:gridSpan w:val="3"/>
          </w:tcPr>
          <w:p w:rsidR="00EB3BC8" w:rsidRPr="00EE7A3E" w:rsidRDefault="00EB3BC8" w:rsidP="005E52E0">
            <w:pPr>
              <w:spacing w:after="0" w:line="240" w:lineRule="auto"/>
              <w:jc w:val="center"/>
              <w:rPr>
                <w:rFonts w:eastAsia="Times New Roman" w:cstheme="minorHAnsi"/>
                <w:b/>
                <w:sz w:val="24"/>
                <w:szCs w:val="24"/>
                <w:lang w:val="es-ES" w:eastAsia="es-ES"/>
              </w:rPr>
            </w:pPr>
            <w:r w:rsidRPr="00EE7A3E">
              <w:rPr>
                <w:rFonts w:eastAsia="Times New Roman" w:cstheme="minorHAnsi"/>
                <w:b/>
                <w:sz w:val="24"/>
                <w:szCs w:val="24"/>
                <w:lang w:val="es-ES" w:eastAsia="es-ES"/>
              </w:rPr>
              <w:t>FECHAS IMPORTANTES DEL CONTRATO DE CONCESION</w:t>
            </w:r>
          </w:p>
        </w:tc>
      </w:tr>
      <w:tr w:rsidR="00EB3BC8" w:rsidRPr="00EE7A3E" w:rsidTr="005E52E0">
        <w:trPr>
          <w:trHeight w:val="286"/>
        </w:trPr>
        <w:tc>
          <w:tcPr>
            <w:tcW w:w="3345" w:type="dxa"/>
          </w:tcPr>
          <w:p w:rsidR="00EB3BC8" w:rsidRPr="00EE7A3E" w:rsidRDefault="00EB3BC8" w:rsidP="005E52E0">
            <w:pPr>
              <w:spacing w:after="0" w:line="240" w:lineRule="auto"/>
              <w:jc w:val="center"/>
              <w:rPr>
                <w:rFonts w:eastAsia="Times New Roman" w:cstheme="minorHAnsi"/>
                <w:b/>
                <w:sz w:val="24"/>
                <w:szCs w:val="24"/>
                <w:lang w:val="es-ES" w:eastAsia="es-ES"/>
              </w:rPr>
            </w:pPr>
            <w:r w:rsidRPr="00EE7A3E">
              <w:rPr>
                <w:rFonts w:eastAsia="Times New Roman" w:cstheme="minorHAnsi"/>
                <w:b/>
                <w:sz w:val="24"/>
                <w:szCs w:val="24"/>
                <w:lang w:val="es-ES" w:eastAsia="es-ES"/>
              </w:rPr>
              <w:t>EVENTO</w:t>
            </w:r>
          </w:p>
        </w:tc>
        <w:tc>
          <w:tcPr>
            <w:tcW w:w="3026" w:type="dxa"/>
          </w:tcPr>
          <w:p w:rsidR="00EB3BC8" w:rsidRPr="00EE7A3E" w:rsidRDefault="00EB3BC8" w:rsidP="005E52E0">
            <w:pPr>
              <w:spacing w:after="0" w:line="240" w:lineRule="auto"/>
              <w:jc w:val="center"/>
              <w:rPr>
                <w:rFonts w:eastAsia="Times New Roman" w:cstheme="minorHAnsi"/>
                <w:b/>
                <w:sz w:val="24"/>
                <w:szCs w:val="24"/>
                <w:lang w:val="es-ES" w:eastAsia="es-ES"/>
              </w:rPr>
            </w:pPr>
            <w:r w:rsidRPr="00EE7A3E">
              <w:rPr>
                <w:rFonts w:eastAsia="Times New Roman" w:cstheme="minorHAnsi"/>
                <w:b/>
                <w:sz w:val="24"/>
                <w:szCs w:val="24"/>
                <w:lang w:val="es-ES" w:eastAsia="es-ES"/>
              </w:rPr>
              <w:t>INICIAL</w:t>
            </w:r>
          </w:p>
        </w:tc>
        <w:tc>
          <w:tcPr>
            <w:tcW w:w="2595" w:type="dxa"/>
          </w:tcPr>
          <w:p w:rsidR="00EB3BC8" w:rsidRPr="00EE7A3E" w:rsidRDefault="00EB3BC8" w:rsidP="005E52E0">
            <w:pPr>
              <w:spacing w:after="0" w:line="240" w:lineRule="auto"/>
              <w:jc w:val="center"/>
              <w:rPr>
                <w:rFonts w:eastAsia="Times New Roman" w:cstheme="minorHAnsi"/>
                <w:b/>
                <w:sz w:val="24"/>
                <w:szCs w:val="24"/>
                <w:lang w:val="es-ES" w:eastAsia="es-ES"/>
              </w:rPr>
            </w:pPr>
            <w:r w:rsidRPr="00EE7A3E">
              <w:rPr>
                <w:rFonts w:eastAsia="Times New Roman" w:cstheme="minorHAnsi"/>
                <w:b/>
                <w:sz w:val="24"/>
                <w:szCs w:val="24"/>
                <w:lang w:val="es-ES" w:eastAsia="es-ES"/>
              </w:rPr>
              <w:t>ACTUAL</w:t>
            </w:r>
          </w:p>
        </w:tc>
      </w:tr>
      <w:tr w:rsidR="00EB3BC8" w:rsidRPr="00EE7A3E" w:rsidTr="005E52E0">
        <w:trPr>
          <w:trHeight w:val="301"/>
        </w:trPr>
        <w:tc>
          <w:tcPr>
            <w:tcW w:w="3345" w:type="dxa"/>
          </w:tcPr>
          <w:p w:rsidR="00EB3BC8" w:rsidRPr="00EE7A3E" w:rsidRDefault="00EB3BC8" w:rsidP="005E52E0">
            <w:pPr>
              <w:spacing w:after="0" w:line="240" w:lineRule="auto"/>
              <w:rPr>
                <w:rFonts w:eastAsia="Times New Roman" w:cstheme="minorHAnsi"/>
                <w:sz w:val="24"/>
                <w:szCs w:val="24"/>
                <w:lang w:val="es-ES" w:eastAsia="es-ES"/>
              </w:rPr>
            </w:pPr>
            <w:r w:rsidRPr="00EE7A3E">
              <w:rPr>
                <w:rFonts w:eastAsia="Times New Roman" w:cstheme="minorHAnsi"/>
                <w:b/>
                <w:sz w:val="24"/>
                <w:szCs w:val="24"/>
                <w:lang w:val="es-ES" w:eastAsia="es-ES"/>
              </w:rPr>
              <w:t>Aprobación Lic. Ambiental</w:t>
            </w:r>
          </w:p>
        </w:tc>
        <w:tc>
          <w:tcPr>
            <w:tcW w:w="3026"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3 de mayo de 1995</w:t>
            </w:r>
          </w:p>
        </w:tc>
        <w:tc>
          <w:tcPr>
            <w:tcW w:w="2595" w:type="dxa"/>
          </w:tcPr>
          <w:p w:rsidR="00EB3BC8" w:rsidRPr="00EE7A3E" w:rsidRDefault="00EB3BC8" w:rsidP="005E52E0">
            <w:pPr>
              <w:spacing w:after="0" w:line="240" w:lineRule="auto"/>
              <w:rPr>
                <w:rFonts w:eastAsia="Times New Roman" w:cstheme="minorHAnsi"/>
                <w:sz w:val="24"/>
                <w:szCs w:val="24"/>
                <w:lang w:val="es-ES" w:eastAsia="es-ES"/>
              </w:rPr>
            </w:pPr>
          </w:p>
        </w:tc>
      </w:tr>
      <w:tr w:rsidR="00EB3BC8" w:rsidRPr="00EE7A3E" w:rsidTr="005E52E0">
        <w:trPr>
          <w:trHeight w:val="286"/>
        </w:trPr>
        <w:tc>
          <w:tcPr>
            <w:tcW w:w="3345" w:type="dxa"/>
          </w:tcPr>
          <w:p w:rsidR="00EB3BC8" w:rsidRPr="00EE7A3E" w:rsidRDefault="00EB3BC8" w:rsidP="005E52E0">
            <w:pPr>
              <w:spacing w:after="0" w:line="240" w:lineRule="auto"/>
              <w:rPr>
                <w:rFonts w:eastAsia="Times New Roman" w:cstheme="minorHAnsi"/>
                <w:sz w:val="24"/>
                <w:szCs w:val="24"/>
                <w:lang w:val="es-ES" w:eastAsia="es-ES"/>
              </w:rPr>
            </w:pPr>
            <w:r w:rsidRPr="00EE7A3E">
              <w:rPr>
                <w:rFonts w:eastAsia="Times New Roman" w:cstheme="minorHAnsi"/>
                <w:b/>
                <w:sz w:val="24"/>
                <w:szCs w:val="24"/>
                <w:lang w:val="es-ES" w:eastAsia="es-ES"/>
              </w:rPr>
              <w:t>Inicio Etapa Est. y Diseños</w:t>
            </w:r>
          </w:p>
        </w:tc>
        <w:tc>
          <w:tcPr>
            <w:tcW w:w="3026"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24 de agosto de 1994</w:t>
            </w:r>
          </w:p>
        </w:tc>
        <w:tc>
          <w:tcPr>
            <w:tcW w:w="2595" w:type="dxa"/>
          </w:tcPr>
          <w:p w:rsidR="00EB3BC8" w:rsidRPr="00EE7A3E" w:rsidRDefault="00EB3BC8" w:rsidP="005E52E0">
            <w:pPr>
              <w:spacing w:after="0" w:line="240" w:lineRule="auto"/>
              <w:rPr>
                <w:rFonts w:eastAsia="Times New Roman" w:cstheme="minorHAnsi"/>
                <w:sz w:val="24"/>
                <w:szCs w:val="24"/>
                <w:lang w:val="es-ES" w:eastAsia="es-ES"/>
              </w:rPr>
            </w:pPr>
          </w:p>
        </w:tc>
      </w:tr>
      <w:tr w:rsidR="00EB3BC8" w:rsidRPr="00EE7A3E" w:rsidTr="005E52E0">
        <w:trPr>
          <w:trHeight w:val="286"/>
        </w:trPr>
        <w:tc>
          <w:tcPr>
            <w:tcW w:w="3345" w:type="dxa"/>
          </w:tcPr>
          <w:p w:rsidR="00EB3BC8" w:rsidRPr="00EE7A3E" w:rsidRDefault="00EB3BC8" w:rsidP="005E52E0">
            <w:pPr>
              <w:spacing w:after="0" w:line="240" w:lineRule="auto"/>
              <w:rPr>
                <w:rFonts w:eastAsia="Times New Roman" w:cstheme="minorHAnsi"/>
                <w:sz w:val="24"/>
                <w:szCs w:val="24"/>
                <w:lang w:val="es-ES" w:eastAsia="es-ES"/>
              </w:rPr>
            </w:pPr>
            <w:r w:rsidRPr="00EE7A3E">
              <w:rPr>
                <w:rFonts w:eastAsia="Times New Roman" w:cstheme="minorHAnsi"/>
                <w:b/>
                <w:sz w:val="24"/>
                <w:szCs w:val="24"/>
                <w:lang w:val="es-ES" w:eastAsia="es-ES"/>
              </w:rPr>
              <w:t>Inicio Etapa Construcción</w:t>
            </w:r>
          </w:p>
        </w:tc>
        <w:tc>
          <w:tcPr>
            <w:tcW w:w="3026"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28 de julio de 1995</w:t>
            </w:r>
          </w:p>
        </w:tc>
        <w:tc>
          <w:tcPr>
            <w:tcW w:w="2595" w:type="dxa"/>
          </w:tcPr>
          <w:p w:rsidR="00EB3BC8" w:rsidRPr="00EE7A3E" w:rsidRDefault="00EB3BC8" w:rsidP="005E52E0">
            <w:pPr>
              <w:spacing w:after="0" w:line="240" w:lineRule="auto"/>
              <w:rPr>
                <w:rFonts w:eastAsia="Times New Roman" w:cstheme="minorHAnsi"/>
                <w:sz w:val="24"/>
                <w:szCs w:val="24"/>
                <w:lang w:val="es-ES" w:eastAsia="es-ES"/>
              </w:rPr>
            </w:pPr>
          </w:p>
        </w:tc>
      </w:tr>
      <w:tr w:rsidR="00EB3BC8" w:rsidRPr="00EE7A3E" w:rsidTr="005E52E0">
        <w:trPr>
          <w:trHeight w:val="798"/>
        </w:trPr>
        <w:tc>
          <w:tcPr>
            <w:tcW w:w="3345" w:type="dxa"/>
          </w:tcPr>
          <w:p w:rsidR="00EB3BC8" w:rsidRPr="00EE7A3E" w:rsidRDefault="00EB3BC8" w:rsidP="005E52E0">
            <w:pPr>
              <w:spacing w:after="0" w:line="240" w:lineRule="auto"/>
              <w:rPr>
                <w:rFonts w:eastAsia="Times New Roman" w:cstheme="minorHAnsi"/>
                <w:sz w:val="24"/>
                <w:szCs w:val="24"/>
                <w:lang w:val="es-ES" w:eastAsia="es-ES"/>
              </w:rPr>
            </w:pPr>
            <w:r w:rsidRPr="00EE7A3E">
              <w:rPr>
                <w:rFonts w:eastAsia="Times New Roman" w:cstheme="minorHAnsi"/>
                <w:b/>
                <w:sz w:val="24"/>
                <w:szCs w:val="24"/>
                <w:lang w:val="es-ES" w:eastAsia="es-ES"/>
              </w:rPr>
              <w:t>Inicio Etapa Operación</w:t>
            </w:r>
          </w:p>
        </w:tc>
        <w:tc>
          <w:tcPr>
            <w:tcW w:w="3026"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 xml:space="preserve">28 de septiembre de 1996 </w:t>
            </w:r>
          </w:p>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(Tramo Villavicencio – Cumaral)</w:t>
            </w:r>
          </w:p>
        </w:tc>
        <w:tc>
          <w:tcPr>
            <w:tcW w:w="2595" w:type="dxa"/>
          </w:tcPr>
          <w:p w:rsidR="00EB3BC8" w:rsidRPr="00EE7A3E" w:rsidRDefault="00EB3BC8" w:rsidP="005E52E0">
            <w:pPr>
              <w:spacing w:after="0" w:line="240" w:lineRule="auto"/>
              <w:rPr>
                <w:rFonts w:eastAsia="Times New Roman" w:cstheme="minorHAnsi"/>
                <w:sz w:val="24"/>
                <w:szCs w:val="24"/>
                <w:lang w:val="es-ES" w:eastAsia="es-ES"/>
              </w:rPr>
            </w:pPr>
          </w:p>
        </w:tc>
      </w:tr>
      <w:tr w:rsidR="00EB3BC8" w:rsidRPr="00EE7A3E" w:rsidTr="005E52E0">
        <w:trPr>
          <w:trHeight w:val="301"/>
        </w:trPr>
        <w:tc>
          <w:tcPr>
            <w:tcW w:w="3345" w:type="dxa"/>
          </w:tcPr>
          <w:p w:rsidR="00EB3BC8" w:rsidRPr="00EE7A3E" w:rsidRDefault="00EB3BC8" w:rsidP="005E52E0">
            <w:pPr>
              <w:spacing w:after="0" w:line="240" w:lineRule="auto"/>
              <w:rPr>
                <w:rFonts w:eastAsia="Times New Roman" w:cstheme="minorHAnsi"/>
                <w:sz w:val="24"/>
                <w:szCs w:val="24"/>
                <w:lang w:val="es-ES" w:eastAsia="es-ES"/>
              </w:rPr>
            </w:pPr>
            <w:r w:rsidRPr="00EE7A3E">
              <w:rPr>
                <w:rFonts w:eastAsia="Times New Roman" w:cstheme="minorHAnsi"/>
                <w:b/>
                <w:sz w:val="24"/>
                <w:szCs w:val="24"/>
                <w:lang w:val="es-ES" w:eastAsia="es-ES"/>
              </w:rPr>
              <w:t xml:space="preserve">Fecha terminación </w:t>
            </w:r>
          </w:p>
        </w:tc>
        <w:tc>
          <w:tcPr>
            <w:tcW w:w="3026" w:type="dxa"/>
          </w:tcPr>
          <w:p w:rsidR="00EB3BC8" w:rsidRPr="00EE7A3E" w:rsidRDefault="00EB3BC8" w:rsidP="005E52E0">
            <w:pPr>
              <w:spacing w:after="0" w:line="240" w:lineRule="auto"/>
              <w:rPr>
                <w:rFonts w:eastAsia="Times New Roman" w:cstheme="minorHAnsi"/>
                <w:lang w:val="es-ES" w:eastAsia="es-ES"/>
              </w:rPr>
            </w:pPr>
            <w:r w:rsidRPr="00EE7A3E">
              <w:rPr>
                <w:rFonts w:eastAsia="Times New Roman" w:cstheme="minorHAnsi"/>
                <w:lang w:val="es-ES" w:eastAsia="es-ES"/>
              </w:rPr>
              <w:t>23 de noviembre de 2013</w:t>
            </w:r>
          </w:p>
        </w:tc>
        <w:tc>
          <w:tcPr>
            <w:tcW w:w="2595" w:type="dxa"/>
          </w:tcPr>
          <w:p w:rsidR="00EB3BC8" w:rsidRPr="00EE7A3E" w:rsidRDefault="00EB3BC8" w:rsidP="005E52E0">
            <w:pPr>
              <w:spacing w:after="0" w:line="240" w:lineRule="auto"/>
              <w:rPr>
                <w:rFonts w:eastAsia="Times New Roman" w:cstheme="minorHAnsi"/>
                <w:sz w:val="24"/>
                <w:szCs w:val="24"/>
                <w:lang w:val="es-ES" w:eastAsia="es-ES"/>
              </w:rPr>
            </w:pPr>
            <w:r w:rsidRPr="00EE7A3E">
              <w:rPr>
                <w:rFonts w:eastAsia="Times New Roman" w:cstheme="minorHAnsi"/>
                <w:lang w:val="es-ES" w:eastAsia="es-ES"/>
              </w:rPr>
              <w:t>20 de octubre de 2015</w:t>
            </w:r>
          </w:p>
        </w:tc>
      </w:tr>
      <w:tr w:rsidR="00EB3BC8" w:rsidRPr="00EE7A3E" w:rsidTr="005E52E0">
        <w:trPr>
          <w:trHeight w:val="452"/>
        </w:trPr>
        <w:tc>
          <w:tcPr>
            <w:tcW w:w="8967" w:type="dxa"/>
            <w:gridSpan w:val="3"/>
          </w:tcPr>
          <w:p w:rsidR="00EB3BC8" w:rsidRPr="00EE7A3E" w:rsidRDefault="00EB3BC8" w:rsidP="005E52E0">
            <w:pPr>
              <w:spacing w:after="0" w:line="240" w:lineRule="auto"/>
              <w:jc w:val="both"/>
              <w:rPr>
                <w:rFonts w:eastAsia="Times New Roman" w:cstheme="minorHAnsi"/>
                <w:b/>
                <w:sz w:val="16"/>
                <w:szCs w:val="16"/>
                <w:lang w:val="es-ES" w:eastAsia="es-ES"/>
              </w:rPr>
            </w:pPr>
          </w:p>
          <w:p w:rsidR="00EB3BC8" w:rsidRPr="00EE7A3E" w:rsidRDefault="00EB3BC8" w:rsidP="005E52E0">
            <w:pPr>
              <w:spacing w:after="0" w:line="240" w:lineRule="auto"/>
              <w:jc w:val="both"/>
              <w:rPr>
                <w:rFonts w:eastAsia="Times New Roman" w:cstheme="minorHAnsi"/>
                <w:sz w:val="16"/>
                <w:szCs w:val="16"/>
                <w:lang w:val="es-ES" w:eastAsia="es-ES"/>
              </w:rPr>
            </w:pPr>
            <w:r w:rsidRPr="00EE7A3E">
              <w:rPr>
                <w:rFonts w:eastAsia="Times New Roman" w:cstheme="minorHAnsi"/>
                <w:b/>
                <w:lang w:val="es-ES" w:eastAsia="es-ES"/>
              </w:rPr>
              <w:t>TOTAL INVERSIÓN PROYECTO MALLA VIAL DEL META            $ 43.807.344.682</w:t>
            </w:r>
            <w:r w:rsidRPr="00EE7A3E">
              <w:rPr>
                <w:rFonts w:eastAsia="Times New Roman" w:cstheme="minorHAnsi"/>
                <w:b/>
                <w:bCs/>
                <w:color w:val="000000"/>
                <w:lang w:val="es-ES" w:eastAsia="es-ES"/>
              </w:rPr>
              <w:t xml:space="preserve"> </w:t>
            </w:r>
            <w:r w:rsidRPr="00EE7A3E">
              <w:rPr>
                <w:rFonts w:eastAsia="Times New Roman" w:cstheme="minorHAnsi"/>
                <w:b/>
                <w:lang w:val="es-ES" w:eastAsia="es-ES"/>
              </w:rPr>
              <w:t xml:space="preserve"> de junio de 1994</w:t>
            </w:r>
          </w:p>
        </w:tc>
      </w:tr>
    </w:tbl>
    <w:p w:rsidR="00EB3BC8" w:rsidRPr="005133E0" w:rsidRDefault="00EB3BC8" w:rsidP="00EB3BC8">
      <w:pPr>
        <w:spacing w:after="0" w:line="240" w:lineRule="auto"/>
        <w:rPr>
          <w:rFonts w:ascii="Calibri" w:eastAsia="Times New Roman" w:hAnsi="Calibri" w:cs="Times New Roman"/>
          <w:sz w:val="24"/>
          <w:szCs w:val="24"/>
          <w:lang w:val="es-ES" w:eastAsia="es-ES"/>
        </w:rPr>
      </w:pPr>
    </w:p>
    <w:p w:rsidR="00EB3BC8" w:rsidRPr="005133E0" w:rsidRDefault="00EB3BC8" w:rsidP="00EB3BC8">
      <w:pPr>
        <w:spacing w:after="0" w:line="240" w:lineRule="auto"/>
        <w:jc w:val="center"/>
        <w:rPr>
          <w:rFonts w:eastAsia="Times New Roman" w:cs="Times New Roman"/>
          <w:sz w:val="24"/>
          <w:szCs w:val="24"/>
          <w:lang w:val="es-ES" w:eastAsia="es-ES"/>
        </w:rPr>
      </w:pPr>
    </w:p>
    <w:p w:rsidR="00EB3BC8" w:rsidRPr="00FC5BDE" w:rsidRDefault="00FC5BDE" w:rsidP="00FC5BDE">
      <w:pPr>
        <w:spacing w:after="0" w:line="240" w:lineRule="auto"/>
        <w:contextualSpacing/>
        <w:rPr>
          <w:rFonts w:eastAsia="Times New Roman" w:cstheme="minorHAnsi"/>
          <w:b/>
          <w:lang w:val="es-ES" w:eastAsia="es-ES"/>
        </w:rPr>
      </w:pPr>
      <w:r w:rsidRPr="00FC5BDE">
        <w:rPr>
          <w:rFonts w:eastAsia="Times New Roman" w:cstheme="minorHAnsi"/>
          <w:b/>
          <w:lang w:val="es-ES" w:eastAsia="es-ES"/>
        </w:rPr>
        <w:t>Contrato de Interventoría</w:t>
      </w:r>
    </w:p>
    <w:p w:rsidR="00EB3BC8" w:rsidRPr="005133E0" w:rsidRDefault="00EB3BC8" w:rsidP="00EB3BC8">
      <w:pPr>
        <w:spacing w:after="0" w:line="240" w:lineRule="auto"/>
        <w:rPr>
          <w:rFonts w:ascii="Calibri" w:eastAsia="Times New Roman" w:hAnsi="Calibri" w:cs="Times New Roman"/>
          <w:b/>
          <w:lang w:val="es-ES" w:eastAsia="es-ES"/>
        </w:rPr>
      </w:pP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9"/>
        <w:gridCol w:w="2174"/>
        <w:gridCol w:w="1940"/>
        <w:gridCol w:w="2467"/>
      </w:tblGrid>
      <w:tr w:rsidR="00EB3BC8" w:rsidRPr="005133E0" w:rsidTr="005E52E0">
        <w:trPr>
          <w:trHeight w:val="551"/>
          <w:jc w:val="center"/>
        </w:trPr>
        <w:tc>
          <w:tcPr>
            <w:tcW w:w="2447" w:type="dxa"/>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CONTRATO PPAL. No. y FECHA</w:t>
            </w:r>
          </w:p>
        </w:tc>
        <w:tc>
          <w:tcPr>
            <w:tcW w:w="6589" w:type="dxa"/>
            <w:gridSpan w:val="4"/>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lang w:val="es-ES" w:eastAsia="es-ES"/>
              </w:rPr>
              <w:t xml:space="preserve">046 de fecha 09 de junio de 2014  </w:t>
            </w:r>
            <w:r w:rsidRPr="009448DB">
              <w:rPr>
                <w:rFonts w:eastAsia="Times New Roman" w:cstheme="minorHAnsi"/>
                <w:b/>
                <w:u w:val="single"/>
                <w:lang w:val="es-ES" w:eastAsia="es-ES"/>
              </w:rPr>
              <w:t>CONSORCIO MALLA VIAL DEL META</w:t>
            </w:r>
          </w:p>
        </w:tc>
      </w:tr>
      <w:tr w:rsidR="00EB3BC8" w:rsidRPr="005133E0" w:rsidTr="005E52E0">
        <w:trPr>
          <w:trHeight w:val="2467"/>
          <w:jc w:val="center"/>
        </w:trPr>
        <w:tc>
          <w:tcPr>
            <w:tcW w:w="2447" w:type="dxa"/>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lastRenderedPageBreak/>
              <w:t>OBJETO CONT. PPAL</w:t>
            </w:r>
          </w:p>
        </w:tc>
        <w:tc>
          <w:tcPr>
            <w:tcW w:w="6589" w:type="dxa"/>
            <w:gridSpan w:val="4"/>
          </w:tcPr>
          <w:p w:rsidR="00EB3BC8" w:rsidRPr="009448DB" w:rsidRDefault="00EB3BC8" w:rsidP="005E52E0">
            <w:pPr>
              <w:spacing w:after="0" w:line="240" w:lineRule="auto"/>
              <w:jc w:val="both"/>
              <w:rPr>
                <w:rFonts w:eastAsia="Times New Roman" w:cstheme="minorHAnsi"/>
                <w:lang w:val="es-ES" w:eastAsia="es-ES"/>
              </w:rPr>
            </w:pPr>
            <w:r w:rsidRPr="009448DB">
              <w:rPr>
                <w:rFonts w:eastAsia="Times New Roman" w:cstheme="minorHAnsi"/>
                <w:lang w:val="es-ES" w:eastAsia="es-ES"/>
              </w:rPr>
              <w:t>Regular los términos y condiciones bajó los cuales el Interventor se obliga a ejecutar para la AGENCIA la interventoría integral del Contrato de Concesión, que incluye pero no se limita a la interventoría técnica, financiera, contable, administrativa, jurídica, medioambiental y socio-predial, al siguiente contrato de concesión suscritos por el INCO, hoy por la Agencia Nacional de Infraestructura al Contrato de Concesión No. 446 de 1994 y demás documentos que lo modifiquen, adicionen o complementen para la Concesión Malla Vial del Meta, (el “Contrato de Concesión”).</w:t>
            </w:r>
          </w:p>
        </w:tc>
      </w:tr>
      <w:tr w:rsidR="00EB3BC8" w:rsidRPr="005133E0" w:rsidTr="005E52E0">
        <w:trPr>
          <w:trHeight w:val="260"/>
          <w:jc w:val="center"/>
        </w:trPr>
        <w:tc>
          <w:tcPr>
            <w:tcW w:w="2447" w:type="dxa"/>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 xml:space="preserve">PLAZO DE EJECUCIÓN </w:t>
            </w:r>
          </w:p>
        </w:tc>
        <w:tc>
          <w:tcPr>
            <w:tcW w:w="6589" w:type="dxa"/>
            <w:gridSpan w:val="4"/>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lang w:val="es-ES" w:eastAsia="es-ES"/>
              </w:rPr>
              <w:t xml:space="preserve">11 meses inicial </w:t>
            </w:r>
          </w:p>
        </w:tc>
      </w:tr>
      <w:tr w:rsidR="00EB3BC8" w:rsidRPr="005133E0" w:rsidTr="005E52E0">
        <w:trPr>
          <w:trHeight w:val="275"/>
          <w:jc w:val="center"/>
        </w:trPr>
        <w:tc>
          <w:tcPr>
            <w:tcW w:w="2447" w:type="dxa"/>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VALOR DEL CONTRATO</w:t>
            </w:r>
          </w:p>
        </w:tc>
        <w:tc>
          <w:tcPr>
            <w:tcW w:w="6589" w:type="dxa"/>
            <w:gridSpan w:val="4"/>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lang w:val="es-ES" w:eastAsia="es-ES"/>
              </w:rPr>
              <w:t>$ 841.097.440 pesos corrientes incluido IVA</w:t>
            </w:r>
          </w:p>
        </w:tc>
      </w:tr>
      <w:tr w:rsidR="00EB3BC8" w:rsidRPr="005133E0" w:rsidTr="005E52E0">
        <w:trPr>
          <w:trHeight w:val="536"/>
          <w:jc w:val="center"/>
        </w:trPr>
        <w:tc>
          <w:tcPr>
            <w:tcW w:w="9037" w:type="dxa"/>
            <w:gridSpan w:val="5"/>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DOCUMENTOS MODIFICATORIOS DEL CONTRATO PRINCIPAL (ADICIONALES, OTRO SIES, ETC, QUE CAMBIEN EL OBJETO, PLAZO, Y/O VALOR DEL PROYECTO</w:t>
            </w:r>
          </w:p>
        </w:tc>
      </w:tr>
      <w:tr w:rsidR="00EB3BC8" w:rsidRPr="005133E0" w:rsidTr="005E52E0">
        <w:trPr>
          <w:trHeight w:val="275"/>
          <w:jc w:val="center"/>
        </w:trPr>
        <w:tc>
          <w:tcPr>
            <w:tcW w:w="2456" w:type="dxa"/>
            <w:gridSpan w:val="2"/>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Fecha</w:t>
            </w:r>
          </w:p>
        </w:tc>
        <w:tc>
          <w:tcPr>
            <w:tcW w:w="6580" w:type="dxa"/>
            <w:gridSpan w:val="3"/>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lang w:val="es-ES" w:eastAsia="es-ES"/>
              </w:rPr>
              <w:t>13 mayo de 2015</w:t>
            </w:r>
          </w:p>
        </w:tc>
      </w:tr>
      <w:tr w:rsidR="00EB3BC8" w:rsidRPr="005133E0" w:rsidTr="005E52E0">
        <w:trPr>
          <w:trHeight w:val="275"/>
          <w:jc w:val="center"/>
        </w:trPr>
        <w:tc>
          <w:tcPr>
            <w:tcW w:w="2456" w:type="dxa"/>
            <w:gridSpan w:val="2"/>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Valor</w:t>
            </w:r>
          </w:p>
        </w:tc>
        <w:tc>
          <w:tcPr>
            <w:tcW w:w="6580" w:type="dxa"/>
            <w:gridSpan w:val="3"/>
          </w:tcPr>
          <w:p w:rsidR="00EB3BC8" w:rsidRPr="009448DB" w:rsidRDefault="00EB3BC8" w:rsidP="005E52E0">
            <w:pPr>
              <w:spacing w:after="0" w:line="240" w:lineRule="auto"/>
              <w:rPr>
                <w:rFonts w:eastAsia="Times New Roman" w:cstheme="minorHAnsi"/>
                <w:lang w:val="es-ES" w:eastAsia="es-ES"/>
              </w:rPr>
            </w:pPr>
          </w:p>
        </w:tc>
      </w:tr>
      <w:tr w:rsidR="00EB3BC8" w:rsidRPr="005133E0" w:rsidTr="005E52E0">
        <w:trPr>
          <w:trHeight w:val="260"/>
          <w:jc w:val="center"/>
        </w:trPr>
        <w:tc>
          <w:tcPr>
            <w:tcW w:w="2456" w:type="dxa"/>
            <w:gridSpan w:val="2"/>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Objeto</w:t>
            </w:r>
          </w:p>
        </w:tc>
        <w:tc>
          <w:tcPr>
            <w:tcW w:w="6580" w:type="dxa"/>
            <w:gridSpan w:val="3"/>
          </w:tcPr>
          <w:p w:rsidR="00EB3BC8" w:rsidRPr="009448DB" w:rsidRDefault="00EB3BC8" w:rsidP="005E52E0">
            <w:pPr>
              <w:spacing w:after="0" w:line="240" w:lineRule="auto"/>
              <w:jc w:val="both"/>
              <w:rPr>
                <w:rFonts w:eastAsia="Times New Roman" w:cstheme="minorHAnsi"/>
                <w:lang w:val="es-ES" w:eastAsia="es-ES"/>
              </w:rPr>
            </w:pPr>
            <w:r w:rsidRPr="009448DB">
              <w:rPr>
                <w:rFonts w:eastAsia="Times New Roman" w:cstheme="minorHAnsi"/>
                <w:lang w:val="es-ES" w:eastAsia="es-ES"/>
              </w:rPr>
              <w:t xml:space="preserve">Ampliación  plazo para reversión </w:t>
            </w:r>
          </w:p>
        </w:tc>
      </w:tr>
      <w:tr w:rsidR="00EB3BC8" w:rsidRPr="005133E0" w:rsidTr="005E52E0">
        <w:trPr>
          <w:trHeight w:val="275"/>
          <w:jc w:val="center"/>
        </w:trPr>
        <w:tc>
          <w:tcPr>
            <w:tcW w:w="2456" w:type="dxa"/>
            <w:gridSpan w:val="2"/>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Plazo</w:t>
            </w:r>
          </w:p>
        </w:tc>
        <w:tc>
          <w:tcPr>
            <w:tcW w:w="6580" w:type="dxa"/>
            <w:gridSpan w:val="3"/>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lang w:val="es-ES" w:eastAsia="es-ES"/>
              </w:rPr>
              <w:t>9 meses</w:t>
            </w:r>
          </w:p>
        </w:tc>
      </w:tr>
      <w:tr w:rsidR="00EB3BC8" w:rsidRPr="005133E0" w:rsidTr="005E52E0">
        <w:trPr>
          <w:trHeight w:val="536"/>
          <w:jc w:val="center"/>
        </w:trPr>
        <w:tc>
          <w:tcPr>
            <w:tcW w:w="2447" w:type="dxa"/>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TRAYECTO</w:t>
            </w:r>
          </w:p>
        </w:tc>
        <w:tc>
          <w:tcPr>
            <w:tcW w:w="6589" w:type="dxa"/>
            <w:gridSpan w:val="4"/>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lang w:val="es-ES" w:eastAsia="es-ES"/>
              </w:rPr>
              <w:t>Villavicencio – Granada, Villavicencio – Puerto López, Villavicencio – Cumaral.</w:t>
            </w:r>
          </w:p>
        </w:tc>
      </w:tr>
      <w:tr w:rsidR="00EB3BC8" w:rsidRPr="005133E0" w:rsidTr="005E52E0">
        <w:trPr>
          <w:trHeight w:val="551"/>
          <w:jc w:val="center"/>
        </w:trPr>
        <w:tc>
          <w:tcPr>
            <w:tcW w:w="2447" w:type="dxa"/>
            <w:vMerge w:val="restart"/>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PÓLIZAS</w:t>
            </w:r>
          </w:p>
        </w:tc>
        <w:tc>
          <w:tcPr>
            <w:tcW w:w="2183" w:type="dxa"/>
            <w:gridSpan w:val="2"/>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b/>
                <w:lang w:val="es-ES" w:eastAsia="es-ES"/>
              </w:rPr>
              <w:t>AMPARO</w:t>
            </w:r>
          </w:p>
        </w:tc>
        <w:tc>
          <w:tcPr>
            <w:tcW w:w="1940" w:type="dxa"/>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b/>
                <w:lang w:val="es-ES" w:eastAsia="es-ES"/>
              </w:rPr>
              <w:t>NUMERO Y ASEGURADORA</w:t>
            </w:r>
          </w:p>
        </w:tc>
        <w:tc>
          <w:tcPr>
            <w:tcW w:w="2465" w:type="dxa"/>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b/>
                <w:lang w:val="es-ES" w:eastAsia="es-ES"/>
              </w:rPr>
              <w:t>FECHA VENCIMIENTO</w:t>
            </w:r>
          </w:p>
        </w:tc>
      </w:tr>
      <w:tr w:rsidR="00EB3BC8" w:rsidRPr="005133E0" w:rsidTr="005E52E0">
        <w:trPr>
          <w:trHeight w:val="827"/>
          <w:jc w:val="center"/>
        </w:trPr>
        <w:tc>
          <w:tcPr>
            <w:tcW w:w="2447" w:type="dxa"/>
            <w:vMerge/>
          </w:tcPr>
          <w:p w:rsidR="00EB3BC8" w:rsidRPr="009448DB" w:rsidRDefault="00EB3BC8" w:rsidP="005E52E0">
            <w:pPr>
              <w:spacing w:after="0" w:line="240" w:lineRule="auto"/>
              <w:rPr>
                <w:rFonts w:eastAsia="Times New Roman" w:cstheme="minorHAnsi"/>
                <w:b/>
                <w:lang w:val="es-ES" w:eastAsia="es-ES"/>
              </w:rPr>
            </w:pPr>
          </w:p>
        </w:tc>
        <w:tc>
          <w:tcPr>
            <w:tcW w:w="2183" w:type="dxa"/>
            <w:gridSpan w:val="2"/>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color w:val="000000"/>
                <w:lang w:val="es-ES"/>
              </w:rPr>
              <w:t>Responsabilidad Civil Extracontractual</w:t>
            </w:r>
          </w:p>
        </w:tc>
        <w:tc>
          <w:tcPr>
            <w:tcW w:w="1940" w:type="dxa"/>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color w:val="000000"/>
                <w:lang w:val="es-ES"/>
              </w:rPr>
              <w:t xml:space="preserve">12-44-101018846 / Seguros del Estado S.A. </w:t>
            </w:r>
          </w:p>
        </w:tc>
        <w:tc>
          <w:tcPr>
            <w:tcW w:w="2465" w:type="dxa"/>
            <w:tcBorders>
              <w:top w:val="nil"/>
              <w:left w:val="nil"/>
              <w:bottom w:val="single" w:sz="8" w:space="0" w:color="auto"/>
              <w:right w:val="single" w:sz="8" w:space="0" w:color="auto"/>
            </w:tcBorders>
            <w:vAlign w:val="center"/>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color w:val="000000"/>
                <w:lang w:val="es-ES"/>
              </w:rPr>
              <w:t>11/06/2014 a 20/05/2015</w:t>
            </w:r>
          </w:p>
        </w:tc>
      </w:tr>
      <w:tr w:rsidR="00EB3BC8" w:rsidRPr="005133E0" w:rsidTr="005E52E0">
        <w:trPr>
          <w:trHeight w:val="370"/>
          <w:jc w:val="center"/>
        </w:trPr>
        <w:tc>
          <w:tcPr>
            <w:tcW w:w="2447" w:type="dxa"/>
            <w:vMerge/>
          </w:tcPr>
          <w:p w:rsidR="00EB3BC8" w:rsidRPr="009448DB" w:rsidRDefault="00EB3BC8" w:rsidP="005E52E0">
            <w:pPr>
              <w:spacing w:after="0" w:line="240" w:lineRule="auto"/>
              <w:rPr>
                <w:rFonts w:eastAsia="Times New Roman" w:cstheme="minorHAnsi"/>
                <w:b/>
                <w:lang w:val="es-ES" w:eastAsia="es-ES"/>
              </w:rPr>
            </w:pPr>
          </w:p>
        </w:tc>
        <w:tc>
          <w:tcPr>
            <w:tcW w:w="2183" w:type="dxa"/>
            <w:gridSpan w:val="2"/>
            <w:tcBorders>
              <w:top w:val="nil"/>
              <w:left w:val="single" w:sz="8" w:space="0" w:color="auto"/>
              <w:bottom w:val="single" w:sz="8" w:space="0" w:color="auto"/>
              <w:right w:val="single" w:sz="8" w:space="0" w:color="auto"/>
            </w:tcBorders>
            <w:vAlign w:val="center"/>
          </w:tcPr>
          <w:p w:rsidR="00EB3BC8" w:rsidRPr="009448DB" w:rsidRDefault="00EB3BC8" w:rsidP="005E52E0">
            <w:pPr>
              <w:spacing w:after="0" w:line="240" w:lineRule="auto"/>
              <w:jc w:val="both"/>
              <w:rPr>
                <w:rFonts w:eastAsia="Times New Roman" w:cstheme="minorHAnsi"/>
                <w:lang w:val="es-ES" w:eastAsia="es-ES"/>
              </w:rPr>
            </w:pPr>
            <w:r w:rsidRPr="009448DB">
              <w:rPr>
                <w:rFonts w:eastAsia="Times New Roman" w:cstheme="minorHAnsi"/>
                <w:color w:val="000000"/>
                <w:lang w:val="es-ES"/>
              </w:rPr>
              <w:t>Cumplimiento</w:t>
            </w:r>
          </w:p>
        </w:tc>
        <w:tc>
          <w:tcPr>
            <w:tcW w:w="1940" w:type="dxa"/>
            <w:vMerge w:val="restart"/>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color w:val="000000"/>
                <w:lang w:val="es-ES"/>
              </w:rPr>
              <w:t>12-44-101102137 / Seguros del Estado S.A. Anexos 4</w:t>
            </w:r>
          </w:p>
        </w:tc>
        <w:tc>
          <w:tcPr>
            <w:tcW w:w="2465" w:type="dxa"/>
            <w:tcBorders>
              <w:top w:val="nil"/>
              <w:left w:val="nil"/>
              <w:bottom w:val="single" w:sz="8" w:space="0" w:color="auto"/>
              <w:right w:val="single" w:sz="8" w:space="0" w:color="auto"/>
            </w:tcBorders>
            <w:vAlign w:val="center"/>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color w:val="000000"/>
                <w:lang w:val="es-ES"/>
              </w:rPr>
              <w:t>11/06/2014 a 20/05/2015</w:t>
            </w:r>
          </w:p>
        </w:tc>
      </w:tr>
      <w:tr w:rsidR="00EB3BC8" w:rsidRPr="005133E0" w:rsidTr="005E52E0">
        <w:trPr>
          <w:trHeight w:val="291"/>
          <w:jc w:val="center"/>
        </w:trPr>
        <w:tc>
          <w:tcPr>
            <w:tcW w:w="2447" w:type="dxa"/>
            <w:vMerge/>
          </w:tcPr>
          <w:p w:rsidR="00EB3BC8" w:rsidRPr="009448DB" w:rsidRDefault="00EB3BC8" w:rsidP="005E52E0">
            <w:pPr>
              <w:spacing w:after="0" w:line="240" w:lineRule="auto"/>
              <w:rPr>
                <w:rFonts w:eastAsia="Times New Roman" w:cstheme="minorHAnsi"/>
                <w:b/>
                <w:lang w:val="es-ES" w:eastAsia="es-ES"/>
              </w:rPr>
            </w:pPr>
          </w:p>
        </w:tc>
        <w:tc>
          <w:tcPr>
            <w:tcW w:w="2183" w:type="dxa"/>
            <w:gridSpan w:val="2"/>
            <w:tcBorders>
              <w:top w:val="nil"/>
              <w:left w:val="single" w:sz="8" w:space="0" w:color="auto"/>
              <w:bottom w:val="single" w:sz="8" w:space="0" w:color="auto"/>
              <w:right w:val="single" w:sz="8" w:space="0" w:color="auto"/>
            </w:tcBorders>
            <w:vAlign w:val="center"/>
          </w:tcPr>
          <w:p w:rsidR="00EB3BC8" w:rsidRPr="009448DB" w:rsidRDefault="00EB3BC8" w:rsidP="005E52E0">
            <w:pPr>
              <w:spacing w:after="0" w:line="240" w:lineRule="auto"/>
              <w:jc w:val="both"/>
              <w:rPr>
                <w:rFonts w:eastAsia="Times New Roman" w:cstheme="minorHAnsi"/>
                <w:color w:val="000000"/>
                <w:lang w:val="es-ES"/>
              </w:rPr>
            </w:pPr>
            <w:r w:rsidRPr="009448DB">
              <w:rPr>
                <w:rFonts w:eastAsia="Times New Roman" w:cstheme="minorHAnsi"/>
                <w:color w:val="000000"/>
                <w:lang w:val="es-ES"/>
              </w:rPr>
              <w:t xml:space="preserve">Salarios y Prestaciones </w:t>
            </w:r>
          </w:p>
        </w:tc>
        <w:tc>
          <w:tcPr>
            <w:tcW w:w="1940" w:type="dxa"/>
            <w:vMerge/>
          </w:tcPr>
          <w:p w:rsidR="00EB3BC8" w:rsidRPr="009448DB" w:rsidRDefault="00EB3BC8" w:rsidP="005E52E0">
            <w:pPr>
              <w:spacing w:after="0" w:line="240" w:lineRule="auto"/>
              <w:rPr>
                <w:rFonts w:eastAsia="Times New Roman" w:cstheme="minorHAnsi"/>
                <w:lang w:val="es-ES" w:eastAsia="es-ES"/>
              </w:rPr>
            </w:pPr>
          </w:p>
        </w:tc>
        <w:tc>
          <w:tcPr>
            <w:tcW w:w="2465" w:type="dxa"/>
            <w:tcBorders>
              <w:top w:val="nil"/>
              <w:left w:val="nil"/>
              <w:bottom w:val="single" w:sz="8" w:space="0" w:color="auto"/>
              <w:right w:val="single" w:sz="8" w:space="0" w:color="auto"/>
            </w:tcBorders>
            <w:vAlign w:val="bottom"/>
          </w:tcPr>
          <w:p w:rsidR="00EB3BC8" w:rsidRPr="009448DB" w:rsidRDefault="00EB3BC8" w:rsidP="005E52E0">
            <w:pPr>
              <w:spacing w:after="0" w:line="240" w:lineRule="auto"/>
              <w:rPr>
                <w:rFonts w:eastAsia="Times New Roman" w:cstheme="minorHAnsi"/>
                <w:color w:val="000000"/>
                <w:lang w:val="es-ES"/>
              </w:rPr>
            </w:pPr>
            <w:r w:rsidRPr="009448DB">
              <w:rPr>
                <w:rFonts w:eastAsia="Times New Roman" w:cstheme="minorHAnsi"/>
                <w:color w:val="000000"/>
                <w:lang w:val="es-ES"/>
              </w:rPr>
              <w:t>11/06/2014 a 20/05/2018</w:t>
            </w:r>
          </w:p>
        </w:tc>
      </w:tr>
      <w:tr w:rsidR="00EB3BC8" w:rsidRPr="005133E0" w:rsidTr="005E52E0">
        <w:trPr>
          <w:trHeight w:val="291"/>
          <w:jc w:val="center"/>
        </w:trPr>
        <w:tc>
          <w:tcPr>
            <w:tcW w:w="2447" w:type="dxa"/>
            <w:vMerge/>
          </w:tcPr>
          <w:p w:rsidR="00EB3BC8" w:rsidRPr="009448DB" w:rsidRDefault="00EB3BC8" w:rsidP="005E52E0">
            <w:pPr>
              <w:spacing w:after="0" w:line="240" w:lineRule="auto"/>
              <w:rPr>
                <w:rFonts w:eastAsia="Times New Roman" w:cstheme="minorHAnsi"/>
                <w:b/>
                <w:lang w:val="es-ES" w:eastAsia="es-ES"/>
              </w:rPr>
            </w:pPr>
          </w:p>
        </w:tc>
        <w:tc>
          <w:tcPr>
            <w:tcW w:w="2183" w:type="dxa"/>
            <w:gridSpan w:val="2"/>
            <w:tcBorders>
              <w:top w:val="nil"/>
              <w:left w:val="single" w:sz="8" w:space="0" w:color="auto"/>
              <w:bottom w:val="single" w:sz="8" w:space="0" w:color="auto"/>
              <w:right w:val="single" w:sz="8" w:space="0" w:color="auto"/>
            </w:tcBorders>
            <w:vAlign w:val="center"/>
          </w:tcPr>
          <w:p w:rsidR="00EB3BC8" w:rsidRPr="009448DB" w:rsidRDefault="00EB3BC8" w:rsidP="005E52E0">
            <w:pPr>
              <w:spacing w:after="0" w:line="240" w:lineRule="auto"/>
              <w:jc w:val="both"/>
              <w:rPr>
                <w:rFonts w:eastAsia="Times New Roman" w:cstheme="minorHAnsi"/>
                <w:lang w:val="es-ES" w:eastAsia="es-ES"/>
              </w:rPr>
            </w:pPr>
            <w:r w:rsidRPr="009448DB">
              <w:rPr>
                <w:rFonts w:eastAsia="Times New Roman" w:cstheme="minorHAnsi"/>
                <w:color w:val="000000"/>
                <w:lang w:val="es-ES"/>
              </w:rPr>
              <w:t>Calidad del Servicio</w:t>
            </w:r>
          </w:p>
        </w:tc>
        <w:tc>
          <w:tcPr>
            <w:tcW w:w="1940" w:type="dxa"/>
            <w:vMerge/>
          </w:tcPr>
          <w:p w:rsidR="00EB3BC8" w:rsidRPr="009448DB" w:rsidRDefault="00EB3BC8" w:rsidP="005E52E0">
            <w:pPr>
              <w:spacing w:after="0" w:line="240" w:lineRule="auto"/>
              <w:rPr>
                <w:rFonts w:eastAsia="Times New Roman" w:cstheme="minorHAnsi"/>
                <w:lang w:val="es-ES" w:eastAsia="es-ES"/>
              </w:rPr>
            </w:pPr>
          </w:p>
        </w:tc>
        <w:tc>
          <w:tcPr>
            <w:tcW w:w="2465" w:type="dxa"/>
            <w:tcBorders>
              <w:top w:val="nil"/>
              <w:left w:val="nil"/>
              <w:bottom w:val="single" w:sz="8" w:space="0" w:color="auto"/>
              <w:right w:val="single" w:sz="8" w:space="0" w:color="auto"/>
            </w:tcBorders>
            <w:vAlign w:val="bottom"/>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color w:val="000000"/>
                <w:lang w:val="es-ES"/>
              </w:rPr>
              <w:t>11/06/2014 a 20/05/2018</w:t>
            </w:r>
          </w:p>
        </w:tc>
      </w:tr>
      <w:tr w:rsidR="00EB3BC8" w:rsidRPr="005133E0" w:rsidTr="005E52E0">
        <w:trPr>
          <w:trHeight w:val="567"/>
          <w:jc w:val="center"/>
        </w:trPr>
        <w:tc>
          <w:tcPr>
            <w:tcW w:w="2447" w:type="dxa"/>
            <w:vMerge/>
          </w:tcPr>
          <w:p w:rsidR="00EB3BC8" w:rsidRPr="009448DB" w:rsidRDefault="00EB3BC8" w:rsidP="005E52E0">
            <w:pPr>
              <w:spacing w:after="0" w:line="240" w:lineRule="auto"/>
              <w:rPr>
                <w:rFonts w:eastAsia="Times New Roman" w:cstheme="minorHAnsi"/>
                <w:b/>
                <w:lang w:val="es-ES" w:eastAsia="es-ES"/>
              </w:rPr>
            </w:pPr>
          </w:p>
        </w:tc>
        <w:tc>
          <w:tcPr>
            <w:tcW w:w="6589" w:type="dxa"/>
            <w:gridSpan w:val="4"/>
            <w:tcBorders>
              <w:top w:val="nil"/>
              <w:left w:val="single" w:sz="8" w:space="0" w:color="auto"/>
              <w:bottom w:val="single" w:sz="8" w:space="0" w:color="auto"/>
              <w:right w:val="single" w:sz="8" w:space="0" w:color="auto"/>
            </w:tcBorders>
            <w:vAlign w:val="center"/>
          </w:tcPr>
          <w:p w:rsidR="00EB3BC8" w:rsidRPr="009448DB" w:rsidRDefault="00EB3BC8" w:rsidP="005E52E0">
            <w:pPr>
              <w:spacing w:after="0" w:line="240" w:lineRule="auto"/>
              <w:jc w:val="both"/>
              <w:rPr>
                <w:rFonts w:eastAsia="Times New Roman" w:cstheme="minorHAnsi"/>
                <w:color w:val="000000"/>
                <w:lang w:val="es-ES"/>
              </w:rPr>
            </w:pPr>
            <w:r w:rsidRPr="009448DB">
              <w:rPr>
                <w:rFonts w:eastAsia="Times New Roman" w:cstheme="minorHAnsi"/>
                <w:lang w:val="es-ES" w:eastAsia="es-ES"/>
              </w:rPr>
              <w:t>Pólizas aprobadas el 13 de junio de 2014, según lo estipulado en el Memorando No. 2014-300-004735-3 del 13 de junio de 2014.</w:t>
            </w:r>
          </w:p>
        </w:tc>
      </w:tr>
      <w:tr w:rsidR="00EB3BC8" w:rsidRPr="005133E0" w:rsidTr="005E52E0">
        <w:trPr>
          <w:trHeight w:val="551"/>
          <w:jc w:val="center"/>
        </w:trPr>
        <w:tc>
          <w:tcPr>
            <w:tcW w:w="2447" w:type="dxa"/>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PLAZO DE EJECUCIÓN ACUMULADO</w:t>
            </w:r>
          </w:p>
        </w:tc>
        <w:tc>
          <w:tcPr>
            <w:tcW w:w="6589" w:type="dxa"/>
            <w:gridSpan w:val="4"/>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lang w:val="es-ES" w:eastAsia="es-ES"/>
              </w:rPr>
              <w:t xml:space="preserve">Veinte 20 meses  </w:t>
            </w:r>
          </w:p>
        </w:tc>
      </w:tr>
      <w:tr w:rsidR="00EB3BC8" w:rsidRPr="005133E0" w:rsidTr="005E52E0">
        <w:trPr>
          <w:trHeight w:val="275"/>
          <w:jc w:val="center"/>
        </w:trPr>
        <w:tc>
          <w:tcPr>
            <w:tcW w:w="2447" w:type="dxa"/>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FECHA DE INICIO</w:t>
            </w:r>
          </w:p>
        </w:tc>
        <w:tc>
          <w:tcPr>
            <w:tcW w:w="6589" w:type="dxa"/>
            <w:gridSpan w:val="4"/>
          </w:tcPr>
          <w:p w:rsidR="00EB3BC8" w:rsidRPr="009448DB" w:rsidRDefault="00EB3BC8" w:rsidP="005E52E0">
            <w:pPr>
              <w:spacing w:after="0" w:line="240" w:lineRule="auto"/>
              <w:jc w:val="both"/>
              <w:rPr>
                <w:rFonts w:eastAsia="Times New Roman" w:cstheme="minorHAnsi"/>
                <w:lang w:val="es-ES_tradnl" w:eastAsia="es-ES"/>
              </w:rPr>
            </w:pPr>
            <w:r w:rsidRPr="009448DB">
              <w:rPr>
                <w:rFonts w:eastAsia="Times New Roman" w:cstheme="minorHAnsi"/>
                <w:lang w:val="es-ES_tradnl" w:eastAsia="es-ES"/>
              </w:rPr>
              <w:t>13 de junio de 2014</w:t>
            </w:r>
          </w:p>
        </w:tc>
      </w:tr>
      <w:tr w:rsidR="00EB3BC8" w:rsidRPr="005133E0" w:rsidTr="005E52E0">
        <w:trPr>
          <w:trHeight w:val="260"/>
          <w:jc w:val="center"/>
        </w:trPr>
        <w:tc>
          <w:tcPr>
            <w:tcW w:w="2447" w:type="dxa"/>
          </w:tcPr>
          <w:p w:rsidR="00EB3BC8" w:rsidRPr="009448DB" w:rsidRDefault="00EB3BC8" w:rsidP="005E52E0">
            <w:pPr>
              <w:spacing w:after="0" w:line="240" w:lineRule="auto"/>
              <w:rPr>
                <w:rFonts w:eastAsia="Times New Roman" w:cstheme="minorHAnsi"/>
                <w:b/>
                <w:lang w:val="es-ES" w:eastAsia="es-ES"/>
              </w:rPr>
            </w:pPr>
            <w:r w:rsidRPr="009448DB">
              <w:rPr>
                <w:rFonts w:eastAsia="Times New Roman" w:cstheme="minorHAnsi"/>
                <w:b/>
                <w:lang w:val="es-ES" w:eastAsia="es-ES"/>
              </w:rPr>
              <w:t xml:space="preserve">FECHA DE TERMINACIÓN </w:t>
            </w:r>
          </w:p>
        </w:tc>
        <w:tc>
          <w:tcPr>
            <w:tcW w:w="6589" w:type="dxa"/>
            <w:gridSpan w:val="4"/>
            <w:vAlign w:val="center"/>
          </w:tcPr>
          <w:p w:rsidR="00EB3BC8" w:rsidRPr="009448DB" w:rsidRDefault="00EB3BC8" w:rsidP="005E52E0">
            <w:pPr>
              <w:spacing w:after="0" w:line="240" w:lineRule="auto"/>
              <w:rPr>
                <w:rFonts w:eastAsia="Times New Roman" w:cstheme="minorHAnsi"/>
                <w:lang w:val="es-ES" w:eastAsia="es-ES"/>
              </w:rPr>
            </w:pPr>
            <w:r w:rsidRPr="009448DB">
              <w:rPr>
                <w:rFonts w:eastAsia="Times New Roman" w:cstheme="minorHAnsi"/>
                <w:lang w:val="es-ES" w:eastAsia="es-ES"/>
              </w:rPr>
              <w:t xml:space="preserve">12 de febrero de  2016 </w:t>
            </w:r>
          </w:p>
        </w:tc>
      </w:tr>
    </w:tbl>
    <w:p w:rsidR="00EB3BC8" w:rsidRPr="005133E0" w:rsidRDefault="00EB3BC8" w:rsidP="00EB3BC8">
      <w:pPr>
        <w:spacing w:after="0" w:line="240" w:lineRule="auto"/>
        <w:jc w:val="center"/>
        <w:rPr>
          <w:rFonts w:eastAsia="Times New Roman" w:cs="Times New Roman"/>
          <w:sz w:val="24"/>
          <w:szCs w:val="24"/>
          <w:lang w:val="es-ES" w:eastAsia="es-ES"/>
        </w:rPr>
      </w:pPr>
    </w:p>
    <w:p w:rsidR="00EB3BC8" w:rsidRPr="009448DB" w:rsidRDefault="009448DB" w:rsidP="009448DB">
      <w:pPr>
        <w:spacing w:after="0" w:line="240" w:lineRule="auto"/>
        <w:contextualSpacing/>
        <w:rPr>
          <w:rFonts w:eastAsia="Times New Roman" w:cstheme="minorHAnsi"/>
          <w:b/>
          <w:lang w:val="es-ES" w:eastAsia="es-ES"/>
        </w:rPr>
      </w:pPr>
      <w:r w:rsidRPr="009448DB">
        <w:rPr>
          <w:rFonts w:eastAsia="Times New Roman" w:cstheme="minorHAnsi"/>
          <w:b/>
          <w:lang w:val="es-ES" w:eastAsia="es-ES"/>
        </w:rPr>
        <w:t>Operación peajes:</w:t>
      </w:r>
    </w:p>
    <w:p w:rsidR="00EB3BC8" w:rsidRPr="005133E0" w:rsidRDefault="00EB3BC8" w:rsidP="00EB3BC8">
      <w:pPr>
        <w:spacing w:after="0" w:line="240" w:lineRule="auto"/>
        <w:ind w:left="720"/>
        <w:contextualSpacing/>
        <w:jc w:val="both"/>
        <w:rPr>
          <w:rFonts w:ascii="Arial" w:eastAsia="Times New Roman" w:hAnsi="Arial" w:cs="Arial"/>
          <w:b/>
          <w:lang w:val="es-ES" w:eastAsia="es-ES"/>
        </w:rPr>
      </w:pPr>
    </w:p>
    <w:p w:rsidR="00EB3BC8" w:rsidRPr="00A0584E" w:rsidRDefault="00EB3BC8" w:rsidP="00EB3BC8">
      <w:pPr>
        <w:spacing w:after="0" w:line="240" w:lineRule="auto"/>
        <w:ind w:right="43"/>
        <w:contextualSpacing/>
        <w:jc w:val="both"/>
        <w:rPr>
          <w:rFonts w:eastAsia="Times New Roman" w:cstheme="minorHAnsi"/>
          <w:lang w:val="es-ES" w:eastAsia="es-ES"/>
        </w:rPr>
      </w:pPr>
      <w:r w:rsidRPr="00A0584E">
        <w:rPr>
          <w:rFonts w:eastAsia="Times New Roman" w:cstheme="minorHAnsi"/>
          <w:lang w:val="es-ES" w:eastAsia="es-ES"/>
        </w:rPr>
        <w:t>Continúa la operación y recaudo de los peajes,  de los conteos promedio de los últimos meses  en el de 2015  tenemos que:</w:t>
      </w:r>
    </w:p>
    <w:p w:rsidR="00EB3BC8" w:rsidRPr="00A0584E" w:rsidRDefault="00EB3BC8" w:rsidP="00EB3BC8">
      <w:pPr>
        <w:spacing w:after="0" w:line="240" w:lineRule="auto"/>
        <w:ind w:left="720" w:right="43"/>
        <w:contextualSpacing/>
        <w:jc w:val="both"/>
        <w:rPr>
          <w:rFonts w:eastAsia="Times New Roman" w:cstheme="minorHAnsi"/>
          <w:sz w:val="24"/>
          <w:szCs w:val="24"/>
          <w:lang w:val="es-ES" w:eastAsia="es-ES"/>
        </w:rPr>
      </w:pP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2660"/>
      </w:tblGrid>
      <w:tr w:rsidR="00EB3BC8" w:rsidRPr="00A0584E" w:rsidTr="005E52E0">
        <w:trPr>
          <w:trHeight w:val="269"/>
          <w:jc w:val="center"/>
        </w:trPr>
        <w:tc>
          <w:tcPr>
            <w:tcW w:w="4957" w:type="dxa"/>
            <w:gridSpan w:val="2"/>
            <w:shd w:val="clear" w:color="auto" w:fill="E0E0E0"/>
            <w:vAlign w:val="center"/>
          </w:tcPr>
          <w:p w:rsidR="00EB3BC8" w:rsidRPr="00A0584E" w:rsidRDefault="00EB3BC8" w:rsidP="005E52E0">
            <w:pPr>
              <w:spacing w:after="0" w:line="240" w:lineRule="auto"/>
              <w:ind w:right="-81"/>
              <w:jc w:val="center"/>
              <w:rPr>
                <w:rFonts w:eastAsia="Times New Roman" w:cstheme="minorHAnsi"/>
                <w:sz w:val="24"/>
                <w:szCs w:val="24"/>
                <w:lang w:val="es-ES" w:eastAsia="es-ES"/>
              </w:rPr>
            </w:pPr>
            <w:r w:rsidRPr="00A0584E">
              <w:rPr>
                <w:rFonts w:eastAsia="Times New Roman" w:cstheme="minorHAnsi"/>
                <w:b/>
                <w:sz w:val="24"/>
                <w:szCs w:val="24"/>
                <w:lang w:val="es-ES" w:eastAsia="es-ES"/>
              </w:rPr>
              <w:t>RECAUDO MENSUAL POR ESTACIONES</w:t>
            </w:r>
          </w:p>
        </w:tc>
      </w:tr>
      <w:tr w:rsidR="00EB3BC8" w:rsidRPr="00A0584E" w:rsidTr="005E52E0">
        <w:trPr>
          <w:trHeight w:val="269"/>
          <w:jc w:val="center"/>
        </w:trPr>
        <w:tc>
          <w:tcPr>
            <w:tcW w:w="2297" w:type="dxa"/>
            <w:shd w:val="clear" w:color="auto" w:fill="E0E0E0"/>
            <w:vAlign w:val="center"/>
          </w:tcPr>
          <w:p w:rsidR="00EB3BC8" w:rsidRPr="00A0584E" w:rsidRDefault="00EB3BC8" w:rsidP="005E52E0">
            <w:pPr>
              <w:spacing w:after="0" w:line="240" w:lineRule="auto"/>
              <w:ind w:right="-81"/>
              <w:jc w:val="center"/>
              <w:rPr>
                <w:rFonts w:eastAsia="Times New Roman" w:cstheme="minorHAnsi"/>
                <w:b/>
                <w:sz w:val="24"/>
                <w:szCs w:val="24"/>
                <w:lang w:val="es-ES" w:eastAsia="es-ES"/>
              </w:rPr>
            </w:pPr>
            <w:r w:rsidRPr="00A0584E">
              <w:rPr>
                <w:rFonts w:eastAsia="Times New Roman" w:cstheme="minorHAnsi"/>
                <w:b/>
                <w:sz w:val="24"/>
                <w:szCs w:val="24"/>
                <w:lang w:val="es-ES" w:eastAsia="es-ES"/>
              </w:rPr>
              <w:t>Estación de Peaje</w:t>
            </w:r>
          </w:p>
        </w:tc>
        <w:tc>
          <w:tcPr>
            <w:tcW w:w="2660" w:type="dxa"/>
            <w:shd w:val="clear" w:color="auto" w:fill="E0E0E0"/>
            <w:vAlign w:val="center"/>
          </w:tcPr>
          <w:p w:rsidR="00EB3BC8" w:rsidRPr="00A0584E" w:rsidRDefault="00EB3BC8" w:rsidP="005E52E0">
            <w:pPr>
              <w:spacing w:after="0" w:line="240" w:lineRule="auto"/>
              <w:ind w:right="-81"/>
              <w:jc w:val="center"/>
              <w:rPr>
                <w:rFonts w:eastAsia="Times New Roman" w:cstheme="minorHAnsi"/>
                <w:b/>
                <w:sz w:val="24"/>
                <w:szCs w:val="24"/>
                <w:lang w:val="es-ES" w:eastAsia="es-ES"/>
              </w:rPr>
            </w:pPr>
            <w:r w:rsidRPr="00A0584E">
              <w:rPr>
                <w:rFonts w:eastAsia="Times New Roman" w:cstheme="minorHAnsi"/>
                <w:b/>
                <w:sz w:val="24"/>
                <w:szCs w:val="24"/>
                <w:lang w:val="es-ES" w:eastAsia="es-ES"/>
              </w:rPr>
              <w:t>Recaudo Real</w:t>
            </w:r>
          </w:p>
        </w:tc>
      </w:tr>
      <w:tr w:rsidR="00EB3BC8" w:rsidRPr="00A0584E" w:rsidTr="005E52E0">
        <w:trPr>
          <w:trHeight w:val="269"/>
          <w:jc w:val="center"/>
        </w:trPr>
        <w:tc>
          <w:tcPr>
            <w:tcW w:w="2297" w:type="dxa"/>
            <w:vAlign w:val="center"/>
          </w:tcPr>
          <w:p w:rsidR="00EB3BC8" w:rsidRPr="00A0584E" w:rsidRDefault="00EB3BC8" w:rsidP="005E52E0">
            <w:pPr>
              <w:spacing w:after="0" w:line="240" w:lineRule="auto"/>
              <w:ind w:right="-81"/>
              <w:rPr>
                <w:rFonts w:eastAsia="Times New Roman" w:cstheme="minorHAnsi"/>
                <w:bCs/>
                <w:sz w:val="24"/>
                <w:szCs w:val="24"/>
                <w:lang w:val="es-ES" w:eastAsia="es-ES"/>
              </w:rPr>
            </w:pPr>
            <w:r w:rsidRPr="00A0584E">
              <w:rPr>
                <w:rFonts w:eastAsia="Times New Roman" w:cstheme="minorHAnsi"/>
                <w:b/>
                <w:sz w:val="24"/>
                <w:szCs w:val="24"/>
                <w:lang w:val="es-ES" w:eastAsia="es-ES"/>
              </w:rPr>
              <w:t>Puente Amarillo</w:t>
            </w:r>
          </w:p>
        </w:tc>
        <w:tc>
          <w:tcPr>
            <w:tcW w:w="2660" w:type="dxa"/>
            <w:vAlign w:val="center"/>
          </w:tcPr>
          <w:p w:rsidR="00EB3BC8" w:rsidRPr="00A0584E" w:rsidRDefault="00EB3BC8" w:rsidP="005E52E0">
            <w:pPr>
              <w:spacing w:after="0" w:line="240" w:lineRule="auto"/>
              <w:ind w:right="-81"/>
              <w:jc w:val="right"/>
              <w:rPr>
                <w:rFonts w:eastAsia="Times New Roman" w:cstheme="minorHAnsi"/>
                <w:bCs/>
                <w:sz w:val="24"/>
                <w:szCs w:val="24"/>
                <w:lang w:val="es-ES" w:eastAsia="es-ES"/>
              </w:rPr>
            </w:pPr>
            <w:r w:rsidRPr="00A0584E">
              <w:rPr>
                <w:rFonts w:eastAsia="Times New Roman" w:cstheme="minorHAnsi"/>
                <w:bCs/>
                <w:sz w:val="24"/>
                <w:szCs w:val="24"/>
                <w:lang w:val="es-ES" w:eastAsia="es-ES"/>
              </w:rPr>
              <w:t>$ 1.335.703.400</w:t>
            </w:r>
          </w:p>
        </w:tc>
      </w:tr>
      <w:tr w:rsidR="00EB3BC8" w:rsidRPr="00A0584E" w:rsidTr="005E52E0">
        <w:trPr>
          <w:trHeight w:val="269"/>
          <w:jc w:val="center"/>
        </w:trPr>
        <w:tc>
          <w:tcPr>
            <w:tcW w:w="2297" w:type="dxa"/>
            <w:vAlign w:val="center"/>
          </w:tcPr>
          <w:p w:rsidR="00EB3BC8" w:rsidRPr="00A0584E" w:rsidRDefault="00EB3BC8" w:rsidP="005E52E0">
            <w:pPr>
              <w:spacing w:after="0" w:line="240" w:lineRule="auto"/>
              <w:ind w:right="-81"/>
              <w:rPr>
                <w:rFonts w:eastAsia="Times New Roman" w:cstheme="minorHAnsi"/>
                <w:bCs/>
                <w:sz w:val="24"/>
                <w:szCs w:val="24"/>
                <w:lang w:val="es-ES" w:eastAsia="es-ES"/>
              </w:rPr>
            </w:pPr>
            <w:r w:rsidRPr="00A0584E">
              <w:rPr>
                <w:rFonts w:eastAsia="Times New Roman" w:cstheme="minorHAnsi"/>
                <w:b/>
                <w:sz w:val="24"/>
                <w:szCs w:val="24"/>
                <w:lang w:val="es-ES" w:eastAsia="es-ES"/>
              </w:rPr>
              <w:lastRenderedPageBreak/>
              <w:t>Veracruz</w:t>
            </w:r>
          </w:p>
        </w:tc>
        <w:tc>
          <w:tcPr>
            <w:tcW w:w="2660" w:type="dxa"/>
            <w:vAlign w:val="center"/>
          </w:tcPr>
          <w:p w:rsidR="00EB3BC8" w:rsidRPr="00A0584E" w:rsidRDefault="00EB3BC8" w:rsidP="005E52E0">
            <w:pPr>
              <w:spacing w:after="0" w:line="240" w:lineRule="auto"/>
              <w:ind w:right="-81"/>
              <w:jc w:val="right"/>
              <w:rPr>
                <w:rFonts w:eastAsia="Times New Roman" w:cstheme="minorHAnsi"/>
                <w:bCs/>
                <w:sz w:val="24"/>
                <w:szCs w:val="24"/>
                <w:lang w:val="es-ES" w:eastAsia="es-ES"/>
              </w:rPr>
            </w:pPr>
            <w:r w:rsidRPr="00A0584E">
              <w:rPr>
                <w:rFonts w:eastAsia="Times New Roman" w:cstheme="minorHAnsi"/>
                <w:bCs/>
                <w:sz w:val="24"/>
                <w:szCs w:val="24"/>
                <w:lang w:val="es-ES" w:eastAsia="es-ES"/>
              </w:rPr>
              <w:t>$ 1.018.039.700</w:t>
            </w:r>
          </w:p>
        </w:tc>
      </w:tr>
      <w:tr w:rsidR="00EB3BC8" w:rsidRPr="00A0584E" w:rsidTr="005E52E0">
        <w:trPr>
          <w:trHeight w:val="269"/>
          <w:jc w:val="center"/>
        </w:trPr>
        <w:tc>
          <w:tcPr>
            <w:tcW w:w="2297" w:type="dxa"/>
            <w:vAlign w:val="center"/>
          </w:tcPr>
          <w:p w:rsidR="00EB3BC8" w:rsidRPr="00A0584E" w:rsidRDefault="00EB3BC8" w:rsidP="005E52E0">
            <w:pPr>
              <w:spacing w:after="0" w:line="240" w:lineRule="auto"/>
              <w:ind w:right="-81"/>
              <w:rPr>
                <w:rFonts w:eastAsia="Times New Roman" w:cstheme="minorHAnsi"/>
                <w:bCs/>
                <w:sz w:val="24"/>
                <w:szCs w:val="24"/>
                <w:lang w:val="es-ES" w:eastAsia="es-ES"/>
              </w:rPr>
            </w:pPr>
            <w:r w:rsidRPr="00A0584E">
              <w:rPr>
                <w:rFonts w:eastAsia="Times New Roman" w:cstheme="minorHAnsi"/>
                <w:b/>
                <w:sz w:val="24"/>
                <w:szCs w:val="24"/>
                <w:lang w:val="es-ES" w:eastAsia="es-ES"/>
              </w:rPr>
              <w:t>Ocoa (preferencial)</w:t>
            </w:r>
          </w:p>
        </w:tc>
        <w:tc>
          <w:tcPr>
            <w:tcW w:w="2660" w:type="dxa"/>
            <w:vAlign w:val="center"/>
          </w:tcPr>
          <w:p w:rsidR="00EB3BC8" w:rsidRPr="00A0584E" w:rsidRDefault="00EB3BC8" w:rsidP="005E52E0">
            <w:pPr>
              <w:spacing w:after="0" w:line="240" w:lineRule="auto"/>
              <w:ind w:right="-81"/>
              <w:jc w:val="right"/>
              <w:rPr>
                <w:rFonts w:eastAsia="Times New Roman" w:cstheme="minorHAnsi"/>
                <w:bCs/>
                <w:sz w:val="24"/>
                <w:szCs w:val="24"/>
                <w:lang w:val="es-ES" w:eastAsia="es-ES"/>
              </w:rPr>
            </w:pPr>
            <w:r w:rsidRPr="00A0584E">
              <w:rPr>
                <w:rFonts w:eastAsia="Times New Roman" w:cstheme="minorHAnsi"/>
                <w:bCs/>
                <w:sz w:val="24"/>
                <w:szCs w:val="24"/>
                <w:lang w:val="es-ES" w:eastAsia="es-ES"/>
              </w:rPr>
              <w:t>$ 2.623.729.450</w:t>
            </w:r>
          </w:p>
        </w:tc>
      </w:tr>
      <w:tr w:rsidR="00EB3BC8" w:rsidRPr="00A0584E" w:rsidTr="005E52E0">
        <w:trPr>
          <w:trHeight w:val="269"/>
          <w:jc w:val="center"/>
        </w:trPr>
        <w:tc>
          <w:tcPr>
            <w:tcW w:w="2297" w:type="dxa"/>
            <w:vAlign w:val="center"/>
          </w:tcPr>
          <w:p w:rsidR="00EB3BC8" w:rsidRPr="00A0584E" w:rsidRDefault="00EB3BC8" w:rsidP="005E52E0">
            <w:pPr>
              <w:spacing w:after="0" w:line="240" w:lineRule="auto"/>
              <w:ind w:right="-81"/>
              <w:rPr>
                <w:rFonts w:eastAsia="Times New Roman" w:cstheme="minorHAnsi"/>
                <w:bCs/>
                <w:sz w:val="24"/>
                <w:szCs w:val="24"/>
                <w:lang w:val="es-ES" w:eastAsia="es-ES"/>
              </w:rPr>
            </w:pPr>
            <w:r w:rsidRPr="00A0584E">
              <w:rPr>
                <w:rFonts w:eastAsia="Times New Roman" w:cstheme="minorHAnsi"/>
                <w:b/>
                <w:sz w:val="24"/>
                <w:szCs w:val="24"/>
                <w:lang w:val="es-ES" w:eastAsia="es-ES"/>
              </w:rPr>
              <w:t>Iracá (preferencial)</w:t>
            </w:r>
          </w:p>
        </w:tc>
        <w:tc>
          <w:tcPr>
            <w:tcW w:w="2660" w:type="dxa"/>
            <w:vAlign w:val="center"/>
          </w:tcPr>
          <w:p w:rsidR="00EB3BC8" w:rsidRPr="00A0584E" w:rsidRDefault="00EB3BC8" w:rsidP="005E52E0">
            <w:pPr>
              <w:spacing w:after="0" w:line="240" w:lineRule="auto"/>
              <w:ind w:right="-81"/>
              <w:jc w:val="right"/>
              <w:rPr>
                <w:rFonts w:eastAsia="Times New Roman" w:cstheme="minorHAnsi"/>
                <w:bCs/>
                <w:sz w:val="24"/>
                <w:szCs w:val="24"/>
                <w:lang w:val="es-ES" w:eastAsia="es-ES"/>
              </w:rPr>
            </w:pPr>
            <w:r w:rsidRPr="00A0584E">
              <w:rPr>
                <w:rFonts w:eastAsia="Times New Roman" w:cstheme="minorHAnsi"/>
                <w:bCs/>
                <w:sz w:val="24"/>
                <w:szCs w:val="24"/>
                <w:lang w:val="es-ES" w:eastAsia="es-ES"/>
              </w:rPr>
              <w:t>$ 878.571.000</w:t>
            </w:r>
          </w:p>
        </w:tc>
      </w:tr>
      <w:tr w:rsidR="00EB3BC8" w:rsidRPr="00A0584E" w:rsidTr="005E52E0">
        <w:trPr>
          <w:trHeight w:val="269"/>
          <w:jc w:val="center"/>
        </w:trPr>
        <w:tc>
          <w:tcPr>
            <w:tcW w:w="2297" w:type="dxa"/>
            <w:vAlign w:val="center"/>
          </w:tcPr>
          <w:p w:rsidR="00EB3BC8" w:rsidRPr="00A0584E" w:rsidRDefault="00EB3BC8" w:rsidP="005E52E0">
            <w:pPr>
              <w:spacing w:after="0" w:line="240" w:lineRule="auto"/>
              <w:ind w:right="-81"/>
              <w:rPr>
                <w:rFonts w:eastAsia="Times New Roman" w:cstheme="minorHAnsi"/>
                <w:bCs/>
                <w:sz w:val="24"/>
                <w:szCs w:val="24"/>
                <w:lang w:val="es-ES" w:eastAsia="es-ES"/>
              </w:rPr>
            </w:pPr>
            <w:r w:rsidRPr="00A0584E">
              <w:rPr>
                <w:rFonts w:eastAsia="Times New Roman" w:cstheme="minorHAnsi"/>
                <w:b/>
                <w:sz w:val="24"/>
                <w:szCs w:val="24"/>
                <w:lang w:val="es-ES" w:eastAsia="es-ES"/>
              </w:rPr>
              <w:t>La Libertad</w:t>
            </w:r>
          </w:p>
        </w:tc>
        <w:tc>
          <w:tcPr>
            <w:tcW w:w="2660" w:type="dxa"/>
            <w:vAlign w:val="center"/>
          </w:tcPr>
          <w:p w:rsidR="00EB3BC8" w:rsidRPr="00A0584E" w:rsidRDefault="00EB3BC8" w:rsidP="005E52E0">
            <w:pPr>
              <w:spacing w:after="0" w:line="240" w:lineRule="auto"/>
              <w:ind w:right="-81"/>
              <w:jc w:val="right"/>
              <w:rPr>
                <w:rFonts w:eastAsia="Times New Roman" w:cstheme="minorHAnsi"/>
                <w:bCs/>
                <w:sz w:val="24"/>
                <w:szCs w:val="24"/>
                <w:lang w:val="es-ES" w:eastAsia="es-ES"/>
              </w:rPr>
            </w:pPr>
            <w:r w:rsidRPr="00A0584E">
              <w:rPr>
                <w:rFonts w:eastAsia="Times New Roman" w:cstheme="minorHAnsi"/>
                <w:bCs/>
                <w:sz w:val="24"/>
                <w:szCs w:val="24"/>
                <w:lang w:val="es-ES" w:eastAsia="es-ES"/>
              </w:rPr>
              <w:t>$  2.211.380.800</w:t>
            </w:r>
          </w:p>
        </w:tc>
      </w:tr>
      <w:tr w:rsidR="00EB3BC8" w:rsidRPr="00A0584E" w:rsidTr="005E52E0">
        <w:trPr>
          <w:trHeight w:val="284"/>
          <w:jc w:val="center"/>
        </w:trPr>
        <w:tc>
          <w:tcPr>
            <w:tcW w:w="2297" w:type="dxa"/>
            <w:vAlign w:val="center"/>
          </w:tcPr>
          <w:p w:rsidR="00EB3BC8" w:rsidRPr="00A0584E" w:rsidRDefault="00EB3BC8" w:rsidP="005E52E0">
            <w:pPr>
              <w:spacing w:after="0" w:line="240" w:lineRule="auto"/>
              <w:ind w:right="-81"/>
              <w:rPr>
                <w:rFonts w:eastAsia="Times New Roman" w:cstheme="minorHAnsi"/>
                <w:b/>
                <w:sz w:val="24"/>
                <w:szCs w:val="24"/>
                <w:lang w:val="es-ES" w:eastAsia="es-ES"/>
              </w:rPr>
            </w:pPr>
            <w:r w:rsidRPr="00A0584E">
              <w:rPr>
                <w:rFonts w:eastAsia="Times New Roman" w:cstheme="minorHAnsi"/>
                <w:b/>
                <w:sz w:val="24"/>
                <w:szCs w:val="24"/>
                <w:lang w:val="es-ES" w:eastAsia="es-ES"/>
              </w:rPr>
              <w:t>TOTAL</w:t>
            </w:r>
          </w:p>
        </w:tc>
        <w:tc>
          <w:tcPr>
            <w:tcW w:w="2660" w:type="dxa"/>
            <w:vAlign w:val="center"/>
          </w:tcPr>
          <w:p w:rsidR="00EB3BC8" w:rsidRPr="00A0584E" w:rsidRDefault="00EB3BC8" w:rsidP="005E52E0">
            <w:pPr>
              <w:spacing w:after="0" w:line="240" w:lineRule="auto"/>
              <w:ind w:right="-81"/>
              <w:jc w:val="right"/>
              <w:rPr>
                <w:rFonts w:eastAsia="Times New Roman" w:cstheme="minorHAnsi"/>
                <w:b/>
                <w:sz w:val="24"/>
                <w:szCs w:val="24"/>
                <w:lang w:val="es-ES" w:eastAsia="es-ES"/>
              </w:rPr>
            </w:pPr>
            <w:r w:rsidRPr="00A0584E">
              <w:rPr>
                <w:rFonts w:eastAsia="Times New Roman" w:cstheme="minorHAnsi"/>
                <w:b/>
                <w:sz w:val="24"/>
                <w:szCs w:val="24"/>
                <w:lang w:val="es-ES" w:eastAsia="es-ES"/>
              </w:rPr>
              <w:t>$ 8.067.424.350</w:t>
            </w:r>
          </w:p>
        </w:tc>
      </w:tr>
    </w:tbl>
    <w:p w:rsidR="00EB3BC8" w:rsidRPr="005133E0" w:rsidRDefault="00EB3BC8" w:rsidP="00EB3BC8">
      <w:pPr>
        <w:spacing w:after="0" w:line="240" w:lineRule="auto"/>
        <w:ind w:left="720" w:right="43"/>
        <w:contextualSpacing/>
        <w:jc w:val="both"/>
        <w:rPr>
          <w:rFonts w:ascii="Times New Roman" w:eastAsia="Times New Roman" w:hAnsi="Times New Roman" w:cs="Times New Roman"/>
          <w:sz w:val="24"/>
          <w:szCs w:val="24"/>
          <w:lang w:val="es-ES" w:eastAsia="es-ES"/>
        </w:rPr>
      </w:pPr>
    </w:p>
    <w:p w:rsidR="00EB3BC8" w:rsidRPr="005133E0" w:rsidRDefault="00EB3BC8" w:rsidP="00EB3BC8">
      <w:pPr>
        <w:spacing w:after="0" w:line="240" w:lineRule="auto"/>
        <w:contextualSpacing/>
        <w:jc w:val="both"/>
        <w:rPr>
          <w:rFonts w:eastAsia="Times New Roman" w:cs="Times New Roman"/>
          <w:sz w:val="24"/>
          <w:szCs w:val="24"/>
          <w:lang w:val="es-ES" w:eastAsia="es-ES"/>
        </w:rPr>
      </w:pPr>
    </w:p>
    <w:p w:rsidR="00EB3BC8" w:rsidRPr="003D174E" w:rsidRDefault="00FC6046" w:rsidP="00FC6046">
      <w:pPr>
        <w:spacing w:after="0" w:line="240" w:lineRule="auto"/>
        <w:contextualSpacing/>
        <w:jc w:val="both"/>
        <w:rPr>
          <w:rFonts w:eastAsia="Times New Roman" w:cstheme="minorHAnsi"/>
          <w:b/>
          <w:lang w:val="es-ES" w:eastAsia="es-ES"/>
        </w:rPr>
      </w:pPr>
      <w:r w:rsidRPr="003D174E">
        <w:rPr>
          <w:rFonts w:eastAsia="Times New Roman" w:cstheme="minorHAnsi"/>
          <w:b/>
          <w:lang w:val="es-ES" w:eastAsia="es-ES"/>
        </w:rPr>
        <w:t>Reversión del Contrato a INVIAS</w:t>
      </w:r>
    </w:p>
    <w:p w:rsidR="00EB3BC8" w:rsidRPr="005133E0" w:rsidRDefault="00EB3BC8" w:rsidP="00EB3BC8">
      <w:pPr>
        <w:spacing w:after="0" w:line="240" w:lineRule="auto"/>
        <w:ind w:left="720"/>
        <w:contextualSpacing/>
        <w:jc w:val="both"/>
        <w:rPr>
          <w:rFonts w:ascii="Arial" w:eastAsia="Times New Roman" w:hAnsi="Arial" w:cs="Arial"/>
          <w:b/>
          <w:lang w:val="es-ES" w:eastAsia="es-ES"/>
        </w:rPr>
      </w:pPr>
    </w:p>
    <w:p w:rsidR="00EB3BC8" w:rsidRPr="00FC6046" w:rsidRDefault="00EB3BC8" w:rsidP="00EB3BC8">
      <w:pPr>
        <w:spacing w:after="0" w:line="240" w:lineRule="auto"/>
        <w:contextualSpacing/>
        <w:jc w:val="both"/>
        <w:rPr>
          <w:rFonts w:eastAsia="Times New Roman" w:cstheme="minorHAnsi"/>
          <w:lang w:val="es-ES" w:eastAsia="es-ES"/>
        </w:rPr>
      </w:pPr>
      <w:r w:rsidRPr="00FC6046">
        <w:rPr>
          <w:rFonts w:eastAsia="Times New Roman" w:cstheme="minorHAnsi"/>
          <w:lang w:val="es-ES" w:eastAsia="es-ES"/>
        </w:rPr>
        <w:t xml:space="preserve">Paralelamente al tema de la vigencia del contrato, se adelantó el proceso de reversión con el Concesionario y la interventoría del proyecto, de acuerdo al manual de reversión 2014. En este manual se  incluyen los formatos para los diferentes inventarios de la vía, balances de permisos y demás variables que requiere para su recibo.  Estos documentos fueron revisados y enviados al INVIAS para continuar con el procedimiento.  </w:t>
      </w:r>
    </w:p>
    <w:p w:rsidR="00EB3BC8" w:rsidRPr="00FC6046" w:rsidRDefault="00EB3BC8" w:rsidP="00EB3BC8">
      <w:pPr>
        <w:spacing w:after="0" w:line="240" w:lineRule="auto"/>
        <w:ind w:left="720" w:hanging="720"/>
        <w:contextualSpacing/>
        <w:jc w:val="both"/>
        <w:rPr>
          <w:rFonts w:eastAsia="Times New Roman" w:cstheme="minorHAnsi"/>
          <w:lang w:val="es-ES" w:eastAsia="es-ES"/>
        </w:rPr>
      </w:pPr>
    </w:p>
    <w:p w:rsidR="00EB3BC8" w:rsidRPr="00FC6046" w:rsidRDefault="00EB3BC8" w:rsidP="00EB3BC8">
      <w:pPr>
        <w:spacing w:after="0" w:line="240" w:lineRule="auto"/>
        <w:contextualSpacing/>
        <w:jc w:val="both"/>
        <w:rPr>
          <w:rFonts w:eastAsia="Times New Roman" w:cstheme="minorHAnsi"/>
          <w:lang w:val="es-ES" w:eastAsia="es-ES"/>
        </w:rPr>
      </w:pPr>
      <w:r w:rsidRPr="00FC6046">
        <w:rPr>
          <w:rFonts w:eastAsia="Times New Roman" w:cstheme="minorHAnsi"/>
          <w:lang w:val="es-ES" w:eastAsia="es-ES"/>
        </w:rPr>
        <w:t xml:space="preserve">En el último otrosí N° 10 del contrato, se dio  un plazo de  9 meses de reversión total de los tres tramos o hasta octubre 20 de 2015, actividades que dependen de la entrada de las nuevas concesiones de cuarta  generación en el Meta.  </w:t>
      </w:r>
    </w:p>
    <w:p w:rsidR="00EB3BC8" w:rsidRPr="00FC6046" w:rsidRDefault="00EB3BC8" w:rsidP="00EB3BC8">
      <w:pPr>
        <w:spacing w:after="0" w:line="240" w:lineRule="auto"/>
        <w:contextualSpacing/>
        <w:jc w:val="both"/>
        <w:rPr>
          <w:rFonts w:eastAsia="Times New Roman" w:cstheme="minorHAnsi"/>
          <w:lang w:val="es-ES" w:eastAsia="es-ES"/>
        </w:rPr>
      </w:pPr>
    </w:p>
    <w:p w:rsidR="00EB3BC8" w:rsidRPr="00FC6046" w:rsidRDefault="00EB3BC8" w:rsidP="00EB3BC8">
      <w:pPr>
        <w:spacing w:after="0" w:line="240" w:lineRule="auto"/>
        <w:contextualSpacing/>
        <w:jc w:val="both"/>
        <w:rPr>
          <w:rFonts w:eastAsia="Times New Roman" w:cstheme="minorHAnsi"/>
          <w:lang w:val="es-ES" w:eastAsia="es-ES"/>
        </w:rPr>
      </w:pPr>
      <w:r w:rsidRPr="00FC6046">
        <w:rPr>
          <w:rFonts w:eastAsia="Times New Roman" w:cstheme="minorHAnsi"/>
          <w:lang w:val="es-ES" w:eastAsia="es-ES"/>
        </w:rPr>
        <w:t xml:space="preserve">El pasado 9 de junio  de 2015 se efectuó la reversión al INVIAS de los tramos Villavicencio – Granada y Villavicencio – Puerto López. </w:t>
      </w:r>
    </w:p>
    <w:p w:rsidR="00EB3BC8" w:rsidRPr="00FC6046" w:rsidRDefault="00EB3BC8" w:rsidP="00EB3BC8">
      <w:pPr>
        <w:spacing w:after="0" w:line="240" w:lineRule="auto"/>
        <w:contextualSpacing/>
        <w:jc w:val="both"/>
        <w:rPr>
          <w:rFonts w:eastAsia="Times New Roman" w:cstheme="minorHAnsi"/>
          <w:lang w:val="es-ES" w:eastAsia="es-ES"/>
        </w:rPr>
      </w:pPr>
    </w:p>
    <w:p w:rsidR="00EB3BC8" w:rsidRPr="005133E0" w:rsidRDefault="00EB3BC8" w:rsidP="00EB3BC8">
      <w:pPr>
        <w:spacing w:after="0" w:line="240" w:lineRule="auto"/>
        <w:rPr>
          <w:rFonts w:ascii="Arial" w:eastAsia="Times New Roman" w:hAnsi="Arial" w:cs="Arial"/>
          <w:lang w:val="es-ES" w:eastAsia="es-ES"/>
        </w:rPr>
      </w:pPr>
    </w:p>
    <w:p w:rsidR="00EB3BC8" w:rsidRPr="005133E0" w:rsidRDefault="00EB3BC8" w:rsidP="00EB3BC8">
      <w:pPr>
        <w:spacing w:after="0" w:line="240" w:lineRule="auto"/>
        <w:ind w:left="645"/>
        <w:rPr>
          <w:rFonts w:eastAsia="Times New Roman" w:cs="Times New Roman"/>
          <w:sz w:val="24"/>
          <w:szCs w:val="24"/>
          <w:lang w:val="es-ES" w:eastAsia="es-ES"/>
        </w:rPr>
      </w:pPr>
      <w:r w:rsidRPr="005133E0">
        <w:rPr>
          <w:rFonts w:eastAsia="Times New Roman" w:cs="Times New Roman"/>
          <w:sz w:val="24"/>
          <w:szCs w:val="24"/>
          <w:lang w:val="es-ES" w:eastAsia="es-ES"/>
        </w:rPr>
        <w:t xml:space="preserve">                             </w:t>
      </w:r>
      <w:r w:rsidRPr="005133E0">
        <w:rPr>
          <w:rFonts w:eastAsia="Times New Roman" w:cs="Times New Roman"/>
          <w:noProof/>
          <w:sz w:val="24"/>
          <w:szCs w:val="24"/>
        </w:rPr>
        <w:drawing>
          <wp:inline distT="0" distB="0" distL="0" distR="0" wp14:anchorId="4BC2D308" wp14:editId="0C26C701">
            <wp:extent cx="4384713" cy="1923415"/>
            <wp:effectExtent l="0" t="0" r="0" b="635"/>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452240" cy="1953036"/>
                    </a:xfrm>
                    <a:prstGeom prst="rect">
                      <a:avLst/>
                    </a:prstGeom>
                  </pic:spPr>
                </pic:pic>
              </a:graphicData>
            </a:graphic>
          </wp:inline>
        </w:drawing>
      </w:r>
    </w:p>
    <w:p w:rsidR="00EB3BC8" w:rsidRPr="005133E0" w:rsidRDefault="00EB3BC8" w:rsidP="00EB3BC8">
      <w:pPr>
        <w:spacing w:after="0" w:line="240" w:lineRule="auto"/>
        <w:rPr>
          <w:rFonts w:eastAsia="Times New Roman" w:cs="Times New Roman"/>
          <w:sz w:val="24"/>
          <w:szCs w:val="24"/>
          <w:lang w:val="es-ES" w:eastAsia="es-ES"/>
        </w:rPr>
      </w:pPr>
    </w:p>
    <w:p w:rsidR="00EB3BC8" w:rsidRPr="005133E0" w:rsidRDefault="00EB3BC8" w:rsidP="00EB3BC8">
      <w:pPr>
        <w:spacing w:after="0" w:line="240" w:lineRule="auto"/>
        <w:rPr>
          <w:rFonts w:eastAsia="Times New Roman" w:cs="Times New Roman"/>
          <w:sz w:val="24"/>
          <w:szCs w:val="24"/>
          <w:lang w:val="es-ES" w:eastAsia="es-ES"/>
        </w:rPr>
      </w:pPr>
    </w:p>
    <w:p w:rsidR="00EB3BC8" w:rsidRPr="005133E0" w:rsidRDefault="00EB3BC8" w:rsidP="00EB3BC8">
      <w:pPr>
        <w:spacing w:after="0" w:line="240" w:lineRule="auto"/>
        <w:ind w:firstLine="645"/>
        <w:rPr>
          <w:rFonts w:eastAsia="Times New Roman" w:cs="Times New Roman"/>
          <w:sz w:val="24"/>
          <w:szCs w:val="24"/>
          <w:lang w:val="es-ES" w:eastAsia="es-ES"/>
        </w:rPr>
      </w:pPr>
      <w:r w:rsidRPr="005133E0">
        <w:rPr>
          <w:rFonts w:eastAsia="Times New Roman" w:cs="Times New Roman"/>
          <w:sz w:val="24"/>
          <w:szCs w:val="24"/>
          <w:lang w:val="es-ES" w:eastAsia="es-ES"/>
        </w:rPr>
        <w:t xml:space="preserve">                   </w:t>
      </w: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p w:rsidR="00EB3BC8" w:rsidRPr="005133E0" w:rsidRDefault="00EB3BC8" w:rsidP="00EB3BC8">
      <w:pPr>
        <w:spacing w:after="0" w:line="240" w:lineRule="auto"/>
        <w:jc w:val="both"/>
      </w:pPr>
    </w:p>
    <w:bookmarkEnd w:id="264"/>
    <w:bookmarkEnd w:id="265"/>
    <w:bookmarkEnd w:id="266"/>
    <w:bookmarkEnd w:id="267"/>
    <w:p w:rsidR="00EB3BC8" w:rsidRPr="005133E0" w:rsidRDefault="00EB3BC8" w:rsidP="00EB3BC8">
      <w:pPr>
        <w:suppressAutoHyphens/>
        <w:spacing w:after="0" w:line="240" w:lineRule="auto"/>
        <w:jc w:val="both"/>
        <w:rPr>
          <w:rFonts w:ascii="Arial" w:eastAsia="Times New Roman" w:hAnsi="Arial" w:cs="Arial"/>
          <w:lang w:eastAsia="ar-SA"/>
        </w:rPr>
      </w:pPr>
    </w:p>
    <w:p w:rsidR="00EB3BC8" w:rsidRPr="007F4D78" w:rsidRDefault="00EB3BC8" w:rsidP="00EB3BC8">
      <w:pPr>
        <w:spacing w:line="240" w:lineRule="auto"/>
        <w:jc w:val="both"/>
        <w:rPr>
          <w:rFonts w:eastAsia="Times New Roman" w:cstheme="minorHAnsi"/>
          <w:b/>
          <w:lang w:val="es-ES"/>
        </w:rPr>
      </w:pPr>
      <w:r w:rsidRPr="007F4D78">
        <w:rPr>
          <w:rFonts w:eastAsia="Times New Roman" w:cstheme="minorHAnsi"/>
          <w:b/>
          <w:lang w:val="es-ES"/>
        </w:rPr>
        <w:t>17. INFORME DE GESTIÓN PROYECTO LOBOGUERRERO BUGA</w:t>
      </w:r>
    </w:p>
    <w:p w:rsidR="00EB3BC8" w:rsidRPr="005133E0" w:rsidRDefault="00EB3BC8" w:rsidP="00EB3BC8">
      <w:pPr>
        <w:spacing w:after="0" w:line="240" w:lineRule="auto"/>
        <w:rPr>
          <w:rFonts w:ascii="Arial" w:eastAsia="Times New Roman" w:hAnsi="Arial" w:cs="Arial"/>
          <w:lang w:val="es-ES" w:eastAsia="es-ES"/>
        </w:rPr>
      </w:pPr>
    </w:p>
    <w:p w:rsidR="00EB3BC8" w:rsidRPr="00EC588F" w:rsidRDefault="00EC588F" w:rsidP="00EB3BC8">
      <w:pPr>
        <w:spacing w:after="0" w:line="240" w:lineRule="auto"/>
        <w:rPr>
          <w:rFonts w:eastAsia="Times New Roman" w:cstheme="minorHAnsi"/>
          <w:b/>
          <w:bCs/>
          <w:iCs/>
          <w:color w:val="000000"/>
          <w:lang w:eastAsia="es-MX"/>
        </w:rPr>
      </w:pPr>
      <w:r>
        <w:rPr>
          <w:rFonts w:eastAsia="Times New Roman" w:cstheme="minorHAnsi"/>
          <w:b/>
          <w:bCs/>
          <w:iCs/>
          <w:color w:val="000000"/>
          <w:lang w:eastAsia="es-MX"/>
        </w:rPr>
        <w:t>Localizació</w:t>
      </w:r>
      <w:r w:rsidRPr="00EC588F">
        <w:rPr>
          <w:rFonts w:eastAsia="Times New Roman" w:cstheme="minorHAnsi"/>
          <w:b/>
          <w:bCs/>
          <w:iCs/>
          <w:color w:val="000000"/>
          <w:lang w:eastAsia="es-MX"/>
        </w:rPr>
        <w:t>n general del proyecto.</w:t>
      </w:r>
    </w:p>
    <w:p w:rsidR="00EB3BC8" w:rsidRPr="005133E0" w:rsidRDefault="00EB3BC8" w:rsidP="00EB3BC8">
      <w:pPr>
        <w:tabs>
          <w:tab w:val="left" w:pos="710"/>
        </w:tabs>
        <w:autoSpaceDE w:val="0"/>
        <w:autoSpaceDN w:val="0"/>
        <w:adjustRightInd w:val="0"/>
        <w:spacing w:after="0" w:line="240" w:lineRule="auto"/>
        <w:ind w:left="67"/>
        <w:jc w:val="center"/>
        <w:rPr>
          <w:rFonts w:ascii="Arial Narrow" w:eastAsia="Times New Roman" w:hAnsi="Arial Narrow" w:cs="Times New Roman"/>
          <w:color w:val="000000"/>
          <w:sz w:val="24"/>
          <w:szCs w:val="24"/>
          <w:lang w:eastAsia="es-MX"/>
        </w:rPr>
      </w:pPr>
      <w:r w:rsidRPr="005133E0">
        <w:rPr>
          <w:rFonts w:ascii="Arial Narrow" w:eastAsia="Times New Roman" w:hAnsi="Arial Narrow" w:cs="Times New Roman"/>
          <w:noProof/>
          <w:color w:val="000000"/>
          <w:sz w:val="24"/>
          <w:szCs w:val="24"/>
        </w:rPr>
        <w:drawing>
          <wp:inline distT="0" distB="0" distL="0" distR="0" wp14:anchorId="46AD36D2" wp14:editId="7E1CFEBC">
            <wp:extent cx="5404485" cy="255905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4485" cy="2559050"/>
                    </a:xfrm>
                    <a:prstGeom prst="rect">
                      <a:avLst/>
                    </a:prstGeom>
                    <a:noFill/>
                    <a:ln>
                      <a:noFill/>
                    </a:ln>
                  </pic:spPr>
                </pic:pic>
              </a:graphicData>
            </a:graphic>
          </wp:inline>
        </w:drawing>
      </w:r>
    </w:p>
    <w:p w:rsidR="00EB3BC8" w:rsidRPr="005133E0" w:rsidRDefault="00EB3BC8" w:rsidP="00EB3BC8">
      <w:pPr>
        <w:autoSpaceDE w:val="0"/>
        <w:autoSpaceDN w:val="0"/>
        <w:adjustRightInd w:val="0"/>
        <w:spacing w:after="0" w:line="240" w:lineRule="auto"/>
        <w:ind w:left="67"/>
        <w:jc w:val="both"/>
        <w:rPr>
          <w:rFonts w:ascii="Arial Narrow" w:eastAsia="Times New Roman" w:hAnsi="Arial Narrow" w:cs="Times New Roman"/>
          <w:color w:val="000000"/>
          <w:sz w:val="24"/>
          <w:szCs w:val="24"/>
          <w:lang w:eastAsia="es-MX"/>
        </w:rPr>
      </w:pPr>
    </w:p>
    <w:p w:rsidR="00EB3BC8" w:rsidRPr="00EC588F" w:rsidRDefault="00EC588F" w:rsidP="00EC588F">
      <w:pPr>
        <w:spacing w:after="0" w:line="240" w:lineRule="auto"/>
        <w:rPr>
          <w:rFonts w:eastAsia="Times New Roman" w:cstheme="minorHAnsi"/>
          <w:b/>
          <w:lang w:val="es-ES" w:eastAsia="es-ES"/>
        </w:rPr>
      </w:pPr>
      <w:r>
        <w:rPr>
          <w:rFonts w:eastAsia="Times New Roman" w:cstheme="minorHAnsi"/>
          <w:b/>
          <w:lang w:val="es-ES" w:eastAsia="es-ES"/>
        </w:rPr>
        <w:t>Contrato d</w:t>
      </w:r>
      <w:r w:rsidRPr="00EC588F">
        <w:rPr>
          <w:rFonts w:eastAsia="Times New Roman" w:cstheme="minorHAnsi"/>
          <w:b/>
          <w:lang w:val="es-ES" w:eastAsia="es-ES"/>
        </w:rPr>
        <w:t>e Concesión</w:t>
      </w:r>
    </w:p>
    <w:p w:rsidR="00EB3BC8" w:rsidRPr="00EC588F" w:rsidRDefault="00EB3BC8" w:rsidP="00EB3BC8">
      <w:pPr>
        <w:autoSpaceDE w:val="0"/>
        <w:autoSpaceDN w:val="0"/>
        <w:adjustRightInd w:val="0"/>
        <w:spacing w:after="0" w:line="240" w:lineRule="auto"/>
        <w:ind w:left="360"/>
        <w:jc w:val="both"/>
        <w:rPr>
          <w:rFonts w:eastAsia="Times New Roman" w:cstheme="minorHAnsi"/>
          <w:b/>
          <w:bCs/>
          <w:sz w:val="24"/>
          <w:szCs w:val="24"/>
          <w:lang w:val="es-ES" w:eastAsia="es-ES"/>
        </w:rPr>
      </w:pPr>
    </w:p>
    <w:tbl>
      <w:tblPr>
        <w:tblW w:w="869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615"/>
        <w:gridCol w:w="5083"/>
      </w:tblGrid>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Contrato No.</w:t>
            </w:r>
          </w:p>
        </w:tc>
        <w:tc>
          <w:tcPr>
            <w:tcW w:w="5083"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211 de 2013</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Fecha</w:t>
            </w:r>
          </w:p>
        </w:tc>
        <w:tc>
          <w:tcPr>
            <w:tcW w:w="5083" w:type="dxa"/>
            <w:shd w:val="clear" w:color="auto" w:fill="auto"/>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29 de julio de 2013</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Concesionario</w:t>
            </w:r>
          </w:p>
        </w:tc>
        <w:tc>
          <w:tcPr>
            <w:tcW w:w="5083" w:type="dxa"/>
            <w:shd w:val="clear" w:color="auto" w:fill="auto"/>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Concesionario Loboguerrero Buga Sociedad por Acciones Simplificada</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 xml:space="preserve">Valor del contrato </w:t>
            </w:r>
          </w:p>
        </w:tc>
        <w:tc>
          <w:tcPr>
            <w:tcW w:w="5083" w:type="dxa"/>
            <w:shd w:val="clear" w:color="auto" w:fill="auto"/>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$52.631.000.000 ($ constantes 31 dic 2011)</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Plazo estimado del Contrato de Concesión</w:t>
            </w:r>
          </w:p>
        </w:tc>
        <w:tc>
          <w:tcPr>
            <w:tcW w:w="5083"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Tres (3) años</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Fecha de Inicio de la Concesión</w:t>
            </w:r>
          </w:p>
        </w:tc>
        <w:tc>
          <w:tcPr>
            <w:tcW w:w="5083" w:type="dxa"/>
            <w:shd w:val="clear" w:color="auto" w:fill="auto"/>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11 de octubre de 2013</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Duración máxima Etapa Preconstrucción</w:t>
            </w:r>
          </w:p>
        </w:tc>
        <w:tc>
          <w:tcPr>
            <w:tcW w:w="5083"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Cuatro (4) meses</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Duración máxima Etapa Construcción</w:t>
            </w:r>
          </w:p>
        </w:tc>
        <w:tc>
          <w:tcPr>
            <w:tcW w:w="5083" w:type="dxa"/>
            <w:shd w:val="clear" w:color="auto" w:fill="auto"/>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Dieciséis (16) meses</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Duración Etapa de Operación y Mantenimiento</w:t>
            </w:r>
          </w:p>
        </w:tc>
        <w:tc>
          <w:tcPr>
            <w:tcW w:w="5083"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Dieciséis (16) meses</w:t>
            </w:r>
          </w:p>
        </w:tc>
      </w:tr>
      <w:tr w:rsidR="00EB3BC8" w:rsidRPr="00EC588F" w:rsidTr="005E52E0">
        <w:trPr>
          <w:jc w:val="center"/>
        </w:trPr>
        <w:tc>
          <w:tcPr>
            <w:tcW w:w="3615" w:type="dxa"/>
            <w:shd w:val="clear" w:color="auto" w:fill="F2F2F2"/>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Plazo transcurrido en meses</w:t>
            </w:r>
          </w:p>
        </w:tc>
        <w:tc>
          <w:tcPr>
            <w:tcW w:w="5083" w:type="dxa"/>
            <w:shd w:val="clear" w:color="auto" w:fill="auto"/>
          </w:tcPr>
          <w:p w:rsidR="00EB3BC8" w:rsidRPr="00EC588F" w:rsidRDefault="00EB3BC8" w:rsidP="005E52E0">
            <w:pPr>
              <w:spacing w:after="0" w:line="240" w:lineRule="auto"/>
              <w:rPr>
                <w:rFonts w:eastAsia="Times New Roman" w:cstheme="minorHAnsi"/>
                <w:sz w:val="20"/>
                <w:szCs w:val="20"/>
                <w:lang w:val="es-ES" w:eastAsia="es-ES"/>
              </w:rPr>
            </w:pPr>
            <w:r w:rsidRPr="00EC588F">
              <w:rPr>
                <w:rFonts w:eastAsia="Times New Roman" w:cstheme="minorHAnsi"/>
                <w:sz w:val="20"/>
                <w:szCs w:val="20"/>
                <w:lang w:val="es-ES" w:eastAsia="es-ES"/>
              </w:rPr>
              <w:t xml:space="preserve"> Veinte (20) meses</w:t>
            </w:r>
          </w:p>
        </w:tc>
      </w:tr>
    </w:tbl>
    <w:p w:rsidR="00EB3BC8" w:rsidRPr="00EC588F" w:rsidRDefault="00EB3BC8" w:rsidP="00EB3BC8">
      <w:pPr>
        <w:spacing w:after="0" w:line="240" w:lineRule="auto"/>
        <w:rPr>
          <w:rFonts w:eastAsia="Times New Roman" w:cstheme="minorHAnsi"/>
          <w:sz w:val="24"/>
          <w:szCs w:val="24"/>
          <w:lang w:val="es-ES" w:eastAsia="es-ES"/>
        </w:rPr>
      </w:pPr>
    </w:p>
    <w:p w:rsidR="00EB3BC8" w:rsidRPr="00EC588F" w:rsidRDefault="00EC588F" w:rsidP="00EC588F">
      <w:pPr>
        <w:spacing w:after="0" w:line="240" w:lineRule="auto"/>
        <w:rPr>
          <w:rFonts w:eastAsia="Times New Roman" w:cstheme="minorHAnsi"/>
          <w:b/>
          <w:lang w:val="es-ES" w:eastAsia="es-ES"/>
        </w:rPr>
      </w:pPr>
      <w:r>
        <w:rPr>
          <w:rFonts w:eastAsia="Times New Roman" w:cstheme="minorHAnsi"/>
          <w:b/>
          <w:lang w:val="es-ES" w:eastAsia="es-ES"/>
        </w:rPr>
        <w:t>Contrato de Interventorí</w:t>
      </w:r>
      <w:r w:rsidRPr="00EC588F">
        <w:rPr>
          <w:rFonts w:eastAsia="Times New Roman" w:cstheme="minorHAnsi"/>
          <w:b/>
          <w:lang w:val="es-ES" w:eastAsia="es-ES"/>
        </w:rPr>
        <w:t>a</w:t>
      </w:r>
    </w:p>
    <w:p w:rsidR="00EB3BC8" w:rsidRPr="00EC588F" w:rsidRDefault="00EB3BC8" w:rsidP="00EB3BC8">
      <w:pPr>
        <w:spacing w:after="0" w:line="240" w:lineRule="auto"/>
        <w:rPr>
          <w:rFonts w:eastAsia="Times New Roman" w:cstheme="minorHAnsi"/>
          <w:sz w:val="24"/>
          <w:szCs w:val="24"/>
          <w:lang w:val="es-ES" w:eastAsia="es-ES"/>
        </w:rPr>
      </w:pPr>
    </w:p>
    <w:tbl>
      <w:tblPr>
        <w:tblStyle w:val="Tablaconcuadrcula80"/>
        <w:tblW w:w="8698" w:type="dxa"/>
        <w:tblLayout w:type="fixed"/>
        <w:tblLook w:val="0000" w:firstRow="0" w:lastRow="0" w:firstColumn="0" w:lastColumn="0" w:noHBand="0" w:noVBand="0"/>
      </w:tblPr>
      <w:tblGrid>
        <w:gridCol w:w="3615"/>
        <w:gridCol w:w="5083"/>
      </w:tblGrid>
      <w:tr w:rsidR="00EB3BC8" w:rsidRPr="00EC588F" w:rsidTr="005E52E0">
        <w:tc>
          <w:tcPr>
            <w:tcW w:w="3615"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Contrato No.</w:t>
            </w:r>
          </w:p>
        </w:tc>
        <w:tc>
          <w:tcPr>
            <w:tcW w:w="5083"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282 de 2013</w:t>
            </w:r>
          </w:p>
        </w:tc>
      </w:tr>
      <w:tr w:rsidR="00EB3BC8" w:rsidRPr="00EC588F" w:rsidTr="005E52E0">
        <w:tc>
          <w:tcPr>
            <w:tcW w:w="3615"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Interventoría</w:t>
            </w:r>
          </w:p>
        </w:tc>
        <w:tc>
          <w:tcPr>
            <w:tcW w:w="5083"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Consorcio Intercon</w:t>
            </w:r>
          </w:p>
        </w:tc>
      </w:tr>
      <w:tr w:rsidR="00EB3BC8" w:rsidRPr="00EC588F" w:rsidTr="005E52E0">
        <w:tc>
          <w:tcPr>
            <w:tcW w:w="3615"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 xml:space="preserve">Valor del contrato </w:t>
            </w:r>
          </w:p>
        </w:tc>
        <w:tc>
          <w:tcPr>
            <w:tcW w:w="5083"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eastAsia="es-ES"/>
              </w:rPr>
              <w:t>$4,488,645,026</w:t>
            </w:r>
          </w:p>
        </w:tc>
      </w:tr>
      <w:tr w:rsidR="00EB3BC8" w:rsidRPr="00EC588F" w:rsidTr="005E52E0">
        <w:tc>
          <w:tcPr>
            <w:tcW w:w="3615"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Plazo estimado del Contrato de Concesión</w:t>
            </w:r>
          </w:p>
        </w:tc>
        <w:tc>
          <w:tcPr>
            <w:tcW w:w="5083"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Tres (3) años</w:t>
            </w:r>
          </w:p>
        </w:tc>
      </w:tr>
      <w:tr w:rsidR="00EB3BC8" w:rsidRPr="00EC588F" w:rsidTr="005E52E0">
        <w:tc>
          <w:tcPr>
            <w:tcW w:w="3615"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Plazo transcurrido en meses</w:t>
            </w:r>
          </w:p>
        </w:tc>
        <w:tc>
          <w:tcPr>
            <w:tcW w:w="5083" w:type="dxa"/>
          </w:tcPr>
          <w:p w:rsidR="00EB3BC8" w:rsidRPr="00EC588F" w:rsidRDefault="00EB3BC8" w:rsidP="005E52E0">
            <w:pPr>
              <w:rPr>
                <w:rFonts w:asciiTheme="minorHAnsi" w:hAnsiTheme="minorHAnsi" w:cstheme="minorHAnsi"/>
                <w:lang w:val="es-ES" w:eastAsia="es-ES"/>
              </w:rPr>
            </w:pPr>
            <w:r w:rsidRPr="00EC588F">
              <w:rPr>
                <w:rFonts w:asciiTheme="minorHAnsi" w:hAnsiTheme="minorHAnsi" w:cstheme="minorHAnsi"/>
                <w:lang w:val="es-ES" w:eastAsia="es-ES"/>
              </w:rPr>
              <w:t>Veinte (20) meses</w:t>
            </w:r>
          </w:p>
        </w:tc>
      </w:tr>
    </w:tbl>
    <w:p w:rsidR="00EB3BC8" w:rsidRPr="00EC588F" w:rsidRDefault="00EC588F" w:rsidP="00EC588F">
      <w:pPr>
        <w:keepNext/>
        <w:spacing w:before="240" w:after="60" w:line="240" w:lineRule="auto"/>
        <w:outlineLvl w:val="1"/>
        <w:rPr>
          <w:rFonts w:eastAsia="Times New Roman" w:cstheme="minorHAnsi"/>
          <w:b/>
          <w:bCs/>
          <w:iCs/>
          <w:lang w:eastAsia="es-ES"/>
        </w:rPr>
      </w:pPr>
      <w:bookmarkStart w:id="268" w:name="_Toc426547764"/>
      <w:bookmarkStart w:id="269" w:name="_Toc426558493"/>
      <w:bookmarkStart w:id="270" w:name="_Toc370556981"/>
      <w:bookmarkStart w:id="271" w:name="_Toc373156952"/>
      <w:bookmarkStart w:id="272" w:name="_Toc426559237"/>
      <w:r w:rsidRPr="00EC588F">
        <w:rPr>
          <w:rFonts w:eastAsia="Times New Roman" w:cstheme="minorHAnsi"/>
          <w:b/>
          <w:bCs/>
          <w:iCs/>
          <w:lang w:eastAsia="es-ES"/>
        </w:rPr>
        <w:lastRenderedPageBreak/>
        <w:t>Valor del Contrato</w:t>
      </w:r>
      <w:bookmarkEnd w:id="268"/>
      <w:bookmarkEnd w:id="269"/>
      <w:bookmarkEnd w:id="272"/>
      <w:r w:rsidRPr="00EC588F">
        <w:rPr>
          <w:rFonts w:eastAsia="Times New Roman" w:cstheme="minorHAnsi"/>
          <w:b/>
          <w:bCs/>
          <w:iCs/>
          <w:lang w:eastAsia="es-ES"/>
        </w:rPr>
        <w:t xml:space="preserve"> </w:t>
      </w:r>
      <w:bookmarkEnd w:id="270"/>
      <w:bookmarkEnd w:id="271"/>
      <w:r w:rsidRPr="00EC588F">
        <w:rPr>
          <w:rFonts w:eastAsia="Times New Roman" w:cstheme="minorHAnsi"/>
          <w:b/>
          <w:bCs/>
          <w:iCs/>
          <w:lang w:eastAsia="es-ES"/>
        </w:rPr>
        <w:t xml:space="preserve"> </w:t>
      </w:r>
    </w:p>
    <w:p w:rsidR="00EB3BC8" w:rsidRPr="00EC588F" w:rsidRDefault="00EB3BC8" w:rsidP="00EB3BC8">
      <w:pPr>
        <w:spacing w:after="0" w:line="240" w:lineRule="auto"/>
        <w:rPr>
          <w:rFonts w:eastAsia="Times New Roman" w:cstheme="minorHAnsi"/>
          <w:sz w:val="24"/>
          <w:szCs w:val="24"/>
          <w:lang w:val="es-ES" w:eastAsia="es-ES"/>
        </w:rPr>
      </w:pPr>
    </w:p>
    <w:tbl>
      <w:tblPr>
        <w:tblStyle w:val="Tabladecuadrcula3-nfasis5"/>
        <w:tblW w:w="8440" w:type="dxa"/>
        <w:tblLook w:val="0600" w:firstRow="0" w:lastRow="0" w:firstColumn="0" w:lastColumn="0" w:noHBand="1" w:noVBand="1"/>
      </w:tblPr>
      <w:tblGrid>
        <w:gridCol w:w="5805"/>
        <w:gridCol w:w="2635"/>
      </w:tblGrid>
      <w:tr w:rsidR="00EB3BC8" w:rsidRPr="00EC588F" w:rsidTr="005E52E0">
        <w:trPr>
          <w:trHeight w:val="330"/>
        </w:trPr>
        <w:tc>
          <w:tcPr>
            <w:tcW w:w="5805"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Etapa en que se encuentra</w:t>
            </w:r>
          </w:p>
        </w:tc>
        <w:tc>
          <w:tcPr>
            <w:tcW w:w="2635" w:type="dxa"/>
            <w:hideMark/>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Operación y mantenimiento</w:t>
            </w:r>
          </w:p>
        </w:tc>
      </w:tr>
      <w:tr w:rsidR="00EB3BC8" w:rsidRPr="00EC588F" w:rsidTr="005E52E0">
        <w:trPr>
          <w:trHeight w:val="324"/>
        </w:trPr>
        <w:tc>
          <w:tcPr>
            <w:tcW w:w="5805" w:type="dxa"/>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Estado del contrato Concesión e Interventoría</w:t>
            </w:r>
          </w:p>
        </w:tc>
        <w:tc>
          <w:tcPr>
            <w:tcW w:w="2635" w:type="dxa"/>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En ejecución</w:t>
            </w:r>
          </w:p>
        </w:tc>
      </w:tr>
      <w:tr w:rsidR="00EB3BC8" w:rsidRPr="00EC588F" w:rsidTr="005E52E0">
        <w:trPr>
          <w:trHeight w:val="356"/>
        </w:trPr>
        <w:tc>
          <w:tcPr>
            <w:tcW w:w="5805"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Porcentaje de tiempo transcurrido del plazo de construcción de obras</w:t>
            </w:r>
          </w:p>
        </w:tc>
        <w:tc>
          <w:tcPr>
            <w:tcW w:w="2635" w:type="dxa"/>
            <w:hideMark/>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330"/>
        </w:trPr>
        <w:tc>
          <w:tcPr>
            <w:tcW w:w="5805"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Porcentaje de ejecución de obras</w:t>
            </w:r>
          </w:p>
        </w:tc>
        <w:tc>
          <w:tcPr>
            <w:tcW w:w="2635" w:type="dxa"/>
            <w:hideMark/>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330"/>
        </w:trPr>
        <w:tc>
          <w:tcPr>
            <w:tcW w:w="5805"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val="es-ES" w:eastAsia="es-ES"/>
              </w:rPr>
              <w:t>Valor del proyecto (31 de Dic. 2011)</w:t>
            </w:r>
          </w:p>
        </w:tc>
        <w:tc>
          <w:tcPr>
            <w:tcW w:w="2635" w:type="dxa"/>
            <w:hideMark/>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            52.631.000.000</w:t>
            </w:r>
          </w:p>
        </w:tc>
      </w:tr>
      <w:tr w:rsidR="00EB3BC8" w:rsidRPr="00EC588F" w:rsidTr="005E52E0">
        <w:trPr>
          <w:trHeight w:val="330"/>
        </w:trPr>
        <w:tc>
          <w:tcPr>
            <w:tcW w:w="5805" w:type="dxa"/>
          </w:tcPr>
          <w:p w:rsidR="00EB3BC8" w:rsidRPr="00EC588F" w:rsidRDefault="00EB3BC8" w:rsidP="005E52E0">
            <w:pPr>
              <w:tabs>
                <w:tab w:val="left" w:pos="3840"/>
              </w:tabs>
              <w:rPr>
                <w:rFonts w:asciiTheme="minorHAnsi" w:hAnsiTheme="minorHAnsi" w:cstheme="minorHAnsi"/>
                <w:lang w:eastAsia="es-ES"/>
              </w:rPr>
            </w:pPr>
            <w:r w:rsidRPr="00EC588F">
              <w:rPr>
                <w:rFonts w:asciiTheme="minorHAnsi" w:hAnsiTheme="minorHAnsi" w:cstheme="minorHAnsi"/>
                <w:lang w:val="es-ES" w:eastAsia="es-ES"/>
              </w:rPr>
              <w:t>Valor del proyecto (31 de Dic. 2014)</w:t>
            </w:r>
            <w:r w:rsidRPr="00EC588F">
              <w:rPr>
                <w:rFonts w:asciiTheme="minorHAnsi" w:hAnsiTheme="minorHAnsi" w:cstheme="minorHAnsi"/>
                <w:lang w:val="es-ES" w:eastAsia="es-ES"/>
              </w:rPr>
              <w:tab/>
            </w:r>
          </w:p>
        </w:tc>
        <w:tc>
          <w:tcPr>
            <w:tcW w:w="2635" w:type="dxa"/>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            56.965.487.816</w:t>
            </w:r>
          </w:p>
        </w:tc>
      </w:tr>
      <w:tr w:rsidR="00EB3BC8" w:rsidRPr="00EC588F" w:rsidTr="005E52E0">
        <w:trPr>
          <w:trHeight w:val="330"/>
        </w:trPr>
        <w:tc>
          <w:tcPr>
            <w:tcW w:w="5805" w:type="dxa"/>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VPIP Esperado</w:t>
            </w:r>
          </w:p>
        </w:tc>
        <w:tc>
          <w:tcPr>
            <w:tcW w:w="2635" w:type="dxa"/>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            38.235.000.000</w:t>
            </w:r>
          </w:p>
        </w:tc>
      </w:tr>
      <w:tr w:rsidR="00EB3BC8" w:rsidRPr="00EC588F" w:rsidTr="005E52E0">
        <w:trPr>
          <w:trHeight w:val="330"/>
        </w:trPr>
        <w:tc>
          <w:tcPr>
            <w:tcW w:w="5805" w:type="dxa"/>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Vigencias futuras proyectado (31 de Dic 2011)</w:t>
            </w:r>
          </w:p>
        </w:tc>
        <w:tc>
          <w:tcPr>
            <w:tcW w:w="2635" w:type="dxa"/>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            14.396.000.000</w:t>
            </w:r>
          </w:p>
        </w:tc>
      </w:tr>
      <w:tr w:rsidR="00EB3BC8" w:rsidRPr="00EC588F" w:rsidTr="005E52E0">
        <w:trPr>
          <w:trHeight w:val="330"/>
        </w:trPr>
        <w:tc>
          <w:tcPr>
            <w:tcW w:w="5805" w:type="dxa"/>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Vigencias futuras proyectado (31 de Dic 2014)</w:t>
            </w:r>
          </w:p>
        </w:tc>
        <w:tc>
          <w:tcPr>
            <w:tcW w:w="2635" w:type="dxa"/>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            18.683.963.570</w:t>
            </w:r>
          </w:p>
        </w:tc>
      </w:tr>
      <w:tr w:rsidR="00EB3BC8" w:rsidRPr="00EC588F" w:rsidTr="005E52E0">
        <w:trPr>
          <w:trHeight w:val="330"/>
        </w:trPr>
        <w:tc>
          <w:tcPr>
            <w:tcW w:w="5805"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VPIP Generado (junio 30 de 2015)</w:t>
            </w:r>
          </w:p>
        </w:tc>
        <w:tc>
          <w:tcPr>
            <w:tcW w:w="2635" w:type="dxa"/>
            <w:hideMark/>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            30.669.274.929</w:t>
            </w:r>
          </w:p>
        </w:tc>
      </w:tr>
      <w:tr w:rsidR="00EB3BC8" w:rsidRPr="00EC588F" w:rsidTr="005E52E0">
        <w:trPr>
          <w:trHeight w:val="330"/>
        </w:trPr>
        <w:tc>
          <w:tcPr>
            <w:tcW w:w="5805"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Porcentaje recaudo VPIP (junio de 2015)</w:t>
            </w:r>
          </w:p>
        </w:tc>
        <w:tc>
          <w:tcPr>
            <w:tcW w:w="2635" w:type="dxa"/>
            <w:hideMark/>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lang w:eastAsia="es-ES"/>
              </w:rPr>
              <w:t>80%</w:t>
            </w:r>
          </w:p>
        </w:tc>
      </w:tr>
    </w:tbl>
    <w:p w:rsidR="00EB3BC8" w:rsidRPr="005133E0" w:rsidRDefault="00EB3BC8" w:rsidP="00EB3BC8">
      <w:pPr>
        <w:spacing w:after="0" w:line="240" w:lineRule="auto"/>
        <w:rPr>
          <w:rFonts w:ascii="Arial Narrow" w:eastAsia="Times New Roman" w:hAnsi="Arial Narrow" w:cs="Times New Roman"/>
          <w:sz w:val="24"/>
          <w:szCs w:val="24"/>
          <w:lang w:val="es-ES" w:eastAsia="es-ES"/>
        </w:rPr>
      </w:pPr>
    </w:p>
    <w:p w:rsidR="00EB3BC8" w:rsidRPr="00EC588F" w:rsidRDefault="00EC588F" w:rsidP="00EC588F">
      <w:pPr>
        <w:keepNext/>
        <w:spacing w:after="0" w:line="240" w:lineRule="auto"/>
        <w:jc w:val="both"/>
        <w:outlineLvl w:val="0"/>
        <w:rPr>
          <w:rFonts w:eastAsia="Times New Roman" w:cstheme="minorHAnsi"/>
          <w:b/>
          <w:lang w:eastAsia="es-ES"/>
        </w:rPr>
      </w:pPr>
      <w:bookmarkStart w:id="273" w:name="_Toc426547765"/>
      <w:bookmarkStart w:id="274" w:name="_Toc426558494"/>
      <w:bookmarkStart w:id="275" w:name="_Toc426559238"/>
      <w:r w:rsidRPr="00EC588F">
        <w:rPr>
          <w:rFonts w:eastAsia="Times New Roman" w:cstheme="minorHAnsi"/>
          <w:b/>
          <w:lang w:eastAsia="es-ES"/>
        </w:rPr>
        <w:t>Alcance</w:t>
      </w:r>
      <w:bookmarkEnd w:id="273"/>
      <w:bookmarkEnd w:id="274"/>
      <w:bookmarkEnd w:id="275"/>
    </w:p>
    <w:p w:rsidR="00EB3BC8" w:rsidRPr="00EC588F" w:rsidRDefault="00EB3BC8" w:rsidP="00EB3BC8">
      <w:pPr>
        <w:spacing w:after="0" w:line="240" w:lineRule="auto"/>
        <w:rPr>
          <w:rFonts w:eastAsia="Times New Roman" w:cstheme="minorHAnsi"/>
          <w:sz w:val="24"/>
          <w:szCs w:val="24"/>
          <w:lang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El objeto del proyecto incluye  la rehabilitación de 55,4 km de Calzada existente y atención a doce sitios críticos más dos (2) sitios vulnerables adicionales identificados en sector 1, actividades de mantenimiento rutinario de la calzada existente  y prestación de los servicios de Operación. Dos de los sitios vulnerables corresponden a un solo punto. En total se tienen 13 puntos.</w:t>
      </w:r>
    </w:p>
    <w:p w:rsidR="00EB3BC8" w:rsidRPr="00EC588F" w:rsidRDefault="00EB3BC8" w:rsidP="00EB3BC8">
      <w:pPr>
        <w:spacing w:after="0" w:line="240" w:lineRule="auto"/>
        <w:rPr>
          <w:rFonts w:eastAsia="Times New Roman" w:cstheme="minorHAnsi"/>
          <w:lang w:val="es-ES"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La longitud real a intervenir corresponde a 51,39 km, dado que de acuerdo al contrato se descuentan los tramos de entrecruzamiento con la doble calzada y quedan a cargo de la UTDVVCC.</w:t>
      </w:r>
    </w:p>
    <w:p w:rsidR="00EB3BC8" w:rsidRPr="005133E0" w:rsidRDefault="00EB3BC8" w:rsidP="00EB3BC8">
      <w:pPr>
        <w:spacing w:after="0" w:line="240" w:lineRule="auto"/>
        <w:jc w:val="both"/>
        <w:rPr>
          <w:rFonts w:ascii="Arial" w:eastAsia="Times New Roman" w:hAnsi="Arial" w:cs="Arial"/>
          <w:lang w:val="es-ES" w:eastAsia="es-ES"/>
        </w:rPr>
      </w:pPr>
    </w:p>
    <w:p w:rsidR="00EB3BC8" w:rsidRPr="005133E0" w:rsidRDefault="00EB3BC8" w:rsidP="00EB3BC8">
      <w:pPr>
        <w:spacing w:after="0" w:line="240" w:lineRule="auto"/>
        <w:rPr>
          <w:rFonts w:ascii="Arial" w:eastAsia="Times New Roman" w:hAnsi="Arial" w:cs="Arial"/>
          <w:lang w:eastAsia="es-ES"/>
        </w:rPr>
      </w:pPr>
    </w:p>
    <w:p w:rsidR="00EB3BC8" w:rsidRPr="00EC588F" w:rsidRDefault="00EC588F" w:rsidP="00EC588F">
      <w:pPr>
        <w:keepNext/>
        <w:spacing w:after="0" w:line="240" w:lineRule="auto"/>
        <w:jc w:val="both"/>
        <w:outlineLvl w:val="0"/>
        <w:rPr>
          <w:rFonts w:eastAsia="Times New Roman" w:cstheme="minorHAnsi"/>
          <w:b/>
          <w:lang w:eastAsia="es-ES"/>
        </w:rPr>
      </w:pPr>
      <w:bookmarkStart w:id="276" w:name="_Toc426547766"/>
      <w:bookmarkStart w:id="277" w:name="_Toc426558495"/>
      <w:bookmarkStart w:id="278" w:name="_Toc426559239"/>
      <w:r w:rsidRPr="00EC588F">
        <w:rPr>
          <w:rFonts w:eastAsia="Times New Roman" w:cstheme="minorHAnsi"/>
          <w:b/>
          <w:lang w:eastAsia="es-ES"/>
        </w:rPr>
        <w:t>Etapa en que se encuentra el proyecto.</w:t>
      </w:r>
      <w:bookmarkEnd w:id="276"/>
      <w:bookmarkEnd w:id="277"/>
      <w:bookmarkEnd w:id="278"/>
    </w:p>
    <w:p w:rsidR="00EB3BC8" w:rsidRPr="00EC588F" w:rsidRDefault="00EB3BC8" w:rsidP="00EB3BC8">
      <w:pPr>
        <w:spacing w:after="0" w:line="240" w:lineRule="auto"/>
        <w:rPr>
          <w:rFonts w:eastAsia="Times New Roman" w:cstheme="minorHAnsi"/>
          <w:lang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 xml:space="preserve">El Proyecto actualmente se encuentra en la Etapa de Operación, la cual tiene una duración de 16 meses con fecha de inicio el 11 de junio de 2015 y </w:t>
      </w:r>
      <w:r w:rsidRPr="00EC588F">
        <w:rPr>
          <w:rFonts w:eastAsia="Times New Roman" w:cstheme="minorHAnsi"/>
          <w:color w:val="000000"/>
          <w:lang w:eastAsia="es-MX"/>
        </w:rPr>
        <w:t xml:space="preserve">terminación 10 de octubre de 2016. </w:t>
      </w: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La etapa de construcción terminó el 10 de junio de 2015, el periodo de revisión de las actividades de obra, medición de indicadores y de los informes sociales y ambientales y de  memorias técnicas duro un mes, conforme los términos establecidos en el contrato. El acta de inicio de operación se firmó el 11 de julio de 2015.</w:t>
      </w:r>
    </w:p>
    <w:p w:rsidR="00EB3BC8" w:rsidRPr="005133E0" w:rsidRDefault="00EB3BC8" w:rsidP="00EB3BC8">
      <w:pPr>
        <w:spacing w:after="0" w:line="240" w:lineRule="auto"/>
        <w:jc w:val="both"/>
        <w:rPr>
          <w:rFonts w:ascii="Arial" w:eastAsia="Times New Roman" w:hAnsi="Arial" w:cs="Arial"/>
          <w:lang w:val="es-ES" w:eastAsia="es-ES"/>
        </w:rPr>
      </w:pPr>
    </w:p>
    <w:p w:rsidR="00EB3BC8" w:rsidRPr="00EC588F" w:rsidRDefault="00EC588F" w:rsidP="00EC588F">
      <w:pPr>
        <w:keepNext/>
        <w:spacing w:after="0" w:line="240" w:lineRule="auto"/>
        <w:jc w:val="both"/>
        <w:outlineLvl w:val="0"/>
        <w:rPr>
          <w:rFonts w:eastAsia="Times New Roman" w:cstheme="minorHAnsi"/>
          <w:b/>
          <w:lang w:eastAsia="es-ES"/>
        </w:rPr>
      </w:pPr>
      <w:bookmarkStart w:id="279" w:name="_Toc426547767"/>
      <w:bookmarkStart w:id="280" w:name="_Toc426558496"/>
      <w:bookmarkStart w:id="281" w:name="_Toc426559240"/>
      <w:r w:rsidRPr="00EC588F">
        <w:rPr>
          <w:rFonts w:eastAsia="Times New Roman" w:cstheme="minorHAnsi"/>
          <w:b/>
          <w:lang w:eastAsia="es-ES"/>
        </w:rPr>
        <w:t>Problemática</w:t>
      </w:r>
      <w:bookmarkEnd w:id="279"/>
      <w:bookmarkEnd w:id="280"/>
      <w:bookmarkEnd w:id="281"/>
    </w:p>
    <w:p w:rsidR="00EB3BC8" w:rsidRPr="00EC588F" w:rsidRDefault="00EB3BC8" w:rsidP="00EB3BC8">
      <w:pPr>
        <w:spacing w:after="0" w:line="240" w:lineRule="auto"/>
        <w:jc w:val="both"/>
        <w:rPr>
          <w:rFonts w:eastAsia="Times New Roman" w:cstheme="minorHAnsi"/>
          <w:lang w:val="es-ES"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 xml:space="preserve">Al momento ninguna, </w:t>
      </w: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Se tiene para el siguiente mes el cierre de la calzada a partir del día de 17 se realizará el cierre de la vía por parte de  la UTDVVCC,  entre el km 64+000 al km 86+100 de acuerdo a la resolución 04306 del 26 de junio de 2015, durante los siguientes horarios: Domingos, Lunes y Martes de 7:00 a 20:00; Miércoles, Jueves y Viernes de 11:00 a 20:00 los días sábados no se está llevará a cabo el cierre de vía.</w:t>
      </w:r>
    </w:p>
    <w:p w:rsidR="00EB3BC8" w:rsidRPr="005133E0" w:rsidRDefault="00EB3BC8" w:rsidP="00EB3BC8">
      <w:pPr>
        <w:spacing w:after="0" w:line="240" w:lineRule="auto"/>
        <w:jc w:val="both"/>
        <w:rPr>
          <w:rFonts w:ascii="Arial" w:eastAsia="Times New Roman" w:hAnsi="Arial" w:cs="Arial"/>
          <w:lang w:val="es-ES" w:eastAsia="es-ES"/>
        </w:rPr>
      </w:pPr>
    </w:p>
    <w:p w:rsidR="00EB3BC8" w:rsidRPr="005133E0" w:rsidRDefault="00EB3BC8" w:rsidP="00EB3BC8">
      <w:pPr>
        <w:spacing w:after="0" w:line="240" w:lineRule="auto"/>
        <w:jc w:val="both"/>
        <w:rPr>
          <w:rFonts w:ascii="Arial" w:eastAsia="Times New Roman" w:hAnsi="Arial" w:cs="Arial"/>
          <w:lang w:val="es-ES" w:eastAsia="es-ES"/>
        </w:rPr>
      </w:pPr>
    </w:p>
    <w:p w:rsidR="00EB3BC8" w:rsidRPr="00EC588F" w:rsidRDefault="00EC588F" w:rsidP="00EC588F">
      <w:pPr>
        <w:spacing w:after="0" w:line="240" w:lineRule="auto"/>
        <w:jc w:val="both"/>
        <w:rPr>
          <w:rFonts w:eastAsia="Times New Roman" w:cstheme="minorHAnsi"/>
          <w:lang w:eastAsia="es-ES"/>
        </w:rPr>
      </w:pPr>
      <w:r w:rsidRPr="00EC588F">
        <w:rPr>
          <w:rFonts w:eastAsia="Times New Roman" w:cstheme="minorHAnsi"/>
          <w:b/>
          <w:bCs/>
          <w:kern w:val="32"/>
          <w:lang w:val="es-ES" w:eastAsia="es-ES"/>
        </w:rPr>
        <w:lastRenderedPageBreak/>
        <w:t>Cumplimiento Plan de Acción</w:t>
      </w:r>
    </w:p>
    <w:p w:rsidR="00EB3BC8" w:rsidRPr="00EC588F" w:rsidRDefault="00EB3BC8" w:rsidP="00EB3BC8">
      <w:pPr>
        <w:spacing w:after="0" w:line="240" w:lineRule="auto"/>
        <w:ind w:left="720"/>
        <w:jc w:val="both"/>
        <w:rPr>
          <w:rFonts w:eastAsia="Times New Roman" w:cstheme="minorHAnsi"/>
          <w:lang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A la fecha la obra se encuentra terminada en un 100%, fecha de terminación 10 de junio de 2015, cumpliendo con lo programado. Para el primer trimestre del 2015, se ejecutaron 13,6 km y en el segundo trimestre del 2015, los 12,9 km faltantes.</w:t>
      </w:r>
    </w:p>
    <w:p w:rsidR="00EB3BC8" w:rsidRPr="00EC588F" w:rsidRDefault="00EB3BC8" w:rsidP="00EB3BC8">
      <w:pPr>
        <w:spacing w:after="0" w:line="240" w:lineRule="auto"/>
        <w:jc w:val="both"/>
        <w:rPr>
          <w:rFonts w:eastAsia="Times New Roman" w:cstheme="minorHAnsi"/>
          <w:lang w:val="es-ES"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El objeto del proyecto incluía la rehabilitación de 55,4 km, la longitud real a intervenir corresponde a 51,39 km, dado que de acuerdo al contrato se descuentan los tramos de entrecruzamiento con la doble calzada y quedan a cargo de la UTDVVCC.</w:t>
      </w:r>
    </w:p>
    <w:p w:rsidR="00EB3BC8" w:rsidRPr="005133E0" w:rsidRDefault="00EB3BC8" w:rsidP="00EB3BC8">
      <w:pPr>
        <w:spacing w:after="0" w:line="240" w:lineRule="auto"/>
        <w:jc w:val="both"/>
        <w:rPr>
          <w:rFonts w:ascii="Arial Narrow" w:eastAsia="Times New Roman" w:hAnsi="Arial Narrow" w:cs="Arial"/>
          <w:sz w:val="24"/>
          <w:szCs w:val="24"/>
          <w:lang w:val="es-ES" w:eastAsia="es-ES"/>
        </w:rPr>
      </w:pPr>
    </w:p>
    <w:p w:rsidR="00EB3BC8" w:rsidRPr="005133E0" w:rsidRDefault="00EB3BC8" w:rsidP="00EB3BC8">
      <w:pPr>
        <w:spacing w:after="0" w:line="240" w:lineRule="auto"/>
        <w:jc w:val="both"/>
        <w:rPr>
          <w:rFonts w:ascii="Calibri" w:eastAsia="Times New Roman" w:hAnsi="Calibri" w:cs="Arial"/>
          <w:sz w:val="20"/>
          <w:szCs w:val="20"/>
          <w:lang w:val="es-ES" w:eastAsia="es-ES"/>
        </w:rPr>
      </w:pPr>
    </w:p>
    <w:tbl>
      <w:tblPr>
        <w:tblStyle w:val="Tabladecuadrcula6concolores-nfasis5"/>
        <w:tblW w:w="7366" w:type="dxa"/>
        <w:jc w:val="center"/>
        <w:tblLook w:val="04A0" w:firstRow="1" w:lastRow="0" w:firstColumn="1" w:lastColumn="0" w:noHBand="0" w:noVBand="1"/>
      </w:tblPr>
      <w:tblGrid>
        <w:gridCol w:w="1696"/>
        <w:gridCol w:w="2127"/>
        <w:gridCol w:w="850"/>
        <w:gridCol w:w="1276"/>
        <w:gridCol w:w="1417"/>
      </w:tblGrid>
      <w:tr w:rsidR="00EB3BC8" w:rsidRPr="00D67F1D" w:rsidTr="005E52E0">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auto"/>
            <w:hideMark/>
          </w:tcPr>
          <w:p w:rsidR="00EB3BC8" w:rsidRPr="00D67F1D" w:rsidRDefault="00EB3BC8" w:rsidP="005E52E0">
            <w:pPr>
              <w:jc w:val="center"/>
              <w:rPr>
                <w:rFonts w:asciiTheme="minorHAnsi" w:hAnsiTheme="minorHAnsi" w:cstheme="minorHAnsi"/>
                <w:b w:val="0"/>
                <w:bCs w:val="0"/>
                <w:color w:val="000000"/>
                <w:sz w:val="18"/>
                <w:szCs w:val="24"/>
              </w:rPr>
            </w:pPr>
            <w:r w:rsidRPr="00D67F1D">
              <w:rPr>
                <w:rFonts w:asciiTheme="minorHAnsi" w:hAnsiTheme="minorHAnsi" w:cstheme="minorHAnsi"/>
                <w:color w:val="000000"/>
                <w:sz w:val="18"/>
                <w:szCs w:val="24"/>
                <w:lang w:val="es-ES" w:eastAsia="es-ES"/>
              </w:rPr>
              <w:t>MES</w:t>
            </w:r>
          </w:p>
        </w:tc>
        <w:tc>
          <w:tcPr>
            <w:tcW w:w="5670" w:type="dxa"/>
            <w:gridSpan w:val="4"/>
            <w:shd w:val="clear" w:color="auto" w:fill="auto"/>
            <w:hideMark/>
          </w:tcPr>
          <w:p w:rsidR="00EB3BC8" w:rsidRPr="00D67F1D" w:rsidRDefault="00EC588F"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 xml:space="preserve">km rehabilitación </w:t>
            </w:r>
          </w:p>
        </w:tc>
      </w:tr>
      <w:tr w:rsidR="00EB3BC8" w:rsidRPr="00D67F1D" w:rsidTr="005E52E0">
        <w:trPr>
          <w:cnfStyle w:val="000000100000" w:firstRow="0" w:lastRow="0" w:firstColumn="0" w:lastColumn="0" w:oddVBand="0" w:evenVBand="0" w:oddHBand="1"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auto"/>
            <w:hideMark/>
          </w:tcPr>
          <w:p w:rsidR="00EB3BC8" w:rsidRPr="00D67F1D" w:rsidRDefault="00EB3BC8" w:rsidP="005E52E0">
            <w:pPr>
              <w:rPr>
                <w:rFonts w:asciiTheme="minorHAnsi" w:hAnsiTheme="minorHAnsi" w:cstheme="minorHAnsi"/>
                <w:color w:val="000000"/>
                <w:sz w:val="18"/>
                <w:szCs w:val="24"/>
                <w:lang w:val="es-ES" w:eastAsia="es-ES"/>
              </w:rPr>
            </w:pPr>
          </w:p>
        </w:tc>
        <w:tc>
          <w:tcPr>
            <w:tcW w:w="2127" w:type="dxa"/>
            <w:vMerge w:val="restart"/>
            <w:shd w:val="clear" w:color="auto" w:fill="auto"/>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META</w:t>
            </w:r>
            <w:r w:rsidRPr="00D67F1D">
              <w:rPr>
                <w:rFonts w:asciiTheme="minorHAnsi" w:hAnsiTheme="minorHAnsi" w:cstheme="minorHAnsi"/>
                <w:bCs/>
                <w:color w:val="000000"/>
                <w:sz w:val="18"/>
                <w:szCs w:val="24"/>
                <w:lang w:val="es-ES" w:eastAsia="es-ES"/>
              </w:rPr>
              <w:br/>
              <w:t>2015</w:t>
            </w:r>
          </w:p>
        </w:tc>
        <w:tc>
          <w:tcPr>
            <w:tcW w:w="850" w:type="dxa"/>
            <w:vMerge w:val="restart"/>
            <w:shd w:val="clear" w:color="auto" w:fill="auto"/>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EJEC</w:t>
            </w:r>
          </w:p>
        </w:tc>
        <w:tc>
          <w:tcPr>
            <w:tcW w:w="1276" w:type="dxa"/>
            <w:vMerge w:val="restart"/>
            <w:shd w:val="clear" w:color="auto" w:fill="auto"/>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  AVAN</w:t>
            </w:r>
          </w:p>
        </w:tc>
        <w:tc>
          <w:tcPr>
            <w:tcW w:w="1417" w:type="dxa"/>
            <w:vMerge w:val="restart"/>
            <w:shd w:val="clear" w:color="auto" w:fill="auto"/>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SEM</w:t>
            </w:r>
          </w:p>
        </w:tc>
      </w:tr>
      <w:tr w:rsidR="00EB3BC8" w:rsidRPr="00D67F1D" w:rsidTr="005E52E0">
        <w:trPr>
          <w:trHeight w:val="293"/>
          <w:jc w:val="cent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auto"/>
            <w:hideMark/>
          </w:tcPr>
          <w:p w:rsidR="00EB3BC8" w:rsidRPr="00D67F1D" w:rsidRDefault="00EB3BC8" w:rsidP="005E52E0">
            <w:pPr>
              <w:rPr>
                <w:rFonts w:asciiTheme="minorHAnsi" w:hAnsiTheme="minorHAnsi" w:cstheme="minorHAnsi"/>
                <w:color w:val="000000"/>
                <w:sz w:val="18"/>
                <w:szCs w:val="24"/>
                <w:lang w:val="es-ES" w:eastAsia="es-ES"/>
              </w:rPr>
            </w:pPr>
          </w:p>
        </w:tc>
        <w:tc>
          <w:tcPr>
            <w:tcW w:w="2127" w:type="dxa"/>
            <w:vMerge/>
            <w:shd w:val="clear" w:color="auto" w:fill="auto"/>
            <w:hideMark/>
          </w:tcPr>
          <w:p w:rsidR="00EB3BC8" w:rsidRPr="00D67F1D" w:rsidRDefault="00EB3BC8" w:rsidP="005E5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p>
        </w:tc>
        <w:tc>
          <w:tcPr>
            <w:tcW w:w="850" w:type="dxa"/>
            <w:vMerge/>
            <w:shd w:val="clear" w:color="auto" w:fill="auto"/>
            <w:hideMark/>
          </w:tcPr>
          <w:p w:rsidR="00EB3BC8" w:rsidRPr="00D67F1D" w:rsidRDefault="00EB3BC8" w:rsidP="005E5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p>
        </w:tc>
        <w:tc>
          <w:tcPr>
            <w:tcW w:w="1276" w:type="dxa"/>
            <w:vMerge/>
            <w:shd w:val="clear" w:color="auto" w:fill="auto"/>
            <w:hideMark/>
          </w:tcPr>
          <w:p w:rsidR="00EB3BC8" w:rsidRPr="00D67F1D" w:rsidRDefault="00EB3BC8" w:rsidP="005E5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p>
        </w:tc>
        <w:tc>
          <w:tcPr>
            <w:tcW w:w="1417" w:type="dxa"/>
            <w:vMerge/>
            <w:shd w:val="clear" w:color="auto" w:fill="auto"/>
            <w:hideMark/>
          </w:tcPr>
          <w:p w:rsidR="00EB3BC8" w:rsidRPr="00D67F1D" w:rsidRDefault="00EB3BC8" w:rsidP="005E5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p>
        </w:tc>
      </w:tr>
      <w:tr w:rsidR="00EB3BC8" w:rsidRPr="00D67F1D" w:rsidTr="005E52E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Ene.</w:t>
            </w:r>
          </w:p>
        </w:tc>
        <w:tc>
          <w:tcPr>
            <w:tcW w:w="2127"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3,0</w:t>
            </w:r>
          </w:p>
        </w:tc>
        <w:tc>
          <w:tcPr>
            <w:tcW w:w="850"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8"/>
                <w:szCs w:val="24"/>
                <w:lang w:val="es-ES" w:eastAsia="es-ES"/>
              </w:rPr>
            </w:pPr>
            <w:r w:rsidRPr="00D67F1D">
              <w:rPr>
                <w:rFonts w:asciiTheme="minorHAnsi" w:hAnsiTheme="minorHAnsi" w:cstheme="minorHAnsi"/>
                <w:sz w:val="18"/>
                <w:szCs w:val="24"/>
                <w:lang w:val="es-ES" w:eastAsia="es-ES"/>
              </w:rPr>
              <w:t>3,5</w:t>
            </w:r>
          </w:p>
        </w:tc>
        <w:tc>
          <w:tcPr>
            <w:tcW w:w="1276"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115,6%</w:t>
            </w:r>
          </w:p>
        </w:tc>
        <w:tc>
          <w:tcPr>
            <w:tcW w:w="1417" w:type="dxa"/>
            <w:noWrap/>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116%</w:t>
            </w:r>
          </w:p>
        </w:tc>
      </w:tr>
      <w:tr w:rsidR="00EB3BC8" w:rsidRPr="00D67F1D" w:rsidTr="005E52E0">
        <w:trPr>
          <w:trHeight w:val="315"/>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Feb.</w:t>
            </w:r>
          </w:p>
        </w:tc>
        <w:tc>
          <w:tcPr>
            <w:tcW w:w="2127"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5,0</w:t>
            </w:r>
          </w:p>
        </w:tc>
        <w:tc>
          <w:tcPr>
            <w:tcW w:w="850"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5,3</w:t>
            </w:r>
          </w:p>
        </w:tc>
        <w:tc>
          <w:tcPr>
            <w:tcW w:w="1276"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105,5%</w:t>
            </w:r>
          </w:p>
        </w:tc>
        <w:tc>
          <w:tcPr>
            <w:tcW w:w="1417" w:type="dxa"/>
            <w:noWrap/>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106%</w:t>
            </w:r>
          </w:p>
        </w:tc>
      </w:tr>
      <w:tr w:rsidR="00EB3BC8" w:rsidRPr="00D67F1D" w:rsidTr="005E52E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Mar.</w:t>
            </w:r>
          </w:p>
        </w:tc>
        <w:tc>
          <w:tcPr>
            <w:tcW w:w="2127"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5,0</w:t>
            </w:r>
          </w:p>
        </w:tc>
        <w:tc>
          <w:tcPr>
            <w:tcW w:w="850"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4,8</w:t>
            </w:r>
          </w:p>
        </w:tc>
        <w:tc>
          <w:tcPr>
            <w:tcW w:w="1276"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96,8%</w:t>
            </w:r>
          </w:p>
        </w:tc>
        <w:tc>
          <w:tcPr>
            <w:tcW w:w="1417" w:type="dxa"/>
            <w:noWrap/>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97%</w:t>
            </w:r>
          </w:p>
        </w:tc>
      </w:tr>
      <w:tr w:rsidR="00EB3BC8" w:rsidRPr="00D67F1D" w:rsidTr="005E52E0">
        <w:trPr>
          <w:trHeight w:val="315"/>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TRIM 1</w:t>
            </w:r>
          </w:p>
        </w:tc>
        <w:tc>
          <w:tcPr>
            <w:tcW w:w="2127"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13,0</w:t>
            </w:r>
          </w:p>
        </w:tc>
        <w:tc>
          <w:tcPr>
            <w:tcW w:w="850"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13,6</w:t>
            </w:r>
          </w:p>
        </w:tc>
        <w:tc>
          <w:tcPr>
            <w:tcW w:w="1276"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104,5%</w:t>
            </w:r>
          </w:p>
        </w:tc>
        <w:tc>
          <w:tcPr>
            <w:tcW w:w="1417" w:type="dxa"/>
            <w:noWrap/>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104%</w:t>
            </w:r>
          </w:p>
        </w:tc>
      </w:tr>
      <w:tr w:rsidR="00EB3BC8" w:rsidRPr="00D67F1D" w:rsidTr="005E52E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Abr.</w:t>
            </w:r>
          </w:p>
        </w:tc>
        <w:tc>
          <w:tcPr>
            <w:tcW w:w="2127"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5,0</w:t>
            </w:r>
          </w:p>
        </w:tc>
        <w:tc>
          <w:tcPr>
            <w:tcW w:w="850"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4,6</w:t>
            </w:r>
          </w:p>
        </w:tc>
        <w:tc>
          <w:tcPr>
            <w:tcW w:w="1276"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92,0%</w:t>
            </w:r>
          </w:p>
        </w:tc>
        <w:tc>
          <w:tcPr>
            <w:tcW w:w="1417" w:type="dxa"/>
            <w:noWrap/>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92%</w:t>
            </w:r>
          </w:p>
        </w:tc>
      </w:tr>
      <w:tr w:rsidR="00EB3BC8" w:rsidRPr="00D67F1D" w:rsidTr="005E52E0">
        <w:trPr>
          <w:trHeight w:val="315"/>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May.</w:t>
            </w:r>
          </w:p>
        </w:tc>
        <w:tc>
          <w:tcPr>
            <w:tcW w:w="2127"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6,0</w:t>
            </w:r>
          </w:p>
        </w:tc>
        <w:tc>
          <w:tcPr>
            <w:tcW w:w="850"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7,0</w:t>
            </w:r>
          </w:p>
        </w:tc>
        <w:tc>
          <w:tcPr>
            <w:tcW w:w="1276"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116,2%</w:t>
            </w:r>
          </w:p>
        </w:tc>
        <w:tc>
          <w:tcPr>
            <w:tcW w:w="1417" w:type="dxa"/>
            <w:noWrap/>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116%</w:t>
            </w:r>
          </w:p>
        </w:tc>
      </w:tr>
      <w:tr w:rsidR="00EB3BC8" w:rsidRPr="00D67F1D" w:rsidTr="005E52E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Jun.</w:t>
            </w:r>
          </w:p>
        </w:tc>
        <w:tc>
          <w:tcPr>
            <w:tcW w:w="2127"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8"/>
                <w:szCs w:val="24"/>
                <w:lang w:val="es-ES" w:eastAsia="es-ES"/>
              </w:rPr>
            </w:pPr>
            <w:r w:rsidRPr="00D67F1D">
              <w:rPr>
                <w:rFonts w:asciiTheme="minorHAnsi" w:hAnsiTheme="minorHAnsi" w:cstheme="minorHAnsi"/>
                <w:sz w:val="18"/>
                <w:szCs w:val="24"/>
                <w:lang w:val="es-ES" w:eastAsia="es-ES"/>
              </w:rPr>
              <w:t>2,5</w:t>
            </w:r>
          </w:p>
        </w:tc>
        <w:tc>
          <w:tcPr>
            <w:tcW w:w="850"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1,3</w:t>
            </w:r>
          </w:p>
        </w:tc>
        <w:tc>
          <w:tcPr>
            <w:tcW w:w="1276"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53,6%</w:t>
            </w:r>
          </w:p>
        </w:tc>
        <w:tc>
          <w:tcPr>
            <w:tcW w:w="1417" w:type="dxa"/>
            <w:noWrap/>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54%</w:t>
            </w:r>
          </w:p>
        </w:tc>
      </w:tr>
      <w:tr w:rsidR="00EB3BC8" w:rsidRPr="00D67F1D" w:rsidTr="005E52E0">
        <w:trPr>
          <w:trHeight w:val="330"/>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TRIM 2</w:t>
            </w:r>
          </w:p>
        </w:tc>
        <w:tc>
          <w:tcPr>
            <w:tcW w:w="2127"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13,5</w:t>
            </w:r>
          </w:p>
        </w:tc>
        <w:tc>
          <w:tcPr>
            <w:tcW w:w="850"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12,9</w:t>
            </w:r>
          </w:p>
        </w:tc>
        <w:tc>
          <w:tcPr>
            <w:tcW w:w="1276" w:type="dxa"/>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95,7%</w:t>
            </w:r>
          </w:p>
        </w:tc>
        <w:tc>
          <w:tcPr>
            <w:tcW w:w="1417" w:type="dxa"/>
            <w:noWrap/>
            <w:hideMark/>
          </w:tcPr>
          <w:p w:rsidR="00EB3BC8" w:rsidRPr="00D67F1D"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96%</w:t>
            </w:r>
          </w:p>
        </w:tc>
      </w:tr>
      <w:tr w:rsidR="00EB3BC8" w:rsidRPr="00D67F1D" w:rsidTr="005E52E0">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EB3BC8" w:rsidRPr="00D67F1D" w:rsidRDefault="00EB3BC8" w:rsidP="005E52E0">
            <w:pPr>
              <w:jc w:val="center"/>
              <w:rPr>
                <w:rFonts w:asciiTheme="minorHAnsi" w:hAnsiTheme="minorHAnsi" w:cstheme="minorHAnsi"/>
                <w:color w:val="000000"/>
                <w:sz w:val="18"/>
                <w:szCs w:val="24"/>
                <w:lang w:val="es-ES" w:eastAsia="es-ES"/>
              </w:rPr>
            </w:pPr>
            <w:r w:rsidRPr="00D67F1D">
              <w:rPr>
                <w:rFonts w:asciiTheme="minorHAnsi" w:hAnsiTheme="minorHAnsi" w:cstheme="minorHAnsi"/>
                <w:color w:val="000000"/>
                <w:sz w:val="18"/>
                <w:szCs w:val="24"/>
                <w:lang w:val="es-ES" w:eastAsia="es-ES"/>
              </w:rPr>
              <w:t>TOTAL</w:t>
            </w:r>
          </w:p>
        </w:tc>
        <w:tc>
          <w:tcPr>
            <w:tcW w:w="2127"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26,5</w:t>
            </w:r>
          </w:p>
        </w:tc>
        <w:tc>
          <w:tcPr>
            <w:tcW w:w="850"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26,5</w:t>
            </w:r>
          </w:p>
        </w:tc>
        <w:tc>
          <w:tcPr>
            <w:tcW w:w="1276" w:type="dxa"/>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100,0%</w:t>
            </w:r>
          </w:p>
        </w:tc>
        <w:tc>
          <w:tcPr>
            <w:tcW w:w="1417" w:type="dxa"/>
            <w:noWrap/>
            <w:hideMark/>
          </w:tcPr>
          <w:p w:rsidR="00EB3BC8" w:rsidRPr="00D67F1D"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18"/>
                <w:szCs w:val="24"/>
                <w:lang w:val="es-ES" w:eastAsia="es-ES"/>
              </w:rPr>
            </w:pPr>
            <w:r w:rsidRPr="00D67F1D">
              <w:rPr>
                <w:rFonts w:asciiTheme="minorHAnsi" w:hAnsiTheme="minorHAnsi" w:cstheme="minorHAnsi"/>
                <w:bCs/>
                <w:color w:val="000000"/>
                <w:sz w:val="18"/>
                <w:szCs w:val="24"/>
                <w:lang w:val="es-ES" w:eastAsia="es-ES"/>
              </w:rPr>
              <w:t>100%</w:t>
            </w:r>
          </w:p>
        </w:tc>
      </w:tr>
    </w:tbl>
    <w:p w:rsidR="00EB3BC8" w:rsidRPr="00D67F1D" w:rsidRDefault="00EB3BC8" w:rsidP="00EB3BC8">
      <w:pPr>
        <w:spacing w:after="0" w:line="240" w:lineRule="auto"/>
        <w:jc w:val="both"/>
        <w:rPr>
          <w:rFonts w:ascii="Calibri" w:eastAsia="Times New Roman" w:hAnsi="Calibri" w:cs="Arial"/>
          <w:sz w:val="14"/>
          <w:szCs w:val="20"/>
          <w:lang w:val="es-ES" w:eastAsia="es-ES"/>
        </w:rPr>
      </w:pPr>
    </w:p>
    <w:p w:rsidR="00EB3BC8" w:rsidRPr="005133E0" w:rsidRDefault="00EB3BC8" w:rsidP="00EB3BC8">
      <w:pPr>
        <w:spacing w:after="0" w:line="240" w:lineRule="auto"/>
        <w:jc w:val="both"/>
        <w:rPr>
          <w:rFonts w:ascii="Calibri" w:eastAsia="Times New Roman" w:hAnsi="Calibri" w:cs="Arial"/>
          <w:sz w:val="20"/>
          <w:szCs w:val="20"/>
          <w:lang w:val="es-ES"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Durante el trimestre se realizaron las actividades de mantenimiento rutinario a lo largo del corredor.</w:t>
      </w:r>
    </w:p>
    <w:p w:rsidR="00EB3BC8" w:rsidRPr="005133E0" w:rsidRDefault="00EB3BC8" w:rsidP="00EB3BC8">
      <w:pPr>
        <w:spacing w:after="0" w:line="240" w:lineRule="auto"/>
        <w:ind w:left="720"/>
        <w:jc w:val="both"/>
        <w:rPr>
          <w:rFonts w:ascii="Arial" w:eastAsia="Times New Roman" w:hAnsi="Arial" w:cs="Arial"/>
          <w:lang w:eastAsia="es-ES"/>
        </w:rPr>
      </w:pPr>
    </w:p>
    <w:p w:rsidR="00EB3BC8" w:rsidRPr="005133E0" w:rsidRDefault="00EB3BC8" w:rsidP="00EB3BC8">
      <w:pPr>
        <w:spacing w:after="0" w:line="240" w:lineRule="auto"/>
        <w:jc w:val="both"/>
        <w:rPr>
          <w:rFonts w:ascii="Arial" w:eastAsia="Times New Roman" w:hAnsi="Arial" w:cs="Arial"/>
          <w:bCs/>
          <w:kern w:val="32"/>
          <w:lang w:val="es-ES" w:eastAsia="es-ES"/>
        </w:rPr>
      </w:pPr>
    </w:p>
    <w:p w:rsidR="00EB3BC8" w:rsidRPr="00EC588F" w:rsidRDefault="00EC588F" w:rsidP="00EC588F">
      <w:pPr>
        <w:spacing w:after="0" w:line="240" w:lineRule="auto"/>
        <w:jc w:val="both"/>
        <w:rPr>
          <w:rFonts w:eastAsia="Times New Roman" w:cstheme="minorHAnsi"/>
          <w:b/>
          <w:bCs/>
          <w:caps/>
          <w:kern w:val="32"/>
          <w:lang w:val="es-ES" w:eastAsia="es-ES"/>
        </w:rPr>
      </w:pPr>
      <w:r w:rsidRPr="00EC588F">
        <w:rPr>
          <w:rFonts w:eastAsia="Times New Roman" w:cstheme="minorHAnsi"/>
          <w:b/>
          <w:bCs/>
          <w:kern w:val="32"/>
          <w:lang w:val="es-ES" w:eastAsia="es-ES"/>
        </w:rPr>
        <w:t>Plan de Obra</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Se cumplió con el plan de obra, a la fecha se encuentra en operación y mantenimiento.</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both"/>
        <w:rPr>
          <w:rFonts w:eastAsia="Times New Roman" w:cstheme="minorHAnsi"/>
          <w:lang w:val="es-ES" w:eastAsia="es-ES"/>
        </w:rPr>
      </w:pPr>
    </w:p>
    <w:p w:rsidR="00EB3BC8" w:rsidRPr="00EC588F" w:rsidRDefault="00EC588F" w:rsidP="00EC588F">
      <w:pPr>
        <w:spacing w:after="0" w:line="240" w:lineRule="auto"/>
        <w:jc w:val="both"/>
        <w:rPr>
          <w:rFonts w:eastAsia="Times New Roman" w:cstheme="minorHAnsi"/>
          <w:b/>
          <w:bCs/>
          <w:caps/>
          <w:kern w:val="32"/>
          <w:lang w:val="es-ES" w:eastAsia="es-ES"/>
        </w:rPr>
      </w:pPr>
      <w:r w:rsidRPr="00EC588F">
        <w:rPr>
          <w:rFonts w:eastAsia="Times New Roman" w:cstheme="minorHAnsi"/>
          <w:b/>
          <w:bCs/>
          <w:kern w:val="32"/>
          <w:lang w:val="es-ES" w:eastAsia="es-ES"/>
        </w:rPr>
        <w:t>Avance del Proyecto</w:t>
      </w:r>
    </w:p>
    <w:p w:rsidR="00EB3BC8" w:rsidRPr="00EC588F" w:rsidRDefault="00EB3BC8" w:rsidP="00EB3BC8">
      <w:pPr>
        <w:spacing w:after="0" w:line="240" w:lineRule="auto"/>
        <w:jc w:val="both"/>
        <w:rPr>
          <w:rFonts w:eastAsia="Times New Roman" w:cstheme="minorHAnsi"/>
          <w:lang w:val="es-ES" w:eastAsia="es-ES"/>
        </w:rPr>
      </w:pPr>
    </w:p>
    <w:p w:rsidR="00EB3BC8" w:rsidRPr="00EC588F" w:rsidRDefault="00EB3BC8" w:rsidP="00EB3BC8">
      <w:pPr>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La ejecución se encuentra en un 100%, el recaudo del VPIP en un 80%.</w:t>
      </w:r>
    </w:p>
    <w:tbl>
      <w:tblPr>
        <w:tblStyle w:val="Tabladecuadrcula4-nfasis5"/>
        <w:tblW w:w="8472" w:type="dxa"/>
        <w:tblLook w:val="0600" w:firstRow="0" w:lastRow="0" w:firstColumn="0" w:lastColumn="0" w:noHBand="1" w:noVBand="1"/>
      </w:tblPr>
      <w:tblGrid>
        <w:gridCol w:w="817"/>
        <w:gridCol w:w="3119"/>
        <w:gridCol w:w="2409"/>
        <w:gridCol w:w="2127"/>
      </w:tblGrid>
      <w:tr w:rsidR="00EB3BC8" w:rsidRPr="00EC588F" w:rsidTr="005E52E0">
        <w:trPr>
          <w:trHeight w:val="375"/>
        </w:trPr>
        <w:tc>
          <w:tcPr>
            <w:tcW w:w="3936" w:type="dxa"/>
            <w:gridSpan w:val="2"/>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b/>
                <w:bCs/>
                <w:lang w:eastAsia="es-ES"/>
              </w:rPr>
              <w:t>Avance Total Etapa construcción:</w:t>
            </w:r>
          </w:p>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b/>
                <w:bCs/>
                <w:lang w:eastAsia="es-ES"/>
              </w:rPr>
              <w:t> </w:t>
            </w:r>
          </w:p>
        </w:tc>
        <w:tc>
          <w:tcPr>
            <w:tcW w:w="2409" w:type="dxa"/>
            <w:shd w:val="clear" w:color="auto" w:fill="DAEEF3" w:themeFill="accent5" w:themeFillTint="33"/>
            <w:hideMark/>
          </w:tcPr>
          <w:p w:rsidR="00EB3BC8" w:rsidRPr="00EC588F" w:rsidRDefault="00EB3BC8" w:rsidP="005E52E0">
            <w:pPr>
              <w:jc w:val="center"/>
              <w:rPr>
                <w:rFonts w:asciiTheme="minorHAnsi" w:hAnsiTheme="minorHAnsi" w:cstheme="minorHAnsi"/>
                <w:lang w:eastAsia="es-ES"/>
              </w:rPr>
            </w:pPr>
            <w:r w:rsidRPr="00EC588F">
              <w:rPr>
                <w:rFonts w:asciiTheme="minorHAnsi" w:hAnsiTheme="minorHAnsi" w:cstheme="minorHAnsi"/>
                <w:b/>
                <w:bCs/>
                <w:lang w:eastAsia="es-ES"/>
              </w:rPr>
              <w:t>100%</w:t>
            </w:r>
          </w:p>
        </w:tc>
        <w:tc>
          <w:tcPr>
            <w:tcW w:w="2127"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b/>
                <w:bCs/>
                <w:lang w:eastAsia="es-ES"/>
              </w:rPr>
              <w:t> </w:t>
            </w:r>
          </w:p>
        </w:tc>
      </w:tr>
      <w:tr w:rsidR="00EB3BC8" w:rsidRPr="00EC588F" w:rsidTr="005E52E0">
        <w:trPr>
          <w:trHeight w:val="284"/>
        </w:trPr>
        <w:tc>
          <w:tcPr>
            <w:tcW w:w="817"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Sector</w:t>
            </w:r>
          </w:p>
        </w:tc>
        <w:tc>
          <w:tcPr>
            <w:tcW w:w="3119"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SECTORIZACION BGL, PR¨S</w:t>
            </w:r>
          </w:p>
        </w:tc>
        <w:tc>
          <w:tcPr>
            <w:tcW w:w="2409"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Intervención</w:t>
            </w:r>
          </w:p>
        </w:tc>
        <w:tc>
          <w:tcPr>
            <w:tcW w:w="2127"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Ejecutado</w:t>
            </w:r>
          </w:p>
        </w:tc>
      </w:tr>
      <w:tr w:rsidR="00EB3BC8" w:rsidRPr="00EC588F" w:rsidTr="005E52E0">
        <w:trPr>
          <w:trHeight w:val="310"/>
        </w:trPr>
        <w:tc>
          <w:tcPr>
            <w:tcW w:w="817" w:type="dxa"/>
            <w:vMerge w:val="restart"/>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w:t>
            </w:r>
          </w:p>
        </w:tc>
        <w:tc>
          <w:tcPr>
            <w:tcW w:w="3119" w:type="dxa"/>
            <w:vMerge w:val="restart"/>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K 63+000 (Peaje Loboguerrero) -                K 81+000 (Alto de Sabaletas)</w:t>
            </w:r>
          </w:p>
        </w:tc>
        <w:tc>
          <w:tcPr>
            <w:tcW w:w="2409"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Rehabilitación</w:t>
            </w:r>
          </w:p>
        </w:tc>
        <w:tc>
          <w:tcPr>
            <w:tcW w:w="2127"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166"/>
        </w:trPr>
        <w:tc>
          <w:tcPr>
            <w:tcW w:w="817" w:type="dxa"/>
            <w:vMerge/>
            <w:shd w:val="clear" w:color="auto" w:fill="DAEEF3" w:themeFill="accent5" w:themeFillTint="33"/>
            <w:hideMark/>
          </w:tcPr>
          <w:p w:rsidR="00EB3BC8" w:rsidRPr="00EC588F" w:rsidRDefault="00EB3BC8" w:rsidP="005E52E0">
            <w:pPr>
              <w:rPr>
                <w:rFonts w:asciiTheme="minorHAnsi" w:hAnsiTheme="minorHAnsi" w:cstheme="minorHAnsi"/>
                <w:lang w:eastAsia="es-ES"/>
              </w:rPr>
            </w:pPr>
          </w:p>
        </w:tc>
        <w:tc>
          <w:tcPr>
            <w:tcW w:w="3119" w:type="dxa"/>
            <w:vMerge/>
            <w:shd w:val="clear" w:color="auto" w:fill="DAEEF3" w:themeFill="accent5" w:themeFillTint="33"/>
            <w:hideMark/>
          </w:tcPr>
          <w:p w:rsidR="00EB3BC8" w:rsidRPr="00EC588F" w:rsidRDefault="00EB3BC8" w:rsidP="005E52E0">
            <w:pPr>
              <w:rPr>
                <w:rFonts w:asciiTheme="minorHAnsi" w:hAnsiTheme="minorHAnsi" w:cstheme="minorHAnsi"/>
                <w:lang w:eastAsia="es-ES"/>
              </w:rPr>
            </w:pPr>
          </w:p>
        </w:tc>
        <w:tc>
          <w:tcPr>
            <w:tcW w:w="2409"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Sitios Vulnerables</w:t>
            </w:r>
          </w:p>
        </w:tc>
        <w:tc>
          <w:tcPr>
            <w:tcW w:w="2127"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310"/>
        </w:trPr>
        <w:tc>
          <w:tcPr>
            <w:tcW w:w="817" w:type="dxa"/>
            <w:vMerge w:val="restart"/>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2</w:t>
            </w:r>
          </w:p>
        </w:tc>
        <w:tc>
          <w:tcPr>
            <w:tcW w:w="3119" w:type="dxa"/>
            <w:vMerge w:val="restart"/>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K 81+000  (Alto de Sabaletas) -                 K 96+000 (Puente Tierra)</w:t>
            </w:r>
          </w:p>
        </w:tc>
        <w:tc>
          <w:tcPr>
            <w:tcW w:w="2409"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Rehabilitación</w:t>
            </w:r>
          </w:p>
        </w:tc>
        <w:tc>
          <w:tcPr>
            <w:tcW w:w="2127"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260"/>
        </w:trPr>
        <w:tc>
          <w:tcPr>
            <w:tcW w:w="817" w:type="dxa"/>
            <w:vMerge/>
            <w:hideMark/>
          </w:tcPr>
          <w:p w:rsidR="00EB3BC8" w:rsidRPr="00EC588F" w:rsidRDefault="00EB3BC8" w:rsidP="005E52E0">
            <w:pPr>
              <w:rPr>
                <w:rFonts w:asciiTheme="minorHAnsi" w:hAnsiTheme="minorHAnsi" w:cstheme="minorHAnsi"/>
                <w:lang w:eastAsia="es-ES"/>
              </w:rPr>
            </w:pPr>
          </w:p>
        </w:tc>
        <w:tc>
          <w:tcPr>
            <w:tcW w:w="3119" w:type="dxa"/>
            <w:vMerge/>
            <w:hideMark/>
          </w:tcPr>
          <w:p w:rsidR="00EB3BC8" w:rsidRPr="00EC588F" w:rsidRDefault="00EB3BC8" w:rsidP="005E52E0">
            <w:pPr>
              <w:rPr>
                <w:rFonts w:asciiTheme="minorHAnsi" w:hAnsiTheme="minorHAnsi" w:cstheme="minorHAnsi"/>
                <w:lang w:eastAsia="es-ES"/>
              </w:rPr>
            </w:pPr>
          </w:p>
        </w:tc>
        <w:tc>
          <w:tcPr>
            <w:tcW w:w="2409"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Sitios Vulnerables</w:t>
            </w:r>
          </w:p>
        </w:tc>
        <w:tc>
          <w:tcPr>
            <w:tcW w:w="2127"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310"/>
        </w:trPr>
        <w:tc>
          <w:tcPr>
            <w:tcW w:w="817" w:type="dxa"/>
            <w:vMerge w:val="restart"/>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3</w:t>
            </w:r>
          </w:p>
        </w:tc>
        <w:tc>
          <w:tcPr>
            <w:tcW w:w="3119" w:type="dxa"/>
            <w:vMerge w:val="restart"/>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K 96+000 (Puente Tierra) -                               K 111+000 (Media Canoa)</w:t>
            </w:r>
          </w:p>
        </w:tc>
        <w:tc>
          <w:tcPr>
            <w:tcW w:w="2409"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Rehabilitación</w:t>
            </w:r>
          </w:p>
        </w:tc>
        <w:tc>
          <w:tcPr>
            <w:tcW w:w="2127"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310"/>
        </w:trPr>
        <w:tc>
          <w:tcPr>
            <w:tcW w:w="817" w:type="dxa"/>
            <w:vMerge/>
            <w:shd w:val="clear" w:color="auto" w:fill="DAEEF3" w:themeFill="accent5" w:themeFillTint="33"/>
            <w:hideMark/>
          </w:tcPr>
          <w:p w:rsidR="00EB3BC8" w:rsidRPr="00EC588F" w:rsidRDefault="00EB3BC8" w:rsidP="005E52E0">
            <w:pPr>
              <w:rPr>
                <w:rFonts w:asciiTheme="minorHAnsi" w:hAnsiTheme="minorHAnsi" w:cstheme="minorHAnsi"/>
                <w:lang w:eastAsia="es-ES"/>
              </w:rPr>
            </w:pPr>
          </w:p>
        </w:tc>
        <w:tc>
          <w:tcPr>
            <w:tcW w:w="3119" w:type="dxa"/>
            <w:vMerge/>
            <w:shd w:val="clear" w:color="auto" w:fill="DAEEF3" w:themeFill="accent5" w:themeFillTint="33"/>
            <w:hideMark/>
          </w:tcPr>
          <w:p w:rsidR="00EB3BC8" w:rsidRPr="00EC588F" w:rsidRDefault="00EB3BC8" w:rsidP="005E52E0">
            <w:pPr>
              <w:rPr>
                <w:rFonts w:asciiTheme="minorHAnsi" w:hAnsiTheme="minorHAnsi" w:cstheme="minorHAnsi"/>
                <w:lang w:eastAsia="es-ES"/>
              </w:rPr>
            </w:pPr>
          </w:p>
        </w:tc>
        <w:tc>
          <w:tcPr>
            <w:tcW w:w="2409"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Sitios Vulnerables</w:t>
            </w:r>
          </w:p>
        </w:tc>
        <w:tc>
          <w:tcPr>
            <w:tcW w:w="2127"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310"/>
        </w:trPr>
        <w:tc>
          <w:tcPr>
            <w:tcW w:w="817" w:type="dxa"/>
            <w:vMerge w:val="restart"/>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lastRenderedPageBreak/>
              <w:t>4</w:t>
            </w:r>
          </w:p>
        </w:tc>
        <w:tc>
          <w:tcPr>
            <w:tcW w:w="3119" w:type="dxa"/>
            <w:vMerge w:val="restart"/>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K 111+000 (Media Canoa) -                             K 118+452 (Intersección SENA Buga)</w:t>
            </w:r>
          </w:p>
        </w:tc>
        <w:tc>
          <w:tcPr>
            <w:tcW w:w="2409"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Rehabilitación</w:t>
            </w:r>
          </w:p>
        </w:tc>
        <w:tc>
          <w:tcPr>
            <w:tcW w:w="2127"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516"/>
        </w:trPr>
        <w:tc>
          <w:tcPr>
            <w:tcW w:w="817" w:type="dxa"/>
            <w:vMerge/>
            <w:hideMark/>
          </w:tcPr>
          <w:p w:rsidR="00EB3BC8" w:rsidRPr="00EC588F" w:rsidRDefault="00EB3BC8" w:rsidP="005E52E0">
            <w:pPr>
              <w:rPr>
                <w:rFonts w:asciiTheme="minorHAnsi" w:hAnsiTheme="minorHAnsi" w:cstheme="minorHAnsi"/>
                <w:lang w:eastAsia="es-ES"/>
              </w:rPr>
            </w:pPr>
          </w:p>
        </w:tc>
        <w:tc>
          <w:tcPr>
            <w:tcW w:w="3119" w:type="dxa"/>
            <w:vMerge/>
            <w:hideMark/>
          </w:tcPr>
          <w:p w:rsidR="00EB3BC8" w:rsidRPr="00EC588F" w:rsidRDefault="00EB3BC8" w:rsidP="005E52E0">
            <w:pPr>
              <w:rPr>
                <w:rFonts w:asciiTheme="minorHAnsi" w:hAnsiTheme="minorHAnsi" w:cstheme="minorHAnsi"/>
                <w:lang w:eastAsia="es-ES"/>
              </w:rPr>
            </w:pPr>
          </w:p>
        </w:tc>
        <w:tc>
          <w:tcPr>
            <w:tcW w:w="2409"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Sitios Vulnerables</w:t>
            </w:r>
          </w:p>
        </w:tc>
        <w:tc>
          <w:tcPr>
            <w:tcW w:w="2127" w:type="dxa"/>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N.A.</w:t>
            </w:r>
          </w:p>
        </w:tc>
      </w:tr>
      <w:tr w:rsidR="00EB3BC8" w:rsidRPr="00EC588F" w:rsidTr="005E52E0">
        <w:trPr>
          <w:trHeight w:val="310"/>
        </w:trPr>
        <w:tc>
          <w:tcPr>
            <w:tcW w:w="3936" w:type="dxa"/>
            <w:gridSpan w:val="2"/>
            <w:vMerge w:val="restart"/>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 xml:space="preserve">Consolidado </w:t>
            </w:r>
          </w:p>
        </w:tc>
        <w:tc>
          <w:tcPr>
            <w:tcW w:w="2409"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Rehabilitación</w:t>
            </w:r>
          </w:p>
        </w:tc>
        <w:tc>
          <w:tcPr>
            <w:tcW w:w="2127"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r w:rsidR="00EB3BC8" w:rsidRPr="00EC588F" w:rsidTr="005E52E0">
        <w:trPr>
          <w:trHeight w:val="310"/>
        </w:trPr>
        <w:tc>
          <w:tcPr>
            <w:tcW w:w="3936" w:type="dxa"/>
            <w:gridSpan w:val="2"/>
            <w:vMerge/>
            <w:shd w:val="clear" w:color="auto" w:fill="DAEEF3" w:themeFill="accent5" w:themeFillTint="33"/>
            <w:hideMark/>
          </w:tcPr>
          <w:p w:rsidR="00EB3BC8" w:rsidRPr="00EC588F" w:rsidRDefault="00EB3BC8" w:rsidP="005E52E0">
            <w:pPr>
              <w:rPr>
                <w:rFonts w:asciiTheme="minorHAnsi" w:hAnsiTheme="minorHAnsi" w:cstheme="minorHAnsi"/>
                <w:lang w:eastAsia="es-ES"/>
              </w:rPr>
            </w:pPr>
          </w:p>
        </w:tc>
        <w:tc>
          <w:tcPr>
            <w:tcW w:w="2409"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Sitios Vulnerables</w:t>
            </w:r>
          </w:p>
        </w:tc>
        <w:tc>
          <w:tcPr>
            <w:tcW w:w="2127" w:type="dxa"/>
            <w:shd w:val="clear" w:color="auto" w:fill="DAEEF3" w:themeFill="accent5" w:themeFillTint="33"/>
            <w:hideMark/>
          </w:tcPr>
          <w:p w:rsidR="00EB3BC8" w:rsidRPr="00EC588F" w:rsidRDefault="00EB3BC8" w:rsidP="005E52E0">
            <w:pPr>
              <w:rPr>
                <w:rFonts w:asciiTheme="minorHAnsi" w:hAnsiTheme="minorHAnsi" w:cstheme="minorHAnsi"/>
                <w:lang w:eastAsia="es-ES"/>
              </w:rPr>
            </w:pPr>
            <w:r w:rsidRPr="00EC588F">
              <w:rPr>
                <w:rFonts w:asciiTheme="minorHAnsi" w:hAnsiTheme="minorHAnsi" w:cstheme="minorHAnsi"/>
                <w:lang w:eastAsia="es-ES"/>
              </w:rPr>
              <w:t>100%</w:t>
            </w:r>
          </w:p>
        </w:tc>
      </w:tr>
    </w:tbl>
    <w:p w:rsidR="00EB3BC8" w:rsidRPr="00EC588F" w:rsidRDefault="00EB3BC8" w:rsidP="00EB3BC8">
      <w:pPr>
        <w:spacing w:after="0" w:line="240" w:lineRule="auto"/>
        <w:jc w:val="both"/>
        <w:rPr>
          <w:rFonts w:eastAsia="Times New Roman" w:cstheme="minorHAnsi"/>
          <w:bCs/>
          <w:kern w:val="32"/>
          <w:sz w:val="24"/>
          <w:szCs w:val="24"/>
          <w:lang w:val="es-ES" w:eastAsia="es-ES"/>
        </w:rPr>
      </w:pPr>
    </w:p>
    <w:tbl>
      <w:tblPr>
        <w:tblStyle w:val="Tabladecuadrcula4-nfasis5"/>
        <w:tblW w:w="0" w:type="auto"/>
        <w:jc w:val="center"/>
        <w:tblLook w:val="04A0" w:firstRow="1" w:lastRow="0" w:firstColumn="1" w:lastColumn="0" w:noHBand="0" w:noVBand="1"/>
      </w:tblPr>
      <w:tblGrid>
        <w:gridCol w:w="328"/>
        <w:gridCol w:w="2151"/>
        <w:gridCol w:w="1309"/>
        <w:gridCol w:w="1156"/>
      </w:tblGrid>
      <w:tr w:rsidR="00EB3BC8" w:rsidRPr="00EC588F" w:rsidTr="005E52E0">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rsidR="00EB3BC8" w:rsidRPr="00EC588F" w:rsidRDefault="00EB3BC8" w:rsidP="005E52E0">
            <w:pPr>
              <w:jc w:val="center"/>
              <w:rPr>
                <w:rFonts w:asciiTheme="minorHAnsi" w:hAnsiTheme="minorHAnsi" w:cstheme="minorHAnsi"/>
                <w:color w:val="000000"/>
              </w:rPr>
            </w:pPr>
            <w:r w:rsidRPr="00EC588F">
              <w:rPr>
                <w:rFonts w:asciiTheme="minorHAnsi" w:hAnsiTheme="minorHAnsi" w:cstheme="minorHAnsi"/>
                <w:color w:val="000000"/>
                <w:lang w:val="es-ES" w:eastAsia="es-ES"/>
              </w:rPr>
              <w:t>Consolidado Rehabilitación</w:t>
            </w:r>
          </w:p>
        </w:tc>
        <w:tc>
          <w:tcPr>
            <w:tcW w:w="0" w:type="auto"/>
            <w:shd w:val="clear" w:color="auto" w:fill="auto"/>
          </w:tcPr>
          <w:p w:rsidR="00EB3BC8" w:rsidRPr="00EC588F"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Longitud real</w:t>
            </w:r>
          </w:p>
        </w:tc>
        <w:tc>
          <w:tcPr>
            <w:tcW w:w="975" w:type="dxa"/>
            <w:shd w:val="clear" w:color="auto" w:fill="auto"/>
          </w:tcPr>
          <w:p w:rsidR="00EB3BC8" w:rsidRPr="00EC588F"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Longitud proyectada</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tcPr>
          <w:p w:rsidR="00EB3BC8" w:rsidRPr="00EC588F" w:rsidRDefault="00EB3BC8" w:rsidP="005E52E0">
            <w:pPr>
              <w:jc w:val="center"/>
              <w:rPr>
                <w:rFonts w:asciiTheme="minorHAnsi" w:hAnsiTheme="minorHAnsi" w:cstheme="minorHAnsi"/>
                <w:color w:val="000000"/>
                <w:lang w:val="es-ES" w:eastAsia="es-ES"/>
              </w:rPr>
            </w:pPr>
          </w:p>
        </w:tc>
        <w:tc>
          <w:tcPr>
            <w:tcW w:w="0" w:type="auto"/>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lang w:val="es-ES" w:eastAsia="es-ES"/>
              </w:rPr>
            </w:pPr>
            <w:r w:rsidRPr="00EC588F">
              <w:rPr>
                <w:rFonts w:asciiTheme="minorHAnsi" w:hAnsiTheme="minorHAnsi" w:cstheme="minorHAnsi"/>
                <w:b/>
                <w:color w:val="000000"/>
                <w:lang w:val="es-ES" w:eastAsia="es-ES"/>
              </w:rPr>
              <w:t>Total</w:t>
            </w:r>
          </w:p>
        </w:tc>
        <w:tc>
          <w:tcPr>
            <w:tcW w:w="0" w:type="auto"/>
            <w:noWrap/>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lang w:val="es-ES" w:eastAsia="es-ES"/>
              </w:rPr>
            </w:pPr>
            <w:r w:rsidRPr="00EC588F">
              <w:rPr>
                <w:rFonts w:asciiTheme="minorHAnsi" w:hAnsiTheme="minorHAnsi" w:cstheme="minorHAnsi"/>
                <w:b/>
                <w:bCs/>
                <w:color w:val="000000"/>
                <w:lang w:val="es-ES" w:eastAsia="es-ES"/>
              </w:rPr>
              <w:t>51,392 km</w:t>
            </w:r>
          </w:p>
        </w:tc>
        <w:tc>
          <w:tcPr>
            <w:tcW w:w="975" w:type="dxa"/>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lang w:val="es-ES" w:eastAsia="es-ES"/>
              </w:rPr>
            </w:pPr>
            <w:r w:rsidRPr="00EC588F">
              <w:rPr>
                <w:rFonts w:asciiTheme="minorHAnsi" w:hAnsiTheme="minorHAnsi" w:cstheme="minorHAnsi"/>
                <w:b/>
                <w:color w:val="000000"/>
                <w:lang w:val="es-ES" w:eastAsia="es-ES"/>
              </w:rPr>
              <w:t>54,5 Km</w:t>
            </w:r>
          </w:p>
        </w:tc>
      </w:tr>
      <w:tr w:rsidR="00EB3BC8" w:rsidRPr="00EC588F" w:rsidTr="005E52E0">
        <w:trPr>
          <w:trHeight w:val="26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B3BC8" w:rsidRPr="00EC588F" w:rsidRDefault="00EB3BC8" w:rsidP="005E52E0">
            <w:pPr>
              <w:jc w:val="center"/>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1</w:t>
            </w:r>
          </w:p>
        </w:tc>
        <w:tc>
          <w:tcPr>
            <w:tcW w:w="0" w:type="auto"/>
            <w:hideMark/>
          </w:tcPr>
          <w:p w:rsidR="00EB3BC8" w:rsidRPr="00EC588F"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K 63+000 - K 81+000</w:t>
            </w:r>
          </w:p>
        </w:tc>
        <w:tc>
          <w:tcPr>
            <w:tcW w:w="0" w:type="auto"/>
            <w:noWrap/>
            <w:hideMark/>
          </w:tcPr>
          <w:p w:rsidR="00EB3BC8" w:rsidRPr="00EC588F"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17,202 km</w:t>
            </w:r>
          </w:p>
        </w:tc>
        <w:tc>
          <w:tcPr>
            <w:tcW w:w="975" w:type="dxa"/>
          </w:tcPr>
          <w:p w:rsidR="00EB3BC8" w:rsidRPr="00EC588F"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18,0 km</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EB3BC8" w:rsidRPr="00EC588F" w:rsidRDefault="00EB3BC8" w:rsidP="005E52E0">
            <w:pPr>
              <w:jc w:val="center"/>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2</w:t>
            </w:r>
          </w:p>
        </w:tc>
        <w:tc>
          <w:tcPr>
            <w:tcW w:w="0" w:type="auto"/>
            <w:hideMark/>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K 81+000 - K 96+000</w:t>
            </w:r>
          </w:p>
        </w:tc>
        <w:tc>
          <w:tcPr>
            <w:tcW w:w="0" w:type="auto"/>
            <w:noWrap/>
            <w:hideMark/>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13,210 km</w:t>
            </w:r>
          </w:p>
        </w:tc>
        <w:tc>
          <w:tcPr>
            <w:tcW w:w="975" w:type="dxa"/>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15,0 Km</w:t>
            </w:r>
          </w:p>
        </w:tc>
      </w:tr>
      <w:tr w:rsidR="00EB3BC8" w:rsidRPr="00EC588F" w:rsidTr="005E52E0">
        <w:trPr>
          <w:trHeight w:val="182"/>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B3BC8" w:rsidRPr="00EC588F" w:rsidRDefault="00EB3BC8" w:rsidP="005E52E0">
            <w:pPr>
              <w:jc w:val="center"/>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3</w:t>
            </w:r>
          </w:p>
        </w:tc>
        <w:tc>
          <w:tcPr>
            <w:tcW w:w="0" w:type="auto"/>
            <w:hideMark/>
          </w:tcPr>
          <w:p w:rsidR="00EB3BC8" w:rsidRPr="00EC588F"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K 96+000 - K 111+000</w:t>
            </w:r>
          </w:p>
        </w:tc>
        <w:tc>
          <w:tcPr>
            <w:tcW w:w="0" w:type="auto"/>
            <w:noWrap/>
            <w:hideMark/>
          </w:tcPr>
          <w:p w:rsidR="00EB3BC8" w:rsidRPr="00EC588F"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13,393 km</w:t>
            </w:r>
          </w:p>
        </w:tc>
        <w:tc>
          <w:tcPr>
            <w:tcW w:w="975" w:type="dxa"/>
          </w:tcPr>
          <w:p w:rsidR="00EB3BC8" w:rsidRPr="00EC588F"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15,0 Km</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B3BC8" w:rsidRPr="00EC588F" w:rsidRDefault="00EB3BC8" w:rsidP="005E52E0">
            <w:pPr>
              <w:jc w:val="center"/>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4</w:t>
            </w:r>
          </w:p>
        </w:tc>
        <w:tc>
          <w:tcPr>
            <w:tcW w:w="0" w:type="auto"/>
            <w:hideMark/>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K 111+000 - K 118+452</w:t>
            </w:r>
          </w:p>
        </w:tc>
        <w:tc>
          <w:tcPr>
            <w:tcW w:w="0" w:type="auto"/>
            <w:noWrap/>
            <w:hideMark/>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7,588 Km</w:t>
            </w:r>
          </w:p>
        </w:tc>
        <w:tc>
          <w:tcPr>
            <w:tcW w:w="975" w:type="dxa"/>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es-ES" w:eastAsia="es-ES"/>
              </w:rPr>
            </w:pPr>
            <w:r w:rsidRPr="00EC588F">
              <w:rPr>
                <w:rFonts w:asciiTheme="minorHAnsi" w:hAnsiTheme="minorHAnsi" w:cstheme="minorHAnsi"/>
                <w:color w:val="000000"/>
                <w:lang w:val="es-ES" w:eastAsia="es-ES"/>
              </w:rPr>
              <w:t>7,42 Km</w:t>
            </w:r>
          </w:p>
        </w:tc>
      </w:tr>
    </w:tbl>
    <w:p w:rsidR="00EB3BC8" w:rsidRPr="00EC588F" w:rsidRDefault="00EB3BC8" w:rsidP="00EB3BC8">
      <w:pPr>
        <w:spacing w:after="0" w:line="240" w:lineRule="auto"/>
        <w:jc w:val="both"/>
        <w:rPr>
          <w:rFonts w:eastAsia="Times New Roman" w:cstheme="minorHAnsi"/>
          <w:bCs/>
          <w:kern w:val="32"/>
          <w:sz w:val="24"/>
          <w:szCs w:val="24"/>
          <w:lang w:val="es-ES" w:eastAsia="es-ES"/>
        </w:rPr>
      </w:pPr>
    </w:p>
    <w:p w:rsidR="00EB3BC8" w:rsidRPr="00EC588F" w:rsidRDefault="00EC588F" w:rsidP="00EC588F">
      <w:pPr>
        <w:spacing w:after="0" w:line="240" w:lineRule="auto"/>
        <w:jc w:val="both"/>
        <w:rPr>
          <w:rFonts w:eastAsia="Times New Roman" w:cstheme="minorHAnsi"/>
          <w:b/>
          <w:bCs/>
          <w:caps/>
          <w:kern w:val="32"/>
          <w:lang w:val="es-ES" w:eastAsia="es-ES"/>
        </w:rPr>
      </w:pPr>
      <w:r w:rsidRPr="00EC588F">
        <w:rPr>
          <w:rFonts w:eastAsia="Times New Roman" w:cstheme="minorHAnsi"/>
          <w:b/>
          <w:bCs/>
          <w:kern w:val="32"/>
          <w:lang w:val="es-ES" w:eastAsia="es-ES"/>
        </w:rPr>
        <w:t>Sitios Vulnerables</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Los sitios vulnerables se ejecutaron en un 100%.</w:t>
      </w:r>
    </w:p>
    <w:p w:rsidR="00EB3BC8" w:rsidRPr="00EC588F" w:rsidRDefault="00EB3BC8" w:rsidP="00EB3BC8">
      <w:pPr>
        <w:spacing w:after="0" w:line="240" w:lineRule="auto"/>
        <w:jc w:val="both"/>
        <w:rPr>
          <w:rFonts w:eastAsia="Times New Roman" w:cstheme="minorHAnsi"/>
          <w:bCs/>
          <w:kern w:val="32"/>
          <w:sz w:val="24"/>
          <w:szCs w:val="24"/>
          <w:lang w:val="es-ES" w:eastAsia="es-ES"/>
        </w:rPr>
      </w:pPr>
    </w:p>
    <w:tbl>
      <w:tblPr>
        <w:tblStyle w:val="Tabladecuadrcula4-nfasis5"/>
        <w:tblW w:w="5120" w:type="dxa"/>
        <w:jc w:val="center"/>
        <w:tblLook w:val="04A0" w:firstRow="1" w:lastRow="0" w:firstColumn="1" w:lastColumn="0" w:noHBand="0" w:noVBand="1"/>
      </w:tblPr>
      <w:tblGrid>
        <w:gridCol w:w="1200"/>
        <w:gridCol w:w="3920"/>
      </w:tblGrid>
      <w:tr w:rsidR="00EB3BC8" w:rsidRPr="00EC588F" w:rsidTr="005E52E0">
        <w:trPr>
          <w:cnfStyle w:val="100000000000" w:firstRow="1" w:lastRow="0" w:firstColumn="0" w:lastColumn="0" w:oddVBand="0" w:evenVBand="0" w:oddHBand="0"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rsidR="00EB3BC8" w:rsidRPr="00EC588F" w:rsidRDefault="00EB3BC8" w:rsidP="005E52E0">
            <w:pPr>
              <w:rPr>
                <w:rFonts w:asciiTheme="minorHAnsi" w:hAnsiTheme="minorHAnsi" w:cstheme="minorHAnsi"/>
                <w:sz w:val="16"/>
                <w:szCs w:val="16"/>
              </w:rPr>
            </w:pPr>
            <w:r w:rsidRPr="00EC588F">
              <w:rPr>
                <w:rFonts w:asciiTheme="minorHAnsi" w:hAnsiTheme="minorHAnsi" w:cstheme="minorHAnsi"/>
                <w:sz w:val="16"/>
                <w:szCs w:val="16"/>
                <w:lang w:val="es-ES" w:eastAsia="es-ES"/>
              </w:rPr>
              <w:t> </w:t>
            </w:r>
          </w:p>
        </w:tc>
        <w:tc>
          <w:tcPr>
            <w:tcW w:w="3920" w:type="dxa"/>
            <w:shd w:val="clear" w:color="auto" w:fill="auto"/>
            <w:hideMark/>
          </w:tcPr>
          <w:p w:rsidR="00EB3BC8" w:rsidRPr="00EC588F"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Sector 1 (K 63+000 - K 81+000)</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1</w:t>
            </w:r>
          </w:p>
        </w:tc>
        <w:tc>
          <w:tcPr>
            <w:tcW w:w="3920" w:type="dxa"/>
            <w:hideMark/>
          </w:tcPr>
          <w:p w:rsidR="00EB3BC8" w:rsidRPr="00EC588F"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72+070-PR 72+100</w:t>
            </w:r>
          </w:p>
        </w:tc>
      </w:tr>
      <w:tr w:rsidR="00EB3BC8" w:rsidRPr="00EC588F" w:rsidTr="005E52E0">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2</w:t>
            </w:r>
          </w:p>
        </w:tc>
        <w:tc>
          <w:tcPr>
            <w:tcW w:w="3920" w:type="dxa"/>
            <w:hideMark/>
          </w:tcPr>
          <w:p w:rsidR="00EB3BC8" w:rsidRPr="00EC588F" w:rsidRDefault="00EB3BC8" w:rsidP="005E52E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73+930-PR 73+960</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3</w:t>
            </w:r>
          </w:p>
        </w:tc>
        <w:tc>
          <w:tcPr>
            <w:tcW w:w="3920" w:type="dxa"/>
            <w:hideMark/>
          </w:tcPr>
          <w:p w:rsidR="00EB3BC8" w:rsidRPr="00EC588F"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75+495-PR 75+520</w:t>
            </w:r>
          </w:p>
        </w:tc>
      </w:tr>
      <w:tr w:rsidR="00EB3BC8" w:rsidRPr="00EC588F" w:rsidTr="005E52E0">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4</w:t>
            </w:r>
          </w:p>
        </w:tc>
        <w:tc>
          <w:tcPr>
            <w:tcW w:w="3920" w:type="dxa"/>
            <w:hideMark/>
          </w:tcPr>
          <w:p w:rsidR="00EB3BC8" w:rsidRPr="00EC588F" w:rsidRDefault="00EB3BC8" w:rsidP="005E52E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76+565-PR 76+580</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5</w:t>
            </w:r>
          </w:p>
        </w:tc>
        <w:tc>
          <w:tcPr>
            <w:tcW w:w="3920" w:type="dxa"/>
            <w:hideMark/>
          </w:tcPr>
          <w:p w:rsidR="00EB3BC8" w:rsidRPr="00EC588F"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76+615-PR 76+640</w:t>
            </w:r>
          </w:p>
        </w:tc>
      </w:tr>
      <w:tr w:rsidR="00EB3BC8" w:rsidRPr="00EC588F" w:rsidTr="005E52E0">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6</w:t>
            </w:r>
          </w:p>
        </w:tc>
        <w:tc>
          <w:tcPr>
            <w:tcW w:w="3920" w:type="dxa"/>
            <w:hideMark/>
          </w:tcPr>
          <w:p w:rsidR="00EB3BC8" w:rsidRPr="00EC588F" w:rsidRDefault="00EB3BC8" w:rsidP="005E52E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77+760-PR 77+838</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7</w:t>
            </w:r>
          </w:p>
        </w:tc>
        <w:tc>
          <w:tcPr>
            <w:tcW w:w="3920" w:type="dxa"/>
            <w:hideMark/>
          </w:tcPr>
          <w:p w:rsidR="00EB3BC8" w:rsidRPr="00EC588F"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78+620-PR 78+700</w:t>
            </w:r>
          </w:p>
        </w:tc>
      </w:tr>
      <w:tr w:rsidR="00EB3BC8" w:rsidRPr="00EC588F" w:rsidTr="005E52E0">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8</w:t>
            </w:r>
          </w:p>
        </w:tc>
        <w:tc>
          <w:tcPr>
            <w:tcW w:w="3920" w:type="dxa"/>
            <w:hideMark/>
          </w:tcPr>
          <w:p w:rsidR="00EB3BC8" w:rsidRPr="00EC588F" w:rsidRDefault="00EB3BC8" w:rsidP="005E52E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79+447-PR 79+480</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9</w:t>
            </w:r>
          </w:p>
        </w:tc>
        <w:tc>
          <w:tcPr>
            <w:tcW w:w="3920" w:type="dxa"/>
            <w:hideMark/>
          </w:tcPr>
          <w:p w:rsidR="00EB3BC8" w:rsidRPr="00EC588F"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80+350-PR 80+375</w:t>
            </w:r>
          </w:p>
        </w:tc>
      </w:tr>
      <w:tr w:rsidR="00EB3BC8" w:rsidRPr="00EC588F" w:rsidTr="005E52E0">
        <w:trPr>
          <w:trHeight w:val="402"/>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 </w:t>
            </w:r>
          </w:p>
        </w:tc>
        <w:tc>
          <w:tcPr>
            <w:tcW w:w="3920" w:type="dxa"/>
            <w:hideMark/>
          </w:tcPr>
          <w:p w:rsidR="00EB3BC8" w:rsidRPr="00EC588F" w:rsidRDefault="00EB3BC8" w:rsidP="005E52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sz w:val="16"/>
                <w:szCs w:val="16"/>
                <w:lang w:val="es-ES" w:eastAsia="es-ES"/>
              </w:rPr>
            </w:pPr>
            <w:r w:rsidRPr="00EC588F">
              <w:rPr>
                <w:rFonts w:asciiTheme="minorHAnsi" w:hAnsiTheme="minorHAnsi" w:cstheme="minorHAnsi"/>
                <w:b/>
                <w:bCs/>
                <w:i/>
                <w:iCs/>
                <w:sz w:val="16"/>
                <w:szCs w:val="16"/>
                <w:lang w:val="es-ES" w:eastAsia="es-ES"/>
              </w:rPr>
              <w:t>Sector 2 (K 81+000 - K96+000 )</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10</w:t>
            </w:r>
          </w:p>
        </w:tc>
        <w:tc>
          <w:tcPr>
            <w:tcW w:w="3920" w:type="dxa"/>
            <w:hideMark/>
          </w:tcPr>
          <w:p w:rsidR="00EB3BC8" w:rsidRPr="00EC588F"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81+335-PR 81+355</w:t>
            </w:r>
          </w:p>
        </w:tc>
      </w:tr>
      <w:tr w:rsidR="00EB3BC8" w:rsidRPr="00EC588F" w:rsidTr="005E52E0">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11</w:t>
            </w:r>
          </w:p>
        </w:tc>
        <w:tc>
          <w:tcPr>
            <w:tcW w:w="3920" w:type="dxa"/>
            <w:hideMark/>
          </w:tcPr>
          <w:p w:rsidR="00EB3BC8" w:rsidRPr="00EC588F" w:rsidRDefault="00EB3BC8" w:rsidP="005E52E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95+090-PR 95+110</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 </w:t>
            </w:r>
          </w:p>
        </w:tc>
        <w:tc>
          <w:tcPr>
            <w:tcW w:w="3920" w:type="dxa"/>
            <w:hideMark/>
          </w:tcPr>
          <w:p w:rsidR="00EB3BC8" w:rsidRPr="00EC588F"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sz w:val="16"/>
                <w:szCs w:val="16"/>
                <w:lang w:val="es-ES" w:eastAsia="es-ES"/>
              </w:rPr>
            </w:pPr>
            <w:r w:rsidRPr="00EC588F">
              <w:rPr>
                <w:rFonts w:asciiTheme="minorHAnsi" w:hAnsiTheme="minorHAnsi" w:cstheme="minorHAnsi"/>
                <w:b/>
                <w:bCs/>
                <w:i/>
                <w:iCs/>
                <w:sz w:val="16"/>
                <w:szCs w:val="16"/>
                <w:lang w:val="es-ES" w:eastAsia="es-ES"/>
              </w:rPr>
              <w:t>Sector 3 (K 96+000 - K 111+000)</w:t>
            </w:r>
          </w:p>
        </w:tc>
      </w:tr>
      <w:tr w:rsidR="00EB3BC8" w:rsidRPr="00EC588F" w:rsidTr="005E52E0">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12</w:t>
            </w:r>
          </w:p>
        </w:tc>
        <w:tc>
          <w:tcPr>
            <w:tcW w:w="3920" w:type="dxa"/>
            <w:hideMark/>
          </w:tcPr>
          <w:p w:rsidR="00EB3BC8" w:rsidRPr="00EC588F" w:rsidRDefault="00EB3BC8" w:rsidP="005E52E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101+440-PR 101+460</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hideMark/>
          </w:tcPr>
          <w:p w:rsidR="00EB3BC8" w:rsidRPr="00EC588F" w:rsidRDefault="00EB3BC8" w:rsidP="005E52E0">
            <w:pPr>
              <w:jc w:val="right"/>
              <w:rPr>
                <w:rFonts w:asciiTheme="minorHAnsi" w:hAnsiTheme="minorHAnsi" w:cstheme="minorHAnsi"/>
                <w:color w:val="000000"/>
                <w:sz w:val="16"/>
                <w:szCs w:val="16"/>
                <w:lang w:val="es-ES" w:eastAsia="es-ES"/>
              </w:rPr>
            </w:pPr>
            <w:r w:rsidRPr="00EC588F">
              <w:rPr>
                <w:rFonts w:asciiTheme="minorHAnsi" w:hAnsiTheme="minorHAnsi" w:cstheme="minorHAnsi"/>
                <w:color w:val="000000"/>
                <w:sz w:val="16"/>
                <w:szCs w:val="16"/>
                <w:lang w:val="es-ES" w:eastAsia="es-ES"/>
              </w:rPr>
              <w:t>12</w:t>
            </w:r>
          </w:p>
        </w:tc>
        <w:tc>
          <w:tcPr>
            <w:tcW w:w="3920" w:type="dxa"/>
            <w:hideMark/>
          </w:tcPr>
          <w:p w:rsidR="00EB3BC8" w:rsidRPr="00EC588F"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6"/>
                <w:szCs w:val="16"/>
                <w:lang w:val="es-ES" w:eastAsia="es-ES"/>
              </w:rPr>
            </w:pPr>
            <w:r w:rsidRPr="00EC588F">
              <w:rPr>
                <w:rFonts w:asciiTheme="minorHAnsi" w:hAnsiTheme="minorHAnsi" w:cstheme="minorHAnsi"/>
                <w:i/>
                <w:iCs/>
                <w:sz w:val="16"/>
                <w:szCs w:val="16"/>
                <w:lang w:val="es-ES" w:eastAsia="es-ES"/>
              </w:rPr>
              <w:t>Muro Pantalla PR 102+100-PR 102+130</w:t>
            </w:r>
          </w:p>
        </w:tc>
      </w:tr>
    </w:tbl>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EC588F" w:rsidRDefault="00EC588F" w:rsidP="00EC588F">
      <w:pPr>
        <w:spacing w:after="0" w:line="240" w:lineRule="auto"/>
        <w:jc w:val="both"/>
        <w:rPr>
          <w:rFonts w:eastAsia="Times New Roman" w:cstheme="minorHAnsi"/>
          <w:b/>
          <w:bCs/>
          <w:caps/>
          <w:kern w:val="32"/>
          <w:lang w:val="es-ES" w:eastAsia="es-ES"/>
        </w:rPr>
      </w:pPr>
      <w:r w:rsidRPr="00EC588F">
        <w:rPr>
          <w:rFonts w:eastAsia="Times New Roman" w:cstheme="minorHAnsi"/>
          <w:b/>
          <w:bCs/>
          <w:kern w:val="32"/>
          <w:lang w:val="es-ES" w:eastAsia="es-ES"/>
        </w:rPr>
        <w:t>Ambiental</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Se desistió por parte del concesionario del permiso de ocupación de cauce, dado que las obras adicionales propuestas no se van a ejecutar; a razón que en este tramo se ejecutan obras mayores de la construcción de la segunda calzada a cargo de la UTDVVCC.</w:t>
      </w:r>
    </w:p>
    <w:p w:rsidR="00EB3BC8" w:rsidRPr="00EC588F" w:rsidRDefault="00EB3BC8" w:rsidP="00EB3BC8">
      <w:pPr>
        <w:spacing w:after="0" w:line="240" w:lineRule="auto"/>
        <w:jc w:val="both"/>
        <w:rPr>
          <w:rFonts w:eastAsia="Times New Roman" w:cstheme="minorHAnsi"/>
          <w:lang w:val="es-ES" w:eastAsia="es-ES"/>
        </w:rPr>
      </w:pP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C588F" w:rsidP="00EC588F">
      <w:pPr>
        <w:spacing w:after="0" w:line="240" w:lineRule="auto"/>
        <w:jc w:val="both"/>
        <w:rPr>
          <w:rFonts w:eastAsia="Times New Roman" w:cstheme="minorHAnsi"/>
          <w:b/>
          <w:bCs/>
          <w:caps/>
          <w:kern w:val="32"/>
          <w:lang w:val="es-ES" w:eastAsia="es-ES"/>
        </w:rPr>
      </w:pPr>
      <w:r w:rsidRPr="00EC588F">
        <w:rPr>
          <w:rFonts w:eastAsia="Times New Roman" w:cstheme="minorHAnsi"/>
          <w:b/>
          <w:bCs/>
          <w:kern w:val="32"/>
          <w:lang w:val="es-ES" w:eastAsia="es-ES"/>
        </w:rPr>
        <w:lastRenderedPageBreak/>
        <w:t xml:space="preserve">Social </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Actualmente no se tienen  inconvenientes luego de superado la oposición del concejo Comunitario de comunidades Negras en el año anterior que llego a impedir el desarrollo de obras como la construcción de muros para estabilización en el sector 1. Se espera que va a pasar a razón del cierre de la vía.</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C588F" w:rsidP="00EC588F">
      <w:pPr>
        <w:spacing w:after="0" w:line="240" w:lineRule="auto"/>
        <w:jc w:val="both"/>
        <w:rPr>
          <w:rFonts w:eastAsia="Times New Roman" w:cstheme="minorHAnsi"/>
          <w:b/>
          <w:bCs/>
          <w:caps/>
          <w:kern w:val="32"/>
          <w:lang w:val="es-ES" w:eastAsia="es-ES"/>
        </w:rPr>
      </w:pPr>
      <w:r w:rsidRPr="00EC588F">
        <w:rPr>
          <w:rFonts w:eastAsia="Times New Roman" w:cstheme="minorHAnsi"/>
          <w:b/>
          <w:bCs/>
          <w:kern w:val="32"/>
          <w:lang w:val="es-ES" w:eastAsia="es-ES"/>
        </w:rPr>
        <w:t>Indicadores de Reducción por Disponibilidad</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A la fecha y según verificación mensual que realiza la firma Interventora no</w:t>
      </w:r>
      <w:r w:rsidR="00EC588F" w:rsidRPr="00EC588F">
        <w:rPr>
          <w:rFonts w:eastAsia="Times New Roman" w:cstheme="minorHAnsi"/>
          <w:bCs/>
          <w:kern w:val="32"/>
          <w:lang w:val="es-ES" w:eastAsia="es-ES"/>
        </w:rPr>
        <w:t xml:space="preserve"> se tiene reducción alguna, lo </w:t>
      </w:r>
      <w:r w:rsidRPr="00EC588F">
        <w:rPr>
          <w:rFonts w:eastAsia="Times New Roman" w:cstheme="minorHAnsi"/>
          <w:bCs/>
          <w:kern w:val="32"/>
          <w:lang w:val="es-ES" w:eastAsia="es-ES"/>
        </w:rPr>
        <w:t>cual refleja cumplimiento del concesionario en los diferentes indicadores a desarrollar.</w:t>
      </w:r>
    </w:p>
    <w:p w:rsidR="00EB3BC8" w:rsidRPr="005133E0" w:rsidRDefault="00EB3BC8" w:rsidP="00EB3BC8">
      <w:pPr>
        <w:spacing w:after="0" w:line="240" w:lineRule="auto"/>
        <w:jc w:val="both"/>
        <w:rPr>
          <w:rFonts w:ascii="Arial" w:eastAsia="Times New Roman" w:hAnsi="Arial" w:cs="Arial"/>
          <w:bCs/>
          <w:kern w:val="32"/>
          <w:lang w:val="es-ES" w:eastAsia="es-ES"/>
        </w:rPr>
      </w:pPr>
    </w:p>
    <w:p w:rsidR="00EC588F" w:rsidRDefault="00EC588F" w:rsidP="00EC588F">
      <w:pPr>
        <w:spacing w:after="0" w:line="240" w:lineRule="auto"/>
        <w:jc w:val="both"/>
        <w:rPr>
          <w:rFonts w:ascii="Arial" w:eastAsia="Times New Roman" w:hAnsi="Arial" w:cs="Arial"/>
          <w:b/>
          <w:u w:val="single"/>
          <w:lang w:val="es-ES" w:eastAsia="es-ES"/>
        </w:rPr>
      </w:pPr>
    </w:p>
    <w:p w:rsidR="00EB3BC8" w:rsidRPr="00EC588F" w:rsidRDefault="00EC588F" w:rsidP="00EC588F">
      <w:pPr>
        <w:spacing w:after="0" w:line="240" w:lineRule="auto"/>
        <w:jc w:val="both"/>
        <w:rPr>
          <w:rFonts w:eastAsia="Times New Roman" w:cstheme="minorHAnsi"/>
          <w:b/>
          <w:bCs/>
          <w:caps/>
          <w:kern w:val="32"/>
          <w:lang w:val="es-ES" w:eastAsia="es-ES"/>
        </w:rPr>
      </w:pPr>
      <w:r w:rsidRPr="00EC588F">
        <w:rPr>
          <w:rFonts w:eastAsia="Times New Roman" w:cstheme="minorHAnsi"/>
          <w:b/>
          <w:bCs/>
          <w:kern w:val="32"/>
          <w:lang w:val="es-ES" w:eastAsia="es-ES"/>
        </w:rPr>
        <w:t>Avance Actividades de Mantenimiento</w:t>
      </w:r>
    </w:p>
    <w:p w:rsidR="00EB3BC8" w:rsidRPr="00EC588F" w:rsidRDefault="00EB3BC8" w:rsidP="00EB3BC8">
      <w:pPr>
        <w:spacing w:after="0" w:line="240" w:lineRule="auto"/>
        <w:rPr>
          <w:rFonts w:eastAsia="Times New Roman" w:cstheme="minorHAnsi"/>
          <w:b/>
          <w:u w:val="single"/>
          <w:lang w:val="es-ES" w:eastAsia="es-ES"/>
        </w:rPr>
      </w:pPr>
    </w:p>
    <w:p w:rsidR="00EB3BC8" w:rsidRPr="00EC588F" w:rsidRDefault="00EB3BC8" w:rsidP="00EB3BC8">
      <w:pPr>
        <w:spacing w:after="0" w:line="240" w:lineRule="auto"/>
        <w:jc w:val="both"/>
        <w:rPr>
          <w:rFonts w:eastAsia="Times New Roman" w:cstheme="minorHAnsi"/>
          <w:lang w:val="es-ES" w:eastAsia="es-ES"/>
        </w:rPr>
      </w:pPr>
      <w:r w:rsidRPr="00EC588F">
        <w:rPr>
          <w:rFonts w:eastAsia="Times New Roman" w:cstheme="minorHAnsi"/>
          <w:lang w:val="es-ES" w:eastAsia="es-ES"/>
        </w:rPr>
        <w:t>El concesionario continúa con las actividades de Mantenimiento a lo largo de todo el corredor, realizando activadas de rocería, limpieza de obras de drenaje, mantenimiento a defensas metálicas, señalización y demarcación.</w:t>
      </w:r>
    </w:p>
    <w:p w:rsidR="00EB3BC8" w:rsidRPr="00EC588F" w:rsidRDefault="00EB3BC8" w:rsidP="00EB3BC8">
      <w:pPr>
        <w:spacing w:after="0" w:line="240" w:lineRule="auto"/>
        <w:jc w:val="both"/>
        <w:rPr>
          <w:rFonts w:eastAsia="Times New Roman" w:cstheme="minorHAnsi"/>
          <w:lang w:val="es-ES" w:eastAsia="es-ES"/>
        </w:rPr>
      </w:pPr>
    </w:p>
    <w:p w:rsidR="00EB3BC8" w:rsidRPr="00EC588F" w:rsidRDefault="00EB3BC8" w:rsidP="00EB3BC8">
      <w:pPr>
        <w:autoSpaceDE w:val="0"/>
        <w:autoSpaceDN w:val="0"/>
        <w:adjustRightInd w:val="0"/>
        <w:spacing w:after="0" w:line="240" w:lineRule="auto"/>
        <w:jc w:val="both"/>
        <w:rPr>
          <w:rFonts w:eastAsia="Times New Roman" w:cstheme="minorHAnsi"/>
          <w:lang w:val="es-ES" w:eastAsia="es-ES"/>
        </w:rPr>
      </w:pPr>
      <w:r w:rsidRPr="00EC588F">
        <w:rPr>
          <w:rFonts w:eastAsia="Times New Roman" w:cstheme="minorHAnsi"/>
          <w:bCs/>
          <w:kern w:val="32"/>
          <w:lang w:val="es-ES" w:eastAsia="es-ES"/>
        </w:rPr>
        <w:t xml:space="preserve">Dentro de la etapa de Construcción el concesionario desarrolló las actividades denominadas </w:t>
      </w:r>
      <w:r w:rsidRPr="00EC588F">
        <w:rPr>
          <w:rFonts w:eastAsia="Times New Roman" w:cstheme="minorHAnsi"/>
          <w:lang w:val="es-ES" w:eastAsia="es-ES"/>
        </w:rPr>
        <w:t>Mantenimiento rutinario entre las que se resaltan:</w:t>
      </w:r>
    </w:p>
    <w:p w:rsidR="00EB3BC8" w:rsidRPr="00EC588F" w:rsidRDefault="00EB3BC8" w:rsidP="00EB3BC8">
      <w:pPr>
        <w:autoSpaceDE w:val="0"/>
        <w:autoSpaceDN w:val="0"/>
        <w:adjustRightInd w:val="0"/>
        <w:spacing w:after="0" w:line="240" w:lineRule="auto"/>
        <w:jc w:val="both"/>
        <w:rPr>
          <w:rFonts w:eastAsia="Times New Roman" w:cstheme="minorHAnsi"/>
          <w:lang w:val="es-ES" w:eastAsia="es-ES"/>
        </w:rPr>
      </w:pPr>
    </w:p>
    <w:p w:rsidR="00EB3BC8" w:rsidRPr="00EC588F" w:rsidRDefault="00EB3BC8" w:rsidP="00EB3BC8">
      <w:pPr>
        <w:autoSpaceDE w:val="0"/>
        <w:autoSpaceDN w:val="0"/>
        <w:adjustRightInd w:val="0"/>
        <w:spacing w:after="0" w:line="240" w:lineRule="auto"/>
        <w:jc w:val="both"/>
        <w:rPr>
          <w:rFonts w:eastAsia="Times New Roman" w:cstheme="minorHAnsi"/>
          <w:lang w:val="es-ES" w:eastAsia="es-ES"/>
        </w:rPr>
      </w:pPr>
      <w:r w:rsidRPr="00EC588F">
        <w:rPr>
          <w:rFonts w:eastAsia="Times New Roman" w:cstheme="minorHAnsi"/>
          <w:lang w:val="es-ES" w:eastAsia="es-ES"/>
        </w:rPr>
        <w:t>-</w:t>
      </w:r>
      <w:r w:rsidRPr="00EC588F">
        <w:rPr>
          <w:rFonts w:eastAsia="Times New Roman" w:cstheme="minorHAnsi"/>
          <w:lang w:val="es-ES" w:eastAsia="es-ES"/>
        </w:rPr>
        <w:tab/>
        <w:t>Bacheo</w:t>
      </w:r>
    </w:p>
    <w:p w:rsidR="00EB3BC8" w:rsidRPr="00EC588F" w:rsidRDefault="00EB3BC8" w:rsidP="00EB3BC8">
      <w:pPr>
        <w:autoSpaceDE w:val="0"/>
        <w:autoSpaceDN w:val="0"/>
        <w:adjustRightInd w:val="0"/>
        <w:spacing w:after="0" w:line="240" w:lineRule="auto"/>
        <w:jc w:val="both"/>
        <w:rPr>
          <w:rFonts w:eastAsia="Times New Roman" w:cstheme="minorHAnsi"/>
          <w:lang w:val="es-ES" w:eastAsia="es-ES"/>
        </w:rPr>
      </w:pPr>
      <w:r w:rsidRPr="00EC588F">
        <w:rPr>
          <w:rFonts w:eastAsia="Times New Roman" w:cstheme="minorHAnsi"/>
          <w:lang w:val="es-ES" w:eastAsia="es-ES"/>
        </w:rPr>
        <w:t>-</w:t>
      </w:r>
      <w:r w:rsidRPr="00EC588F">
        <w:rPr>
          <w:rFonts w:eastAsia="Times New Roman" w:cstheme="minorHAnsi"/>
          <w:lang w:val="es-ES" w:eastAsia="es-ES"/>
        </w:rPr>
        <w:tab/>
        <w:t>Mantenimiento y reposición de Señalización vertical</w:t>
      </w:r>
    </w:p>
    <w:p w:rsidR="00EB3BC8" w:rsidRPr="00EC588F" w:rsidRDefault="00EB3BC8" w:rsidP="00EB3BC8">
      <w:pPr>
        <w:autoSpaceDE w:val="0"/>
        <w:autoSpaceDN w:val="0"/>
        <w:adjustRightInd w:val="0"/>
        <w:spacing w:after="0" w:line="240" w:lineRule="auto"/>
        <w:jc w:val="both"/>
        <w:rPr>
          <w:rFonts w:eastAsia="Times New Roman" w:cstheme="minorHAnsi"/>
          <w:lang w:val="es-ES" w:eastAsia="es-ES"/>
        </w:rPr>
      </w:pPr>
      <w:r w:rsidRPr="00EC588F">
        <w:rPr>
          <w:rFonts w:eastAsia="Times New Roman" w:cstheme="minorHAnsi"/>
          <w:lang w:val="es-ES" w:eastAsia="es-ES"/>
        </w:rPr>
        <w:t>-</w:t>
      </w:r>
      <w:r w:rsidRPr="00EC588F">
        <w:rPr>
          <w:rFonts w:eastAsia="Times New Roman" w:cstheme="minorHAnsi"/>
          <w:lang w:val="es-ES" w:eastAsia="es-ES"/>
        </w:rPr>
        <w:tab/>
        <w:t xml:space="preserve">Instalación de Demarcación Horizontal </w:t>
      </w:r>
    </w:p>
    <w:p w:rsidR="00EB3BC8" w:rsidRPr="00EC588F" w:rsidRDefault="00EB3BC8" w:rsidP="00EB3BC8">
      <w:pPr>
        <w:autoSpaceDE w:val="0"/>
        <w:autoSpaceDN w:val="0"/>
        <w:adjustRightInd w:val="0"/>
        <w:spacing w:after="0" w:line="240" w:lineRule="auto"/>
        <w:jc w:val="both"/>
        <w:rPr>
          <w:rFonts w:eastAsia="Times New Roman" w:cstheme="minorHAnsi"/>
          <w:lang w:val="es-ES" w:eastAsia="es-ES"/>
        </w:rPr>
      </w:pPr>
      <w:r w:rsidRPr="00EC588F">
        <w:rPr>
          <w:rFonts w:eastAsia="Times New Roman" w:cstheme="minorHAnsi"/>
          <w:lang w:val="es-ES" w:eastAsia="es-ES"/>
        </w:rPr>
        <w:t>-</w:t>
      </w:r>
      <w:r w:rsidRPr="00EC588F">
        <w:rPr>
          <w:rFonts w:eastAsia="Times New Roman" w:cstheme="minorHAnsi"/>
          <w:lang w:val="es-ES" w:eastAsia="es-ES"/>
        </w:rPr>
        <w:tab/>
        <w:t>Remoción de Derrumbes</w:t>
      </w:r>
    </w:p>
    <w:p w:rsidR="00EB3BC8" w:rsidRPr="00EC588F" w:rsidRDefault="00EB3BC8" w:rsidP="00EB3BC8">
      <w:pPr>
        <w:autoSpaceDE w:val="0"/>
        <w:autoSpaceDN w:val="0"/>
        <w:adjustRightInd w:val="0"/>
        <w:spacing w:after="0" w:line="240" w:lineRule="auto"/>
        <w:jc w:val="both"/>
        <w:rPr>
          <w:rFonts w:eastAsia="Times New Roman" w:cstheme="minorHAnsi"/>
          <w:lang w:val="es-ES" w:eastAsia="es-ES"/>
        </w:rPr>
      </w:pPr>
      <w:r w:rsidRPr="00EC588F">
        <w:rPr>
          <w:rFonts w:eastAsia="Times New Roman" w:cstheme="minorHAnsi"/>
          <w:lang w:val="es-ES" w:eastAsia="es-ES"/>
        </w:rPr>
        <w:t>-          Limpieza de obras de Drenaje</w:t>
      </w:r>
    </w:p>
    <w:p w:rsidR="00EB3BC8" w:rsidRPr="00EC588F" w:rsidRDefault="00EB3BC8" w:rsidP="00EB3BC8">
      <w:pPr>
        <w:autoSpaceDE w:val="0"/>
        <w:autoSpaceDN w:val="0"/>
        <w:adjustRightInd w:val="0"/>
        <w:spacing w:after="0" w:line="240" w:lineRule="auto"/>
        <w:jc w:val="both"/>
        <w:rPr>
          <w:rFonts w:eastAsia="Times New Roman" w:cstheme="minorHAnsi"/>
          <w:lang w:val="es-ES" w:eastAsia="es-ES"/>
        </w:rPr>
      </w:pPr>
      <w:r w:rsidRPr="00EC588F">
        <w:rPr>
          <w:rFonts w:eastAsia="Times New Roman" w:cstheme="minorHAnsi"/>
          <w:lang w:val="es-ES" w:eastAsia="es-ES"/>
        </w:rPr>
        <w:t>-</w:t>
      </w:r>
      <w:r w:rsidRPr="00EC588F">
        <w:rPr>
          <w:rFonts w:eastAsia="Times New Roman" w:cstheme="minorHAnsi"/>
          <w:lang w:val="es-ES" w:eastAsia="es-ES"/>
        </w:rPr>
        <w:tab/>
        <w:t>Limpieza de márgenes, separadores y derecho de vía (rocería)</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En la fase de operación y mantenimiento se continúa con estas actividades.</w:t>
      </w:r>
    </w:p>
    <w:p w:rsidR="00EB3BC8" w:rsidRPr="00EC588F" w:rsidRDefault="00EB3BC8" w:rsidP="00EB3BC8">
      <w:pPr>
        <w:spacing w:after="0" w:line="240" w:lineRule="auto"/>
        <w:jc w:val="both"/>
        <w:rPr>
          <w:rFonts w:eastAsia="Times New Roman" w:cstheme="minorHAnsi"/>
          <w:bCs/>
          <w:kern w:val="32"/>
          <w:lang w:val="es-ES" w:eastAsia="es-ES"/>
        </w:rPr>
      </w:pPr>
    </w:p>
    <w:p w:rsidR="00EB3BC8" w:rsidRPr="00EC588F" w:rsidRDefault="00EB3BC8" w:rsidP="00EB3BC8">
      <w:pPr>
        <w:spacing w:after="0" w:line="240" w:lineRule="auto"/>
        <w:jc w:val="center"/>
        <w:rPr>
          <w:rFonts w:eastAsia="Times New Roman" w:cstheme="minorHAnsi"/>
          <w:b/>
          <w:u w:val="single"/>
          <w:lang w:val="es-ES" w:eastAsia="es-ES"/>
        </w:rPr>
      </w:pPr>
    </w:p>
    <w:p w:rsidR="00EB3BC8" w:rsidRPr="00EC588F" w:rsidRDefault="00EC588F" w:rsidP="00EC588F">
      <w:pPr>
        <w:spacing w:after="0" w:line="240" w:lineRule="auto"/>
        <w:jc w:val="both"/>
        <w:rPr>
          <w:rFonts w:eastAsia="Times New Roman" w:cstheme="minorHAnsi"/>
          <w:b/>
          <w:bCs/>
          <w:caps/>
          <w:kern w:val="32"/>
          <w:lang w:val="es-ES" w:eastAsia="es-ES"/>
        </w:rPr>
      </w:pPr>
      <w:r w:rsidRPr="00EC588F">
        <w:rPr>
          <w:rFonts w:eastAsia="Times New Roman" w:cstheme="minorHAnsi"/>
          <w:b/>
          <w:bCs/>
          <w:kern w:val="32"/>
          <w:lang w:val="es-ES" w:eastAsia="es-ES"/>
        </w:rPr>
        <w:t>Operación y Servicios</w:t>
      </w:r>
    </w:p>
    <w:p w:rsidR="00EB3BC8" w:rsidRPr="00EC588F" w:rsidRDefault="00EB3BC8" w:rsidP="00EB3BC8">
      <w:pPr>
        <w:spacing w:after="0" w:line="240" w:lineRule="auto"/>
        <w:ind w:left="720"/>
        <w:jc w:val="both"/>
        <w:rPr>
          <w:rFonts w:eastAsia="Times New Roman" w:cstheme="minorHAnsi"/>
          <w:lang w:val="es-ES" w:eastAsia="es-ES"/>
        </w:rPr>
      </w:pPr>
    </w:p>
    <w:p w:rsidR="00EB3BC8" w:rsidRPr="00EC588F" w:rsidRDefault="00EB3BC8" w:rsidP="00EB3BC8">
      <w:pPr>
        <w:autoSpaceDE w:val="0"/>
        <w:autoSpaceDN w:val="0"/>
        <w:adjustRightInd w:val="0"/>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El concesionario dispone del CCO ubicado en el Pr 86 aproximadamente, también se ha acondicionado para uso de la policía de carreteras las instalaciones de las que se hace uso en la Báscula Media Canoa 2.</w:t>
      </w:r>
    </w:p>
    <w:p w:rsidR="00EB3BC8" w:rsidRPr="00EC588F" w:rsidRDefault="00EB3BC8" w:rsidP="00EB3BC8">
      <w:pPr>
        <w:spacing w:after="0" w:line="240" w:lineRule="auto"/>
        <w:ind w:left="720"/>
        <w:jc w:val="both"/>
        <w:rPr>
          <w:rFonts w:eastAsia="Times New Roman" w:cstheme="minorHAnsi"/>
          <w:lang w:val="es-ES" w:eastAsia="es-ES"/>
        </w:rPr>
      </w:pPr>
    </w:p>
    <w:p w:rsidR="00EB3BC8" w:rsidRPr="00EC588F" w:rsidRDefault="00EB3BC8" w:rsidP="00EB3BC8">
      <w:pPr>
        <w:autoSpaceDE w:val="0"/>
        <w:autoSpaceDN w:val="0"/>
        <w:adjustRightInd w:val="0"/>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La policía de Carreteras que cubre la ruta concesionada cuenta con los vehículos dotados por el Concesionario, Motos y Patrullas, así como Valla - móvil, alcohosensores, radares y demás implementos, adicionalmente en la ruta hacen presencia otros vehículos que sirven la ruta hasta Buenaventura. Se ha solicitado en Comités Polca que los vehículos deben permanecer en la ruta asignada.</w:t>
      </w:r>
    </w:p>
    <w:p w:rsidR="00EB3BC8" w:rsidRPr="00EC588F" w:rsidRDefault="00EB3BC8" w:rsidP="00EB3BC8">
      <w:pPr>
        <w:spacing w:after="0" w:line="240" w:lineRule="auto"/>
        <w:ind w:left="720"/>
        <w:jc w:val="both"/>
        <w:rPr>
          <w:rFonts w:eastAsia="Times New Roman" w:cstheme="minorHAnsi"/>
          <w:lang w:val="es-ES" w:eastAsia="es-ES"/>
        </w:rPr>
      </w:pPr>
    </w:p>
    <w:p w:rsidR="00EB3BC8" w:rsidRPr="00EC588F" w:rsidRDefault="00EB3BC8" w:rsidP="00EB3BC8">
      <w:pPr>
        <w:autoSpaceDE w:val="0"/>
        <w:autoSpaceDN w:val="0"/>
        <w:adjustRightInd w:val="0"/>
        <w:spacing w:after="0" w:line="240" w:lineRule="auto"/>
        <w:jc w:val="both"/>
        <w:rPr>
          <w:rFonts w:eastAsia="Times New Roman" w:cstheme="minorHAnsi"/>
          <w:bCs/>
          <w:kern w:val="32"/>
          <w:lang w:val="es-ES" w:eastAsia="es-ES"/>
        </w:rPr>
      </w:pPr>
      <w:r w:rsidRPr="00EC588F">
        <w:rPr>
          <w:rFonts w:eastAsia="Times New Roman" w:cstheme="minorHAnsi"/>
          <w:bCs/>
          <w:kern w:val="32"/>
          <w:lang w:val="es-ES" w:eastAsia="es-ES"/>
        </w:rPr>
        <w:t>Para las actividades operativas en el sector 4, el Concesionario dispone de una ambulancia, una grúa, una moto taller y un vehículo de inspección vial, ubicadas en:</w:t>
      </w:r>
    </w:p>
    <w:p w:rsidR="00EB3BC8" w:rsidRPr="00EC588F" w:rsidRDefault="00EB3BC8" w:rsidP="00EB3BC8">
      <w:pPr>
        <w:spacing w:after="0" w:line="240" w:lineRule="auto"/>
        <w:ind w:left="720"/>
        <w:rPr>
          <w:rFonts w:eastAsia="Times New Roman" w:cstheme="minorHAnsi"/>
          <w:sz w:val="24"/>
          <w:szCs w:val="24"/>
          <w:lang w:val="es-ES" w:eastAsia="es-ES"/>
        </w:rPr>
      </w:pPr>
    </w:p>
    <w:tbl>
      <w:tblPr>
        <w:tblStyle w:val="Tabladecuadrcula4-nfasis5"/>
        <w:tblW w:w="3574" w:type="pct"/>
        <w:jc w:val="center"/>
        <w:tblLook w:val="04A0" w:firstRow="1" w:lastRow="0" w:firstColumn="1" w:lastColumn="0" w:noHBand="0" w:noVBand="1"/>
      </w:tblPr>
      <w:tblGrid>
        <w:gridCol w:w="2597"/>
        <w:gridCol w:w="3713"/>
      </w:tblGrid>
      <w:tr w:rsidR="00EB3BC8" w:rsidRPr="00EC588F" w:rsidTr="005E52E0">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058" w:type="pct"/>
          </w:tcPr>
          <w:p w:rsidR="00EB3BC8" w:rsidRPr="00D67F1D" w:rsidRDefault="00EB3BC8" w:rsidP="005E52E0">
            <w:pPr>
              <w:keepNext/>
              <w:keepLines/>
              <w:tabs>
                <w:tab w:val="left" w:pos="0"/>
              </w:tabs>
              <w:jc w:val="center"/>
              <w:rPr>
                <w:rFonts w:asciiTheme="minorHAnsi" w:hAnsiTheme="minorHAnsi" w:cstheme="minorHAnsi"/>
                <w:sz w:val="22"/>
                <w:szCs w:val="24"/>
              </w:rPr>
            </w:pPr>
            <w:r w:rsidRPr="00D67F1D">
              <w:rPr>
                <w:rFonts w:asciiTheme="minorHAnsi" w:hAnsiTheme="minorHAnsi" w:cstheme="minorHAnsi"/>
                <w:sz w:val="22"/>
                <w:szCs w:val="24"/>
              </w:rPr>
              <w:lastRenderedPageBreak/>
              <w:t>Vía / Sitio</w:t>
            </w:r>
          </w:p>
        </w:tc>
        <w:tc>
          <w:tcPr>
            <w:tcW w:w="2942" w:type="pct"/>
          </w:tcPr>
          <w:p w:rsidR="00EB3BC8" w:rsidRPr="00D67F1D" w:rsidRDefault="00EB3BC8" w:rsidP="005E52E0">
            <w:pPr>
              <w:keepNext/>
              <w:keepLines/>
              <w:tabs>
                <w:tab w:val="left" w:pos="0"/>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D67F1D">
              <w:rPr>
                <w:rFonts w:asciiTheme="minorHAnsi" w:hAnsiTheme="minorHAnsi" w:cstheme="minorHAnsi"/>
                <w:sz w:val="22"/>
                <w:szCs w:val="24"/>
              </w:rPr>
              <w:t>Elemento</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8" w:type="pct"/>
          </w:tcPr>
          <w:p w:rsidR="00EB3BC8" w:rsidRPr="00D67F1D" w:rsidRDefault="00EB3BC8" w:rsidP="005E52E0">
            <w:pPr>
              <w:rPr>
                <w:rFonts w:asciiTheme="minorHAnsi" w:hAnsiTheme="minorHAnsi" w:cstheme="minorHAnsi"/>
                <w:sz w:val="22"/>
                <w:szCs w:val="24"/>
                <w:lang w:val="es-ES" w:eastAsia="es-ES"/>
              </w:rPr>
            </w:pPr>
            <w:r w:rsidRPr="00D67F1D">
              <w:rPr>
                <w:rFonts w:asciiTheme="minorHAnsi" w:hAnsiTheme="minorHAnsi" w:cstheme="minorHAnsi"/>
                <w:sz w:val="22"/>
                <w:szCs w:val="24"/>
                <w:lang w:val="es-ES" w:eastAsia="es-ES"/>
              </w:rPr>
              <w:t>PR 111+650</w:t>
            </w:r>
          </w:p>
        </w:tc>
        <w:tc>
          <w:tcPr>
            <w:tcW w:w="2942" w:type="pct"/>
          </w:tcPr>
          <w:p w:rsidR="00EB3BC8" w:rsidRPr="00D67F1D"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lang w:val="es-ES" w:eastAsia="es-ES"/>
              </w:rPr>
            </w:pPr>
            <w:r w:rsidRPr="00D67F1D">
              <w:rPr>
                <w:rFonts w:asciiTheme="minorHAnsi" w:hAnsiTheme="minorHAnsi" w:cstheme="minorHAnsi"/>
                <w:sz w:val="22"/>
                <w:szCs w:val="24"/>
                <w:lang w:val="es-ES" w:eastAsia="es-ES"/>
              </w:rPr>
              <w:t>Una ambulancia tipo TAM (Traslado Asistencial Médico)</w:t>
            </w:r>
          </w:p>
        </w:tc>
      </w:tr>
      <w:tr w:rsidR="00EB3BC8" w:rsidRPr="00EC588F" w:rsidTr="005E52E0">
        <w:trPr>
          <w:jc w:val="center"/>
        </w:trPr>
        <w:tc>
          <w:tcPr>
            <w:cnfStyle w:val="001000000000" w:firstRow="0" w:lastRow="0" w:firstColumn="1" w:lastColumn="0" w:oddVBand="0" w:evenVBand="0" w:oddHBand="0" w:evenHBand="0" w:firstRowFirstColumn="0" w:firstRowLastColumn="0" w:lastRowFirstColumn="0" w:lastRowLastColumn="0"/>
            <w:tcW w:w="2058" w:type="pct"/>
          </w:tcPr>
          <w:p w:rsidR="00EB3BC8" w:rsidRPr="00D67F1D" w:rsidRDefault="00EB3BC8" w:rsidP="005E52E0">
            <w:pPr>
              <w:rPr>
                <w:rFonts w:asciiTheme="minorHAnsi" w:hAnsiTheme="minorHAnsi" w:cstheme="minorHAnsi"/>
                <w:sz w:val="22"/>
                <w:szCs w:val="24"/>
                <w:lang w:val="es-ES" w:eastAsia="es-ES"/>
              </w:rPr>
            </w:pPr>
            <w:r w:rsidRPr="00D67F1D">
              <w:rPr>
                <w:rFonts w:asciiTheme="minorHAnsi" w:hAnsiTheme="minorHAnsi" w:cstheme="minorHAnsi"/>
                <w:sz w:val="22"/>
                <w:szCs w:val="24"/>
                <w:lang w:val="es-ES" w:eastAsia="es-ES"/>
              </w:rPr>
              <w:t>PR 111+650</w:t>
            </w:r>
          </w:p>
        </w:tc>
        <w:tc>
          <w:tcPr>
            <w:tcW w:w="2942" w:type="pct"/>
          </w:tcPr>
          <w:p w:rsidR="00EB3BC8" w:rsidRPr="00D67F1D" w:rsidRDefault="00EB3BC8" w:rsidP="005E52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lang w:val="es-ES" w:eastAsia="es-ES"/>
              </w:rPr>
            </w:pPr>
            <w:r w:rsidRPr="00D67F1D">
              <w:rPr>
                <w:rFonts w:asciiTheme="minorHAnsi" w:hAnsiTheme="minorHAnsi" w:cstheme="minorHAnsi"/>
                <w:sz w:val="22"/>
                <w:szCs w:val="24"/>
                <w:lang w:val="es-ES" w:eastAsia="es-ES"/>
              </w:rPr>
              <w:t>Una Moto Taller</w:t>
            </w:r>
          </w:p>
        </w:tc>
      </w:tr>
      <w:tr w:rsidR="00EB3BC8" w:rsidRPr="00EC588F" w:rsidTr="005E5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8" w:type="pct"/>
          </w:tcPr>
          <w:p w:rsidR="00EB3BC8" w:rsidRPr="00D67F1D" w:rsidRDefault="00EB3BC8" w:rsidP="005E52E0">
            <w:pPr>
              <w:rPr>
                <w:rFonts w:asciiTheme="minorHAnsi" w:hAnsiTheme="minorHAnsi" w:cstheme="minorHAnsi"/>
                <w:sz w:val="22"/>
                <w:szCs w:val="24"/>
                <w:lang w:val="es-ES" w:eastAsia="es-ES"/>
              </w:rPr>
            </w:pPr>
            <w:r w:rsidRPr="00D67F1D">
              <w:rPr>
                <w:rFonts w:asciiTheme="minorHAnsi" w:hAnsiTheme="minorHAnsi" w:cstheme="minorHAnsi"/>
                <w:sz w:val="22"/>
                <w:szCs w:val="24"/>
                <w:lang w:val="es-ES" w:eastAsia="es-ES"/>
              </w:rPr>
              <w:t>PR 111+650</w:t>
            </w:r>
          </w:p>
        </w:tc>
        <w:tc>
          <w:tcPr>
            <w:tcW w:w="2942" w:type="pct"/>
          </w:tcPr>
          <w:p w:rsidR="00EB3BC8" w:rsidRPr="00D67F1D"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lang w:val="es-ES" w:eastAsia="es-ES"/>
              </w:rPr>
            </w:pPr>
            <w:r w:rsidRPr="00D67F1D">
              <w:rPr>
                <w:rFonts w:asciiTheme="minorHAnsi" w:hAnsiTheme="minorHAnsi" w:cstheme="minorHAnsi"/>
                <w:sz w:val="22"/>
                <w:szCs w:val="24"/>
                <w:lang w:val="es-ES" w:eastAsia="es-ES"/>
              </w:rPr>
              <w:t>Una Grúa de Gancho</w:t>
            </w:r>
          </w:p>
        </w:tc>
      </w:tr>
    </w:tbl>
    <w:p w:rsidR="00EB3BC8" w:rsidRPr="005133E0" w:rsidRDefault="00EB3BC8" w:rsidP="00EB3BC8">
      <w:pPr>
        <w:spacing w:after="0" w:line="240" w:lineRule="auto"/>
        <w:ind w:left="720"/>
        <w:rPr>
          <w:rFonts w:ascii="Arial Narrow" w:eastAsia="Times New Roman" w:hAnsi="Arial Narrow" w:cs="Times New Roman"/>
          <w:sz w:val="24"/>
          <w:szCs w:val="24"/>
          <w:lang w:val="es-ES" w:eastAsia="es-ES"/>
        </w:rPr>
      </w:pPr>
    </w:p>
    <w:p w:rsidR="00EB3BC8" w:rsidRPr="005133E0" w:rsidRDefault="00EB3BC8" w:rsidP="00EB3BC8">
      <w:pPr>
        <w:tabs>
          <w:tab w:val="left" w:pos="922"/>
        </w:tabs>
        <w:spacing w:after="0" w:line="240" w:lineRule="auto"/>
        <w:rPr>
          <w:rFonts w:ascii="Arial Narrow" w:eastAsia="Times New Roman" w:hAnsi="Arial Narrow" w:cs="Times New Roman"/>
          <w:sz w:val="24"/>
          <w:szCs w:val="24"/>
          <w:lang w:val="es-ES" w:eastAsia="es-ES"/>
        </w:rPr>
      </w:pPr>
    </w:p>
    <w:p w:rsidR="00EB3BC8" w:rsidRPr="00AD4A04" w:rsidRDefault="00AD4A04" w:rsidP="00AD4A04">
      <w:pPr>
        <w:spacing w:after="0" w:line="240" w:lineRule="auto"/>
        <w:jc w:val="both"/>
        <w:rPr>
          <w:rFonts w:eastAsia="Times New Roman" w:cstheme="minorHAnsi"/>
          <w:b/>
          <w:bCs/>
          <w:caps/>
          <w:kern w:val="32"/>
          <w:szCs w:val="24"/>
          <w:lang w:val="es-ES" w:eastAsia="es-ES"/>
        </w:rPr>
      </w:pPr>
      <w:r w:rsidRPr="00AD4A04">
        <w:rPr>
          <w:rFonts w:eastAsia="Times New Roman" w:cstheme="minorHAnsi"/>
          <w:b/>
          <w:bCs/>
          <w:kern w:val="32"/>
          <w:szCs w:val="24"/>
          <w:lang w:val="es-ES" w:eastAsia="es-ES"/>
        </w:rPr>
        <w:t>Accidentalidad</w:t>
      </w:r>
    </w:p>
    <w:p w:rsidR="00EB3BC8" w:rsidRPr="00AD4A04" w:rsidRDefault="00EB3BC8" w:rsidP="00EB3BC8">
      <w:pPr>
        <w:autoSpaceDE w:val="0"/>
        <w:autoSpaceDN w:val="0"/>
        <w:adjustRightInd w:val="0"/>
        <w:spacing w:after="0" w:line="240" w:lineRule="auto"/>
        <w:jc w:val="both"/>
        <w:rPr>
          <w:rFonts w:eastAsia="Calibri" w:cstheme="minorHAnsi"/>
          <w:szCs w:val="24"/>
        </w:rPr>
      </w:pPr>
    </w:p>
    <w:p w:rsidR="00EB3BC8" w:rsidRPr="00AD4A04" w:rsidRDefault="00EB3BC8" w:rsidP="00EB3BC8">
      <w:pPr>
        <w:autoSpaceDE w:val="0"/>
        <w:autoSpaceDN w:val="0"/>
        <w:adjustRightInd w:val="0"/>
        <w:spacing w:after="0" w:line="240" w:lineRule="auto"/>
        <w:jc w:val="both"/>
        <w:rPr>
          <w:rFonts w:eastAsia="Times New Roman" w:cstheme="minorHAnsi"/>
          <w:bCs/>
          <w:kern w:val="32"/>
          <w:szCs w:val="24"/>
          <w:lang w:val="es-ES" w:eastAsia="es-ES"/>
        </w:rPr>
      </w:pPr>
      <w:r w:rsidRPr="00AD4A04">
        <w:rPr>
          <w:rFonts w:eastAsia="Times New Roman" w:cstheme="minorHAnsi"/>
          <w:bCs/>
          <w:kern w:val="32"/>
          <w:szCs w:val="24"/>
          <w:lang w:val="es-ES" w:eastAsia="es-ES"/>
        </w:rPr>
        <w:t>En el siguiente gráfico se muestra el comportamiento de la accidentalidad en los meses transcurrido desde el inicio del proyecto, durante el trimestre se observa un incremento en la accidentalidad, siendo el mes de abril en el que más accidentes se presentaron en el año 2015, con un total de 12 accidentes reportados.</w:t>
      </w:r>
    </w:p>
    <w:p w:rsidR="00EB3BC8" w:rsidRPr="00AD4A04" w:rsidRDefault="00EB3BC8" w:rsidP="00EB3BC8">
      <w:pPr>
        <w:spacing w:after="0" w:line="240" w:lineRule="auto"/>
        <w:jc w:val="both"/>
        <w:rPr>
          <w:rFonts w:eastAsia="Calibri" w:cstheme="minorHAnsi"/>
          <w:color w:val="000000"/>
          <w:szCs w:val="24"/>
        </w:rPr>
      </w:pPr>
    </w:p>
    <w:p w:rsidR="00EB3BC8" w:rsidRPr="00AD4A04" w:rsidRDefault="00EB3BC8" w:rsidP="00EB3BC8">
      <w:pPr>
        <w:autoSpaceDE w:val="0"/>
        <w:autoSpaceDN w:val="0"/>
        <w:adjustRightInd w:val="0"/>
        <w:spacing w:after="0" w:line="240" w:lineRule="auto"/>
        <w:jc w:val="both"/>
        <w:rPr>
          <w:rFonts w:eastAsia="Times New Roman" w:cstheme="minorHAnsi"/>
          <w:bCs/>
          <w:kern w:val="32"/>
          <w:szCs w:val="24"/>
          <w:lang w:val="es-ES" w:eastAsia="es-ES"/>
        </w:rPr>
      </w:pPr>
      <w:r w:rsidRPr="00AD4A04">
        <w:rPr>
          <w:rFonts w:eastAsia="Times New Roman" w:cstheme="minorHAnsi"/>
          <w:bCs/>
          <w:kern w:val="32"/>
          <w:szCs w:val="24"/>
          <w:lang w:val="es-ES" w:eastAsia="es-ES"/>
        </w:rPr>
        <w:t>El número de muertos presentados en el corredor en los meses desde el inicio del proyecto muestra que durante el trimestre se registraron dos (2) muertos, uno en el mes de abril y otro en mayo. El total de muertos registrados durante la ejecución del proyecto es de trece (13).</w:t>
      </w:r>
    </w:p>
    <w:p w:rsidR="00EB3BC8" w:rsidRPr="00AD4A04" w:rsidRDefault="00EB3BC8" w:rsidP="00EB3BC8">
      <w:pPr>
        <w:autoSpaceDE w:val="0"/>
        <w:autoSpaceDN w:val="0"/>
        <w:adjustRightInd w:val="0"/>
        <w:spacing w:after="0" w:line="240" w:lineRule="auto"/>
        <w:jc w:val="both"/>
        <w:rPr>
          <w:rFonts w:eastAsia="Times New Roman" w:cstheme="minorHAnsi"/>
          <w:bCs/>
          <w:kern w:val="32"/>
          <w:sz w:val="24"/>
          <w:szCs w:val="24"/>
          <w:lang w:val="es-ES" w:eastAsia="es-ES"/>
        </w:rPr>
      </w:pPr>
    </w:p>
    <w:p w:rsidR="00EB3BC8" w:rsidRPr="00AD4A04" w:rsidRDefault="00EB3BC8" w:rsidP="00EB3BC8">
      <w:pPr>
        <w:spacing w:after="0" w:line="240" w:lineRule="auto"/>
        <w:jc w:val="center"/>
        <w:rPr>
          <w:rFonts w:eastAsia="Calibri" w:cstheme="minorHAnsi"/>
          <w:color w:val="000000"/>
          <w:sz w:val="24"/>
          <w:szCs w:val="24"/>
        </w:rPr>
      </w:pPr>
      <w:r w:rsidRPr="00AD4A04">
        <w:rPr>
          <w:rFonts w:eastAsia="Times New Roman" w:cstheme="minorHAnsi"/>
          <w:noProof/>
          <w:sz w:val="24"/>
          <w:szCs w:val="24"/>
        </w:rPr>
        <w:drawing>
          <wp:inline distT="0" distB="0" distL="0" distR="0" wp14:anchorId="39657A71" wp14:editId="05171C8B">
            <wp:extent cx="5333333" cy="2752381"/>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33333" cy="2752381"/>
                    </a:xfrm>
                    <a:prstGeom prst="rect">
                      <a:avLst/>
                    </a:prstGeom>
                  </pic:spPr>
                </pic:pic>
              </a:graphicData>
            </a:graphic>
          </wp:inline>
        </w:drawing>
      </w:r>
    </w:p>
    <w:p w:rsidR="00EB3BC8" w:rsidRPr="00AD4A04" w:rsidRDefault="00EB3BC8" w:rsidP="00EB3BC8">
      <w:pPr>
        <w:spacing w:after="0" w:line="240" w:lineRule="auto"/>
        <w:jc w:val="center"/>
        <w:rPr>
          <w:rFonts w:eastAsia="Calibri" w:cstheme="minorHAnsi"/>
          <w:color w:val="000000"/>
          <w:sz w:val="24"/>
          <w:szCs w:val="24"/>
        </w:rPr>
      </w:pPr>
    </w:p>
    <w:p w:rsidR="00EB3BC8" w:rsidRPr="00AD4A04" w:rsidRDefault="00EB3BC8" w:rsidP="00EB3BC8">
      <w:pPr>
        <w:spacing w:after="0" w:line="240" w:lineRule="auto"/>
        <w:jc w:val="center"/>
        <w:rPr>
          <w:rFonts w:eastAsia="Calibri" w:cstheme="minorHAnsi"/>
          <w:color w:val="000000"/>
          <w:sz w:val="24"/>
          <w:szCs w:val="24"/>
        </w:rPr>
      </w:pPr>
    </w:p>
    <w:p w:rsidR="00EB3BC8" w:rsidRPr="00AD4A04" w:rsidRDefault="00EB3BC8" w:rsidP="00EB3BC8">
      <w:pPr>
        <w:spacing w:after="0" w:line="240" w:lineRule="auto"/>
        <w:jc w:val="center"/>
        <w:rPr>
          <w:rFonts w:eastAsia="Calibri" w:cstheme="minorHAnsi"/>
          <w:color w:val="000000"/>
          <w:sz w:val="24"/>
          <w:szCs w:val="24"/>
        </w:rPr>
      </w:pPr>
      <w:r w:rsidRPr="00AD4A04">
        <w:rPr>
          <w:rFonts w:eastAsia="Times New Roman" w:cstheme="minorHAnsi"/>
          <w:noProof/>
          <w:sz w:val="24"/>
          <w:szCs w:val="24"/>
        </w:rPr>
        <w:lastRenderedPageBreak/>
        <w:drawing>
          <wp:inline distT="0" distB="0" distL="0" distR="0" wp14:anchorId="62AEABA7" wp14:editId="61FC177B">
            <wp:extent cx="4580952" cy="2752381"/>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80952" cy="2752381"/>
                    </a:xfrm>
                    <a:prstGeom prst="rect">
                      <a:avLst/>
                    </a:prstGeom>
                  </pic:spPr>
                </pic:pic>
              </a:graphicData>
            </a:graphic>
          </wp:inline>
        </w:drawing>
      </w:r>
    </w:p>
    <w:p w:rsidR="00EB3BC8" w:rsidRPr="00AD4A04" w:rsidRDefault="00EB3BC8" w:rsidP="00EB3BC8">
      <w:pPr>
        <w:spacing w:after="0" w:line="240" w:lineRule="auto"/>
        <w:jc w:val="center"/>
        <w:rPr>
          <w:rFonts w:eastAsia="Calibri" w:cstheme="minorHAnsi"/>
          <w:color w:val="000000"/>
          <w:sz w:val="18"/>
          <w:szCs w:val="18"/>
        </w:rPr>
      </w:pPr>
      <w:r w:rsidRPr="00AD4A04">
        <w:rPr>
          <w:rFonts w:eastAsia="Calibri" w:cstheme="minorHAnsi"/>
          <w:color w:val="000000"/>
          <w:sz w:val="18"/>
          <w:szCs w:val="18"/>
        </w:rPr>
        <w:t>Fuente: Interventoría Consorcio Intercon</w:t>
      </w:r>
    </w:p>
    <w:p w:rsidR="00EB3BC8" w:rsidRPr="00AD4A04" w:rsidRDefault="00EB3BC8" w:rsidP="00EB3BC8">
      <w:pPr>
        <w:spacing w:after="0" w:line="240" w:lineRule="auto"/>
        <w:jc w:val="both"/>
        <w:rPr>
          <w:rFonts w:eastAsia="Calibri" w:cstheme="minorHAnsi"/>
          <w:color w:val="000000"/>
          <w:sz w:val="24"/>
          <w:szCs w:val="24"/>
        </w:rPr>
      </w:pPr>
    </w:p>
    <w:p w:rsidR="00EB3BC8" w:rsidRPr="00AD4A04" w:rsidRDefault="00EB3BC8" w:rsidP="00EB3BC8">
      <w:pPr>
        <w:autoSpaceDE w:val="0"/>
        <w:autoSpaceDN w:val="0"/>
        <w:adjustRightInd w:val="0"/>
        <w:spacing w:after="0" w:line="240" w:lineRule="auto"/>
        <w:jc w:val="both"/>
        <w:rPr>
          <w:rFonts w:eastAsia="Calibri" w:cstheme="minorHAnsi"/>
          <w:szCs w:val="24"/>
        </w:rPr>
      </w:pPr>
      <w:r w:rsidRPr="00AD4A04">
        <w:rPr>
          <w:rFonts w:eastAsia="Calibri" w:cstheme="minorHAnsi"/>
          <w:szCs w:val="24"/>
        </w:rPr>
        <w:t xml:space="preserve">Finalmente se hace necesario determinar los  puntos o sitios negros en los cuales se identifiquen reiteraciones en materia de accidentalidad, para de esta forma el Concesionario en acompañamiento de la Interventoría desarrolle las medidas tendientes a disminuir, controlar o mejorar según sea el caso los incidentes en relación a seguridad vial del corredor concesionado. </w:t>
      </w:r>
    </w:p>
    <w:p w:rsidR="00EB3BC8" w:rsidRPr="00AD4A04" w:rsidRDefault="00EB3BC8" w:rsidP="00EB3BC8">
      <w:pPr>
        <w:autoSpaceDE w:val="0"/>
        <w:autoSpaceDN w:val="0"/>
        <w:adjustRightInd w:val="0"/>
        <w:spacing w:after="0" w:line="240" w:lineRule="auto"/>
        <w:jc w:val="both"/>
        <w:rPr>
          <w:rFonts w:eastAsia="Calibri" w:cstheme="minorHAnsi"/>
          <w:szCs w:val="24"/>
        </w:rPr>
      </w:pPr>
    </w:p>
    <w:p w:rsidR="00EB3BC8" w:rsidRPr="005133E0" w:rsidRDefault="00EB3BC8" w:rsidP="00EB3BC8">
      <w:pPr>
        <w:autoSpaceDE w:val="0"/>
        <w:autoSpaceDN w:val="0"/>
        <w:adjustRightInd w:val="0"/>
        <w:spacing w:after="0" w:line="240" w:lineRule="auto"/>
        <w:jc w:val="both"/>
        <w:rPr>
          <w:rFonts w:ascii="Arial" w:eastAsia="Calibri" w:hAnsi="Arial" w:cs="Arial"/>
          <w:szCs w:val="24"/>
        </w:rPr>
      </w:pPr>
      <w:r w:rsidRPr="00AD4A04">
        <w:rPr>
          <w:rFonts w:eastAsia="Calibri" w:cstheme="minorHAnsi"/>
          <w:szCs w:val="24"/>
        </w:rPr>
        <w:t>El Concesionario en virtud el alcance  contractual desarrolla diferentes programas con la finalidad de disminuir los índices de accidentalidad entre los que se resalta el programa de movilidad segura, los operativos de seguridad vial y prevención vial y los talleres de cultura vial.</w:t>
      </w:r>
    </w:p>
    <w:p w:rsidR="00EB3BC8" w:rsidRPr="005133E0" w:rsidRDefault="00EB3BC8" w:rsidP="00EB3BC8">
      <w:pPr>
        <w:autoSpaceDE w:val="0"/>
        <w:autoSpaceDN w:val="0"/>
        <w:adjustRightInd w:val="0"/>
        <w:spacing w:after="0" w:line="240" w:lineRule="auto"/>
        <w:jc w:val="both"/>
        <w:rPr>
          <w:rFonts w:ascii="Arial" w:eastAsia="Calibri" w:hAnsi="Arial" w:cs="Arial"/>
          <w:szCs w:val="24"/>
        </w:rPr>
      </w:pPr>
    </w:p>
    <w:p w:rsidR="00EB3BC8" w:rsidRPr="005133E0" w:rsidRDefault="00EB3BC8" w:rsidP="00EB3BC8">
      <w:pPr>
        <w:autoSpaceDE w:val="0"/>
        <w:autoSpaceDN w:val="0"/>
        <w:adjustRightInd w:val="0"/>
        <w:spacing w:after="0" w:line="240" w:lineRule="auto"/>
        <w:jc w:val="both"/>
        <w:rPr>
          <w:rFonts w:ascii="Arial" w:eastAsia="Calibri" w:hAnsi="Arial" w:cs="Arial"/>
          <w:szCs w:val="24"/>
        </w:rPr>
      </w:pPr>
    </w:p>
    <w:p w:rsidR="00EB3BC8" w:rsidRPr="00AD4A04" w:rsidRDefault="00AD4A04" w:rsidP="00AD4A04">
      <w:pPr>
        <w:spacing w:after="0" w:line="240" w:lineRule="auto"/>
        <w:jc w:val="both"/>
        <w:rPr>
          <w:rFonts w:eastAsia="Times New Roman" w:cstheme="minorHAnsi"/>
          <w:b/>
          <w:bCs/>
          <w:caps/>
          <w:kern w:val="32"/>
          <w:szCs w:val="24"/>
          <w:lang w:val="es-ES" w:eastAsia="es-ES"/>
        </w:rPr>
      </w:pPr>
      <w:r w:rsidRPr="00AD4A04">
        <w:rPr>
          <w:rFonts w:eastAsia="Times New Roman" w:cstheme="minorHAnsi"/>
          <w:b/>
          <w:bCs/>
          <w:kern w:val="32"/>
          <w:szCs w:val="24"/>
          <w:lang w:val="es-ES" w:eastAsia="es-ES"/>
        </w:rPr>
        <w:t>Peajes</w:t>
      </w:r>
    </w:p>
    <w:p w:rsidR="00EB3BC8" w:rsidRPr="00AD4A04" w:rsidRDefault="00EB3BC8" w:rsidP="00EB3BC8">
      <w:pPr>
        <w:autoSpaceDE w:val="0"/>
        <w:autoSpaceDN w:val="0"/>
        <w:adjustRightInd w:val="0"/>
        <w:spacing w:after="0" w:line="240" w:lineRule="auto"/>
        <w:jc w:val="both"/>
        <w:rPr>
          <w:rFonts w:eastAsia="Times New Roman" w:cstheme="minorHAnsi"/>
          <w:b/>
          <w:bCs/>
          <w:iCs/>
          <w:szCs w:val="24"/>
          <w:lang w:val="es-ES" w:eastAsia="es-ES"/>
        </w:rPr>
      </w:pPr>
    </w:p>
    <w:p w:rsidR="00EB3BC8" w:rsidRPr="00AD4A04" w:rsidRDefault="00EB3BC8" w:rsidP="00EB3BC8">
      <w:pPr>
        <w:autoSpaceDE w:val="0"/>
        <w:autoSpaceDN w:val="0"/>
        <w:adjustRightInd w:val="0"/>
        <w:spacing w:after="0" w:line="240" w:lineRule="auto"/>
        <w:jc w:val="both"/>
        <w:rPr>
          <w:rFonts w:eastAsia="Times New Roman" w:cstheme="minorHAnsi"/>
          <w:bCs/>
          <w:szCs w:val="24"/>
          <w:lang w:eastAsia="es-ES"/>
        </w:rPr>
      </w:pPr>
      <w:r w:rsidRPr="00AD4A04">
        <w:rPr>
          <w:rFonts w:eastAsia="Times New Roman" w:cstheme="minorHAnsi"/>
          <w:szCs w:val="24"/>
          <w:lang w:val="es-ES" w:eastAsia="es-ES"/>
        </w:rPr>
        <w:t xml:space="preserve">El Concesionario está operando desde el 13 de diciembre de 2013 la Estación de Peaje de Loboguerrero ubicada en el casco urbano del corregimiento de Loboguerrero (municipio de Dagua) </w:t>
      </w:r>
      <w:r w:rsidRPr="00AD4A04">
        <w:rPr>
          <w:rFonts w:eastAsia="Times New Roman" w:cstheme="minorHAnsi"/>
          <w:szCs w:val="24"/>
          <w:lang w:eastAsia="es-ES"/>
        </w:rPr>
        <w:t xml:space="preserve">PR63+310 de la ruta 40-01 Buenaventura - Buga, </w:t>
      </w:r>
      <w:r w:rsidRPr="00AD4A04">
        <w:rPr>
          <w:rFonts w:eastAsia="Times New Roman" w:cstheme="minorHAnsi"/>
          <w:szCs w:val="24"/>
          <w:lang w:val="es-ES" w:eastAsia="es-ES"/>
        </w:rPr>
        <w:t xml:space="preserve">de manera ininterrumpida las 24 horas de cada día. La estación </w:t>
      </w:r>
      <w:r w:rsidRPr="00AD4A04">
        <w:rPr>
          <w:rFonts w:eastAsia="Times New Roman" w:cstheme="minorHAnsi"/>
          <w:bCs/>
          <w:szCs w:val="24"/>
          <w:lang w:eastAsia="es-ES"/>
        </w:rPr>
        <w:t>dispone del personal, tecnología y equipos con sistema de clasificación de vehículos para realizar el recaudo por cabina.</w:t>
      </w:r>
    </w:p>
    <w:p w:rsidR="00EB3BC8" w:rsidRPr="00AD4A04" w:rsidRDefault="00EB3BC8" w:rsidP="00EB3BC8">
      <w:pPr>
        <w:autoSpaceDE w:val="0"/>
        <w:autoSpaceDN w:val="0"/>
        <w:adjustRightInd w:val="0"/>
        <w:spacing w:after="0" w:line="240" w:lineRule="auto"/>
        <w:jc w:val="center"/>
        <w:rPr>
          <w:rFonts w:eastAsia="Times New Roman" w:cstheme="minorHAnsi"/>
          <w:noProof/>
          <w:szCs w:val="24"/>
        </w:rPr>
      </w:pPr>
      <w:r w:rsidRPr="00AD4A04">
        <w:rPr>
          <w:rFonts w:eastAsia="Times New Roman" w:cstheme="minorHAnsi"/>
          <w:noProof/>
          <w:szCs w:val="24"/>
        </w:rPr>
        <w:t xml:space="preserve">  </w:t>
      </w:r>
    </w:p>
    <w:p w:rsidR="00EB3BC8" w:rsidRPr="00AD4A04" w:rsidRDefault="00EB3BC8" w:rsidP="00EB3BC8">
      <w:pPr>
        <w:autoSpaceDE w:val="0"/>
        <w:autoSpaceDN w:val="0"/>
        <w:adjustRightInd w:val="0"/>
        <w:spacing w:after="0" w:line="240" w:lineRule="auto"/>
        <w:jc w:val="both"/>
        <w:rPr>
          <w:rFonts w:eastAsia="Times New Roman" w:cstheme="minorHAnsi"/>
          <w:noProof/>
          <w:szCs w:val="24"/>
        </w:rPr>
      </w:pPr>
      <w:r w:rsidRPr="00AD4A04">
        <w:rPr>
          <w:rFonts w:eastAsia="Times New Roman" w:cstheme="minorHAnsi"/>
          <w:noProof/>
          <w:szCs w:val="24"/>
        </w:rPr>
        <w:t xml:space="preserve">La entidad solicito en comité tecnico al concesionario instalar semaforos de marquesina a fin de orientar al usuario sobre los carriles habilitados teniendo en cuenta la necesidad de implementar contraflujos para manejar las oleadas de trafico generadas por las obras de Invias en el sector Tuneles Loboguerrero  - Cisneros. Los semaforos fueron instalados en los carriles que se usan para  actividades de contingencia. </w:t>
      </w:r>
    </w:p>
    <w:p w:rsidR="00EB3BC8" w:rsidRPr="00AD4A04" w:rsidRDefault="00EB3BC8" w:rsidP="00EB3BC8">
      <w:pPr>
        <w:autoSpaceDE w:val="0"/>
        <w:autoSpaceDN w:val="0"/>
        <w:adjustRightInd w:val="0"/>
        <w:spacing w:after="0" w:line="240" w:lineRule="auto"/>
        <w:jc w:val="both"/>
        <w:rPr>
          <w:rFonts w:eastAsia="Times New Roman" w:cstheme="minorHAnsi"/>
          <w:noProof/>
          <w:szCs w:val="24"/>
        </w:rPr>
      </w:pPr>
    </w:p>
    <w:p w:rsidR="00EB3BC8" w:rsidRPr="00AD4A04" w:rsidRDefault="00EB3BC8" w:rsidP="00EB3BC8">
      <w:pPr>
        <w:autoSpaceDE w:val="0"/>
        <w:autoSpaceDN w:val="0"/>
        <w:adjustRightInd w:val="0"/>
        <w:spacing w:after="0" w:line="240" w:lineRule="auto"/>
        <w:jc w:val="both"/>
        <w:rPr>
          <w:rFonts w:eastAsia="Times New Roman" w:cstheme="minorHAnsi"/>
          <w:noProof/>
          <w:szCs w:val="24"/>
        </w:rPr>
      </w:pPr>
      <w:r w:rsidRPr="00AD4A04">
        <w:rPr>
          <w:rFonts w:eastAsia="Times New Roman" w:cstheme="minorHAnsi"/>
          <w:noProof/>
          <w:szCs w:val="24"/>
        </w:rPr>
        <w:t>Según insumos para informe de Interventoría correspondiente al mes de junio de 2015, se tiene un total de ingresos del peaje de $ 43.298.222.350, el valor de el VPIP a la fecha de corte es de un total de $ 30.669.274.929, lo que representa el 80% del valor esperado.</w:t>
      </w:r>
    </w:p>
    <w:p w:rsidR="00EB3BC8" w:rsidRPr="00AD4A04" w:rsidRDefault="00EB3BC8" w:rsidP="00EB3BC8">
      <w:pPr>
        <w:spacing w:after="0" w:line="240" w:lineRule="auto"/>
        <w:jc w:val="both"/>
        <w:rPr>
          <w:rFonts w:eastAsia="Calibri" w:cstheme="minorHAnsi"/>
          <w:color w:val="000000"/>
          <w:sz w:val="24"/>
          <w:szCs w:val="24"/>
        </w:rPr>
      </w:pPr>
    </w:p>
    <w:p w:rsidR="00EB3BC8" w:rsidRPr="00AD4A04" w:rsidRDefault="00EB3BC8" w:rsidP="00EB3BC8">
      <w:pPr>
        <w:keepNext/>
        <w:keepLines/>
        <w:tabs>
          <w:tab w:val="left" w:pos="0"/>
        </w:tabs>
        <w:spacing w:after="0" w:line="240" w:lineRule="auto"/>
        <w:jc w:val="center"/>
        <w:rPr>
          <w:rFonts w:eastAsia="Times New Roman" w:cstheme="minorHAnsi"/>
          <w:noProof/>
          <w:sz w:val="24"/>
          <w:szCs w:val="24"/>
        </w:rPr>
      </w:pPr>
    </w:p>
    <w:tbl>
      <w:tblPr>
        <w:tblStyle w:val="Cuadrculaclara-nfasis5"/>
        <w:tblW w:w="9080" w:type="dxa"/>
        <w:tblLook w:val="04A0" w:firstRow="1" w:lastRow="0" w:firstColumn="1" w:lastColumn="0" w:noHBand="0" w:noVBand="1"/>
      </w:tblPr>
      <w:tblGrid>
        <w:gridCol w:w="1100"/>
        <w:gridCol w:w="1440"/>
        <w:gridCol w:w="1820"/>
        <w:gridCol w:w="1442"/>
        <w:gridCol w:w="1559"/>
        <w:gridCol w:w="1719"/>
      </w:tblGrid>
      <w:tr w:rsidR="00EB3BC8" w:rsidRPr="00AD4A04" w:rsidTr="005E52E0">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center"/>
              <w:rPr>
                <w:rFonts w:asciiTheme="minorHAnsi" w:hAnsiTheme="minorHAnsi" w:cstheme="minorHAnsi"/>
                <w:sz w:val="16"/>
                <w:szCs w:val="16"/>
              </w:rPr>
            </w:pPr>
            <w:r w:rsidRPr="00AD4A04">
              <w:rPr>
                <w:rFonts w:asciiTheme="minorHAnsi" w:hAnsiTheme="minorHAnsi" w:cstheme="minorHAnsi"/>
                <w:sz w:val="16"/>
                <w:szCs w:val="16"/>
                <w:lang w:val="es-ES" w:eastAsia="es-ES"/>
              </w:rPr>
              <w:t>Periodo</w:t>
            </w:r>
          </w:p>
        </w:tc>
        <w:tc>
          <w:tcPr>
            <w:tcW w:w="1440" w:type="dxa"/>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Tráfico Total (Con Exentos)</w:t>
            </w:r>
          </w:p>
        </w:tc>
        <w:tc>
          <w:tcPr>
            <w:tcW w:w="1820" w:type="dxa"/>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Ingresos Total Peaje</w:t>
            </w:r>
          </w:p>
        </w:tc>
        <w:tc>
          <w:tcPr>
            <w:tcW w:w="1442" w:type="dxa"/>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Sobrantes</w:t>
            </w:r>
          </w:p>
        </w:tc>
        <w:tc>
          <w:tcPr>
            <w:tcW w:w="1559" w:type="dxa"/>
            <w:noWrap/>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FSV</w:t>
            </w:r>
          </w:p>
        </w:tc>
        <w:tc>
          <w:tcPr>
            <w:tcW w:w="1719" w:type="dxa"/>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Recaudo antes Marzo 2014</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dic-13</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87.183</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$ 1.219.670.300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$ 93.500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$ 17.366.800 </w:t>
            </w:r>
          </w:p>
        </w:tc>
        <w:tc>
          <w:tcPr>
            <w:tcW w:w="171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$ 1.202.210.000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ene-14</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151.177</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$ 2.102.963.400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$ 158.100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$ 30.123.000 </w:t>
            </w:r>
          </w:p>
        </w:tc>
        <w:tc>
          <w:tcPr>
            <w:tcW w:w="171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$ 2.072.682.300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feb-14</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136.485</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$ 2.057.126.250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$ 299.450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$ 27.153.600 </w:t>
            </w:r>
          </w:p>
        </w:tc>
        <w:tc>
          <w:tcPr>
            <w:tcW w:w="171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$ 2.029.673.200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mar-14</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146.008</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$ 2.216.065.000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$ 66.600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$ 29.043.000 </w:t>
            </w:r>
          </w:p>
        </w:tc>
        <w:tc>
          <w:tcPr>
            <w:tcW w:w="171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$ 2.186.955.400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abr-14</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152.327</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$ 2.287.589.700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$ 148.200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$ 30.311.600 </w:t>
            </w:r>
          </w:p>
        </w:tc>
        <w:tc>
          <w:tcPr>
            <w:tcW w:w="1719" w:type="dxa"/>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may-14</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160.136</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$ 2.558.959.200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$ 143.800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$ 31.883.000 </w:t>
            </w:r>
          </w:p>
        </w:tc>
        <w:tc>
          <w:tcPr>
            <w:tcW w:w="1719" w:type="dxa"/>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jun-14</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145.704</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$ 2.250.943.600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$ 150.100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$ 29.025.600 </w:t>
            </w:r>
          </w:p>
        </w:tc>
        <w:tc>
          <w:tcPr>
            <w:tcW w:w="1719" w:type="dxa"/>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jul-14</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164.176</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$ 2.588.678.800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$ 156.600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$ 32.688.200 </w:t>
            </w:r>
          </w:p>
        </w:tc>
        <w:tc>
          <w:tcPr>
            <w:tcW w:w="1719" w:type="dxa"/>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ago-14</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156.304</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$ 2.382.851.500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$ 175.000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$ 31.125.800 </w:t>
            </w:r>
          </w:p>
        </w:tc>
        <w:tc>
          <w:tcPr>
            <w:tcW w:w="1719" w:type="dxa"/>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sep-14</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150.290</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$ 2.356.241.600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$ 138.900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$ 29.909.000 </w:t>
            </w:r>
          </w:p>
        </w:tc>
        <w:tc>
          <w:tcPr>
            <w:tcW w:w="1719" w:type="dxa"/>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oct-14</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154.635</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$ 2.390.093.300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$ 162.600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$ 30.788.800 </w:t>
            </w:r>
          </w:p>
        </w:tc>
        <w:tc>
          <w:tcPr>
            <w:tcW w:w="1719" w:type="dxa"/>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nov-14</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150.942</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$ 2.330.718.000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$ 72.100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$ 30.074.600 </w:t>
            </w:r>
          </w:p>
        </w:tc>
        <w:tc>
          <w:tcPr>
            <w:tcW w:w="1719" w:type="dxa"/>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dic-14</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151.291</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$ 2.213.422.000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$ 154.400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$ 30.151.200 </w:t>
            </w:r>
          </w:p>
        </w:tc>
        <w:tc>
          <w:tcPr>
            <w:tcW w:w="1719" w:type="dxa"/>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ene-15</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166478</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$ 2.475.885.600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$ 161.600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$ 33.193.400 </w:t>
            </w:r>
          </w:p>
        </w:tc>
        <w:tc>
          <w:tcPr>
            <w:tcW w:w="1719" w:type="dxa"/>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feb-15</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144982</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$ 2.329.421.400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$ 157.600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$ 28.904.400 </w:t>
            </w:r>
          </w:p>
        </w:tc>
        <w:tc>
          <w:tcPr>
            <w:tcW w:w="1719" w:type="dxa"/>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mar-15</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144505</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$ 2.156.610.200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$ 134.900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$ 28.762.600 </w:t>
            </w:r>
          </w:p>
        </w:tc>
        <w:tc>
          <w:tcPr>
            <w:tcW w:w="1719" w:type="dxa"/>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abr-15</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159681</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$ 2.542.824.300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$ 191.600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$ 31.829.800 </w:t>
            </w:r>
          </w:p>
        </w:tc>
        <w:tc>
          <w:tcPr>
            <w:tcW w:w="1719" w:type="dxa"/>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may-15</w:t>
            </w:r>
          </w:p>
        </w:tc>
        <w:tc>
          <w:tcPr>
            <w:tcW w:w="144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158588</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$ 2.486.655.500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$ 224.100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$ 31.590.200 </w:t>
            </w:r>
          </w:p>
        </w:tc>
        <w:tc>
          <w:tcPr>
            <w:tcW w:w="1719" w:type="dxa"/>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jc w:val="right"/>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jun-15</w:t>
            </w:r>
          </w:p>
        </w:tc>
        <w:tc>
          <w:tcPr>
            <w:tcW w:w="144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149722</w:t>
            </w:r>
          </w:p>
        </w:tc>
        <w:tc>
          <w:tcPr>
            <w:tcW w:w="1820"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$ 2.351.502.700 </w:t>
            </w:r>
          </w:p>
        </w:tc>
        <w:tc>
          <w:tcPr>
            <w:tcW w:w="1442"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$ 126.700 </w:t>
            </w:r>
          </w:p>
        </w:tc>
        <w:tc>
          <w:tcPr>
            <w:tcW w:w="1559" w:type="dxa"/>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xml:space="preserve">$ 29.847.200 </w:t>
            </w:r>
          </w:p>
        </w:tc>
        <w:tc>
          <w:tcPr>
            <w:tcW w:w="1719" w:type="dxa"/>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0" w:type="dxa"/>
            <w:noWrap/>
            <w:hideMark/>
          </w:tcPr>
          <w:p w:rsidR="00EB3BC8" w:rsidRPr="00AD4A04" w:rsidRDefault="00EB3BC8" w:rsidP="005E52E0">
            <w:pPr>
              <w:rPr>
                <w:rFonts w:asciiTheme="minorHAnsi" w:hAnsiTheme="minorHAnsi" w:cstheme="minorHAnsi"/>
                <w:sz w:val="16"/>
                <w:szCs w:val="16"/>
                <w:lang w:val="es-ES" w:eastAsia="es-ES"/>
              </w:rPr>
            </w:pPr>
            <w:r w:rsidRPr="00AD4A04">
              <w:rPr>
                <w:rFonts w:asciiTheme="minorHAnsi" w:hAnsiTheme="minorHAnsi" w:cstheme="minorHAnsi"/>
                <w:sz w:val="16"/>
                <w:szCs w:val="16"/>
                <w:lang w:val="es-ES" w:eastAsia="es-ES"/>
              </w:rPr>
              <w:t>TOTAL</w:t>
            </w:r>
          </w:p>
        </w:tc>
        <w:tc>
          <w:tcPr>
            <w:tcW w:w="1440" w:type="dxa"/>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16"/>
                <w:szCs w:val="16"/>
                <w:lang w:val="es-ES" w:eastAsia="es-ES"/>
              </w:rPr>
            </w:pPr>
            <w:r w:rsidRPr="00AD4A04">
              <w:rPr>
                <w:rFonts w:asciiTheme="minorHAnsi" w:hAnsiTheme="minorHAnsi" w:cstheme="minorHAnsi"/>
                <w:bCs/>
                <w:sz w:val="16"/>
                <w:szCs w:val="16"/>
                <w:lang w:val="es-ES" w:eastAsia="es-ES"/>
              </w:rPr>
              <w:t> </w:t>
            </w:r>
          </w:p>
        </w:tc>
        <w:tc>
          <w:tcPr>
            <w:tcW w:w="1820"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16"/>
                <w:szCs w:val="16"/>
                <w:lang w:val="es-ES" w:eastAsia="es-ES"/>
              </w:rPr>
            </w:pPr>
            <w:r w:rsidRPr="00AD4A04">
              <w:rPr>
                <w:rFonts w:asciiTheme="minorHAnsi" w:hAnsiTheme="minorHAnsi" w:cstheme="minorHAnsi"/>
                <w:bCs/>
                <w:sz w:val="16"/>
                <w:szCs w:val="16"/>
                <w:lang w:val="es-ES" w:eastAsia="es-ES"/>
              </w:rPr>
              <w:t xml:space="preserve">$ 43.298.222.350 </w:t>
            </w:r>
          </w:p>
        </w:tc>
        <w:tc>
          <w:tcPr>
            <w:tcW w:w="1442"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16"/>
                <w:szCs w:val="16"/>
                <w:lang w:val="es-ES" w:eastAsia="es-ES"/>
              </w:rPr>
            </w:pPr>
            <w:r w:rsidRPr="00AD4A04">
              <w:rPr>
                <w:rFonts w:asciiTheme="minorHAnsi" w:hAnsiTheme="minorHAnsi" w:cstheme="minorHAnsi"/>
                <w:bCs/>
                <w:sz w:val="16"/>
                <w:szCs w:val="16"/>
                <w:lang w:val="es-ES" w:eastAsia="es-ES"/>
              </w:rPr>
              <w:t xml:space="preserve">$ 2.915.850 </w:t>
            </w:r>
          </w:p>
        </w:tc>
        <w:tc>
          <w:tcPr>
            <w:tcW w:w="155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16"/>
                <w:szCs w:val="16"/>
                <w:lang w:val="es-ES" w:eastAsia="es-ES"/>
              </w:rPr>
            </w:pPr>
            <w:r w:rsidRPr="00AD4A04">
              <w:rPr>
                <w:rFonts w:asciiTheme="minorHAnsi" w:hAnsiTheme="minorHAnsi" w:cstheme="minorHAnsi"/>
                <w:bCs/>
                <w:sz w:val="16"/>
                <w:szCs w:val="16"/>
                <w:lang w:val="es-ES" w:eastAsia="es-ES"/>
              </w:rPr>
              <w:t xml:space="preserve">$ 563.771.800 </w:t>
            </w:r>
          </w:p>
        </w:tc>
        <w:tc>
          <w:tcPr>
            <w:tcW w:w="1719" w:type="dxa"/>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16"/>
                <w:szCs w:val="16"/>
                <w:lang w:val="es-ES" w:eastAsia="es-ES"/>
              </w:rPr>
            </w:pPr>
            <w:r w:rsidRPr="00AD4A04">
              <w:rPr>
                <w:rFonts w:asciiTheme="minorHAnsi" w:hAnsiTheme="minorHAnsi" w:cstheme="minorHAnsi"/>
                <w:bCs/>
                <w:sz w:val="16"/>
                <w:szCs w:val="16"/>
                <w:lang w:val="es-ES" w:eastAsia="es-ES"/>
              </w:rPr>
              <w:t xml:space="preserve">$ 7.491.520.900 </w:t>
            </w:r>
          </w:p>
        </w:tc>
      </w:tr>
    </w:tbl>
    <w:p w:rsidR="00EB3BC8" w:rsidRPr="00AD4A04" w:rsidRDefault="00EB3BC8" w:rsidP="00EB3BC8">
      <w:pPr>
        <w:spacing w:after="0" w:line="240" w:lineRule="auto"/>
        <w:jc w:val="center"/>
        <w:rPr>
          <w:rFonts w:eastAsia="Calibri" w:cstheme="minorHAnsi"/>
          <w:color w:val="000000"/>
          <w:sz w:val="18"/>
          <w:szCs w:val="18"/>
        </w:rPr>
      </w:pPr>
      <w:r w:rsidRPr="00AD4A04">
        <w:rPr>
          <w:rFonts w:eastAsia="Calibri" w:cstheme="minorHAnsi"/>
          <w:color w:val="000000"/>
          <w:sz w:val="18"/>
          <w:szCs w:val="18"/>
        </w:rPr>
        <w:t>Fuente: Interventoría Intercon</w:t>
      </w:r>
    </w:p>
    <w:p w:rsidR="00EB3BC8" w:rsidRPr="00AD4A04" w:rsidRDefault="00EB3BC8" w:rsidP="00EB3BC8">
      <w:pPr>
        <w:spacing w:after="0" w:line="240" w:lineRule="auto"/>
        <w:jc w:val="both"/>
        <w:rPr>
          <w:rFonts w:eastAsia="Calibri" w:cstheme="minorHAnsi"/>
          <w:color w:val="000000"/>
          <w:sz w:val="24"/>
          <w:szCs w:val="24"/>
        </w:rPr>
      </w:pPr>
    </w:p>
    <w:p w:rsidR="00EB3BC8" w:rsidRPr="00AD4A04" w:rsidRDefault="00EB3BC8" w:rsidP="00EB3BC8">
      <w:pPr>
        <w:spacing w:after="0" w:line="240" w:lineRule="auto"/>
        <w:jc w:val="both"/>
        <w:rPr>
          <w:rFonts w:eastAsia="Calibri" w:cstheme="minorHAnsi"/>
          <w:color w:val="000000"/>
          <w:sz w:val="24"/>
          <w:szCs w:val="24"/>
        </w:rPr>
      </w:pPr>
    </w:p>
    <w:tbl>
      <w:tblPr>
        <w:tblStyle w:val="Cuadrculaclara-nfasis5"/>
        <w:tblW w:w="5000" w:type="pct"/>
        <w:tblLook w:val="04A0" w:firstRow="1" w:lastRow="0" w:firstColumn="1" w:lastColumn="0" w:noHBand="0" w:noVBand="1"/>
      </w:tblPr>
      <w:tblGrid>
        <w:gridCol w:w="671"/>
        <w:gridCol w:w="1063"/>
        <w:gridCol w:w="1212"/>
        <w:gridCol w:w="1212"/>
        <w:gridCol w:w="1079"/>
        <w:gridCol w:w="1110"/>
        <w:gridCol w:w="1212"/>
        <w:gridCol w:w="1259"/>
      </w:tblGrid>
      <w:tr w:rsidR="00EB3BC8" w:rsidRPr="00AD4A04" w:rsidTr="005E52E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rPr>
                <w:rFonts w:asciiTheme="minorHAnsi" w:hAnsiTheme="minorHAnsi" w:cstheme="minorHAnsi"/>
                <w:sz w:val="14"/>
                <w:szCs w:val="14"/>
              </w:rPr>
            </w:pPr>
          </w:p>
        </w:tc>
        <w:tc>
          <w:tcPr>
            <w:tcW w:w="1871" w:type="pct"/>
            <w:gridSpan w:val="3"/>
            <w:noWrap/>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Retribuciones</w:t>
            </w:r>
          </w:p>
        </w:tc>
        <w:tc>
          <w:tcPr>
            <w:tcW w:w="1324" w:type="pct"/>
            <w:gridSpan w:val="2"/>
            <w:noWrap/>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Reducciones</w:t>
            </w:r>
          </w:p>
        </w:tc>
        <w:tc>
          <w:tcPr>
            <w:tcW w:w="662" w:type="pct"/>
            <w:noWrap/>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s-ES" w:eastAsia="es-ES"/>
              </w:rPr>
            </w:pPr>
          </w:p>
        </w:tc>
        <w:tc>
          <w:tcPr>
            <w:tcW w:w="748" w:type="pct"/>
            <w:noWrap/>
            <w:hideMark/>
          </w:tcPr>
          <w:p w:rsidR="00EB3BC8" w:rsidRPr="00AD4A04" w:rsidRDefault="00EB3BC8" w:rsidP="005E52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14"/>
                <w:lang w:val="es-ES" w:eastAsia="es-ES"/>
              </w:rPr>
            </w:pP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center"/>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Periodo</w:t>
            </w:r>
          </w:p>
        </w:tc>
        <w:tc>
          <w:tcPr>
            <w:tcW w:w="547" w:type="pct"/>
            <w:hideMark/>
          </w:tcPr>
          <w:p w:rsidR="00EB3BC8" w:rsidRPr="00AD4A04"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4"/>
                <w:szCs w:val="14"/>
                <w:lang w:val="es-ES" w:eastAsia="es-ES"/>
              </w:rPr>
            </w:pPr>
            <w:r w:rsidRPr="00AD4A04">
              <w:rPr>
                <w:rFonts w:asciiTheme="minorHAnsi" w:hAnsiTheme="minorHAnsi" w:cstheme="minorHAnsi"/>
                <w:b/>
                <w:bCs/>
                <w:color w:val="000000"/>
                <w:sz w:val="14"/>
                <w:szCs w:val="14"/>
                <w:lang w:val="es-ES" w:eastAsia="es-ES"/>
              </w:rPr>
              <w:t>Remuneración Operación Peaje</w:t>
            </w:r>
          </w:p>
        </w:tc>
        <w:tc>
          <w:tcPr>
            <w:tcW w:w="662" w:type="pct"/>
            <w:hideMark/>
          </w:tcPr>
          <w:p w:rsidR="00EB3BC8" w:rsidRPr="00AD4A04"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Recaudo desde Abril 2014</w:t>
            </w:r>
          </w:p>
        </w:tc>
        <w:tc>
          <w:tcPr>
            <w:tcW w:w="662" w:type="pct"/>
            <w:hideMark/>
          </w:tcPr>
          <w:p w:rsidR="00EB3BC8" w:rsidRPr="00AD4A04"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Vigencias Futuras</w:t>
            </w:r>
          </w:p>
        </w:tc>
        <w:tc>
          <w:tcPr>
            <w:tcW w:w="662" w:type="pct"/>
            <w:hideMark/>
          </w:tcPr>
          <w:p w:rsidR="00EB3BC8" w:rsidRPr="00AD4A04"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Por disponibilidad</w:t>
            </w:r>
          </w:p>
        </w:tc>
        <w:tc>
          <w:tcPr>
            <w:tcW w:w="662" w:type="pct"/>
            <w:hideMark/>
          </w:tcPr>
          <w:p w:rsidR="00EB3BC8" w:rsidRPr="00AD4A04"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Por Operación Mediacanoa-Loboguerrero</w:t>
            </w:r>
          </w:p>
        </w:tc>
        <w:tc>
          <w:tcPr>
            <w:tcW w:w="662" w:type="pct"/>
            <w:hideMark/>
          </w:tcPr>
          <w:p w:rsidR="00EB3BC8" w:rsidRPr="00AD4A04"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Saldo Por Pagar</w:t>
            </w:r>
          </w:p>
        </w:tc>
        <w:tc>
          <w:tcPr>
            <w:tcW w:w="748" w:type="pct"/>
            <w:hideMark/>
          </w:tcPr>
          <w:p w:rsidR="00EB3BC8" w:rsidRPr="00AD4A04" w:rsidRDefault="00EB3BC8" w:rsidP="005E52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4"/>
                <w:szCs w:val="14"/>
                <w:lang w:val="es-ES" w:eastAsia="es-ES"/>
              </w:rPr>
            </w:pPr>
            <w:r w:rsidRPr="00AD4A04">
              <w:rPr>
                <w:rFonts w:asciiTheme="minorHAnsi" w:hAnsiTheme="minorHAnsi" w:cstheme="minorHAnsi"/>
                <w:b/>
                <w:bCs/>
                <w:color w:val="000000"/>
                <w:sz w:val="14"/>
                <w:szCs w:val="14"/>
                <w:lang w:val="es-ES" w:eastAsia="es-ES"/>
              </w:rPr>
              <w:t xml:space="preserve">VPIP </w:t>
            </w:r>
            <w:r w:rsidRPr="00AD4A04">
              <w:rPr>
                <w:rFonts w:asciiTheme="minorHAnsi" w:hAnsiTheme="minorHAnsi" w:cstheme="minorHAnsi"/>
                <w:b/>
                <w:bCs/>
                <w:color w:val="000000"/>
                <w:sz w:val="14"/>
                <w:szCs w:val="14"/>
                <w:lang w:val="es-ES" w:eastAsia="es-ES"/>
              </w:rPr>
              <w:br/>
              <w:t>$ Enero 01 de 2013</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dic-13</w:t>
            </w:r>
          </w:p>
        </w:tc>
        <w:tc>
          <w:tcPr>
            <w:tcW w:w="547"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$ 47.203.490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$ 47.203.490 </w:t>
            </w:r>
          </w:p>
        </w:tc>
        <w:tc>
          <w:tcPr>
            <w:tcW w:w="748"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ene-14</w:t>
            </w:r>
          </w:p>
        </w:tc>
        <w:tc>
          <w:tcPr>
            <w:tcW w:w="547"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$ 77.219.466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$ 77.219.466 </w:t>
            </w:r>
          </w:p>
        </w:tc>
        <w:tc>
          <w:tcPr>
            <w:tcW w:w="748"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feb-14</w:t>
            </w:r>
          </w:p>
        </w:tc>
        <w:tc>
          <w:tcPr>
            <w:tcW w:w="547"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$ 77.598.856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$ 77.598.856 </w:t>
            </w:r>
          </w:p>
        </w:tc>
        <w:tc>
          <w:tcPr>
            <w:tcW w:w="748"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mar-14</w:t>
            </w:r>
          </w:p>
        </w:tc>
        <w:tc>
          <w:tcPr>
            <w:tcW w:w="547"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$ 78.086.644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$ 78.086.644 </w:t>
            </w:r>
          </w:p>
        </w:tc>
        <w:tc>
          <w:tcPr>
            <w:tcW w:w="748"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abr-14</w:t>
            </w:r>
          </w:p>
        </w:tc>
        <w:tc>
          <w:tcPr>
            <w:tcW w:w="547"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$ 2.257.129.900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$ 2.257.129.900 </w:t>
            </w:r>
          </w:p>
        </w:tc>
        <w:tc>
          <w:tcPr>
            <w:tcW w:w="748"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$ 2.048.631.894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may-14</w:t>
            </w:r>
          </w:p>
        </w:tc>
        <w:tc>
          <w:tcPr>
            <w:tcW w:w="547"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$ 2.526.932.400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$ 5.255.594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$ 2.521.676.806 </w:t>
            </w:r>
          </w:p>
        </w:tc>
        <w:tc>
          <w:tcPr>
            <w:tcW w:w="748"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$ 2.279.660.692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jun-14</w:t>
            </w:r>
          </w:p>
        </w:tc>
        <w:tc>
          <w:tcPr>
            <w:tcW w:w="547"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$ 2.221.767.900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$ 18.191.370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$ 2.203.576.530 </w:t>
            </w:r>
          </w:p>
        </w:tc>
        <w:tc>
          <w:tcPr>
            <w:tcW w:w="748"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$ 1.992.252.983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jul-14</w:t>
            </w:r>
          </w:p>
        </w:tc>
        <w:tc>
          <w:tcPr>
            <w:tcW w:w="547"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$ 2.555.834.000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$ 18.206.944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$ 2.537.627.056 </w:t>
            </w:r>
          </w:p>
        </w:tc>
        <w:tc>
          <w:tcPr>
            <w:tcW w:w="748"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$ 2.277.968.174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ago-14</w:t>
            </w:r>
          </w:p>
        </w:tc>
        <w:tc>
          <w:tcPr>
            <w:tcW w:w="547"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$ 2.351.550.700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$ 18.234.976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$ 2.333.315.724 </w:t>
            </w:r>
          </w:p>
        </w:tc>
        <w:tc>
          <w:tcPr>
            <w:tcW w:w="748"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$ 2.083.236.454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sep-14</w:t>
            </w:r>
          </w:p>
        </w:tc>
        <w:tc>
          <w:tcPr>
            <w:tcW w:w="547"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$ 2.326.193.700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$ 18.272.353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$ 2.307.921.347 </w:t>
            </w:r>
          </w:p>
        </w:tc>
        <w:tc>
          <w:tcPr>
            <w:tcW w:w="748"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$ 2.048.327.077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oct-14</w:t>
            </w:r>
          </w:p>
        </w:tc>
        <w:tc>
          <w:tcPr>
            <w:tcW w:w="547"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$ 2.359.141.900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$ 18.297.270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$ 2.340.844.630 </w:t>
            </w:r>
          </w:p>
        </w:tc>
        <w:tc>
          <w:tcPr>
            <w:tcW w:w="748"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$ 2.064.793.888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nov-14</w:t>
            </w:r>
          </w:p>
        </w:tc>
        <w:tc>
          <w:tcPr>
            <w:tcW w:w="547"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$ 2.300.571.300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$ 18.326.860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$ 2.282.244.440 </w:t>
            </w:r>
          </w:p>
        </w:tc>
        <w:tc>
          <w:tcPr>
            <w:tcW w:w="748"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$ 2.001.370.760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dic-14</w:t>
            </w:r>
          </w:p>
        </w:tc>
        <w:tc>
          <w:tcPr>
            <w:tcW w:w="547"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$ 2.183.116.400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$ 16.141.000.000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$ 18.351.777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$ 18.305.764.623 </w:t>
            </w:r>
          </w:p>
        </w:tc>
        <w:tc>
          <w:tcPr>
            <w:tcW w:w="748"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$ 1.887.721.647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ene-15</w:t>
            </w:r>
          </w:p>
        </w:tc>
        <w:tc>
          <w:tcPr>
            <w:tcW w:w="547"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$ 2.442.530.600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$ 18.400.055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$ 2.424.130.545 </w:t>
            </w:r>
          </w:p>
        </w:tc>
        <w:tc>
          <w:tcPr>
            <w:tcW w:w="748"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$ 2.099.279.613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feb-15</w:t>
            </w:r>
          </w:p>
        </w:tc>
        <w:tc>
          <w:tcPr>
            <w:tcW w:w="547"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$ 2.300.359.400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$ 18.518.413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$ 2.281.840.987 </w:t>
            </w:r>
          </w:p>
        </w:tc>
        <w:tc>
          <w:tcPr>
            <w:tcW w:w="748"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$ 1.965.147.621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lastRenderedPageBreak/>
              <w:t>mar-15</w:t>
            </w:r>
          </w:p>
        </w:tc>
        <w:tc>
          <w:tcPr>
            <w:tcW w:w="547"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$ 2.127.712.700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$ 18.731.770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$ 2.108.980.930 </w:t>
            </w:r>
          </w:p>
        </w:tc>
        <w:tc>
          <w:tcPr>
            <w:tcW w:w="748"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$ 1.806.681.854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abr-15</w:t>
            </w:r>
          </w:p>
        </w:tc>
        <w:tc>
          <w:tcPr>
            <w:tcW w:w="547"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$ 2.510.802.900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$ 18.840.784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$ 2.492.071.130 </w:t>
            </w:r>
          </w:p>
        </w:tc>
        <w:tc>
          <w:tcPr>
            <w:tcW w:w="748"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$ 2.119.095.501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may-15</w:t>
            </w:r>
          </w:p>
        </w:tc>
        <w:tc>
          <w:tcPr>
            <w:tcW w:w="547"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$ 2.454.841.200 </w:t>
            </w:r>
          </w:p>
        </w:tc>
        <w:tc>
          <w:tcPr>
            <w:tcW w:w="662" w:type="pct"/>
            <w:noWrap/>
            <w:hideMark/>
          </w:tcPr>
          <w:p w:rsidR="00EB3BC8" w:rsidRPr="00AD4A04" w:rsidRDefault="00EB3BC8" w:rsidP="005E52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$ 18.942.012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$ 2.435.899.188 </w:t>
            </w:r>
          </w:p>
        </w:tc>
        <w:tc>
          <w:tcPr>
            <w:tcW w:w="748"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$ 2.059.351.699 </w:t>
            </w:r>
          </w:p>
        </w:tc>
      </w:tr>
      <w:tr w:rsidR="00EB3BC8" w:rsidRPr="00AD4A04" w:rsidTr="005E52E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jc w:val="right"/>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jun-15</w:t>
            </w:r>
          </w:p>
        </w:tc>
        <w:tc>
          <w:tcPr>
            <w:tcW w:w="547"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$ 2.321.528.800 </w:t>
            </w:r>
          </w:p>
        </w:tc>
        <w:tc>
          <w:tcPr>
            <w:tcW w:w="662" w:type="pct"/>
            <w:noWrap/>
            <w:hideMark/>
          </w:tcPr>
          <w:p w:rsidR="00EB3BC8" w:rsidRPr="00AD4A04" w:rsidRDefault="00EB3BC8" w:rsidP="005E52E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$ 0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$ 18.991.847 </w:t>
            </w:r>
          </w:p>
        </w:tc>
        <w:tc>
          <w:tcPr>
            <w:tcW w:w="662"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$ 2.302.536.953 </w:t>
            </w:r>
          </w:p>
        </w:tc>
        <w:tc>
          <w:tcPr>
            <w:tcW w:w="748" w:type="pct"/>
            <w:noWrap/>
            <w:hideMark/>
          </w:tcPr>
          <w:p w:rsidR="00EB3BC8" w:rsidRPr="00AD4A04" w:rsidRDefault="00EB3BC8" w:rsidP="005E52E0">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 xml:space="preserve">$ 1.935.755.071 </w:t>
            </w:r>
          </w:p>
        </w:tc>
      </w:tr>
      <w:tr w:rsidR="00EB3BC8" w:rsidRPr="00AD4A04" w:rsidTr="005E52E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 w:type="pct"/>
            <w:noWrap/>
            <w:hideMark/>
          </w:tcPr>
          <w:p w:rsidR="00EB3BC8" w:rsidRPr="00AD4A04" w:rsidRDefault="00EB3BC8" w:rsidP="005E52E0">
            <w:pPr>
              <w:rPr>
                <w:rFonts w:asciiTheme="minorHAnsi" w:hAnsiTheme="minorHAnsi" w:cstheme="minorHAnsi"/>
                <w:sz w:val="14"/>
                <w:szCs w:val="14"/>
                <w:lang w:val="es-ES" w:eastAsia="es-ES"/>
              </w:rPr>
            </w:pPr>
            <w:r w:rsidRPr="00AD4A04">
              <w:rPr>
                <w:rFonts w:asciiTheme="minorHAnsi" w:hAnsiTheme="minorHAnsi" w:cstheme="minorHAnsi"/>
                <w:sz w:val="14"/>
                <w:szCs w:val="14"/>
                <w:lang w:val="es-ES" w:eastAsia="es-ES"/>
              </w:rPr>
              <w:t>TOTAL</w:t>
            </w:r>
          </w:p>
        </w:tc>
        <w:tc>
          <w:tcPr>
            <w:tcW w:w="547"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 xml:space="preserve">$ 280.108.456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 xml:space="preserve">$ 35.240.013.800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 xml:space="preserve">$ 16.141.000.000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 xml:space="preserve">$ 0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 xml:space="preserve">$ 245.562.025 </w:t>
            </w:r>
          </w:p>
        </w:tc>
        <w:tc>
          <w:tcPr>
            <w:tcW w:w="662"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 xml:space="preserve">$ 51.415.669.245 </w:t>
            </w:r>
          </w:p>
        </w:tc>
        <w:tc>
          <w:tcPr>
            <w:tcW w:w="748" w:type="pct"/>
            <w:noWrap/>
            <w:hideMark/>
          </w:tcPr>
          <w:p w:rsidR="00EB3BC8" w:rsidRPr="00AD4A04" w:rsidRDefault="00EB3BC8" w:rsidP="005E52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lang w:val="es-ES" w:eastAsia="es-ES"/>
              </w:rPr>
            </w:pPr>
            <w:r w:rsidRPr="00AD4A04">
              <w:rPr>
                <w:rFonts w:asciiTheme="minorHAnsi" w:hAnsiTheme="minorHAnsi" w:cstheme="minorHAnsi"/>
                <w:b/>
                <w:bCs/>
                <w:sz w:val="14"/>
                <w:szCs w:val="14"/>
                <w:lang w:val="es-ES" w:eastAsia="es-ES"/>
              </w:rPr>
              <w:t xml:space="preserve">$ 30.669.274.929 </w:t>
            </w:r>
          </w:p>
        </w:tc>
      </w:tr>
    </w:tbl>
    <w:p w:rsidR="00EB3BC8" w:rsidRPr="00AD4A04" w:rsidRDefault="00EB3BC8" w:rsidP="00EB3BC8">
      <w:pPr>
        <w:spacing w:after="0" w:line="240" w:lineRule="auto"/>
        <w:jc w:val="center"/>
        <w:rPr>
          <w:rFonts w:eastAsia="Calibri" w:cstheme="minorHAnsi"/>
          <w:color w:val="000000"/>
          <w:sz w:val="18"/>
          <w:szCs w:val="18"/>
        </w:rPr>
      </w:pPr>
      <w:r w:rsidRPr="00AD4A04">
        <w:rPr>
          <w:rFonts w:eastAsia="Calibri" w:cstheme="minorHAnsi"/>
          <w:color w:val="000000"/>
          <w:sz w:val="18"/>
          <w:szCs w:val="18"/>
        </w:rPr>
        <w:t>Fuente: Interventoría Intercon</w:t>
      </w:r>
    </w:p>
    <w:p w:rsidR="00EB3BC8" w:rsidRPr="005133E0" w:rsidRDefault="00EB3BC8" w:rsidP="00EB3BC8">
      <w:pPr>
        <w:spacing w:after="0" w:line="240" w:lineRule="auto"/>
        <w:rPr>
          <w:rFonts w:ascii="Arial" w:eastAsia="Calibri" w:hAnsi="Arial" w:cs="Arial"/>
          <w:lang w:val="es-ES"/>
        </w:rPr>
      </w:pPr>
    </w:p>
    <w:p w:rsidR="00EB3BC8" w:rsidRPr="00D67F1D" w:rsidRDefault="00947415" w:rsidP="00AD4A04">
      <w:pPr>
        <w:spacing w:after="0" w:line="240" w:lineRule="auto"/>
        <w:jc w:val="both"/>
        <w:rPr>
          <w:rFonts w:eastAsia="Times New Roman" w:cstheme="minorHAnsi"/>
          <w:b/>
          <w:bCs/>
          <w:caps/>
          <w:kern w:val="32"/>
          <w:lang w:val="es-ES" w:eastAsia="es-ES"/>
        </w:rPr>
      </w:pPr>
      <w:r w:rsidRPr="00D67F1D">
        <w:rPr>
          <w:rFonts w:eastAsia="Times New Roman" w:cstheme="minorHAnsi"/>
          <w:b/>
          <w:bCs/>
          <w:kern w:val="32"/>
          <w:lang w:val="es-ES" w:eastAsia="es-ES"/>
        </w:rPr>
        <w:t>Registro Fotográfico Vía Terminada</w:t>
      </w:r>
    </w:p>
    <w:p w:rsidR="00EB3BC8" w:rsidRPr="005133E0" w:rsidRDefault="00EB3BC8" w:rsidP="00EB3BC8">
      <w:pPr>
        <w:spacing w:after="0" w:line="240" w:lineRule="auto"/>
        <w:jc w:val="both"/>
        <w:rPr>
          <w:rFonts w:ascii="Arial" w:eastAsia="Times New Roman" w:hAnsi="Arial" w:cs="Arial"/>
          <w:b/>
          <w:bCs/>
          <w:caps/>
          <w:kern w:val="32"/>
          <w:lang w:val="es-ES" w:eastAsia="es-ES"/>
        </w:rPr>
      </w:pPr>
    </w:p>
    <w:p w:rsidR="00EB3BC8" w:rsidRPr="005133E0" w:rsidRDefault="00EB3BC8" w:rsidP="00EB3BC8">
      <w:pPr>
        <w:spacing w:after="0" w:line="240" w:lineRule="auto"/>
        <w:jc w:val="both"/>
        <w:rPr>
          <w:rFonts w:ascii="Arial" w:eastAsia="Times New Roman" w:hAnsi="Arial" w:cs="Arial"/>
          <w:b/>
          <w:bCs/>
          <w:caps/>
          <w:kern w:val="32"/>
          <w:lang w:val="es-ES" w:eastAsia="es-ES"/>
        </w:rPr>
      </w:pPr>
    </w:p>
    <w:p w:rsidR="00EB3BC8" w:rsidRPr="005133E0" w:rsidRDefault="00EB3BC8" w:rsidP="00EB3BC8">
      <w:pPr>
        <w:spacing w:after="0" w:line="240" w:lineRule="auto"/>
        <w:jc w:val="center"/>
        <w:rPr>
          <w:rFonts w:ascii="Arial" w:eastAsia="Times New Roman" w:hAnsi="Arial" w:cs="Arial"/>
          <w:b/>
          <w:bCs/>
          <w:caps/>
          <w:kern w:val="32"/>
          <w:lang w:val="es-ES" w:eastAsia="es-ES"/>
        </w:rPr>
      </w:pPr>
      <w:r w:rsidRPr="005133E0">
        <w:rPr>
          <w:rFonts w:ascii="Arial Narrow" w:eastAsia="Calibri" w:hAnsi="Arial Narrow" w:cs="Arial"/>
          <w:noProof/>
          <w:sz w:val="24"/>
          <w:szCs w:val="24"/>
        </w:rPr>
        <w:drawing>
          <wp:inline distT="0" distB="0" distL="0" distR="0" wp14:anchorId="1F1DC684" wp14:editId="545580F5">
            <wp:extent cx="2183027" cy="2226978"/>
            <wp:effectExtent l="0" t="0" r="8255" b="1905"/>
            <wp:docPr id="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190126" cy="2234220"/>
                    </a:xfrm>
                    <a:prstGeom prst="rect">
                      <a:avLst/>
                    </a:prstGeom>
                  </pic:spPr>
                </pic:pic>
              </a:graphicData>
            </a:graphic>
          </wp:inline>
        </w:drawing>
      </w:r>
      <w:r w:rsidRPr="005133E0">
        <w:rPr>
          <w:rFonts w:ascii="Arial Narrow" w:eastAsia="Calibri" w:hAnsi="Arial Narrow" w:cs="Arial"/>
          <w:noProof/>
          <w:sz w:val="24"/>
          <w:szCs w:val="24"/>
        </w:rPr>
        <w:t xml:space="preserve">           </w:t>
      </w:r>
      <w:r w:rsidRPr="005133E0">
        <w:rPr>
          <w:rFonts w:ascii="Arial Narrow" w:eastAsia="Calibri" w:hAnsi="Arial Narrow" w:cs="Arial"/>
          <w:noProof/>
          <w:sz w:val="24"/>
          <w:szCs w:val="24"/>
        </w:rPr>
        <w:drawing>
          <wp:inline distT="0" distB="0" distL="0" distR="0" wp14:anchorId="6F410A06" wp14:editId="2D2A6BE9">
            <wp:extent cx="2183027" cy="2226978"/>
            <wp:effectExtent l="0" t="0" r="8255" b="1905"/>
            <wp:docPr id="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191305" cy="2235423"/>
                    </a:xfrm>
                    <a:prstGeom prst="rect">
                      <a:avLst/>
                    </a:prstGeom>
                  </pic:spPr>
                </pic:pic>
              </a:graphicData>
            </a:graphic>
          </wp:inline>
        </w:drawing>
      </w:r>
    </w:p>
    <w:p w:rsidR="00EB3BC8" w:rsidRPr="005133E0" w:rsidRDefault="00EB3BC8" w:rsidP="00EB3BC8">
      <w:pPr>
        <w:spacing w:after="0" w:line="240" w:lineRule="auto"/>
        <w:jc w:val="both"/>
        <w:rPr>
          <w:rFonts w:ascii="Arial" w:eastAsia="Times New Roman" w:hAnsi="Arial" w:cs="Arial"/>
          <w:b/>
          <w:bCs/>
          <w:caps/>
          <w:kern w:val="32"/>
          <w:lang w:val="es-ES" w:eastAsia="es-ES"/>
        </w:rPr>
      </w:pPr>
    </w:p>
    <w:p w:rsidR="00EB3BC8" w:rsidRPr="005133E0" w:rsidRDefault="00EB3BC8" w:rsidP="00EB3BC8">
      <w:pPr>
        <w:spacing w:after="0" w:line="240" w:lineRule="auto"/>
        <w:jc w:val="both"/>
        <w:rPr>
          <w:rFonts w:ascii="Arial" w:eastAsia="Times New Roman" w:hAnsi="Arial" w:cs="Arial"/>
          <w:b/>
          <w:bCs/>
          <w:caps/>
          <w:kern w:val="32"/>
          <w:lang w:val="es-ES" w:eastAsia="es-ES"/>
        </w:rPr>
      </w:pPr>
    </w:p>
    <w:p w:rsidR="00EB3BC8" w:rsidRPr="005133E0" w:rsidRDefault="00EB3BC8" w:rsidP="00EB3BC8">
      <w:pPr>
        <w:spacing w:after="0" w:line="240" w:lineRule="auto"/>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r w:rsidRPr="005133E0">
        <w:rPr>
          <w:rFonts w:ascii="Arial Narrow" w:eastAsia="Calibri" w:hAnsi="Arial Narrow" w:cs="Arial"/>
          <w:noProof/>
          <w:sz w:val="24"/>
          <w:szCs w:val="24"/>
        </w:rPr>
        <w:drawing>
          <wp:inline distT="0" distB="0" distL="0" distR="0" wp14:anchorId="4F7A9A7E" wp14:editId="2D85AD3D">
            <wp:extent cx="2151530" cy="2162868"/>
            <wp:effectExtent l="0" t="0" r="1270" b="8890"/>
            <wp:docPr id="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156675" cy="2168040"/>
                    </a:xfrm>
                    <a:prstGeom prst="rect">
                      <a:avLst/>
                    </a:prstGeom>
                  </pic:spPr>
                </pic:pic>
              </a:graphicData>
            </a:graphic>
          </wp:inline>
        </w:drawing>
      </w:r>
      <w:r w:rsidRPr="005133E0">
        <w:rPr>
          <w:rFonts w:ascii="Arial Narrow" w:eastAsia="Calibri" w:hAnsi="Arial Narrow" w:cs="Arial"/>
          <w:noProof/>
          <w:sz w:val="24"/>
          <w:szCs w:val="24"/>
        </w:rPr>
        <w:t xml:space="preserve">           </w:t>
      </w:r>
      <w:r w:rsidRPr="005133E0">
        <w:rPr>
          <w:rFonts w:ascii="Arial Narrow" w:eastAsia="Calibri" w:hAnsi="Arial Narrow" w:cs="Arial"/>
          <w:noProof/>
          <w:sz w:val="24"/>
          <w:szCs w:val="24"/>
        </w:rPr>
        <w:drawing>
          <wp:inline distT="0" distB="0" distL="0" distR="0" wp14:anchorId="7C53D25A" wp14:editId="36B9B4B1">
            <wp:extent cx="2162810" cy="2162810"/>
            <wp:effectExtent l="0" t="0" r="8890" b="8890"/>
            <wp:docPr id="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167796" cy="2167796"/>
                    </a:xfrm>
                    <a:prstGeom prst="rect">
                      <a:avLst/>
                    </a:prstGeom>
                  </pic:spPr>
                </pic:pic>
              </a:graphicData>
            </a:graphic>
          </wp:inline>
        </w:drawing>
      </w: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5133E0" w:rsidRDefault="00EB3BC8" w:rsidP="00EB3BC8">
      <w:pPr>
        <w:spacing w:after="0" w:line="240" w:lineRule="auto"/>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both"/>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center"/>
        <w:rPr>
          <w:rFonts w:ascii="Arial" w:eastAsia="Times New Roman" w:hAnsi="Arial" w:cs="Arial"/>
          <w:b/>
          <w:bCs/>
          <w:caps/>
          <w:kern w:val="32"/>
          <w:lang w:val="es-ES" w:eastAsia="es-ES"/>
        </w:rPr>
      </w:pPr>
    </w:p>
    <w:p w:rsidR="00EB3BC8" w:rsidRPr="005133E0" w:rsidRDefault="00EB3BC8" w:rsidP="00EB3BC8">
      <w:pPr>
        <w:spacing w:after="0" w:line="240" w:lineRule="auto"/>
        <w:ind w:left="720"/>
        <w:jc w:val="center"/>
        <w:rPr>
          <w:rFonts w:ascii="Arial Narrow" w:hAnsi="Arial Narrow" w:cs="Arial"/>
        </w:rPr>
      </w:pPr>
      <w:r w:rsidRPr="005133E0">
        <w:rPr>
          <w:rFonts w:ascii="Arial Narrow" w:eastAsia="Calibri" w:hAnsi="Arial Narrow" w:cs="Arial"/>
          <w:noProof/>
          <w:sz w:val="24"/>
          <w:szCs w:val="24"/>
        </w:rPr>
        <w:lastRenderedPageBreak/>
        <w:t xml:space="preserve">    </w:t>
      </w:r>
    </w:p>
    <w:p w:rsidR="00EB3BC8" w:rsidRPr="004B18AE" w:rsidRDefault="00EB3BC8" w:rsidP="004B18AE">
      <w:pPr>
        <w:spacing w:after="0" w:line="240" w:lineRule="auto"/>
        <w:jc w:val="both"/>
        <w:rPr>
          <w:rFonts w:eastAsia="Times New Roman" w:cs="Calibri"/>
          <w:b/>
          <w:color w:val="000000"/>
          <w:u w:val="single"/>
        </w:rPr>
      </w:pPr>
      <w:r w:rsidRPr="004B18AE">
        <w:rPr>
          <w:rFonts w:eastAsia="Times New Roman" w:cs="Calibri"/>
          <w:b/>
          <w:color w:val="000000"/>
          <w:u w:val="single"/>
        </w:rPr>
        <w:t>18. INFORME DE GESTIÓN PROYECTO MULALO LOBOGUERRERO</w:t>
      </w:r>
    </w:p>
    <w:p w:rsidR="004B18AE" w:rsidRDefault="004B18AE" w:rsidP="00EB3BC8">
      <w:pPr>
        <w:spacing w:line="240" w:lineRule="auto"/>
        <w:rPr>
          <w:rFonts w:eastAsiaTheme="minorHAnsi" w:cstheme="minorHAnsi"/>
          <w:b/>
        </w:rPr>
      </w:pPr>
    </w:p>
    <w:p w:rsidR="00EB3BC8" w:rsidRPr="004B18AE" w:rsidRDefault="004B18AE" w:rsidP="00EB3BC8">
      <w:pPr>
        <w:spacing w:line="240" w:lineRule="auto"/>
        <w:rPr>
          <w:rFonts w:eastAsiaTheme="minorHAnsi" w:cstheme="minorHAnsi"/>
          <w:b/>
        </w:rPr>
      </w:pPr>
      <w:r w:rsidRPr="004B18AE">
        <w:rPr>
          <w:rFonts w:eastAsiaTheme="minorHAnsi" w:cstheme="minorHAnsi"/>
          <w:b/>
        </w:rPr>
        <w:t>Contrato App N°001 De 2015</w:t>
      </w:r>
    </w:p>
    <w:p w:rsidR="00EB3BC8" w:rsidRPr="005133E0" w:rsidRDefault="00EB3BC8" w:rsidP="00EB3BC8">
      <w:pPr>
        <w:spacing w:line="240" w:lineRule="auto"/>
        <w:rPr>
          <w:rFonts w:eastAsiaTheme="minorHAnsi"/>
        </w:rPr>
      </w:pPr>
    </w:p>
    <w:p w:rsidR="00EB3BC8" w:rsidRPr="005133E0" w:rsidRDefault="00EB3BC8" w:rsidP="00EB3BC8">
      <w:pPr>
        <w:spacing w:line="240" w:lineRule="auto"/>
        <w:rPr>
          <w:rFonts w:eastAsiaTheme="minorHAnsi"/>
        </w:rPr>
      </w:pPr>
      <w:r w:rsidRPr="005133E0">
        <w:rPr>
          <w:rFonts w:eastAsiaTheme="minorHAnsi"/>
          <w:noProof/>
        </w:rPr>
        <w:drawing>
          <wp:inline distT="0" distB="0" distL="0" distR="0" wp14:anchorId="0D55B6A8" wp14:editId="2C4D0208">
            <wp:extent cx="5612130" cy="2137506"/>
            <wp:effectExtent l="19050" t="19050" r="26670" b="15240"/>
            <wp:docPr id="8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4"/>
                    <pic:cNvPicPr>
                      <a:picLocks noChangeAspect="1" noChangeArrowheads="1"/>
                    </pic:cNvPicPr>
                  </pic:nvPicPr>
                  <pic:blipFill>
                    <a:blip r:embed="rId75" cstate="print"/>
                    <a:srcRect l="397" t="19206" r="1825" b="19701"/>
                    <a:stretch>
                      <a:fillRect/>
                    </a:stretch>
                  </pic:blipFill>
                  <pic:spPr bwMode="auto">
                    <a:xfrm>
                      <a:off x="0" y="0"/>
                      <a:ext cx="5612130" cy="2137506"/>
                    </a:xfrm>
                    <a:prstGeom prst="rect">
                      <a:avLst/>
                    </a:prstGeom>
                    <a:noFill/>
                    <a:ln w="15875">
                      <a:solidFill>
                        <a:sysClr val="windowText" lastClr="000000"/>
                      </a:solidFill>
                      <a:miter lim="800000"/>
                      <a:headEnd/>
                      <a:tailEnd/>
                    </a:ln>
                  </pic:spPr>
                </pic:pic>
              </a:graphicData>
            </a:graphic>
          </wp:inline>
        </w:drawing>
      </w:r>
    </w:p>
    <w:p w:rsidR="00EB3BC8" w:rsidRPr="005133E0" w:rsidRDefault="00EB3BC8" w:rsidP="00EB3BC8">
      <w:pPr>
        <w:spacing w:line="240" w:lineRule="auto"/>
        <w:jc w:val="center"/>
        <w:rPr>
          <w:rFonts w:eastAsiaTheme="minorHAnsi"/>
        </w:rPr>
      </w:pPr>
      <w:r w:rsidRPr="005133E0">
        <w:rPr>
          <w:rFonts w:ascii="Arial" w:eastAsiaTheme="minorHAnsi" w:hAnsi="Arial" w:cs="Arial"/>
          <w:sz w:val="18"/>
          <w:szCs w:val="18"/>
        </w:rPr>
        <w:t>Línea Base Diseños fase II</w:t>
      </w:r>
    </w:p>
    <w:tbl>
      <w:tblPr>
        <w:tblpPr w:leftFromText="141" w:rightFromText="141" w:vertAnchor="text" w:horzAnchor="margin" w:tblpY="164"/>
        <w:tblW w:w="7787" w:type="dxa"/>
        <w:tblLayout w:type="fixed"/>
        <w:tblCellMar>
          <w:left w:w="70" w:type="dxa"/>
          <w:right w:w="70" w:type="dxa"/>
        </w:tblCellMar>
        <w:tblLook w:val="04A0" w:firstRow="1" w:lastRow="0" w:firstColumn="1" w:lastColumn="0" w:noHBand="0" w:noVBand="1"/>
      </w:tblPr>
      <w:tblGrid>
        <w:gridCol w:w="1833"/>
        <w:gridCol w:w="17"/>
        <w:gridCol w:w="1851"/>
        <w:gridCol w:w="1294"/>
        <w:gridCol w:w="548"/>
        <w:gridCol w:w="714"/>
        <w:gridCol w:w="1530"/>
      </w:tblGrid>
      <w:tr w:rsidR="00EB3BC8" w:rsidRPr="000B4D0F" w:rsidTr="005E52E0">
        <w:trPr>
          <w:trHeight w:val="315"/>
        </w:trPr>
        <w:tc>
          <w:tcPr>
            <w:tcW w:w="1833" w:type="dxa"/>
            <w:tcBorders>
              <w:top w:val="single" w:sz="8" w:space="0" w:color="auto"/>
              <w:left w:val="single" w:sz="8" w:space="0" w:color="auto"/>
              <w:bottom w:val="single" w:sz="8" w:space="0" w:color="auto"/>
              <w:right w:val="single" w:sz="4" w:space="0" w:color="auto"/>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CONCESIONARIO</w:t>
            </w:r>
          </w:p>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CTO 001-2015</w:t>
            </w:r>
          </w:p>
        </w:tc>
        <w:tc>
          <w:tcPr>
            <w:tcW w:w="3162" w:type="dxa"/>
            <w:gridSpan w:val="3"/>
            <w:tcBorders>
              <w:top w:val="single" w:sz="8" w:space="0" w:color="auto"/>
              <w:left w:val="nil"/>
              <w:bottom w:val="single" w:sz="8" w:space="0" w:color="auto"/>
              <w:right w:val="single" w:sz="4" w:space="0" w:color="000000"/>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INTEGRANTES</w:t>
            </w:r>
          </w:p>
        </w:tc>
        <w:tc>
          <w:tcPr>
            <w:tcW w:w="1262" w:type="dxa"/>
            <w:gridSpan w:val="2"/>
            <w:tcBorders>
              <w:top w:val="single" w:sz="8" w:space="0" w:color="auto"/>
              <w:left w:val="nil"/>
              <w:bottom w:val="single" w:sz="8" w:space="0" w:color="auto"/>
              <w:right w:val="single" w:sz="4" w:space="0" w:color="auto"/>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w:t>
            </w:r>
          </w:p>
        </w:tc>
        <w:tc>
          <w:tcPr>
            <w:tcW w:w="1530" w:type="dxa"/>
            <w:tcBorders>
              <w:top w:val="single" w:sz="8" w:space="0" w:color="auto"/>
              <w:left w:val="nil"/>
              <w:bottom w:val="single" w:sz="8" w:space="0" w:color="auto"/>
              <w:right w:val="single" w:sz="8" w:space="0" w:color="000000"/>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ORIGEN</w:t>
            </w:r>
          </w:p>
        </w:tc>
      </w:tr>
      <w:tr w:rsidR="00EB3BC8" w:rsidRPr="000B4D0F" w:rsidTr="005E52E0">
        <w:trPr>
          <w:trHeight w:val="300"/>
        </w:trPr>
        <w:tc>
          <w:tcPr>
            <w:tcW w:w="1833"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rPr>
                <w:rFonts w:eastAsia="Times New Roman" w:cstheme="minorHAnsi"/>
                <w:b/>
                <w:bCs/>
                <w:color w:val="000000"/>
                <w:sz w:val="16"/>
                <w:szCs w:val="16"/>
              </w:rPr>
            </w:pPr>
            <w:r w:rsidRPr="000B4D0F">
              <w:rPr>
                <w:rFonts w:eastAsia="Times New Roman" w:cstheme="minorHAnsi"/>
                <w:b/>
                <w:bCs/>
                <w:color w:val="000000"/>
                <w:sz w:val="16"/>
                <w:szCs w:val="16"/>
              </w:rPr>
              <w:t xml:space="preserve">   CONSESIONARIA NUEVA VIA AL MAR</w:t>
            </w:r>
          </w:p>
        </w:tc>
        <w:tc>
          <w:tcPr>
            <w:tcW w:w="3162" w:type="dxa"/>
            <w:gridSpan w:val="3"/>
            <w:tcBorders>
              <w:top w:val="single" w:sz="8" w:space="0" w:color="auto"/>
              <w:left w:val="nil"/>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 xml:space="preserve"> Estudios y proyectos del Sol EPISOL S.A.S.</w:t>
            </w:r>
          </w:p>
        </w:tc>
        <w:tc>
          <w:tcPr>
            <w:tcW w:w="1262" w:type="dxa"/>
            <w:gridSpan w:val="2"/>
            <w:tcBorders>
              <w:top w:val="nil"/>
              <w:left w:val="nil"/>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60,00%</w:t>
            </w:r>
          </w:p>
        </w:tc>
        <w:tc>
          <w:tcPr>
            <w:tcW w:w="1530" w:type="dxa"/>
            <w:tcBorders>
              <w:top w:val="single" w:sz="8" w:space="0" w:color="auto"/>
              <w:left w:val="nil"/>
              <w:bottom w:val="single" w:sz="4"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COLOMBIA</w:t>
            </w:r>
          </w:p>
        </w:tc>
      </w:tr>
      <w:tr w:rsidR="00EB3BC8" w:rsidRPr="000B4D0F" w:rsidTr="005E52E0">
        <w:trPr>
          <w:trHeight w:val="300"/>
        </w:trPr>
        <w:tc>
          <w:tcPr>
            <w:tcW w:w="1833" w:type="dxa"/>
            <w:vMerge/>
            <w:tcBorders>
              <w:top w:val="single" w:sz="8" w:space="0" w:color="auto"/>
              <w:left w:val="single" w:sz="8" w:space="0" w:color="auto"/>
              <w:bottom w:val="single" w:sz="4" w:space="0" w:color="auto"/>
              <w:right w:val="single" w:sz="4" w:space="0" w:color="auto"/>
            </w:tcBorders>
            <w:vAlign w:val="center"/>
            <w:hideMark/>
          </w:tcPr>
          <w:p w:rsidR="00EB3BC8" w:rsidRPr="000B4D0F" w:rsidRDefault="00EB3BC8" w:rsidP="005E52E0">
            <w:pPr>
              <w:spacing w:after="0" w:line="240" w:lineRule="auto"/>
              <w:rPr>
                <w:rFonts w:eastAsia="Times New Roman" w:cstheme="minorHAnsi"/>
                <w:b/>
                <w:bCs/>
                <w:color w:val="000000"/>
                <w:sz w:val="16"/>
                <w:szCs w:val="16"/>
              </w:rPr>
            </w:pPr>
          </w:p>
        </w:tc>
        <w:tc>
          <w:tcPr>
            <w:tcW w:w="3162" w:type="dxa"/>
            <w:gridSpan w:val="3"/>
            <w:tcBorders>
              <w:top w:val="single" w:sz="4" w:space="0" w:color="auto"/>
              <w:left w:val="nil"/>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 xml:space="preserve"> Iridium Colombia Concesiones Viarias S.A.S</w:t>
            </w:r>
          </w:p>
        </w:tc>
        <w:tc>
          <w:tcPr>
            <w:tcW w:w="1262" w:type="dxa"/>
            <w:gridSpan w:val="2"/>
            <w:tcBorders>
              <w:top w:val="nil"/>
              <w:left w:val="nil"/>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40,00%</w:t>
            </w:r>
          </w:p>
        </w:tc>
        <w:tc>
          <w:tcPr>
            <w:tcW w:w="1530" w:type="dxa"/>
            <w:tcBorders>
              <w:top w:val="single" w:sz="4" w:space="0" w:color="auto"/>
              <w:left w:val="nil"/>
              <w:bottom w:val="single" w:sz="4"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ESPAÑA</w:t>
            </w:r>
          </w:p>
        </w:tc>
      </w:tr>
      <w:tr w:rsidR="00EB3BC8" w:rsidRPr="000B4D0F" w:rsidTr="005E52E0">
        <w:trPr>
          <w:trHeight w:val="499"/>
        </w:trPr>
        <w:tc>
          <w:tcPr>
            <w:tcW w:w="1833" w:type="dxa"/>
            <w:tcBorders>
              <w:top w:val="single" w:sz="4" w:space="0" w:color="auto"/>
              <w:left w:val="single" w:sz="8" w:space="0" w:color="auto"/>
              <w:bottom w:val="single" w:sz="8" w:space="0" w:color="auto"/>
              <w:right w:val="single" w:sz="4"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b/>
                <w:bCs/>
                <w:color w:val="000000"/>
                <w:sz w:val="16"/>
                <w:szCs w:val="16"/>
              </w:rPr>
            </w:pPr>
            <w:r w:rsidRPr="000B4D0F">
              <w:rPr>
                <w:rFonts w:eastAsia="Times New Roman" w:cstheme="minorHAnsi"/>
                <w:b/>
                <w:bCs/>
                <w:color w:val="000000"/>
                <w:sz w:val="16"/>
                <w:szCs w:val="16"/>
              </w:rPr>
              <w:t xml:space="preserve">VALOR DEL CONTRATO </w:t>
            </w:r>
            <w:r w:rsidRPr="000B4D0F">
              <w:rPr>
                <w:rFonts w:eastAsia="Times New Roman" w:cstheme="minorHAnsi"/>
                <w:b/>
                <w:bCs/>
                <w:color w:val="000000"/>
                <w:sz w:val="16"/>
                <w:szCs w:val="16"/>
              </w:rPr>
              <w:br/>
              <w:t>(IVA Incluido)</w:t>
            </w:r>
          </w:p>
        </w:tc>
        <w:tc>
          <w:tcPr>
            <w:tcW w:w="1868" w:type="dxa"/>
            <w:gridSpan w:val="2"/>
            <w:tcBorders>
              <w:top w:val="single" w:sz="4" w:space="0" w:color="auto"/>
              <w:left w:val="nil"/>
              <w:bottom w:val="single" w:sz="8" w:space="0" w:color="auto"/>
              <w:right w:val="single" w:sz="4"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 xml:space="preserve"> $        1.587.924.097.847,00 </w:t>
            </w:r>
          </w:p>
        </w:tc>
        <w:tc>
          <w:tcPr>
            <w:tcW w:w="1294" w:type="dxa"/>
            <w:tcBorders>
              <w:top w:val="single" w:sz="4" w:space="0" w:color="auto"/>
              <w:left w:val="nil"/>
              <w:bottom w:val="single" w:sz="8" w:space="0" w:color="auto"/>
              <w:right w:val="single" w:sz="4"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b/>
                <w:bCs/>
                <w:color w:val="000000"/>
                <w:sz w:val="16"/>
                <w:szCs w:val="16"/>
              </w:rPr>
            </w:pPr>
            <w:r w:rsidRPr="000B4D0F">
              <w:rPr>
                <w:rFonts w:eastAsia="Times New Roman" w:cstheme="minorHAnsi"/>
                <w:b/>
                <w:bCs/>
                <w:color w:val="000000"/>
                <w:sz w:val="16"/>
                <w:szCs w:val="16"/>
              </w:rPr>
              <w:t xml:space="preserve">VALOR ADJUDICADO </w:t>
            </w:r>
          </w:p>
        </w:tc>
        <w:tc>
          <w:tcPr>
            <w:tcW w:w="2792" w:type="dxa"/>
            <w:gridSpan w:val="3"/>
            <w:tcBorders>
              <w:top w:val="single" w:sz="4" w:space="0" w:color="auto"/>
              <w:left w:val="nil"/>
              <w:bottom w:val="single" w:sz="8"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 xml:space="preserve"> $    947.003.772.910,00 </w:t>
            </w:r>
          </w:p>
        </w:tc>
      </w:tr>
      <w:tr w:rsidR="00EB3BC8" w:rsidRPr="000B4D0F" w:rsidTr="005E52E0">
        <w:trPr>
          <w:trHeight w:val="227"/>
        </w:trPr>
        <w:tc>
          <w:tcPr>
            <w:tcW w:w="1833" w:type="dxa"/>
            <w:tcBorders>
              <w:top w:val="single" w:sz="4" w:space="0" w:color="auto"/>
              <w:left w:val="single" w:sz="8" w:space="0" w:color="auto"/>
              <w:bottom w:val="single" w:sz="8" w:space="0" w:color="auto"/>
              <w:right w:val="single" w:sz="4"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b/>
                <w:bCs/>
                <w:color w:val="000000"/>
                <w:sz w:val="16"/>
                <w:szCs w:val="16"/>
              </w:rPr>
            </w:pPr>
            <w:r w:rsidRPr="000B4D0F">
              <w:rPr>
                <w:rFonts w:eastAsia="Times New Roman" w:cstheme="minorHAnsi"/>
                <w:b/>
                <w:bCs/>
                <w:color w:val="000000"/>
                <w:sz w:val="16"/>
                <w:szCs w:val="16"/>
              </w:rPr>
              <w:t xml:space="preserve">FIRMA DE CONTRATO </w:t>
            </w:r>
          </w:p>
        </w:tc>
        <w:tc>
          <w:tcPr>
            <w:tcW w:w="1868" w:type="dxa"/>
            <w:gridSpan w:val="2"/>
            <w:tcBorders>
              <w:top w:val="single" w:sz="4" w:space="0" w:color="auto"/>
              <w:left w:val="nil"/>
              <w:bottom w:val="single" w:sz="8" w:space="0" w:color="auto"/>
              <w:right w:val="single" w:sz="4"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22-01-2015</w:t>
            </w:r>
          </w:p>
        </w:tc>
        <w:tc>
          <w:tcPr>
            <w:tcW w:w="1294" w:type="dxa"/>
            <w:tcBorders>
              <w:top w:val="single" w:sz="4" w:space="0" w:color="auto"/>
              <w:left w:val="nil"/>
              <w:bottom w:val="single" w:sz="8" w:space="0" w:color="auto"/>
              <w:right w:val="single" w:sz="4"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b/>
                <w:bCs/>
                <w:color w:val="000000"/>
                <w:sz w:val="16"/>
                <w:szCs w:val="16"/>
              </w:rPr>
            </w:pPr>
            <w:r w:rsidRPr="000B4D0F">
              <w:rPr>
                <w:rFonts w:eastAsia="Times New Roman" w:cstheme="minorHAnsi"/>
                <w:b/>
                <w:bCs/>
                <w:color w:val="000000"/>
                <w:sz w:val="16"/>
                <w:szCs w:val="16"/>
              </w:rPr>
              <w:t xml:space="preserve">ACTA DE INICIO </w:t>
            </w:r>
          </w:p>
        </w:tc>
        <w:tc>
          <w:tcPr>
            <w:tcW w:w="2792" w:type="dxa"/>
            <w:gridSpan w:val="3"/>
            <w:tcBorders>
              <w:top w:val="single" w:sz="4" w:space="0" w:color="auto"/>
              <w:left w:val="nil"/>
              <w:bottom w:val="single" w:sz="8" w:space="0" w:color="auto"/>
              <w:right w:val="single" w:sz="8"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17-03-2015</w:t>
            </w:r>
          </w:p>
        </w:tc>
      </w:tr>
      <w:tr w:rsidR="00EB3BC8" w:rsidRPr="000B4D0F" w:rsidTr="005E52E0">
        <w:trPr>
          <w:trHeight w:val="315"/>
        </w:trPr>
        <w:tc>
          <w:tcPr>
            <w:tcW w:w="1833" w:type="dxa"/>
            <w:tcBorders>
              <w:top w:val="single" w:sz="8" w:space="0" w:color="auto"/>
              <w:left w:val="single" w:sz="8" w:space="0" w:color="auto"/>
              <w:bottom w:val="single" w:sz="8" w:space="0" w:color="auto"/>
              <w:right w:val="single" w:sz="4" w:space="0" w:color="auto"/>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INTERVENTORIA</w:t>
            </w:r>
          </w:p>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CTO 049 DE 2015</w:t>
            </w:r>
          </w:p>
        </w:tc>
        <w:tc>
          <w:tcPr>
            <w:tcW w:w="3162" w:type="dxa"/>
            <w:gridSpan w:val="3"/>
            <w:tcBorders>
              <w:top w:val="single" w:sz="8" w:space="0" w:color="auto"/>
              <w:left w:val="nil"/>
              <w:bottom w:val="single" w:sz="8" w:space="0" w:color="auto"/>
              <w:right w:val="single" w:sz="4" w:space="0" w:color="000000"/>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INTEGRANTES</w:t>
            </w:r>
          </w:p>
        </w:tc>
        <w:tc>
          <w:tcPr>
            <w:tcW w:w="1262" w:type="dxa"/>
            <w:gridSpan w:val="2"/>
            <w:tcBorders>
              <w:top w:val="nil"/>
              <w:left w:val="nil"/>
              <w:bottom w:val="single" w:sz="8" w:space="0" w:color="auto"/>
              <w:right w:val="single" w:sz="4" w:space="0" w:color="auto"/>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w:t>
            </w:r>
          </w:p>
        </w:tc>
        <w:tc>
          <w:tcPr>
            <w:tcW w:w="1530" w:type="dxa"/>
            <w:tcBorders>
              <w:top w:val="single" w:sz="8" w:space="0" w:color="auto"/>
              <w:left w:val="nil"/>
              <w:bottom w:val="single" w:sz="8" w:space="0" w:color="auto"/>
              <w:right w:val="single" w:sz="8" w:space="0" w:color="000000"/>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ORIGEN</w:t>
            </w:r>
          </w:p>
        </w:tc>
      </w:tr>
      <w:tr w:rsidR="00EB3BC8" w:rsidRPr="000B4D0F" w:rsidTr="005E52E0">
        <w:trPr>
          <w:trHeight w:val="490"/>
        </w:trPr>
        <w:tc>
          <w:tcPr>
            <w:tcW w:w="1833" w:type="dxa"/>
            <w:tcBorders>
              <w:top w:val="nil"/>
              <w:left w:val="single" w:sz="8"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eastAsia="Times New Roman" w:cstheme="minorHAnsi"/>
                <w:b/>
                <w:bCs/>
                <w:color w:val="000000"/>
                <w:sz w:val="16"/>
                <w:szCs w:val="16"/>
              </w:rPr>
            </w:pPr>
            <w:r w:rsidRPr="000B4D0F">
              <w:rPr>
                <w:rFonts w:eastAsia="Times New Roman" w:cstheme="minorHAnsi"/>
                <w:b/>
                <w:bCs/>
                <w:color w:val="000000"/>
                <w:sz w:val="16"/>
                <w:szCs w:val="16"/>
              </w:rPr>
              <w:t>CONSORCIO INTERCONCESIONES</w:t>
            </w:r>
          </w:p>
        </w:tc>
        <w:tc>
          <w:tcPr>
            <w:tcW w:w="3162" w:type="dxa"/>
            <w:gridSpan w:val="3"/>
            <w:tcBorders>
              <w:top w:val="single" w:sz="8" w:space="0" w:color="auto"/>
              <w:left w:val="nil"/>
              <w:bottom w:val="single" w:sz="4" w:space="0" w:color="auto"/>
              <w:right w:val="single" w:sz="4"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Interventorías y Diseños S.A.  (INTERDISEÑOS)</w:t>
            </w:r>
          </w:p>
        </w:tc>
        <w:tc>
          <w:tcPr>
            <w:tcW w:w="1262" w:type="dxa"/>
            <w:gridSpan w:val="2"/>
            <w:tcBorders>
              <w:top w:val="nil"/>
              <w:left w:val="nil"/>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65,00%</w:t>
            </w:r>
          </w:p>
        </w:tc>
        <w:tc>
          <w:tcPr>
            <w:tcW w:w="1530" w:type="dxa"/>
            <w:tcBorders>
              <w:top w:val="nil"/>
              <w:left w:val="nil"/>
              <w:bottom w:val="single" w:sz="4"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COLOMBIA</w:t>
            </w:r>
          </w:p>
        </w:tc>
      </w:tr>
      <w:tr w:rsidR="00EB3BC8" w:rsidRPr="000B4D0F" w:rsidTr="005E52E0">
        <w:trPr>
          <w:trHeight w:val="315"/>
        </w:trPr>
        <w:tc>
          <w:tcPr>
            <w:tcW w:w="1833" w:type="dxa"/>
            <w:tcBorders>
              <w:left w:val="single" w:sz="8" w:space="0" w:color="auto"/>
              <w:bottom w:val="single" w:sz="8" w:space="0" w:color="000000"/>
              <w:right w:val="single" w:sz="4" w:space="0" w:color="auto"/>
            </w:tcBorders>
            <w:shd w:val="clear" w:color="auto" w:fill="auto"/>
            <w:vAlign w:val="center"/>
            <w:hideMark/>
          </w:tcPr>
          <w:p w:rsidR="00EB3BC8" w:rsidRPr="000B4D0F" w:rsidRDefault="00EB3BC8" w:rsidP="005E52E0">
            <w:pPr>
              <w:spacing w:after="0" w:line="240" w:lineRule="auto"/>
              <w:jc w:val="center"/>
              <w:rPr>
                <w:rFonts w:eastAsia="Times New Roman" w:cstheme="minorHAnsi"/>
                <w:b/>
                <w:bCs/>
                <w:color w:val="000000"/>
                <w:sz w:val="16"/>
                <w:szCs w:val="16"/>
              </w:rPr>
            </w:pPr>
            <w:r w:rsidRPr="000B4D0F">
              <w:rPr>
                <w:rFonts w:eastAsia="Times New Roman" w:cstheme="minorHAnsi"/>
                <w:b/>
                <w:bCs/>
                <w:color w:val="000000"/>
                <w:sz w:val="16"/>
                <w:szCs w:val="16"/>
              </w:rPr>
              <w:t>4G</w:t>
            </w:r>
          </w:p>
        </w:tc>
        <w:tc>
          <w:tcPr>
            <w:tcW w:w="3162" w:type="dxa"/>
            <w:gridSpan w:val="3"/>
            <w:tcBorders>
              <w:top w:val="single" w:sz="4" w:space="0" w:color="auto"/>
              <w:left w:val="nil"/>
              <w:bottom w:val="single" w:sz="8" w:space="0" w:color="auto"/>
              <w:right w:val="single" w:sz="4"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 xml:space="preserve"> 3B Proyectos</w:t>
            </w:r>
          </w:p>
        </w:tc>
        <w:tc>
          <w:tcPr>
            <w:tcW w:w="1262" w:type="dxa"/>
            <w:gridSpan w:val="2"/>
            <w:tcBorders>
              <w:top w:val="nil"/>
              <w:left w:val="nil"/>
              <w:bottom w:val="single" w:sz="8"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35,00%</w:t>
            </w:r>
          </w:p>
        </w:tc>
        <w:tc>
          <w:tcPr>
            <w:tcW w:w="1530" w:type="dxa"/>
            <w:tcBorders>
              <w:top w:val="single" w:sz="4" w:space="0" w:color="auto"/>
              <w:left w:val="nil"/>
              <w:bottom w:val="single" w:sz="8"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COLOMBIA</w:t>
            </w:r>
          </w:p>
        </w:tc>
      </w:tr>
      <w:tr w:rsidR="00EB3BC8" w:rsidRPr="000B4D0F" w:rsidTr="005E52E0">
        <w:trPr>
          <w:trHeight w:val="141"/>
        </w:trPr>
        <w:tc>
          <w:tcPr>
            <w:tcW w:w="370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b/>
                <w:bCs/>
                <w:color w:val="000000"/>
                <w:sz w:val="16"/>
                <w:szCs w:val="16"/>
              </w:rPr>
              <w:t>VALOR DEL CONTRATO  (IVA Incluido)</w:t>
            </w:r>
          </w:p>
        </w:tc>
        <w:tc>
          <w:tcPr>
            <w:tcW w:w="4086" w:type="dxa"/>
            <w:gridSpan w:val="4"/>
            <w:tcBorders>
              <w:top w:val="single" w:sz="8" w:space="0" w:color="auto"/>
              <w:left w:val="nil"/>
              <w:bottom w:val="single" w:sz="8" w:space="0" w:color="auto"/>
              <w:right w:val="single" w:sz="8"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                                           38.122.319.620,00</w:t>
            </w:r>
          </w:p>
        </w:tc>
      </w:tr>
      <w:tr w:rsidR="00EB3BC8" w:rsidRPr="000B4D0F" w:rsidTr="005E52E0">
        <w:trPr>
          <w:trHeight w:val="141"/>
        </w:trPr>
        <w:tc>
          <w:tcPr>
            <w:tcW w:w="1850"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b/>
                <w:bCs/>
                <w:color w:val="000000"/>
                <w:sz w:val="16"/>
                <w:szCs w:val="16"/>
              </w:rPr>
            </w:pPr>
            <w:r w:rsidRPr="000B4D0F">
              <w:rPr>
                <w:rFonts w:eastAsia="Times New Roman" w:cstheme="minorHAnsi"/>
                <w:b/>
                <w:bCs/>
                <w:color w:val="000000"/>
                <w:sz w:val="16"/>
                <w:szCs w:val="16"/>
              </w:rPr>
              <w:t xml:space="preserve">FIRMA DE CONTRATO </w:t>
            </w:r>
          </w:p>
        </w:tc>
        <w:tc>
          <w:tcPr>
            <w:tcW w:w="1851" w:type="dxa"/>
            <w:tcBorders>
              <w:top w:val="single" w:sz="8" w:space="0" w:color="auto"/>
              <w:left w:val="single" w:sz="8" w:space="0" w:color="auto"/>
              <w:bottom w:val="single" w:sz="8" w:space="0" w:color="auto"/>
              <w:right w:val="single" w:sz="8"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13-03-2015</w:t>
            </w: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b/>
                <w:bCs/>
                <w:color w:val="000000"/>
                <w:sz w:val="16"/>
                <w:szCs w:val="16"/>
              </w:rPr>
            </w:pPr>
            <w:r w:rsidRPr="000B4D0F">
              <w:rPr>
                <w:rFonts w:eastAsia="Times New Roman" w:cstheme="minorHAnsi"/>
                <w:b/>
                <w:bCs/>
                <w:color w:val="000000"/>
                <w:sz w:val="16"/>
                <w:szCs w:val="16"/>
              </w:rPr>
              <w:t xml:space="preserve">ACTA DE INICIO </w:t>
            </w:r>
          </w:p>
        </w:tc>
        <w:tc>
          <w:tcPr>
            <w:tcW w:w="2244" w:type="dxa"/>
            <w:gridSpan w:val="2"/>
            <w:tcBorders>
              <w:top w:val="single" w:sz="8" w:space="0" w:color="auto"/>
              <w:left w:val="nil"/>
              <w:bottom w:val="single" w:sz="8" w:space="0" w:color="auto"/>
              <w:right w:val="single" w:sz="8" w:space="0" w:color="000000"/>
            </w:tcBorders>
            <w:shd w:val="clear" w:color="auto" w:fill="auto"/>
            <w:vAlign w:val="center"/>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17-03-2015</w:t>
            </w:r>
          </w:p>
        </w:tc>
      </w:tr>
      <w:tr w:rsidR="00EB3BC8" w:rsidRPr="000B4D0F" w:rsidTr="005E52E0">
        <w:trPr>
          <w:trHeight w:val="141"/>
        </w:trPr>
        <w:tc>
          <w:tcPr>
            <w:tcW w:w="1850"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EB3BC8" w:rsidRPr="000B4D0F" w:rsidRDefault="00EB3BC8" w:rsidP="005E52E0">
            <w:pPr>
              <w:spacing w:after="0" w:line="240" w:lineRule="auto"/>
              <w:rPr>
                <w:rFonts w:eastAsia="Times New Roman" w:cstheme="minorHAnsi"/>
                <w:b/>
                <w:bCs/>
                <w:color w:val="000000"/>
                <w:sz w:val="16"/>
                <w:szCs w:val="16"/>
              </w:rPr>
            </w:pPr>
            <w:r w:rsidRPr="000B4D0F">
              <w:rPr>
                <w:rFonts w:eastAsia="Times New Roman" w:cstheme="minorHAnsi"/>
                <w:b/>
                <w:bCs/>
                <w:color w:val="000000"/>
                <w:sz w:val="16"/>
                <w:szCs w:val="16"/>
              </w:rPr>
              <w:t xml:space="preserve"> ESTADO ACTUAL  CTO. DE INTERVENTORÍA </w:t>
            </w:r>
          </w:p>
        </w:tc>
        <w:tc>
          <w:tcPr>
            <w:tcW w:w="5937"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B3BC8" w:rsidRPr="000B4D0F" w:rsidRDefault="00EB3BC8" w:rsidP="005E52E0">
            <w:pPr>
              <w:spacing w:after="0" w:line="240" w:lineRule="auto"/>
              <w:jc w:val="both"/>
              <w:rPr>
                <w:rFonts w:cstheme="minorHAnsi"/>
                <w:noProof/>
              </w:rPr>
            </w:pPr>
            <w:r w:rsidRPr="000B4D0F">
              <w:rPr>
                <w:rFonts w:cstheme="minorHAnsi"/>
                <w:noProof/>
                <w:sz w:val="16"/>
                <w:szCs w:val="16"/>
              </w:rPr>
              <w:t>En Ejecución. La Interventoría cuenta con recursos fisicos y humanos necesarios para efectuar el seguimiento al desarrollo de las actividades que realiza el concesionario en la Etapa de Preconstrucción</w:t>
            </w:r>
            <w:r w:rsidRPr="000B4D0F">
              <w:rPr>
                <w:rFonts w:cstheme="minorHAnsi"/>
                <w:noProof/>
              </w:rPr>
              <w:t>.</w:t>
            </w:r>
          </w:p>
        </w:tc>
      </w:tr>
    </w:tbl>
    <w:p w:rsidR="00EB3BC8" w:rsidRPr="000B4D0F" w:rsidRDefault="00EB3BC8" w:rsidP="00EB3BC8">
      <w:pPr>
        <w:spacing w:line="240" w:lineRule="auto"/>
        <w:jc w:val="center"/>
        <w:rPr>
          <w:rFonts w:eastAsiaTheme="minorHAnsi" w:cstheme="minorHAnsi"/>
        </w:rPr>
      </w:pPr>
    </w:p>
    <w:p w:rsidR="00EB3BC8" w:rsidRPr="000B4D0F" w:rsidRDefault="00EB3BC8" w:rsidP="00EB3BC8">
      <w:pPr>
        <w:spacing w:line="240" w:lineRule="auto"/>
        <w:jc w:val="both"/>
        <w:rPr>
          <w:rFonts w:eastAsiaTheme="minorHAnsi" w:cstheme="minorHAnsi"/>
          <w:b/>
        </w:rPr>
      </w:pPr>
    </w:p>
    <w:p w:rsidR="00EB3BC8" w:rsidRPr="000B4D0F" w:rsidRDefault="00EB3BC8" w:rsidP="00EB3BC8">
      <w:pPr>
        <w:spacing w:line="240" w:lineRule="auto"/>
        <w:jc w:val="center"/>
        <w:rPr>
          <w:rFonts w:eastAsiaTheme="minorHAnsi" w:cstheme="minorHAnsi"/>
          <w:b/>
        </w:rPr>
      </w:pPr>
    </w:p>
    <w:p w:rsidR="00EB3BC8" w:rsidRPr="000B4D0F" w:rsidRDefault="00EB3BC8" w:rsidP="00EB3BC8">
      <w:pPr>
        <w:spacing w:line="240" w:lineRule="auto"/>
        <w:jc w:val="center"/>
        <w:rPr>
          <w:rFonts w:eastAsiaTheme="minorHAnsi" w:cstheme="minorHAnsi"/>
          <w:b/>
        </w:rPr>
      </w:pPr>
    </w:p>
    <w:p w:rsidR="00EB3BC8" w:rsidRPr="000B4D0F" w:rsidRDefault="00EB3BC8" w:rsidP="00EB3BC8">
      <w:pPr>
        <w:spacing w:line="240" w:lineRule="auto"/>
        <w:jc w:val="center"/>
        <w:rPr>
          <w:rFonts w:eastAsiaTheme="minorHAnsi" w:cstheme="minorHAnsi"/>
          <w:b/>
        </w:rPr>
      </w:pPr>
    </w:p>
    <w:p w:rsidR="00EB3BC8" w:rsidRPr="000B4D0F" w:rsidRDefault="00EB3BC8" w:rsidP="00EB3BC8">
      <w:pPr>
        <w:spacing w:line="240" w:lineRule="auto"/>
        <w:jc w:val="center"/>
        <w:rPr>
          <w:rFonts w:eastAsiaTheme="minorHAnsi" w:cstheme="minorHAnsi"/>
          <w:b/>
        </w:rPr>
      </w:pPr>
    </w:p>
    <w:p w:rsidR="00EB3BC8" w:rsidRPr="000B4D0F" w:rsidRDefault="00EB3BC8" w:rsidP="00EB3BC8">
      <w:pPr>
        <w:spacing w:line="240" w:lineRule="auto"/>
        <w:jc w:val="center"/>
        <w:rPr>
          <w:rFonts w:eastAsiaTheme="minorHAnsi" w:cstheme="minorHAnsi"/>
          <w:b/>
        </w:rPr>
      </w:pPr>
    </w:p>
    <w:p w:rsidR="00EB3BC8" w:rsidRPr="000B4D0F" w:rsidRDefault="00EB3BC8" w:rsidP="00EB3BC8">
      <w:pPr>
        <w:spacing w:line="240" w:lineRule="auto"/>
        <w:jc w:val="center"/>
        <w:rPr>
          <w:rFonts w:eastAsiaTheme="minorHAnsi" w:cstheme="minorHAnsi"/>
          <w:b/>
        </w:rPr>
      </w:pPr>
    </w:p>
    <w:p w:rsidR="00EB3BC8" w:rsidRPr="000B4D0F" w:rsidRDefault="00EB3BC8" w:rsidP="00EB3BC8">
      <w:pPr>
        <w:spacing w:line="240" w:lineRule="auto"/>
        <w:jc w:val="both"/>
        <w:rPr>
          <w:rFonts w:eastAsiaTheme="minorHAnsi" w:cstheme="minorHAnsi"/>
          <w:b/>
        </w:rPr>
      </w:pPr>
    </w:p>
    <w:p w:rsidR="00EB3BC8" w:rsidRPr="000B4D0F" w:rsidRDefault="00EB3BC8" w:rsidP="00EB3BC8">
      <w:pPr>
        <w:spacing w:line="240" w:lineRule="auto"/>
        <w:jc w:val="both"/>
        <w:rPr>
          <w:rFonts w:eastAsiaTheme="minorHAnsi" w:cstheme="minorHAnsi"/>
          <w:b/>
        </w:rPr>
      </w:pPr>
    </w:p>
    <w:p w:rsidR="00EB3BC8" w:rsidRPr="000B4D0F" w:rsidRDefault="00EB3BC8" w:rsidP="00EB3BC8">
      <w:pPr>
        <w:spacing w:line="240" w:lineRule="auto"/>
        <w:jc w:val="both"/>
        <w:rPr>
          <w:rFonts w:eastAsiaTheme="minorHAnsi" w:cstheme="minorHAnsi"/>
          <w:b/>
        </w:rPr>
      </w:pPr>
    </w:p>
    <w:tbl>
      <w:tblPr>
        <w:tblpPr w:leftFromText="141" w:rightFromText="141" w:vertAnchor="text" w:horzAnchor="margin" w:tblpY="121"/>
        <w:tblW w:w="7787" w:type="dxa"/>
        <w:tblCellMar>
          <w:left w:w="70" w:type="dxa"/>
          <w:right w:w="70" w:type="dxa"/>
        </w:tblCellMar>
        <w:tblLook w:val="04A0" w:firstRow="1" w:lastRow="0" w:firstColumn="1" w:lastColumn="0" w:noHBand="0" w:noVBand="1"/>
      </w:tblPr>
      <w:tblGrid>
        <w:gridCol w:w="1149"/>
        <w:gridCol w:w="1444"/>
        <w:gridCol w:w="683"/>
        <w:gridCol w:w="588"/>
        <w:gridCol w:w="593"/>
        <w:gridCol w:w="638"/>
        <w:gridCol w:w="1271"/>
        <w:gridCol w:w="1421"/>
      </w:tblGrid>
      <w:tr w:rsidR="00EB3BC8" w:rsidRPr="000B4D0F" w:rsidTr="005E52E0">
        <w:trPr>
          <w:trHeight w:val="169"/>
        </w:trPr>
        <w:tc>
          <w:tcPr>
            <w:tcW w:w="2593" w:type="dxa"/>
            <w:gridSpan w:val="2"/>
            <w:vMerge w:val="restart"/>
            <w:tcBorders>
              <w:top w:val="single" w:sz="8" w:space="0" w:color="auto"/>
              <w:left w:val="single" w:sz="8" w:space="0" w:color="auto"/>
              <w:bottom w:val="single" w:sz="8" w:space="0" w:color="000000"/>
              <w:right w:val="single" w:sz="4" w:space="0" w:color="auto"/>
            </w:tcBorders>
            <w:shd w:val="clear" w:color="000000" w:fill="5B9BD5"/>
            <w:noWrap/>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 xml:space="preserve">ETAPAS DE PROYECTO </w:t>
            </w:r>
          </w:p>
        </w:tc>
        <w:tc>
          <w:tcPr>
            <w:tcW w:w="2502" w:type="dxa"/>
            <w:gridSpan w:val="4"/>
            <w:tcBorders>
              <w:top w:val="single" w:sz="8" w:space="0" w:color="auto"/>
              <w:left w:val="nil"/>
              <w:bottom w:val="single" w:sz="4" w:space="0" w:color="auto"/>
              <w:right w:val="single" w:sz="4" w:space="0" w:color="auto"/>
            </w:tcBorders>
            <w:shd w:val="clear" w:color="000000" w:fill="5B9BD5"/>
            <w:vAlign w:val="bottom"/>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PLAZO (AÑOS)</w:t>
            </w:r>
          </w:p>
        </w:tc>
        <w:tc>
          <w:tcPr>
            <w:tcW w:w="2692" w:type="dxa"/>
            <w:gridSpan w:val="2"/>
            <w:vMerge w:val="restart"/>
            <w:tcBorders>
              <w:top w:val="single" w:sz="8" w:space="0" w:color="auto"/>
              <w:left w:val="single" w:sz="4" w:space="0" w:color="auto"/>
              <w:bottom w:val="single" w:sz="4" w:space="0" w:color="auto"/>
              <w:right w:val="single" w:sz="8" w:space="0" w:color="000000"/>
            </w:tcBorders>
            <w:shd w:val="clear" w:color="000000" w:fill="5B9BD5"/>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FECHA ESTIMADA DE TERMINACIÓN</w:t>
            </w:r>
          </w:p>
        </w:tc>
      </w:tr>
      <w:tr w:rsidR="00EB3BC8" w:rsidRPr="000B4D0F" w:rsidTr="005E52E0">
        <w:trPr>
          <w:trHeight w:val="101"/>
        </w:trPr>
        <w:tc>
          <w:tcPr>
            <w:tcW w:w="2593" w:type="dxa"/>
            <w:gridSpan w:val="2"/>
            <w:vMerge/>
            <w:tcBorders>
              <w:top w:val="single" w:sz="8" w:space="0" w:color="auto"/>
              <w:left w:val="single" w:sz="8" w:space="0" w:color="auto"/>
              <w:bottom w:val="single" w:sz="8" w:space="0" w:color="000000"/>
              <w:right w:val="single" w:sz="4" w:space="0" w:color="auto"/>
            </w:tcBorders>
            <w:vAlign w:val="center"/>
            <w:hideMark/>
          </w:tcPr>
          <w:p w:rsidR="00EB3BC8" w:rsidRPr="000B4D0F" w:rsidRDefault="00EB3BC8" w:rsidP="005E52E0">
            <w:pPr>
              <w:spacing w:after="0" w:line="240" w:lineRule="auto"/>
              <w:rPr>
                <w:rFonts w:eastAsia="Times New Roman" w:cstheme="minorHAnsi"/>
                <w:b/>
                <w:bCs/>
                <w:color w:val="FFFFFF"/>
                <w:sz w:val="16"/>
                <w:szCs w:val="16"/>
              </w:rPr>
            </w:pPr>
          </w:p>
        </w:tc>
        <w:tc>
          <w:tcPr>
            <w:tcW w:w="1271" w:type="dxa"/>
            <w:gridSpan w:val="2"/>
            <w:tcBorders>
              <w:top w:val="single" w:sz="4" w:space="0" w:color="auto"/>
              <w:left w:val="nil"/>
              <w:bottom w:val="single" w:sz="4" w:space="0" w:color="auto"/>
              <w:right w:val="single" w:sz="4" w:space="0" w:color="auto"/>
            </w:tcBorders>
            <w:shd w:val="clear" w:color="000000" w:fill="5B9BD5"/>
            <w:noWrap/>
            <w:vAlign w:val="bottom"/>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 xml:space="preserve">CONCESIONARIO </w:t>
            </w:r>
          </w:p>
        </w:tc>
        <w:tc>
          <w:tcPr>
            <w:tcW w:w="1231" w:type="dxa"/>
            <w:gridSpan w:val="2"/>
            <w:tcBorders>
              <w:top w:val="single" w:sz="4" w:space="0" w:color="auto"/>
              <w:left w:val="nil"/>
              <w:bottom w:val="single" w:sz="4" w:space="0" w:color="auto"/>
              <w:right w:val="single" w:sz="4" w:space="0" w:color="auto"/>
            </w:tcBorders>
            <w:shd w:val="clear" w:color="000000" w:fill="5B9BD5"/>
            <w:noWrap/>
            <w:vAlign w:val="bottom"/>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INTERVENTORÍA</w:t>
            </w:r>
          </w:p>
        </w:tc>
        <w:tc>
          <w:tcPr>
            <w:tcW w:w="2692" w:type="dxa"/>
            <w:gridSpan w:val="2"/>
            <w:vMerge/>
            <w:tcBorders>
              <w:top w:val="single" w:sz="8" w:space="0" w:color="auto"/>
              <w:left w:val="single" w:sz="4" w:space="0" w:color="auto"/>
              <w:bottom w:val="single" w:sz="4" w:space="0" w:color="auto"/>
              <w:right w:val="single" w:sz="8" w:space="0" w:color="000000"/>
            </w:tcBorders>
            <w:vAlign w:val="center"/>
            <w:hideMark/>
          </w:tcPr>
          <w:p w:rsidR="00EB3BC8" w:rsidRPr="000B4D0F" w:rsidRDefault="00EB3BC8" w:rsidP="005E52E0">
            <w:pPr>
              <w:spacing w:after="0" w:line="240" w:lineRule="auto"/>
              <w:rPr>
                <w:rFonts w:eastAsia="Times New Roman" w:cstheme="minorHAnsi"/>
                <w:b/>
                <w:bCs/>
                <w:color w:val="FFFFFF"/>
                <w:sz w:val="16"/>
                <w:szCs w:val="16"/>
              </w:rPr>
            </w:pPr>
          </w:p>
        </w:tc>
      </w:tr>
      <w:tr w:rsidR="00EB3BC8" w:rsidRPr="000B4D0F" w:rsidTr="005E52E0">
        <w:trPr>
          <w:trHeight w:val="175"/>
        </w:trPr>
        <w:tc>
          <w:tcPr>
            <w:tcW w:w="2593" w:type="dxa"/>
            <w:gridSpan w:val="2"/>
            <w:vMerge/>
            <w:tcBorders>
              <w:top w:val="single" w:sz="8" w:space="0" w:color="auto"/>
              <w:left w:val="single" w:sz="8" w:space="0" w:color="auto"/>
              <w:bottom w:val="single" w:sz="8" w:space="0" w:color="000000"/>
              <w:right w:val="single" w:sz="4" w:space="0" w:color="auto"/>
            </w:tcBorders>
            <w:vAlign w:val="center"/>
            <w:hideMark/>
          </w:tcPr>
          <w:p w:rsidR="00EB3BC8" w:rsidRPr="000B4D0F" w:rsidRDefault="00EB3BC8" w:rsidP="005E52E0">
            <w:pPr>
              <w:spacing w:after="0" w:line="240" w:lineRule="auto"/>
              <w:rPr>
                <w:rFonts w:eastAsia="Times New Roman" w:cstheme="minorHAnsi"/>
                <w:b/>
                <w:bCs/>
                <w:color w:val="FFFFFF"/>
                <w:sz w:val="16"/>
                <w:szCs w:val="16"/>
              </w:rPr>
            </w:pPr>
          </w:p>
        </w:tc>
        <w:tc>
          <w:tcPr>
            <w:tcW w:w="683" w:type="dxa"/>
            <w:tcBorders>
              <w:top w:val="nil"/>
              <w:left w:val="nil"/>
              <w:bottom w:val="single" w:sz="8" w:space="0" w:color="auto"/>
              <w:right w:val="single" w:sz="4" w:space="0" w:color="auto"/>
            </w:tcBorders>
            <w:shd w:val="clear" w:color="000000" w:fill="5B9BD5"/>
            <w:noWrap/>
            <w:vAlign w:val="center"/>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DÍAS</w:t>
            </w:r>
          </w:p>
        </w:tc>
        <w:tc>
          <w:tcPr>
            <w:tcW w:w="588" w:type="dxa"/>
            <w:tcBorders>
              <w:top w:val="nil"/>
              <w:left w:val="nil"/>
              <w:bottom w:val="single" w:sz="8" w:space="0" w:color="auto"/>
              <w:right w:val="single" w:sz="4" w:space="0" w:color="auto"/>
            </w:tcBorders>
            <w:shd w:val="clear" w:color="000000" w:fill="5B9BD5"/>
            <w:noWrap/>
            <w:vAlign w:val="bottom"/>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AÑOS</w:t>
            </w:r>
          </w:p>
        </w:tc>
        <w:tc>
          <w:tcPr>
            <w:tcW w:w="593" w:type="dxa"/>
            <w:tcBorders>
              <w:top w:val="nil"/>
              <w:left w:val="nil"/>
              <w:bottom w:val="single" w:sz="8" w:space="0" w:color="auto"/>
              <w:right w:val="single" w:sz="4" w:space="0" w:color="auto"/>
            </w:tcBorders>
            <w:shd w:val="clear" w:color="000000" w:fill="5B9BD5"/>
            <w:noWrap/>
            <w:vAlign w:val="bottom"/>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DIAS</w:t>
            </w:r>
          </w:p>
        </w:tc>
        <w:tc>
          <w:tcPr>
            <w:tcW w:w="638" w:type="dxa"/>
            <w:tcBorders>
              <w:top w:val="nil"/>
              <w:left w:val="nil"/>
              <w:bottom w:val="single" w:sz="8" w:space="0" w:color="auto"/>
              <w:right w:val="single" w:sz="4" w:space="0" w:color="auto"/>
            </w:tcBorders>
            <w:shd w:val="clear" w:color="000000" w:fill="5B9BD5"/>
            <w:noWrap/>
            <w:vAlign w:val="bottom"/>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MESES</w:t>
            </w:r>
          </w:p>
        </w:tc>
        <w:tc>
          <w:tcPr>
            <w:tcW w:w="1271" w:type="dxa"/>
            <w:tcBorders>
              <w:top w:val="single" w:sz="4" w:space="0" w:color="auto"/>
              <w:left w:val="nil"/>
              <w:bottom w:val="single" w:sz="8" w:space="0" w:color="auto"/>
              <w:right w:val="single" w:sz="4" w:space="0" w:color="auto"/>
            </w:tcBorders>
            <w:shd w:val="clear" w:color="000000" w:fill="5B9BD5"/>
            <w:noWrap/>
            <w:vAlign w:val="bottom"/>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 xml:space="preserve">CONCESIONARIO </w:t>
            </w:r>
          </w:p>
        </w:tc>
        <w:tc>
          <w:tcPr>
            <w:tcW w:w="1421" w:type="dxa"/>
            <w:tcBorders>
              <w:top w:val="single" w:sz="4" w:space="0" w:color="auto"/>
              <w:left w:val="nil"/>
              <w:bottom w:val="single" w:sz="8" w:space="0" w:color="auto"/>
              <w:right w:val="single" w:sz="8" w:space="0" w:color="000000"/>
            </w:tcBorders>
            <w:shd w:val="clear" w:color="000000" w:fill="5B9BD5"/>
            <w:noWrap/>
            <w:vAlign w:val="bottom"/>
            <w:hideMark/>
          </w:tcPr>
          <w:p w:rsidR="00EB3BC8" w:rsidRPr="000B4D0F" w:rsidRDefault="00EB3BC8" w:rsidP="005E52E0">
            <w:pPr>
              <w:spacing w:after="0" w:line="240" w:lineRule="auto"/>
              <w:jc w:val="center"/>
              <w:rPr>
                <w:rFonts w:eastAsia="Times New Roman" w:cstheme="minorHAnsi"/>
                <w:b/>
                <w:bCs/>
                <w:color w:val="FFFFFF"/>
                <w:sz w:val="16"/>
                <w:szCs w:val="16"/>
              </w:rPr>
            </w:pPr>
            <w:r w:rsidRPr="000B4D0F">
              <w:rPr>
                <w:rFonts w:eastAsia="Times New Roman" w:cstheme="minorHAnsi"/>
                <w:b/>
                <w:bCs/>
                <w:color w:val="FFFFFF"/>
                <w:sz w:val="16"/>
                <w:szCs w:val="16"/>
              </w:rPr>
              <w:t>INTERVENTORÍA</w:t>
            </w:r>
          </w:p>
        </w:tc>
      </w:tr>
      <w:tr w:rsidR="00EB3BC8" w:rsidRPr="000B4D0F" w:rsidTr="005E52E0">
        <w:trPr>
          <w:trHeight w:val="300"/>
        </w:trPr>
        <w:tc>
          <w:tcPr>
            <w:tcW w:w="114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PREOPERATIVA</w:t>
            </w:r>
          </w:p>
        </w:tc>
        <w:tc>
          <w:tcPr>
            <w:tcW w:w="1444"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rPr>
                <w:rFonts w:eastAsia="Times New Roman" w:cstheme="minorHAnsi"/>
                <w:color w:val="000000"/>
                <w:sz w:val="16"/>
                <w:szCs w:val="16"/>
              </w:rPr>
            </w:pPr>
            <w:r w:rsidRPr="000B4D0F">
              <w:rPr>
                <w:rFonts w:eastAsia="Times New Roman" w:cstheme="minorHAnsi"/>
                <w:color w:val="000000"/>
                <w:sz w:val="16"/>
                <w:szCs w:val="16"/>
              </w:rPr>
              <w:t xml:space="preserve">PRECONSTRUCCIÓN </w:t>
            </w:r>
          </w:p>
        </w:tc>
        <w:tc>
          <w:tcPr>
            <w:tcW w:w="683"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545</w:t>
            </w:r>
          </w:p>
        </w:tc>
        <w:tc>
          <w:tcPr>
            <w:tcW w:w="588"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1,5</w:t>
            </w:r>
          </w:p>
        </w:tc>
        <w:tc>
          <w:tcPr>
            <w:tcW w:w="593"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540</w:t>
            </w:r>
          </w:p>
        </w:tc>
        <w:tc>
          <w:tcPr>
            <w:tcW w:w="638"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18</w:t>
            </w:r>
          </w:p>
        </w:tc>
        <w:tc>
          <w:tcPr>
            <w:tcW w:w="1271"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11/09/2016</w:t>
            </w:r>
          </w:p>
        </w:tc>
        <w:tc>
          <w:tcPr>
            <w:tcW w:w="1421" w:type="dxa"/>
            <w:tcBorders>
              <w:top w:val="nil"/>
              <w:left w:val="nil"/>
              <w:bottom w:val="single" w:sz="4" w:space="0" w:color="auto"/>
              <w:right w:val="single" w:sz="8" w:space="0" w:color="000000"/>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sz w:val="16"/>
                <w:szCs w:val="16"/>
              </w:rPr>
            </w:pPr>
            <w:r w:rsidRPr="000B4D0F">
              <w:rPr>
                <w:rFonts w:eastAsia="Times New Roman" w:cstheme="minorHAnsi"/>
                <w:sz w:val="16"/>
                <w:szCs w:val="16"/>
              </w:rPr>
              <w:t>07/09/2016</w:t>
            </w:r>
          </w:p>
        </w:tc>
      </w:tr>
      <w:tr w:rsidR="00EB3BC8" w:rsidRPr="000B4D0F" w:rsidTr="005E52E0">
        <w:trPr>
          <w:trHeight w:val="300"/>
        </w:trPr>
        <w:tc>
          <w:tcPr>
            <w:tcW w:w="1149" w:type="dxa"/>
            <w:vMerge/>
            <w:tcBorders>
              <w:top w:val="nil"/>
              <w:left w:val="single" w:sz="8" w:space="0" w:color="auto"/>
              <w:bottom w:val="single" w:sz="4" w:space="0" w:color="auto"/>
              <w:right w:val="single" w:sz="4" w:space="0" w:color="auto"/>
            </w:tcBorders>
            <w:vAlign w:val="center"/>
            <w:hideMark/>
          </w:tcPr>
          <w:p w:rsidR="00EB3BC8" w:rsidRPr="000B4D0F" w:rsidRDefault="00EB3BC8" w:rsidP="005E52E0">
            <w:pPr>
              <w:spacing w:after="0" w:line="240" w:lineRule="auto"/>
              <w:rPr>
                <w:rFonts w:eastAsia="Times New Roman" w:cstheme="minorHAnsi"/>
                <w:color w:val="000000"/>
                <w:sz w:val="16"/>
                <w:szCs w:val="16"/>
              </w:rPr>
            </w:pPr>
          </w:p>
        </w:tc>
        <w:tc>
          <w:tcPr>
            <w:tcW w:w="1444"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rPr>
                <w:rFonts w:eastAsia="Times New Roman" w:cstheme="minorHAnsi"/>
                <w:color w:val="000000"/>
                <w:sz w:val="16"/>
                <w:szCs w:val="16"/>
              </w:rPr>
            </w:pPr>
            <w:r w:rsidRPr="000B4D0F">
              <w:rPr>
                <w:rFonts w:eastAsia="Times New Roman" w:cstheme="minorHAnsi"/>
                <w:color w:val="000000"/>
                <w:sz w:val="16"/>
                <w:szCs w:val="16"/>
              </w:rPr>
              <w:t xml:space="preserve">CONSTRUCCIÓN </w:t>
            </w:r>
          </w:p>
        </w:tc>
        <w:tc>
          <w:tcPr>
            <w:tcW w:w="683"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1825</w:t>
            </w:r>
          </w:p>
        </w:tc>
        <w:tc>
          <w:tcPr>
            <w:tcW w:w="588"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5,1</w:t>
            </w:r>
          </w:p>
        </w:tc>
        <w:tc>
          <w:tcPr>
            <w:tcW w:w="593"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1800</w:t>
            </w:r>
          </w:p>
        </w:tc>
        <w:tc>
          <w:tcPr>
            <w:tcW w:w="638" w:type="dxa"/>
            <w:tcBorders>
              <w:top w:val="nil"/>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60</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10/09/2021</w:t>
            </w:r>
          </w:p>
        </w:tc>
        <w:tc>
          <w:tcPr>
            <w:tcW w:w="1421" w:type="dxa"/>
            <w:tcBorders>
              <w:top w:val="single" w:sz="4" w:space="0" w:color="auto"/>
              <w:left w:val="nil"/>
              <w:bottom w:val="single" w:sz="4" w:space="0" w:color="auto"/>
              <w:right w:val="single" w:sz="8" w:space="0" w:color="000000"/>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sz w:val="16"/>
                <w:szCs w:val="16"/>
              </w:rPr>
            </w:pPr>
            <w:r w:rsidRPr="000B4D0F">
              <w:rPr>
                <w:rFonts w:eastAsia="Times New Roman" w:cstheme="minorHAnsi"/>
                <w:sz w:val="16"/>
                <w:szCs w:val="16"/>
              </w:rPr>
              <w:t>12/08/2021</w:t>
            </w:r>
          </w:p>
        </w:tc>
      </w:tr>
      <w:tr w:rsidR="00EB3BC8" w:rsidRPr="000B4D0F" w:rsidTr="005E52E0">
        <w:trPr>
          <w:trHeight w:val="315"/>
        </w:trPr>
        <w:tc>
          <w:tcPr>
            <w:tcW w:w="2593"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3BC8" w:rsidRPr="000B4D0F" w:rsidRDefault="00EB3BC8" w:rsidP="005E52E0">
            <w:pPr>
              <w:spacing w:after="0" w:line="240" w:lineRule="auto"/>
              <w:rPr>
                <w:rFonts w:eastAsia="Times New Roman" w:cstheme="minorHAnsi"/>
                <w:color w:val="000000"/>
                <w:sz w:val="16"/>
                <w:szCs w:val="16"/>
              </w:rPr>
            </w:pPr>
            <w:r w:rsidRPr="000B4D0F">
              <w:rPr>
                <w:rFonts w:eastAsia="Times New Roman" w:cstheme="minorHAnsi"/>
                <w:color w:val="000000"/>
                <w:sz w:val="16"/>
                <w:szCs w:val="16"/>
              </w:rPr>
              <w:t xml:space="preserve">    OPERACIÓN Y MANTENIMIENTO </w:t>
            </w:r>
          </w:p>
        </w:tc>
        <w:tc>
          <w:tcPr>
            <w:tcW w:w="683" w:type="dxa"/>
            <w:tcBorders>
              <w:top w:val="nil"/>
              <w:left w:val="nil"/>
              <w:bottom w:val="single" w:sz="8"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9000</w:t>
            </w:r>
          </w:p>
        </w:tc>
        <w:tc>
          <w:tcPr>
            <w:tcW w:w="588" w:type="dxa"/>
            <w:tcBorders>
              <w:top w:val="nil"/>
              <w:left w:val="nil"/>
              <w:bottom w:val="single" w:sz="8"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25,0</w:t>
            </w:r>
          </w:p>
        </w:tc>
        <w:tc>
          <w:tcPr>
            <w:tcW w:w="593" w:type="dxa"/>
            <w:tcBorders>
              <w:top w:val="nil"/>
              <w:left w:val="nil"/>
              <w:bottom w:val="single" w:sz="8"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180</w:t>
            </w:r>
          </w:p>
        </w:tc>
        <w:tc>
          <w:tcPr>
            <w:tcW w:w="638" w:type="dxa"/>
            <w:tcBorders>
              <w:top w:val="nil"/>
              <w:left w:val="nil"/>
              <w:bottom w:val="single" w:sz="8"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6</w:t>
            </w:r>
          </w:p>
        </w:tc>
        <w:tc>
          <w:tcPr>
            <w:tcW w:w="1271" w:type="dxa"/>
            <w:tcBorders>
              <w:top w:val="single" w:sz="4" w:space="0" w:color="auto"/>
              <w:left w:val="nil"/>
              <w:bottom w:val="single" w:sz="8" w:space="0" w:color="auto"/>
              <w:right w:val="single" w:sz="4" w:space="0" w:color="auto"/>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color w:val="000000"/>
                <w:sz w:val="16"/>
                <w:szCs w:val="16"/>
              </w:rPr>
            </w:pPr>
            <w:r w:rsidRPr="000B4D0F">
              <w:rPr>
                <w:rFonts w:eastAsia="Times New Roman" w:cstheme="minorHAnsi"/>
                <w:color w:val="000000"/>
                <w:sz w:val="16"/>
                <w:szCs w:val="16"/>
              </w:rPr>
              <w:t>03/05/2046</w:t>
            </w:r>
          </w:p>
        </w:tc>
        <w:tc>
          <w:tcPr>
            <w:tcW w:w="1421" w:type="dxa"/>
            <w:tcBorders>
              <w:top w:val="single" w:sz="4" w:space="0" w:color="auto"/>
              <w:left w:val="nil"/>
              <w:bottom w:val="single" w:sz="8" w:space="0" w:color="auto"/>
              <w:right w:val="single" w:sz="8" w:space="0" w:color="000000"/>
            </w:tcBorders>
            <w:shd w:val="clear" w:color="auto" w:fill="auto"/>
            <w:noWrap/>
            <w:vAlign w:val="bottom"/>
            <w:hideMark/>
          </w:tcPr>
          <w:p w:rsidR="00EB3BC8" w:rsidRPr="000B4D0F" w:rsidRDefault="00EB3BC8" w:rsidP="005E52E0">
            <w:pPr>
              <w:spacing w:after="0" w:line="240" w:lineRule="auto"/>
              <w:jc w:val="center"/>
              <w:rPr>
                <w:rFonts w:eastAsia="Times New Roman" w:cstheme="minorHAnsi"/>
                <w:sz w:val="16"/>
                <w:szCs w:val="16"/>
              </w:rPr>
            </w:pPr>
            <w:r w:rsidRPr="000B4D0F">
              <w:rPr>
                <w:rFonts w:eastAsia="Times New Roman" w:cstheme="minorHAnsi"/>
                <w:sz w:val="16"/>
                <w:szCs w:val="16"/>
              </w:rPr>
              <w:t>08/02/2022</w:t>
            </w:r>
          </w:p>
        </w:tc>
      </w:tr>
    </w:tbl>
    <w:p w:rsidR="00EB3BC8" w:rsidRPr="005133E0" w:rsidRDefault="00EB3BC8" w:rsidP="00EB3BC8">
      <w:pPr>
        <w:spacing w:line="240" w:lineRule="auto"/>
        <w:jc w:val="both"/>
        <w:rPr>
          <w:rFonts w:ascii="Arial" w:eastAsiaTheme="minorHAnsi" w:hAnsi="Arial" w:cs="Arial"/>
          <w:b/>
        </w:rPr>
      </w:pPr>
    </w:p>
    <w:p w:rsidR="00EB3BC8" w:rsidRPr="005133E0" w:rsidRDefault="00EB3BC8" w:rsidP="00EB3BC8">
      <w:pPr>
        <w:spacing w:line="240" w:lineRule="auto"/>
        <w:jc w:val="both"/>
        <w:rPr>
          <w:rFonts w:ascii="Arial" w:eastAsiaTheme="minorHAnsi" w:hAnsi="Arial" w:cs="Arial"/>
          <w:b/>
        </w:rPr>
      </w:pPr>
    </w:p>
    <w:p w:rsidR="00EB3BC8" w:rsidRPr="005133E0" w:rsidRDefault="00EB3BC8" w:rsidP="00EB3BC8">
      <w:pPr>
        <w:spacing w:line="240" w:lineRule="auto"/>
        <w:jc w:val="both"/>
        <w:rPr>
          <w:rFonts w:ascii="Arial" w:eastAsiaTheme="minorHAnsi" w:hAnsi="Arial" w:cs="Arial"/>
          <w:b/>
        </w:rPr>
      </w:pPr>
    </w:p>
    <w:p w:rsidR="00EB3BC8" w:rsidRPr="005133E0" w:rsidRDefault="00EB3BC8" w:rsidP="00EB3BC8">
      <w:pPr>
        <w:spacing w:line="240" w:lineRule="auto"/>
        <w:jc w:val="both"/>
        <w:rPr>
          <w:rFonts w:ascii="Arial" w:eastAsiaTheme="minorHAnsi" w:hAnsi="Arial" w:cs="Arial"/>
          <w:b/>
        </w:rPr>
      </w:pPr>
    </w:p>
    <w:p w:rsidR="00EB3BC8" w:rsidRPr="005133E0" w:rsidRDefault="00EB3BC8" w:rsidP="00EB3BC8">
      <w:pPr>
        <w:spacing w:line="240" w:lineRule="auto"/>
        <w:jc w:val="both"/>
        <w:rPr>
          <w:rFonts w:ascii="Arial" w:eastAsiaTheme="minorHAnsi" w:hAnsi="Arial" w:cs="Arial"/>
          <w:b/>
        </w:rPr>
      </w:pPr>
    </w:p>
    <w:p w:rsidR="00EB3BC8" w:rsidRPr="005133E0" w:rsidRDefault="00EB3BC8" w:rsidP="00EB3BC8">
      <w:pPr>
        <w:spacing w:line="240" w:lineRule="auto"/>
        <w:jc w:val="both"/>
        <w:rPr>
          <w:rFonts w:ascii="Arial" w:eastAsiaTheme="minorHAnsi" w:hAnsi="Arial" w:cs="Arial"/>
          <w:b/>
        </w:rPr>
      </w:pPr>
    </w:p>
    <w:p w:rsidR="00EB3BC8" w:rsidRPr="005133E0" w:rsidRDefault="00EB3BC8" w:rsidP="00EB3BC8">
      <w:pPr>
        <w:spacing w:line="240" w:lineRule="auto"/>
        <w:jc w:val="both"/>
        <w:rPr>
          <w:rFonts w:ascii="Arial" w:eastAsiaTheme="minorHAnsi" w:hAnsi="Arial" w:cs="Arial"/>
          <w:b/>
        </w:rPr>
      </w:pPr>
    </w:p>
    <w:p w:rsidR="00EB3BC8" w:rsidRPr="005133E0" w:rsidRDefault="00EB3BC8" w:rsidP="00EB3BC8">
      <w:pPr>
        <w:spacing w:line="240" w:lineRule="auto"/>
        <w:jc w:val="both"/>
        <w:rPr>
          <w:rFonts w:ascii="Arial" w:eastAsiaTheme="minorHAnsi" w:hAnsi="Arial" w:cs="Arial"/>
          <w:b/>
        </w:rPr>
      </w:pPr>
    </w:p>
    <w:tbl>
      <w:tblPr>
        <w:tblpPr w:leftFromText="141" w:rightFromText="141" w:vertAnchor="text" w:horzAnchor="margin" w:tblpXSpec="center" w:tblpY="-246"/>
        <w:tblW w:w="8254" w:type="dxa"/>
        <w:tblLayout w:type="fixed"/>
        <w:tblCellMar>
          <w:left w:w="70" w:type="dxa"/>
          <w:right w:w="70" w:type="dxa"/>
        </w:tblCellMar>
        <w:tblLook w:val="04A0" w:firstRow="1" w:lastRow="0" w:firstColumn="1" w:lastColumn="0" w:noHBand="0" w:noVBand="1"/>
      </w:tblPr>
      <w:tblGrid>
        <w:gridCol w:w="5320"/>
        <w:gridCol w:w="2470"/>
        <w:gridCol w:w="464"/>
      </w:tblGrid>
      <w:tr w:rsidR="00EB3BC8" w:rsidRPr="005133E0" w:rsidTr="005E52E0">
        <w:trPr>
          <w:trHeight w:val="288"/>
          <w:tblHeader/>
        </w:trPr>
        <w:tc>
          <w:tcPr>
            <w:tcW w:w="7790" w:type="dxa"/>
            <w:gridSpan w:val="2"/>
            <w:tcBorders>
              <w:top w:val="single" w:sz="8" w:space="0" w:color="auto"/>
              <w:left w:val="single" w:sz="8" w:space="0" w:color="auto"/>
              <w:bottom w:val="single" w:sz="8" w:space="0" w:color="auto"/>
              <w:right w:val="single" w:sz="8" w:space="0" w:color="000000"/>
            </w:tcBorders>
            <w:shd w:val="clear" w:color="000000" w:fill="5B9BD5"/>
            <w:vAlign w:val="center"/>
            <w:hideMark/>
          </w:tcPr>
          <w:p w:rsidR="00EB3BC8" w:rsidRPr="000B4D0F" w:rsidRDefault="00EB3BC8" w:rsidP="005E52E0">
            <w:pPr>
              <w:spacing w:after="0" w:line="240" w:lineRule="auto"/>
              <w:jc w:val="center"/>
              <w:rPr>
                <w:rFonts w:cstheme="minorHAnsi"/>
                <w:b/>
                <w:bCs/>
                <w:color w:val="FFFFFF"/>
              </w:rPr>
            </w:pPr>
            <w:r w:rsidRPr="000B4D0F">
              <w:rPr>
                <w:rFonts w:cstheme="minorHAnsi"/>
                <w:b/>
                <w:bCs/>
                <w:color w:val="FFFFFF"/>
              </w:rPr>
              <w:t>ALCANCE DEL PROYECTO</w:t>
            </w:r>
          </w:p>
        </w:tc>
        <w:tc>
          <w:tcPr>
            <w:tcW w:w="464" w:type="dxa"/>
            <w:tcBorders>
              <w:top w:val="nil"/>
              <w:left w:val="nil"/>
              <w:bottom w:val="nil"/>
              <w:right w:val="nil"/>
            </w:tcBorders>
            <w:shd w:val="clear" w:color="auto" w:fill="auto"/>
            <w:noWrap/>
            <w:vAlign w:val="bottom"/>
            <w:hideMark/>
          </w:tcPr>
          <w:p w:rsidR="00EB3BC8" w:rsidRPr="005133E0" w:rsidRDefault="00EB3BC8" w:rsidP="005E52E0">
            <w:pPr>
              <w:spacing w:after="0" w:line="240" w:lineRule="auto"/>
              <w:jc w:val="center"/>
              <w:rPr>
                <w:rFonts w:cstheme="minorHAnsi"/>
                <w:color w:val="000000"/>
                <w:sz w:val="16"/>
                <w:szCs w:val="16"/>
              </w:rPr>
            </w:pPr>
          </w:p>
          <w:p w:rsidR="00EB3BC8" w:rsidRPr="005133E0" w:rsidRDefault="00EB3BC8" w:rsidP="005E52E0">
            <w:pPr>
              <w:spacing w:after="0" w:line="240" w:lineRule="auto"/>
              <w:jc w:val="center"/>
              <w:rPr>
                <w:rFonts w:cstheme="minorHAnsi"/>
                <w:color w:val="000000"/>
                <w:sz w:val="16"/>
                <w:szCs w:val="16"/>
              </w:rPr>
            </w:pPr>
          </w:p>
          <w:p w:rsidR="00EB3BC8" w:rsidRPr="005133E0" w:rsidRDefault="00EB3BC8" w:rsidP="005E52E0">
            <w:pPr>
              <w:spacing w:after="0" w:line="240" w:lineRule="auto"/>
              <w:jc w:val="center"/>
              <w:rPr>
                <w:rFonts w:cstheme="minorHAnsi"/>
                <w:color w:val="000000"/>
                <w:sz w:val="16"/>
                <w:szCs w:val="16"/>
              </w:rPr>
            </w:pPr>
          </w:p>
          <w:p w:rsidR="00EB3BC8" w:rsidRPr="005133E0" w:rsidRDefault="00EB3BC8" w:rsidP="005E52E0">
            <w:pPr>
              <w:spacing w:after="0" w:line="240" w:lineRule="auto"/>
              <w:jc w:val="center"/>
              <w:rPr>
                <w:rFonts w:cstheme="minorHAnsi"/>
                <w:color w:val="000000"/>
                <w:sz w:val="16"/>
                <w:szCs w:val="16"/>
              </w:rPr>
            </w:pPr>
          </w:p>
        </w:tc>
      </w:tr>
      <w:tr w:rsidR="00EB3BC8" w:rsidRPr="005133E0" w:rsidTr="005E52E0">
        <w:trPr>
          <w:trHeight w:val="234"/>
          <w:tblHeader/>
        </w:trPr>
        <w:tc>
          <w:tcPr>
            <w:tcW w:w="5320" w:type="dxa"/>
            <w:tcBorders>
              <w:top w:val="nil"/>
              <w:left w:val="single" w:sz="8" w:space="0" w:color="auto"/>
              <w:bottom w:val="single" w:sz="4" w:space="0" w:color="auto"/>
              <w:right w:val="single" w:sz="4" w:space="0" w:color="auto"/>
            </w:tcBorders>
            <w:shd w:val="clear" w:color="000000" w:fill="F3F6FA"/>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Longitud de Proyecto (Km)</w:t>
            </w:r>
          </w:p>
        </w:tc>
        <w:tc>
          <w:tcPr>
            <w:tcW w:w="2470" w:type="dxa"/>
            <w:tcBorders>
              <w:top w:val="nil"/>
              <w:left w:val="nil"/>
              <w:bottom w:val="single" w:sz="4" w:space="0" w:color="auto"/>
              <w:right w:val="single" w:sz="8" w:space="0" w:color="000000"/>
            </w:tcBorders>
            <w:shd w:val="clear" w:color="000000" w:fill="F3F6FA"/>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31,82 Km</w:t>
            </w:r>
          </w:p>
        </w:tc>
        <w:tc>
          <w:tcPr>
            <w:tcW w:w="464" w:type="dxa"/>
            <w:tcBorders>
              <w:top w:val="nil"/>
              <w:left w:val="nil"/>
              <w:bottom w:val="nil"/>
              <w:right w:val="nil"/>
            </w:tcBorders>
            <w:shd w:val="clear" w:color="auto" w:fill="auto"/>
            <w:noWrap/>
            <w:vAlign w:val="bottom"/>
            <w:hideMark/>
          </w:tcPr>
          <w:p w:rsidR="00EB3BC8" w:rsidRPr="005133E0" w:rsidRDefault="00EB3BC8" w:rsidP="005E52E0">
            <w:pPr>
              <w:spacing w:after="0" w:line="240" w:lineRule="auto"/>
              <w:jc w:val="center"/>
              <w:rPr>
                <w:rFonts w:cstheme="minorHAnsi"/>
                <w:color w:val="000000"/>
                <w:sz w:val="16"/>
                <w:szCs w:val="16"/>
              </w:rPr>
            </w:pPr>
          </w:p>
        </w:tc>
      </w:tr>
      <w:tr w:rsidR="00EB3BC8" w:rsidRPr="005133E0" w:rsidTr="005E52E0">
        <w:trPr>
          <w:trHeight w:val="291"/>
          <w:tblHeader/>
        </w:trPr>
        <w:tc>
          <w:tcPr>
            <w:tcW w:w="532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Construcción Doble Calzada</w:t>
            </w:r>
          </w:p>
        </w:tc>
        <w:tc>
          <w:tcPr>
            <w:tcW w:w="2470" w:type="dxa"/>
            <w:tcBorders>
              <w:top w:val="single" w:sz="4" w:space="0" w:color="auto"/>
              <w:left w:val="nil"/>
              <w:bottom w:val="single" w:sz="4"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4,1 Km</w:t>
            </w:r>
          </w:p>
        </w:tc>
        <w:tc>
          <w:tcPr>
            <w:tcW w:w="464" w:type="dxa"/>
            <w:tcBorders>
              <w:top w:val="nil"/>
              <w:left w:val="nil"/>
              <w:bottom w:val="nil"/>
              <w:right w:val="nil"/>
            </w:tcBorders>
            <w:shd w:val="clear" w:color="auto" w:fill="auto"/>
            <w:noWrap/>
            <w:vAlign w:val="bottom"/>
            <w:hideMark/>
          </w:tcPr>
          <w:p w:rsidR="00EB3BC8" w:rsidRPr="005133E0" w:rsidRDefault="00EB3BC8" w:rsidP="005E52E0">
            <w:pPr>
              <w:spacing w:after="0" w:line="240" w:lineRule="auto"/>
              <w:jc w:val="center"/>
              <w:rPr>
                <w:rFonts w:cstheme="minorHAnsi"/>
                <w:color w:val="000000"/>
                <w:sz w:val="16"/>
                <w:szCs w:val="16"/>
              </w:rPr>
            </w:pPr>
          </w:p>
        </w:tc>
      </w:tr>
      <w:tr w:rsidR="00EB3BC8" w:rsidRPr="005133E0" w:rsidTr="005E52E0">
        <w:trPr>
          <w:trHeight w:val="185"/>
          <w:tblHeader/>
        </w:trPr>
        <w:tc>
          <w:tcPr>
            <w:tcW w:w="5320" w:type="dxa"/>
            <w:tcBorders>
              <w:top w:val="single" w:sz="4" w:space="0" w:color="auto"/>
              <w:left w:val="single" w:sz="8" w:space="0" w:color="auto"/>
              <w:bottom w:val="single" w:sz="4" w:space="0" w:color="auto"/>
              <w:right w:val="single" w:sz="4" w:space="0" w:color="auto"/>
            </w:tcBorders>
            <w:shd w:val="clear" w:color="000000" w:fill="F3F6FA"/>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Mejoramiento</w:t>
            </w:r>
          </w:p>
        </w:tc>
        <w:tc>
          <w:tcPr>
            <w:tcW w:w="2470" w:type="dxa"/>
            <w:tcBorders>
              <w:top w:val="single" w:sz="4" w:space="0" w:color="auto"/>
              <w:left w:val="nil"/>
              <w:bottom w:val="single" w:sz="4" w:space="0" w:color="auto"/>
              <w:right w:val="single" w:sz="8" w:space="0" w:color="000000"/>
            </w:tcBorders>
            <w:shd w:val="clear" w:color="000000" w:fill="F3F6FA"/>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0 Km</w:t>
            </w:r>
          </w:p>
        </w:tc>
        <w:tc>
          <w:tcPr>
            <w:tcW w:w="464" w:type="dxa"/>
            <w:tcBorders>
              <w:top w:val="nil"/>
              <w:left w:val="nil"/>
              <w:bottom w:val="nil"/>
              <w:right w:val="nil"/>
            </w:tcBorders>
            <w:shd w:val="clear" w:color="auto" w:fill="auto"/>
            <w:noWrap/>
            <w:vAlign w:val="bottom"/>
            <w:hideMark/>
          </w:tcPr>
          <w:p w:rsidR="00EB3BC8" w:rsidRPr="005133E0" w:rsidRDefault="00EB3BC8" w:rsidP="005E52E0">
            <w:pPr>
              <w:spacing w:after="0" w:line="240" w:lineRule="auto"/>
              <w:jc w:val="center"/>
              <w:rPr>
                <w:rFonts w:cstheme="minorHAnsi"/>
                <w:color w:val="000000"/>
                <w:sz w:val="16"/>
                <w:szCs w:val="16"/>
              </w:rPr>
            </w:pPr>
          </w:p>
        </w:tc>
      </w:tr>
      <w:tr w:rsidR="00EB3BC8" w:rsidRPr="005133E0" w:rsidTr="005E52E0">
        <w:trPr>
          <w:trHeight w:val="246"/>
          <w:tblHeader/>
        </w:trPr>
        <w:tc>
          <w:tcPr>
            <w:tcW w:w="532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Construcción Calzada Sencilla</w:t>
            </w:r>
          </w:p>
        </w:tc>
        <w:tc>
          <w:tcPr>
            <w:tcW w:w="2470" w:type="dxa"/>
            <w:tcBorders>
              <w:top w:val="single" w:sz="4" w:space="0" w:color="auto"/>
              <w:left w:val="nil"/>
              <w:bottom w:val="single" w:sz="4"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27,72 Km</w:t>
            </w:r>
          </w:p>
        </w:tc>
        <w:tc>
          <w:tcPr>
            <w:tcW w:w="464" w:type="dxa"/>
            <w:tcBorders>
              <w:top w:val="nil"/>
              <w:left w:val="nil"/>
              <w:bottom w:val="nil"/>
              <w:right w:val="nil"/>
            </w:tcBorders>
            <w:shd w:val="clear" w:color="auto" w:fill="auto"/>
            <w:noWrap/>
            <w:vAlign w:val="bottom"/>
            <w:hideMark/>
          </w:tcPr>
          <w:p w:rsidR="00EB3BC8" w:rsidRPr="005133E0" w:rsidRDefault="00EB3BC8" w:rsidP="005E52E0">
            <w:pPr>
              <w:spacing w:after="0" w:line="240" w:lineRule="auto"/>
              <w:jc w:val="center"/>
              <w:rPr>
                <w:rFonts w:cstheme="minorHAnsi"/>
                <w:color w:val="000000"/>
                <w:sz w:val="16"/>
                <w:szCs w:val="16"/>
              </w:rPr>
            </w:pPr>
          </w:p>
        </w:tc>
      </w:tr>
      <w:tr w:rsidR="00EB3BC8" w:rsidRPr="005133E0" w:rsidTr="005E52E0">
        <w:trPr>
          <w:trHeight w:val="166"/>
          <w:tblHeader/>
        </w:trPr>
        <w:tc>
          <w:tcPr>
            <w:tcW w:w="5320" w:type="dxa"/>
            <w:tcBorders>
              <w:top w:val="single" w:sz="4" w:space="0" w:color="auto"/>
              <w:left w:val="single" w:sz="8" w:space="0" w:color="auto"/>
              <w:bottom w:val="single" w:sz="4" w:space="0" w:color="auto"/>
              <w:right w:val="single" w:sz="4" w:space="0" w:color="auto"/>
            </w:tcBorders>
            <w:shd w:val="clear" w:color="000000" w:fill="F3F6FA"/>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Intersecciones y Conexiones a desnivel</w:t>
            </w:r>
          </w:p>
        </w:tc>
        <w:tc>
          <w:tcPr>
            <w:tcW w:w="2470" w:type="dxa"/>
            <w:tcBorders>
              <w:top w:val="single" w:sz="4" w:space="0" w:color="auto"/>
              <w:left w:val="nil"/>
              <w:bottom w:val="single" w:sz="4" w:space="0" w:color="auto"/>
              <w:right w:val="single" w:sz="8" w:space="0" w:color="000000"/>
            </w:tcBorders>
            <w:shd w:val="clear" w:color="auto" w:fill="auto"/>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3</w:t>
            </w:r>
          </w:p>
        </w:tc>
        <w:tc>
          <w:tcPr>
            <w:tcW w:w="464" w:type="dxa"/>
            <w:tcBorders>
              <w:top w:val="nil"/>
              <w:left w:val="nil"/>
              <w:bottom w:val="nil"/>
              <w:right w:val="nil"/>
            </w:tcBorders>
            <w:shd w:val="clear" w:color="auto" w:fill="auto"/>
            <w:noWrap/>
            <w:vAlign w:val="bottom"/>
            <w:hideMark/>
          </w:tcPr>
          <w:p w:rsidR="00EB3BC8" w:rsidRPr="005133E0" w:rsidRDefault="00EB3BC8" w:rsidP="005E52E0">
            <w:pPr>
              <w:spacing w:after="0" w:line="240" w:lineRule="auto"/>
              <w:jc w:val="center"/>
              <w:rPr>
                <w:rFonts w:cstheme="minorHAnsi"/>
                <w:color w:val="000000"/>
                <w:sz w:val="16"/>
                <w:szCs w:val="16"/>
              </w:rPr>
            </w:pPr>
          </w:p>
        </w:tc>
      </w:tr>
      <w:tr w:rsidR="00EB3BC8" w:rsidRPr="005133E0" w:rsidTr="005E52E0">
        <w:trPr>
          <w:trHeight w:val="166"/>
          <w:tblHeader/>
        </w:trPr>
        <w:tc>
          <w:tcPr>
            <w:tcW w:w="5320" w:type="dxa"/>
            <w:tcBorders>
              <w:top w:val="single" w:sz="4" w:space="0" w:color="auto"/>
              <w:left w:val="single" w:sz="8" w:space="0" w:color="auto"/>
              <w:bottom w:val="single" w:sz="4" w:space="0" w:color="auto"/>
              <w:right w:val="single" w:sz="4" w:space="0" w:color="auto"/>
            </w:tcBorders>
            <w:shd w:val="clear" w:color="000000" w:fill="F3F6FA"/>
            <w:vAlign w:val="center"/>
          </w:tcPr>
          <w:p w:rsidR="00EB3BC8" w:rsidRPr="000B4D0F" w:rsidRDefault="00EB3BC8" w:rsidP="005E52E0">
            <w:pPr>
              <w:spacing w:after="0" w:line="240" w:lineRule="auto"/>
              <w:jc w:val="center"/>
              <w:rPr>
                <w:rFonts w:cstheme="minorHAnsi"/>
                <w:color w:val="000000"/>
              </w:rPr>
            </w:pPr>
            <w:r w:rsidRPr="000B4D0F">
              <w:rPr>
                <w:rFonts w:cstheme="minorHAnsi"/>
                <w:color w:val="000000"/>
              </w:rPr>
              <w:t>Construcción de Puentes y Viaductos</w:t>
            </w:r>
          </w:p>
        </w:tc>
        <w:tc>
          <w:tcPr>
            <w:tcW w:w="2470" w:type="dxa"/>
            <w:tcBorders>
              <w:top w:val="single" w:sz="4" w:space="0" w:color="auto"/>
              <w:left w:val="nil"/>
              <w:bottom w:val="single" w:sz="4" w:space="0" w:color="auto"/>
              <w:right w:val="single" w:sz="8" w:space="0" w:color="000000"/>
            </w:tcBorders>
            <w:shd w:val="clear" w:color="auto" w:fill="auto"/>
            <w:vAlign w:val="center"/>
          </w:tcPr>
          <w:p w:rsidR="00EB3BC8" w:rsidRPr="000B4D0F" w:rsidRDefault="00EB3BC8" w:rsidP="005E52E0">
            <w:pPr>
              <w:spacing w:after="0" w:line="240" w:lineRule="auto"/>
              <w:jc w:val="center"/>
              <w:rPr>
                <w:rFonts w:cstheme="minorHAnsi"/>
                <w:color w:val="000000"/>
              </w:rPr>
            </w:pPr>
            <w:r w:rsidRPr="000B4D0F">
              <w:rPr>
                <w:rFonts w:cstheme="minorHAnsi"/>
                <w:color w:val="000000"/>
              </w:rPr>
              <w:t>31</w:t>
            </w:r>
          </w:p>
        </w:tc>
        <w:tc>
          <w:tcPr>
            <w:tcW w:w="464" w:type="dxa"/>
            <w:tcBorders>
              <w:top w:val="nil"/>
              <w:left w:val="nil"/>
              <w:bottom w:val="nil"/>
              <w:right w:val="nil"/>
            </w:tcBorders>
            <w:shd w:val="clear" w:color="auto" w:fill="auto"/>
            <w:noWrap/>
            <w:vAlign w:val="bottom"/>
          </w:tcPr>
          <w:p w:rsidR="00EB3BC8" w:rsidRPr="005133E0" w:rsidRDefault="00EB3BC8" w:rsidP="005E52E0">
            <w:pPr>
              <w:spacing w:after="0" w:line="240" w:lineRule="auto"/>
              <w:jc w:val="center"/>
              <w:rPr>
                <w:rFonts w:cstheme="minorHAnsi"/>
                <w:color w:val="000000"/>
                <w:sz w:val="16"/>
                <w:szCs w:val="16"/>
              </w:rPr>
            </w:pPr>
          </w:p>
        </w:tc>
      </w:tr>
      <w:tr w:rsidR="00EB3BC8" w:rsidRPr="005133E0" w:rsidTr="005E52E0">
        <w:trPr>
          <w:trHeight w:val="131"/>
          <w:tblHeader/>
        </w:trPr>
        <w:tc>
          <w:tcPr>
            <w:tcW w:w="532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Construcción de Túneles</w:t>
            </w:r>
          </w:p>
        </w:tc>
        <w:tc>
          <w:tcPr>
            <w:tcW w:w="2470" w:type="dxa"/>
            <w:tcBorders>
              <w:top w:val="single" w:sz="4" w:space="0" w:color="auto"/>
              <w:left w:val="nil"/>
              <w:bottom w:val="single" w:sz="4" w:space="0" w:color="auto"/>
              <w:right w:val="single" w:sz="8" w:space="0" w:color="000000"/>
            </w:tcBorders>
            <w:shd w:val="clear" w:color="000000" w:fill="F3F6FA"/>
            <w:vAlign w:val="center"/>
            <w:hideMark/>
          </w:tcPr>
          <w:p w:rsidR="00EB3BC8" w:rsidRPr="000B4D0F" w:rsidRDefault="00EB3BC8" w:rsidP="005E52E0">
            <w:pPr>
              <w:spacing w:after="0" w:line="240" w:lineRule="auto"/>
              <w:jc w:val="center"/>
              <w:rPr>
                <w:rFonts w:cstheme="minorHAnsi"/>
                <w:color w:val="000000"/>
              </w:rPr>
            </w:pPr>
            <w:r w:rsidRPr="000B4D0F">
              <w:rPr>
                <w:rFonts w:cstheme="minorHAnsi"/>
                <w:color w:val="000000"/>
              </w:rPr>
              <w:t>9</w:t>
            </w:r>
          </w:p>
        </w:tc>
        <w:tc>
          <w:tcPr>
            <w:tcW w:w="464" w:type="dxa"/>
            <w:tcBorders>
              <w:top w:val="nil"/>
              <w:left w:val="nil"/>
              <w:bottom w:val="nil"/>
              <w:right w:val="nil"/>
            </w:tcBorders>
            <w:shd w:val="clear" w:color="auto" w:fill="auto"/>
            <w:noWrap/>
            <w:vAlign w:val="bottom"/>
            <w:hideMark/>
          </w:tcPr>
          <w:p w:rsidR="00EB3BC8" w:rsidRPr="005133E0" w:rsidRDefault="00EB3BC8" w:rsidP="005E52E0">
            <w:pPr>
              <w:spacing w:after="0" w:line="240" w:lineRule="auto"/>
              <w:jc w:val="center"/>
              <w:rPr>
                <w:rFonts w:cstheme="minorHAnsi"/>
                <w:color w:val="000000"/>
                <w:sz w:val="16"/>
                <w:szCs w:val="16"/>
              </w:rPr>
            </w:pPr>
          </w:p>
        </w:tc>
      </w:tr>
    </w:tbl>
    <w:p w:rsidR="00EB3BC8" w:rsidRPr="00D67F1D" w:rsidRDefault="00D67F1D" w:rsidP="00EB3BC8">
      <w:pPr>
        <w:spacing w:line="240" w:lineRule="auto"/>
        <w:jc w:val="both"/>
        <w:rPr>
          <w:rFonts w:eastAsiaTheme="minorHAnsi" w:cstheme="minorHAnsi"/>
          <w:b/>
        </w:rPr>
      </w:pPr>
      <w:r w:rsidRPr="00D67F1D">
        <w:rPr>
          <w:rFonts w:eastAsiaTheme="minorHAnsi" w:cstheme="minorHAnsi"/>
          <w:b/>
        </w:rPr>
        <w:t xml:space="preserve">Avance contrato de concesión: </w:t>
      </w:r>
    </w:p>
    <w:p w:rsidR="00EB3BC8" w:rsidRPr="00D67F1D" w:rsidRDefault="00EB3BC8" w:rsidP="00EB3BC8">
      <w:pPr>
        <w:spacing w:line="240" w:lineRule="auto"/>
        <w:jc w:val="both"/>
        <w:rPr>
          <w:rFonts w:eastAsiaTheme="minorHAnsi" w:cstheme="minorHAnsi"/>
        </w:rPr>
      </w:pPr>
      <w:r w:rsidRPr="00D67F1D">
        <w:rPr>
          <w:rFonts w:eastAsiaTheme="minorHAnsi" w:cstheme="minorHAnsi"/>
          <w:b/>
        </w:rPr>
        <w:t>Diseños</w:t>
      </w:r>
      <w:r w:rsidRPr="00D67F1D">
        <w:rPr>
          <w:rFonts w:eastAsiaTheme="minorHAnsi" w:cstheme="minorHAnsi"/>
        </w:rPr>
        <w:t>: EL Concesionario certifico la suscripción del Contrato de Consultoría para la realización de los Estudios y Diseños del proyecto.  A la fecha se estima un avance del 33%, se han ejecutado mesas de trabajo con los especialistas (Concesionario e Interventoría), en las cuales se ha identificado ajustes a los alineamientos de algunos de los túneles obligatorios y sustitución por vía a cielo abierto de uno de los túneles cortos opcionales, así como la variación de Galería inferior por otra localización, y el  predimensionamiento de algunas de las obras significativas como puentes.</w:t>
      </w:r>
    </w:p>
    <w:p w:rsidR="00EB3BC8" w:rsidRPr="00D67F1D" w:rsidRDefault="00EB3BC8" w:rsidP="00EB3BC8">
      <w:pPr>
        <w:spacing w:line="240" w:lineRule="auto"/>
        <w:jc w:val="both"/>
        <w:rPr>
          <w:rFonts w:eastAsiaTheme="minorHAnsi" w:cstheme="minorHAnsi"/>
        </w:rPr>
      </w:pPr>
      <w:r w:rsidRPr="00D67F1D">
        <w:rPr>
          <w:rFonts w:eastAsiaTheme="minorHAnsi" w:cstheme="minorHAnsi"/>
        </w:rPr>
        <w:t>Se está adelantando la toma de información primaria y secundaria para la elaboración del EIA y  estudios y diseños, excepto en la Unidad Funcional 1, ya que la comunidad solicitó no se realicen actividades hasta desarrollar la consulta previa.</w:t>
      </w:r>
    </w:p>
    <w:p w:rsidR="00EB3BC8" w:rsidRPr="005133E0" w:rsidRDefault="00EB3BC8" w:rsidP="00EB3BC8">
      <w:pPr>
        <w:spacing w:line="240" w:lineRule="auto"/>
        <w:jc w:val="both"/>
        <w:rPr>
          <w:rFonts w:ascii="Arial" w:eastAsiaTheme="minorHAnsi" w:hAnsi="Arial" w:cs="Arial"/>
        </w:rPr>
      </w:pPr>
      <w:r w:rsidRPr="00D67F1D">
        <w:rPr>
          <w:rFonts w:eastAsiaTheme="minorHAnsi" w:cstheme="minorHAnsi"/>
        </w:rPr>
        <w:t>En las Unidades Funcionales 2, 3, 4 y 5: A la fecha se han realizado 37 perforaciones (1675 ml); fotografías aéreas: apiques para pavimentos; levantamiento geológico; perfil estratigráfico; Georreferenciación; Geofísica o tomografía; hidrogeología (realizando identificación de puntos de agua); eléctrica, caracterización de materiales en los túneles; hidrografía y caracterización hidroclimatica.</w:t>
      </w:r>
    </w:p>
    <w:p w:rsidR="00EB3BC8" w:rsidRPr="005133E0" w:rsidRDefault="00EB3BC8" w:rsidP="00EB3BC8">
      <w:pPr>
        <w:spacing w:line="240" w:lineRule="auto"/>
        <w:jc w:val="both"/>
        <w:rPr>
          <w:rFonts w:ascii="Arial" w:eastAsiaTheme="minorHAnsi" w:hAnsi="Arial" w:cs="Arial"/>
          <w:b/>
        </w:rPr>
      </w:pPr>
      <w:r w:rsidRPr="005133E0">
        <w:rPr>
          <w:rFonts w:ascii="Arial" w:eastAsiaTheme="minorHAnsi" w:hAnsi="Arial" w:cs="Arial"/>
          <w:b/>
        </w:rPr>
        <w:tab/>
      </w:r>
    </w:p>
    <w:p w:rsidR="00EB3BC8" w:rsidRPr="00D67F1D" w:rsidRDefault="00EB3BC8" w:rsidP="00EB3BC8">
      <w:pPr>
        <w:spacing w:line="240" w:lineRule="auto"/>
        <w:jc w:val="both"/>
        <w:rPr>
          <w:rFonts w:eastAsiaTheme="minorHAnsi" w:cstheme="minorHAnsi"/>
        </w:rPr>
      </w:pPr>
      <w:r w:rsidRPr="00D67F1D">
        <w:rPr>
          <w:rFonts w:eastAsiaTheme="minorHAnsi" w:cstheme="minorHAnsi"/>
          <w:b/>
        </w:rPr>
        <w:t>Ambiental</w:t>
      </w:r>
      <w:r w:rsidRPr="00D67F1D">
        <w:rPr>
          <w:rFonts w:eastAsiaTheme="minorHAnsi" w:cstheme="minorHAnsi"/>
        </w:rPr>
        <w:t xml:space="preserve">: En la formulación del EIA se estima un avance del  20%. En las UF 3 y 4 se cuenta con certificado del ministerio del Interior de no presencia de comunidades étnicas. Sin embargo en la UF2 en recorrido de consulta previa del 15-05-15, la comunidad manifestó que parte de esta unidad se encuentra incluida dentro de su territorio ancestral, por lo que la dirección de consulta previa certificó la presencia de comunidad de Mulaló en la UF2, por tal razón se incorporará esta unidad en el proceso de consulta que se está adelantando en la Unidad Funcional N° 1. En la UF5,  se cuenta con certificación de no presencia en el primer subsector comprendidos desde el inicio de la UF5 hasta el fin del Túnel 9, actualmente se ha solicitado certificación del segundo subsector comprendido entre el final del Túnel 9 y el inicio del puente sobre el rio Bitáco. </w:t>
      </w:r>
    </w:p>
    <w:p w:rsidR="00EB3BC8" w:rsidRPr="00D67F1D" w:rsidRDefault="00EB3BC8" w:rsidP="00EB3BC8">
      <w:pPr>
        <w:spacing w:line="240" w:lineRule="auto"/>
        <w:jc w:val="both"/>
        <w:rPr>
          <w:rFonts w:eastAsiaTheme="minorHAnsi" w:cstheme="minorHAnsi"/>
        </w:rPr>
      </w:pPr>
      <w:r w:rsidRPr="00D67F1D">
        <w:rPr>
          <w:rFonts w:eastAsiaTheme="minorHAnsi" w:cstheme="minorHAnsi"/>
        </w:rPr>
        <w:lastRenderedPageBreak/>
        <w:t>La entidad ha realizado diversas recomendaciones encaminadas a sugerir que se aborde el licenciamiento mediante una división del corredor en varios procesos (1:UF1 y 2;  UF 3,4 y 5 y UF 5.1 o segundo subsector de la UF 5). A fin de no incurrir en retrasos para el inicio de la etapa de construcción del proyecto teniendo en cuenta las posibles demoras en las consultas previas de las UF 1 y 5 así como posible audiencia Ambiental en la UF 3., el Concesionario se encuentra estudiando la posibilidad de realizar dos EIA para el proyecto (1: UF 1 y 2; 2: UF 3, 4 y 5).</w:t>
      </w:r>
    </w:p>
    <w:p w:rsidR="00EB3BC8" w:rsidRPr="00D67F1D" w:rsidRDefault="00EB3BC8" w:rsidP="00EB3BC8">
      <w:pPr>
        <w:spacing w:line="240" w:lineRule="auto"/>
        <w:jc w:val="both"/>
        <w:rPr>
          <w:rFonts w:eastAsiaTheme="minorHAnsi" w:cstheme="minorHAnsi"/>
        </w:rPr>
      </w:pPr>
      <w:r w:rsidRPr="00D67F1D">
        <w:rPr>
          <w:rFonts w:eastAsiaTheme="minorHAnsi" w:cstheme="minorHAnsi"/>
        </w:rPr>
        <w:t>En la Unidad Funcional 3 (Pavas), la comunidad ha desarrollado medidas legales expresando su inconformidad con el trazado aduciendo la posible afectación del recurso hídrico, hasta el momento no hay fallos legales en contra del proyecto.</w:t>
      </w:r>
    </w:p>
    <w:p w:rsidR="00D67F1D" w:rsidRDefault="00EB3BC8" w:rsidP="00EB3BC8">
      <w:pPr>
        <w:spacing w:line="240" w:lineRule="auto"/>
        <w:jc w:val="both"/>
        <w:rPr>
          <w:rFonts w:ascii="Arial" w:eastAsiaTheme="minorHAnsi" w:hAnsi="Arial" w:cs="Arial"/>
        </w:rPr>
      </w:pPr>
      <w:r w:rsidRPr="00D67F1D">
        <w:rPr>
          <w:rFonts w:eastAsiaTheme="minorHAnsi" w:cstheme="minorHAnsi"/>
        </w:rPr>
        <w:t xml:space="preserve">En las Unidades Funcionales 2, 3, 4 y 5, se ha realizado toma de información primaria y secundaria, instalando 4 puntos de monitoreo de aire y 9 puntos de monitoreo de ruido. </w:t>
      </w:r>
      <w:r w:rsidR="00D67F1D">
        <w:rPr>
          <w:rFonts w:ascii="Arial" w:eastAsiaTheme="minorHAnsi" w:hAnsi="Arial" w:cs="Arial"/>
        </w:rPr>
        <w:tab/>
      </w:r>
    </w:p>
    <w:p w:rsidR="00EB3BC8" w:rsidRPr="00D67F1D" w:rsidRDefault="00EB3BC8" w:rsidP="00EB3BC8">
      <w:pPr>
        <w:spacing w:line="240" w:lineRule="auto"/>
        <w:jc w:val="both"/>
        <w:rPr>
          <w:rFonts w:eastAsiaTheme="minorHAnsi" w:cstheme="minorHAnsi"/>
        </w:rPr>
      </w:pPr>
      <w:r w:rsidRPr="00D67F1D">
        <w:rPr>
          <w:rFonts w:eastAsiaTheme="minorHAnsi" w:cstheme="minorHAnsi"/>
          <w:b/>
        </w:rPr>
        <w:t>Social</w:t>
      </w:r>
      <w:r w:rsidRPr="00D67F1D">
        <w:rPr>
          <w:rFonts w:eastAsiaTheme="minorHAnsi" w:cstheme="minorHAnsi"/>
        </w:rPr>
        <w:t xml:space="preserve">: de acuerdo a la solicitud de la comunidad, la dirección de consulta previa certificó la presencia de comunidad de Mulaló en la UF2, por tal razón se incorporará este nuevo sector en el proceso de consulta que se está adelantando en la Unidad Funcional N° 1. </w:t>
      </w:r>
    </w:p>
    <w:p w:rsidR="00EB3BC8" w:rsidRPr="00D67F1D" w:rsidRDefault="00EB3BC8" w:rsidP="00EB3BC8">
      <w:pPr>
        <w:spacing w:line="240" w:lineRule="auto"/>
        <w:jc w:val="both"/>
        <w:rPr>
          <w:rFonts w:eastAsiaTheme="minorHAnsi" w:cstheme="minorHAnsi"/>
        </w:rPr>
      </w:pPr>
      <w:r w:rsidRPr="00D67F1D">
        <w:rPr>
          <w:rFonts w:eastAsiaTheme="minorHAnsi" w:cstheme="minorHAnsi"/>
        </w:rPr>
        <w:t>La UF5, se divide en 3 sectores para proceso de certificación por parte del Ministerio del Interior, los dos primeros sectores van desde el inicio de la Unidad Funcional 5 hasta antes de inicio del puente del rio Bitáco, el último sector se certificará una vez se defina por las partes (Estructurador, Agencia., Concesionario e Interventoría) el punto de finalización de la Unidad 5, de acuerdo a lo descrito en el Contrato, concepto de Estructurador basado en la conexión con la intersección Loboguerrero a cargo de la MVVCC  y a la funcionalidad del proyecto.</w:t>
      </w:r>
    </w:p>
    <w:p w:rsidR="00EB3BC8" w:rsidRPr="005133E0" w:rsidRDefault="00EB3BC8" w:rsidP="00EB3BC8">
      <w:pPr>
        <w:spacing w:line="240" w:lineRule="auto"/>
        <w:jc w:val="both"/>
        <w:rPr>
          <w:rFonts w:ascii="Arial" w:eastAsiaTheme="minorHAnsi" w:hAnsi="Arial" w:cs="Arial"/>
        </w:rPr>
      </w:pPr>
      <w:r w:rsidRPr="00D67F1D">
        <w:rPr>
          <w:rFonts w:eastAsiaTheme="minorHAnsi" w:cstheme="minorHAnsi"/>
        </w:rPr>
        <w:t>El Concesionario radicó oportunamente el Manual de Buen Gobierno, el Plan de Gestión Social Contractual y el Plan de Responsabilidad Social y Ambiental.</w:t>
      </w:r>
    </w:p>
    <w:p w:rsidR="00EB3BC8" w:rsidRPr="00D67F1D" w:rsidRDefault="00EB3BC8" w:rsidP="00EB3BC8">
      <w:pPr>
        <w:spacing w:line="240" w:lineRule="auto"/>
        <w:jc w:val="both"/>
        <w:rPr>
          <w:rFonts w:eastAsiaTheme="minorHAnsi" w:cstheme="minorHAnsi"/>
        </w:rPr>
      </w:pPr>
      <w:r w:rsidRPr="00D67F1D">
        <w:rPr>
          <w:rFonts w:eastAsiaTheme="minorHAnsi" w:cstheme="minorHAnsi"/>
          <w:b/>
        </w:rPr>
        <w:t>Predial</w:t>
      </w:r>
      <w:r w:rsidRPr="00D67F1D">
        <w:rPr>
          <w:rFonts w:eastAsiaTheme="minorHAnsi" w:cstheme="minorHAnsi"/>
        </w:rPr>
        <w:t>: Actualmente como avance se ha vinculado el diseño preliminar en planta identificando los inmuebles requeridos para cada Unidad Funcional.</w:t>
      </w:r>
    </w:p>
    <w:p w:rsidR="00EB3BC8" w:rsidRPr="00D67F1D" w:rsidRDefault="00EB3BC8" w:rsidP="00EB3BC8">
      <w:pPr>
        <w:spacing w:line="240" w:lineRule="auto"/>
        <w:jc w:val="both"/>
        <w:rPr>
          <w:rFonts w:eastAsiaTheme="minorHAnsi" w:cstheme="minorHAnsi"/>
        </w:rPr>
      </w:pPr>
      <w:r w:rsidRPr="00D67F1D">
        <w:rPr>
          <w:rFonts w:eastAsiaTheme="minorHAnsi" w:cstheme="minorHAnsi"/>
        </w:rPr>
        <w:t>El Concesionario se encuentra en el análisis de alternativas de la franja requerida, para lo cual se ha previsto establecer inicialmente una zona de exclusión de 30 m a cada lado del eje, conforme a lo señalado en la ley 1228 de 2008, por corresponder a un tramo de vía nuevo que hará parte de la red nacional de primer orden; se han identificado tramos particulares, como el paso por Mulaló y el paso por el sector poblado de Pavas, cuyo manejo puede ajustarse a los criterios del decreto 2976 de 2010.</w:t>
      </w:r>
    </w:p>
    <w:p w:rsidR="00EB3BC8" w:rsidRPr="00D67F1D" w:rsidRDefault="00EB3BC8" w:rsidP="00EB3BC8">
      <w:pPr>
        <w:spacing w:line="240" w:lineRule="auto"/>
        <w:jc w:val="both"/>
        <w:rPr>
          <w:rFonts w:eastAsiaTheme="minorHAnsi" w:cstheme="minorHAnsi"/>
        </w:rPr>
      </w:pPr>
      <w:r w:rsidRPr="00D67F1D">
        <w:rPr>
          <w:rFonts w:eastAsiaTheme="minorHAnsi" w:cstheme="minorHAnsi"/>
          <w:b/>
        </w:rPr>
        <w:t>Financiero</w:t>
      </w:r>
      <w:r w:rsidRPr="00D67F1D">
        <w:rPr>
          <w:rFonts w:eastAsiaTheme="minorHAnsi" w:cstheme="minorHAnsi"/>
        </w:rPr>
        <w:t>: respecto al Cierre Financiero a la fecha no se ha remitido información para acreditar cierre financiero de modo anticipado. El Concesionario cuenta con 540 días a partir de la fecha de inicio para realizar el cierre.</w:t>
      </w:r>
    </w:p>
    <w:p w:rsidR="00EB3BC8" w:rsidRPr="005133E0" w:rsidRDefault="00EB3BC8" w:rsidP="00EB3BC8">
      <w:pPr>
        <w:spacing w:line="240" w:lineRule="auto"/>
        <w:jc w:val="both"/>
        <w:rPr>
          <w:rFonts w:ascii="Arial" w:eastAsiaTheme="minorHAnsi" w:hAnsi="Arial" w:cs="Arial"/>
          <w:b/>
        </w:rPr>
      </w:pPr>
    </w:p>
    <w:p w:rsidR="00EB3BC8" w:rsidRPr="005133E0" w:rsidRDefault="00EB3BC8" w:rsidP="00EB3BC8">
      <w:pPr>
        <w:spacing w:line="240" w:lineRule="auto"/>
        <w:ind w:left="720"/>
        <w:jc w:val="both"/>
        <w:rPr>
          <w:rFonts w:ascii="Arial" w:eastAsiaTheme="minorHAnsi" w:hAnsi="Arial" w:cs="Arial"/>
        </w:rPr>
      </w:pPr>
    </w:p>
    <w:p w:rsidR="00EB3BC8" w:rsidRPr="005133E0" w:rsidRDefault="00EB3BC8" w:rsidP="00EB3BC8">
      <w:pPr>
        <w:spacing w:line="240" w:lineRule="auto"/>
        <w:ind w:left="720"/>
        <w:jc w:val="both"/>
        <w:rPr>
          <w:rFonts w:ascii="Arial" w:eastAsiaTheme="minorHAnsi" w:hAnsi="Arial" w:cs="Arial"/>
        </w:rPr>
      </w:pPr>
    </w:p>
    <w:p w:rsidR="00EB3BC8" w:rsidRPr="005133E0" w:rsidRDefault="00EB3BC8" w:rsidP="00EB3BC8">
      <w:pPr>
        <w:spacing w:line="240" w:lineRule="auto"/>
        <w:ind w:left="720"/>
        <w:jc w:val="both"/>
        <w:rPr>
          <w:rFonts w:ascii="Arial" w:eastAsiaTheme="minorHAnsi" w:hAnsi="Arial" w:cs="Arial"/>
        </w:rPr>
      </w:pPr>
    </w:p>
    <w:p w:rsidR="00EB3BC8" w:rsidRPr="005133E0" w:rsidRDefault="00EB3BC8" w:rsidP="00EB3BC8">
      <w:pPr>
        <w:spacing w:line="240" w:lineRule="auto"/>
        <w:ind w:left="720"/>
        <w:jc w:val="both"/>
        <w:rPr>
          <w:rFonts w:ascii="Arial" w:eastAsiaTheme="minorHAnsi" w:hAnsi="Arial" w:cs="Arial"/>
        </w:rPr>
      </w:pPr>
    </w:p>
    <w:p w:rsidR="00EB3BC8" w:rsidRPr="005133E0" w:rsidRDefault="00EB3BC8" w:rsidP="00EB3BC8">
      <w:pPr>
        <w:spacing w:line="240" w:lineRule="auto"/>
        <w:ind w:left="720"/>
        <w:jc w:val="both"/>
        <w:rPr>
          <w:rFonts w:ascii="Arial" w:eastAsiaTheme="minorHAnsi" w:hAnsi="Arial" w:cs="Arial"/>
        </w:rPr>
      </w:pPr>
    </w:p>
    <w:p w:rsidR="00EB3BC8" w:rsidRPr="005133E0" w:rsidRDefault="00EB3BC8" w:rsidP="00EB3BC8">
      <w:pPr>
        <w:spacing w:line="240" w:lineRule="auto"/>
        <w:ind w:left="720"/>
        <w:jc w:val="both"/>
        <w:rPr>
          <w:rFonts w:ascii="Arial" w:eastAsiaTheme="minorHAnsi" w:hAnsi="Arial" w:cs="Arial"/>
        </w:rPr>
      </w:pPr>
    </w:p>
    <w:p w:rsidR="00EB3BC8" w:rsidRPr="005133E0" w:rsidRDefault="00EB3BC8" w:rsidP="00EB3BC8">
      <w:pPr>
        <w:spacing w:line="240" w:lineRule="auto"/>
        <w:ind w:left="720"/>
        <w:jc w:val="both"/>
        <w:rPr>
          <w:rFonts w:ascii="Arial" w:eastAsiaTheme="minorHAnsi" w:hAnsi="Arial" w:cs="Arial"/>
        </w:rPr>
      </w:pPr>
    </w:p>
    <w:p w:rsidR="00EB3BC8" w:rsidRPr="005133E0" w:rsidRDefault="00EB3BC8" w:rsidP="00EB3BC8">
      <w:pPr>
        <w:spacing w:line="240" w:lineRule="auto"/>
        <w:ind w:left="720"/>
        <w:jc w:val="both"/>
        <w:rPr>
          <w:rFonts w:ascii="Arial" w:eastAsiaTheme="minorHAnsi" w:hAnsi="Arial" w:cs="Arial"/>
        </w:rPr>
      </w:pPr>
    </w:p>
    <w:p w:rsidR="00EB3BC8" w:rsidRPr="005133E0" w:rsidRDefault="00EB3BC8" w:rsidP="00EB3BC8">
      <w:pPr>
        <w:spacing w:line="240" w:lineRule="auto"/>
        <w:ind w:left="720"/>
        <w:jc w:val="both"/>
        <w:rPr>
          <w:rFonts w:ascii="Arial" w:eastAsiaTheme="minorHAnsi" w:hAnsi="Arial" w:cs="Arial"/>
        </w:rPr>
      </w:pPr>
    </w:p>
    <w:p w:rsidR="00EB3BC8" w:rsidRPr="002326C8" w:rsidRDefault="00EB3BC8" w:rsidP="002326C8">
      <w:pPr>
        <w:spacing w:after="0" w:line="240" w:lineRule="auto"/>
        <w:jc w:val="both"/>
        <w:rPr>
          <w:rFonts w:eastAsia="Times New Roman" w:cs="Calibri"/>
          <w:b/>
          <w:color w:val="000000"/>
          <w:u w:val="single"/>
        </w:rPr>
      </w:pPr>
      <w:r w:rsidRPr="002326C8">
        <w:rPr>
          <w:rFonts w:eastAsia="Times New Roman" w:cs="Calibri"/>
          <w:b/>
          <w:color w:val="000000"/>
          <w:u w:val="single"/>
        </w:rPr>
        <w:t>GERENCIA DE PROYECTOS CARRETERO 4</w:t>
      </w:r>
    </w:p>
    <w:p w:rsidR="00EB3BC8" w:rsidRPr="005133E0" w:rsidRDefault="00EB3BC8" w:rsidP="00EB3BC8">
      <w:pPr>
        <w:spacing w:line="240" w:lineRule="auto"/>
        <w:jc w:val="center"/>
        <w:rPr>
          <w:rFonts w:ascii="Arial" w:hAnsi="Arial" w:cs="Arial"/>
          <w:b/>
          <w:sz w:val="28"/>
          <w:szCs w:val="28"/>
        </w:rPr>
      </w:pPr>
    </w:p>
    <w:p w:rsidR="00EB3BC8" w:rsidRPr="005133E0" w:rsidRDefault="00EB3BC8" w:rsidP="00EB3BC8">
      <w:pPr>
        <w:spacing w:line="240" w:lineRule="auto"/>
        <w:jc w:val="both"/>
        <w:rPr>
          <w:rFonts w:ascii="Arial" w:eastAsia="Times New Roman" w:hAnsi="Arial" w:cs="Arial"/>
          <w:b/>
          <w:lang w:val="es-ES"/>
        </w:rPr>
      </w:pPr>
      <w:r w:rsidRPr="002326C8">
        <w:rPr>
          <w:rFonts w:eastAsia="Times New Roman" w:cs="Calibri"/>
          <w:b/>
          <w:color w:val="000000"/>
          <w:u w:val="single"/>
        </w:rPr>
        <w:t>19. INFORME DE GESTIÓN PROYECTO DESARROLLO VIAL ARMENIA – PEREIRA- MANIZALES</w:t>
      </w:r>
      <w:r w:rsidRPr="005133E0">
        <w:rPr>
          <w:rFonts w:ascii="Arial" w:eastAsia="Times New Roman" w:hAnsi="Arial" w:cs="Arial"/>
          <w:b/>
          <w:lang w:val="es-ES"/>
        </w:rPr>
        <w:t xml:space="preserve">  </w:t>
      </w:r>
    </w:p>
    <w:p w:rsidR="00EB3BC8" w:rsidRPr="002326C8" w:rsidRDefault="002326C8" w:rsidP="00EB3BC8">
      <w:pPr>
        <w:spacing w:line="240" w:lineRule="auto"/>
        <w:jc w:val="both"/>
        <w:rPr>
          <w:rFonts w:eastAsia="Times New Roman" w:cstheme="minorHAnsi"/>
          <w:b/>
          <w:lang w:val="es-ES"/>
        </w:rPr>
      </w:pPr>
      <w:r w:rsidRPr="002326C8">
        <w:rPr>
          <w:rFonts w:eastAsia="Times New Roman" w:cstheme="minorHAnsi"/>
          <w:b/>
          <w:bCs/>
          <w:iCs/>
          <w:lang w:val="es-ES" w:eastAsia="es-ES"/>
        </w:rPr>
        <w:t>Intersección Glorieta Calle 52 – Dosquedradas</w:t>
      </w:r>
    </w:p>
    <w:p w:rsidR="00EB3BC8" w:rsidRPr="002326C8" w:rsidRDefault="00EB3BC8" w:rsidP="00EB3BC8">
      <w:pPr>
        <w:spacing w:after="0" w:line="240" w:lineRule="auto"/>
        <w:jc w:val="both"/>
        <w:rPr>
          <w:rFonts w:eastAsia="Times New Roman" w:cstheme="minorHAnsi"/>
          <w:lang w:val="es-ES" w:eastAsia="es-ES"/>
        </w:rPr>
      </w:pPr>
      <w:r w:rsidRPr="002326C8">
        <w:rPr>
          <w:rFonts w:eastAsia="Times New Roman" w:cstheme="minorHAnsi"/>
          <w:b/>
          <w:lang w:val="es-ES" w:eastAsia="es-ES"/>
        </w:rPr>
        <w:t>Localización:</w:t>
      </w:r>
      <w:r w:rsidRPr="002326C8">
        <w:rPr>
          <w:rFonts w:eastAsia="Times New Roman" w:cstheme="minorHAnsi"/>
          <w:lang w:val="es-ES" w:eastAsia="es-ES"/>
        </w:rPr>
        <w:t xml:space="preserve"> Pereira- Santa- Rosa Avenida Ferrocarril, Ruta 2902A</w:t>
      </w:r>
    </w:p>
    <w:p w:rsidR="00EB3BC8" w:rsidRPr="002326C8" w:rsidRDefault="00EB3BC8" w:rsidP="00EB3BC8">
      <w:pPr>
        <w:spacing w:line="240" w:lineRule="auto"/>
        <w:contextualSpacing/>
        <w:jc w:val="both"/>
        <w:rPr>
          <w:rFonts w:eastAsia="Times New Roman" w:cstheme="minorHAnsi"/>
          <w:lang w:val="es-ES" w:eastAsia="es-ES"/>
        </w:rPr>
      </w:pPr>
      <w:r w:rsidRPr="002326C8">
        <w:rPr>
          <w:rFonts w:eastAsia="Times New Roman" w:cstheme="minorHAnsi"/>
          <w:b/>
          <w:lang w:val="es-ES" w:eastAsia="es-ES"/>
        </w:rPr>
        <w:t>Plazo de Ejecución</w:t>
      </w:r>
      <w:r w:rsidRPr="002326C8">
        <w:rPr>
          <w:rFonts w:eastAsia="Times New Roman" w:cstheme="minorHAnsi"/>
          <w:lang w:val="es-ES" w:eastAsia="es-ES"/>
        </w:rPr>
        <w:t xml:space="preserve">: 12 meses </w:t>
      </w:r>
    </w:p>
    <w:p w:rsidR="00EB3BC8" w:rsidRPr="002326C8" w:rsidRDefault="00EB3BC8" w:rsidP="00EB3BC8">
      <w:pPr>
        <w:spacing w:line="240" w:lineRule="auto"/>
        <w:contextualSpacing/>
        <w:jc w:val="both"/>
        <w:rPr>
          <w:rFonts w:eastAsia="Times New Roman" w:cstheme="minorHAnsi"/>
          <w:lang w:val="es-ES" w:eastAsia="es-ES"/>
        </w:rPr>
      </w:pPr>
      <w:r w:rsidRPr="002326C8">
        <w:rPr>
          <w:rFonts w:eastAsia="Times New Roman" w:cstheme="minorHAnsi"/>
          <w:b/>
          <w:lang w:val="es-ES" w:eastAsia="es-ES"/>
        </w:rPr>
        <w:t xml:space="preserve">Fecha de Inicio: </w:t>
      </w:r>
      <w:r w:rsidRPr="002326C8">
        <w:rPr>
          <w:rFonts w:eastAsia="Times New Roman" w:cstheme="minorHAnsi"/>
          <w:lang w:val="es-ES" w:eastAsia="es-ES"/>
        </w:rPr>
        <w:t>18 de marzo de 2015</w:t>
      </w:r>
    </w:p>
    <w:p w:rsidR="00EB3BC8" w:rsidRPr="002326C8" w:rsidRDefault="00EB3BC8" w:rsidP="00EB3BC8">
      <w:pPr>
        <w:spacing w:line="240" w:lineRule="auto"/>
        <w:contextualSpacing/>
        <w:jc w:val="both"/>
        <w:rPr>
          <w:rFonts w:eastAsia="Times New Roman" w:cstheme="minorHAnsi"/>
          <w:lang w:val="es-ES" w:eastAsia="es-ES"/>
        </w:rPr>
      </w:pPr>
      <w:r w:rsidRPr="002326C8">
        <w:rPr>
          <w:rFonts w:eastAsia="Times New Roman" w:cstheme="minorHAnsi"/>
          <w:b/>
          <w:lang w:val="es-ES" w:eastAsia="es-ES"/>
        </w:rPr>
        <w:t>Avance estimado</w:t>
      </w:r>
      <w:r w:rsidRPr="002326C8">
        <w:rPr>
          <w:rFonts w:eastAsia="Times New Roman" w:cstheme="minorHAnsi"/>
          <w:lang w:val="es-ES" w:eastAsia="es-ES"/>
        </w:rPr>
        <w:t>: 25%</w:t>
      </w:r>
    </w:p>
    <w:p w:rsidR="00EB3BC8" w:rsidRPr="002326C8" w:rsidRDefault="00EB3BC8" w:rsidP="00EB3BC8">
      <w:pPr>
        <w:spacing w:line="240" w:lineRule="auto"/>
        <w:contextualSpacing/>
        <w:jc w:val="both"/>
        <w:rPr>
          <w:rFonts w:eastAsia="Times New Roman" w:cstheme="minorHAnsi"/>
          <w:lang w:val="es-ES" w:eastAsia="es-ES"/>
        </w:rPr>
      </w:pPr>
    </w:p>
    <w:p w:rsidR="00EB3BC8" w:rsidRPr="002326C8" w:rsidRDefault="00EB3BC8" w:rsidP="00EB3BC8">
      <w:pPr>
        <w:spacing w:line="240" w:lineRule="auto"/>
        <w:contextualSpacing/>
        <w:jc w:val="both"/>
        <w:rPr>
          <w:rFonts w:eastAsia="Times New Roman" w:cstheme="minorHAnsi"/>
          <w:lang w:val="es-ES" w:eastAsia="es-ES"/>
        </w:rPr>
      </w:pPr>
      <w:r w:rsidRPr="002326C8">
        <w:rPr>
          <w:rFonts w:eastAsia="Times New Roman" w:cstheme="minorHAnsi"/>
          <w:b/>
          <w:lang w:val="es-ES" w:eastAsia="es-ES"/>
        </w:rPr>
        <w:t>Aspectos Técnicos</w:t>
      </w:r>
      <w:r w:rsidRPr="002326C8">
        <w:rPr>
          <w:rFonts w:eastAsia="Times New Roman" w:cstheme="minorHAnsi"/>
          <w:lang w:val="es-ES" w:eastAsia="es-ES"/>
        </w:rPr>
        <w:t xml:space="preserve">: </w:t>
      </w:r>
    </w:p>
    <w:p w:rsidR="00EB3BC8" w:rsidRPr="002326C8" w:rsidRDefault="00EB3BC8" w:rsidP="00EB3BC8">
      <w:pPr>
        <w:spacing w:line="240" w:lineRule="auto"/>
        <w:contextualSpacing/>
        <w:jc w:val="both"/>
        <w:rPr>
          <w:rFonts w:cstheme="minorHAnsi"/>
          <w:color w:val="000000"/>
        </w:rPr>
      </w:pPr>
      <w:r w:rsidRPr="002326C8">
        <w:rPr>
          <w:rFonts w:cstheme="minorHAnsi"/>
          <w:color w:val="000000"/>
        </w:rPr>
        <w:t>En el costado oriental, se nivela, humecta y se compacta la base granular instalada, en el costado occidental se inició la instalación de la tubería, se hizo el respectivo relleno con material proveniente de la excavación. Se construye filtro longitudinal en el borde interno del anillo de la Glorieta. Se inicia la instalación de formaleta para dar inicio al vaciado de las losas en este tramo en el costado oriental.</w:t>
      </w:r>
    </w:p>
    <w:p w:rsidR="00EB3BC8" w:rsidRPr="005133E0" w:rsidRDefault="00EB3BC8" w:rsidP="00EB3BC8">
      <w:pPr>
        <w:spacing w:line="240" w:lineRule="auto"/>
        <w:contextualSpacing/>
        <w:jc w:val="both"/>
        <w:rPr>
          <w:b/>
        </w:rPr>
      </w:pPr>
    </w:p>
    <w:tbl>
      <w:tblPr>
        <w:tblW w:w="0" w:type="auto"/>
        <w:jc w:val="center"/>
        <w:tblCellMar>
          <w:left w:w="70" w:type="dxa"/>
          <w:right w:w="70" w:type="dxa"/>
        </w:tblCellMar>
        <w:tblLook w:val="04A0" w:firstRow="1" w:lastRow="0" w:firstColumn="1" w:lastColumn="0" w:noHBand="0" w:noVBand="1"/>
      </w:tblPr>
      <w:tblGrid>
        <w:gridCol w:w="4313"/>
        <w:gridCol w:w="4525"/>
      </w:tblGrid>
      <w:tr w:rsidR="00EB3BC8" w:rsidRPr="005133E0" w:rsidTr="005E52E0">
        <w:trPr>
          <w:trHeight w:val="3290"/>
          <w:jc w:val="center"/>
        </w:trPr>
        <w:tc>
          <w:tcPr>
            <w:tcW w:w="4773" w:type="dxa"/>
            <w:shd w:val="clear" w:color="auto" w:fill="auto"/>
            <w:vAlign w:val="center"/>
          </w:tcPr>
          <w:p w:rsidR="00EB3BC8" w:rsidRPr="005133E0" w:rsidRDefault="00EB3BC8" w:rsidP="005E52E0">
            <w:pPr>
              <w:spacing w:line="240" w:lineRule="auto"/>
              <w:contextualSpacing/>
              <w:jc w:val="both"/>
              <w:rPr>
                <w:noProof/>
              </w:rPr>
            </w:pPr>
            <w:r w:rsidRPr="005133E0">
              <w:rPr>
                <w:noProof/>
              </w:rPr>
              <w:drawing>
                <wp:inline distT="0" distB="0" distL="0" distR="0" wp14:anchorId="2153ACD3" wp14:editId="2219CBCF">
                  <wp:extent cx="2393577" cy="1741632"/>
                  <wp:effectExtent l="0" t="0" r="6985" b="0"/>
                  <wp:docPr id="89" name="Imagen 89" descr="C:\Users\Fabian Garcia\Downloads\FullSizeRender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Imagen" descr="C:\Users\Fabian Garcia\Downloads\FullSizeRender (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12758" cy="1755589"/>
                          </a:xfrm>
                          <a:prstGeom prst="rect">
                            <a:avLst/>
                          </a:prstGeom>
                          <a:noFill/>
                          <a:ln>
                            <a:noFill/>
                          </a:ln>
                        </pic:spPr>
                      </pic:pic>
                    </a:graphicData>
                  </a:graphic>
                </wp:inline>
              </w:drawing>
            </w:r>
          </w:p>
        </w:tc>
        <w:tc>
          <w:tcPr>
            <w:tcW w:w="4773" w:type="dxa"/>
            <w:shd w:val="clear" w:color="auto" w:fill="auto"/>
            <w:vAlign w:val="center"/>
          </w:tcPr>
          <w:p w:rsidR="00EB3BC8" w:rsidRPr="005133E0" w:rsidRDefault="00EB3BC8" w:rsidP="005E52E0">
            <w:pPr>
              <w:spacing w:line="240" w:lineRule="auto"/>
              <w:contextualSpacing/>
              <w:jc w:val="center"/>
              <w:rPr>
                <w:noProof/>
              </w:rPr>
            </w:pPr>
            <w:r w:rsidRPr="005133E0">
              <w:object w:dxaOrig="7320" w:dyaOrig="4845">
                <v:shape id="_x0000_i1026" type="#_x0000_t75" style="width:208.6pt;height:136.65pt" o:ole="">
                  <v:imagedata r:id="rId77" o:title=""/>
                </v:shape>
                <o:OLEObject Type="Embed" ProgID="PBrush" ShapeID="_x0000_i1026" DrawAspect="Content" ObjectID="_1500302007" r:id="rId78"/>
              </w:object>
            </w:r>
          </w:p>
        </w:tc>
      </w:tr>
      <w:tr w:rsidR="00EB3BC8" w:rsidRPr="005133E0" w:rsidTr="005E52E0">
        <w:tblPrEx>
          <w:tblCellMar>
            <w:left w:w="108" w:type="dxa"/>
            <w:right w:w="108" w:type="dxa"/>
          </w:tblCellMar>
        </w:tblPrEx>
        <w:trPr>
          <w:trHeight w:val="614"/>
          <w:jc w:val="center"/>
        </w:trPr>
        <w:tc>
          <w:tcPr>
            <w:tcW w:w="4773" w:type="dxa"/>
            <w:shd w:val="clear" w:color="auto" w:fill="auto"/>
            <w:vAlign w:val="center"/>
          </w:tcPr>
          <w:p w:rsidR="00EB3BC8" w:rsidRPr="005133E0" w:rsidRDefault="00EB3BC8" w:rsidP="005E52E0">
            <w:pPr>
              <w:spacing w:line="240" w:lineRule="auto"/>
              <w:contextualSpacing/>
              <w:rPr>
                <w:rFonts w:ascii="Arial" w:hAnsi="Arial" w:cs="Arial"/>
                <w:noProof/>
                <w:sz w:val="16"/>
                <w:szCs w:val="16"/>
              </w:rPr>
            </w:pPr>
            <w:r w:rsidRPr="005133E0">
              <w:rPr>
                <w:rFonts w:ascii="Arial" w:hAnsi="Arial" w:cs="Arial"/>
                <w:noProof/>
                <w:sz w:val="18"/>
                <w:szCs w:val="16"/>
              </w:rPr>
              <w:t>excavación e instalación de ductos para traslado                              de redes correspondientes</w:t>
            </w:r>
          </w:p>
        </w:tc>
        <w:tc>
          <w:tcPr>
            <w:tcW w:w="4773" w:type="dxa"/>
            <w:shd w:val="clear" w:color="auto" w:fill="auto"/>
            <w:vAlign w:val="center"/>
          </w:tcPr>
          <w:p w:rsidR="00EB3BC8" w:rsidRPr="005133E0" w:rsidRDefault="00EB3BC8" w:rsidP="005E52E0">
            <w:pPr>
              <w:spacing w:line="240" w:lineRule="auto"/>
              <w:contextualSpacing/>
              <w:jc w:val="center"/>
              <w:rPr>
                <w:rFonts w:ascii="Arial" w:hAnsi="Arial" w:cs="Arial"/>
                <w:i/>
                <w:noProof/>
                <w:sz w:val="18"/>
                <w:szCs w:val="18"/>
              </w:rPr>
            </w:pPr>
            <w:r w:rsidRPr="005133E0">
              <w:rPr>
                <w:rFonts w:ascii="Arial" w:hAnsi="Arial" w:cs="Arial"/>
                <w:i/>
                <w:noProof/>
                <w:sz w:val="18"/>
                <w:szCs w:val="18"/>
              </w:rPr>
              <w:t>Compatación de base granular</w:t>
            </w:r>
          </w:p>
        </w:tc>
      </w:tr>
    </w:tbl>
    <w:p w:rsidR="00EB3BC8" w:rsidRPr="005133E0" w:rsidRDefault="00EB3BC8" w:rsidP="00EB3BC8">
      <w:pPr>
        <w:spacing w:line="240" w:lineRule="auto"/>
        <w:contextualSpacing/>
        <w:jc w:val="both"/>
        <w:rPr>
          <w:rFonts w:ascii="Arial" w:eastAsia="Times New Roman" w:hAnsi="Arial" w:cs="Arial"/>
          <w:b/>
          <w:lang w:val="es-ES" w:eastAsia="es-ES"/>
        </w:rPr>
      </w:pPr>
    </w:p>
    <w:p w:rsidR="00EB3BC8" w:rsidRPr="002326C8" w:rsidRDefault="00EB3BC8" w:rsidP="00EB3BC8">
      <w:pPr>
        <w:spacing w:line="240" w:lineRule="auto"/>
        <w:contextualSpacing/>
        <w:jc w:val="both"/>
        <w:rPr>
          <w:rFonts w:eastAsia="Times New Roman" w:cstheme="minorHAnsi"/>
          <w:b/>
          <w:lang w:val="es-ES" w:eastAsia="es-ES"/>
        </w:rPr>
      </w:pPr>
      <w:r w:rsidRPr="002326C8">
        <w:rPr>
          <w:rFonts w:eastAsia="Times New Roman" w:cstheme="minorHAnsi"/>
          <w:b/>
          <w:lang w:val="es-ES" w:eastAsia="es-ES"/>
        </w:rPr>
        <w:t>I</w:t>
      </w:r>
      <w:r w:rsidR="002326C8" w:rsidRPr="002326C8">
        <w:rPr>
          <w:rFonts w:eastAsia="Times New Roman" w:cstheme="minorHAnsi"/>
          <w:b/>
          <w:lang w:val="es-ES" w:eastAsia="es-ES"/>
        </w:rPr>
        <w:t>ntersección</w:t>
      </w:r>
      <w:r w:rsidRPr="002326C8">
        <w:rPr>
          <w:rFonts w:eastAsia="Times New Roman" w:cstheme="minorHAnsi"/>
          <w:b/>
          <w:lang w:val="es-ES" w:eastAsia="es-ES"/>
        </w:rPr>
        <w:t xml:space="preserve"> CIRCASIA 1 ½ - ARMENIA - PEREIRA</w:t>
      </w:r>
    </w:p>
    <w:p w:rsidR="00EB3BC8" w:rsidRPr="002326C8" w:rsidRDefault="00EB3BC8" w:rsidP="00EB3BC8">
      <w:pPr>
        <w:spacing w:line="240" w:lineRule="auto"/>
        <w:contextualSpacing/>
        <w:jc w:val="both"/>
        <w:rPr>
          <w:rFonts w:eastAsia="Times New Roman" w:cstheme="minorHAnsi"/>
          <w:b/>
          <w:lang w:val="es-ES" w:eastAsia="es-ES"/>
        </w:rPr>
      </w:pPr>
    </w:p>
    <w:p w:rsidR="00EB3BC8" w:rsidRPr="002326C8" w:rsidRDefault="00EB3BC8" w:rsidP="00EB3BC8">
      <w:pPr>
        <w:spacing w:line="240" w:lineRule="auto"/>
        <w:contextualSpacing/>
        <w:jc w:val="both"/>
        <w:rPr>
          <w:rFonts w:eastAsia="Times New Roman" w:cstheme="minorHAnsi"/>
          <w:lang w:val="es-ES" w:eastAsia="es-ES"/>
        </w:rPr>
      </w:pPr>
      <w:r w:rsidRPr="002326C8">
        <w:rPr>
          <w:rFonts w:eastAsia="Times New Roman" w:cstheme="minorHAnsi"/>
          <w:b/>
          <w:lang w:val="es-ES" w:eastAsia="es-ES"/>
        </w:rPr>
        <w:t>Localización:</w:t>
      </w:r>
      <w:r w:rsidRPr="002326C8">
        <w:rPr>
          <w:rFonts w:eastAsia="Times New Roman" w:cstheme="minorHAnsi"/>
          <w:lang w:val="es-ES" w:eastAsia="es-ES"/>
        </w:rPr>
        <w:t xml:space="preserve"> Armenia - Pereira RUTA 2901</w:t>
      </w:r>
    </w:p>
    <w:p w:rsidR="00EB3BC8" w:rsidRPr="002326C8" w:rsidRDefault="00EB3BC8" w:rsidP="00EB3BC8">
      <w:pPr>
        <w:spacing w:line="240" w:lineRule="auto"/>
        <w:contextualSpacing/>
        <w:jc w:val="both"/>
        <w:rPr>
          <w:rFonts w:eastAsia="Times New Roman" w:cstheme="minorHAnsi"/>
          <w:lang w:val="es-ES" w:eastAsia="es-ES"/>
        </w:rPr>
      </w:pPr>
      <w:r w:rsidRPr="002326C8">
        <w:rPr>
          <w:rFonts w:eastAsia="Times New Roman" w:cstheme="minorHAnsi"/>
          <w:b/>
          <w:lang w:val="es-ES" w:eastAsia="es-ES"/>
        </w:rPr>
        <w:t>Plazo de Ejecución</w:t>
      </w:r>
      <w:r w:rsidRPr="002326C8">
        <w:rPr>
          <w:rFonts w:eastAsia="Times New Roman" w:cstheme="minorHAnsi"/>
          <w:lang w:val="es-ES" w:eastAsia="es-ES"/>
        </w:rPr>
        <w:t xml:space="preserve">: 12 meses </w:t>
      </w:r>
    </w:p>
    <w:p w:rsidR="00EB3BC8" w:rsidRPr="002326C8" w:rsidRDefault="00EB3BC8" w:rsidP="00EB3BC8">
      <w:pPr>
        <w:spacing w:line="240" w:lineRule="auto"/>
        <w:contextualSpacing/>
        <w:jc w:val="both"/>
        <w:rPr>
          <w:rFonts w:eastAsia="Times New Roman" w:cstheme="minorHAnsi"/>
          <w:lang w:val="es-ES" w:eastAsia="es-ES"/>
        </w:rPr>
      </w:pPr>
      <w:r w:rsidRPr="002326C8">
        <w:rPr>
          <w:rFonts w:eastAsia="Times New Roman" w:cstheme="minorHAnsi"/>
          <w:b/>
          <w:lang w:val="es-ES" w:eastAsia="es-ES"/>
        </w:rPr>
        <w:t xml:space="preserve">Fecha de Inicio: </w:t>
      </w:r>
      <w:r w:rsidRPr="002326C8">
        <w:rPr>
          <w:rFonts w:eastAsia="Times New Roman" w:cstheme="minorHAnsi"/>
          <w:lang w:val="es-ES" w:eastAsia="es-ES"/>
        </w:rPr>
        <w:t>5 de marzo de 2015</w:t>
      </w:r>
    </w:p>
    <w:p w:rsidR="00EB3BC8" w:rsidRPr="002326C8" w:rsidRDefault="00EB3BC8" w:rsidP="00EB3BC8">
      <w:pPr>
        <w:spacing w:line="240" w:lineRule="auto"/>
        <w:contextualSpacing/>
        <w:jc w:val="both"/>
        <w:rPr>
          <w:rFonts w:eastAsia="Times New Roman" w:cstheme="minorHAnsi"/>
          <w:b/>
          <w:lang w:val="es-ES" w:eastAsia="es-ES"/>
        </w:rPr>
      </w:pPr>
    </w:p>
    <w:p w:rsidR="00EB3BC8" w:rsidRPr="002326C8" w:rsidRDefault="00EB3BC8" w:rsidP="00EB3BC8">
      <w:pPr>
        <w:spacing w:line="240" w:lineRule="auto"/>
        <w:contextualSpacing/>
        <w:jc w:val="both"/>
        <w:rPr>
          <w:rFonts w:eastAsia="Times New Roman" w:cstheme="minorHAnsi"/>
          <w:lang w:val="es-ES" w:eastAsia="es-ES"/>
        </w:rPr>
      </w:pPr>
      <w:r w:rsidRPr="002326C8">
        <w:rPr>
          <w:rFonts w:eastAsia="Times New Roman" w:cstheme="minorHAnsi"/>
          <w:b/>
          <w:lang w:val="es-ES" w:eastAsia="es-ES"/>
        </w:rPr>
        <w:lastRenderedPageBreak/>
        <w:t>Aspectos técnicos</w:t>
      </w:r>
      <w:r w:rsidRPr="002326C8">
        <w:rPr>
          <w:rFonts w:eastAsia="Times New Roman" w:cstheme="minorHAnsi"/>
          <w:lang w:val="es-ES" w:eastAsia="es-ES"/>
        </w:rPr>
        <w:t>: Continua el desarrollo de las actividades de obra tales como  cimentación con micropilotes para muros de alargamiento de las aletas del puente existente, se realiza descapote y movimiento de tierras en los enlaces Se implementa el plan de manejo de tráfico.</w:t>
      </w:r>
    </w:p>
    <w:p w:rsidR="00EB3BC8" w:rsidRPr="002326C8" w:rsidRDefault="00EB3BC8" w:rsidP="00EB3BC8">
      <w:pPr>
        <w:spacing w:line="240" w:lineRule="auto"/>
        <w:contextualSpacing/>
        <w:jc w:val="both"/>
        <w:rPr>
          <w:rFonts w:cstheme="minorHAnsi"/>
        </w:rPr>
      </w:pPr>
      <w:r w:rsidRPr="002326C8">
        <w:rPr>
          <w:rFonts w:cstheme="minorHAnsi"/>
          <w:b/>
        </w:rPr>
        <w:t xml:space="preserve">Fecha de Inicio: </w:t>
      </w:r>
      <w:r w:rsidRPr="002326C8">
        <w:rPr>
          <w:rFonts w:cstheme="minorHAnsi"/>
        </w:rPr>
        <w:t>5 de marzo de 2015</w:t>
      </w:r>
    </w:p>
    <w:p w:rsidR="00EB3BC8" w:rsidRPr="002326C8" w:rsidRDefault="00EB3BC8" w:rsidP="00EB3BC8">
      <w:pPr>
        <w:spacing w:line="240" w:lineRule="auto"/>
        <w:contextualSpacing/>
        <w:jc w:val="both"/>
        <w:rPr>
          <w:rFonts w:cstheme="minorHAnsi"/>
        </w:rPr>
      </w:pPr>
      <w:r w:rsidRPr="002326C8">
        <w:rPr>
          <w:rFonts w:cstheme="minorHAnsi"/>
          <w:b/>
        </w:rPr>
        <w:t>Avance estimado:</w:t>
      </w:r>
      <w:r w:rsidRPr="002326C8">
        <w:rPr>
          <w:rFonts w:cstheme="minorHAnsi"/>
        </w:rPr>
        <w:t xml:space="preserve"> 25%</w:t>
      </w:r>
    </w:p>
    <w:p w:rsidR="00EB3BC8" w:rsidRPr="002326C8" w:rsidRDefault="00EB3BC8" w:rsidP="00EB3BC8">
      <w:pPr>
        <w:spacing w:line="240" w:lineRule="auto"/>
        <w:jc w:val="both"/>
        <w:rPr>
          <w:rFonts w:cstheme="minorHAnsi"/>
        </w:rPr>
      </w:pPr>
      <w:r w:rsidRPr="002326C8">
        <w:rPr>
          <w:rFonts w:cstheme="minorHAnsi"/>
        </w:rPr>
        <w:t>Continúa la construcción del muro ubicado en el Enlace B, se realiza la excavación, encamisado e instalación de acero de refuerzo, para construcción de dos caisson. Por otra parte se continúa la conformación del terraplén. Además se ejecuta el relleno sobre la tubería instalada.</w:t>
      </w:r>
    </w:p>
    <w:tbl>
      <w:tblPr>
        <w:tblW w:w="0" w:type="auto"/>
        <w:jc w:val="center"/>
        <w:tblCellMar>
          <w:left w:w="70" w:type="dxa"/>
          <w:right w:w="70" w:type="dxa"/>
        </w:tblCellMar>
        <w:tblLook w:val="04A0" w:firstRow="1" w:lastRow="0" w:firstColumn="1" w:lastColumn="0" w:noHBand="0" w:noVBand="1"/>
      </w:tblPr>
      <w:tblGrid>
        <w:gridCol w:w="4415"/>
        <w:gridCol w:w="4423"/>
      </w:tblGrid>
      <w:tr w:rsidR="00EB3BC8" w:rsidRPr="005133E0" w:rsidTr="005E52E0">
        <w:trPr>
          <w:trHeight w:val="2401"/>
          <w:jc w:val="center"/>
        </w:trPr>
        <w:tc>
          <w:tcPr>
            <w:tcW w:w="4415" w:type="dxa"/>
            <w:shd w:val="clear" w:color="auto" w:fill="auto"/>
            <w:vAlign w:val="center"/>
          </w:tcPr>
          <w:p w:rsidR="00EB3BC8" w:rsidRPr="005133E0" w:rsidRDefault="00EB3BC8" w:rsidP="005E52E0">
            <w:pPr>
              <w:spacing w:line="240" w:lineRule="auto"/>
              <w:contextualSpacing/>
              <w:jc w:val="both"/>
              <w:rPr>
                <w:noProof/>
              </w:rPr>
            </w:pPr>
            <w:r w:rsidRPr="005133E0">
              <w:rPr>
                <w:noProof/>
              </w:rPr>
              <w:drawing>
                <wp:inline distT="0" distB="0" distL="0" distR="0" wp14:anchorId="52AC7DAB" wp14:editId="3E5DEF2D">
                  <wp:extent cx="2143125" cy="1609090"/>
                  <wp:effectExtent l="0" t="0" r="9525"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Imagen"/>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43125" cy="1609090"/>
                          </a:xfrm>
                          <a:prstGeom prst="rect">
                            <a:avLst/>
                          </a:prstGeom>
                          <a:noFill/>
                          <a:ln>
                            <a:noFill/>
                          </a:ln>
                        </pic:spPr>
                      </pic:pic>
                    </a:graphicData>
                  </a:graphic>
                </wp:inline>
              </w:drawing>
            </w:r>
          </w:p>
          <w:p w:rsidR="00EB3BC8" w:rsidRPr="005133E0" w:rsidRDefault="00EB3BC8" w:rsidP="005E52E0">
            <w:pPr>
              <w:spacing w:line="240" w:lineRule="auto"/>
            </w:pPr>
          </w:p>
          <w:p w:rsidR="00EB3BC8" w:rsidRPr="005133E0" w:rsidRDefault="00EB3BC8" w:rsidP="005E52E0">
            <w:pPr>
              <w:spacing w:line="240" w:lineRule="auto"/>
              <w:rPr>
                <w:rFonts w:ascii="Arial" w:hAnsi="Arial" w:cs="Arial"/>
                <w:sz w:val="18"/>
                <w:szCs w:val="18"/>
              </w:rPr>
            </w:pPr>
            <w:r w:rsidRPr="005133E0">
              <w:rPr>
                <w:rFonts w:ascii="Arial" w:hAnsi="Arial" w:cs="Arial"/>
                <w:sz w:val="18"/>
                <w:szCs w:val="18"/>
              </w:rPr>
              <w:t>Muro en concreto reforzado, totalmente</w:t>
            </w:r>
          </w:p>
          <w:p w:rsidR="00EB3BC8" w:rsidRPr="005133E0" w:rsidRDefault="00EB3BC8" w:rsidP="005E52E0">
            <w:pPr>
              <w:spacing w:line="240" w:lineRule="auto"/>
              <w:rPr>
                <w:rFonts w:ascii="Arial" w:hAnsi="Arial" w:cs="Arial"/>
                <w:sz w:val="18"/>
                <w:szCs w:val="18"/>
              </w:rPr>
            </w:pPr>
            <w:r w:rsidRPr="005133E0">
              <w:rPr>
                <w:rFonts w:ascii="Arial" w:hAnsi="Arial" w:cs="Arial"/>
                <w:sz w:val="18"/>
                <w:szCs w:val="18"/>
              </w:rPr>
              <w:t>Terminado con una longitud de 46,6 m</w:t>
            </w:r>
          </w:p>
        </w:tc>
        <w:tc>
          <w:tcPr>
            <w:tcW w:w="4423" w:type="dxa"/>
            <w:shd w:val="clear" w:color="auto" w:fill="auto"/>
            <w:vAlign w:val="center"/>
          </w:tcPr>
          <w:p w:rsidR="00EB3BC8" w:rsidRPr="005133E0" w:rsidRDefault="00EB3BC8" w:rsidP="005E52E0">
            <w:pPr>
              <w:spacing w:line="240" w:lineRule="auto"/>
              <w:contextualSpacing/>
              <w:jc w:val="center"/>
              <w:rPr>
                <w:noProof/>
              </w:rPr>
            </w:pPr>
            <w:r w:rsidRPr="005133E0">
              <w:rPr>
                <w:noProof/>
              </w:rPr>
              <w:drawing>
                <wp:inline distT="0" distB="0" distL="0" distR="0" wp14:anchorId="34AD53F6" wp14:editId="787ACA32">
                  <wp:extent cx="2165350" cy="1675181"/>
                  <wp:effectExtent l="0" t="0" r="635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Image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79167" cy="1685870"/>
                          </a:xfrm>
                          <a:prstGeom prst="rect">
                            <a:avLst/>
                          </a:prstGeom>
                          <a:noFill/>
                          <a:ln>
                            <a:noFill/>
                          </a:ln>
                        </pic:spPr>
                      </pic:pic>
                    </a:graphicData>
                  </a:graphic>
                </wp:inline>
              </w:drawing>
            </w:r>
          </w:p>
          <w:p w:rsidR="00EB3BC8" w:rsidRPr="005133E0" w:rsidRDefault="00EB3BC8" w:rsidP="005E52E0">
            <w:pPr>
              <w:spacing w:line="240" w:lineRule="auto"/>
              <w:contextualSpacing/>
              <w:jc w:val="center"/>
              <w:rPr>
                <w:noProof/>
              </w:rPr>
            </w:pPr>
          </w:p>
          <w:p w:rsidR="00EB3BC8" w:rsidRPr="005133E0" w:rsidRDefault="00EB3BC8" w:rsidP="005E52E0">
            <w:pPr>
              <w:spacing w:line="240" w:lineRule="auto"/>
              <w:contextualSpacing/>
              <w:jc w:val="center"/>
              <w:rPr>
                <w:rFonts w:ascii="Arial" w:hAnsi="Arial" w:cs="Arial"/>
                <w:noProof/>
                <w:sz w:val="18"/>
                <w:szCs w:val="18"/>
              </w:rPr>
            </w:pPr>
            <w:r w:rsidRPr="005133E0">
              <w:rPr>
                <w:rFonts w:ascii="Arial" w:hAnsi="Arial" w:cs="Arial"/>
                <w:noProof/>
                <w:sz w:val="18"/>
                <w:szCs w:val="18"/>
              </w:rPr>
              <w:t>Instalaciòn capa de material de subbase</w:t>
            </w:r>
          </w:p>
          <w:p w:rsidR="00EB3BC8" w:rsidRPr="005133E0" w:rsidRDefault="00EB3BC8" w:rsidP="005E52E0">
            <w:pPr>
              <w:spacing w:line="240" w:lineRule="auto"/>
              <w:contextualSpacing/>
              <w:jc w:val="center"/>
              <w:rPr>
                <w:noProof/>
              </w:rPr>
            </w:pPr>
          </w:p>
          <w:p w:rsidR="00EB3BC8" w:rsidRPr="005133E0" w:rsidRDefault="00EB3BC8" w:rsidP="005E52E0">
            <w:pPr>
              <w:spacing w:line="240" w:lineRule="auto"/>
              <w:contextualSpacing/>
              <w:jc w:val="center"/>
              <w:rPr>
                <w:noProof/>
              </w:rPr>
            </w:pPr>
          </w:p>
        </w:tc>
      </w:tr>
      <w:tr w:rsidR="00EB3BC8" w:rsidRPr="005133E0" w:rsidTr="005E52E0">
        <w:tblPrEx>
          <w:tblCellMar>
            <w:left w:w="108" w:type="dxa"/>
            <w:right w:w="108" w:type="dxa"/>
          </w:tblCellMar>
        </w:tblPrEx>
        <w:trPr>
          <w:trHeight w:val="416"/>
          <w:jc w:val="center"/>
        </w:trPr>
        <w:tc>
          <w:tcPr>
            <w:tcW w:w="4415" w:type="dxa"/>
            <w:shd w:val="clear" w:color="auto" w:fill="auto"/>
            <w:vAlign w:val="center"/>
          </w:tcPr>
          <w:p w:rsidR="00EB3BC8" w:rsidRPr="005133E0" w:rsidRDefault="00EB3BC8" w:rsidP="005E52E0">
            <w:pPr>
              <w:spacing w:line="240" w:lineRule="auto"/>
              <w:contextualSpacing/>
              <w:rPr>
                <w:i/>
                <w:noProof/>
                <w:sz w:val="16"/>
                <w:szCs w:val="16"/>
              </w:rPr>
            </w:pPr>
          </w:p>
        </w:tc>
        <w:tc>
          <w:tcPr>
            <w:tcW w:w="4423" w:type="dxa"/>
            <w:shd w:val="clear" w:color="auto" w:fill="auto"/>
            <w:vAlign w:val="center"/>
          </w:tcPr>
          <w:p w:rsidR="00EB3BC8" w:rsidRPr="005133E0" w:rsidRDefault="00EB3BC8" w:rsidP="005E52E0">
            <w:pPr>
              <w:spacing w:line="240" w:lineRule="auto"/>
              <w:contextualSpacing/>
              <w:rPr>
                <w:i/>
                <w:noProof/>
                <w:sz w:val="16"/>
                <w:szCs w:val="16"/>
              </w:rPr>
            </w:pPr>
          </w:p>
        </w:tc>
      </w:tr>
    </w:tbl>
    <w:p w:rsidR="00EB3BC8" w:rsidRPr="00762272" w:rsidRDefault="002326C8" w:rsidP="00EB3BC8">
      <w:pPr>
        <w:tabs>
          <w:tab w:val="right" w:pos="8838"/>
        </w:tabs>
        <w:spacing w:line="240" w:lineRule="auto"/>
        <w:jc w:val="both"/>
        <w:rPr>
          <w:rFonts w:eastAsia="Times New Roman" w:cstheme="minorHAnsi"/>
          <w:noProof/>
        </w:rPr>
      </w:pPr>
      <w:r w:rsidRPr="00762272">
        <w:rPr>
          <w:rFonts w:eastAsia="Times New Roman" w:cstheme="minorHAnsi"/>
          <w:b/>
          <w:lang w:val="es-ES"/>
        </w:rPr>
        <w:t>Puente Peatonal Bosques de la Acuarela en Dosquebradas</w:t>
      </w:r>
    </w:p>
    <w:p w:rsidR="00EB3BC8" w:rsidRPr="00762272" w:rsidRDefault="00EB3BC8" w:rsidP="00EB3BC8">
      <w:pPr>
        <w:spacing w:line="240" w:lineRule="auto"/>
        <w:jc w:val="both"/>
        <w:rPr>
          <w:rFonts w:cstheme="minorHAnsi"/>
        </w:rPr>
      </w:pPr>
      <w:r w:rsidRPr="00762272">
        <w:rPr>
          <w:rFonts w:cstheme="minorHAnsi"/>
        </w:rPr>
        <w:t>Se adelantan los estudios y diseños del puente peatonal en el sector, el concesionario presentó la última semana de Junio la versión ajustada de los diseños en atención a las observaciones, para revisión de la interventoría.</w:t>
      </w:r>
    </w:p>
    <w:p w:rsidR="00EB3BC8" w:rsidRPr="00762272" w:rsidRDefault="00762272" w:rsidP="00EB3BC8">
      <w:pPr>
        <w:spacing w:line="240" w:lineRule="auto"/>
        <w:jc w:val="both"/>
        <w:rPr>
          <w:rFonts w:cstheme="minorHAnsi"/>
        </w:rPr>
      </w:pPr>
      <w:r w:rsidRPr="00762272">
        <w:rPr>
          <w:rFonts w:cstheme="minorHAnsi"/>
          <w:b/>
          <w:color w:val="000000"/>
        </w:rPr>
        <w:t>Rehabilitación La Española-Calarcá</w:t>
      </w:r>
    </w:p>
    <w:p w:rsidR="00EB3BC8" w:rsidRPr="00762272" w:rsidRDefault="00EB3BC8" w:rsidP="00EB3BC8">
      <w:pPr>
        <w:spacing w:line="240" w:lineRule="auto"/>
        <w:contextualSpacing/>
        <w:jc w:val="both"/>
        <w:rPr>
          <w:rFonts w:cstheme="minorHAnsi"/>
        </w:rPr>
      </w:pPr>
      <w:r w:rsidRPr="00762272">
        <w:rPr>
          <w:rFonts w:cstheme="minorHAnsi"/>
          <w:b/>
        </w:rPr>
        <w:t>Localización:</w:t>
      </w:r>
      <w:r w:rsidRPr="00762272">
        <w:rPr>
          <w:rFonts w:cstheme="minorHAnsi"/>
        </w:rPr>
        <w:t xml:space="preserve"> La Paila – Calarcá  RUTA 4002</w:t>
      </w:r>
    </w:p>
    <w:p w:rsidR="00EB3BC8" w:rsidRPr="00762272" w:rsidRDefault="00EB3BC8" w:rsidP="00EB3BC8">
      <w:pPr>
        <w:spacing w:line="240" w:lineRule="auto"/>
        <w:contextualSpacing/>
        <w:jc w:val="both"/>
        <w:rPr>
          <w:rFonts w:cstheme="minorHAnsi"/>
        </w:rPr>
      </w:pPr>
      <w:r w:rsidRPr="00762272">
        <w:rPr>
          <w:rFonts w:cstheme="minorHAnsi"/>
          <w:b/>
        </w:rPr>
        <w:t>Plazo de Ejecución</w:t>
      </w:r>
      <w:r w:rsidRPr="00762272">
        <w:rPr>
          <w:rFonts w:cstheme="minorHAnsi"/>
        </w:rPr>
        <w:t xml:space="preserve">: 12 meses </w:t>
      </w:r>
    </w:p>
    <w:p w:rsidR="00EB3BC8" w:rsidRPr="00762272" w:rsidRDefault="00EB3BC8" w:rsidP="00EB3BC8">
      <w:pPr>
        <w:spacing w:line="240" w:lineRule="auto"/>
        <w:contextualSpacing/>
        <w:jc w:val="both"/>
        <w:rPr>
          <w:rFonts w:cstheme="minorHAnsi"/>
        </w:rPr>
      </w:pPr>
      <w:r w:rsidRPr="00762272">
        <w:rPr>
          <w:rFonts w:cstheme="minorHAnsi"/>
          <w:b/>
        </w:rPr>
        <w:t>Fecha de Inicio: 25</w:t>
      </w:r>
      <w:r w:rsidRPr="00762272">
        <w:rPr>
          <w:rFonts w:cstheme="minorHAnsi"/>
        </w:rPr>
        <w:t xml:space="preserve"> de mayo de 2015</w:t>
      </w:r>
    </w:p>
    <w:p w:rsidR="00EB3BC8" w:rsidRPr="00762272" w:rsidRDefault="00EB3BC8" w:rsidP="00EB3BC8">
      <w:pPr>
        <w:spacing w:line="240" w:lineRule="auto"/>
        <w:contextualSpacing/>
        <w:jc w:val="both"/>
        <w:rPr>
          <w:rFonts w:cstheme="minorHAnsi"/>
        </w:rPr>
      </w:pPr>
      <w:r w:rsidRPr="00762272">
        <w:rPr>
          <w:rFonts w:cstheme="minorHAnsi"/>
          <w:b/>
        </w:rPr>
        <w:t>Avance estimado:</w:t>
      </w:r>
      <w:r w:rsidRPr="00762272">
        <w:rPr>
          <w:rFonts w:cstheme="minorHAnsi"/>
        </w:rPr>
        <w:t xml:space="preserve"> 15%</w:t>
      </w:r>
    </w:p>
    <w:p w:rsidR="00EB3BC8" w:rsidRPr="00762272" w:rsidRDefault="00EB3BC8" w:rsidP="00EB3BC8">
      <w:pPr>
        <w:spacing w:line="240" w:lineRule="auto"/>
        <w:contextualSpacing/>
        <w:jc w:val="both"/>
        <w:rPr>
          <w:rFonts w:cstheme="minorHAnsi"/>
          <w:b/>
        </w:rPr>
      </w:pPr>
    </w:p>
    <w:p w:rsidR="00EB3BC8" w:rsidRPr="005133E0" w:rsidRDefault="00EB3BC8" w:rsidP="00EB3BC8">
      <w:pPr>
        <w:spacing w:line="240" w:lineRule="auto"/>
        <w:contextualSpacing/>
        <w:jc w:val="both"/>
        <w:rPr>
          <w:rFonts w:ascii="Arial" w:hAnsi="Arial" w:cs="Arial"/>
        </w:rPr>
      </w:pPr>
      <w:r w:rsidRPr="00762272">
        <w:rPr>
          <w:rFonts w:cstheme="minorHAnsi"/>
        </w:rPr>
        <w:t>Se contrata la rehabilitación del tramo la Española Calarcá en una longitud de 9 km aproximadamente, suscribe el acta de inicio de la construcción el 25 de mayo. Se adelantan las actividades preliminares de obra consistentes en localización y señalización y se inicia el fresado, colocación carpeta en pavimento asfaltico y construcción de la obras de arte</w:t>
      </w:r>
      <w:r w:rsidRPr="005133E0">
        <w:rPr>
          <w:rFonts w:ascii="Arial" w:hAnsi="Arial" w:cs="Arial"/>
        </w:rPr>
        <w:t>.</w:t>
      </w:r>
    </w:p>
    <w:p w:rsidR="00EB3BC8" w:rsidRPr="005133E0" w:rsidRDefault="00EB3BC8" w:rsidP="00EB3BC8">
      <w:pPr>
        <w:spacing w:line="240" w:lineRule="auto"/>
        <w:contextualSpacing/>
        <w:jc w:val="both"/>
        <w:rPr>
          <w:rFonts w:ascii="Arial" w:eastAsia="Times New Roman" w:hAnsi="Arial" w:cs="Arial"/>
        </w:rPr>
      </w:pPr>
    </w:p>
    <w:tbl>
      <w:tblPr>
        <w:tblW w:w="0" w:type="auto"/>
        <w:jc w:val="center"/>
        <w:tblCellMar>
          <w:left w:w="70" w:type="dxa"/>
          <w:right w:w="70" w:type="dxa"/>
        </w:tblCellMar>
        <w:tblLook w:val="04A0" w:firstRow="1" w:lastRow="0" w:firstColumn="1" w:lastColumn="0" w:noHBand="0" w:noVBand="1"/>
      </w:tblPr>
      <w:tblGrid>
        <w:gridCol w:w="4442"/>
        <w:gridCol w:w="4396"/>
      </w:tblGrid>
      <w:tr w:rsidR="00EB3BC8" w:rsidRPr="005133E0" w:rsidTr="005E52E0">
        <w:trPr>
          <w:trHeight w:val="2679"/>
          <w:jc w:val="center"/>
        </w:trPr>
        <w:tc>
          <w:tcPr>
            <w:tcW w:w="4773" w:type="dxa"/>
            <w:shd w:val="clear" w:color="auto" w:fill="auto"/>
            <w:vAlign w:val="center"/>
          </w:tcPr>
          <w:p w:rsidR="00EB3BC8" w:rsidRPr="005133E0" w:rsidRDefault="00EB3BC8" w:rsidP="005E52E0">
            <w:pPr>
              <w:spacing w:line="240" w:lineRule="auto"/>
              <w:contextualSpacing/>
              <w:jc w:val="both"/>
              <w:rPr>
                <w:noProof/>
              </w:rPr>
            </w:pPr>
            <w:r w:rsidRPr="005133E0">
              <w:rPr>
                <w:b/>
                <w:noProof/>
              </w:rPr>
              <w:lastRenderedPageBreak/>
              <w:drawing>
                <wp:inline distT="0" distB="0" distL="0" distR="0" wp14:anchorId="19ABEB75" wp14:editId="7374B4C1">
                  <wp:extent cx="2516505" cy="1426210"/>
                  <wp:effectExtent l="0" t="0" r="0" b="2540"/>
                  <wp:docPr id="14" name="Imagen 14" descr="km 76+290 la Española-Clarca inicio frezado rehabilitación via calzada derecha E010mts  (000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km 76+290 la Española-Clarca inicio frezado rehabilitación via calzada derecha E010mts  (0000000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16505" cy="1426210"/>
                          </a:xfrm>
                          <a:prstGeom prst="rect">
                            <a:avLst/>
                          </a:prstGeom>
                          <a:noFill/>
                          <a:ln>
                            <a:noFill/>
                          </a:ln>
                        </pic:spPr>
                      </pic:pic>
                    </a:graphicData>
                  </a:graphic>
                </wp:inline>
              </w:drawing>
            </w:r>
          </w:p>
        </w:tc>
        <w:tc>
          <w:tcPr>
            <w:tcW w:w="4773" w:type="dxa"/>
            <w:shd w:val="clear" w:color="auto" w:fill="auto"/>
            <w:vAlign w:val="center"/>
          </w:tcPr>
          <w:p w:rsidR="00EB3BC8" w:rsidRPr="005133E0" w:rsidRDefault="00EB3BC8" w:rsidP="005E52E0">
            <w:pPr>
              <w:spacing w:line="240" w:lineRule="auto"/>
              <w:contextualSpacing/>
              <w:jc w:val="center"/>
              <w:rPr>
                <w:noProof/>
              </w:rPr>
            </w:pPr>
            <w:r w:rsidRPr="005133E0">
              <w:rPr>
                <w:noProof/>
              </w:rPr>
              <w:drawing>
                <wp:inline distT="0" distB="0" distL="0" distR="0" wp14:anchorId="5F47345E" wp14:editId="49B0D57C">
                  <wp:extent cx="2458085" cy="1382395"/>
                  <wp:effectExtent l="0" t="0" r="0" b="8255"/>
                  <wp:docPr id="15" name="Imagen 15" descr="km 76+290 la Española-Clarca señalización con oaletero obra rehabilitación (000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km 76+290 la Española-Clarca señalización con oaletero obra rehabilitación (0000000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58085" cy="1382395"/>
                          </a:xfrm>
                          <a:prstGeom prst="rect">
                            <a:avLst/>
                          </a:prstGeom>
                          <a:noFill/>
                          <a:ln>
                            <a:noFill/>
                          </a:ln>
                        </pic:spPr>
                      </pic:pic>
                    </a:graphicData>
                  </a:graphic>
                </wp:inline>
              </w:drawing>
            </w:r>
          </w:p>
        </w:tc>
      </w:tr>
    </w:tbl>
    <w:p w:rsidR="00EB3BC8" w:rsidRPr="005133E0" w:rsidRDefault="00EB3BC8" w:rsidP="00EB3BC8">
      <w:pPr>
        <w:spacing w:line="240" w:lineRule="auto"/>
        <w:contextualSpacing/>
        <w:jc w:val="both"/>
        <w:rPr>
          <w:rFonts w:ascii="Arial" w:hAnsi="Arial" w:cs="Arial"/>
          <w:sz w:val="16"/>
          <w:szCs w:val="16"/>
        </w:rPr>
      </w:pPr>
      <w:r w:rsidRPr="005133E0">
        <w:rPr>
          <w:rFonts w:ascii="Arial" w:hAnsi="Arial" w:cs="Arial"/>
          <w:sz w:val="18"/>
          <w:szCs w:val="16"/>
        </w:rPr>
        <w:t>Fresado para la rehabilitación calzad derecha PR 76+290                  Señalización de obra</w:t>
      </w:r>
    </w:p>
    <w:p w:rsidR="00EB3BC8" w:rsidRPr="005133E0" w:rsidRDefault="00EB3BC8" w:rsidP="00EB3BC8">
      <w:pPr>
        <w:spacing w:line="240" w:lineRule="auto"/>
        <w:contextualSpacing/>
        <w:jc w:val="both"/>
        <w:rPr>
          <w:rFonts w:ascii="Arial" w:hAnsi="Arial" w:cs="Arial"/>
          <w:highlight w:val="yellow"/>
        </w:rPr>
      </w:pPr>
    </w:p>
    <w:p w:rsidR="00EB3BC8" w:rsidRPr="00762272" w:rsidRDefault="00762272" w:rsidP="00EB3BC8">
      <w:pPr>
        <w:spacing w:line="240" w:lineRule="auto"/>
        <w:contextualSpacing/>
        <w:jc w:val="both"/>
        <w:rPr>
          <w:rFonts w:cstheme="minorHAnsi"/>
          <w:b/>
        </w:rPr>
      </w:pPr>
      <w:r w:rsidRPr="00762272">
        <w:rPr>
          <w:rFonts w:cstheme="minorHAnsi"/>
          <w:b/>
        </w:rPr>
        <w:t>Actividades de Mantenimiento</w:t>
      </w:r>
    </w:p>
    <w:p w:rsidR="00EB3BC8" w:rsidRPr="00762272" w:rsidRDefault="00EB3BC8" w:rsidP="00EB3BC8">
      <w:pPr>
        <w:spacing w:line="240" w:lineRule="auto"/>
        <w:contextualSpacing/>
        <w:jc w:val="both"/>
        <w:rPr>
          <w:rFonts w:cstheme="minorHAnsi"/>
          <w:b/>
        </w:rPr>
      </w:pPr>
    </w:p>
    <w:p w:rsidR="00EB3BC8" w:rsidRPr="00762272" w:rsidRDefault="00EB3BC8" w:rsidP="00EB3BC8">
      <w:pPr>
        <w:spacing w:after="0" w:line="240" w:lineRule="auto"/>
        <w:jc w:val="both"/>
        <w:rPr>
          <w:rFonts w:eastAsia="Times New Roman" w:cstheme="minorHAnsi"/>
          <w:b/>
          <w:lang w:val="es-ES" w:eastAsia="es-ES"/>
        </w:rPr>
      </w:pPr>
      <w:r w:rsidRPr="00762272">
        <w:rPr>
          <w:rFonts w:eastAsia="Times New Roman" w:cstheme="minorHAnsi"/>
          <w:spacing w:val="-3"/>
          <w:lang w:val="es-ES" w:eastAsia="es-ES"/>
        </w:rPr>
        <w:t xml:space="preserve">El concesionario continúa con las actividades de mantenimiento periódico en los sectores: </w:t>
      </w:r>
    </w:p>
    <w:p w:rsidR="00EB3BC8" w:rsidRPr="00762272" w:rsidRDefault="00EB3BC8" w:rsidP="00EB3BC8">
      <w:pPr>
        <w:spacing w:line="240" w:lineRule="auto"/>
        <w:jc w:val="both"/>
        <w:rPr>
          <w:rFonts w:cstheme="minorHAnsi"/>
        </w:rPr>
      </w:pPr>
      <w:r w:rsidRPr="00762272">
        <w:rPr>
          <w:rFonts w:cstheme="minorHAnsi"/>
        </w:rPr>
        <w:t>El concesionario continúa con las actividades de mantenimiento periódico en los sectores:</w:t>
      </w:r>
    </w:p>
    <w:p w:rsidR="00EB3BC8" w:rsidRPr="00762272" w:rsidRDefault="00EB3BC8" w:rsidP="000021B2">
      <w:pPr>
        <w:numPr>
          <w:ilvl w:val="0"/>
          <w:numId w:val="67"/>
        </w:numPr>
        <w:spacing w:after="0" w:line="240" w:lineRule="auto"/>
        <w:jc w:val="both"/>
        <w:rPr>
          <w:rFonts w:cstheme="minorHAnsi"/>
        </w:rPr>
      </w:pPr>
      <w:r w:rsidRPr="00762272">
        <w:rPr>
          <w:rFonts w:cstheme="minorHAnsi"/>
        </w:rPr>
        <w:t>Variante Santa Rosa</w:t>
      </w:r>
    </w:p>
    <w:p w:rsidR="00EB3BC8" w:rsidRPr="00762272" w:rsidRDefault="00EB3BC8" w:rsidP="000021B2">
      <w:pPr>
        <w:numPr>
          <w:ilvl w:val="0"/>
          <w:numId w:val="67"/>
        </w:numPr>
        <w:spacing w:after="0" w:line="240" w:lineRule="auto"/>
        <w:jc w:val="both"/>
        <w:rPr>
          <w:rFonts w:cstheme="minorHAnsi"/>
        </w:rPr>
      </w:pPr>
      <w:r w:rsidRPr="00762272">
        <w:rPr>
          <w:rFonts w:cstheme="minorHAnsi"/>
        </w:rPr>
        <w:t>Armenia – Club de Tiro</w:t>
      </w:r>
    </w:p>
    <w:p w:rsidR="00EB3BC8" w:rsidRPr="00762272" w:rsidRDefault="00EB3BC8" w:rsidP="000021B2">
      <w:pPr>
        <w:numPr>
          <w:ilvl w:val="0"/>
          <w:numId w:val="67"/>
        </w:numPr>
        <w:spacing w:after="0" w:line="240" w:lineRule="auto"/>
        <w:jc w:val="both"/>
        <w:rPr>
          <w:rFonts w:cstheme="minorHAnsi"/>
        </w:rPr>
      </w:pPr>
      <w:r w:rsidRPr="00762272">
        <w:rPr>
          <w:rFonts w:cstheme="minorHAnsi"/>
        </w:rPr>
        <w:t>Reforzamiento estructural Puente paso 5 Vía Calarcá-La Paila</w:t>
      </w:r>
    </w:p>
    <w:p w:rsidR="00EB3BC8" w:rsidRPr="005133E0" w:rsidRDefault="00EB3BC8" w:rsidP="00EB3BC8">
      <w:pPr>
        <w:spacing w:line="240" w:lineRule="auto"/>
        <w:contextualSpacing/>
        <w:jc w:val="both"/>
        <w:rPr>
          <w:b/>
        </w:rPr>
      </w:pPr>
    </w:p>
    <w:tbl>
      <w:tblPr>
        <w:tblW w:w="0" w:type="auto"/>
        <w:jc w:val="center"/>
        <w:tblCellMar>
          <w:left w:w="70" w:type="dxa"/>
          <w:right w:w="70" w:type="dxa"/>
        </w:tblCellMar>
        <w:tblLook w:val="04A0" w:firstRow="1" w:lastRow="0" w:firstColumn="1" w:lastColumn="0" w:noHBand="0" w:noVBand="1"/>
      </w:tblPr>
      <w:tblGrid>
        <w:gridCol w:w="4466"/>
        <w:gridCol w:w="4372"/>
      </w:tblGrid>
      <w:tr w:rsidR="00EB3BC8" w:rsidRPr="005133E0" w:rsidTr="005E52E0">
        <w:trPr>
          <w:trHeight w:val="3078"/>
          <w:jc w:val="center"/>
        </w:trPr>
        <w:tc>
          <w:tcPr>
            <w:tcW w:w="4791" w:type="dxa"/>
            <w:shd w:val="clear" w:color="auto" w:fill="auto"/>
            <w:vAlign w:val="center"/>
          </w:tcPr>
          <w:p w:rsidR="00EB3BC8" w:rsidRPr="005133E0" w:rsidRDefault="00EB3BC8" w:rsidP="005E52E0">
            <w:pPr>
              <w:spacing w:line="240" w:lineRule="auto"/>
              <w:contextualSpacing/>
              <w:jc w:val="center"/>
              <w:rPr>
                <w:noProof/>
                <w:sz w:val="18"/>
                <w:szCs w:val="18"/>
              </w:rPr>
            </w:pPr>
            <w:r w:rsidRPr="005133E0">
              <w:rPr>
                <w:noProof/>
                <w:sz w:val="18"/>
                <w:szCs w:val="18"/>
              </w:rPr>
              <w:drawing>
                <wp:inline distT="0" distB="0" distL="0" distR="0" wp14:anchorId="1FFADFFF" wp14:editId="76700D54">
                  <wp:extent cx="2823845" cy="1587500"/>
                  <wp:effectExtent l="0" t="0" r="0" b="0"/>
                  <wp:docPr id="17" name="Imagen 17" descr="Y:\REGISTRO FOTOGRÁFICO\2015\6-Junio\Armenia Pereira\mantenimiento periodico\km 25+650 Armenia-Pereira, calzada izquierda, complemento de nivelación mezc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5" descr="Y:\REGISTRO FOTOGRÁFICO\2015\6-Junio\Armenia Pereira\mantenimiento periodico\km 25+650 Armenia-Pereira, calzada izquierda, complemento de nivelación mezcla..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23845" cy="1587500"/>
                          </a:xfrm>
                          <a:prstGeom prst="rect">
                            <a:avLst/>
                          </a:prstGeom>
                          <a:noFill/>
                          <a:ln>
                            <a:noFill/>
                          </a:ln>
                        </pic:spPr>
                      </pic:pic>
                    </a:graphicData>
                  </a:graphic>
                </wp:inline>
              </w:drawing>
            </w:r>
          </w:p>
        </w:tc>
        <w:tc>
          <w:tcPr>
            <w:tcW w:w="4773" w:type="dxa"/>
            <w:shd w:val="clear" w:color="auto" w:fill="auto"/>
            <w:vAlign w:val="center"/>
          </w:tcPr>
          <w:p w:rsidR="00EB3BC8" w:rsidRPr="005133E0" w:rsidRDefault="00EB3BC8" w:rsidP="005E52E0">
            <w:pPr>
              <w:spacing w:line="240" w:lineRule="auto"/>
              <w:contextualSpacing/>
              <w:jc w:val="center"/>
              <w:rPr>
                <w:noProof/>
                <w:sz w:val="18"/>
                <w:szCs w:val="18"/>
              </w:rPr>
            </w:pPr>
            <w:r w:rsidRPr="005133E0">
              <w:rPr>
                <w:noProof/>
                <w:sz w:val="18"/>
                <w:szCs w:val="18"/>
              </w:rPr>
              <w:drawing>
                <wp:inline distT="0" distB="0" distL="0" distR="0" wp14:anchorId="43BC4B99" wp14:editId="29ACFEA1">
                  <wp:extent cx="2757805" cy="1550670"/>
                  <wp:effectExtent l="0" t="0" r="4445" b="0"/>
                  <wp:docPr id="19" name="Imagen 19" descr="Y:\REGISTRO FOTOGRÁFICO\2015\6-Junio\Armenia Pereira\mantenimiento periodico\km 25+750 al 25+650 Armenia-Pereira, limpieza para imprimar, calzada izquier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Y:\REGISTRO FOTOGRÁFICO\2015\6-Junio\Armenia Pereira\mantenimiento periodico\km 25+750 al 25+650 Armenia-Pereira, limpieza para imprimar, calzada izquierda.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57805" cy="1550670"/>
                          </a:xfrm>
                          <a:prstGeom prst="rect">
                            <a:avLst/>
                          </a:prstGeom>
                          <a:noFill/>
                          <a:ln>
                            <a:noFill/>
                          </a:ln>
                        </pic:spPr>
                      </pic:pic>
                    </a:graphicData>
                  </a:graphic>
                </wp:inline>
              </w:drawing>
            </w:r>
          </w:p>
        </w:tc>
      </w:tr>
    </w:tbl>
    <w:p w:rsidR="00EB3BC8" w:rsidRPr="005133E0" w:rsidRDefault="00EB3BC8" w:rsidP="00EB3BC8">
      <w:pPr>
        <w:spacing w:line="240" w:lineRule="auto"/>
        <w:contextualSpacing/>
        <w:jc w:val="center"/>
        <w:rPr>
          <w:rFonts w:ascii="Arial" w:hAnsi="Arial" w:cs="Arial"/>
          <w:sz w:val="18"/>
          <w:szCs w:val="18"/>
        </w:rPr>
      </w:pPr>
      <w:r w:rsidRPr="005133E0">
        <w:rPr>
          <w:rFonts w:ascii="Arial" w:hAnsi="Arial" w:cs="Arial"/>
          <w:sz w:val="18"/>
          <w:szCs w:val="18"/>
        </w:rPr>
        <w:t>Mantenimiento Club de Tiro Terminal</w:t>
      </w:r>
    </w:p>
    <w:p w:rsidR="00EB3BC8" w:rsidRPr="005133E0" w:rsidRDefault="00EB3BC8" w:rsidP="00EB3BC8">
      <w:pPr>
        <w:spacing w:line="240" w:lineRule="auto"/>
        <w:contextualSpacing/>
        <w:jc w:val="center"/>
        <w:rPr>
          <w:rFonts w:ascii="Arial" w:hAnsi="Arial" w:cs="Arial"/>
          <w:sz w:val="18"/>
          <w:szCs w:val="18"/>
        </w:rPr>
      </w:pPr>
    </w:p>
    <w:p w:rsidR="00EB3BC8" w:rsidRPr="00762272" w:rsidRDefault="00EB3BC8" w:rsidP="00EB3BC8">
      <w:pPr>
        <w:spacing w:line="240" w:lineRule="auto"/>
        <w:contextualSpacing/>
        <w:jc w:val="both"/>
        <w:rPr>
          <w:rFonts w:cstheme="minorHAnsi"/>
          <w:b/>
          <w:highlight w:val="yellow"/>
        </w:rPr>
      </w:pPr>
    </w:p>
    <w:p w:rsidR="00EB3BC8" w:rsidRPr="00762272" w:rsidRDefault="00762272" w:rsidP="00EB3BC8">
      <w:pPr>
        <w:spacing w:line="240" w:lineRule="auto"/>
        <w:contextualSpacing/>
        <w:jc w:val="both"/>
        <w:rPr>
          <w:rFonts w:cstheme="minorHAnsi"/>
          <w:b/>
        </w:rPr>
      </w:pPr>
      <w:r w:rsidRPr="00762272">
        <w:rPr>
          <w:rFonts w:cstheme="minorHAnsi"/>
          <w:b/>
        </w:rPr>
        <w:t>Problemática por Resolver</w:t>
      </w:r>
    </w:p>
    <w:p w:rsidR="00EB3BC8" w:rsidRPr="00762272" w:rsidRDefault="00EB3BC8" w:rsidP="00EB3BC8">
      <w:pPr>
        <w:spacing w:line="240" w:lineRule="auto"/>
        <w:contextualSpacing/>
        <w:jc w:val="both"/>
        <w:rPr>
          <w:rFonts w:cstheme="minorHAnsi"/>
          <w:b/>
        </w:rPr>
      </w:pPr>
    </w:p>
    <w:p w:rsidR="00EB3BC8" w:rsidRPr="00762272" w:rsidRDefault="00EB3BC8" w:rsidP="000021B2">
      <w:pPr>
        <w:numPr>
          <w:ilvl w:val="0"/>
          <w:numId w:val="10"/>
        </w:numPr>
        <w:spacing w:after="0" w:line="240" w:lineRule="auto"/>
        <w:jc w:val="both"/>
        <w:rPr>
          <w:rFonts w:eastAsia="Times New Roman" w:cstheme="minorHAnsi"/>
          <w:lang w:val="es-ES" w:eastAsia="es-ES"/>
        </w:rPr>
      </w:pPr>
      <w:r w:rsidRPr="00762272">
        <w:rPr>
          <w:rFonts w:eastAsia="Times New Roman" w:cstheme="minorHAnsi"/>
          <w:lang w:val="es-ES" w:eastAsia="es-ES"/>
        </w:rPr>
        <w:t>Obligación contractual Estación de pesaje “La María”. Se presenta por parte del Concesionario propuesta preliminar para la sustitución de esta obligación contractual.</w:t>
      </w:r>
    </w:p>
    <w:p w:rsidR="00EB3BC8" w:rsidRPr="00762272" w:rsidRDefault="00EB3BC8" w:rsidP="00EB3BC8">
      <w:pPr>
        <w:spacing w:after="0" w:line="240" w:lineRule="auto"/>
        <w:ind w:left="720"/>
        <w:jc w:val="both"/>
        <w:rPr>
          <w:rFonts w:eastAsia="Times New Roman" w:cstheme="minorHAnsi"/>
          <w:lang w:val="es-ES" w:eastAsia="es-ES"/>
        </w:rPr>
      </w:pPr>
      <w:r w:rsidRPr="00762272">
        <w:rPr>
          <w:rFonts w:eastAsia="Times New Roman" w:cstheme="minorHAnsi"/>
          <w:lang w:val="es-ES" w:eastAsia="es-ES"/>
        </w:rPr>
        <w:t xml:space="preserve"> </w:t>
      </w:r>
    </w:p>
    <w:p w:rsidR="00EB3BC8" w:rsidRPr="00762272" w:rsidRDefault="00EB3BC8" w:rsidP="000021B2">
      <w:pPr>
        <w:numPr>
          <w:ilvl w:val="0"/>
          <w:numId w:val="10"/>
        </w:numPr>
        <w:spacing w:after="0" w:line="240" w:lineRule="auto"/>
        <w:jc w:val="both"/>
        <w:rPr>
          <w:rFonts w:eastAsia="Times New Roman" w:cstheme="minorHAnsi"/>
          <w:lang w:val="es-ES" w:eastAsia="es-ES"/>
        </w:rPr>
      </w:pPr>
      <w:r w:rsidRPr="00762272">
        <w:rPr>
          <w:rFonts w:eastAsia="Times New Roman" w:cstheme="minorHAnsi"/>
          <w:lang w:val="es-ES" w:eastAsia="es-ES"/>
        </w:rPr>
        <w:t>Existen Diferencias entre el concesionario y la ANI por el valor contractual de la construcción y rehabilitación y otros componentes del modelo financiero. Se realizan mesas de trabajo al interior de la entidad para revisar los resultados iniciales de la evaluación de la incidencia financiera en el proyecto.</w:t>
      </w:r>
    </w:p>
    <w:p w:rsidR="00EB3BC8" w:rsidRPr="00762272" w:rsidRDefault="00EB3BC8" w:rsidP="00EB3BC8">
      <w:pPr>
        <w:spacing w:line="240" w:lineRule="auto"/>
        <w:jc w:val="both"/>
        <w:rPr>
          <w:rFonts w:cstheme="minorHAnsi"/>
        </w:rPr>
      </w:pPr>
    </w:p>
    <w:p w:rsidR="00EB3BC8" w:rsidRPr="00762272" w:rsidRDefault="00EB3BC8" w:rsidP="000021B2">
      <w:pPr>
        <w:numPr>
          <w:ilvl w:val="0"/>
          <w:numId w:val="10"/>
        </w:numPr>
        <w:spacing w:after="0" w:line="240" w:lineRule="auto"/>
        <w:jc w:val="both"/>
        <w:rPr>
          <w:rFonts w:cstheme="minorHAnsi"/>
        </w:rPr>
      </w:pPr>
      <w:r w:rsidRPr="00762272">
        <w:rPr>
          <w:rFonts w:cstheme="minorHAnsi"/>
        </w:rPr>
        <w:t xml:space="preserve">El IGAC aún no responde la solicitud formal para la actualización de cabida y linderos del predio pendiente de adquisición para terminar el acceso a Alcalá en la variante sur. La </w:t>
      </w:r>
      <w:r w:rsidRPr="00762272">
        <w:rPr>
          <w:rFonts w:cstheme="minorHAnsi"/>
        </w:rPr>
        <w:lastRenderedPageBreak/>
        <w:t>Gerencia predial reiteró formalmente la solicitud y realiza gestiones con el fin de agilizar el trámite respectivo.</w:t>
      </w:r>
    </w:p>
    <w:p w:rsidR="00EB3BC8" w:rsidRPr="00762272" w:rsidRDefault="00EB3BC8" w:rsidP="00EB3BC8">
      <w:pPr>
        <w:spacing w:line="240" w:lineRule="auto"/>
        <w:jc w:val="both"/>
        <w:rPr>
          <w:rFonts w:cstheme="minorHAnsi"/>
          <w:b/>
        </w:rPr>
      </w:pPr>
    </w:p>
    <w:p w:rsidR="00EB3BC8" w:rsidRPr="00690862" w:rsidRDefault="00EB3BC8" w:rsidP="00690862">
      <w:pPr>
        <w:spacing w:line="240" w:lineRule="auto"/>
        <w:jc w:val="both"/>
        <w:rPr>
          <w:rFonts w:eastAsia="Times New Roman" w:cs="Calibri"/>
          <w:b/>
          <w:color w:val="000000"/>
          <w:u w:val="single"/>
        </w:rPr>
      </w:pPr>
      <w:r w:rsidRPr="00690862">
        <w:rPr>
          <w:rFonts w:eastAsia="Times New Roman" w:cs="Calibri"/>
          <w:b/>
          <w:color w:val="000000"/>
          <w:u w:val="single"/>
        </w:rPr>
        <w:t xml:space="preserve">20. INFORME DE GESTIÓN PROYECTO CONEXIÓN PACIFICO 1  </w:t>
      </w:r>
    </w:p>
    <w:p w:rsidR="00EB3BC8" w:rsidRPr="005133E0" w:rsidRDefault="00EB3BC8" w:rsidP="00EB3BC8">
      <w:pPr>
        <w:spacing w:after="0" w:line="240" w:lineRule="auto"/>
        <w:jc w:val="both"/>
        <w:rPr>
          <w:rFonts w:ascii="Arial" w:eastAsia="Times New Roman" w:hAnsi="Arial" w:cs="Arial"/>
          <w:b/>
          <w:lang w:val="es-ES"/>
        </w:rPr>
      </w:pPr>
    </w:p>
    <w:p w:rsidR="00EB3BC8" w:rsidRPr="00690862" w:rsidRDefault="00EB3BC8" w:rsidP="00EB3BC8">
      <w:pPr>
        <w:spacing w:line="240" w:lineRule="auto"/>
        <w:jc w:val="both"/>
        <w:rPr>
          <w:rFonts w:eastAsia="Calibri" w:cstheme="minorHAnsi"/>
          <w:color w:val="000000"/>
          <w:szCs w:val="24"/>
        </w:rPr>
      </w:pPr>
      <w:r w:rsidRPr="00690862">
        <w:rPr>
          <w:rFonts w:eastAsia="Calibri" w:cstheme="minorHAnsi"/>
          <w:color w:val="000000"/>
          <w:szCs w:val="24"/>
        </w:rPr>
        <w:t xml:space="preserve">En el segundo trimestre del año (abril a junio), fue suscrito el Convenio de Cooperación entre la Concesionaria Vial del Pacifico SAS y La Policía Nacional de Colombia el 27 de abril de 2015, en concordancia el 10 de junio, se realizó la entrega de los elementos de dotación logística y de tecnología que permitirán mejorar las condiciones de seguridad y el comportamiento de los usuarios en la vía, así mismo dando cumplimiento al Contrato de Concesión se estableció el protocolo de coordinación con la Policía de Carreteras, el cual empezará a regir a partir de la fecha de suscripción del Convenio. </w:t>
      </w:r>
    </w:p>
    <w:p w:rsidR="00EB3BC8" w:rsidRPr="00690862" w:rsidRDefault="00EB3BC8" w:rsidP="00EB3BC8">
      <w:pPr>
        <w:spacing w:line="240" w:lineRule="auto"/>
        <w:jc w:val="both"/>
        <w:rPr>
          <w:rFonts w:eastAsia="Calibri" w:cstheme="minorHAnsi"/>
          <w:color w:val="000000"/>
          <w:szCs w:val="24"/>
        </w:rPr>
      </w:pPr>
      <w:r w:rsidRPr="00690862">
        <w:rPr>
          <w:rFonts w:eastAsia="Calibri" w:cstheme="minorHAnsi"/>
          <w:color w:val="000000"/>
          <w:szCs w:val="24"/>
        </w:rPr>
        <w:t>El día 09 de junio se cumplió el plazo contractual de los doscientos diez (210) días siguientes a la fecha de Inicio, por lo cual el concesionario radicó en esta fecha para la No Objeción de la Interventoría los siguientes documentos:</w:t>
      </w:r>
    </w:p>
    <w:p w:rsidR="00EB3BC8" w:rsidRPr="00690862" w:rsidRDefault="00EB3BC8" w:rsidP="000021B2">
      <w:pPr>
        <w:numPr>
          <w:ilvl w:val="0"/>
          <w:numId w:val="49"/>
        </w:numPr>
        <w:spacing w:line="240" w:lineRule="auto"/>
        <w:contextualSpacing/>
        <w:jc w:val="both"/>
        <w:rPr>
          <w:rFonts w:eastAsia="Calibri" w:cstheme="minorHAnsi"/>
          <w:color w:val="000000"/>
          <w:szCs w:val="24"/>
        </w:rPr>
      </w:pPr>
      <w:r w:rsidRPr="00690862">
        <w:rPr>
          <w:rFonts w:eastAsia="Calibri" w:cstheme="minorHAnsi"/>
          <w:color w:val="000000"/>
          <w:szCs w:val="24"/>
        </w:rPr>
        <w:t>Plan de Adquisición de Predios</w:t>
      </w:r>
    </w:p>
    <w:p w:rsidR="00EB3BC8" w:rsidRPr="00690862" w:rsidRDefault="00EB3BC8" w:rsidP="000021B2">
      <w:pPr>
        <w:numPr>
          <w:ilvl w:val="0"/>
          <w:numId w:val="49"/>
        </w:numPr>
        <w:spacing w:line="240" w:lineRule="auto"/>
        <w:contextualSpacing/>
        <w:jc w:val="both"/>
        <w:rPr>
          <w:rFonts w:eastAsia="Calibri" w:cstheme="minorHAnsi"/>
          <w:color w:val="000000"/>
          <w:szCs w:val="24"/>
        </w:rPr>
      </w:pPr>
      <w:r w:rsidRPr="00690862">
        <w:rPr>
          <w:rFonts w:eastAsia="Calibri" w:cstheme="minorHAnsi"/>
          <w:color w:val="000000"/>
          <w:szCs w:val="24"/>
        </w:rPr>
        <w:t>Plan para el traslado y/o manejo de Redes</w:t>
      </w:r>
    </w:p>
    <w:p w:rsidR="00EB3BC8" w:rsidRPr="00690862" w:rsidRDefault="00EB3BC8" w:rsidP="000021B2">
      <w:pPr>
        <w:numPr>
          <w:ilvl w:val="0"/>
          <w:numId w:val="49"/>
        </w:numPr>
        <w:spacing w:line="240" w:lineRule="auto"/>
        <w:contextualSpacing/>
        <w:jc w:val="both"/>
        <w:rPr>
          <w:rFonts w:eastAsia="Calibri" w:cstheme="minorHAnsi"/>
          <w:color w:val="000000"/>
          <w:szCs w:val="24"/>
        </w:rPr>
      </w:pPr>
      <w:r w:rsidRPr="00690862">
        <w:rPr>
          <w:rFonts w:eastAsia="Calibri" w:cstheme="minorHAnsi"/>
          <w:color w:val="000000"/>
          <w:szCs w:val="24"/>
        </w:rPr>
        <w:t>Estudios de Trazado y Diseño Geométrico para todas las Unidades Funcionales.</w:t>
      </w:r>
    </w:p>
    <w:p w:rsidR="00EB3BC8" w:rsidRPr="00690862" w:rsidRDefault="00EB3BC8" w:rsidP="000021B2">
      <w:pPr>
        <w:numPr>
          <w:ilvl w:val="0"/>
          <w:numId w:val="49"/>
        </w:numPr>
        <w:spacing w:line="240" w:lineRule="auto"/>
        <w:contextualSpacing/>
        <w:jc w:val="both"/>
        <w:rPr>
          <w:rFonts w:eastAsia="Calibri" w:cstheme="minorHAnsi"/>
          <w:color w:val="000000"/>
          <w:szCs w:val="24"/>
        </w:rPr>
      </w:pPr>
      <w:r w:rsidRPr="00690862">
        <w:rPr>
          <w:rFonts w:eastAsia="Calibri" w:cstheme="minorHAnsi"/>
          <w:color w:val="000000"/>
          <w:szCs w:val="24"/>
        </w:rPr>
        <w:t>Estudios de Detalle correspondientes a las Unidades Funcionales cuya ejecución deba comenzar al inicio de la Fase de Construcción (UF1 y UF4).</w:t>
      </w:r>
    </w:p>
    <w:p w:rsidR="00EB3BC8" w:rsidRPr="00690862" w:rsidRDefault="00EB3BC8" w:rsidP="00EB3BC8">
      <w:pPr>
        <w:spacing w:line="240" w:lineRule="auto"/>
        <w:jc w:val="both"/>
        <w:rPr>
          <w:rFonts w:eastAsia="Calibri" w:cstheme="minorHAnsi"/>
          <w:color w:val="000000"/>
          <w:szCs w:val="24"/>
        </w:rPr>
      </w:pPr>
      <w:r w:rsidRPr="00690862">
        <w:rPr>
          <w:rFonts w:eastAsia="Calibri" w:cstheme="minorHAnsi"/>
          <w:color w:val="000000"/>
          <w:szCs w:val="24"/>
        </w:rPr>
        <w:t>Se han realizado mesas de trabajo Concesionario – ANI – Interventoría, con el fin de revisar el avance a las acciones y documentos para el licenciamiento ambiental y a la gestión Predial, con el fin que estos se cumplan en los plazos contractuales.</w:t>
      </w:r>
    </w:p>
    <w:p w:rsidR="00EB3BC8" w:rsidRPr="00690862" w:rsidRDefault="00EB3BC8" w:rsidP="00EB3BC8">
      <w:pPr>
        <w:spacing w:line="240" w:lineRule="auto"/>
        <w:jc w:val="both"/>
        <w:rPr>
          <w:rFonts w:eastAsia="Calibri" w:cstheme="minorHAnsi"/>
          <w:color w:val="000000"/>
          <w:szCs w:val="24"/>
        </w:rPr>
      </w:pPr>
      <w:r w:rsidRPr="00690862">
        <w:rPr>
          <w:rFonts w:eastAsia="Calibri" w:cstheme="minorHAnsi"/>
          <w:color w:val="000000"/>
          <w:szCs w:val="24"/>
        </w:rPr>
        <w:t xml:space="preserve">De igual forma, se han realizado actividades de operación y mantenimiento a la infraestructura entregada por INVIAS en noviembre del año 2014, correspondiente al tramo Camilo Cé – Bolombolo (30,8Km sin incluir los tramos afectados por el Fondo Adaptación). En el periodo correspondiente el concesionario realizó labores de demarcación horizontal en los tramos donde se carecía de esta. </w:t>
      </w:r>
    </w:p>
    <w:p w:rsidR="00EB3BC8" w:rsidRPr="00690862" w:rsidRDefault="00EB3BC8" w:rsidP="00EB3BC8">
      <w:pPr>
        <w:spacing w:after="0" w:line="240" w:lineRule="auto"/>
        <w:jc w:val="both"/>
        <w:rPr>
          <w:rFonts w:eastAsia="Times New Roman" w:cstheme="minorHAnsi"/>
          <w:b/>
          <w:lang w:val="es-ES"/>
        </w:rPr>
      </w:pPr>
      <w:r w:rsidRPr="00690862">
        <w:rPr>
          <w:rFonts w:eastAsia="Calibri" w:cstheme="minorHAnsi"/>
          <w:color w:val="000000"/>
          <w:szCs w:val="24"/>
        </w:rPr>
        <w:t>Entre las dificultades presentadas, se encuentra la no definición del Amigable componedor por parte de la ANI.</w:t>
      </w:r>
      <w:r w:rsidRPr="00690862">
        <w:rPr>
          <w:rFonts w:eastAsia="Times New Roman" w:cstheme="minorHAnsi"/>
          <w:b/>
          <w:lang w:val="es-ES"/>
        </w:rPr>
        <w:t xml:space="preserve"> </w:t>
      </w:r>
    </w:p>
    <w:p w:rsidR="00EB3BC8" w:rsidRPr="00690862" w:rsidRDefault="00EB3BC8" w:rsidP="00EB3BC8">
      <w:pPr>
        <w:spacing w:line="240" w:lineRule="auto"/>
        <w:jc w:val="both"/>
        <w:rPr>
          <w:rFonts w:eastAsia="Calibri" w:cstheme="minorHAnsi"/>
          <w:color w:val="000000"/>
          <w:szCs w:val="24"/>
        </w:rPr>
      </w:pPr>
      <w:r w:rsidRPr="00690862">
        <w:rPr>
          <w:rFonts w:cstheme="minorHAnsi"/>
          <w:color w:val="000000"/>
          <w:lang w:val="es-ES"/>
        </w:rPr>
        <w:t xml:space="preserve">Aun </w:t>
      </w:r>
      <w:r w:rsidRPr="00690862">
        <w:rPr>
          <w:rFonts w:cstheme="minorHAnsi"/>
          <w:color w:val="000000"/>
        </w:rPr>
        <w:t>se encuentra  pendiente la entrega de la infraestructura faltante por parte de INVIAS, por encontrarse contratos en ejecución por parte de INVIAS</w:t>
      </w:r>
    </w:p>
    <w:p w:rsidR="00EB3BC8" w:rsidRPr="005133E0" w:rsidRDefault="00EB3BC8" w:rsidP="00EB3BC8">
      <w:pPr>
        <w:spacing w:line="240" w:lineRule="auto"/>
        <w:ind w:right="-705"/>
        <w:jc w:val="center"/>
        <w:rPr>
          <w:rFonts w:ascii="Calibri" w:eastAsia="Calibri" w:hAnsi="Calibri" w:cs="Calibri"/>
          <w:color w:val="000000"/>
          <w:sz w:val="24"/>
          <w:szCs w:val="24"/>
        </w:rPr>
      </w:pPr>
      <w:r w:rsidRPr="005133E0">
        <w:rPr>
          <w:rFonts w:ascii="Calibri" w:eastAsia="Calibri" w:hAnsi="Calibri" w:cs="Calibri"/>
          <w:noProof/>
          <w:color w:val="000000"/>
          <w:sz w:val="24"/>
          <w:szCs w:val="24"/>
        </w:rPr>
        <w:drawing>
          <wp:inline distT="0" distB="0" distL="0" distR="0" wp14:anchorId="6CB13C5B" wp14:editId="66654F0A">
            <wp:extent cx="3200000" cy="1800000"/>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50713_152353.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200000" cy="1800000"/>
                    </a:xfrm>
                    <a:prstGeom prst="rect">
                      <a:avLst/>
                    </a:prstGeom>
                  </pic:spPr>
                </pic:pic>
              </a:graphicData>
            </a:graphic>
          </wp:inline>
        </w:drawing>
      </w:r>
      <w:r w:rsidRPr="005133E0">
        <w:rPr>
          <w:rFonts w:ascii="Calibri" w:eastAsia="Calibri" w:hAnsi="Calibri" w:cs="Calibri"/>
          <w:color w:val="000000"/>
          <w:sz w:val="24"/>
          <w:szCs w:val="24"/>
        </w:rPr>
        <w:t xml:space="preserve">    </w:t>
      </w:r>
    </w:p>
    <w:p w:rsidR="00EB3BC8" w:rsidRPr="005133E0" w:rsidRDefault="00EB3BC8" w:rsidP="00EB3BC8">
      <w:pPr>
        <w:spacing w:line="240" w:lineRule="auto"/>
        <w:ind w:right="-705"/>
        <w:jc w:val="center"/>
        <w:rPr>
          <w:rFonts w:ascii="Calibri" w:eastAsia="Calibri" w:hAnsi="Calibri" w:cs="Calibri"/>
          <w:color w:val="000000"/>
          <w:sz w:val="18"/>
          <w:szCs w:val="18"/>
        </w:rPr>
      </w:pPr>
      <w:r w:rsidRPr="005133E0">
        <w:rPr>
          <w:rFonts w:ascii="Calibri" w:eastAsia="Calibri" w:hAnsi="Calibri" w:cs="Calibri"/>
          <w:color w:val="000000"/>
          <w:sz w:val="18"/>
          <w:szCs w:val="18"/>
        </w:rPr>
        <w:lastRenderedPageBreak/>
        <w:t>Base de Operación - Atención al Usuario</w:t>
      </w:r>
    </w:p>
    <w:p w:rsidR="00EB3BC8" w:rsidRPr="005133E0" w:rsidRDefault="00EB3BC8" w:rsidP="00EB3BC8">
      <w:pPr>
        <w:spacing w:line="240" w:lineRule="auto"/>
        <w:ind w:right="-705"/>
        <w:jc w:val="center"/>
        <w:rPr>
          <w:rFonts w:ascii="Calibri" w:eastAsia="Calibri" w:hAnsi="Calibri" w:cs="Calibri"/>
          <w:color w:val="000000"/>
          <w:sz w:val="24"/>
          <w:szCs w:val="24"/>
        </w:rPr>
      </w:pPr>
      <w:r w:rsidRPr="005133E0">
        <w:rPr>
          <w:noProof/>
        </w:rPr>
        <w:drawing>
          <wp:inline distT="0" distB="0" distL="0" distR="0" wp14:anchorId="579626B2" wp14:editId="3657625E">
            <wp:extent cx="2641600" cy="1981200"/>
            <wp:effectExtent l="0" t="0" r="6350" b="0"/>
            <wp:docPr id="21" name="Imagen 21" descr="http://www.ani.gov.co/sites/default/files/styles/516x387/public/covipacifico.jpg?itok=2v2gES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ni.gov.co/sites/default/files/styles/516x387/public/covipacifico.jpg?itok=2v2gESl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55482" cy="1991612"/>
                    </a:xfrm>
                    <a:prstGeom prst="rect">
                      <a:avLst/>
                    </a:prstGeom>
                    <a:noFill/>
                    <a:ln>
                      <a:noFill/>
                    </a:ln>
                  </pic:spPr>
                </pic:pic>
              </a:graphicData>
            </a:graphic>
          </wp:inline>
        </w:drawing>
      </w:r>
      <w:r w:rsidRPr="005133E0">
        <w:rPr>
          <w:rFonts w:ascii="Calibri" w:eastAsia="Calibri" w:hAnsi="Calibri" w:cs="Calibri"/>
          <w:color w:val="000000"/>
          <w:sz w:val="24"/>
          <w:szCs w:val="24"/>
        </w:rPr>
        <w:t xml:space="preserve"> </w:t>
      </w:r>
    </w:p>
    <w:p w:rsidR="00EB3BC8" w:rsidRPr="005133E0" w:rsidRDefault="00EB3BC8" w:rsidP="00EB3BC8">
      <w:pPr>
        <w:spacing w:after="0" w:line="240" w:lineRule="auto"/>
        <w:ind w:right="-705"/>
        <w:jc w:val="center"/>
        <w:rPr>
          <w:rFonts w:ascii="Calibri" w:eastAsia="Calibri" w:hAnsi="Calibri" w:cs="Calibri"/>
          <w:color w:val="000000"/>
          <w:szCs w:val="24"/>
        </w:rPr>
      </w:pPr>
      <w:r w:rsidRPr="005133E0">
        <w:rPr>
          <w:rFonts w:ascii="Calibri" w:eastAsia="Calibri" w:hAnsi="Calibri" w:cs="Calibri"/>
          <w:color w:val="000000"/>
          <w:szCs w:val="24"/>
        </w:rPr>
        <w:t>Entrega de Bienes Policía Nacional.</w:t>
      </w:r>
    </w:p>
    <w:p w:rsidR="00EB3BC8" w:rsidRPr="005133E0" w:rsidRDefault="00EB3BC8" w:rsidP="00EB3BC8">
      <w:pPr>
        <w:spacing w:after="0" w:line="240" w:lineRule="auto"/>
        <w:jc w:val="both"/>
        <w:rPr>
          <w:rFonts w:ascii="Arial" w:eastAsia="Times New Roman" w:hAnsi="Arial" w:cs="Arial"/>
          <w:b/>
        </w:rPr>
      </w:pPr>
    </w:p>
    <w:p w:rsidR="00EB3BC8" w:rsidRPr="00690862" w:rsidRDefault="00EB3BC8" w:rsidP="00690862">
      <w:pPr>
        <w:spacing w:line="240" w:lineRule="auto"/>
        <w:jc w:val="both"/>
        <w:rPr>
          <w:rFonts w:eastAsia="Times New Roman" w:cs="Calibri"/>
          <w:b/>
          <w:color w:val="000000"/>
          <w:u w:val="single"/>
        </w:rPr>
      </w:pPr>
      <w:r w:rsidRPr="00690862">
        <w:rPr>
          <w:rFonts w:eastAsia="Times New Roman" w:cs="Calibri"/>
          <w:b/>
          <w:color w:val="000000"/>
          <w:u w:val="single"/>
        </w:rPr>
        <w:t xml:space="preserve">21. INFORME DE GESTIÓN PROYECTO CONEXIÓN PACIFICO 2 </w:t>
      </w:r>
    </w:p>
    <w:p w:rsidR="00EB3BC8" w:rsidRPr="005133E0" w:rsidRDefault="00EB3BC8" w:rsidP="00EB3BC8">
      <w:pPr>
        <w:spacing w:line="240" w:lineRule="auto"/>
        <w:rPr>
          <w:rFonts w:ascii="Arial" w:hAnsi="Arial" w:cs="Arial"/>
        </w:rPr>
      </w:pPr>
    </w:p>
    <w:p w:rsidR="00EB3BC8" w:rsidRPr="00690862" w:rsidRDefault="00EB3BC8" w:rsidP="000021B2">
      <w:pPr>
        <w:numPr>
          <w:ilvl w:val="0"/>
          <w:numId w:val="37"/>
        </w:numPr>
        <w:spacing w:after="160" w:line="240" w:lineRule="auto"/>
        <w:contextualSpacing/>
        <w:jc w:val="both"/>
        <w:rPr>
          <w:rFonts w:eastAsia="Calibri" w:cstheme="minorHAnsi"/>
          <w:color w:val="000000"/>
        </w:rPr>
      </w:pPr>
      <w:r w:rsidRPr="00690862">
        <w:rPr>
          <w:rFonts w:eastAsia="Calibri" w:cstheme="minorHAnsi"/>
          <w:color w:val="000000"/>
        </w:rPr>
        <w:t>En el segundo trimestre del año en curso, en la concesión se continuaron realizado actividades de operación y mantenimiento (bacheos, parcheos, demarcación de zonas escolares, rocería, limpieza de obras de arte de cunetas, alcantarillas, puentes y pontones, colocación de tachas bidireccionales y cambio e instalación de señalización vertical) a la infraestructura entregada por INVIAS en noviembre del año 2014, y en Enero de 2015 correspondiente al tramo UF5. La Pintada - Primavera (La Pintada PR 0+000  - Primavera PR 54+000)</w:t>
      </w:r>
    </w:p>
    <w:p w:rsidR="00EB3BC8" w:rsidRPr="00690862" w:rsidRDefault="00EB3BC8" w:rsidP="00EB3BC8">
      <w:pPr>
        <w:spacing w:line="240" w:lineRule="auto"/>
        <w:ind w:left="720"/>
        <w:contextualSpacing/>
        <w:jc w:val="both"/>
        <w:rPr>
          <w:rFonts w:eastAsia="Calibri" w:cstheme="minorHAnsi"/>
          <w:color w:val="000000"/>
        </w:rPr>
      </w:pPr>
    </w:p>
    <w:p w:rsidR="00EB3BC8" w:rsidRPr="00690862" w:rsidRDefault="00EB3BC8" w:rsidP="000021B2">
      <w:pPr>
        <w:numPr>
          <w:ilvl w:val="0"/>
          <w:numId w:val="37"/>
        </w:numPr>
        <w:spacing w:after="160" w:line="240" w:lineRule="auto"/>
        <w:contextualSpacing/>
        <w:jc w:val="both"/>
        <w:rPr>
          <w:rFonts w:eastAsia="Calibri" w:cstheme="minorHAnsi"/>
          <w:color w:val="000000"/>
        </w:rPr>
      </w:pPr>
      <w:r w:rsidRPr="00690862">
        <w:rPr>
          <w:rFonts w:eastAsia="Calibri" w:cstheme="minorHAnsi"/>
          <w:color w:val="000000"/>
        </w:rPr>
        <w:t>Se continuaron realizando mesas de trabajo entre el Concesionario – ANI – Interventoría, con el fin de revisar el avance a las acciones y documentos para el licenciamiento ambiental, dando como resultado la aprobación de ejecución  del PAGA en las UF1 subsector 1 y UF2 por parte de la ANLA mediante oficio 20150195872 del 26 de Junio de 2015; y predial donde se verifica el avance de la gestiones y obligaciones contractuales por parte del Concesionario y de la Interventoría.</w:t>
      </w:r>
    </w:p>
    <w:p w:rsidR="00EB3BC8" w:rsidRPr="00690862" w:rsidRDefault="00EB3BC8" w:rsidP="00EB3BC8">
      <w:pPr>
        <w:spacing w:line="240" w:lineRule="auto"/>
        <w:ind w:left="720"/>
        <w:contextualSpacing/>
        <w:jc w:val="both"/>
        <w:rPr>
          <w:rFonts w:eastAsia="Calibri" w:cstheme="minorHAnsi"/>
          <w:color w:val="000000"/>
        </w:rPr>
      </w:pPr>
    </w:p>
    <w:p w:rsidR="00EB3BC8" w:rsidRPr="00690862" w:rsidRDefault="00EB3BC8" w:rsidP="000021B2">
      <w:pPr>
        <w:numPr>
          <w:ilvl w:val="0"/>
          <w:numId w:val="37"/>
        </w:numPr>
        <w:spacing w:after="160" w:line="240" w:lineRule="auto"/>
        <w:contextualSpacing/>
        <w:jc w:val="both"/>
        <w:rPr>
          <w:rFonts w:eastAsia="Calibri" w:cstheme="minorHAnsi"/>
          <w:color w:val="000000"/>
        </w:rPr>
      </w:pPr>
      <w:r w:rsidRPr="00690862">
        <w:rPr>
          <w:rFonts w:eastAsia="Calibri" w:cstheme="minorHAnsi"/>
          <w:color w:val="000000"/>
        </w:rPr>
        <w:t>Se realizó la entrega por parte  del Concesionario La Pintada S.A.S a la Policía de Carreteras de los bienes el 7 de Mayo de 2015, con acompañamiento de la ANI y la Interventoría.</w:t>
      </w:r>
    </w:p>
    <w:p w:rsidR="00EB3BC8" w:rsidRPr="005133E0" w:rsidRDefault="00EB3BC8" w:rsidP="00EB3BC8">
      <w:pPr>
        <w:spacing w:line="240" w:lineRule="auto"/>
        <w:ind w:left="720"/>
        <w:contextualSpacing/>
        <w:jc w:val="both"/>
        <w:rPr>
          <w:rFonts w:ascii="Arial" w:eastAsia="Calibri" w:hAnsi="Arial" w:cs="Arial"/>
          <w:color w:val="000000"/>
        </w:rPr>
      </w:pPr>
      <w:r w:rsidRPr="005133E0">
        <w:rPr>
          <w:noProof/>
        </w:rPr>
        <w:drawing>
          <wp:anchor distT="0" distB="0" distL="114300" distR="114300" simplePos="0" relativeHeight="251705344" behindDoc="0" locked="0" layoutInCell="1" allowOverlap="1" wp14:anchorId="5165729C" wp14:editId="3BEAA8EF">
            <wp:simplePos x="0" y="0"/>
            <wp:positionH relativeFrom="column">
              <wp:posOffset>3152140</wp:posOffset>
            </wp:positionH>
            <wp:positionV relativeFrom="paragraph">
              <wp:posOffset>19050</wp:posOffset>
            </wp:positionV>
            <wp:extent cx="2466975" cy="1849755"/>
            <wp:effectExtent l="0" t="0" r="952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0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6697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33E0">
        <w:rPr>
          <w:noProof/>
        </w:rPr>
        <w:drawing>
          <wp:inline distT="0" distB="0" distL="0" distR="0" wp14:anchorId="345F9FA2" wp14:editId="537BD647">
            <wp:extent cx="2562225" cy="192405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62225" cy="1924050"/>
                    </a:xfrm>
                    <a:prstGeom prst="rect">
                      <a:avLst/>
                    </a:prstGeom>
                    <a:noFill/>
                    <a:ln>
                      <a:noFill/>
                    </a:ln>
                  </pic:spPr>
                </pic:pic>
              </a:graphicData>
            </a:graphic>
          </wp:inline>
        </w:drawing>
      </w:r>
      <w:r w:rsidRPr="005133E0">
        <w:rPr>
          <w:noProof/>
        </w:rPr>
        <w:t xml:space="preserve"> </w:t>
      </w:r>
    </w:p>
    <w:p w:rsidR="00EB3BC8" w:rsidRPr="005133E0" w:rsidRDefault="00EB3BC8" w:rsidP="00EB3BC8">
      <w:pPr>
        <w:spacing w:line="240" w:lineRule="auto"/>
        <w:ind w:left="720"/>
        <w:contextualSpacing/>
        <w:rPr>
          <w:rFonts w:ascii="Calibri" w:eastAsia="Calibri" w:hAnsi="Calibri" w:cs="Calibri"/>
          <w:color w:val="000000"/>
        </w:rPr>
      </w:pPr>
    </w:p>
    <w:p w:rsidR="00EB3BC8" w:rsidRPr="005133E0" w:rsidRDefault="00EB3BC8" w:rsidP="00EB3BC8">
      <w:pPr>
        <w:spacing w:line="240" w:lineRule="auto"/>
        <w:ind w:left="720"/>
        <w:contextualSpacing/>
        <w:rPr>
          <w:rFonts w:ascii="Calibri" w:hAnsi="Calibri" w:cs="Calibri"/>
        </w:rPr>
      </w:pPr>
    </w:p>
    <w:p w:rsidR="00EB3BC8" w:rsidRPr="005133E0" w:rsidRDefault="00EB3BC8" w:rsidP="00EB3BC8">
      <w:pPr>
        <w:spacing w:line="240" w:lineRule="auto"/>
        <w:ind w:left="720"/>
        <w:contextualSpacing/>
        <w:rPr>
          <w:rFonts w:ascii="Calibri" w:hAnsi="Calibri" w:cs="Calibri"/>
        </w:rPr>
      </w:pPr>
      <w:r w:rsidRPr="005133E0">
        <w:rPr>
          <w:noProof/>
        </w:rPr>
        <w:t xml:space="preserve">  </w:t>
      </w:r>
      <w:r w:rsidRPr="005133E0">
        <w:rPr>
          <w:noProof/>
        </w:rPr>
        <w:drawing>
          <wp:inline distT="0" distB="0" distL="0" distR="0" wp14:anchorId="50D8461F" wp14:editId="1406F56C">
            <wp:extent cx="2400300" cy="19240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00300" cy="1924050"/>
                    </a:xfrm>
                    <a:prstGeom prst="rect">
                      <a:avLst/>
                    </a:prstGeom>
                    <a:noFill/>
                    <a:ln>
                      <a:noFill/>
                    </a:ln>
                  </pic:spPr>
                </pic:pic>
              </a:graphicData>
            </a:graphic>
          </wp:inline>
        </w:drawing>
      </w:r>
      <w:r w:rsidRPr="005133E0">
        <w:rPr>
          <w:noProof/>
        </w:rPr>
        <w:t xml:space="preserve">      </w:t>
      </w:r>
      <w:r w:rsidRPr="005133E0">
        <w:rPr>
          <w:noProof/>
        </w:rPr>
        <w:drawing>
          <wp:inline distT="0" distB="0" distL="0" distR="0" wp14:anchorId="6A01E1C2" wp14:editId="653ED226">
            <wp:extent cx="2371725" cy="190500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371725" cy="1905000"/>
                    </a:xfrm>
                    <a:prstGeom prst="rect">
                      <a:avLst/>
                    </a:prstGeom>
                    <a:noFill/>
                    <a:ln>
                      <a:noFill/>
                    </a:ln>
                  </pic:spPr>
                </pic:pic>
              </a:graphicData>
            </a:graphic>
          </wp:inline>
        </w:drawing>
      </w:r>
    </w:p>
    <w:p w:rsidR="00734A59" w:rsidRDefault="00734A59" w:rsidP="00EB3BC8">
      <w:pPr>
        <w:spacing w:after="0" w:line="240" w:lineRule="auto"/>
        <w:jc w:val="both"/>
        <w:rPr>
          <w:rFonts w:ascii="Arial" w:eastAsia="Times New Roman" w:hAnsi="Arial" w:cs="Arial"/>
          <w:b/>
          <w:lang w:val="es-ES"/>
        </w:rPr>
      </w:pPr>
    </w:p>
    <w:p w:rsidR="00EB3BC8" w:rsidRPr="00734A59" w:rsidRDefault="00EB3BC8" w:rsidP="00734A59">
      <w:pPr>
        <w:spacing w:line="240" w:lineRule="auto"/>
        <w:jc w:val="both"/>
        <w:rPr>
          <w:rFonts w:eastAsia="Times New Roman" w:cs="Calibri"/>
          <w:b/>
          <w:color w:val="000000"/>
          <w:u w:val="single"/>
        </w:rPr>
      </w:pPr>
      <w:r w:rsidRPr="00734A59">
        <w:rPr>
          <w:rFonts w:eastAsia="Times New Roman" w:cs="Calibri"/>
          <w:b/>
          <w:color w:val="000000"/>
          <w:u w:val="single"/>
        </w:rPr>
        <w:t>22. INFORME DE GESTIÓN PROYECTO CONEXIÓN PACIFICO 3</w:t>
      </w:r>
    </w:p>
    <w:p w:rsidR="00EB3BC8" w:rsidRPr="00734A59" w:rsidRDefault="00EB3BC8" w:rsidP="00EB3BC8">
      <w:pPr>
        <w:spacing w:line="240" w:lineRule="auto"/>
        <w:jc w:val="both"/>
        <w:rPr>
          <w:rFonts w:eastAsia="Calibri" w:cstheme="minorHAnsi"/>
          <w:color w:val="000000"/>
        </w:rPr>
      </w:pPr>
      <w:r w:rsidRPr="00734A59">
        <w:rPr>
          <w:rFonts w:eastAsia="Calibri" w:cstheme="minorHAnsi"/>
          <w:color w:val="000000"/>
        </w:rPr>
        <w:t>En el  segundo trimestre del año 2015, en la concesión se han realizado actividades de operación y mantenimiento a la infraestructura entregada por INVIAS el 4 de noviembre del 2014, correspondiente a los tramos La Virginia – Asia (Remolinos), La Manuela – Tres Puertas – Irra – La Felisa – La Pintada (118 Km).</w:t>
      </w:r>
    </w:p>
    <w:p w:rsidR="00EB3BC8" w:rsidRPr="00734A59" w:rsidRDefault="00EB3BC8" w:rsidP="00EB3BC8">
      <w:pPr>
        <w:spacing w:line="240" w:lineRule="auto"/>
        <w:jc w:val="both"/>
        <w:rPr>
          <w:rFonts w:eastAsia="Calibri" w:cstheme="minorHAnsi"/>
          <w:color w:val="000000"/>
        </w:rPr>
      </w:pPr>
      <w:r w:rsidRPr="00734A59">
        <w:rPr>
          <w:rFonts w:eastAsia="Calibri" w:cstheme="minorHAnsi"/>
          <w:color w:val="000000"/>
        </w:rPr>
        <w:t>El 2 de junio de 2015 el Concesionario realizó la entrega de los Estudios de Trazado y Diseño geométrico de todas las Unidades Funcionales y los Estudios de Detalle de la Unidad Funcional No. 4 (Irra – La Felisa), con la cual iniciarán la construcción. Ese mismo día también realizó entrega del Plan de Adquisición de Predios y del Informe de Interferencia de Redes de todas la Unidades Funcionales. La Interventoría realizó la revisión de todos los estudios e informes entregados y mediante oficios lo informó al Concesionario, quien realizó la revisión y corrección correspondiente.</w:t>
      </w:r>
    </w:p>
    <w:p w:rsidR="00EB3BC8" w:rsidRPr="00734A59" w:rsidRDefault="00EB3BC8" w:rsidP="00EB3BC8">
      <w:pPr>
        <w:spacing w:line="240" w:lineRule="auto"/>
        <w:jc w:val="both"/>
        <w:rPr>
          <w:rFonts w:eastAsia="Calibri" w:cstheme="minorHAnsi"/>
          <w:color w:val="000000"/>
        </w:rPr>
      </w:pPr>
      <w:r w:rsidRPr="00734A59">
        <w:rPr>
          <w:rFonts w:eastAsia="Calibri" w:cstheme="minorHAnsi"/>
          <w:color w:val="000000"/>
        </w:rPr>
        <w:t>Se realizaron mesas de trabajo conjuntas entre el Concesionario, la Interventoría y la ANI para revisión de los Estudios de Impacto Ambiental de las UF 1 (Variante La Virginia) y UF 4 (Túnel de Irra y Puente sobre el Río Cauca y Río Tapias) y los PAGA´S de todas las Unidades Funcionales. El texto de los documentos PAGA´S está revisado, falta que se adjunten los respectivos permisos para su aprobación.</w:t>
      </w:r>
    </w:p>
    <w:p w:rsidR="00EB3BC8" w:rsidRPr="00734A59" w:rsidRDefault="00EB3BC8" w:rsidP="00EB3BC8">
      <w:pPr>
        <w:spacing w:line="240" w:lineRule="auto"/>
        <w:jc w:val="both"/>
        <w:rPr>
          <w:rFonts w:eastAsia="Calibri" w:cstheme="minorHAnsi"/>
          <w:color w:val="000000"/>
        </w:rPr>
      </w:pPr>
      <w:r w:rsidRPr="00734A59">
        <w:rPr>
          <w:rFonts w:eastAsia="Calibri" w:cstheme="minorHAnsi"/>
          <w:color w:val="000000"/>
        </w:rPr>
        <w:t>El 5 de junio de 2015 el Concesionario instaló dos (2) Vallas, cumpliendo con la Resolución 1219 del 4 de mayo de 2015, una está instalada en La Manuela y la otra en Remolinos.</w:t>
      </w:r>
    </w:p>
    <w:p w:rsidR="00EB3BC8" w:rsidRPr="00734A59" w:rsidRDefault="00EB3BC8" w:rsidP="00EB3BC8">
      <w:pPr>
        <w:spacing w:line="240" w:lineRule="auto"/>
        <w:jc w:val="both"/>
        <w:rPr>
          <w:rFonts w:eastAsia="Calibri" w:cstheme="minorHAnsi"/>
          <w:color w:val="000000"/>
        </w:rPr>
      </w:pPr>
      <w:r w:rsidRPr="00734A59">
        <w:rPr>
          <w:rFonts w:eastAsia="Calibri" w:cstheme="minorHAnsi"/>
          <w:color w:val="000000"/>
        </w:rPr>
        <w:t>El 27 de abril de 2015 el Concesionario suscribió con la Policía de Carreteras el convenio para la operación, control de tráfico y cumplimiento normativo del tránsito y transporte del proyecto de Concesión y el día 12 de junio de 2015 realizó Acto Protocolario de la entrega de bienes, insumos y recursos para que la Policía de Carreteras pueda desempeñar sus funciones en la vía concesionada.</w:t>
      </w:r>
    </w:p>
    <w:p w:rsidR="00EB3BC8" w:rsidRPr="00734A59" w:rsidRDefault="00EB3BC8" w:rsidP="00EB3BC8">
      <w:pPr>
        <w:spacing w:line="240" w:lineRule="auto"/>
        <w:jc w:val="both"/>
        <w:rPr>
          <w:rFonts w:eastAsia="Calibri" w:cstheme="minorHAnsi"/>
          <w:color w:val="000000"/>
        </w:rPr>
      </w:pPr>
      <w:r w:rsidRPr="00734A59">
        <w:rPr>
          <w:rFonts w:eastAsia="Calibri" w:cstheme="minorHAnsi"/>
          <w:color w:val="000000"/>
        </w:rPr>
        <w:t>El contrato cuenta con la designación y aceptación de los tres (3) miembros del amigable componedor.</w:t>
      </w:r>
    </w:p>
    <w:p w:rsidR="00EB3BC8" w:rsidRPr="00734A59" w:rsidRDefault="00EB3BC8" w:rsidP="00EB3BC8">
      <w:pPr>
        <w:spacing w:line="240" w:lineRule="auto"/>
        <w:jc w:val="both"/>
        <w:rPr>
          <w:rFonts w:eastAsia="Calibri" w:cstheme="minorHAnsi"/>
          <w:color w:val="000000"/>
        </w:rPr>
      </w:pPr>
      <w:r w:rsidRPr="00734A59">
        <w:rPr>
          <w:rFonts w:eastAsia="Calibri" w:cstheme="minorHAnsi"/>
          <w:color w:val="000000"/>
        </w:rPr>
        <w:t xml:space="preserve">Existe en la UF 2 Variante de Tesalia en la salida del Túnel la Comunidad Indígena La Albania, razón por lo cual inicialmente se tenía que realizar proceso de consulta previa y no se tenía acceso a éstos predios, sin embargo por gestiones y mesas de trabajo realizadas por el Concesionario, la Interventoría, la ANI, el Ministerio del Interior, el INCODER y la Comunidad de La Albania, se acordó </w:t>
      </w:r>
      <w:r w:rsidRPr="00734A59">
        <w:rPr>
          <w:rFonts w:eastAsia="Calibri" w:cstheme="minorHAnsi"/>
          <w:color w:val="000000"/>
        </w:rPr>
        <w:lastRenderedPageBreak/>
        <w:t>hacer una permuta de terreno, la cual permitió acceder al predio y hasta el momento no se requiere realizar el proceso de consulta previa en el proyecto.</w:t>
      </w:r>
    </w:p>
    <w:p w:rsidR="00EB3BC8" w:rsidRPr="005133E0" w:rsidRDefault="00EB3BC8" w:rsidP="00EB3BC8">
      <w:pPr>
        <w:spacing w:line="240" w:lineRule="auto"/>
        <w:jc w:val="center"/>
        <w:rPr>
          <w:rFonts w:ascii="Calibri" w:eastAsia="Calibri" w:hAnsi="Calibri" w:cs="Calibri"/>
          <w:color w:val="000000"/>
        </w:rPr>
      </w:pPr>
    </w:p>
    <w:p w:rsidR="00EB3BC8" w:rsidRPr="005133E0" w:rsidRDefault="00EB3BC8" w:rsidP="00EB3BC8">
      <w:pPr>
        <w:spacing w:line="240" w:lineRule="auto"/>
        <w:jc w:val="center"/>
        <w:rPr>
          <w:rFonts w:ascii="Calibri" w:eastAsia="Calibri" w:hAnsi="Calibri" w:cs="Calibri"/>
          <w:color w:val="000000"/>
        </w:rPr>
      </w:pPr>
      <w:r w:rsidRPr="005133E0">
        <w:rPr>
          <w:rFonts w:ascii="Calibri" w:eastAsia="Calibri" w:hAnsi="Calibri" w:cs="Calibri"/>
          <w:noProof/>
          <w:color w:val="000000"/>
        </w:rPr>
        <w:drawing>
          <wp:inline distT="0" distB="0" distL="0" distR="0" wp14:anchorId="3610F39E" wp14:editId="435EB8E2">
            <wp:extent cx="2524125" cy="145732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24125" cy="1457325"/>
                    </a:xfrm>
                    <a:prstGeom prst="rect">
                      <a:avLst/>
                    </a:prstGeom>
                    <a:noFill/>
                    <a:ln>
                      <a:noFill/>
                    </a:ln>
                  </pic:spPr>
                </pic:pic>
              </a:graphicData>
            </a:graphic>
          </wp:inline>
        </w:drawing>
      </w:r>
      <w:r w:rsidRPr="005133E0">
        <w:rPr>
          <w:rFonts w:ascii="Calibri" w:eastAsia="Calibri" w:hAnsi="Calibri" w:cs="Calibri"/>
          <w:color w:val="000000"/>
        </w:rPr>
        <w:t xml:space="preserve"> </w:t>
      </w:r>
      <w:r w:rsidRPr="005133E0">
        <w:rPr>
          <w:rFonts w:ascii="Calibri" w:eastAsia="Calibri" w:hAnsi="Calibri" w:cs="Calibri"/>
          <w:noProof/>
          <w:color w:val="000000"/>
        </w:rPr>
        <w:drawing>
          <wp:inline distT="0" distB="0" distL="0" distR="0" wp14:anchorId="23E790B1" wp14:editId="05A6A0EF">
            <wp:extent cx="2514600" cy="141922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14600" cy="1419225"/>
                    </a:xfrm>
                    <a:prstGeom prst="rect">
                      <a:avLst/>
                    </a:prstGeom>
                    <a:noFill/>
                    <a:ln>
                      <a:noFill/>
                    </a:ln>
                  </pic:spPr>
                </pic:pic>
              </a:graphicData>
            </a:graphic>
          </wp:inline>
        </w:drawing>
      </w:r>
    </w:p>
    <w:p w:rsidR="00EB3BC8" w:rsidRPr="005133E0" w:rsidRDefault="00EB3BC8" w:rsidP="00EB3BC8">
      <w:pPr>
        <w:spacing w:line="240" w:lineRule="auto"/>
        <w:jc w:val="center"/>
        <w:rPr>
          <w:rFonts w:ascii="Calibri" w:eastAsia="Calibri" w:hAnsi="Calibri" w:cs="Calibri"/>
          <w:color w:val="000000"/>
        </w:rPr>
      </w:pPr>
    </w:p>
    <w:p w:rsidR="00EB3BC8" w:rsidRPr="005133E0" w:rsidRDefault="00EB3BC8" w:rsidP="00EB3BC8">
      <w:pPr>
        <w:spacing w:line="240" w:lineRule="auto"/>
        <w:jc w:val="center"/>
        <w:rPr>
          <w:rFonts w:ascii="Calibri" w:hAnsi="Calibri" w:cs="Calibri"/>
        </w:rPr>
      </w:pPr>
      <w:r w:rsidRPr="005133E0">
        <w:rPr>
          <w:rFonts w:ascii="Calibri" w:hAnsi="Calibri" w:cs="Calibri"/>
          <w:noProof/>
        </w:rPr>
        <w:drawing>
          <wp:inline distT="0" distB="0" distL="0" distR="0" wp14:anchorId="6478A100" wp14:editId="02C57557">
            <wp:extent cx="2390775" cy="1790700"/>
            <wp:effectExtent l="0" t="0" r="9525" b="0"/>
            <wp:docPr id="30" name="Imagen 30" descr="SAM_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_005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90775" cy="1790700"/>
                    </a:xfrm>
                    <a:prstGeom prst="rect">
                      <a:avLst/>
                    </a:prstGeom>
                    <a:noFill/>
                    <a:ln>
                      <a:noFill/>
                    </a:ln>
                  </pic:spPr>
                </pic:pic>
              </a:graphicData>
            </a:graphic>
          </wp:inline>
        </w:drawing>
      </w:r>
      <w:r w:rsidRPr="005133E0">
        <w:rPr>
          <w:rFonts w:ascii="Calibri" w:hAnsi="Calibri" w:cs="Calibri"/>
        </w:rPr>
        <w:t xml:space="preserve">       </w:t>
      </w:r>
      <w:r w:rsidRPr="005133E0">
        <w:rPr>
          <w:rFonts w:ascii="Calibri" w:hAnsi="Calibri" w:cs="Calibri"/>
          <w:noProof/>
        </w:rPr>
        <w:drawing>
          <wp:inline distT="0" distB="0" distL="0" distR="0" wp14:anchorId="6C333324" wp14:editId="033DD030">
            <wp:extent cx="2400300" cy="1781175"/>
            <wp:effectExtent l="0" t="0" r="0" b="9525"/>
            <wp:docPr id="31" name="Imagen 31" descr="SAM_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_007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00300" cy="1781175"/>
                    </a:xfrm>
                    <a:prstGeom prst="rect">
                      <a:avLst/>
                    </a:prstGeom>
                    <a:noFill/>
                    <a:ln>
                      <a:noFill/>
                    </a:ln>
                  </pic:spPr>
                </pic:pic>
              </a:graphicData>
            </a:graphic>
          </wp:inline>
        </w:drawing>
      </w:r>
    </w:p>
    <w:p w:rsidR="00EB3BC8" w:rsidRPr="005133E0" w:rsidRDefault="00EB3BC8" w:rsidP="00EB3BC8">
      <w:pPr>
        <w:spacing w:line="240" w:lineRule="auto"/>
        <w:jc w:val="center"/>
        <w:rPr>
          <w:rFonts w:ascii="Calibri" w:hAnsi="Calibri" w:cs="Calibri"/>
        </w:rPr>
      </w:pPr>
    </w:p>
    <w:p w:rsidR="00EB3BC8" w:rsidRPr="005133E0" w:rsidRDefault="00EB3BC8" w:rsidP="00EB3BC8">
      <w:pPr>
        <w:spacing w:line="240" w:lineRule="auto"/>
        <w:jc w:val="center"/>
        <w:rPr>
          <w:rFonts w:ascii="Calibri" w:hAnsi="Calibri" w:cs="Calibri"/>
        </w:rPr>
      </w:pPr>
    </w:p>
    <w:p w:rsidR="00EB3BC8" w:rsidRPr="005133E0" w:rsidRDefault="00EB3BC8" w:rsidP="00EB3BC8">
      <w:pPr>
        <w:spacing w:line="240" w:lineRule="auto"/>
        <w:jc w:val="center"/>
        <w:rPr>
          <w:rFonts w:ascii="Calibri" w:hAnsi="Calibri" w:cs="Calibri"/>
        </w:rPr>
      </w:pPr>
      <w:r w:rsidRPr="005133E0">
        <w:rPr>
          <w:rFonts w:ascii="Calibri" w:hAnsi="Calibri" w:cs="Calibri"/>
          <w:noProof/>
        </w:rPr>
        <w:drawing>
          <wp:inline distT="0" distB="0" distL="0" distR="0" wp14:anchorId="75687F66" wp14:editId="44EC7494">
            <wp:extent cx="2400300" cy="1800225"/>
            <wp:effectExtent l="0" t="0" r="0" b="9525"/>
            <wp:docPr id="32" name="Imagen 32" descr="SAM_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M_011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r w:rsidRPr="005133E0">
        <w:rPr>
          <w:rFonts w:ascii="Calibri" w:hAnsi="Calibri" w:cs="Calibri"/>
        </w:rPr>
        <w:t xml:space="preserve">     </w:t>
      </w:r>
      <w:r w:rsidRPr="005133E0">
        <w:rPr>
          <w:rFonts w:ascii="Calibri" w:hAnsi="Calibri" w:cs="Calibri"/>
          <w:noProof/>
        </w:rPr>
        <w:drawing>
          <wp:inline distT="0" distB="0" distL="0" distR="0" wp14:anchorId="3E411A5F" wp14:editId="629D88B9">
            <wp:extent cx="2438400" cy="1838325"/>
            <wp:effectExtent l="0" t="0" r="0" b="9525"/>
            <wp:docPr id="33" name="Imagen 33" descr="IMG_20150612_15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150612_15154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38400" cy="1838325"/>
                    </a:xfrm>
                    <a:prstGeom prst="rect">
                      <a:avLst/>
                    </a:prstGeom>
                    <a:noFill/>
                    <a:ln>
                      <a:noFill/>
                    </a:ln>
                  </pic:spPr>
                </pic:pic>
              </a:graphicData>
            </a:graphic>
          </wp:inline>
        </w:drawing>
      </w:r>
    </w:p>
    <w:p w:rsidR="00EB3BC8" w:rsidRPr="005133E0" w:rsidRDefault="00EB3BC8" w:rsidP="00EB3BC8">
      <w:pPr>
        <w:spacing w:after="0" w:line="240" w:lineRule="auto"/>
        <w:jc w:val="both"/>
        <w:rPr>
          <w:rFonts w:ascii="Arial" w:eastAsia="Times New Roman" w:hAnsi="Arial" w:cs="Arial"/>
          <w:b/>
          <w:lang w:val="es-ES"/>
        </w:rPr>
      </w:pPr>
    </w:p>
    <w:p w:rsidR="00EB3BC8" w:rsidRPr="005133E0" w:rsidRDefault="00EB3BC8" w:rsidP="00EB3BC8">
      <w:pPr>
        <w:spacing w:after="0" w:line="240" w:lineRule="auto"/>
        <w:jc w:val="both"/>
        <w:rPr>
          <w:rFonts w:ascii="Arial" w:eastAsia="Times New Roman" w:hAnsi="Arial" w:cs="Arial"/>
          <w:b/>
          <w:lang w:val="es-ES"/>
        </w:rPr>
      </w:pPr>
    </w:p>
    <w:p w:rsidR="00EB3BC8" w:rsidRPr="00734A59" w:rsidRDefault="00EB3BC8" w:rsidP="00734A59">
      <w:pPr>
        <w:spacing w:line="240" w:lineRule="auto"/>
        <w:jc w:val="both"/>
        <w:rPr>
          <w:rFonts w:eastAsia="Times New Roman" w:cs="Calibri"/>
          <w:b/>
          <w:color w:val="000000"/>
          <w:u w:val="single"/>
        </w:rPr>
      </w:pPr>
      <w:r w:rsidRPr="00734A59">
        <w:rPr>
          <w:rFonts w:eastAsia="Times New Roman" w:cs="Calibri"/>
          <w:b/>
          <w:color w:val="000000"/>
          <w:u w:val="single"/>
        </w:rPr>
        <w:t xml:space="preserve">23. INFORME DE GESTIÓN PROYECTO AUTOPISTA  CONEXIÓN NORTE  </w:t>
      </w:r>
    </w:p>
    <w:p w:rsidR="00EB3BC8" w:rsidRPr="005133E0" w:rsidRDefault="00EB3BC8" w:rsidP="00EB3BC8">
      <w:pPr>
        <w:spacing w:after="0" w:line="240" w:lineRule="auto"/>
        <w:jc w:val="both"/>
        <w:rPr>
          <w:rFonts w:ascii="Arial" w:hAnsi="Arial" w:cs="Arial"/>
          <w:b/>
        </w:rPr>
      </w:pPr>
    </w:p>
    <w:p w:rsidR="00EB3BC8" w:rsidRPr="00734A59" w:rsidRDefault="00734A59" w:rsidP="00EB3BC8">
      <w:pPr>
        <w:spacing w:after="0" w:line="240" w:lineRule="auto"/>
        <w:jc w:val="both"/>
        <w:rPr>
          <w:rFonts w:eastAsia="Times New Roman" w:cstheme="minorHAnsi"/>
          <w:b/>
          <w:lang w:val="es-ES" w:eastAsia="es-ES"/>
        </w:rPr>
      </w:pPr>
      <w:r w:rsidRPr="00734A59">
        <w:rPr>
          <w:rFonts w:eastAsia="Times New Roman" w:cstheme="minorHAnsi"/>
          <w:b/>
          <w:lang w:val="es-ES" w:eastAsia="es-ES"/>
        </w:rPr>
        <w:t>Antecedentes</w:t>
      </w:r>
    </w:p>
    <w:p w:rsidR="00EB3BC8" w:rsidRPr="005133E0" w:rsidRDefault="00EB3BC8" w:rsidP="00EB3BC8">
      <w:pPr>
        <w:autoSpaceDE w:val="0"/>
        <w:autoSpaceDN w:val="0"/>
        <w:adjustRightInd w:val="0"/>
        <w:spacing w:line="240" w:lineRule="auto"/>
        <w:ind w:right="-6"/>
        <w:jc w:val="both"/>
        <w:rPr>
          <w:rFonts w:ascii="Arial" w:hAnsi="Arial" w:cs="Arial"/>
        </w:rPr>
      </w:pPr>
    </w:p>
    <w:p w:rsidR="00EB3BC8" w:rsidRPr="00734A59" w:rsidRDefault="00EB3BC8" w:rsidP="00EB3BC8">
      <w:pPr>
        <w:autoSpaceDE w:val="0"/>
        <w:autoSpaceDN w:val="0"/>
        <w:adjustRightInd w:val="0"/>
        <w:spacing w:line="240" w:lineRule="auto"/>
        <w:ind w:right="-6"/>
        <w:jc w:val="both"/>
        <w:rPr>
          <w:rFonts w:cstheme="minorHAnsi"/>
        </w:rPr>
      </w:pPr>
      <w:r w:rsidRPr="00734A59">
        <w:rPr>
          <w:rFonts w:cstheme="minorHAnsi"/>
        </w:rPr>
        <w:lastRenderedPageBreak/>
        <w:t>Contrato de concesión: 009 de 2014</w:t>
      </w:r>
    </w:p>
    <w:p w:rsidR="00EB3BC8" w:rsidRPr="00734A59" w:rsidRDefault="00EB3BC8" w:rsidP="00EB3BC8">
      <w:pPr>
        <w:autoSpaceDE w:val="0"/>
        <w:autoSpaceDN w:val="0"/>
        <w:adjustRightInd w:val="0"/>
        <w:spacing w:line="240" w:lineRule="auto"/>
        <w:ind w:right="-6"/>
        <w:jc w:val="both"/>
        <w:rPr>
          <w:rFonts w:cstheme="minorHAnsi"/>
        </w:rPr>
      </w:pPr>
      <w:r w:rsidRPr="00734A59">
        <w:rPr>
          <w:rFonts w:cstheme="minorHAnsi"/>
        </w:rPr>
        <w:t>Contratista: Concesión Autopistas del Nordeste S.A.S</w:t>
      </w:r>
    </w:p>
    <w:p w:rsidR="00EB3BC8" w:rsidRPr="00734A59" w:rsidRDefault="00EB3BC8" w:rsidP="00EB3BC8">
      <w:pPr>
        <w:autoSpaceDE w:val="0"/>
        <w:autoSpaceDN w:val="0"/>
        <w:adjustRightInd w:val="0"/>
        <w:spacing w:line="240" w:lineRule="auto"/>
        <w:ind w:right="-6"/>
        <w:jc w:val="both"/>
        <w:rPr>
          <w:rFonts w:cstheme="minorHAnsi"/>
        </w:rPr>
      </w:pPr>
      <w:r w:rsidRPr="00734A59">
        <w:rPr>
          <w:rFonts w:cstheme="minorHAnsi"/>
        </w:rPr>
        <w:t>Plazo inicial: 25 años (Plazo máximo 29 años)</w:t>
      </w:r>
    </w:p>
    <w:p w:rsidR="00EB3BC8" w:rsidRPr="00734A59" w:rsidRDefault="00EB3BC8" w:rsidP="00EB3BC8">
      <w:pPr>
        <w:autoSpaceDE w:val="0"/>
        <w:autoSpaceDN w:val="0"/>
        <w:adjustRightInd w:val="0"/>
        <w:spacing w:line="240" w:lineRule="auto"/>
        <w:ind w:right="-6"/>
        <w:jc w:val="both"/>
        <w:rPr>
          <w:rFonts w:cstheme="minorHAnsi"/>
        </w:rPr>
      </w:pPr>
      <w:r w:rsidRPr="00734A59">
        <w:rPr>
          <w:rFonts w:cstheme="minorHAnsi"/>
        </w:rPr>
        <w:t>Generación: Cuarta Generación</w:t>
      </w:r>
    </w:p>
    <w:p w:rsidR="00EB3BC8" w:rsidRPr="00734A59" w:rsidRDefault="00EB3BC8" w:rsidP="00EB3BC8">
      <w:pPr>
        <w:autoSpaceDE w:val="0"/>
        <w:autoSpaceDN w:val="0"/>
        <w:adjustRightInd w:val="0"/>
        <w:spacing w:line="240" w:lineRule="auto"/>
        <w:ind w:right="-6"/>
        <w:jc w:val="both"/>
        <w:rPr>
          <w:rFonts w:cstheme="minorHAnsi"/>
        </w:rPr>
      </w:pPr>
      <w:r w:rsidRPr="00734A59">
        <w:rPr>
          <w:rFonts w:cstheme="minorHAnsi"/>
        </w:rPr>
        <w:t>Costo Inicial: El valor del contrato conforme al numeral 3.4. de la Parte Especial es de UN BILLÓN TRESCIENTOS MIL DOSCIENTOS SETENTA Y TRES MILLONES SETECIENTOS OCHENTA Y CUATRO MIL CUATROCIENTOS VEINTE PESOS ($1.300.273.784.420) del Mes de Referencia</w:t>
      </w:r>
    </w:p>
    <w:p w:rsidR="00EB3BC8" w:rsidRPr="00734A59" w:rsidRDefault="00EB3BC8" w:rsidP="00EB3BC8">
      <w:pPr>
        <w:autoSpaceDE w:val="0"/>
        <w:autoSpaceDN w:val="0"/>
        <w:adjustRightInd w:val="0"/>
        <w:spacing w:line="240" w:lineRule="auto"/>
        <w:ind w:right="-6"/>
        <w:jc w:val="both"/>
        <w:rPr>
          <w:rFonts w:cstheme="minorHAnsi"/>
        </w:rPr>
      </w:pPr>
      <w:r w:rsidRPr="00734A59">
        <w:rPr>
          <w:rFonts w:cstheme="minorHAnsi"/>
        </w:rPr>
        <w:t xml:space="preserve">Longitud: longitud total estimado origen destino de 145 kilómetros y su recorrido discurre íntegramente en el departamento de Antioquía. La Autopista Conexión Norte une los municipios de Remedios, Zaragoza y Caucasia. </w:t>
      </w:r>
      <w:bookmarkStart w:id="282" w:name="_Toc276651710"/>
      <w:bookmarkStart w:id="283" w:name="_Toc276991768"/>
      <w:bookmarkStart w:id="284" w:name="_Toc276991858"/>
      <w:bookmarkStart w:id="285" w:name="_Toc279741876"/>
      <w:bookmarkStart w:id="286" w:name="_Toc315095902"/>
      <w:bookmarkStart w:id="287" w:name="_Toc341537179"/>
      <w:bookmarkStart w:id="288" w:name="_Toc356976326"/>
    </w:p>
    <w:p w:rsidR="00EB3BC8" w:rsidRPr="00734A59" w:rsidRDefault="00EB3BC8" w:rsidP="00EB3BC8">
      <w:pPr>
        <w:spacing w:line="240" w:lineRule="auto"/>
        <w:jc w:val="both"/>
        <w:rPr>
          <w:rFonts w:cstheme="minorHAnsi"/>
          <w:noProof/>
        </w:rPr>
      </w:pPr>
      <w:r w:rsidRPr="00734A59">
        <w:rPr>
          <w:rFonts w:cstheme="minorHAnsi"/>
          <w:noProof/>
        </w:rPr>
        <w:t>Contrato de Interventoria: 015 del 2 de Febrero de 2015</w:t>
      </w:r>
    </w:p>
    <w:p w:rsidR="00EB3BC8" w:rsidRPr="00734A59" w:rsidRDefault="00EB3BC8" w:rsidP="00EB3BC8">
      <w:pPr>
        <w:spacing w:line="240" w:lineRule="auto"/>
        <w:jc w:val="both"/>
        <w:rPr>
          <w:rFonts w:cstheme="minorHAnsi"/>
          <w:noProof/>
        </w:rPr>
      </w:pPr>
      <w:r w:rsidRPr="00734A59">
        <w:rPr>
          <w:rFonts w:cstheme="minorHAnsi"/>
          <w:noProof/>
        </w:rPr>
        <w:t>Fecha de Inicio: 06 de Febrero de 2015</w:t>
      </w:r>
    </w:p>
    <w:p w:rsidR="00EB3BC8" w:rsidRPr="00734A59" w:rsidRDefault="00EB3BC8" w:rsidP="00EB3BC8">
      <w:pPr>
        <w:spacing w:line="240" w:lineRule="auto"/>
        <w:jc w:val="both"/>
        <w:rPr>
          <w:rFonts w:cstheme="minorHAnsi"/>
        </w:rPr>
      </w:pPr>
      <w:r w:rsidRPr="00734A59">
        <w:rPr>
          <w:rFonts w:cstheme="minorHAnsi"/>
          <w:noProof/>
        </w:rPr>
        <w:t>Fecha de Terminaciòn 05 de Febrero de 20022.</w:t>
      </w:r>
    </w:p>
    <w:bookmarkEnd w:id="282"/>
    <w:bookmarkEnd w:id="283"/>
    <w:bookmarkEnd w:id="284"/>
    <w:bookmarkEnd w:id="285"/>
    <w:bookmarkEnd w:id="286"/>
    <w:bookmarkEnd w:id="287"/>
    <w:bookmarkEnd w:id="288"/>
    <w:p w:rsidR="00EB3BC8" w:rsidRPr="005133E0" w:rsidRDefault="00EB3BC8" w:rsidP="00EB3BC8">
      <w:pPr>
        <w:spacing w:after="0" w:line="240" w:lineRule="auto"/>
        <w:jc w:val="both"/>
        <w:rPr>
          <w:rFonts w:ascii="Arial" w:eastAsia="Times New Roman" w:hAnsi="Arial" w:cs="Arial"/>
          <w:b/>
          <w:lang w:val="es-ES"/>
        </w:rPr>
      </w:pPr>
    </w:p>
    <w:p w:rsidR="00EB3BC8" w:rsidRPr="00734A59" w:rsidRDefault="00734A59" w:rsidP="00734A59">
      <w:pPr>
        <w:spacing w:after="0" w:line="240" w:lineRule="auto"/>
        <w:jc w:val="both"/>
        <w:rPr>
          <w:rFonts w:cstheme="minorHAnsi"/>
          <w:b/>
          <w:bCs/>
          <w:lang w:val="x-none"/>
        </w:rPr>
      </w:pPr>
      <w:r w:rsidRPr="00734A59">
        <w:rPr>
          <w:rFonts w:cstheme="minorHAnsi"/>
          <w:b/>
          <w:bCs/>
        </w:rPr>
        <w:t xml:space="preserve">Estado Diferentes Aspectos del Contrato de Concesión </w:t>
      </w:r>
    </w:p>
    <w:p w:rsidR="00EB3BC8" w:rsidRPr="005133E0" w:rsidRDefault="00EB3BC8" w:rsidP="00EB3BC8">
      <w:pPr>
        <w:spacing w:line="240" w:lineRule="auto"/>
        <w:rPr>
          <w:rFonts w:ascii="Arial" w:hAnsi="Arial" w:cs="Arial"/>
          <w:noProof/>
        </w:rPr>
      </w:pPr>
    </w:p>
    <w:tbl>
      <w:tblPr>
        <w:tblW w:w="9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9"/>
        <w:gridCol w:w="2765"/>
        <w:gridCol w:w="1244"/>
        <w:gridCol w:w="1071"/>
        <w:gridCol w:w="2631"/>
      </w:tblGrid>
      <w:tr w:rsidR="00EB3BC8" w:rsidRPr="005133E0" w:rsidTr="005E52E0">
        <w:trPr>
          <w:trHeight w:val="484"/>
        </w:trPr>
        <w:tc>
          <w:tcPr>
            <w:tcW w:w="9480" w:type="dxa"/>
            <w:gridSpan w:val="5"/>
          </w:tcPr>
          <w:p w:rsidR="00EB3BC8" w:rsidRPr="00734A59" w:rsidRDefault="00EB3BC8" w:rsidP="005E52E0">
            <w:pPr>
              <w:spacing w:line="240" w:lineRule="auto"/>
              <w:jc w:val="both"/>
              <w:rPr>
                <w:rFonts w:cstheme="minorHAnsi"/>
              </w:rPr>
            </w:pPr>
            <w:r w:rsidRPr="00734A59">
              <w:rPr>
                <w:rFonts w:cstheme="minorHAnsi"/>
              </w:rPr>
              <w:t>El alcance de cada una de las Unidades Funcionales se encuentra descrito en el Apéndice Técnico 1 del contrato de Concesión No. 009 de 2014.</w:t>
            </w:r>
          </w:p>
        </w:tc>
      </w:tr>
      <w:tr w:rsidR="00EB3BC8" w:rsidRPr="005133E0" w:rsidTr="005E52E0">
        <w:trPr>
          <w:trHeight w:val="30"/>
        </w:trPr>
        <w:tc>
          <w:tcPr>
            <w:tcW w:w="1769" w:type="dxa"/>
          </w:tcPr>
          <w:p w:rsidR="00EB3BC8" w:rsidRPr="005133E0" w:rsidRDefault="00EB3BC8" w:rsidP="005E52E0">
            <w:pPr>
              <w:spacing w:line="240" w:lineRule="auto"/>
              <w:jc w:val="both"/>
              <w:rPr>
                <w:rFonts w:cs="Arial"/>
                <w:b/>
              </w:rPr>
            </w:pPr>
            <w:r w:rsidRPr="005133E0">
              <w:rPr>
                <w:rFonts w:cs="Arial"/>
                <w:b/>
              </w:rPr>
              <w:t>Unidades Funciónales</w:t>
            </w:r>
          </w:p>
        </w:tc>
        <w:tc>
          <w:tcPr>
            <w:tcW w:w="2765" w:type="dxa"/>
          </w:tcPr>
          <w:p w:rsidR="00EB3BC8" w:rsidRPr="00734A59" w:rsidRDefault="00EB3BC8" w:rsidP="005E52E0">
            <w:pPr>
              <w:spacing w:line="240" w:lineRule="auto"/>
              <w:jc w:val="both"/>
              <w:rPr>
                <w:rFonts w:cstheme="minorHAnsi"/>
                <w:b/>
              </w:rPr>
            </w:pPr>
            <w:r w:rsidRPr="00734A59">
              <w:rPr>
                <w:rFonts w:cstheme="minorHAnsi"/>
                <w:b/>
              </w:rPr>
              <w:t>Actividades</w:t>
            </w:r>
          </w:p>
        </w:tc>
        <w:tc>
          <w:tcPr>
            <w:tcW w:w="1244" w:type="dxa"/>
          </w:tcPr>
          <w:p w:rsidR="00EB3BC8" w:rsidRPr="00734A59" w:rsidRDefault="00EB3BC8" w:rsidP="005E52E0">
            <w:pPr>
              <w:spacing w:line="240" w:lineRule="auto"/>
              <w:jc w:val="both"/>
              <w:rPr>
                <w:rFonts w:cstheme="minorHAnsi"/>
                <w:b/>
              </w:rPr>
            </w:pPr>
            <w:r w:rsidRPr="00734A59">
              <w:rPr>
                <w:rFonts w:cstheme="minorHAnsi"/>
                <w:b/>
              </w:rPr>
              <w:t xml:space="preserve">ALCANCE </w:t>
            </w:r>
          </w:p>
        </w:tc>
        <w:tc>
          <w:tcPr>
            <w:tcW w:w="1071" w:type="dxa"/>
          </w:tcPr>
          <w:p w:rsidR="00EB3BC8" w:rsidRPr="00734A59" w:rsidRDefault="00EB3BC8" w:rsidP="005E52E0">
            <w:pPr>
              <w:spacing w:line="240" w:lineRule="auto"/>
              <w:jc w:val="both"/>
              <w:rPr>
                <w:rFonts w:cstheme="minorHAnsi"/>
                <w:b/>
              </w:rPr>
            </w:pPr>
            <w:r w:rsidRPr="00734A59">
              <w:rPr>
                <w:rFonts w:cstheme="minorHAnsi"/>
                <w:b/>
              </w:rPr>
              <w:t>AVANCE</w:t>
            </w:r>
          </w:p>
        </w:tc>
        <w:tc>
          <w:tcPr>
            <w:tcW w:w="2629" w:type="dxa"/>
          </w:tcPr>
          <w:p w:rsidR="00EB3BC8" w:rsidRPr="00734A59" w:rsidRDefault="00EB3BC8" w:rsidP="005E52E0">
            <w:pPr>
              <w:spacing w:line="240" w:lineRule="auto"/>
              <w:jc w:val="both"/>
              <w:rPr>
                <w:rFonts w:cstheme="minorHAnsi"/>
                <w:b/>
              </w:rPr>
            </w:pPr>
            <w:r w:rsidRPr="00734A59">
              <w:rPr>
                <w:rFonts w:cstheme="minorHAnsi"/>
                <w:b/>
              </w:rPr>
              <w:t>OBSERVACIONES</w:t>
            </w:r>
          </w:p>
        </w:tc>
      </w:tr>
      <w:tr w:rsidR="00EB3BC8" w:rsidRPr="005133E0" w:rsidTr="005E52E0">
        <w:trPr>
          <w:trHeight w:val="24"/>
        </w:trPr>
        <w:tc>
          <w:tcPr>
            <w:tcW w:w="1769" w:type="dxa"/>
          </w:tcPr>
          <w:p w:rsidR="00EB3BC8" w:rsidRPr="005133E0" w:rsidRDefault="00EB3BC8" w:rsidP="005E52E0">
            <w:pPr>
              <w:spacing w:line="240" w:lineRule="auto"/>
              <w:jc w:val="both"/>
              <w:rPr>
                <w:rFonts w:cs="Arial"/>
                <w:b/>
              </w:rPr>
            </w:pPr>
            <w:r w:rsidRPr="005133E0">
              <w:rPr>
                <w:rFonts w:cs="Arial"/>
                <w:sz w:val="20"/>
                <w:szCs w:val="20"/>
              </w:rPr>
              <w:t>UF 1 - Remedios – Zaragoza</w:t>
            </w:r>
          </w:p>
        </w:tc>
        <w:tc>
          <w:tcPr>
            <w:tcW w:w="2765" w:type="dxa"/>
          </w:tcPr>
          <w:p w:rsidR="00EB3BC8" w:rsidRPr="00734A59" w:rsidRDefault="00EB3BC8" w:rsidP="005E52E0">
            <w:pPr>
              <w:spacing w:line="240" w:lineRule="auto"/>
              <w:jc w:val="both"/>
              <w:rPr>
                <w:rFonts w:cstheme="minorHAnsi"/>
              </w:rPr>
            </w:pPr>
            <w:r w:rsidRPr="00734A59">
              <w:rPr>
                <w:rFonts w:cstheme="minorHAnsi"/>
              </w:rPr>
              <w:t>Construcción</w:t>
            </w:r>
          </w:p>
        </w:tc>
        <w:tc>
          <w:tcPr>
            <w:tcW w:w="1244" w:type="dxa"/>
          </w:tcPr>
          <w:p w:rsidR="00EB3BC8" w:rsidRPr="00734A59" w:rsidRDefault="00EB3BC8" w:rsidP="005E52E0">
            <w:pPr>
              <w:spacing w:line="240" w:lineRule="auto"/>
              <w:jc w:val="both"/>
              <w:rPr>
                <w:rFonts w:cstheme="minorHAnsi"/>
              </w:rPr>
            </w:pPr>
            <w:r w:rsidRPr="00734A59">
              <w:rPr>
                <w:rFonts w:cstheme="minorHAnsi"/>
              </w:rPr>
              <w:t>58 Km</w:t>
            </w:r>
          </w:p>
        </w:tc>
        <w:tc>
          <w:tcPr>
            <w:tcW w:w="1071" w:type="dxa"/>
          </w:tcPr>
          <w:p w:rsidR="00EB3BC8" w:rsidRPr="00734A59" w:rsidRDefault="00EB3BC8" w:rsidP="005E52E0">
            <w:pPr>
              <w:spacing w:line="240" w:lineRule="auto"/>
              <w:jc w:val="both"/>
              <w:rPr>
                <w:rFonts w:cstheme="minorHAnsi"/>
              </w:rPr>
            </w:pPr>
          </w:p>
        </w:tc>
        <w:tc>
          <w:tcPr>
            <w:tcW w:w="2629" w:type="dxa"/>
          </w:tcPr>
          <w:p w:rsidR="00EB3BC8" w:rsidRPr="00734A59" w:rsidRDefault="00EB3BC8" w:rsidP="005E52E0">
            <w:pPr>
              <w:spacing w:line="240" w:lineRule="auto"/>
              <w:jc w:val="both"/>
              <w:rPr>
                <w:rFonts w:cstheme="minorHAnsi"/>
              </w:rPr>
            </w:pPr>
            <w:r w:rsidRPr="00734A59">
              <w:rPr>
                <w:rFonts w:cstheme="minorHAnsi"/>
              </w:rPr>
              <w:t>En estudios y diseños</w:t>
            </w:r>
          </w:p>
        </w:tc>
      </w:tr>
      <w:tr w:rsidR="00EB3BC8" w:rsidRPr="005133E0" w:rsidTr="005E52E0">
        <w:trPr>
          <w:trHeight w:val="24"/>
        </w:trPr>
        <w:tc>
          <w:tcPr>
            <w:tcW w:w="1769" w:type="dxa"/>
          </w:tcPr>
          <w:p w:rsidR="00EB3BC8" w:rsidRPr="005133E0" w:rsidRDefault="00EB3BC8" w:rsidP="005E52E0">
            <w:pPr>
              <w:autoSpaceDE w:val="0"/>
              <w:autoSpaceDN w:val="0"/>
              <w:adjustRightInd w:val="0"/>
              <w:spacing w:line="240" w:lineRule="auto"/>
              <w:rPr>
                <w:rFonts w:cs="Arial"/>
                <w:b/>
              </w:rPr>
            </w:pPr>
            <w:r w:rsidRPr="005133E0">
              <w:rPr>
                <w:rFonts w:cs="Arial"/>
                <w:sz w:val="20"/>
                <w:szCs w:val="20"/>
              </w:rPr>
              <w:t xml:space="preserve">UF 2 - Zaragoza – Caucasia </w:t>
            </w:r>
          </w:p>
        </w:tc>
        <w:tc>
          <w:tcPr>
            <w:tcW w:w="2765" w:type="dxa"/>
          </w:tcPr>
          <w:p w:rsidR="00EB3BC8" w:rsidRPr="00734A59" w:rsidRDefault="00EB3BC8" w:rsidP="005E52E0">
            <w:pPr>
              <w:autoSpaceDE w:val="0"/>
              <w:autoSpaceDN w:val="0"/>
              <w:adjustRightInd w:val="0"/>
              <w:spacing w:line="240" w:lineRule="auto"/>
              <w:rPr>
                <w:rFonts w:cstheme="minorHAnsi"/>
                <w:b/>
              </w:rPr>
            </w:pPr>
            <w:r w:rsidRPr="00734A59">
              <w:rPr>
                <w:rFonts w:cstheme="minorHAnsi"/>
              </w:rPr>
              <w:t>Mejoramiento 82KM y Construcción Variante 5Km</w:t>
            </w:r>
          </w:p>
        </w:tc>
        <w:tc>
          <w:tcPr>
            <w:tcW w:w="1244" w:type="dxa"/>
          </w:tcPr>
          <w:p w:rsidR="00EB3BC8" w:rsidRPr="00734A59" w:rsidRDefault="00EB3BC8" w:rsidP="005E52E0">
            <w:pPr>
              <w:spacing w:line="240" w:lineRule="auto"/>
              <w:jc w:val="both"/>
              <w:rPr>
                <w:rFonts w:cstheme="minorHAnsi"/>
              </w:rPr>
            </w:pPr>
            <w:r w:rsidRPr="00734A59">
              <w:rPr>
                <w:rFonts w:cstheme="minorHAnsi"/>
              </w:rPr>
              <w:t>87Km</w:t>
            </w:r>
          </w:p>
        </w:tc>
        <w:tc>
          <w:tcPr>
            <w:tcW w:w="1071" w:type="dxa"/>
          </w:tcPr>
          <w:p w:rsidR="00EB3BC8" w:rsidRPr="00734A59" w:rsidRDefault="00EB3BC8" w:rsidP="005E52E0">
            <w:pPr>
              <w:spacing w:line="240" w:lineRule="auto"/>
              <w:jc w:val="both"/>
              <w:rPr>
                <w:rFonts w:cstheme="minorHAnsi"/>
              </w:rPr>
            </w:pPr>
          </w:p>
        </w:tc>
        <w:tc>
          <w:tcPr>
            <w:tcW w:w="2629" w:type="dxa"/>
          </w:tcPr>
          <w:p w:rsidR="00EB3BC8" w:rsidRPr="00734A59" w:rsidRDefault="00EB3BC8" w:rsidP="005E52E0">
            <w:pPr>
              <w:spacing w:line="240" w:lineRule="auto"/>
              <w:jc w:val="both"/>
              <w:rPr>
                <w:rFonts w:cstheme="minorHAnsi"/>
              </w:rPr>
            </w:pPr>
            <w:r w:rsidRPr="00734A59">
              <w:rPr>
                <w:rFonts w:cstheme="minorHAnsi"/>
              </w:rPr>
              <w:t>En estudios y diseños</w:t>
            </w:r>
          </w:p>
        </w:tc>
      </w:tr>
      <w:tr w:rsidR="00EB3BC8" w:rsidRPr="005133E0" w:rsidTr="005E52E0">
        <w:trPr>
          <w:trHeight w:val="5764"/>
        </w:trPr>
        <w:tc>
          <w:tcPr>
            <w:tcW w:w="9480" w:type="dxa"/>
            <w:gridSpan w:val="5"/>
            <w:shd w:val="clear" w:color="auto" w:fill="auto"/>
          </w:tcPr>
          <w:p w:rsidR="00EB3BC8" w:rsidRPr="00734A59" w:rsidRDefault="00EB3BC8" w:rsidP="005E52E0">
            <w:pPr>
              <w:spacing w:line="240" w:lineRule="auto"/>
              <w:jc w:val="both"/>
              <w:rPr>
                <w:rFonts w:cstheme="minorHAnsi"/>
                <w:b/>
              </w:rPr>
            </w:pPr>
            <w:r w:rsidRPr="00734A59">
              <w:rPr>
                <w:rFonts w:cstheme="minorHAnsi"/>
                <w:b/>
              </w:rPr>
              <w:lastRenderedPageBreak/>
              <w:t>ASPECTOS TÉCNICOS – SITUACIÓN ACTUAL</w:t>
            </w:r>
          </w:p>
          <w:p w:rsidR="00EB3BC8" w:rsidRPr="00734A59" w:rsidRDefault="00734A59" w:rsidP="005E52E0">
            <w:pPr>
              <w:spacing w:line="240" w:lineRule="auto"/>
              <w:jc w:val="both"/>
              <w:rPr>
                <w:rFonts w:cstheme="minorHAnsi"/>
              </w:rPr>
            </w:pPr>
            <w:r w:rsidRPr="00734A59">
              <w:rPr>
                <w:rFonts w:cstheme="minorHAnsi"/>
                <w:b/>
              </w:rPr>
              <w:t>Estudios Y Diseños</w:t>
            </w:r>
            <w:r w:rsidR="00EB3BC8" w:rsidRPr="00734A59">
              <w:rPr>
                <w:rFonts w:cstheme="minorHAnsi"/>
                <w:b/>
              </w:rPr>
              <w:t xml:space="preserve">: </w:t>
            </w:r>
            <w:r w:rsidR="00EB3BC8" w:rsidRPr="00734A59">
              <w:rPr>
                <w:rFonts w:cstheme="minorHAnsi"/>
              </w:rPr>
              <w:t>Se adelantan comités de seguimiento entre Concesionario, Interventoría y ANI semanalmente, aunque el Concesionario no ha presentado  entregables a Interventoría.</w:t>
            </w:r>
          </w:p>
          <w:p w:rsidR="00EB3BC8" w:rsidRPr="00734A59" w:rsidRDefault="00EB3BC8" w:rsidP="005E52E0">
            <w:pPr>
              <w:spacing w:line="240" w:lineRule="auto"/>
              <w:jc w:val="both"/>
              <w:rPr>
                <w:rFonts w:cstheme="minorHAnsi"/>
              </w:rPr>
            </w:pPr>
            <w:r w:rsidRPr="00734A59">
              <w:rPr>
                <w:rFonts w:cstheme="minorHAnsi"/>
              </w:rPr>
              <w:t xml:space="preserve">El Concesionario realizo el Contrato de diseños con la UT Conexión Norte conformada por: </w:t>
            </w:r>
          </w:p>
          <w:p w:rsidR="00EB3BC8" w:rsidRPr="00734A59" w:rsidRDefault="00EB3BC8" w:rsidP="005E52E0">
            <w:pPr>
              <w:spacing w:line="240" w:lineRule="auto"/>
              <w:jc w:val="both"/>
              <w:rPr>
                <w:rFonts w:cstheme="minorHAnsi"/>
              </w:rPr>
            </w:pPr>
            <w:r w:rsidRPr="00734A59">
              <w:rPr>
                <w:rFonts w:cstheme="minorHAnsi"/>
              </w:rPr>
              <w:t>-APC - Diseños UF2 (Caucasia - Zaragoza y Variante)</w:t>
            </w:r>
          </w:p>
          <w:p w:rsidR="00EB3BC8" w:rsidRPr="00734A59" w:rsidRDefault="00EB3BC8" w:rsidP="005E52E0">
            <w:pPr>
              <w:spacing w:line="240" w:lineRule="auto"/>
              <w:jc w:val="both"/>
              <w:rPr>
                <w:rFonts w:cstheme="minorHAnsi"/>
              </w:rPr>
            </w:pPr>
            <w:r w:rsidRPr="00734A59">
              <w:rPr>
                <w:rFonts w:cstheme="minorHAnsi"/>
              </w:rPr>
              <w:t>-TECNOCONSULTA - Diseños UF1 (Remedios - Zaragoza)</w:t>
            </w:r>
          </w:p>
          <w:p w:rsidR="00EB3BC8" w:rsidRPr="00734A59" w:rsidRDefault="00EB3BC8" w:rsidP="005E52E0">
            <w:pPr>
              <w:spacing w:line="240" w:lineRule="auto"/>
              <w:jc w:val="both"/>
              <w:rPr>
                <w:rFonts w:cstheme="minorHAnsi"/>
              </w:rPr>
            </w:pPr>
            <w:r w:rsidRPr="00734A59">
              <w:rPr>
                <w:rFonts w:cstheme="minorHAnsi"/>
              </w:rPr>
              <w:t>Actualmente adelantan los Estudios de trazado y Diseño Geométrico para todas las Unidades Funcionales, cumpliendo con las Especificaciones Técnicas, los cuales deben ser entregados dentro de los doscientos diez (210) Días siguientes a la Fecha de Inicio. Fecha de entrega: 3 septiembre de 2015</w:t>
            </w:r>
          </w:p>
          <w:p w:rsidR="00EB3BC8" w:rsidRPr="00734A59" w:rsidRDefault="00EB3BC8" w:rsidP="005E52E0">
            <w:pPr>
              <w:spacing w:line="240" w:lineRule="auto"/>
              <w:jc w:val="both"/>
              <w:rPr>
                <w:rFonts w:cstheme="minorHAnsi"/>
                <w:b/>
              </w:rPr>
            </w:pPr>
            <w:r w:rsidRPr="00734A59">
              <w:rPr>
                <w:rFonts w:cstheme="minorHAnsi"/>
                <w:b/>
              </w:rPr>
              <w:t>PROBLEMÁTICA:</w:t>
            </w:r>
          </w:p>
          <w:p w:rsidR="00EB3BC8" w:rsidRPr="00734A59" w:rsidRDefault="00EB3BC8" w:rsidP="005E52E0">
            <w:pPr>
              <w:spacing w:line="240" w:lineRule="auto"/>
              <w:jc w:val="both"/>
              <w:rPr>
                <w:rFonts w:cstheme="minorHAnsi"/>
              </w:rPr>
            </w:pPr>
            <w:r w:rsidRPr="00734A59">
              <w:rPr>
                <w:rFonts w:cstheme="minorHAnsi"/>
              </w:rPr>
              <w:t>Se ha presentado una controversia frente a las excepciones al diseño enunciadas en el Apéndice Técnico 1, específicamente frente a la excepción de diseño de 6Km a velocidad de diseño de 60km/h, se realizó una mesa de trabajo con Estructuración el 23 de Junio de 2015</w:t>
            </w:r>
          </w:p>
          <w:p w:rsidR="00EB3BC8" w:rsidRPr="00734A59" w:rsidRDefault="00734A59" w:rsidP="005E52E0">
            <w:pPr>
              <w:spacing w:before="100" w:beforeAutospacing="1" w:after="100" w:afterAutospacing="1" w:line="240" w:lineRule="auto"/>
              <w:jc w:val="both"/>
              <w:textAlignment w:val="baseline"/>
              <w:rPr>
                <w:rFonts w:eastAsia="Times New Roman" w:cstheme="minorHAnsi"/>
                <w:b/>
              </w:rPr>
            </w:pPr>
            <w:r w:rsidRPr="00734A59">
              <w:rPr>
                <w:rFonts w:eastAsia="Times New Roman" w:cstheme="minorHAnsi"/>
                <w:b/>
              </w:rPr>
              <w:t xml:space="preserve">Estado estudios y diseños </w:t>
            </w:r>
          </w:p>
          <w:p w:rsidR="00EB3BC8" w:rsidRPr="00734A59" w:rsidRDefault="00734A59" w:rsidP="005E52E0">
            <w:pPr>
              <w:spacing w:before="100" w:beforeAutospacing="1" w:after="100" w:afterAutospacing="1" w:line="240" w:lineRule="auto"/>
              <w:jc w:val="both"/>
              <w:textAlignment w:val="baseline"/>
              <w:rPr>
                <w:rFonts w:eastAsia="Times New Roman" w:cstheme="minorHAnsi"/>
                <w:b/>
              </w:rPr>
            </w:pPr>
            <w:r>
              <w:rPr>
                <w:rFonts w:eastAsia="Times New Roman" w:cstheme="minorHAnsi"/>
                <w:b/>
              </w:rPr>
              <w:t>Unidad funcional 2 sub tramos: Z</w:t>
            </w:r>
            <w:r w:rsidRPr="00734A59">
              <w:rPr>
                <w:rFonts w:eastAsia="Times New Roman" w:cstheme="minorHAnsi"/>
                <w:b/>
              </w:rPr>
              <w:t xml:space="preserve">aragoza – </w:t>
            </w:r>
            <w:r>
              <w:rPr>
                <w:rFonts w:eastAsia="Times New Roman" w:cstheme="minorHAnsi"/>
                <w:b/>
              </w:rPr>
              <w:t>C</w:t>
            </w:r>
            <w:r w:rsidRPr="00734A59">
              <w:rPr>
                <w:rFonts w:eastAsia="Times New Roman" w:cstheme="minorHAnsi"/>
                <w:b/>
              </w:rPr>
              <w:t xml:space="preserve">aucasia sur y variante de </w:t>
            </w:r>
            <w:r>
              <w:rPr>
                <w:rFonts w:eastAsia="Times New Roman" w:cstheme="minorHAnsi"/>
                <w:b/>
              </w:rPr>
              <w:t>C</w:t>
            </w:r>
            <w:r w:rsidRPr="00734A59">
              <w:rPr>
                <w:rFonts w:eastAsia="Times New Roman" w:cstheme="minorHAnsi"/>
                <w:b/>
              </w:rPr>
              <w:t>aucasia </w:t>
            </w:r>
          </w:p>
          <w:p w:rsidR="00EB3BC8" w:rsidRPr="00734A59" w:rsidRDefault="00EB3BC8" w:rsidP="005E52E0">
            <w:p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b/>
              </w:rPr>
              <w:t xml:space="preserve">- </w:t>
            </w:r>
            <w:r w:rsidR="00734A59" w:rsidRPr="00734A59">
              <w:rPr>
                <w:rFonts w:eastAsia="Times New Roman" w:cstheme="minorHAnsi"/>
                <w:b/>
              </w:rPr>
              <w:t xml:space="preserve">Topografía – Estado Avance </w:t>
            </w:r>
            <w:r w:rsidRPr="00734A59">
              <w:rPr>
                <w:rFonts w:eastAsia="Times New Roman" w:cstheme="minorHAnsi"/>
                <w:b/>
              </w:rPr>
              <w:t>(100%),</w:t>
            </w:r>
            <w:r w:rsidRPr="00734A59">
              <w:rPr>
                <w:rFonts w:eastAsia="Times New Roman" w:cstheme="minorHAnsi"/>
              </w:rPr>
              <w:t xml:space="preserve"> reportado por el Concesionario, sin embargo a la fecha no ha entregado Información a Interventoría, así se haya recomendado en varios comités de seguimiento la importancia de una revisión paralela.    </w:t>
            </w:r>
          </w:p>
          <w:p w:rsidR="00EB3BC8" w:rsidRPr="00734A59" w:rsidRDefault="00EB3BC8" w:rsidP="005E52E0">
            <w:p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rPr>
              <w:t xml:space="preserve">- </w:t>
            </w:r>
            <w:r w:rsidR="00734A59" w:rsidRPr="00734A59">
              <w:rPr>
                <w:rFonts w:eastAsia="Times New Roman" w:cstheme="minorHAnsi"/>
                <w:b/>
              </w:rPr>
              <w:t>Diseño Geometrico</w:t>
            </w:r>
            <w:r w:rsidR="00734A59" w:rsidRPr="00734A59">
              <w:rPr>
                <w:rFonts w:eastAsia="Times New Roman" w:cstheme="minorHAnsi"/>
              </w:rPr>
              <w:t xml:space="preserve"> </w:t>
            </w:r>
            <w:r w:rsidRPr="00734A59">
              <w:rPr>
                <w:rFonts w:eastAsia="Times New Roman" w:cstheme="minorHAnsi"/>
              </w:rPr>
              <w:t>- Estado: Se reporte avance del 95%, se realizó visita de especialistas para verificar el trazado en campo el día 3, 4 y 5 del mes de julio de 2015.   Se ha identificado cruces con Oleoductos, se están evaluando alternativas de paso.  </w:t>
            </w:r>
          </w:p>
          <w:p w:rsidR="00EB3BC8" w:rsidRPr="00734A59" w:rsidRDefault="00EB3BC8" w:rsidP="005E52E0">
            <w:p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rPr>
              <w:t>- El Concesionario informa que tiene avances en las diferentes áreas y que se encuentra adelantando toda la ingeniería de detalle del corredor.  </w:t>
            </w:r>
          </w:p>
          <w:p w:rsidR="00EB3BC8" w:rsidRPr="00734A59" w:rsidRDefault="00734A59" w:rsidP="005E52E0">
            <w:pPr>
              <w:spacing w:before="100" w:beforeAutospacing="1" w:after="100" w:afterAutospacing="1" w:line="240" w:lineRule="auto"/>
              <w:jc w:val="both"/>
              <w:textAlignment w:val="baseline"/>
              <w:rPr>
                <w:rFonts w:eastAsia="Times New Roman" w:cstheme="minorHAnsi"/>
                <w:b/>
              </w:rPr>
            </w:pPr>
            <w:r w:rsidRPr="00734A59">
              <w:rPr>
                <w:rFonts w:eastAsia="Times New Roman" w:cstheme="minorHAnsi"/>
              </w:rPr>
              <w:t>  </w:t>
            </w:r>
            <w:r w:rsidRPr="00734A59">
              <w:rPr>
                <w:rFonts w:eastAsia="Times New Roman" w:cstheme="minorHAnsi"/>
                <w:b/>
              </w:rPr>
              <w:t>Unidad Funcional I- Remedios Zaragoza  </w:t>
            </w:r>
          </w:p>
          <w:p w:rsidR="00EB3BC8" w:rsidRPr="00734A59" w:rsidRDefault="00734A59" w:rsidP="000021B2">
            <w:pPr>
              <w:numPr>
                <w:ilvl w:val="0"/>
                <w:numId w:val="66"/>
              </w:num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b/>
              </w:rPr>
              <w:t>Topografía</w:t>
            </w:r>
            <w:r w:rsidR="00EB3BC8" w:rsidRPr="00734A59">
              <w:rPr>
                <w:rFonts w:eastAsia="Times New Roman" w:cstheme="minorHAnsi"/>
                <w:b/>
              </w:rPr>
              <w:t>- Estado:</w:t>
            </w:r>
            <w:r w:rsidR="00EB3BC8" w:rsidRPr="00734A59">
              <w:rPr>
                <w:rFonts w:eastAsia="Times New Roman" w:cstheme="minorHAnsi"/>
              </w:rPr>
              <w:t xml:space="preserve"> el Concesionario reporta un avance del 100%. Igualmente se ha informado al Concesionario en las diferentes reuniones y comités la importancia de entregar para revisión de Interventoría.  </w:t>
            </w:r>
          </w:p>
          <w:p w:rsidR="00EB3BC8" w:rsidRPr="00734A59" w:rsidRDefault="00734A59" w:rsidP="000021B2">
            <w:pPr>
              <w:numPr>
                <w:ilvl w:val="0"/>
                <w:numId w:val="66"/>
              </w:num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b/>
                <w:bCs/>
              </w:rPr>
              <w:t xml:space="preserve">Diseño Geometrico </w:t>
            </w:r>
            <w:r w:rsidR="00EB3BC8" w:rsidRPr="00734A59">
              <w:rPr>
                <w:rFonts w:eastAsia="Times New Roman" w:cstheme="minorHAnsi"/>
                <w:b/>
                <w:bCs/>
              </w:rPr>
              <w:t xml:space="preserve">- Estado: </w:t>
            </w:r>
            <w:r w:rsidR="00EB3BC8" w:rsidRPr="00734A59">
              <w:rPr>
                <w:rFonts w:eastAsia="Times New Roman" w:cstheme="minorHAnsi"/>
              </w:rPr>
              <w:t>El concesionario ha presentado el avance de diseños a los especialistas de Interventoría, semanalmente se está verificando el estado de avance, se realizó recorrido en campo de especialistas los días 3,4 y 5 de julio de 2015.  </w:t>
            </w:r>
          </w:p>
          <w:p w:rsidR="00EB3BC8" w:rsidRPr="00734A59" w:rsidRDefault="00EB3BC8" w:rsidP="000021B2">
            <w:pPr>
              <w:numPr>
                <w:ilvl w:val="0"/>
                <w:numId w:val="66"/>
              </w:numPr>
              <w:spacing w:before="100" w:beforeAutospacing="1" w:after="100" w:afterAutospacing="1" w:line="240" w:lineRule="auto"/>
              <w:jc w:val="both"/>
              <w:textAlignment w:val="baseline"/>
              <w:rPr>
                <w:rFonts w:eastAsia="Times New Roman" w:cstheme="minorHAnsi"/>
                <w:b/>
              </w:rPr>
            </w:pPr>
            <w:r w:rsidRPr="00734A59">
              <w:rPr>
                <w:rFonts w:eastAsia="Times New Roman" w:cstheme="minorHAnsi"/>
              </w:rPr>
              <w:t>El Concesionario informa que tiene avances en las diferentes áreas y que se encuentra adelantando toda la ingeniería de detalle del corredor.</w:t>
            </w:r>
          </w:p>
        </w:tc>
      </w:tr>
      <w:tr w:rsidR="00EB3BC8" w:rsidRPr="005133E0" w:rsidTr="005E52E0">
        <w:trPr>
          <w:trHeight w:val="835"/>
        </w:trPr>
        <w:tc>
          <w:tcPr>
            <w:tcW w:w="9480" w:type="dxa"/>
            <w:gridSpan w:val="5"/>
            <w:shd w:val="clear" w:color="auto" w:fill="auto"/>
          </w:tcPr>
          <w:p w:rsidR="00EB3BC8" w:rsidRPr="00734A59" w:rsidRDefault="00734A59" w:rsidP="005E52E0">
            <w:p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b/>
                <w:bCs/>
              </w:rPr>
              <w:lastRenderedPageBreak/>
              <w:t>Aspectos Prediales – Situación Actual</w:t>
            </w:r>
            <w:r w:rsidRPr="00734A59">
              <w:rPr>
                <w:rFonts w:eastAsia="Times New Roman" w:cstheme="minorHAnsi"/>
              </w:rPr>
              <w:t> </w:t>
            </w:r>
          </w:p>
          <w:p w:rsidR="00EB3BC8" w:rsidRPr="00734A59" w:rsidRDefault="00EB3BC8" w:rsidP="005E52E0">
            <w:p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bCs/>
              </w:rPr>
              <w:t xml:space="preserve">UNIDAD FUNCIONAL 1 (Remedios-Zaragoza): </w:t>
            </w:r>
            <w:r w:rsidRPr="00734A59">
              <w:rPr>
                <w:rFonts w:eastAsia="Times New Roman" w:cstheme="minorHAnsi"/>
              </w:rPr>
              <w:t>Se reporta un 100% en inventario predial dentro de las acciones de gestión predial previa a la adquisición, contando 120 predios en la unidad predial hasta la fecha. </w:t>
            </w:r>
          </w:p>
          <w:p w:rsidR="00EB3BC8" w:rsidRPr="00734A59" w:rsidRDefault="00EB3BC8" w:rsidP="005E52E0">
            <w:p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bCs/>
              </w:rPr>
              <w:t xml:space="preserve">UNIDAD FUNCIONAL 2 (Zaragoza-Caucasia) subsector 1: </w:t>
            </w:r>
            <w:r w:rsidRPr="00734A59">
              <w:rPr>
                <w:rFonts w:eastAsia="Times New Roman" w:cstheme="minorHAnsi"/>
              </w:rPr>
              <w:t>Se reporta un 100% en inventario predial dentro de las acciones de gestión predial previa a la adquisición y un 10% en análisis jurídico predial, contando 540 predios en la unidad predial hasta la fecha. </w:t>
            </w:r>
          </w:p>
          <w:p w:rsidR="00EB3BC8" w:rsidRPr="00734A59" w:rsidRDefault="00EB3BC8" w:rsidP="005E52E0">
            <w:p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bCs/>
              </w:rPr>
              <w:t xml:space="preserve">UNIDAD FUNCIONAL 2 (Zaragoza-Caucasia) subsector 2: </w:t>
            </w:r>
            <w:r w:rsidRPr="00734A59">
              <w:rPr>
                <w:rFonts w:eastAsia="Times New Roman" w:cstheme="minorHAnsi"/>
              </w:rPr>
              <w:t>Se reporta un 100% en inventario predial dentro de las acciones de gestión predial previa a la adquisición, contando 200 predios en la unidad predial hasta la fecha. </w:t>
            </w:r>
          </w:p>
          <w:p w:rsidR="00EB3BC8" w:rsidRPr="00734A59" w:rsidRDefault="00EB3BC8" w:rsidP="005E52E0">
            <w:pPr>
              <w:spacing w:before="100" w:beforeAutospacing="1" w:after="100" w:afterAutospacing="1" w:line="240" w:lineRule="auto"/>
              <w:jc w:val="both"/>
              <w:textAlignment w:val="baseline"/>
              <w:rPr>
                <w:rFonts w:eastAsia="Times New Roman" w:cstheme="minorHAnsi"/>
              </w:rPr>
            </w:pPr>
            <w:r w:rsidRPr="00734A59">
              <w:rPr>
                <w:rFonts w:eastAsia="Times New Roman" w:cstheme="minorHAnsi"/>
              </w:rPr>
              <w:t>Se realizó capacitación de la herramienta OLYMPUS para el cargue de información predial el día 6 de julio de 2015, convocando supervisores, interventoría y concesionario.  </w:t>
            </w:r>
          </w:p>
          <w:p w:rsidR="00EB3BC8" w:rsidRPr="00734A59" w:rsidRDefault="00734A59" w:rsidP="005E52E0">
            <w:pPr>
              <w:spacing w:line="240" w:lineRule="auto"/>
              <w:jc w:val="both"/>
              <w:rPr>
                <w:rFonts w:cstheme="minorHAnsi"/>
              </w:rPr>
            </w:pPr>
            <w:r w:rsidRPr="00734A59">
              <w:rPr>
                <w:rFonts w:cstheme="minorHAnsi"/>
                <w:b/>
              </w:rPr>
              <w:t>Problemática:</w:t>
            </w:r>
          </w:p>
          <w:p w:rsidR="00EB3BC8" w:rsidRPr="00734A59" w:rsidRDefault="00EB3BC8" w:rsidP="005E52E0">
            <w:pPr>
              <w:spacing w:line="240" w:lineRule="auto"/>
              <w:jc w:val="both"/>
              <w:rPr>
                <w:rFonts w:cstheme="minorHAnsi"/>
              </w:rPr>
            </w:pPr>
            <w:r w:rsidRPr="00734A59">
              <w:rPr>
                <w:rFonts w:cstheme="minorHAnsi"/>
              </w:rPr>
              <w:t xml:space="preserve">Se tiene controversia sobre Franja de Adquisición en pasos Urbanos y Zonas Pobladas. La gerencia Predial está adelantando la revisión del tema.  Según el apéndice técnico 1 la Franja de todo el corredor es de 60 metros.     </w:t>
            </w:r>
          </w:p>
          <w:p w:rsidR="00EB3BC8" w:rsidRPr="00734A59" w:rsidRDefault="00734A59" w:rsidP="005E52E0">
            <w:pPr>
              <w:spacing w:line="240" w:lineRule="auto"/>
              <w:jc w:val="both"/>
              <w:rPr>
                <w:rFonts w:cstheme="minorHAnsi"/>
                <w:b/>
              </w:rPr>
            </w:pPr>
            <w:r w:rsidRPr="00734A59">
              <w:rPr>
                <w:rFonts w:cstheme="minorHAnsi"/>
                <w:b/>
              </w:rPr>
              <w:t>Aspectos Sociales – Situación Actual</w:t>
            </w:r>
          </w:p>
          <w:p w:rsidR="00EB3BC8" w:rsidRPr="00734A59" w:rsidRDefault="00EB3BC8" w:rsidP="005E52E0">
            <w:pPr>
              <w:spacing w:line="240" w:lineRule="auto"/>
              <w:jc w:val="both"/>
              <w:rPr>
                <w:rFonts w:cstheme="minorHAnsi"/>
              </w:rPr>
            </w:pPr>
            <w:r w:rsidRPr="00734A59">
              <w:rPr>
                <w:rFonts w:cstheme="minorHAnsi"/>
              </w:rPr>
              <w:t>Todos los profesionales se encuentran desarrollando las funciones correspondientes a los diferentes programas del PGSC.</w:t>
            </w:r>
          </w:p>
        </w:tc>
      </w:tr>
      <w:tr w:rsidR="00EB3BC8" w:rsidRPr="005133E0" w:rsidTr="005E52E0">
        <w:trPr>
          <w:trHeight w:val="3242"/>
        </w:trPr>
        <w:tc>
          <w:tcPr>
            <w:tcW w:w="9480" w:type="dxa"/>
            <w:gridSpan w:val="5"/>
          </w:tcPr>
          <w:p w:rsidR="00EB3BC8" w:rsidRPr="00734A59" w:rsidRDefault="00734A59" w:rsidP="005E52E0">
            <w:pPr>
              <w:spacing w:line="240" w:lineRule="auto"/>
              <w:jc w:val="both"/>
              <w:rPr>
                <w:rFonts w:cstheme="minorHAnsi"/>
                <w:b/>
              </w:rPr>
            </w:pPr>
            <w:r w:rsidRPr="00734A59">
              <w:rPr>
                <w:rFonts w:cstheme="minorHAnsi"/>
                <w:b/>
              </w:rPr>
              <w:t>Aspectos Ambientales</w:t>
            </w:r>
          </w:p>
          <w:p w:rsidR="00EB3BC8" w:rsidRPr="00734A59" w:rsidRDefault="00EB3BC8" w:rsidP="000021B2">
            <w:pPr>
              <w:numPr>
                <w:ilvl w:val="0"/>
                <w:numId w:val="35"/>
              </w:numPr>
              <w:spacing w:after="0" w:line="240" w:lineRule="auto"/>
              <w:contextualSpacing/>
              <w:jc w:val="both"/>
              <w:rPr>
                <w:rFonts w:cstheme="minorHAnsi"/>
              </w:rPr>
            </w:pPr>
            <w:r w:rsidRPr="00734A59">
              <w:rPr>
                <w:rFonts w:cstheme="minorHAnsi"/>
              </w:rPr>
              <w:t xml:space="preserve">Para la ejecución de las actividades de mejoramiento de la vía existente en la UF2 realizará PAGA. </w:t>
            </w:r>
          </w:p>
          <w:p w:rsidR="00EB3BC8" w:rsidRPr="00734A59" w:rsidRDefault="00EB3BC8" w:rsidP="000021B2">
            <w:pPr>
              <w:numPr>
                <w:ilvl w:val="0"/>
                <w:numId w:val="35"/>
              </w:numPr>
              <w:spacing w:after="0" w:line="240" w:lineRule="auto"/>
              <w:contextualSpacing/>
              <w:jc w:val="both"/>
              <w:rPr>
                <w:rFonts w:cstheme="minorHAnsi"/>
              </w:rPr>
            </w:pPr>
            <w:r w:rsidRPr="00734A59">
              <w:rPr>
                <w:rFonts w:cstheme="minorHAnsi"/>
              </w:rPr>
              <w:t xml:space="preserve">Para las obras que requieren Licenciamiento Ambiental, tales como UF1 y Variante Caucasia el concesionario hará entrega de los EIA. </w:t>
            </w:r>
          </w:p>
          <w:p w:rsidR="00EB3BC8" w:rsidRPr="00734A59" w:rsidRDefault="00EB3BC8" w:rsidP="000021B2">
            <w:pPr>
              <w:numPr>
                <w:ilvl w:val="0"/>
                <w:numId w:val="35"/>
              </w:numPr>
              <w:spacing w:after="0" w:line="240" w:lineRule="auto"/>
              <w:contextualSpacing/>
              <w:jc w:val="both"/>
              <w:rPr>
                <w:rFonts w:cstheme="minorHAnsi"/>
              </w:rPr>
            </w:pPr>
            <w:r w:rsidRPr="00734A59">
              <w:rPr>
                <w:rFonts w:cstheme="minorHAnsi"/>
              </w:rPr>
              <w:t>El Concesionario entregó las correcciones de las fichas ambientales propuestas, para las actividades de mantenimiento de la vía.</w:t>
            </w:r>
          </w:p>
          <w:p w:rsidR="00EB3BC8" w:rsidRPr="00734A59" w:rsidRDefault="00EB3BC8" w:rsidP="005E52E0">
            <w:pPr>
              <w:spacing w:line="240" w:lineRule="auto"/>
              <w:jc w:val="both"/>
              <w:rPr>
                <w:rFonts w:cstheme="minorHAnsi"/>
              </w:rPr>
            </w:pPr>
          </w:p>
          <w:p w:rsidR="00EB3BC8" w:rsidRPr="00734A59" w:rsidRDefault="00734A59" w:rsidP="005E52E0">
            <w:pPr>
              <w:spacing w:line="240" w:lineRule="auto"/>
              <w:jc w:val="both"/>
              <w:rPr>
                <w:rFonts w:cstheme="minorHAnsi"/>
              </w:rPr>
            </w:pPr>
            <w:r w:rsidRPr="00734A59">
              <w:rPr>
                <w:rFonts w:cstheme="minorHAnsi"/>
                <w:b/>
              </w:rPr>
              <w:t>Problemática:</w:t>
            </w:r>
          </w:p>
          <w:p w:rsidR="00EB3BC8" w:rsidRPr="00734A59" w:rsidRDefault="00EB3BC8" w:rsidP="005E52E0">
            <w:pPr>
              <w:spacing w:line="240" w:lineRule="auto"/>
              <w:jc w:val="both"/>
              <w:rPr>
                <w:rFonts w:cstheme="minorHAnsi"/>
              </w:rPr>
            </w:pPr>
            <w:r w:rsidRPr="00734A59">
              <w:rPr>
                <w:rFonts w:cstheme="minorHAnsi"/>
              </w:rPr>
              <w:t>Se tienen una controversia sobre la Fecha de entrega del PAGA, la cual está en Consulta con la Gerencia Ambiental de la ANI.</w:t>
            </w:r>
          </w:p>
          <w:p w:rsidR="00EB3BC8" w:rsidRPr="00734A59" w:rsidRDefault="00EB3BC8" w:rsidP="005E52E0">
            <w:pPr>
              <w:spacing w:line="240" w:lineRule="auto"/>
              <w:jc w:val="both"/>
              <w:rPr>
                <w:rFonts w:cstheme="minorHAnsi"/>
              </w:rPr>
            </w:pPr>
            <w:r w:rsidRPr="00734A59">
              <w:rPr>
                <w:rFonts w:cstheme="minorHAnsi"/>
              </w:rPr>
              <w:t xml:space="preserve">El concesionario presento el 06/06/2015 el informe de como adelantara las actividades para obtener L.A. y PAGA. </w:t>
            </w:r>
          </w:p>
        </w:tc>
      </w:tr>
      <w:tr w:rsidR="00EB3BC8" w:rsidRPr="005133E0" w:rsidTr="005E52E0">
        <w:trPr>
          <w:trHeight w:val="2509"/>
        </w:trPr>
        <w:tc>
          <w:tcPr>
            <w:tcW w:w="9480" w:type="dxa"/>
            <w:gridSpan w:val="5"/>
          </w:tcPr>
          <w:p w:rsidR="00EB3BC8" w:rsidRPr="005133E0" w:rsidRDefault="00734A59" w:rsidP="005E52E0">
            <w:pPr>
              <w:spacing w:line="240" w:lineRule="auto"/>
              <w:jc w:val="both"/>
              <w:rPr>
                <w:rFonts w:cs="Arial"/>
                <w:b/>
              </w:rPr>
            </w:pPr>
            <w:r w:rsidRPr="005133E0">
              <w:rPr>
                <w:rFonts w:cs="Arial"/>
                <w:b/>
              </w:rPr>
              <w:lastRenderedPageBreak/>
              <w:t>Aspectos Jurídicos</w:t>
            </w:r>
          </w:p>
          <w:p w:rsidR="00EB3BC8" w:rsidRPr="005133E0" w:rsidRDefault="00EB3BC8" w:rsidP="005E52E0">
            <w:pPr>
              <w:spacing w:line="240" w:lineRule="auto"/>
              <w:jc w:val="both"/>
              <w:rPr>
                <w:rFonts w:cs="Segoe UI"/>
                <w:sz w:val="12"/>
                <w:szCs w:val="12"/>
              </w:rPr>
            </w:pPr>
            <w:r w:rsidRPr="005133E0">
              <w:rPr>
                <w:rFonts w:cs="Segoe UI"/>
              </w:rPr>
              <w:t>Para la Resolución de conflictos con la concesionaria Autopistas del Nordeste se ha establecido efectivamente, la activación del mecanismo del amigable componedor y a la fecha se encuentran designados los siguientes profesionales: </w:t>
            </w:r>
          </w:p>
          <w:p w:rsidR="00EB3BC8" w:rsidRPr="005133E0" w:rsidRDefault="00EB3BC8" w:rsidP="005E52E0">
            <w:pPr>
              <w:spacing w:after="0" w:line="240" w:lineRule="auto"/>
              <w:jc w:val="both"/>
              <w:textAlignment w:val="baseline"/>
              <w:rPr>
                <w:rFonts w:ascii="Calibri" w:eastAsia="Times New Roman" w:hAnsi="Calibri" w:cs="Segoe UI"/>
                <w:sz w:val="24"/>
                <w:szCs w:val="24"/>
              </w:rPr>
            </w:pPr>
            <w:r w:rsidRPr="005133E0">
              <w:rPr>
                <w:rFonts w:ascii="Calibri" w:eastAsia="Times New Roman" w:hAnsi="Calibri" w:cs="Segoe UI"/>
                <w:sz w:val="24"/>
                <w:szCs w:val="24"/>
              </w:rPr>
              <w:t>1.         Mario Suárez Melo, nombrado por la Agencia. </w:t>
            </w:r>
          </w:p>
          <w:p w:rsidR="00EB3BC8" w:rsidRPr="005133E0" w:rsidRDefault="00EB3BC8" w:rsidP="005E52E0">
            <w:pPr>
              <w:spacing w:after="0" w:line="240" w:lineRule="auto"/>
              <w:jc w:val="both"/>
              <w:textAlignment w:val="baseline"/>
              <w:rPr>
                <w:rFonts w:ascii="Calibri" w:eastAsia="Times New Roman" w:hAnsi="Calibri" w:cs="Segoe UI"/>
                <w:sz w:val="12"/>
                <w:szCs w:val="12"/>
              </w:rPr>
            </w:pPr>
            <w:r w:rsidRPr="005133E0">
              <w:rPr>
                <w:rFonts w:ascii="Calibri" w:eastAsia="Times New Roman" w:hAnsi="Calibri" w:cs="Segoe UI"/>
                <w:sz w:val="24"/>
                <w:szCs w:val="24"/>
              </w:rPr>
              <w:t>2.         Luis Guillermo Dávila Vinueza, nombrado por el concesionario. </w:t>
            </w:r>
          </w:p>
          <w:p w:rsidR="00EB3BC8" w:rsidRPr="005133E0" w:rsidRDefault="00EB3BC8" w:rsidP="005E52E0">
            <w:pPr>
              <w:spacing w:after="0" w:line="240" w:lineRule="auto"/>
              <w:jc w:val="both"/>
              <w:textAlignment w:val="baseline"/>
              <w:rPr>
                <w:rFonts w:ascii="Calibri" w:eastAsia="Times New Roman" w:hAnsi="Calibri" w:cs="Segoe UI"/>
                <w:sz w:val="24"/>
                <w:szCs w:val="24"/>
              </w:rPr>
            </w:pPr>
            <w:r w:rsidRPr="005133E0">
              <w:rPr>
                <w:rFonts w:ascii="Calibri" w:eastAsia="Times New Roman" w:hAnsi="Calibri" w:cs="Segoe UI"/>
                <w:sz w:val="24"/>
                <w:szCs w:val="24"/>
              </w:rPr>
              <w:t>3.          Gustavo Quintero Navas-nombrado por los dos anteriores. </w:t>
            </w:r>
          </w:p>
          <w:p w:rsidR="00EB3BC8" w:rsidRPr="005133E0" w:rsidRDefault="00EB3BC8" w:rsidP="005E52E0">
            <w:pPr>
              <w:spacing w:before="100" w:beforeAutospacing="1" w:after="100" w:afterAutospacing="1" w:line="240" w:lineRule="auto"/>
              <w:jc w:val="both"/>
              <w:textAlignment w:val="baseline"/>
              <w:rPr>
                <w:rFonts w:ascii="Calibri" w:eastAsia="Times New Roman" w:hAnsi="Calibri" w:cs="Segoe UI"/>
                <w:sz w:val="24"/>
                <w:szCs w:val="24"/>
              </w:rPr>
            </w:pPr>
            <w:r w:rsidRPr="005133E0">
              <w:rPr>
                <w:rFonts w:ascii="Calibri" w:eastAsia="Times New Roman" w:hAnsi="Calibri" w:cs="Segoe UI"/>
                <w:sz w:val="24"/>
                <w:szCs w:val="24"/>
              </w:rPr>
              <w:t>Por otra parte la Interventoría Consorcio 4G solicitó una recomposición accionaria, la cual fue recibida, y se encuentra en proceso de evaluación por la ANI.</w:t>
            </w:r>
          </w:p>
        </w:tc>
      </w:tr>
      <w:tr w:rsidR="00EB3BC8" w:rsidRPr="005133E0" w:rsidTr="005E52E0">
        <w:trPr>
          <w:trHeight w:val="1224"/>
        </w:trPr>
        <w:tc>
          <w:tcPr>
            <w:tcW w:w="9480" w:type="dxa"/>
            <w:gridSpan w:val="5"/>
          </w:tcPr>
          <w:p w:rsidR="00EB3BC8" w:rsidRPr="005133E0" w:rsidRDefault="00734A59" w:rsidP="005E52E0">
            <w:pPr>
              <w:spacing w:line="240" w:lineRule="auto"/>
              <w:jc w:val="both"/>
              <w:rPr>
                <w:rFonts w:cs="Arial"/>
                <w:b/>
              </w:rPr>
            </w:pPr>
            <w:r w:rsidRPr="005133E0">
              <w:rPr>
                <w:rFonts w:cs="Arial"/>
                <w:b/>
              </w:rPr>
              <w:t>Aspectos Operativos</w:t>
            </w:r>
          </w:p>
          <w:p w:rsidR="00EB3BC8" w:rsidRPr="005133E0" w:rsidRDefault="00EB3BC8" w:rsidP="000021B2">
            <w:pPr>
              <w:numPr>
                <w:ilvl w:val="0"/>
                <w:numId w:val="36"/>
              </w:numPr>
              <w:spacing w:after="0" w:line="240" w:lineRule="auto"/>
              <w:contextualSpacing/>
              <w:jc w:val="both"/>
              <w:rPr>
                <w:rFonts w:ascii="Calibri" w:hAnsi="Calibri" w:cs="Arial"/>
              </w:rPr>
            </w:pPr>
            <w:r w:rsidRPr="005133E0">
              <w:rPr>
                <w:rFonts w:ascii="Calibri" w:hAnsi="Calibri" w:cs="Arial"/>
              </w:rPr>
              <w:t>El Concesionario realizó cambio de vallas</w:t>
            </w:r>
          </w:p>
          <w:p w:rsidR="00EB3BC8" w:rsidRPr="005133E0" w:rsidRDefault="00EB3BC8" w:rsidP="000021B2">
            <w:pPr>
              <w:numPr>
                <w:ilvl w:val="0"/>
                <w:numId w:val="36"/>
              </w:numPr>
              <w:spacing w:after="0" w:line="240" w:lineRule="auto"/>
              <w:contextualSpacing/>
              <w:jc w:val="both"/>
              <w:rPr>
                <w:rFonts w:ascii="Calibri" w:hAnsi="Calibri" w:cs="Arial"/>
                <w:b/>
              </w:rPr>
            </w:pPr>
            <w:r w:rsidRPr="005133E0">
              <w:rPr>
                <w:rFonts w:ascii="Calibri" w:hAnsi="Calibri" w:cs="Arial"/>
              </w:rPr>
              <w:t>Actualmente se cuenta con dos bases de operación en el proyecto ubicadas en los PR 2+00 Caucasia y PR 59 Puerto Triana y se viene prestando el servicio de manera continua.</w:t>
            </w:r>
          </w:p>
          <w:p w:rsidR="00EB3BC8" w:rsidRPr="005133E0" w:rsidRDefault="00EB3BC8" w:rsidP="005E52E0">
            <w:pPr>
              <w:spacing w:after="0" w:line="240" w:lineRule="auto"/>
              <w:ind w:left="360"/>
              <w:contextualSpacing/>
              <w:jc w:val="both"/>
              <w:rPr>
                <w:rFonts w:ascii="Calibri" w:hAnsi="Calibri" w:cs="Arial"/>
                <w:b/>
              </w:rPr>
            </w:pPr>
          </w:p>
        </w:tc>
      </w:tr>
      <w:tr w:rsidR="00EB3BC8" w:rsidRPr="005133E0" w:rsidTr="005E52E0">
        <w:trPr>
          <w:trHeight w:val="672"/>
        </w:trPr>
        <w:tc>
          <w:tcPr>
            <w:tcW w:w="9480" w:type="dxa"/>
            <w:gridSpan w:val="5"/>
            <w:tcBorders>
              <w:top w:val="single" w:sz="4" w:space="0" w:color="auto"/>
              <w:left w:val="single" w:sz="4" w:space="0" w:color="auto"/>
              <w:bottom w:val="single" w:sz="4" w:space="0" w:color="auto"/>
              <w:right w:val="single" w:sz="4" w:space="0" w:color="auto"/>
            </w:tcBorders>
          </w:tcPr>
          <w:p w:rsidR="00EB3BC8" w:rsidRPr="005133E0" w:rsidRDefault="00734A59" w:rsidP="005E52E0">
            <w:pPr>
              <w:spacing w:line="240" w:lineRule="auto"/>
              <w:jc w:val="both"/>
              <w:rPr>
                <w:rFonts w:cs="Arial"/>
                <w:b/>
              </w:rPr>
            </w:pPr>
            <w:r w:rsidRPr="005133E0">
              <w:rPr>
                <w:rFonts w:cs="Arial"/>
                <w:b/>
              </w:rPr>
              <w:t>Temas Pendientes A La Fecha</w:t>
            </w:r>
          </w:p>
          <w:p w:rsidR="00EB3BC8" w:rsidRPr="005133E0" w:rsidRDefault="00EB3BC8" w:rsidP="005E52E0">
            <w:pPr>
              <w:spacing w:line="240" w:lineRule="auto"/>
              <w:jc w:val="both"/>
              <w:rPr>
                <w:rFonts w:cs="Arial"/>
              </w:rPr>
            </w:pPr>
            <w:r w:rsidRPr="005133E0">
              <w:rPr>
                <w:rFonts w:cs="Arial"/>
              </w:rPr>
              <w:t xml:space="preserve">Se encuentra en definición Protocolo con la Policía de Carreteras. </w:t>
            </w:r>
          </w:p>
        </w:tc>
      </w:tr>
    </w:tbl>
    <w:p w:rsidR="00EB3BC8" w:rsidRPr="005133E0" w:rsidRDefault="00EB3BC8" w:rsidP="00EB3BC8">
      <w:pPr>
        <w:spacing w:after="0" w:line="240" w:lineRule="auto"/>
        <w:jc w:val="both"/>
        <w:rPr>
          <w:rFonts w:ascii="Arial" w:eastAsia="Times New Roman" w:hAnsi="Arial" w:cs="Arial"/>
          <w:b/>
        </w:rPr>
      </w:pPr>
    </w:p>
    <w:p w:rsidR="00EB3BC8" w:rsidRPr="005133E0" w:rsidRDefault="00EB3BC8" w:rsidP="00EB3BC8">
      <w:pPr>
        <w:spacing w:after="0" w:line="240" w:lineRule="auto"/>
        <w:jc w:val="both"/>
        <w:rPr>
          <w:rFonts w:ascii="Arial" w:eastAsia="Times New Roman" w:hAnsi="Arial" w:cs="Arial"/>
          <w:b/>
          <w:lang w:val="es-ES"/>
        </w:rPr>
      </w:pPr>
    </w:p>
    <w:p w:rsidR="00EB3BC8" w:rsidRPr="005133E0" w:rsidRDefault="00EB3BC8" w:rsidP="00EB3BC8">
      <w:pPr>
        <w:spacing w:after="0" w:line="240" w:lineRule="auto"/>
        <w:jc w:val="both"/>
        <w:rPr>
          <w:rFonts w:ascii="Arial" w:eastAsia="Times New Roman" w:hAnsi="Arial" w:cs="Arial"/>
          <w:b/>
          <w:lang w:val="es-ES"/>
        </w:rPr>
      </w:pPr>
    </w:p>
    <w:p w:rsidR="00EB3BC8" w:rsidRPr="00F72D28" w:rsidRDefault="00EB3BC8" w:rsidP="00F72D28">
      <w:pPr>
        <w:spacing w:line="240" w:lineRule="auto"/>
        <w:jc w:val="both"/>
        <w:rPr>
          <w:rFonts w:eastAsia="Times New Roman" w:cs="Calibri"/>
          <w:b/>
          <w:color w:val="000000"/>
          <w:u w:val="single"/>
        </w:rPr>
      </w:pPr>
      <w:r w:rsidRPr="00F72D28">
        <w:rPr>
          <w:rFonts w:eastAsia="Times New Roman" w:cs="Calibri"/>
          <w:b/>
          <w:color w:val="000000"/>
          <w:u w:val="single"/>
        </w:rPr>
        <w:t xml:space="preserve">24. INFORME DE GESTIÓN PROYECTO MAGDALENA 2  </w:t>
      </w:r>
    </w:p>
    <w:p w:rsidR="00EB3BC8" w:rsidRPr="005133E0" w:rsidRDefault="00EB3BC8" w:rsidP="00EB3BC8">
      <w:pPr>
        <w:spacing w:after="0" w:line="240" w:lineRule="auto"/>
        <w:jc w:val="both"/>
        <w:rPr>
          <w:rFonts w:ascii="Arial" w:eastAsia="Times New Roman" w:hAnsi="Arial" w:cs="Arial"/>
          <w:b/>
          <w:lang w:val="es-ES"/>
        </w:rPr>
      </w:pPr>
    </w:p>
    <w:p w:rsidR="00EB3BC8" w:rsidRPr="00F72D28" w:rsidRDefault="00EB3BC8" w:rsidP="00EB3BC8">
      <w:pPr>
        <w:spacing w:line="240" w:lineRule="auto"/>
        <w:jc w:val="both"/>
        <w:rPr>
          <w:rFonts w:eastAsiaTheme="minorHAnsi" w:cstheme="minorHAnsi"/>
        </w:rPr>
      </w:pPr>
      <w:r w:rsidRPr="00F72D28">
        <w:rPr>
          <w:rFonts w:eastAsiaTheme="minorHAnsi" w:cstheme="minorHAnsi"/>
          <w:b/>
        </w:rPr>
        <w:t>Generalidades:</w:t>
      </w:r>
      <w:r w:rsidRPr="00F72D28">
        <w:rPr>
          <w:rFonts w:eastAsiaTheme="minorHAnsi" w:cstheme="minorHAnsi"/>
        </w:rPr>
        <w:t xml:space="preserve"> </w:t>
      </w:r>
    </w:p>
    <w:p w:rsidR="00EB3BC8" w:rsidRPr="00F72D28" w:rsidRDefault="00EB3BC8" w:rsidP="00EB3BC8">
      <w:pPr>
        <w:tabs>
          <w:tab w:val="left" w:pos="567"/>
        </w:tabs>
        <w:spacing w:after="0" w:line="240" w:lineRule="auto"/>
        <w:jc w:val="both"/>
        <w:rPr>
          <w:rFonts w:eastAsia="Times New Roman" w:cstheme="minorHAnsi"/>
          <w:lang w:val="es-ES_tradnl" w:eastAsia="es-ES"/>
        </w:rPr>
      </w:pPr>
      <w:r w:rsidRPr="00F72D28">
        <w:rPr>
          <w:rFonts w:eastAsia="Times New Roman" w:cstheme="minorHAnsi"/>
          <w:b/>
          <w:lang w:val="es-ES_tradnl" w:eastAsia="es-ES"/>
        </w:rPr>
        <w:t>Concesionario:</w:t>
      </w:r>
      <w:r w:rsidRPr="00F72D28">
        <w:rPr>
          <w:rFonts w:eastAsia="Times New Roman" w:cstheme="minorHAnsi"/>
          <w:lang w:val="es-ES_tradnl" w:eastAsia="es-ES"/>
        </w:rPr>
        <w:t xml:space="preserve"> Autopista Río Magdalena S.A.S</w:t>
      </w:r>
    </w:p>
    <w:p w:rsidR="00EB3BC8" w:rsidRPr="00F72D28" w:rsidRDefault="00EB3BC8" w:rsidP="00EB3BC8">
      <w:pPr>
        <w:tabs>
          <w:tab w:val="left" w:pos="567"/>
        </w:tabs>
        <w:spacing w:after="0" w:line="240" w:lineRule="auto"/>
        <w:jc w:val="both"/>
        <w:rPr>
          <w:rFonts w:eastAsia="Times New Roman" w:cstheme="minorHAnsi"/>
          <w:lang w:val="es-ES_tradnl" w:eastAsia="es-ES"/>
        </w:rPr>
      </w:pPr>
      <w:r w:rsidRPr="00F72D28">
        <w:rPr>
          <w:rFonts w:eastAsia="Times New Roman" w:cstheme="minorHAnsi"/>
          <w:b/>
          <w:lang w:val="es-ES_tradnl" w:eastAsia="es-ES"/>
        </w:rPr>
        <w:t>Contrato:</w:t>
      </w:r>
      <w:r w:rsidRPr="00F72D28">
        <w:rPr>
          <w:rFonts w:eastAsia="Times New Roman" w:cstheme="minorHAnsi"/>
          <w:lang w:val="es-ES_tradnl" w:eastAsia="es-ES"/>
        </w:rPr>
        <w:t xml:space="preserve"> 008 de 10 de diciembre de 2014</w:t>
      </w:r>
    </w:p>
    <w:p w:rsidR="00EB3BC8" w:rsidRPr="00F72D28" w:rsidRDefault="00EB3BC8" w:rsidP="00EB3BC8">
      <w:pPr>
        <w:tabs>
          <w:tab w:val="left" w:pos="567"/>
        </w:tabs>
        <w:spacing w:after="0" w:line="240" w:lineRule="auto"/>
        <w:jc w:val="both"/>
        <w:rPr>
          <w:rFonts w:eastAsia="Times New Roman" w:cstheme="minorHAnsi"/>
          <w:lang w:val="es-ES_tradnl" w:eastAsia="es-ES"/>
        </w:rPr>
      </w:pPr>
      <w:r w:rsidRPr="00F72D28">
        <w:rPr>
          <w:rFonts w:eastAsia="Times New Roman" w:cstheme="minorHAnsi"/>
          <w:b/>
          <w:lang w:val="es-ES_tradnl" w:eastAsia="es-ES"/>
        </w:rPr>
        <w:t>Acta de inicio:</w:t>
      </w:r>
      <w:r w:rsidRPr="00F72D28">
        <w:rPr>
          <w:rFonts w:eastAsia="Times New Roman" w:cstheme="minorHAnsi"/>
          <w:sz w:val="24"/>
          <w:szCs w:val="24"/>
          <w:lang w:val="es-ES" w:eastAsia="es-ES"/>
        </w:rPr>
        <w:t xml:space="preserve"> </w:t>
      </w:r>
      <w:r w:rsidRPr="00F72D28">
        <w:rPr>
          <w:rFonts w:eastAsia="Times New Roman" w:cstheme="minorHAnsi"/>
          <w:lang w:val="es-ES_tradnl" w:eastAsia="es-ES"/>
        </w:rPr>
        <w:t>13 de Marzo de 2015</w:t>
      </w:r>
    </w:p>
    <w:p w:rsidR="00EB3BC8" w:rsidRPr="00F72D28" w:rsidRDefault="00EB3BC8" w:rsidP="00EB3BC8">
      <w:pPr>
        <w:tabs>
          <w:tab w:val="left" w:pos="567"/>
        </w:tabs>
        <w:spacing w:after="0" w:line="240" w:lineRule="auto"/>
        <w:jc w:val="both"/>
        <w:rPr>
          <w:rFonts w:eastAsia="Times New Roman" w:cstheme="minorHAnsi"/>
          <w:lang w:val="es-ES_tradnl" w:eastAsia="es-ES"/>
        </w:rPr>
      </w:pPr>
    </w:p>
    <w:p w:rsidR="00EB3BC8" w:rsidRPr="00F72D28" w:rsidRDefault="00EB3BC8" w:rsidP="00EB3BC8">
      <w:pPr>
        <w:tabs>
          <w:tab w:val="left" w:pos="567"/>
        </w:tabs>
        <w:spacing w:after="0" w:line="240" w:lineRule="auto"/>
        <w:jc w:val="both"/>
        <w:rPr>
          <w:rFonts w:eastAsia="Times New Roman" w:cstheme="minorHAnsi"/>
          <w:lang w:val="es-ES_tradnl" w:eastAsia="es-ES"/>
        </w:rPr>
      </w:pPr>
      <w:r w:rsidRPr="00F72D28">
        <w:rPr>
          <w:rFonts w:eastAsia="Times New Roman" w:cstheme="minorHAnsi"/>
          <w:b/>
          <w:lang w:val="es-ES_tradnl" w:eastAsia="es-ES"/>
        </w:rPr>
        <w:t>Interventoría:</w:t>
      </w:r>
      <w:r w:rsidRPr="00F72D28">
        <w:rPr>
          <w:rFonts w:eastAsia="Times New Roman" w:cstheme="minorHAnsi"/>
          <w:lang w:val="es-ES_tradnl" w:eastAsia="es-ES"/>
        </w:rPr>
        <w:t xml:space="preserve"> Unión temporal Concesiones 4G</w:t>
      </w:r>
    </w:p>
    <w:p w:rsidR="00EB3BC8" w:rsidRPr="00F72D28" w:rsidRDefault="00EB3BC8" w:rsidP="00EB3BC8">
      <w:pPr>
        <w:tabs>
          <w:tab w:val="left" w:pos="567"/>
        </w:tabs>
        <w:spacing w:after="0" w:line="240" w:lineRule="auto"/>
        <w:jc w:val="both"/>
        <w:rPr>
          <w:rFonts w:eastAsia="Times New Roman" w:cstheme="minorHAnsi"/>
          <w:lang w:val="es-ES_tradnl" w:eastAsia="es-ES"/>
        </w:rPr>
      </w:pPr>
      <w:r w:rsidRPr="00F72D28">
        <w:rPr>
          <w:rFonts w:eastAsia="Times New Roman" w:cstheme="minorHAnsi"/>
          <w:b/>
          <w:lang w:val="es-ES_tradnl" w:eastAsia="es-ES"/>
        </w:rPr>
        <w:t>Contrato:</w:t>
      </w:r>
      <w:r w:rsidRPr="00F72D28">
        <w:rPr>
          <w:rFonts w:eastAsia="Times New Roman" w:cstheme="minorHAnsi"/>
          <w:lang w:val="es-ES_tradnl" w:eastAsia="es-ES"/>
        </w:rPr>
        <w:t xml:space="preserve"> 024 de 12 de febrero de 2015</w:t>
      </w:r>
    </w:p>
    <w:p w:rsidR="00EB3BC8" w:rsidRPr="00F72D28" w:rsidRDefault="00EB3BC8" w:rsidP="00EB3BC8">
      <w:pPr>
        <w:tabs>
          <w:tab w:val="left" w:pos="567"/>
        </w:tabs>
        <w:spacing w:after="0" w:line="240" w:lineRule="auto"/>
        <w:jc w:val="both"/>
        <w:rPr>
          <w:rFonts w:eastAsia="Times New Roman" w:cstheme="minorHAnsi"/>
          <w:lang w:val="es-ES_tradnl" w:eastAsia="es-ES"/>
        </w:rPr>
      </w:pPr>
      <w:r w:rsidRPr="00F72D28">
        <w:rPr>
          <w:rFonts w:eastAsia="Times New Roman" w:cstheme="minorHAnsi"/>
          <w:b/>
          <w:lang w:val="es-ES_tradnl" w:eastAsia="es-ES"/>
        </w:rPr>
        <w:t>Acta de inicio:</w:t>
      </w:r>
      <w:r w:rsidRPr="00F72D28">
        <w:rPr>
          <w:rFonts w:eastAsia="Times New Roman" w:cstheme="minorHAnsi"/>
          <w:sz w:val="24"/>
          <w:szCs w:val="24"/>
          <w:lang w:val="es-ES" w:eastAsia="es-ES"/>
        </w:rPr>
        <w:t xml:space="preserve"> </w:t>
      </w:r>
      <w:r w:rsidRPr="00F72D28">
        <w:rPr>
          <w:rFonts w:eastAsia="Times New Roman" w:cstheme="minorHAnsi"/>
          <w:lang w:val="es-ES_tradnl" w:eastAsia="es-ES"/>
        </w:rPr>
        <w:t>12 de Marzo de 2015</w:t>
      </w:r>
    </w:p>
    <w:p w:rsidR="00EB3BC8" w:rsidRPr="00F72D28" w:rsidRDefault="00EB3BC8" w:rsidP="00EB3BC8">
      <w:pPr>
        <w:spacing w:line="240" w:lineRule="auto"/>
        <w:jc w:val="both"/>
        <w:rPr>
          <w:rFonts w:eastAsiaTheme="minorHAnsi" w:cstheme="minorHAnsi"/>
          <w:lang w:val="es-ES_tradnl"/>
        </w:rPr>
      </w:pPr>
    </w:p>
    <w:p w:rsidR="00EB3BC8" w:rsidRPr="00F72D28" w:rsidRDefault="00EB3BC8" w:rsidP="00EB3BC8">
      <w:pPr>
        <w:spacing w:line="240" w:lineRule="auto"/>
        <w:contextualSpacing/>
        <w:jc w:val="both"/>
        <w:rPr>
          <w:rFonts w:eastAsiaTheme="minorHAnsi" w:cstheme="minorHAnsi"/>
        </w:rPr>
      </w:pPr>
      <w:r w:rsidRPr="00F72D28">
        <w:rPr>
          <w:rFonts w:eastAsiaTheme="minorHAnsi" w:cstheme="minorHAnsi"/>
        </w:rPr>
        <w:t>Localización: El proyecto se desarrolla entre los municipios de Puerto Berrio a Remedios, en una longitud de 144 Km.</w:t>
      </w:r>
    </w:p>
    <w:p w:rsidR="00EB3BC8" w:rsidRPr="00F72D28" w:rsidRDefault="00EB3BC8" w:rsidP="00EB3BC8">
      <w:pPr>
        <w:spacing w:line="240" w:lineRule="auto"/>
        <w:ind w:left="720"/>
        <w:contextualSpacing/>
        <w:jc w:val="both"/>
        <w:rPr>
          <w:rFonts w:eastAsiaTheme="minorHAnsi" w:cstheme="minorHAnsi"/>
        </w:rPr>
      </w:pPr>
    </w:p>
    <w:p w:rsidR="00EB3BC8" w:rsidRPr="00F72D28" w:rsidRDefault="00EB3BC8" w:rsidP="00EB3BC8">
      <w:pPr>
        <w:spacing w:line="240" w:lineRule="auto"/>
        <w:jc w:val="both"/>
        <w:rPr>
          <w:rFonts w:eastAsiaTheme="minorHAnsi" w:cstheme="minorHAnsi"/>
          <w:b/>
        </w:rPr>
      </w:pPr>
      <w:r w:rsidRPr="00F72D28">
        <w:rPr>
          <w:rFonts w:eastAsiaTheme="minorHAnsi" w:cstheme="minorHAnsi"/>
          <w:b/>
        </w:rPr>
        <w:t>Actividades adelantadas durante el segundo trimestre del año 2015:</w:t>
      </w:r>
    </w:p>
    <w:p w:rsidR="00EB3BC8" w:rsidRPr="00F72D28" w:rsidRDefault="00EB3BC8" w:rsidP="00EB3BC8">
      <w:pPr>
        <w:tabs>
          <w:tab w:val="left" w:pos="567"/>
        </w:tabs>
        <w:spacing w:after="0" w:line="240" w:lineRule="auto"/>
        <w:jc w:val="both"/>
        <w:rPr>
          <w:rFonts w:eastAsia="Times New Roman" w:cstheme="minorHAnsi"/>
          <w:b/>
          <w:bCs/>
          <w:iCs/>
          <w:lang w:val="es-ES_tradnl" w:eastAsia="es-ES"/>
        </w:rPr>
      </w:pPr>
      <w:r w:rsidRPr="00F72D28">
        <w:rPr>
          <w:rFonts w:eastAsia="Times New Roman" w:cstheme="minorHAnsi"/>
          <w:b/>
          <w:bCs/>
          <w:iCs/>
          <w:lang w:val="es-ES_tradnl" w:eastAsia="es-ES"/>
        </w:rPr>
        <w:t>Diseños</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t>Se han estructurado y adelantado mesas de trabajo para las actividades de diseño, las cuales se realizan con la interventoría cada 15 días.</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t>El avance a corte de junio en diseños es el siguiente:</w:t>
      </w:r>
    </w:p>
    <w:p w:rsidR="00EB3BC8" w:rsidRPr="005133E0" w:rsidRDefault="00EB3BC8" w:rsidP="00EB3BC8">
      <w:pPr>
        <w:tabs>
          <w:tab w:val="left" w:pos="567"/>
        </w:tabs>
        <w:spacing w:after="0" w:line="240" w:lineRule="auto"/>
        <w:jc w:val="center"/>
        <w:rPr>
          <w:rFonts w:ascii="Arial" w:eastAsia="Times New Roman" w:hAnsi="Arial" w:cs="Arial"/>
          <w:lang w:val="es-ES_tradnl" w:eastAsia="es-ES"/>
        </w:rPr>
      </w:pPr>
    </w:p>
    <w:p w:rsidR="00EB3BC8" w:rsidRPr="005133E0" w:rsidRDefault="00EB3BC8" w:rsidP="00EB3BC8">
      <w:pPr>
        <w:tabs>
          <w:tab w:val="left" w:pos="567"/>
        </w:tabs>
        <w:spacing w:after="0" w:line="240" w:lineRule="auto"/>
        <w:jc w:val="center"/>
        <w:rPr>
          <w:rFonts w:ascii="Times New Roman" w:eastAsia="Times New Roman" w:hAnsi="Times New Roman"/>
          <w:lang w:val="es-ES_tradnl" w:eastAsia="es-ES"/>
        </w:rPr>
      </w:pPr>
      <w:r w:rsidRPr="005133E0">
        <w:rPr>
          <w:rFonts w:ascii="Times New Roman" w:eastAsia="Times New Roman" w:hAnsi="Times New Roman"/>
          <w:noProof/>
          <w:sz w:val="24"/>
          <w:szCs w:val="24"/>
        </w:rPr>
        <w:lastRenderedPageBreak/>
        <w:drawing>
          <wp:inline distT="0" distB="0" distL="0" distR="0" wp14:anchorId="509315B8" wp14:editId="35B51EFE">
            <wp:extent cx="5179060" cy="4623435"/>
            <wp:effectExtent l="0" t="0" r="2540"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79060" cy="4623435"/>
                    </a:xfrm>
                    <a:prstGeom prst="rect">
                      <a:avLst/>
                    </a:prstGeom>
                    <a:noFill/>
                    <a:ln>
                      <a:noFill/>
                    </a:ln>
                  </pic:spPr>
                </pic:pic>
              </a:graphicData>
            </a:graphic>
          </wp:inline>
        </w:drawing>
      </w:r>
    </w:p>
    <w:p w:rsidR="00EB3BC8" w:rsidRPr="005133E0" w:rsidRDefault="00EB3BC8" w:rsidP="00EB3BC8">
      <w:pPr>
        <w:tabs>
          <w:tab w:val="left" w:pos="567"/>
        </w:tabs>
        <w:spacing w:after="0" w:line="240" w:lineRule="auto"/>
        <w:jc w:val="center"/>
        <w:rPr>
          <w:rFonts w:ascii="Times New Roman" w:eastAsia="Times New Roman" w:hAnsi="Times New Roman"/>
          <w:bCs/>
          <w:iCs/>
          <w:lang w:val="es-ES_tradnl" w:eastAsia="es-ES"/>
        </w:rPr>
      </w:pP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
          <w:bCs/>
          <w:iCs/>
          <w:lang w:val="es-ES_tradnl" w:eastAsia="es-ES"/>
        </w:rPr>
        <w:t>UF1-</w:t>
      </w:r>
      <w:r w:rsidRPr="00F72D28">
        <w:rPr>
          <w:rFonts w:eastAsia="Times New Roman" w:cstheme="minorHAnsi"/>
          <w:bCs/>
          <w:iCs/>
          <w:lang w:val="es-ES_tradnl" w:eastAsia="es-ES"/>
        </w:rPr>
        <w:t xml:space="preserve"> </w:t>
      </w:r>
      <w:r w:rsidRPr="00F72D28">
        <w:rPr>
          <w:rFonts w:eastAsia="Times New Roman" w:cstheme="minorHAnsi"/>
          <w:b/>
          <w:bCs/>
          <w:iCs/>
          <w:lang w:val="es-ES_tradnl" w:eastAsia="es-ES"/>
        </w:rPr>
        <w:t>Remedios - Vegachí</w:t>
      </w:r>
      <w:r w:rsidRPr="00F72D28">
        <w:rPr>
          <w:rFonts w:eastAsia="Times New Roman" w:cstheme="minorHAnsi"/>
          <w:bCs/>
          <w:iCs/>
          <w:lang w:val="es-ES_tradnl" w:eastAsia="es-ES"/>
        </w:rPr>
        <w:t xml:space="preserve">: El diseño geométrico está en un 29%. Se han adelantado la campaña geotécnica efectuando toma de muestras y pruebas en laboratorio, así mismo, se avanza con los estudios hidráulicos e hidrológicos con un avance del 14% correspondiente a la recopilación y análisis de información existente.  </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
          <w:bCs/>
          <w:iCs/>
          <w:lang w:val="es-ES_tradnl" w:eastAsia="es-ES"/>
        </w:rPr>
        <w:t xml:space="preserve">UF2 – Vegachí - Alto Dolores: </w:t>
      </w:r>
      <w:r w:rsidRPr="00F72D28">
        <w:rPr>
          <w:rFonts w:eastAsia="Times New Roman" w:cstheme="minorHAnsi"/>
          <w:bCs/>
          <w:iCs/>
          <w:lang w:val="es-ES_tradnl" w:eastAsia="es-ES"/>
        </w:rPr>
        <w:t>Se ha trabajado paralelamente con la UF1,  el diseño geométrico está en un 29%. Se han adelantado la campaña geotécnica, se avanza con los estudios hidráulicos e hidrológicos con un avance del 14% correspondiente a la recopilación y análisis de información existente, el concesionario manifestó que esta unidad funcional es por la cual dará inicio la construcción.</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
          <w:bCs/>
          <w:iCs/>
          <w:lang w:val="es-ES_tradnl" w:eastAsia="es-ES"/>
        </w:rPr>
        <w:t xml:space="preserve">UF3 – Alto Dolores - Puerto Berrio Oeste: </w:t>
      </w:r>
      <w:r w:rsidRPr="00F72D28">
        <w:rPr>
          <w:rFonts w:eastAsia="Times New Roman" w:cstheme="minorHAnsi"/>
          <w:bCs/>
          <w:iCs/>
          <w:lang w:val="es-ES_tradnl" w:eastAsia="es-ES"/>
        </w:rPr>
        <w:t>La intervención corresponde a rehabilitación, se tiene adelantados al 100% la topografía y el diseño geométrico de está en un 31%. Se han adelantado la campaña geotécnica, así mismo, se avanza con los estudios hidráulicos e hidrológicos con un avance del 5% correspondiente a la recopilación y análisis de información existente. Se adelantaron actividades de obras prioritarias, para la puesta a punto de la vía entregada por INVIAS.</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p>
    <w:p w:rsidR="00EB3BC8" w:rsidRPr="00F72D28" w:rsidRDefault="00EB3BC8" w:rsidP="00EB3BC8">
      <w:pPr>
        <w:tabs>
          <w:tab w:val="left" w:pos="567"/>
        </w:tabs>
        <w:spacing w:after="0" w:line="240" w:lineRule="auto"/>
        <w:jc w:val="both"/>
        <w:rPr>
          <w:rFonts w:eastAsia="Times New Roman" w:cstheme="minorHAnsi"/>
          <w:b/>
          <w:bCs/>
          <w:iCs/>
          <w:lang w:val="es-ES_tradnl" w:eastAsia="es-ES"/>
        </w:rPr>
      </w:pPr>
      <w:r w:rsidRPr="00F72D28">
        <w:rPr>
          <w:rFonts w:eastAsia="Times New Roman" w:cstheme="minorHAnsi"/>
          <w:b/>
          <w:bCs/>
          <w:iCs/>
          <w:lang w:val="es-ES_tradnl" w:eastAsia="es-ES"/>
        </w:rPr>
        <w:t>Ambiental</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t xml:space="preserve">Para la ejecución de las actividades de mejoramiento de la vía existente en las  UF3 y 4  realizará PAGA. </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lastRenderedPageBreak/>
        <w:t xml:space="preserve">Para las obras que requieren Licenciamiento Ambiental, tales como UF1, UF2 y  construcción de calzada nueva en la UF4 el concesionario hará entrega de los EIA </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t>Se adelantó la gestión para presentar a la ANLA la aclaración de las resoluciones que se deben emplear, así como la aplicación de los Autos correspondientes. El concesionario está adelantando el trabajo para los EIA y PAGA, semanalmente reportan avance de gestión al área ambiental de la ANI.</w:t>
      </w:r>
    </w:p>
    <w:p w:rsidR="00EB3BC8" w:rsidRPr="00F72D28" w:rsidRDefault="00EB3BC8" w:rsidP="00EB3BC8">
      <w:pPr>
        <w:tabs>
          <w:tab w:val="left" w:pos="567"/>
        </w:tabs>
        <w:spacing w:after="0" w:line="240" w:lineRule="auto"/>
        <w:jc w:val="both"/>
        <w:rPr>
          <w:rFonts w:eastAsia="Times New Roman" w:cstheme="minorHAnsi"/>
          <w:b/>
          <w:bCs/>
          <w:iCs/>
          <w:lang w:val="es-ES_tradnl" w:eastAsia="es-ES"/>
        </w:rPr>
      </w:pPr>
    </w:p>
    <w:p w:rsidR="00EB3BC8" w:rsidRPr="00F72D28" w:rsidRDefault="00EB3BC8" w:rsidP="00EB3BC8">
      <w:pPr>
        <w:tabs>
          <w:tab w:val="left" w:pos="567"/>
        </w:tabs>
        <w:spacing w:after="0" w:line="240" w:lineRule="auto"/>
        <w:jc w:val="both"/>
        <w:rPr>
          <w:rFonts w:eastAsia="Times New Roman" w:cstheme="minorHAnsi"/>
          <w:b/>
          <w:bCs/>
          <w:iCs/>
          <w:lang w:val="es-ES_tradnl" w:eastAsia="es-ES"/>
        </w:rPr>
      </w:pPr>
      <w:r w:rsidRPr="00F72D28">
        <w:rPr>
          <w:rFonts w:eastAsia="Times New Roman" w:cstheme="minorHAnsi"/>
          <w:b/>
          <w:bCs/>
          <w:iCs/>
          <w:lang w:val="es-ES_tradnl" w:eastAsia="es-ES"/>
        </w:rPr>
        <w:t>Predial</w:t>
      </w:r>
    </w:p>
    <w:p w:rsidR="00EB3BC8" w:rsidRPr="00F72D28" w:rsidRDefault="00EB3BC8" w:rsidP="00EB3BC8">
      <w:pPr>
        <w:tabs>
          <w:tab w:val="left" w:pos="567"/>
        </w:tabs>
        <w:spacing w:after="0" w:line="240" w:lineRule="auto"/>
        <w:jc w:val="both"/>
        <w:rPr>
          <w:rFonts w:eastAsia="Times New Roman" w:cstheme="minorHAnsi"/>
          <w:b/>
          <w:bCs/>
          <w:iCs/>
          <w:lang w:val="es-ES_tradnl" w:eastAsia="es-ES"/>
        </w:rPr>
      </w:pPr>
      <w:r w:rsidRPr="00F72D28">
        <w:rPr>
          <w:rFonts w:eastAsia="Times New Roman" w:cstheme="minorHAnsi"/>
          <w:bCs/>
          <w:iCs/>
          <w:lang w:val="es-ES_tradnl" w:eastAsia="es-ES"/>
        </w:rPr>
        <w:t xml:space="preserve">Actualmente el Concesionario avanza en el inventario predial para las unidades funcionales 1 y 2, el Concesionario adelantó la adquisición de los shapes catastrales </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t>Con la información catastral se ha dado inicio al proceso de identificación jurídica con la obtención de Certificados de tradición y libertad de cada uno de los predios lo cual permitirá adelantar la identificación jurídica de propietarios. Se presentó  la Lonja que adelantará las actividades de avalúos prediales.</w:t>
      </w:r>
    </w:p>
    <w:p w:rsidR="00EB3BC8" w:rsidRPr="00F72D28" w:rsidRDefault="00EB3BC8" w:rsidP="00EB3BC8">
      <w:pPr>
        <w:tabs>
          <w:tab w:val="left" w:pos="567"/>
        </w:tabs>
        <w:spacing w:after="0" w:line="240" w:lineRule="auto"/>
        <w:jc w:val="both"/>
        <w:rPr>
          <w:rFonts w:eastAsia="Times New Roman" w:cstheme="minorHAnsi"/>
          <w:lang w:val="es-ES_tradnl" w:eastAsia="es-ES"/>
        </w:rPr>
      </w:pPr>
    </w:p>
    <w:p w:rsidR="00EB3BC8" w:rsidRPr="00F72D28" w:rsidRDefault="00EB3BC8" w:rsidP="00EB3BC8">
      <w:pPr>
        <w:tabs>
          <w:tab w:val="left" w:pos="567"/>
        </w:tabs>
        <w:spacing w:after="0" w:line="240" w:lineRule="auto"/>
        <w:jc w:val="both"/>
        <w:rPr>
          <w:rFonts w:eastAsia="Times New Roman" w:cstheme="minorHAnsi"/>
          <w:b/>
          <w:bCs/>
          <w:iCs/>
          <w:lang w:val="es-ES_tradnl" w:eastAsia="es-ES"/>
        </w:rPr>
      </w:pPr>
      <w:r w:rsidRPr="00F72D28">
        <w:rPr>
          <w:rFonts w:eastAsia="Times New Roman" w:cstheme="minorHAnsi"/>
          <w:b/>
          <w:bCs/>
          <w:iCs/>
          <w:lang w:val="es-ES_tradnl" w:eastAsia="es-ES"/>
        </w:rPr>
        <w:t>Social</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t>Se adelantan reuniones de seguimiento entre Concesionario, Interventoría y ANI, con los pares del área social, para control y reporte de avance en el desarrollo del PGSC.</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t>Se tienen identificadas y caracterizadas todas las comunidades ubicadas en el área de influencia del proyecto, se adelantaron las consultas en el Ministerio del Interior frente a la presencia de comunidades, frente a lo cual el Ministerio se pronunció dando aval, así mismo se adelanta la gestión en el ICANH, obteniendo la aprobación de la metodología. El Concesionario implementa y pone en marcha el cronograma las unidades móviles de atención.</w:t>
      </w:r>
    </w:p>
    <w:p w:rsidR="00EB3BC8" w:rsidRPr="00F72D28" w:rsidRDefault="00EB3BC8" w:rsidP="00EB3BC8">
      <w:pPr>
        <w:tabs>
          <w:tab w:val="left" w:pos="567"/>
        </w:tabs>
        <w:spacing w:after="0" w:line="240" w:lineRule="auto"/>
        <w:jc w:val="both"/>
        <w:rPr>
          <w:rFonts w:eastAsia="Times New Roman" w:cstheme="minorHAnsi"/>
          <w:bCs/>
          <w:iCs/>
          <w:lang w:val="es-ES_tradnl" w:eastAsia="es-ES"/>
        </w:rPr>
      </w:pPr>
      <w:r w:rsidRPr="00F72D28">
        <w:rPr>
          <w:rFonts w:eastAsia="Times New Roman" w:cstheme="minorHAnsi"/>
          <w:bCs/>
          <w:iCs/>
          <w:lang w:val="es-ES_tradnl" w:eastAsia="es-ES"/>
        </w:rPr>
        <w:t>Se viene vinculando personal del corredor tanto en las áreas técnica, operaciones y mantenimiento.</w:t>
      </w:r>
    </w:p>
    <w:p w:rsidR="00EB3BC8" w:rsidRPr="005133E0" w:rsidRDefault="00EB3BC8" w:rsidP="00EB3BC8">
      <w:pPr>
        <w:tabs>
          <w:tab w:val="left" w:pos="567"/>
        </w:tabs>
        <w:spacing w:after="0" w:line="240" w:lineRule="auto"/>
        <w:jc w:val="both"/>
        <w:rPr>
          <w:rFonts w:ascii="Arial" w:eastAsia="Times New Roman" w:hAnsi="Arial" w:cs="Arial"/>
          <w:bCs/>
          <w:iCs/>
          <w:lang w:val="es-ES_tradnl" w:eastAsia="es-ES"/>
        </w:rPr>
      </w:pPr>
    </w:p>
    <w:p w:rsidR="00EB3BC8" w:rsidRPr="005133E0" w:rsidRDefault="00EB3BC8" w:rsidP="00EB3BC8">
      <w:pPr>
        <w:tabs>
          <w:tab w:val="left" w:pos="567"/>
        </w:tabs>
        <w:spacing w:after="0" w:line="240" w:lineRule="auto"/>
        <w:jc w:val="both"/>
        <w:rPr>
          <w:rFonts w:ascii="Arial" w:eastAsia="Times New Roman" w:hAnsi="Arial" w:cs="Arial"/>
          <w:bCs/>
          <w:iCs/>
          <w:lang w:val="es-ES_tradnl" w:eastAsia="es-ES"/>
        </w:rPr>
      </w:pPr>
    </w:p>
    <w:p w:rsidR="00EB3BC8" w:rsidRPr="005133E0" w:rsidRDefault="00EB3BC8" w:rsidP="00EB3BC8">
      <w:pPr>
        <w:tabs>
          <w:tab w:val="left" w:pos="567"/>
        </w:tabs>
        <w:spacing w:after="0" w:line="240" w:lineRule="auto"/>
        <w:jc w:val="both"/>
        <w:rPr>
          <w:rFonts w:ascii="Arial" w:eastAsia="Times New Roman" w:hAnsi="Arial" w:cs="Arial"/>
          <w:noProof/>
        </w:rPr>
      </w:pPr>
      <w:r w:rsidRPr="005133E0">
        <w:rPr>
          <w:rFonts w:ascii="Arial" w:eastAsia="Times New Roman" w:hAnsi="Arial" w:cs="Arial"/>
          <w:b/>
          <w:bCs/>
          <w:iCs/>
          <w:lang w:val="es-ES_tradnl" w:eastAsia="es-ES"/>
        </w:rPr>
        <w:t>Registro Fotográfico</w:t>
      </w:r>
      <w:r w:rsidRPr="005133E0">
        <w:rPr>
          <w:rFonts w:ascii="Arial" w:eastAsia="Times New Roman" w:hAnsi="Arial" w:cs="Arial"/>
          <w:noProof/>
        </w:rPr>
        <w:t xml:space="preserve">: </w:t>
      </w:r>
    </w:p>
    <w:p w:rsidR="00EB3BC8" w:rsidRPr="005133E0" w:rsidRDefault="00EB3BC8" w:rsidP="00EB3BC8">
      <w:pPr>
        <w:tabs>
          <w:tab w:val="left" w:pos="567"/>
        </w:tabs>
        <w:spacing w:after="0" w:line="240" w:lineRule="auto"/>
        <w:jc w:val="both"/>
        <w:rPr>
          <w:rFonts w:ascii="Arial" w:eastAsia="Times New Roman" w:hAnsi="Arial" w:cs="Arial"/>
          <w:noProof/>
        </w:rPr>
      </w:pPr>
      <w:r w:rsidRPr="005133E0">
        <w:rPr>
          <w:rFonts w:ascii="Times New Roman" w:eastAsia="Times New Roman" w:hAnsi="Times New Roman"/>
          <w:noProof/>
          <w:sz w:val="24"/>
          <w:szCs w:val="24"/>
        </w:rPr>
        <w:drawing>
          <wp:inline distT="0" distB="0" distL="0" distR="0" wp14:anchorId="0072C660" wp14:editId="4E310B05">
            <wp:extent cx="5495002" cy="356235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03803" cy="3568055"/>
                    </a:xfrm>
                    <a:prstGeom prst="rect">
                      <a:avLst/>
                    </a:prstGeom>
                    <a:noFill/>
                    <a:ln>
                      <a:noFill/>
                    </a:ln>
                  </pic:spPr>
                </pic:pic>
              </a:graphicData>
            </a:graphic>
          </wp:inline>
        </w:drawing>
      </w:r>
    </w:p>
    <w:p w:rsidR="00EB3BC8" w:rsidRPr="005133E0" w:rsidRDefault="00EB3BC8" w:rsidP="00EB3BC8">
      <w:pPr>
        <w:tabs>
          <w:tab w:val="left" w:pos="567"/>
        </w:tabs>
        <w:spacing w:after="0" w:line="240" w:lineRule="auto"/>
        <w:jc w:val="both"/>
        <w:rPr>
          <w:rFonts w:ascii="Times New Roman" w:eastAsia="Times New Roman" w:hAnsi="Times New Roman"/>
          <w:bCs/>
          <w:iCs/>
          <w:lang w:val="es-ES_tradnl" w:eastAsia="es-ES"/>
        </w:rPr>
      </w:pPr>
      <w:r w:rsidRPr="005133E0">
        <w:rPr>
          <w:rFonts w:ascii="Times New Roman" w:eastAsia="Times New Roman" w:hAnsi="Times New Roman"/>
          <w:noProof/>
          <w:sz w:val="24"/>
          <w:szCs w:val="24"/>
        </w:rPr>
        <w:lastRenderedPageBreak/>
        <w:drawing>
          <wp:inline distT="0" distB="0" distL="0" distR="0" wp14:anchorId="4A8096DC" wp14:editId="42284545">
            <wp:extent cx="5562600" cy="4037965"/>
            <wp:effectExtent l="0" t="0" r="0" b="63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62600" cy="4037965"/>
                    </a:xfrm>
                    <a:prstGeom prst="rect">
                      <a:avLst/>
                    </a:prstGeom>
                    <a:noFill/>
                    <a:ln>
                      <a:noFill/>
                    </a:ln>
                  </pic:spPr>
                </pic:pic>
              </a:graphicData>
            </a:graphic>
          </wp:inline>
        </w:drawing>
      </w:r>
    </w:p>
    <w:p w:rsidR="00EB3BC8" w:rsidRPr="005133E0" w:rsidRDefault="00EB3BC8" w:rsidP="00EB3BC8">
      <w:pPr>
        <w:spacing w:after="0" w:line="240" w:lineRule="auto"/>
        <w:jc w:val="both"/>
        <w:rPr>
          <w:rFonts w:ascii="Arial" w:eastAsia="Times New Roman" w:hAnsi="Arial" w:cs="Arial"/>
          <w:b/>
          <w:lang w:val="es-ES"/>
        </w:rPr>
      </w:pPr>
    </w:p>
    <w:p w:rsidR="00EB3BC8" w:rsidRPr="005133E0" w:rsidRDefault="00EB3BC8" w:rsidP="00EB3BC8">
      <w:pPr>
        <w:spacing w:after="0" w:line="240" w:lineRule="auto"/>
        <w:jc w:val="both"/>
        <w:rPr>
          <w:rFonts w:ascii="Arial" w:eastAsia="Times New Roman" w:hAnsi="Arial" w:cs="Arial"/>
          <w:lang w:val="es-ES"/>
        </w:rPr>
      </w:pPr>
    </w:p>
    <w:p w:rsidR="00EB3BC8" w:rsidRPr="00071522" w:rsidRDefault="00EB3BC8" w:rsidP="00071522">
      <w:pPr>
        <w:spacing w:after="0" w:line="240" w:lineRule="auto"/>
        <w:jc w:val="both"/>
        <w:rPr>
          <w:rFonts w:eastAsia="Times New Roman" w:cs="Calibri"/>
          <w:b/>
          <w:color w:val="000000"/>
          <w:u w:val="single"/>
        </w:rPr>
      </w:pPr>
      <w:r w:rsidRPr="00071522">
        <w:rPr>
          <w:rFonts w:eastAsia="Times New Roman" w:cs="Calibri"/>
          <w:b/>
          <w:color w:val="000000"/>
          <w:u w:val="single"/>
        </w:rPr>
        <w:t>GERENCIA DE PROYECTOS CARRETERO 5</w:t>
      </w:r>
    </w:p>
    <w:p w:rsidR="00EB3BC8" w:rsidRPr="005133E0" w:rsidRDefault="00EB3BC8" w:rsidP="00EB3BC8">
      <w:pPr>
        <w:spacing w:after="0" w:line="240" w:lineRule="auto"/>
        <w:jc w:val="both"/>
        <w:rPr>
          <w:rFonts w:ascii="Arial" w:eastAsiaTheme="minorHAnsi" w:hAnsi="Arial" w:cs="Arial"/>
        </w:rPr>
      </w:pPr>
    </w:p>
    <w:p w:rsidR="00EB3BC8" w:rsidRPr="00071522" w:rsidRDefault="00EB3BC8" w:rsidP="00EB3BC8">
      <w:pPr>
        <w:spacing w:line="240" w:lineRule="auto"/>
        <w:jc w:val="both"/>
        <w:rPr>
          <w:rFonts w:eastAsia="Times New Roman" w:cs="Calibri"/>
          <w:b/>
          <w:color w:val="000000"/>
          <w:u w:val="single"/>
        </w:rPr>
      </w:pPr>
      <w:r w:rsidRPr="00071522">
        <w:rPr>
          <w:rFonts w:eastAsia="Times New Roman" w:cs="Calibri"/>
          <w:b/>
          <w:color w:val="000000"/>
          <w:u w:val="single"/>
        </w:rPr>
        <w:t xml:space="preserve">25. INFORME DE GESTIÓN PROYECTO SANTA MARTA RIOHACHA PARAGUACHON </w:t>
      </w:r>
    </w:p>
    <w:p w:rsidR="00EB3BC8" w:rsidRPr="008055F2" w:rsidRDefault="00EB3BC8" w:rsidP="00EB3BC8">
      <w:pPr>
        <w:spacing w:line="240" w:lineRule="auto"/>
        <w:jc w:val="both"/>
        <w:rPr>
          <w:rFonts w:cstheme="minorHAnsi"/>
        </w:rPr>
      </w:pPr>
      <w:r w:rsidRPr="008055F2">
        <w:rPr>
          <w:rFonts w:cstheme="minorHAnsi"/>
        </w:rPr>
        <w:t>El Contrato de Concesión No. 445 de 1994 correspondiente al proyecto Santa Marta-Riohacha-Paraguachón se encuentra en la etapa de Operación y mantenimiento. Durante el segundo trimestre del 2015 se han adelantado las siguientes actividades en cumplimiento del Plan de Acción 2015 así:</w:t>
      </w:r>
    </w:p>
    <w:p w:rsidR="00EB3BC8" w:rsidRPr="008055F2" w:rsidRDefault="00EB3BC8" w:rsidP="00EB3BC8">
      <w:pPr>
        <w:spacing w:line="240" w:lineRule="auto"/>
        <w:ind w:left="1080"/>
        <w:contextualSpacing/>
        <w:jc w:val="both"/>
        <w:rPr>
          <w:rFonts w:cstheme="minorHAnsi"/>
        </w:rPr>
      </w:pPr>
    </w:p>
    <w:p w:rsidR="00EB3BC8" w:rsidRPr="008055F2" w:rsidRDefault="00EB3BC8" w:rsidP="000021B2">
      <w:pPr>
        <w:numPr>
          <w:ilvl w:val="0"/>
          <w:numId w:val="65"/>
        </w:numPr>
        <w:spacing w:after="160" w:line="240" w:lineRule="auto"/>
        <w:contextualSpacing/>
        <w:jc w:val="both"/>
        <w:rPr>
          <w:rFonts w:eastAsia="Calibri" w:cstheme="minorHAnsi"/>
        </w:rPr>
      </w:pPr>
      <w:r w:rsidRPr="008055F2">
        <w:rPr>
          <w:rFonts w:cstheme="minorHAnsi"/>
          <w:b/>
        </w:rPr>
        <w:t>Obras de Protección Marina sector Los Muchachitos:</w:t>
      </w:r>
      <w:r w:rsidRPr="008055F2">
        <w:rPr>
          <w:rFonts w:cstheme="minorHAnsi"/>
        </w:rPr>
        <w:t xml:space="preserve"> </w:t>
      </w:r>
      <w:r w:rsidRPr="008055F2">
        <w:rPr>
          <w:rFonts w:eastAsia="Calibri" w:cstheme="minorHAnsi"/>
        </w:rPr>
        <w:t xml:space="preserve">Se suscribió Acta de entrega y recibo de obras de protección marina del paso Los Muchachitos, entre la Interventoría Consorcio Metroconcesiones y La Concesión Santa Marta – Paraguachón S.A. el día 28 de Abril de 2015 y se aprobó la póliza de garantía única de cumplimiento No. 1002618 que ampara la estabilidad y calidad de estas obras, el día 17 de Junio de 2015. Se encuentra pendiente pago de gestión predial por la ejecución de actividades indicadas en las licencias ambientales.  </w:t>
      </w:r>
    </w:p>
    <w:p w:rsidR="00EB3BC8" w:rsidRPr="008055F2" w:rsidRDefault="00EB3BC8" w:rsidP="00EB3BC8">
      <w:pPr>
        <w:spacing w:line="240" w:lineRule="auto"/>
        <w:ind w:left="1080"/>
        <w:contextualSpacing/>
        <w:jc w:val="both"/>
        <w:rPr>
          <w:rFonts w:cstheme="minorHAnsi"/>
        </w:rPr>
      </w:pPr>
    </w:p>
    <w:p w:rsidR="00EB3BC8" w:rsidRPr="008055F2" w:rsidRDefault="00EB3BC8" w:rsidP="000021B2">
      <w:pPr>
        <w:numPr>
          <w:ilvl w:val="0"/>
          <w:numId w:val="65"/>
        </w:numPr>
        <w:spacing w:after="160" w:line="240" w:lineRule="auto"/>
        <w:contextualSpacing/>
        <w:jc w:val="both"/>
        <w:rPr>
          <w:rFonts w:eastAsia="Calibri" w:cstheme="minorHAnsi"/>
        </w:rPr>
      </w:pPr>
      <w:r w:rsidRPr="008055F2">
        <w:rPr>
          <w:rFonts w:cstheme="minorHAnsi"/>
          <w:b/>
        </w:rPr>
        <w:t xml:space="preserve">Pago Tarifas diferenciales Segundo Semestre 2014: </w:t>
      </w:r>
      <w:r w:rsidRPr="008055F2">
        <w:rPr>
          <w:rFonts w:eastAsia="Calibri" w:cstheme="minorHAnsi"/>
        </w:rPr>
        <w:t>Se reconocerá el pago dentro de los 45 días siguientes al envió de la cuenta de cobro por parte del Concesionario de conformidad con el Otrosí No. 11.</w:t>
      </w:r>
    </w:p>
    <w:p w:rsidR="00EB3BC8" w:rsidRPr="008055F2" w:rsidRDefault="00EB3BC8" w:rsidP="00EB3BC8">
      <w:pPr>
        <w:spacing w:line="240" w:lineRule="auto"/>
        <w:contextualSpacing/>
        <w:jc w:val="both"/>
        <w:rPr>
          <w:rFonts w:eastAsia="Calibri" w:cstheme="minorHAnsi"/>
        </w:rPr>
      </w:pPr>
    </w:p>
    <w:p w:rsidR="00EB3BC8" w:rsidRPr="008055F2" w:rsidRDefault="00EB3BC8" w:rsidP="000021B2">
      <w:pPr>
        <w:numPr>
          <w:ilvl w:val="0"/>
          <w:numId w:val="65"/>
        </w:numPr>
        <w:spacing w:after="160" w:line="240" w:lineRule="auto"/>
        <w:contextualSpacing/>
        <w:jc w:val="both"/>
        <w:rPr>
          <w:rFonts w:eastAsia="Calibri" w:cstheme="minorHAnsi"/>
        </w:rPr>
      </w:pPr>
      <w:r w:rsidRPr="008055F2">
        <w:rPr>
          <w:rFonts w:eastAsia="Calibri" w:cstheme="minorHAnsi"/>
          <w:b/>
        </w:rPr>
        <w:t xml:space="preserve">Pago Póliza Todo Riesgo Red Eléctrica Alto Pino: </w:t>
      </w:r>
      <w:r w:rsidRPr="008055F2">
        <w:rPr>
          <w:rFonts w:eastAsia="Calibri" w:cstheme="minorHAnsi"/>
        </w:rPr>
        <w:t xml:space="preserve">Se realizó la liquidación y se reconocen los valores cancelados por las primas de pólizas de todo riesgo para la infraestructura </w:t>
      </w:r>
      <w:r w:rsidRPr="008055F2">
        <w:rPr>
          <w:rFonts w:eastAsia="Calibri" w:cstheme="minorHAnsi"/>
        </w:rPr>
        <w:lastRenderedPageBreak/>
        <w:t>de la Red Eléctrica de Alto Pino por los años 2013, 2014 y 2015 por valor de $11.496.779 el día 8 de Mayo de 2015.</w:t>
      </w:r>
    </w:p>
    <w:p w:rsidR="00EB3BC8" w:rsidRPr="008055F2" w:rsidRDefault="00EB3BC8" w:rsidP="00EB3BC8">
      <w:pPr>
        <w:spacing w:line="240" w:lineRule="auto"/>
        <w:ind w:left="720"/>
        <w:contextualSpacing/>
        <w:jc w:val="both"/>
        <w:rPr>
          <w:rFonts w:eastAsia="Calibri" w:cstheme="minorHAnsi"/>
        </w:rPr>
      </w:pPr>
    </w:p>
    <w:p w:rsidR="00EB3BC8" w:rsidRPr="008055F2" w:rsidRDefault="00EB3BC8" w:rsidP="000021B2">
      <w:pPr>
        <w:numPr>
          <w:ilvl w:val="0"/>
          <w:numId w:val="65"/>
        </w:numPr>
        <w:spacing w:after="160" w:line="240" w:lineRule="auto"/>
        <w:contextualSpacing/>
        <w:jc w:val="both"/>
        <w:rPr>
          <w:rFonts w:eastAsia="Calibri" w:cstheme="minorHAnsi"/>
        </w:rPr>
      </w:pPr>
      <w:r w:rsidRPr="008055F2">
        <w:rPr>
          <w:rFonts w:eastAsia="Calibri" w:cstheme="minorHAnsi"/>
          <w:b/>
        </w:rPr>
        <w:t xml:space="preserve">Mantenimiento Rutinario: </w:t>
      </w:r>
      <w:r w:rsidRPr="008055F2">
        <w:rPr>
          <w:rFonts w:eastAsia="Calibri" w:cstheme="minorHAnsi"/>
        </w:rPr>
        <w:t>Durante el periodo de abril a junio de 2015 se efectuó mantenimiento a los 285 Km de vía,  los grupos de mantenimiento del concesionario realizaron las siguientes actividades rutinarias:</w:t>
      </w:r>
    </w:p>
    <w:p w:rsidR="00EB3BC8" w:rsidRPr="008055F2" w:rsidRDefault="00EB3BC8" w:rsidP="00EB3BC8">
      <w:pPr>
        <w:spacing w:line="240" w:lineRule="auto"/>
        <w:ind w:left="1080"/>
        <w:contextualSpacing/>
        <w:jc w:val="both"/>
        <w:rPr>
          <w:rFonts w:eastAsia="Calibri" w:cstheme="minorHAnsi"/>
        </w:rPr>
      </w:pP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bajantes</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bermas</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bordillos</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paraderos</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pontones y alcantarillas</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puentes.</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superficie de puente.</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zanjas y canales.</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Ramajeo.</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Remoción de derrumbes.</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Rocería y limpieza.</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Rocería y limpieza sobre ancho.</w:t>
      </w: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Limpieza de bajantes.</w:t>
      </w:r>
    </w:p>
    <w:p w:rsidR="00EB3BC8" w:rsidRPr="008055F2" w:rsidRDefault="00EB3BC8" w:rsidP="00EB3BC8">
      <w:pPr>
        <w:spacing w:line="240" w:lineRule="auto"/>
        <w:ind w:left="1080"/>
        <w:contextualSpacing/>
        <w:jc w:val="both"/>
        <w:rPr>
          <w:rFonts w:eastAsia="Calibri" w:cstheme="minorHAnsi"/>
          <w:b/>
        </w:rPr>
      </w:pPr>
    </w:p>
    <w:p w:rsidR="00EB3BC8" w:rsidRPr="008055F2" w:rsidRDefault="00EB3BC8" w:rsidP="00EB3BC8">
      <w:pPr>
        <w:spacing w:line="240" w:lineRule="auto"/>
        <w:ind w:left="1080"/>
        <w:contextualSpacing/>
        <w:jc w:val="both"/>
        <w:rPr>
          <w:rFonts w:eastAsia="Calibri" w:cstheme="minorHAnsi"/>
        </w:rPr>
      </w:pPr>
      <w:r w:rsidRPr="008055F2">
        <w:rPr>
          <w:rFonts w:eastAsia="Calibri" w:cstheme="minorHAnsi"/>
        </w:rPr>
        <w:t>De acuerdo al seguimiento efectuado a los planes de trabajo de mantenimiento rutinario presentados por el concesionario, se evidenció un cumplimiento del 100% en lo programado.</w:t>
      </w:r>
    </w:p>
    <w:p w:rsidR="00EB3BC8" w:rsidRPr="008055F2" w:rsidRDefault="00EB3BC8" w:rsidP="00EB3BC8">
      <w:pPr>
        <w:spacing w:line="240" w:lineRule="auto"/>
        <w:contextualSpacing/>
        <w:jc w:val="both"/>
        <w:rPr>
          <w:rFonts w:cstheme="minorHAnsi"/>
          <w:b/>
        </w:rPr>
      </w:pPr>
    </w:p>
    <w:p w:rsidR="00EB3BC8" w:rsidRPr="008055F2" w:rsidRDefault="00EB3BC8" w:rsidP="000021B2">
      <w:pPr>
        <w:numPr>
          <w:ilvl w:val="0"/>
          <w:numId w:val="65"/>
        </w:numPr>
        <w:spacing w:after="160" w:line="240" w:lineRule="auto"/>
        <w:contextualSpacing/>
        <w:jc w:val="both"/>
        <w:rPr>
          <w:rFonts w:cstheme="minorHAnsi"/>
          <w:b/>
        </w:rPr>
      </w:pPr>
      <w:r w:rsidRPr="008055F2">
        <w:rPr>
          <w:rFonts w:cstheme="minorHAnsi"/>
          <w:b/>
        </w:rPr>
        <w:t xml:space="preserve">Mantenimiento Periódico: </w:t>
      </w:r>
      <w:r w:rsidRPr="008055F2">
        <w:rPr>
          <w:rFonts w:cstheme="minorHAnsi"/>
        </w:rPr>
        <w:t>El Concesionario realizó las siguientes actividades:</w:t>
      </w:r>
    </w:p>
    <w:p w:rsidR="00EB3BC8" w:rsidRPr="008055F2" w:rsidRDefault="00EB3BC8" w:rsidP="00EB3BC8">
      <w:pPr>
        <w:spacing w:line="240" w:lineRule="auto"/>
        <w:ind w:left="720"/>
        <w:contextualSpacing/>
        <w:jc w:val="both"/>
        <w:rPr>
          <w:rFonts w:cstheme="minorHAnsi"/>
          <w:b/>
        </w:rPr>
      </w:pPr>
    </w:p>
    <w:p w:rsidR="00EB3BC8" w:rsidRPr="008055F2" w:rsidRDefault="00EB3BC8" w:rsidP="000021B2">
      <w:pPr>
        <w:numPr>
          <w:ilvl w:val="1"/>
          <w:numId w:val="65"/>
        </w:numPr>
        <w:spacing w:after="160" w:line="240" w:lineRule="auto"/>
        <w:contextualSpacing/>
        <w:jc w:val="both"/>
        <w:rPr>
          <w:rFonts w:cstheme="minorHAnsi"/>
          <w:b/>
        </w:rPr>
      </w:pPr>
      <w:r w:rsidRPr="008055F2">
        <w:rPr>
          <w:rFonts w:cstheme="minorHAnsi"/>
          <w:b/>
        </w:rPr>
        <w:t xml:space="preserve">Mantenimiento de señales verticales: </w:t>
      </w:r>
      <w:r w:rsidRPr="008055F2">
        <w:rPr>
          <w:rFonts w:cstheme="minorHAnsi"/>
        </w:rPr>
        <w:t>Realizó el mantenimiento de 139 señales a lo largo de todo el corredor.</w:t>
      </w:r>
    </w:p>
    <w:p w:rsidR="00EB3BC8" w:rsidRPr="008055F2" w:rsidRDefault="00EB3BC8" w:rsidP="000021B2">
      <w:pPr>
        <w:numPr>
          <w:ilvl w:val="1"/>
          <w:numId w:val="65"/>
        </w:numPr>
        <w:spacing w:after="160" w:line="240" w:lineRule="auto"/>
        <w:contextualSpacing/>
        <w:jc w:val="both"/>
        <w:rPr>
          <w:rFonts w:cstheme="minorHAnsi"/>
          <w:b/>
        </w:rPr>
      </w:pPr>
      <w:r w:rsidRPr="008055F2">
        <w:rPr>
          <w:rFonts w:cstheme="minorHAnsi"/>
          <w:b/>
        </w:rPr>
        <w:t xml:space="preserve">Mantenimiento de Paraderos: </w:t>
      </w:r>
      <w:r w:rsidRPr="008055F2">
        <w:rPr>
          <w:rFonts w:cstheme="minorHAnsi"/>
        </w:rPr>
        <w:t>Realizó mantenimiento y reparación de 14 paraderos.</w:t>
      </w:r>
    </w:p>
    <w:p w:rsidR="00EB3BC8" w:rsidRPr="008055F2" w:rsidRDefault="00EB3BC8" w:rsidP="000021B2">
      <w:pPr>
        <w:numPr>
          <w:ilvl w:val="1"/>
          <w:numId w:val="65"/>
        </w:numPr>
        <w:spacing w:after="160" w:line="240" w:lineRule="auto"/>
        <w:contextualSpacing/>
        <w:jc w:val="both"/>
        <w:rPr>
          <w:rFonts w:cstheme="minorHAnsi"/>
          <w:b/>
        </w:rPr>
      </w:pPr>
      <w:r w:rsidRPr="008055F2">
        <w:rPr>
          <w:rFonts w:cstheme="minorHAnsi"/>
          <w:b/>
        </w:rPr>
        <w:t xml:space="preserve">Parcheo: </w:t>
      </w:r>
      <w:r w:rsidRPr="008055F2">
        <w:rPr>
          <w:rFonts w:cstheme="minorHAnsi"/>
        </w:rPr>
        <w:t xml:space="preserve">Realizó mantenimiento de carpeta asfáltica en un área de 48.985  </w:t>
      </w:r>
      <w:r w:rsidRPr="008055F2">
        <w:rPr>
          <w:rFonts w:eastAsia="Calibri" w:cstheme="minorHAnsi"/>
        </w:rPr>
        <w:t>m</w:t>
      </w:r>
      <w:r w:rsidRPr="008055F2">
        <w:rPr>
          <w:rFonts w:eastAsia="Times New Roman" w:cstheme="minorHAnsi"/>
          <w:b/>
          <w:bCs/>
          <w:color w:val="000000"/>
        </w:rPr>
        <w:t>²</w:t>
      </w:r>
      <w:r w:rsidRPr="008055F2">
        <w:rPr>
          <w:rFonts w:eastAsia="Calibri" w:cstheme="minorHAnsi"/>
        </w:rPr>
        <w:t xml:space="preserve"> </w:t>
      </w:r>
      <w:r w:rsidRPr="008055F2">
        <w:rPr>
          <w:rFonts w:cstheme="minorHAnsi"/>
        </w:rPr>
        <w:t xml:space="preserve"> de vía a lo largo del todo el corredor.</w:t>
      </w:r>
    </w:p>
    <w:p w:rsidR="00EB3BC8" w:rsidRPr="008055F2" w:rsidRDefault="00EB3BC8" w:rsidP="00EB3BC8">
      <w:pPr>
        <w:spacing w:line="240" w:lineRule="auto"/>
        <w:rPr>
          <w:rFonts w:eastAsia="Calibri" w:cstheme="minorHAnsi"/>
          <w:b/>
          <w:bCs/>
          <w:lang w:val="es-ES"/>
        </w:rPr>
      </w:pPr>
      <w:bookmarkStart w:id="289" w:name="_Toc424905597"/>
      <w:bookmarkEnd w:id="289"/>
    </w:p>
    <w:p w:rsidR="00EB3BC8" w:rsidRPr="008055F2" w:rsidRDefault="00EB3BC8" w:rsidP="000021B2">
      <w:pPr>
        <w:numPr>
          <w:ilvl w:val="0"/>
          <w:numId w:val="65"/>
        </w:numPr>
        <w:spacing w:after="160" w:line="240" w:lineRule="auto"/>
        <w:contextualSpacing/>
        <w:jc w:val="both"/>
        <w:rPr>
          <w:rFonts w:eastAsia="Calibri" w:cstheme="minorHAnsi"/>
        </w:rPr>
      </w:pPr>
      <w:r w:rsidRPr="008055F2">
        <w:rPr>
          <w:rFonts w:eastAsia="Calibri" w:cstheme="minorHAnsi"/>
          <w:b/>
        </w:rPr>
        <w:t xml:space="preserve">Obras Rio Piedras: </w:t>
      </w:r>
      <w:r w:rsidRPr="008055F2">
        <w:rPr>
          <w:rFonts w:eastAsia="Calibri" w:cstheme="minorHAnsi"/>
        </w:rPr>
        <w:t>Las obras de protección del talud en el sector Rio Piedras PR23+900 a corte del día 30 de Junio de 2015 presenta un porcentaje de ejecución del 45%, con un 0% de atraso, respecto al cronograma general de actividades de esta obra.</w:t>
      </w:r>
    </w:p>
    <w:p w:rsidR="00EB3BC8" w:rsidRPr="008055F2" w:rsidRDefault="00EB3BC8" w:rsidP="00EB3BC8">
      <w:pPr>
        <w:spacing w:line="240" w:lineRule="auto"/>
        <w:ind w:left="1080"/>
        <w:contextualSpacing/>
        <w:jc w:val="both"/>
        <w:rPr>
          <w:rFonts w:eastAsia="Calibri" w:cstheme="minorHAnsi"/>
        </w:rPr>
      </w:pPr>
    </w:p>
    <w:p w:rsidR="00EB3BC8" w:rsidRPr="008055F2" w:rsidRDefault="00EB3BC8" w:rsidP="00EB3BC8">
      <w:pPr>
        <w:spacing w:line="240" w:lineRule="auto"/>
        <w:ind w:left="720"/>
        <w:contextualSpacing/>
        <w:jc w:val="both"/>
        <w:rPr>
          <w:rFonts w:eastAsia="Calibri" w:cstheme="minorHAnsi"/>
          <w:sz w:val="24"/>
          <w:szCs w:val="24"/>
        </w:rPr>
      </w:pPr>
      <w:r w:rsidRPr="008055F2">
        <w:rPr>
          <w:rFonts w:cstheme="minorHAnsi"/>
          <w:noProof/>
        </w:rPr>
        <w:lastRenderedPageBreak/>
        <w:drawing>
          <wp:inline distT="0" distB="0" distL="0" distR="0" wp14:anchorId="1DF64F9F" wp14:editId="0D593B4A">
            <wp:extent cx="2483223" cy="1840626"/>
            <wp:effectExtent l="0" t="0" r="0" b="7620"/>
            <wp:docPr id="37" name="Imagen 37" descr="C:\Users\InterDiseños\Documents\METROCONCESIONES\FOTOGRAFIAS\FOTOS\10.JUNIO\30-06-15\Rio Piedras\SAM_3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rDiseños\Documents\METROCONCESIONES\FOTOGRAFIAS\FOTOS\10.JUNIO\30-06-15\Rio Piedras\SAM_3637.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15078" cy="1864238"/>
                    </a:xfrm>
                    <a:prstGeom prst="rect">
                      <a:avLst/>
                    </a:prstGeom>
                    <a:noFill/>
                    <a:ln>
                      <a:noFill/>
                    </a:ln>
                  </pic:spPr>
                </pic:pic>
              </a:graphicData>
            </a:graphic>
          </wp:inline>
        </w:drawing>
      </w:r>
      <w:r w:rsidRPr="008055F2">
        <w:rPr>
          <w:rFonts w:cstheme="minorHAnsi"/>
          <w:noProof/>
        </w:rPr>
        <w:t xml:space="preserve">     </w:t>
      </w:r>
      <w:r w:rsidRPr="008055F2">
        <w:rPr>
          <w:rFonts w:cstheme="minorHAnsi"/>
          <w:noProof/>
        </w:rPr>
        <w:drawing>
          <wp:inline distT="0" distB="0" distL="0" distR="0" wp14:anchorId="33444606" wp14:editId="5D3F1A3C">
            <wp:extent cx="2474259" cy="1856147"/>
            <wp:effectExtent l="0" t="0" r="2540" b="0"/>
            <wp:docPr id="38" name="Imagen 38" descr="C:\Users\InterDiseños\Documents\METROCONCESIONES\FOTOGRAFIAS\FOTOS\10.JUNIO\30-06-15\Rio Piedras\SAM_3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terDiseños\Documents\METROCONCESIONES\FOTOGRAFIAS\FOTOS\10.JUNIO\30-06-15\Rio Piedras\SAM_364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91126" cy="1868800"/>
                    </a:xfrm>
                    <a:prstGeom prst="rect">
                      <a:avLst/>
                    </a:prstGeom>
                    <a:noFill/>
                    <a:ln>
                      <a:noFill/>
                    </a:ln>
                  </pic:spPr>
                </pic:pic>
              </a:graphicData>
            </a:graphic>
          </wp:inline>
        </w:drawing>
      </w:r>
    </w:p>
    <w:p w:rsidR="00EB3BC8" w:rsidRPr="008055F2" w:rsidRDefault="00EB3BC8" w:rsidP="00EB3BC8">
      <w:pPr>
        <w:spacing w:line="240" w:lineRule="auto"/>
        <w:ind w:left="720"/>
        <w:contextualSpacing/>
        <w:jc w:val="both"/>
        <w:rPr>
          <w:rFonts w:eastAsia="Calibri" w:cstheme="minorHAnsi"/>
          <w:sz w:val="18"/>
          <w:szCs w:val="18"/>
        </w:rPr>
      </w:pPr>
      <w:r w:rsidRPr="008055F2">
        <w:rPr>
          <w:rFonts w:cstheme="minorHAnsi"/>
          <w:sz w:val="18"/>
          <w:szCs w:val="18"/>
        </w:rPr>
        <w:t>Sección Gavioneria terminada en sector sur                Panorámica de terraplén relleno y compactado</w:t>
      </w:r>
    </w:p>
    <w:p w:rsidR="00EB3BC8" w:rsidRPr="008055F2" w:rsidRDefault="00EB3BC8" w:rsidP="00EB3BC8">
      <w:pPr>
        <w:spacing w:line="240" w:lineRule="auto"/>
        <w:ind w:left="720"/>
        <w:contextualSpacing/>
        <w:jc w:val="both"/>
        <w:rPr>
          <w:rFonts w:eastAsia="Calibri" w:cstheme="minorHAnsi"/>
          <w:sz w:val="24"/>
          <w:szCs w:val="24"/>
        </w:rPr>
      </w:pPr>
    </w:p>
    <w:p w:rsidR="00EB3BC8" w:rsidRPr="008055F2" w:rsidRDefault="00EB3BC8" w:rsidP="000021B2">
      <w:pPr>
        <w:numPr>
          <w:ilvl w:val="0"/>
          <w:numId w:val="65"/>
        </w:numPr>
        <w:spacing w:after="160" w:line="240" w:lineRule="auto"/>
        <w:contextualSpacing/>
        <w:jc w:val="both"/>
        <w:rPr>
          <w:rFonts w:eastAsia="Calibri" w:cstheme="minorHAnsi"/>
        </w:rPr>
      </w:pPr>
      <w:r w:rsidRPr="008055F2">
        <w:rPr>
          <w:rFonts w:eastAsia="Calibri" w:cstheme="minorHAnsi"/>
          <w:b/>
        </w:rPr>
        <w:t>Obras Quebrada Mamey:</w:t>
      </w:r>
      <w:r w:rsidRPr="008055F2">
        <w:rPr>
          <w:rFonts w:eastAsia="Calibri" w:cstheme="minorHAnsi"/>
        </w:rPr>
        <w:t xml:space="preserve"> La Concesión inicio actividades el día 27 de abril de 2015, con un porcentaje de ejecución del 51% con corte 30 de junio de 2015, respecto al cronograma general de actividades de esta obra.</w:t>
      </w:r>
    </w:p>
    <w:p w:rsidR="00EB3BC8" w:rsidRPr="008055F2" w:rsidRDefault="00EB3BC8" w:rsidP="00EB3BC8">
      <w:pPr>
        <w:spacing w:line="240" w:lineRule="auto"/>
        <w:contextualSpacing/>
        <w:jc w:val="both"/>
        <w:rPr>
          <w:rFonts w:eastAsia="Calibri" w:cstheme="minorHAnsi"/>
        </w:rPr>
      </w:pPr>
    </w:p>
    <w:p w:rsidR="00EB3BC8" w:rsidRPr="008055F2" w:rsidRDefault="00EB3BC8" w:rsidP="00EB3BC8">
      <w:pPr>
        <w:spacing w:line="240" w:lineRule="auto"/>
        <w:contextualSpacing/>
        <w:jc w:val="both"/>
        <w:rPr>
          <w:rFonts w:eastAsia="Calibri" w:cstheme="minorHAnsi"/>
        </w:rPr>
      </w:pPr>
    </w:p>
    <w:p w:rsidR="00EB3BC8" w:rsidRPr="008055F2" w:rsidRDefault="00EB3BC8" w:rsidP="00EB3BC8">
      <w:pPr>
        <w:spacing w:line="240" w:lineRule="auto"/>
        <w:contextualSpacing/>
        <w:jc w:val="both"/>
        <w:rPr>
          <w:rFonts w:eastAsia="Calibri" w:cstheme="minorHAnsi"/>
        </w:rPr>
      </w:pPr>
    </w:p>
    <w:p w:rsidR="00EB3BC8" w:rsidRPr="008055F2" w:rsidRDefault="00EB3BC8" w:rsidP="00EB3BC8">
      <w:pPr>
        <w:spacing w:line="240" w:lineRule="auto"/>
        <w:contextualSpacing/>
        <w:jc w:val="center"/>
        <w:rPr>
          <w:rFonts w:eastAsia="Calibri" w:cstheme="minorHAnsi"/>
        </w:rPr>
      </w:pPr>
      <w:r w:rsidRPr="008055F2">
        <w:rPr>
          <w:rFonts w:cstheme="minorHAnsi"/>
          <w:noProof/>
        </w:rPr>
        <w:drawing>
          <wp:inline distT="0" distB="0" distL="0" distR="0" wp14:anchorId="58DE69A1" wp14:editId="67872CAA">
            <wp:extent cx="2456329" cy="1842696"/>
            <wp:effectExtent l="0" t="0" r="1270" b="5715"/>
            <wp:docPr id="91" name="Imagen 91" descr="C:\Users\InterDiseños\Documents\METROCONCESIONES\FOTOGRAFIAS\FOTOS\10.JUNIO\30-06-15\Obra Mamey\SAM_3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terDiseños\Documents\METROCONCESIONES\FOTOGRAFIAS\FOTOS\10.JUNIO\30-06-15\Obra Mamey\SAM_3665.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467942" cy="1851408"/>
                    </a:xfrm>
                    <a:prstGeom prst="rect">
                      <a:avLst/>
                    </a:prstGeom>
                    <a:noFill/>
                    <a:ln>
                      <a:noFill/>
                    </a:ln>
                  </pic:spPr>
                </pic:pic>
              </a:graphicData>
            </a:graphic>
          </wp:inline>
        </w:drawing>
      </w:r>
      <w:r w:rsidRPr="008055F2">
        <w:rPr>
          <w:rFonts w:cstheme="minorHAnsi"/>
          <w:noProof/>
        </w:rPr>
        <w:t xml:space="preserve">      </w:t>
      </w:r>
      <w:r w:rsidRPr="008055F2">
        <w:rPr>
          <w:rFonts w:cstheme="minorHAnsi"/>
          <w:noProof/>
        </w:rPr>
        <w:drawing>
          <wp:inline distT="0" distB="0" distL="0" distR="0" wp14:anchorId="47C9542B" wp14:editId="11AECA5E">
            <wp:extent cx="2425904" cy="1819872"/>
            <wp:effectExtent l="0" t="0" r="0" b="9525"/>
            <wp:docPr id="44" name="Imagen 44" descr="C:\Users\InterDiseños\Documents\METROCONCESIONES\FOTOGRAFIAS\FOTOS\10.JUNIO\30-06-15\Obra Mamey\SAM_3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terDiseños\Documents\METROCONCESIONES\FOTOGRAFIAS\FOTOS\10.JUNIO\30-06-15\Obra Mamey\SAM_3651.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39933" cy="1830396"/>
                    </a:xfrm>
                    <a:prstGeom prst="rect">
                      <a:avLst/>
                    </a:prstGeom>
                    <a:noFill/>
                    <a:ln>
                      <a:noFill/>
                    </a:ln>
                  </pic:spPr>
                </pic:pic>
              </a:graphicData>
            </a:graphic>
          </wp:inline>
        </w:drawing>
      </w:r>
    </w:p>
    <w:p w:rsidR="00EB3BC8" w:rsidRPr="008055F2" w:rsidRDefault="00EB3BC8" w:rsidP="00EB3BC8">
      <w:pPr>
        <w:spacing w:line="240" w:lineRule="auto"/>
        <w:contextualSpacing/>
        <w:jc w:val="both"/>
        <w:rPr>
          <w:rFonts w:eastAsia="Calibri" w:cstheme="minorHAnsi"/>
        </w:rPr>
      </w:pPr>
      <w:r w:rsidRPr="008055F2">
        <w:rPr>
          <w:rFonts w:cstheme="minorHAnsi"/>
          <w:sz w:val="18"/>
        </w:rPr>
        <w:t xml:space="preserve">                  Llenada de gaviones para aleta                               Panorámica de colcha gavión en solera</w:t>
      </w:r>
    </w:p>
    <w:p w:rsidR="00EB3BC8" w:rsidRPr="005133E0" w:rsidRDefault="00EB3BC8" w:rsidP="00EB3BC8">
      <w:pPr>
        <w:spacing w:line="240" w:lineRule="auto"/>
        <w:contextualSpacing/>
        <w:jc w:val="both"/>
        <w:rPr>
          <w:rFonts w:ascii="Arial" w:eastAsia="Calibri" w:hAnsi="Arial" w:cs="Arial"/>
        </w:rPr>
      </w:pPr>
    </w:p>
    <w:p w:rsidR="00EB3BC8" w:rsidRPr="005133E0" w:rsidRDefault="00EB3BC8" w:rsidP="00EB3BC8">
      <w:pPr>
        <w:spacing w:after="0" w:line="240" w:lineRule="auto"/>
        <w:jc w:val="both"/>
        <w:rPr>
          <w:rFonts w:ascii="Arial" w:eastAsia="Calibri" w:hAnsi="Arial" w:cs="Arial"/>
        </w:rPr>
      </w:pPr>
    </w:p>
    <w:p w:rsidR="00EB3BC8" w:rsidRPr="005133E0" w:rsidRDefault="00EB3BC8" w:rsidP="00EB3BC8">
      <w:pPr>
        <w:spacing w:after="0" w:line="240" w:lineRule="auto"/>
        <w:jc w:val="both"/>
        <w:rPr>
          <w:rFonts w:ascii="Arial" w:eastAsiaTheme="minorHAnsi" w:hAnsi="Arial" w:cs="Arial"/>
        </w:rPr>
      </w:pPr>
    </w:p>
    <w:p w:rsidR="00EB3BC8" w:rsidRPr="00EA1B98" w:rsidRDefault="00EB3BC8" w:rsidP="00EB3BC8">
      <w:pPr>
        <w:spacing w:line="240" w:lineRule="auto"/>
        <w:jc w:val="both"/>
        <w:rPr>
          <w:rFonts w:eastAsia="Times New Roman" w:cs="Calibri"/>
          <w:b/>
          <w:color w:val="000000"/>
          <w:u w:val="single"/>
        </w:rPr>
      </w:pPr>
      <w:r w:rsidRPr="00EA1B98">
        <w:rPr>
          <w:rFonts w:eastAsia="Times New Roman" w:cs="Calibri"/>
          <w:b/>
          <w:color w:val="000000"/>
          <w:u w:val="single"/>
        </w:rPr>
        <w:t>26. INFORME DE GESTIÓN PROYECTO TRANSVERSAL AMÉRICAS</w:t>
      </w:r>
    </w:p>
    <w:p w:rsidR="00EB3BC8" w:rsidRPr="00EA1B98" w:rsidRDefault="00EB3BC8" w:rsidP="00EB3BC8">
      <w:pPr>
        <w:spacing w:line="240" w:lineRule="auto"/>
        <w:jc w:val="both"/>
        <w:rPr>
          <w:rFonts w:cstheme="minorHAnsi"/>
        </w:rPr>
      </w:pPr>
      <w:r w:rsidRPr="00EA1B98">
        <w:rPr>
          <w:rFonts w:cstheme="minorHAnsi"/>
        </w:rPr>
        <w:t>Las actividades realizadas a corte 30 de Junio de 2015 son las siguientes:</w:t>
      </w:r>
    </w:p>
    <w:tbl>
      <w:tblPr>
        <w:tblW w:w="8647" w:type="dxa"/>
        <w:tblInd w:w="-5" w:type="dxa"/>
        <w:tblCellMar>
          <w:left w:w="70" w:type="dxa"/>
          <w:right w:w="70" w:type="dxa"/>
        </w:tblCellMar>
        <w:tblLook w:val="04A0" w:firstRow="1" w:lastRow="0" w:firstColumn="1" w:lastColumn="0" w:noHBand="0" w:noVBand="1"/>
      </w:tblPr>
      <w:tblGrid>
        <w:gridCol w:w="2860"/>
        <w:gridCol w:w="2669"/>
        <w:gridCol w:w="3118"/>
      </w:tblGrid>
      <w:tr w:rsidR="00EB3BC8" w:rsidRPr="00EA1B98" w:rsidTr="005E52E0">
        <w:trPr>
          <w:trHeight w:val="600"/>
        </w:trPr>
        <w:tc>
          <w:tcPr>
            <w:tcW w:w="2860" w:type="dxa"/>
            <w:tcBorders>
              <w:top w:val="single" w:sz="4" w:space="0" w:color="auto"/>
              <w:left w:val="single" w:sz="4" w:space="0" w:color="auto"/>
              <w:bottom w:val="single" w:sz="4" w:space="0" w:color="auto"/>
              <w:right w:val="single" w:sz="4" w:space="0" w:color="auto"/>
            </w:tcBorders>
            <w:shd w:val="clear" w:color="000000" w:fill="F1F1A1"/>
            <w:noWrap/>
            <w:vAlign w:val="bottom"/>
            <w:hideMark/>
          </w:tcPr>
          <w:p w:rsidR="00EB3BC8" w:rsidRPr="004706BE" w:rsidRDefault="00EB3BC8" w:rsidP="005E52E0">
            <w:pPr>
              <w:spacing w:line="240" w:lineRule="auto"/>
              <w:jc w:val="both"/>
              <w:rPr>
                <w:rFonts w:eastAsia="Times New Roman" w:cstheme="minorHAnsi"/>
                <w:b/>
                <w:bCs/>
                <w:color w:val="000000"/>
                <w:sz w:val="20"/>
              </w:rPr>
            </w:pPr>
            <w:r w:rsidRPr="004706BE">
              <w:rPr>
                <w:rFonts w:eastAsia="Times New Roman" w:cstheme="minorHAnsi"/>
                <w:b/>
                <w:bCs/>
                <w:color w:val="000000"/>
                <w:sz w:val="20"/>
              </w:rPr>
              <w:t>ACTIVIDAD</w:t>
            </w:r>
          </w:p>
        </w:tc>
        <w:tc>
          <w:tcPr>
            <w:tcW w:w="2669" w:type="dxa"/>
            <w:tcBorders>
              <w:top w:val="single" w:sz="4" w:space="0" w:color="auto"/>
              <w:left w:val="nil"/>
              <w:bottom w:val="single" w:sz="4" w:space="0" w:color="auto"/>
              <w:right w:val="single" w:sz="4" w:space="0" w:color="auto"/>
            </w:tcBorders>
            <w:shd w:val="clear" w:color="000000" w:fill="F1F1A1"/>
            <w:noWrap/>
            <w:vAlign w:val="bottom"/>
            <w:hideMark/>
          </w:tcPr>
          <w:p w:rsidR="00EB3BC8" w:rsidRPr="004706BE" w:rsidRDefault="00EB3BC8" w:rsidP="005E52E0">
            <w:pPr>
              <w:spacing w:line="240" w:lineRule="auto"/>
              <w:jc w:val="both"/>
              <w:rPr>
                <w:rFonts w:eastAsia="Times New Roman" w:cstheme="minorHAnsi"/>
                <w:b/>
                <w:bCs/>
                <w:color w:val="000000"/>
                <w:sz w:val="20"/>
              </w:rPr>
            </w:pPr>
            <w:r w:rsidRPr="004706BE">
              <w:rPr>
                <w:rFonts w:eastAsia="Times New Roman" w:cstheme="minorHAnsi"/>
                <w:b/>
                <w:bCs/>
                <w:color w:val="000000"/>
                <w:sz w:val="20"/>
              </w:rPr>
              <w:t>META 2015</w:t>
            </w:r>
          </w:p>
        </w:tc>
        <w:tc>
          <w:tcPr>
            <w:tcW w:w="3118" w:type="dxa"/>
            <w:tcBorders>
              <w:top w:val="single" w:sz="4" w:space="0" w:color="auto"/>
              <w:left w:val="nil"/>
              <w:bottom w:val="single" w:sz="4" w:space="0" w:color="auto"/>
              <w:right w:val="single" w:sz="4" w:space="0" w:color="auto"/>
            </w:tcBorders>
            <w:shd w:val="clear" w:color="000000" w:fill="F1F1A1"/>
            <w:noWrap/>
            <w:vAlign w:val="bottom"/>
            <w:hideMark/>
          </w:tcPr>
          <w:p w:rsidR="00EB3BC8" w:rsidRPr="004706BE" w:rsidRDefault="00EB3BC8" w:rsidP="005E52E0">
            <w:pPr>
              <w:spacing w:line="240" w:lineRule="auto"/>
              <w:jc w:val="both"/>
              <w:rPr>
                <w:rFonts w:eastAsia="Times New Roman" w:cstheme="minorHAnsi"/>
                <w:b/>
                <w:bCs/>
                <w:color w:val="000000"/>
                <w:sz w:val="20"/>
              </w:rPr>
            </w:pPr>
            <w:r w:rsidRPr="004706BE">
              <w:rPr>
                <w:rFonts w:eastAsia="Times New Roman" w:cstheme="minorHAnsi"/>
                <w:b/>
                <w:bCs/>
                <w:color w:val="000000"/>
                <w:sz w:val="20"/>
              </w:rPr>
              <w:t>EJECUCIÓN A JUNIO 30</w:t>
            </w:r>
          </w:p>
        </w:tc>
      </w:tr>
      <w:tr w:rsidR="00EB3BC8" w:rsidRPr="00EA1B98" w:rsidTr="005E52E0">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MEJORAMIENTO Y REHABILITACIÒN</w:t>
            </w:r>
          </w:p>
        </w:tc>
        <w:tc>
          <w:tcPr>
            <w:tcW w:w="2669" w:type="dxa"/>
            <w:tcBorders>
              <w:top w:val="nil"/>
              <w:left w:val="nil"/>
              <w:bottom w:val="single" w:sz="4" w:space="0" w:color="auto"/>
              <w:right w:val="single" w:sz="4" w:space="0" w:color="auto"/>
            </w:tcBorders>
            <w:shd w:val="clear" w:color="auto" w:fill="auto"/>
            <w:noWrap/>
            <w:vAlign w:val="center"/>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131,16</w:t>
            </w:r>
          </w:p>
        </w:tc>
        <w:tc>
          <w:tcPr>
            <w:tcW w:w="3118" w:type="dxa"/>
            <w:tcBorders>
              <w:top w:val="nil"/>
              <w:left w:val="nil"/>
              <w:bottom w:val="single" w:sz="4" w:space="0" w:color="auto"/>
              <w:right w:val="single" w:sz="4" w:space="0" w:color="auto"/>
            </w:tcBorders>
            <w:shd w:val="clear" w:color="auto" w:fill="auto"/>
            <w:noWrap/>
            <w:vAlign w:val="center"/>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54,25</w:t>
            </w:r>
          </w:p>
        </w:tc>
      </w:tr>
      <w:tr w:rsidR="00EB3BC8" w:rsidRPr="00EA1B98" w:rsidTr="005E52E0">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CALZADA SENCILLA</w:t>
            </w:r>
          </w:p>
        </w:tc>
        <w:tc>
          <w:tcPr>
            <w:tcW w:w="2669" w:type="dxa"/>
            <w:tcBorders>
              <w:top w:val="nil"/>
              <w:left w:val="nil"/>
              <w:bottom w:val="single" w:sz="4" w:space="0" w:color="auto"/>
              <w:right w:val="single" w:sz="4" w:space="0" w:color="auto"/>
            </w:tcBorders>
            <w:shd w:val="clear" w:color="auto" w:fill="auto"/>
            <w:noWrap/>
            <w:vAlign w:val="center"/>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33,31</w:t>
            </w:r>
          </w:p>
        </w:tc>
        <w:tc>
          <w:tcPr>
            <w:tcW w:w="3118" w:type="dxa"/>
            <w:tcBorders>
              <w:top w:val="nil"/>
              <w:left w:val="nil"/>
              <w:bottom w:val="single" w:sz="4" w:space="0" w:color="auto"/>
              <w:right w:val="single" w:sz="4" w:space="0" w:color="auto"/>
            </w:tcBorders>
            <w:shd w:val="clear" w:color="auto" w:fill="auto"/>
            <w:noWrap/>
            <w:vAlign w:val="center"/>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 13,71</w:t>
            </w:r>
          </w:p>
        </w:tc>
      </w:tr>
      <w:tr w:rsidR="00EB3BC8" w:rsidRPr="00EA1B98" w:rsidTr="005E52E0">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 xml:space="preserve">DOBLE CALZADA </w:t>
            </w:r>
          </w:p>
        </w:tc>
        <w:tc>
          <w:tcPr>
            <w:tcW w:w="2669" w:type="dxa"/>
            <w:tcBorders>
              <w:top w:val="nil"/>
              <w:left w:val="nil"/>
              <w:bottom w:val="single" w:sz="4" w:space="0" w:color="auto"/>
              <w:right w:val="single" w:sz="4" w:space="0" w:color="auto"/>
            </w:tcBorders>
            <w:shd w:val="clear" w:color="auto" w:fill="auto"/>
            <w:noWrap/>
            <w:vAlign w:val="center"/>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14,71</w:t>
            </w:r>
          </w:p>
        </w:tc>
        <w:tc>
          <w:tcPr>
            <w:tcW w:w="3118" w:type="dxa"/>
            <w:tcBorders>
              <w:top w:val="nil"/>
              <w:left w:val="nil"/>
              <w:bottom w:val="single" w:sz="4" w:space="0" w:color="auto"/>
              <w:right w:val="single" w:sz="4" w:space="0" w:color="auto"/>
            </w:tcBorders>
            <w:shd w:val="clear" w:color="auto" w:fill="auto"/>
            <w:noWrap/>
            <w:vAlign w:val="center"/>
            <w:hideMark/>
          </w:tcPr>
          <w:p w:rsidR="00EB3BC8" w:rsidRPr="004706BE" w:rsidRDefault="00EB3BC8" w:rsidP="005E52E0">
            <w:pPr>
              <w:spacing w:line="240" w:lineRule="auto"/>
              <w:jc w:val="both"/>
              <w:rPr>
                <w:rFonts w:eastAsia="Times New Roman" w:cstheme="minorHAnsi"/>
                <w:color w:val="000000"/>
                <w:sz w:val="20"/>
              </w:rPr>
            </w:pPr>
            <w:r w:rsidRPr="004706BE">
              <w:rPr>
                <w:rFonts w:eastAsia="Times New Roman" w:cstheme="minorHAnsi"/>
                <w:color w:val="000000"/>
                <w:sz w:val="20"/>
              </w:rPr>
              <w:t>2,06</w:t>
            </w:r>
          </w:p>
        </w:tc>
      </w:tr>
    </w:tbl>
    <w:p w:rsidR="00EB3BC8" w:rsidRPr="00EA1B98" w:rsidRDefault="00EB3BC8" w:rsidP="00EB3BC8">
      <w:pPr>
        <w:spacing w:line="240" w:lineRule="auto"/>
        <w:jc w:val="both"/>
        <w:rPr>
          <w:rFonts w:cstheme="minorHAnsi"/>
          <w:lang w:val="es-ES_tradnl"/>
        </w:rPr>
      </w:pPr>
    </w:p>
    <w:p w:rsidR="00EB3BC8" w:rsidRPr="00EA1B98" w:rsidRDefault="00EB3BC8" w:rsidP="000021B2">
      <w:pPr>
        <w:numPr>
          <w:ilvl w:val="0"/>
          <w:numId w:val="64"/>
        </w:numPr>
        <w:spacing w:after="160" w:line="240" w:lineRule="auto"/>
        <w:contextualSpacing/>
        <w:rPr>
          <w:rFonts w:eastAsiaTheme="minorHAnsi" w:cstheme="minorHAnsi"/>
        </w:rPr>
      </w:pPr>
      <w:r w:rsidRPr="00EA1B98">
        <w:rPr>
          <w:rFonts w:eastAsiaTheme="minorHAnsi" w:cstheme="minorHAnsi"/>
        </w:rPr>
        <w:t>Actividades Desarrolladas</w:t>
      </w:r>
    </w:p>
    <w:p w:rsidR="00EB3BC8" w:rsidRPr="00EA1B98" w:rsidRDefault="00EB3BC8" w:rsidP="00EB3BC8">
      <w:pPr>
        <w:spacing w:line="240" w:lineRule="auto"/>
        <w:jc w:val="both"/>
        <w:rPr>
          <w:rFonts w:eastAsiaTheme="minorHAnsi" w:cstheme="minorHAnsi"/>
        </w:rPr>
      </w:pPr>
      <w:r w:rsidRPr="00EA1B98">
        <w:rPr>
          <w:rFonts w:eastAsiaTheme="minorHAnsi" w:cstheme="minorHAnsi"/>
        </w:rPr>
        <w:lastRenderedPageBreak/>
        <w:t>Se firma el Otrosí N°9 el día 9 de Junio de 2015, por medio del cual se modifica la sección 6.04 del Contrato de Concesión precisando el esquema de financiación predial a cargo del Concesionario y se incorpora el sistema Predial Olimpus.</w:t>
      </w:r>
    </w:p>
    <w:p w:rsidR="00EB3BC8" w:rsidRPr="00EA1B98" w:rsidRDefault="00EB3BC8" w:rsidP="00EB3BC8">
      <w:pPr>
        <w:spacing w:line="240" w:lineRule="auto"/>
        <w:jc w:val="both"/>
        <w:rPr>
          <w:rFonts w:eastAsiaTheme="minorHAnsi" w:cstheme="minorHAnsi"/>
        </w:rPr>
      </w:pPr>
    </w:p>
    <w:p w:rsidR="00EB3BC8" w:rsidRPr="00EA1B98" w:rsidRDefault="00EB3BC8" w:rsidP="000021B2">
      <w:pPr>
        <w:numPr>
          <w:ilvl w:val="0"/>
          <w:numId w:val="64"/>
        </w:numPr>
        <w:spacing w:after="160" w:line="240" w:lineRule="auto"/>
        <w:contextualSpacing/>
        <w:rPr>
          <w:rFonts w:eastAsiaTheme="minorHAnsi" w:cstheme="minorHAnsi"/>
        </w:rPr>
      </w:pPr>
      <w:r w:rsidRPr="00EA1B98">
        <w:rPr>
          <w:rFonts w:eastAsiaTheme="minorHAnsi" w:cstheme="minorHAnsi"/>
        </w:rPr>
        <w:t xml:space="preserve">Desarrollo del Contrato </w:t>
      </w:r>
    </w:p>
    <w:p w:rsidR="00EB3BC8" w:rsidRPr="00EA1B98" w:rsidRDefault="00EB3BC8" w:rsidP="00EB3BC8">
      <w:pPr>
        <w:spacing w:line="240" w:lineRule="auto"/>
        <w:jc w:val="both"/>
        <w:rPr>
          <w:rFonts w:eastAsiaTheme="minorHAnsi" w:cstheme="minorHAnsi"/>
        </w:rPr>
      </w:pPr>
      <w:r w:rsidRPr="00EA1B98">
        <w:rPr>
          <w:rFonts w:eastAsiaTheme="minorHAnsi" w:cstheme="minorHAnsi"/>
        </w:rPr>
        <w:t xml:space="preserve">A Junio de 2015, el Concesionario lleva un porcentaje de avance de 55.7% </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982"/>
        <w:gridCol w:w="1131"/>
        <w:gridCol w:w="1805"/>
        <w:gridCol w:w="1480"/>
        <w:gridCol w:w="1155"/>
      </w:tblGrid>
      <w:tr w:rsidR="00EB3BC8" w:rsidRPr="00EA1B98" w:rsidTr="005E52E0">
        <w:trPr>
          <w:trHeight w:val="300"/>
          <w:tblHeader/>
        </w:trPr>
        <w:tc>
          <w:tcPr>
            <w:tcW w:w="9100" w:type="dxa"/>
            <w:gridSpan w:val="6"/>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 xml:space="preserve">CONTRATO DE INTERVENTORÍA SEA Nº 020 DE 2012 - CONTRATO DE CONCESIÓN Nº 008 DE 2010                                                                                                        </w:t>
            </w:r>
          </w:p>
        </w:tc>
      </w:tr>
      <w:tr w:rsidR="00EB3BC8" w:rsidRPr="00EA1B98" w:rsidTr="005E52E0">
        <w:trPr>
          <w:trHeight w:val="315"/>
          <w:tblHeader/>
        </w:trPr>
        <w:tc>
          <w:tcPr>
            <w:tcW w:w="9100" w:type="dxa"/>
            <w:gridSpan w:val="6"/>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CORREDOR VIAL “TRANSVERSAL DE LAS AMÉRICAS, SECTOR 1”</w:t>
            </w:r>
          </w:p>
        </w:tc>
      </w:tr>
      <w:tr w:rsidR="00EB3BC8" w:rsidRPr="00EA1B98" w:rsidTr="005E52E0">
        <w:trPr>
          <w:trHeight w:val="300"/>
        </w:trPr>
        <w:tc>
          <w:tcPr>
            <w:tcW w:w="2547" w:type="dxa"/>
            <w:vMerge w:val="restart"/>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TRAMOS CONSTRUCCIÓN</w:t>
            </w:r>
          </w:p>
        </w:tc>
        <w:tc>
          <w:tcPr>
            <w:tcW w:w="982" w:type="dxa"/>
            <w:vMerge w:val="restart"/>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HITOS</w:t>
            </w:r>
          </w:p>
        </w:tc>
        <w:tc>
          <w:tcPr>
            <w:tcW w:w="1131" w:type="dxa"/>
            <w:vMerge w:val="restart"/>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LONG. (km)</w:t>
            </w:r>
          </w:p>
        </w:tc>
        <w:tc>
          <w:tcPr>
            <w:tcW w:w="1805" w:type="dxa"/>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FECHAS</w:t>
            </w:r>
          </w:p>
        </w:tc>
        <w:tc>
          <w:tcPr>
            <w:tcW w:w="1480" w:type="dxa"/>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 AVANCE</w:t>
            </w:r>
          </w:p>
        </w:tc>
        <w:tc>
          <w:tcPr>
            <w:tcW w:w="1155" w:type="dxa"/>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 AVANCE</w:t>
            </w:r>
          </w:p>
        </w:tc>
      </w:tr>
      <w:tr w:rsidR="00EB3BC8" w:rsidRPr="00EA1B98" w:rsidTr="005E52E0">
        <w:trPr>
          <w:trHeight w:val="495"/>
        </w:trPr>
        <w:tc>
          <w:tcPr>
            <w:tcW w:w="2547" w:type="dxa"/>
            <w:vMerge/>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982" w:type="dxa"/>
            <w:vMerge/>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1131" w:type="dxa"/>
            <w:vMerge/>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1805" w:type="dxa"/>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CONTRACTUALES</w:t>
            </w:r>
          </w:p>
        </w:tc>
        <w:tc>
          <w:tcPr>
            <w:tcW w:w="1480" w:type="dxa"/>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PROGRAMADO</w:t>
            </w:r>
          </w:p>
        </w:tc>
        <w:tc>
          <w:tcPr>
            <w:tcW w:w="1155" w:type="dxa"/>
            <w:shd w:val="clear" w:color="auto" w:fill="auto"/>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OBRA</w:t>
            </w:r>
          </w:p>
        </w:tc>
      </w:tr>
      <w:tr w:rsidR="00EB3BC8" w:rsidRPr="00EA1B98" w:rsidTr="005E52E0">
        <w:trPr>
          <w:trHeight w:val="300"/>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 xml:space="preserve">TRANSVERSAL DE LAS </w:t>
            </w:r>
          </w:p>
        </w:tc>
        <w:tc>
          <w:tcPr>
            <w:tcW w:w="982" w:type="dxa"/>
            <w:vMerge w:val="restart"/>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83</w:t>
            </w:r>
          </w:p>
        </w:tc>
        <w:tc>
          <w:tcPr>
            <w:tcW w:w="1131" w:type="dxa"/>
            <w:vMerge w:val="restart"/>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641,83</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FECHA</w:t>
            </w:r>
          </w:p>
        </w:tc>
        <w:tc>
          <w:tcPr>
            <w:tcW w:w="1480" w:type="dxa"/>
            <w:vMerge w:val="restart"/>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55,60%</w:t>
            </w:r>
          </w:p>
        </w:tc>
        <w:tc>
          <w:tcPr>
            <w:tcW w:w="1155" w:type="dxa"/>
            <w:vMerge w:val="restart"/>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55,70%</w:t>
            </w:r>
          </w:p>
        </w:tc>
      </w:tr>
      <w:tr w:rsidR="00EB3BC8" w:rsidRPr="00EA1B98" w:rsidTr="005E52E0">
        <w:trPr>
          <w:trHeight w:val="31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AMÉRICAS</w:t>
            </w:r>
          </w:p>
        </w:tc>
        <w:tc>
          <w:tcPr>
            <w:tcW w:w="982" w:type="dxa"/>
            <w:vMerge/>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1131" w:type="dxa"/>
            <w:vMerge/>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TERMINACIÓN</w:t>
            </w:r>
          </w:p>
        </w:tc>
        <w:tc>
          <w:tcPr>
            <w:tcW w:w="1480" w:type="dxa"/>
            <w:vMerge/>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1155" w:type="dxa"/>
            <w:vMerge/>
            <w:vAlign w:val="center"/>
            <w:hideMark/>
          </w:tcPr>
          <w:p w:rsidR="00EB3BC8" w:rsidRPr="00EA1B98" w:rsidRDefault="00EB3BC8" w:rsidP="005E52E0">
            <w:pPr>
              <w:spacing w:after="0" w:line="240" w:lineRule="auto"/>
              <w:rPr>
                <w:rFonts w:eastAsia="Times New Roman" w:cstheme="minorHAnsi"/>
                <w:b/>
                <w:bCs/>
                <w:color w:val="000000"/>
                <w:sz w:val="20"/>
                <w:szCs w:val="20"/>
              </w:rPr>
            </w:pPr>
          </w:p>
        </w:tc>
      </w:tr>
      <w:tr w:rsidR="00EB3BC8" w:rsidRPr="00EA1B98" w:rsidTr="005E52E0">
        <w:trPr>
          <w:trHeight w:val="315"/>
        </w:trPr>
        <w:tc>
          <w:tcPr>
            <w:tcW w:w="2547"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URABÁ</w:t>
            </w:r>
          </w:p>
        </w:tc>
        <w:tc>
          <w:tcPr>
            <w:tcW w:w="982"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26</w:t>
            </w:r>
          </w:p>
        </w:tc>
        <w:tc>
          <w:tcPr>
            <w:tcW w:w="1131"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 </w:t>
            </w:r>
          </w:p>
        </w:tc>
        <w:tc>
          <w:tcPr>
            <w:tcW w:w="1805"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31-dic-16</w:t>
            </w:r>
          </w:p>
        </w:tc>
        <w:tc>
          <w:tcPr>
            <w:tcW w:w="1480"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51,60%</w:t>
            </w:r>
          </w:p>
        </w:tc>
        <w:tc>
          <w:tcPr>
            <w:tcW w:w="1155"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57,40%</w:t>
            </w:r>
          </w:p>
        </w:tc>
      </w:tr>
      <w:tr w:rsidR="00EB3BC8" w:rsidRPr="00EA1B98" w:rsidTr="005E52E0">
        <w:trPr>
          <w:trHeight w:val="49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LOMAS AISLADAS-EL TIGRE</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39,91</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23-sep-13</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100%</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100%</w:t>
            </w:r>
          </w:p>
        </w:tc>
      </w:tr>
      <w:tr w:rsidR="00EB3BC8" w:rsidRPr="00EA1B98" w:rsidTr="005E52E0">
        <w:trPr>
          <w:trHeight w:val="31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TURBO-EL TIGRE Rehab.</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6</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52,31</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31-dic-16</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42%</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45%</w:t>
            </w:r>
          </w:p>
        </w:tc>
      </w:tr>
      <w:tr w:rsidR="00EB3BC8" w:rsidRPr="00EA1B98" w:rsidTr="005E52E0">
        <w:trPr>
          <w:trHeight w:val="31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EL DOS- EL TRES</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8,5</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26-jun-16</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0%</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41%</w:t>
            </w:r>
          </w:p>
        </w:tc>
      </w:tr>
      <w:tr w:rsidR="00EB3BC8" w:rsidRPr="00EA1B98" w:rsidTr="005E52E0">
        <w:trPr>
          <w:trHeight w:val="31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TURBO-EL TIGRE</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50,92</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31-dic-16</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6%</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10%</w:t>
            </w:r>
          </w:p>
        </w:tc>
      </w:tr>
      <w:tr w:rsidR="00EB3BC8" w:rsidRPr="00EA1B98" w:rsidTr="005E52E0">
        <w:trPr>
          <w:trHeight w:val="49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TURBO-NECOCLÍ-SAN JUAN</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37</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30-jun-16</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81%</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96%</w:t>
            </w:r>
          </w:p>
        </w:tc>
      </w:tr>
      <w:tr w:rsidR="00EB3BC8" w:rsidRPr="00EA1B98" w:rsidTr="005E52E0">
        <w:trPr>
          <w:trHeight w:val="31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SAN JUAN-ARBOLETES</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16,1</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20-sep-15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97%</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99%</w:t>
            </w:r>
          </w:p>
        </w:tc>
      </w:tr>
      <w:tr w:rsidR="00EB3BC8" w:rsidRPr="00EA1B98" w:rsidTr="005E52E0">
        <w:trPr>
          <w:trHeight w:val="315"/>
        </w:trPr>
        <w:tc>
          <w:tcPr>
            <w:tcW w:w="2547"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MONTERÍA</w:t>
            </w:r>
          </w:p>
        </w:tc>
        <w:tc>
          <w:tcPr>
            <w:tcW w:w="982"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17</w:t>
            </w:r>
          </w:p>
        </w:tc>
        <w:tc>
          <w:tcPr>
            <w:tcW w:w="1131"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147,21</w:t>
            </w:r>
          </w:p>
        </w:tc>
        <w:tc>
          <w:tcPr>
            <w:tcW w:w="1805"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30-jun-16</w:t>
            </w:r>
          </w:p>
        </w:tc>
        <w:tc>
          <w:tcPr>
            <w:tcW w:w="1480"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83,70%</w:t>
            </w:r>
          </w:p>
        </w:tc>
        <w:tc>
          <w:tcPr>
            <w:tcW w:w="1155"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83,00%</w:t>
            </w:r>
          </w:p>
        </w:tc>
      </w:tr>
      <w:tr w:rsidR="00EB3BC8" w:rsidRPr="00EA1B98" w:rsidTr="005E52E0">
        <w:trPr>
          <w:trHeight w:val="49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PLANETA RICA-MONTERÍA</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49</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20-sep-15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98%</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98%</w:t>
            </w:r>
          </w:p>
        </w:tc>
      </w:tr>
      <w:tr w:rsidR="00EB3BC8" w:rsidRPr="00EA1B98" w:rsidTr="005E52E0">
        <w:trPr>
          <w:trHeight w:val="49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ARBOLETES-PUERTO REY-MONTERÍA</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68,81</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20-sep-15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99,80%</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100,00%</w:t>
            </w:r>
          </w:p>
        </w:tc>
      </w:tr>
      <w:tr w:rsidR="00EB3BC8" w:rsidRPr="00EA1B98" w:rsidTr="005E52E0">
        <w:trPr>
          <w:trHeight w:val="31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VARIANTE ARBOLETES</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31-dic-15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54%</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39%</w:t>
            </w:r>
          </w:p>
        </w:tc>
      </w:tr>
      <w:tr w:rsidR="00EB3BC8" w:rsidRPr="00EA1B98" w:rsidTr="005E52E0">
        <w:trPr>
          <w:trHeight w:val="49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SANTA LUCIA-SAN PELAYO</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25,4</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30-jun-16</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18%</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14%</w:t>
            </w:r>
          </w:p>
        </w:tc>
      </w:tr>
      <w:tr w:rsidR="00EB3BC8" w:rsidRPr="00EA1B98" w:rsidTr="005E52E0">
        <w:trPr>
          <w:trHeight w:val="315"/>
        </w:trPr>
        <w:tc>
          <w:tcPr>
            <w:tcW w:w="2547"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SAN MARCOS</w:t>
            </w:r>
          </w:p>
        </w:tc>
        <w:tc>
          <w:tcPr>
            <w:tcW w:w="982"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w:t>
            </w:r>
          </w:p>
        </w:tc>
        <w:tc>
          <w:tcPr>
            <w:tcW w:w="1131"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58,37</w:t>
            </w:r>
          </w:p>
        </w:tc>
        <w:tc>
          <w:tcPr>
            <w:tcW w:w="1805"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31-mar-16</w:t>
            </w:r>
          </w:p>
        </w:tc>
        <w:tc>
          <w:tcPr>
            <w:tcW w:w="1480"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73%</w:t>
            </w:r>
          </w:p>
        </w:tc>
        <w:tc>
          <w:tcPr>
            <w:tcW w:w="1155" w:type="dxa"/>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78%</w:t>
            </w:r>
          </w:p>
        </w:tc>
      </w:tr>
      <w:tr w:rsidR="00EB3BC8" w:rsidRPr="00EA1B98" w:rsidTr="005E52E0">
        <w:trPr>
          <w:trHeight w:val="49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SAN MARCOS-MAJAGUAL-ACHÍ-GUARANDA</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58,37</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31-mar-16</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73%</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78%</w:t>
            </w:r>
          </w:p>
        </w:tc>
      </w:tr>
      <w:tr w:rsidR="00EB3BC8" w:rsidRPr="00EA1B98" w:rsidTr="005E52E0">
        <w:trPr>
          <w:trHeight w:val="300"/>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PUENTES (Otrosí No. 5)</w:t>
            </w:r>
          </w:p>
        </w:tc>
        <w:tc>
          <w:tcPr>
            <w:tcW w:w="982" w:type="dxa"/>
            <w:vMerge w:val="restart"/>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  Puentes Otrosí No. 5</w:t>
            </w:r>
          </w:p>
        </w:tc>
        <w:tc>
          <w:tcPr>
            <w:tcW w:w="1131" w:type="dxa"/>
            <w:vMerge w:val="restart"/>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N.A.</w:t>
            </w:r>
          </w:p>
        </w:tc>
        <w:tc>
          <w:tcPr>
            <w:tcW w:w="1805" w:type="dxa"/>
            <w:vMerge w:val="restart"/>
            <w:shd w:val="clear" w:color="000000" w:fill="C5D9F1"/>
            <w:vAlign w:val="center"/>
            <w:hideMark/>
          </w:tcPr>
          <w:p w:rsidR="00EB3BC8" w:rsidRPr="00EA1B98" w:rsidRDefault="00EB3BC8" w:rsidP="005E52E0">
            <w:pPr>
              <w:spacing w:after="0" w:line="240" w:lineRule="auto"/>
              <w:rPr>
                <w:rFonts w:eastAsia="Times New Roman" w:cstheme="minorHAnsi"/>
                <w:color w:val="000000"/>
                <w:sz w:val="20"/>
                <w:szCs w:val="20"/>
              </w:rPr>
            </w:pPr>
            <w:r w:rsidRPr="00EA1B98">
              <w:rPr>
                <w:rFonts w:eastAsia="Times New Roman" w:cstheme="minorHAnsi"/>
                <w:color w:val="000000"/>
                <w:sz w:val="20"/>
                <w:szCs w:val="20"/>
              </w:rPr>
              <w:t> </w:t>
            </w:r>
          </w:p>
        </w:tc>
        <w:tc>
          <w:tcPr>
            <w:tcW w:w="1480" w:type="dxa"/>
            <w:vMerge w:val="restart"/>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0%</w:t>
            </w:r>
          </w:p>
        </w:tc>
        <w:tc>
          <w:tcPr>
            <w:tcW w:w="1155" w:type="dxa"/>
            <w:vMerge w:val="restart"/>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3,20%</w:t>
            </w:r>
          </w:p>
        </w:tc>
      </w:tr>
      <w:tr w:rsidR="00EB3BC8" w:rsidRPr="00EA1B98" w:rsidTr="005E52E0">
        <w:trPr>
          <w:trHeight w:val="495"/>
        </w:trPr>
        <w:tc>
          <w:tcPr>
            <w:tcW w:w="2547" w:type="dxa"/>
            <w:tcBorders>
              <w:bottom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SAN MARCOS - MAJAGUAL</w:t>
            </w:r>
          </w:p>
        </w:tc>
        <w:tc>
          <w:tcPr>
            <w:tcW w:w="982" w:type="dxa"/>
            <w:vMerge/>
            <w:tcBorders>
              <w:bottom w:val="triple" w:sz="4" w:space="0" w:color="auto"/>
            </w:tcBorders>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1131" w:type="dxa"/>
            <w:vMerge/>
            <w:tcBorders>
              <w:bottom w:val="triple" w:sz="4" w:space="0" w:color="auto"/>
            </w:tcBorders>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1805" w:type="dxa"/>
            <w:vMerge/>
            <w:tcBorders>
              <w:bottom w:val="triple" w:sz="4" w:space="0" w:color="auto"/>
            </w:tcBorders>
            <w:vAlign w:val="center"/>
            <w:hideMark/>
          </w:tcPr>
          <w:p w:rsidR="00EB3BC8" w:rsidRPr="00EA1B98" w:rsidRDefault="00EB3BC8" w:rsidP="005E52E0">
            <w:pPr>
              <w:spacing w:after="0" w:line="240" w:lineRule="auto"/>
              <w:rPr>
                <w:rFonts w:eastAsia="Times New Roman" w:cstheme="minorHAnsi"/>
                <w:color w:val="000000"/>
                <w:sz w:val="20"/>
                <w:szCs w:val="20"/>
              </w:rPr>
            </w:pPr>
          </w:p>
        </w:tc>
        <w:tc>
          <w:tcPr>
            <w:tcW w:w="1480" w:type="dxa"/>
            <w:vMerge/>
            <w:tcBorders>
              <w:bottom w:val="triple" w:sz="4" w:space="0" w:color="auto"/>
            </w:tcBorders>
            <w:vAlign w:val="center"/>
            <w:hideMark/>
          </w:tcPr>
          <w:p w:rsidR="00EB3BC8" w:rsidRPr="00EA1B98" w:rsidRDefault="00EB3BC8" w:rsidP="005E52E0">
            <w:pPr>
              <w:spacing w:after="0" w:line="240" w:lineRule="auto"/>
              <w:rPr>
                <w:rFonts w:eastAsia="Times New Roman" w:cstheme="minorHAnsi"/>
                <w:b/>
                <w:bCs/>
                <w:color w:val="000000"/>
                <w:sz w:val="20"/>
                <w:szCs w:val="20"/>
              </w:rPr>
            </w:pPr>
          </w:p>
        </w:tc>
        <w:tc>
          <w:tcPr>
            <w:tcW w:w="1155" w:type="dxa"/>
            <w:vMerge/>
            <w:tcBorders>
              <w:bottom w:val="triple" w:sz="4" w:space="0" w:color="auto"/>
            </w:tcBorders>
            <w:vAlign w:val="center"/>
            <w:hideMark/>
          </w:tcPr>
          <w:p w:rsidR="00EB3BC8" w:rsidRPr="00EA1B98" w:rsidRDefault="00EB3BC8" w:rsidP="005E52E0">
            <w:pPr>
              <w:spacing w:after="0" w:line="240" w:lineRule="auto"/>
              <w:rPr>
                <w:rFonts w:eastAsia="Times New Roman" w:cstheme="minorHAnsi"/>
                <w:b/>
                <w:bCs/>
                <w:color w:val="000000"/>
                <w:sz w:val="20"/>
                <w:szCs w:val="20"/>
              </w:rPr>
            </w:pPr>
          </w:p>
        </w:tc>
      </w:tr>
      <w:tr w:rsidR="00EB3BC8" w:rsidRPr="00EA1B98" w:rsidTr="005E52E0">
        <w:trPr>
          <w:trHeight w:val="315"/>
        </w:trPr>
        <w:tc>
          <w:tcPr>
            <w:tcW w:w="2547" w:type="dxa"/>
            <w:tcBorders>
              <w:top w:val="triple" w:sz="4" w:space="0" w:color="auto"/>
              <w:left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MOMPOX</w:t>
            </w:r>
          </w:p>
        </w:tc>
        <w:tc>
          <w:tcPr>
            <w:tcW w:w="982"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w:t>
            </w:r>
          </w:p>
        </w:tc>
        <w:tc>
          <w:tcPr>
            <w:tcW w:w="1131"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149,67</w:t>
            </w:r>
          </w:p>
        </w:tc>
        <w:tc>
          <w:tcPr>
            <w:tcW w:w="1805"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31-dic-15</w:t>
            </w:r>
          </w:p>
        </w:tc>
        <w:tc>
          <w:tcPr>
            <w:tcW w:w="1480"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79,10%</w:t>
            </w:r>
          </w:p>
        </w:tc>
        <w:tc>
          <w:tcPr>
            <w:tcW w:w="1155" w:type="dxa"/>
            <w:tcBorders>
              <w:top w:val="triple" w:sz="4" w:space="0" w:color="auto"/>
              <w:right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68,40%</w:t>
            </w:r>
          </w:p>
        </w:tc>
      </w:tr>
      <w:tr w:rsidR="00EB3BC8" w:rsidRPr="00EA1B98" w:rsidTr="005E52E0">
        <w:trPr>
          <w:trHeight w:val="495"/>
        </w:trPr>
        <w:tc>
          <w:tcPr>
            <w:tcW w:w="2547" w:type="dxa"/>
            <w:tcBorders>
              <w:lef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TALAIGUA NUEVO-SANTA ANA</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 </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20-sep-15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95%</w:t>
            </w:r>
          </w:p>
        </w:tc>
        <w:tc>
          <w:tcPr>
            <w:tcW w:w="1155" w:type="dxa"/>
            <w:tcBorders>
              <w:righ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87%</w:t>
            </w:r>
          </w:p>
        </w:tc>
      </w:tr>
      <w:tr w:rsidR="00EB3BC8" w:rsidRPr="00EA1B98" w:rsidTr="005E52E0">
        <w:trPr>
          <w:trHeight w:val="315"/>
        </w:trPr>
        <w:tc>
          <w:tcPr>
            <w:tcW w:w="2547" w:type="dxa"/>
            <w:tcBorders>
              <w:lef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SANTA ANA-LA GLORIA</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58,88</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20-sep-15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88%</w:t>
            </w:r>
          </w:p>
        </w:tc>
        <w:tc>
          <w:tcPr>
            <w:tcW w:w="1155" w:type="dxa"/>
            <w:tcBorders>
              <w:righ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84%</w:t>
            </w:r>
          </w:p>
        </w:tc>
      </w:tr>
      <w:tr w:rsidR="00EB3BC8" w:rsidRPr="00EA1B98" w:rsidTr="005E52E0">
        <w:trPr>
          <w:trHeight w:val="315"/>
        </w:trPr>
        <w:tc>
          <w:tcPr>
            <w:tcW w:w="2547" w:type="dxa"/>
            <w:tcBorders>
              <w:lef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BODEGA-MOMPOX</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27,65</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31-dic-15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44%</w:t>
            </w:r>
          </w:p>
        </w:tc>
        <w:tc>
          <w:tcPr>
            <w:tcW w:w="1155" w:type="dxa"/>
            <w:tcBorders>
              <w:righ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10,90%</w:t>
            </w:r>
          </w:p>
        </w:tc>
      </w:tr>
      <w:tr w:rsidR="00EB3BC8" w:rsidRPr="00EA1B98" w:rsidTr="005E52E0">
        <w:trPr>
          <w:trHeight w:val="315"/>
        </w:trPr>
        <w:tc>
          <w:tcPr>
            <w:tcW w:w="2547" w:type="dxa"/>
            <w:tcBorders>
              <w:lef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MOMPOX-GUAMAL</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1</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8,67</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20-sep-15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73%</w:t>
            </w:r>
          </w:p>
        </w:tc>
        <w:tc>
          <w:tcPr>
            <w:tcW w:w="1155" w:type="dxa"/>
            <w:tcBorders>
              <w:righ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24%</w:t>
            </w:r>
          </w:p>
        </w:tc>
      </w:tr>
      <w:tr w:rsidR="00EB3BC8" w:rsidRPr="00EA1B98" w:rsidTr="005E52E0">
        <w:trPr>
          <w:trHeight w:val="315"/>
        </w:trPr>
        <w:tc>
          <w:tcPr>
            <w:tcW w:w="2547" w:type="dxa"/>
            <w:tcBorders>
              <w:lef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lastRenderedPageBreak/>
              <w:t>GUAMAL-EL BANCO</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26</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20-sep-15</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83%</w:t>
            </w:r>
          </w:p>
        </w:tc>
        <w:tc>
          <w:tcPr>
            <w:tcW w:w="1155" w:type="dxa"/>
            <w:tcBorders>
              <w:righ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83%</w:t>
            </w:r>
          </w:p>
        </w:tc>
      </w:tr>
      <w:tr w:rsidR="00EB3BC8" w:rsidRPr="00EA1B98" w:rsidTr="005E52E0">
        <w:trPr>
          <w:trHeight w:val="495"/>
        </w:trPr>
        <w:tc>
          <w:tcPr>
            <w:tcW w:w="2547" w:type="dxa"/>
            <w:tcBorders>
              <w:left w:val="triple" w:sz="4" w:space="0" w:color="auto"/>
              <w:bottom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TAMALAMEQUE-EL BANCO</w:t>
            </w:r>
          </w:p>
        </w:tc>
        <w:tc>
          <w:tcPr>
            <w:tcW w:w="982" w:type="dxa"/>
            <w:tcBorders>
              <w:bottom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w:t>
            </w:r>
          </w:p>
        </w:tc>
        <w:tc>
          <w:tcPr>
            <w:tcW w:w="1131" w:type="dxa"/>
            <w:tcBorders>
              <w:bottom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28,47</w:t>
            </w:r>
          </w:p>
        </w:tc>
        <w:tc>
          <w:tcPr>
            <w:tcW w:w="1805" w:type="dxa"/>
            <w:tcBorders>
              <w:bottom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20-sep-15</w:t>
            </w:r>
          </w:p>
        </w:tc>
        <w:tc>
          <w:tcPr>
            <w:tcW w:w="1480" w:type="dxa"/>
            <w:tcBorders>
              <w:bottom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92%</w:t>
            </w:r>
          </w:p>
        </w:tc>
        <w:tc>
          <w:tcPr>
            <w:tcW w:w="1155" w:type="dxa"/>
            <w:tcBorders>
              <w:bottom w:val="triple" w:sz="4" w:space="0" w:color="auto"/>
              <w:right w:val="triple" w:sz="4" w:space="0" w:color="auto"/>
            </w:tcBorders>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91%</w:t>
            </w:r>
          </w:p>
        </w:tc>
      </w:tr>
      <w:tr w:rsidR="00EB3BC8" w:rsidRPr="00EA1B98" w:rsidTr="005E52E0">
        <w:trPr>
          <w:trHeight w:val="315"/>
        </w:trPr>
        <w:tc>
          <w:tcPr>
            <w:tcW w:w="2547"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SAN PABLO</w:t>
            </w:r>
          </w:p>
        </w:tc>
        <w:tc>
          <w:tcPr>
            <w:tcW w:w="982"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w:t>
            </w:r>
          </w:p>
        </w:tc>
        <w:tc>
          <w:tcPr>
            <w:tcW w:w="1131"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81,84</w:t>
            </w:r>
          </w:p>
        </w:tc>
        <w:tc>
          <w:tcPr>
            <w:tcW w:w="1805"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30-jul-17</w:t>
            </w:r>
          </w:p>
        </w:tc>
        <w:tc>
          <w:tcPr>
            <w:tcW w:w="1480"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0,00%</w:t>
            </w:r>
          </w:p>
        </w:tc>
        <w:tc>
          <w:tcPr>
            <w:tcW w:w="1155" w:type="dxa"/>
            <w:tcBorders>
              <w:top w:val="triple" w:sz="4" w:space="0" w:color="auto"/>
            </w:tcBorders>
            <w:shd w:val="clear" w:color="000000" w:fill="F2DCDB"/>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0,00%</w:t>
            </w:r>
          </w:p>
        </w:tc>
      </w:tr>
      <w:tr w:rsidR="00EB3BC8" w:rsidRPr="00EA1B98" w:rsidTr="005E52E0">
        <w:trPr>
          <w:trHeight w:val="31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YONDÓ-CANTAGALLO</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39,85</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30-jul-17</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0%</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0%</w:t>
            </w:r>
          </w:p>
        </w:tc>
      </w:tr>
      <w:tr w:rsidR="00EB3BC8" w:rsidRPr="00EA1B98" w:rsidTr="005E52E0">
        <w:trPr>
          <w:trHeight w:val="49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CANTAGALLO-SAN PABLO-SIMITÍ</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41,99</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30-jul-17</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0%</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0%</w:t>
            </w:r>
          </w:p>
        </w:tc>
      </w:tr>
      <w:tr w:rsidR="00EB3BC8" w:rsidRPr="00EA1B98" w:rsidTr="005E52E0">
        <w:trPr>
          <w:trHeight w:val="495"/>
        </w:trPr>
        <w:tc>
          <w:tcPr>
            <w:tcW w:w="2547"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TRANSVERSAL DE LAS AMÉRICAS</w:t>
            </w:r>
          </w:p>
        </w:tc>
        <w:tc>
          <w:tcPr>
            <w:tcW w:w="982"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83</w:t>
            </w:r>
          </w:p>
        </w:tc>
        <w:tc>
          <w:tcPr>
            <w:tcW w:w="1131"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641,83</w:t>
            </w:r>
          </w:p>
        </w:tc>
        <w:tc>
          <w:tcPr>
            <w:tcW w:w="180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30-jul-17</w:t>
            </w:r>
          </w:p>
        </w:tc>
        <w:tc>
          <w:tcPr>
            <w:tcW w:w="1480"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55,60%</w:t>
            </w:r>
          </w:p>
        </w:tc>
        <w:tc>
          <w:tcPr>
            <w:tcW w:w="1155" w:type="dxa"/>
            <w:shd w:val="clear" w:color="000000" w:fill="C5D9F1"/>
            <w:vAlign w:val="center"/>
            <w:hideMark/>
          </w:tcPr>
          <w:p w:rsidR="00EB3BC8" w:rsidRPr="00EA1B98" w:rsidRDefault="00EB3BC8" w:rsidP="005E52E0">
            <w:pPr>
              <w:spacing w:after="0" w:line="240" w:lineRule="auto"/>
              <w:jc w:val="center"/>
              <w:rPr>
                <w:rFonts w:eastAsia="Times New Roman" w:cstheme="minorHAnsi"/>
                <w:b/>
                <w:bCs/>
                <w:color w:val="000000"/>
                <w:sz w:val="20"/>
                <w:szCs w:val="20"/>
              </w:rPr>
            </w:pPr>
            <w:r w:rsidRPr="00EA1B98">
              <w:rPr>
                <w:rFonts w:eastAsia="Times New Roman" w:cstheme="minorHAnsi"/>
                <w:b/>
                <w:bCs/>
                <w:color w:val="000000"/>
                <w:sz w:val="20"/>
                <w:szCs w:val="20"/>
              </w:rPr>
              <w:t>55,70%</w:t>
            </w:r>
          </w:p>
        </w:tc>
      </w:tr>
    </w:tbl>
    <w:p w:rsidR="00EB3BC8" w:rsidRPr="00EA1B98" w:rsidRDefault="00EB3BC8" w:rsidP="00EB3BC8">
      <w:pPr>
        <w:spacing w:line="240" w:lineRule="auto"/>
        <w:jc w:val="both"/>
        <w:rPr>
          <w:rFonts w:eastAsiaTheme="minorHAnsi" w:cstheme="minorHAnsi"/>
          <w:sz w:val="20"/>
          <w:szCs w:val="20"/>
        </w:rPr>
      </w:pPr>
    </w:p>
    <w:p w:rsidR="00EB3BC8" w:rsidRPr="00EA1B98" w:rsidRDefault="00EB3BC8" w:rsidP="00EB3BC8">
      <w:pPr>
        <w:spacing w:line="240" w:lineRule="auto"/>
        <w:jc w:val="both"/>
        <w:rPr>
          <w:rFonts w:eastAsiaTheme="minorHAnsi" w:cstheme="minorHAnsi"/>
        </w:rPr>
      </w:pPr>
      <w:r w:rsidRPr="00EA1B98">
        <w:rPr>
          <w:rFonts w:eastAsiaTheme="minorHAnsi" w:cstheme="minorHAnsi"/>
        </w:rPr>
        <w:t xml:space="preserve">Se ha llamado la atención al Concesionario respecto a la terminación de los tramos que se deben entregar para el 20 de Septiembre sobretodo en la zona de Mompox, los cuales presenta un atraso con respecto al plan de obras. </w:t>
      </w:r>
    </w:p>
    <w:p w:rsidR="00EB3BC8" w:rsidRPr="00EA1B98" w:rsidRDefault="00EB3BC8" w:rsidP="00EB3BC8">
      <w:pPr>
        <w:spacing w:line="240" w:lineRule="auto"/>
        <w:jc w:val="both"/>
        <w:rPr>
          <w:rFonts w:eastAsiaTheme="minorHAnsi" w:cstheme="minorHAnsi"/>
          <w:u w:val="single"/>
        </w:rPr>
      </w:pPr>
      <w:r w:rsidRPr="00EA1B98">
        <w:rPr>
          <w:rFonts w:eastAsiaTheme="minorHAnsi" w:cstheme="minorHAnsi"/>
          <w:u w:val="single"/>
        </w:rPr>
        <w:t>Información Ambiental</w:t>
      </w:r>
    </w:p>
    <w:tbl>
      <w:tblPr>
        <w:tblW w:w="9087" w:type="dxa"/>
        <w:jc w:val="center"/>
        <w:tblCellMar>
          <w:left w:w="70" w:type="dxa"/>
          <w:right w:w="70" w:type="dxa"/>
        </w:tblCellMar>
        <w:tblLook w:val="04A0" w:firstRow="1" w:lastRow="0" w:firstColumn="1" w:lastColumn="0" w:noHBand="0" w:noVBand="1"/>
      </w:tblPr>
      <w:tblGrid>
        <w:gridCol w:w="2263"/>
        <w:gridCol w:w="1134"/>
        <w:gridCol w:w="5690"/>
      </w:tblGrid>
      <w:tr w:rsidR="00EB3BC8" w:rsidRPr="00EA1B98" w:rsidTr="005E52E0">
        <w:trPr>
          <w:trHeight w:val="300"/>
          <w:tblHeader/>
          <w:jc w:val="center"/>
        </w:trPr>
        <w:tc>
          <w:tcPr>
            <w:tcW w:w="9087" w:type="dxa"/>
            <w:gridSpan w:val="3"/>
            <w:tcBorders>
              <w:top w:val="single" w:sz="4" w:space="0" w:color="auto"/>
              <w:left w:val="single" w:sz="4" w:space="0" w:color="auto"/>
              <w:bottom w:val="single" w:sz="4" w:space="0" w:color="auto"/>
              <w:right w:val="single" w:sz="4" w:space="0" w:color="auto"/>
            </w:tcBorders>
            <w:shd w:val="clear" w:color="auto" w:fill="F2F2F2"/>
            <w:vAlign w:val="bottom"/>
            <w:hideMark/>
          </w:tcPr>
          <w:p w:rsidR="00EB3BC8" w:rsidRPr="00EA1B98" w:rsidRDefault="00EB3BC8" w:rsidP="005E52E0">
            <w:pPr>
              <w:spacing w:line="240" w:lineRule="auto"/>
              <w:jc w:val="center"/>
              <w:rPr>
                <w:rFonts w:eastAsiaTheme="minorHAnsi" w:cstheme="minorHAnsi"/>
                <w:b/>
                <w:bCs/>
                <w:sz w:val="20"/>
                <w:szCs w:val="20"/>
              </w:rPr>
            </w:pPr>
            <w:r w:rsidRPr="00EA1B98">
              <w:rPr>
                <w:rFonts w:eastAsiaTheme="minorHAnsi" w:cstheme="minorHAnsi"/>
                <w:b/>
                <w:bCs/>
                <w:sz w:val="20"/>
                <w:szCs w:val="20"/>
              </w:rPr>
              <w:t>GESTIÓN AMBIENTAL</w:t>
            </w:r>
          </w:p>
        </w:tc>
      </w:tr>
      <w:tr w:rsidR="00EB3BC8" w:rsidRPr="00EA1B98" w:rsidTr="005E52E0">
        <w:trPr>
          <w:trHeight w:val="300"/>
          <w:tblHeader/>
          <w:jc w:val="center"/>
        </w:trPr>
        <w:tc>
          <w:tcPr>
            <w:tcW w:w="2263" w:type="dxa"/>
            <w:tcBorders>
              <w:top w:val="nil"/>
              <w:left w:val="single" w:sz="4" w:space="0" w:color="auto"/>
              <w:bottom w:val="single" w:sz="4" w:space="0" w:color="auto"/>
              <w:right w:val="single" w:sz="4" w:space="0" w:color="auto"/>
            </w:tcBorders>
            <w:shd w:val="clear" w:color="auto" w:fill="F2F2F2"/>
            <w:vAlign w:val="center"/>
            <w:hideMark/>
          </w:tcPr>
          <w:p w:rsidR="00EB3BC8" w:rsidRPr="00EA1B98" w:rsidRDefault="00EB3BC8" w:rsidP="005E52E0">
            <w:pPr>
              <w:spacing w:line="240" w:lineRule="auto"/>
              <w:jc w:val="center"/>
              <w:rPr>
                <w:rFonts w:eastAsiaTheme="minorHAnsi" w:cstheme="minorHAnsi"/>
                <w:b/>
                <w:bCs/>
                <w:sz w:val="20"/>
                <w:szCs w:val="20"/>
              </w:rPr>
            </w:pPr>
            <w:r w:rsidRPr="00EA1B98">
              <w:rPr>
                <w:rFonts w:eastAsiaTheme="minorHAnsi" w:cstheme="minorHAnsi"/>
                <w:b/>
                <w:bCs/>
                <w:sz w:val="20"/>
                <w:szCs w:val="20"/>
              </w:rPr>
              <w:t>TRAMO/SUBTRAMO</w:t>
            </w:r>
          </w:p>
        </w:tc>
        <w:tc>
          <w:tcPr>
            <w:tcW w:w="1134" w:type="dxa"/>
            <w:tcBorders>
              <w:top w:val="nil"/>
              <w:left w:val="nil"/>
              <w:bottom w:val="single" w:sz="4" w:space="0" w:color="auto"/>
              <w:right w:val="single" w:sz="4" w:space="0" w:color="auto"/>
            </w:tcBorders>
            <w:shd w:val="clear" w:color="auto" w:fill="F2F2F2"/>
            <w:vAlign w:val="center"/>
            <w:hideMark/>
          </w:tcPr>
          <w:p w:rsidR="00EB3BC8" w:rsidRPr="00EA1B98" w:rsidRDefault="00EB3BC8" w:rsidP="005E52E0">
            <w:pPr>
              <w:spacing w:line="240" w:lineRule="auto"/>
              <w:jc w:val="center"/>
              <w:rPr>
                <w:rFonts w:eastAsiaTheme="minorHAnsi" w:cstheme="minorHAnsi"/>
                <w:b/>
                <w:bCs/>
                <w:sz w:val="20"/>
                <w:szCs w:val="20"/>
              </w:rPr>
            </w:pPr>
            <w:r w:rsidRPr="00EA1B98">
              <w:rPr>
                <w:rFonts w:eastAsiaTheme="minorHAnsi" w:cstheme="minorHAnsi"/>
                <w:b/>
                <w:bCs/>
                <w:sz w:val="20"/>
                <w:szCs w:val="20"/>
              </w:rPr>
              <w:t xml:space="preserve">ESTADO </w:t>
            </w:r>
          </w:p>
        </w:tc>
        <w:tc>
          <w:tcPr>
            <w:tcW w:w="5690" w:type="dxa"/>
            <w:tcBorders>
              <w:top w:val="nil"/>
              <w:left w:val="nil"/>
              <w:bottom w:val="single" w:sz="4" w:space="0" w:color="auto"/>
              <w:right w:val="single" w:sz="4" w:space="0" w:color="auto"/>
            </w:tcBorders>
            <w:shd w:val="clear" w:color="auto" w:fill="F2F2F2"/>
            <w:vAlign w:val="center"/>
            <w:hideMark/>
          </w:tcPr>
          <w:p w:rsidR="00EB3BC8" w:rsidRPr="00EA1B98" w:rsidRDefault="00EB3BC8" w:rsidP="005E52E0">
            <w:pPr>
              <w:spacing w:line="240" w:lineRule="auto"/>
              <w:jc w:val="center"/>
              <w:rPr>
                <w:rFonts w:eastAsiaTheme="minorHAnsi" w:cstheme="minorHAnsi"/>
                <w:b/>
                <w:bCs/>
                <w:sz w:val="20"/>
                <w:szCs w:val="20"/>
              </w:rPr>
            </w:pPr>
            <w:r w:rsidRPr="00EA1B98">
              <w:rPr>
                <w:rFonts w:eastAsiaTheme="minorHAnsi" w:cstheme="minorHAnsi"/>
                <w:b/>
                <w:bCs/>
                <w:sz w:val="20"/>
                <w:szCs w:val="20"/>
              </w:rPr>
              <w:t xml:space="preserve">OBSERVACIÓN </w:t>
            </w:r>
          </w:p>
        </w:tc>
      </w:tr>
      <w:tr w:rsidR="00EB3BC8" w:rsidRPr="00EA1B98" w:rsidTr="005E5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263" w:type="dxa"/>
            <w:shd w:val="clear" w:color="auto" w:fill="auto"/>
            <w:vAlign w:val="center"/>
            <w:hideMark/>
          </w:tcPr>
          <w:p w:rsidR="00EB3BC8" w:rsidRPr="00EA1B98" w:rsidRDefault="00EB3BC8" w:rsidP="005E52E0">
            <w:pPr>
              <w:spacing w:line="240" w:lineRule="auto"/>
              <w:rPr>
                <w:rFonts w:eastAsiaTheme="minorHAnsi" w:cstheme="minorHAnsi"/>
                <w:b/>
                <w:bCs/>
                <w:sz w:val="20"/>
                <w:szCs w:val="20"/>
              </w:rPr>
            </w:pPr>
            <w:r w:rsidRPr="00EA1B98">
              <w:rPr>
                <w:rFonts w:eastAsiaTheme="minorHAnsi" w:cstheme="minorHAnsi"/>
                <w:b/>
                <w:bCs/>
                <w:sz w:val="20"/>
                <w:szCs w:val="20"/>
              </w:rPr>
              <w:t>Yondó-Cantagallo-E.I.A.</w:t>
            </w:r>
          </w:p>
        </w:tc>
        <w:tc>
          <w:tcPr>
            <w:tcW w:w="1134" w:type="dxa"/>
            <w:shd w:val="clear" w:color="auto" w:fill="auto"/>
            <w:vAlign w:val="center"/>
            <w:hideMark/>
          </w:tcPr>
          <w:p w:rsidR="00EB3BC8" w:rsidRPr="00EA1B98" w:rsidRDefault="00EB3BC8" w:rsidP="005E52E0">
            <w:pPr>
              <w:spacing w:line="240" w:lineRule="auto"/>
              <w:jc w:val="center"/>
              <w:rPr>
                <w:rFonts w:eastAsiaTheme="minorHAnsi" w:cstheme="minorHAnsi"/>
                <w:sz w:val="20"/>
                <w:szCs w:val="20"/>
              </w:rPr>
            </w:pPr>
            <w:r w:rsidRPr="00EA1B98">
              <w:rPr>
                <w:rFonts w:eastAsiaTheme="minorHAnsi" w:cstheme="minorHAnsi"/>
                <w:sz w:val="20"/>
                <w:szCs w:val="20"/>
              </w:rPr>
              <w:t xml:space="preserve">TRÁMITE </w:t>
            </w:r>
          </w:p>
        </w:tc>
        <w:tc>
          <w:tcPr>
            <w:tcW w:w="5690" w:type="dxa"/>
            <w:shd w:val="clear" w:color="auto" w:fill="auto"/>
            <w:vAlign w:val="center"/>
            <w:hideMark/>
          </w:tcPr>
          <w:p w:rsidR="00EB3BC8" w:rsidRPr="00EA1B98" w:rsidRDefault="00EB3BC8" w:rsidP="005E52E0">
            <w:pPr>
              <w:spacing w:line="240" w:lineRule="auto"/>
              <w:jc w:val="both"/>
              <w:rPr>
                <w:rFonts w:eastAsiaTheme="minorHAnsi" w:cstheme="minorHAnsi"/>
                <w:sz w:val="20"/>
                <w:szCs w:val="20"/>
              </w:rPr>
            </w:pPr>
            <w:r w:rsidRPr="00EA1B98">
              <w:rPr>
                <w:rFonts w:eastAsiaTheme="minorHAnsi" w:cstheme="minorHAnsi"/>
                <w:sz w:val="20"/>
                <w:szCs w:val="20"/>
              </w:rPr>
              <w:t xml:space="preserve">CVA radica E.I.A. el 10 de marzo de 2015. ANLA emite </w:t>
            </w:r>
            <w:r w:rsidRPr="00EA1B98">
              <w:rPr>
                <w:rFonts w:eastAsiaTheme="minorHAnsi" w:cstheme="minorHAnsi"/>
                <w:color w:val="000000"/>
                <w:sz w:val="20"/>
                <w:szCs w:val="20"/>
              </w:rPr>
              <w:t>Auto de inicio No 965 el 13 de marzo de 2015 y realiza recorrido revisión EIA y sustracción de reserva forestal del 24-27 de marzo de 2015. Dir. Bosques solicita informe adicional el 11-mzo-15, CVA la radica el 24-abr-15.</w:t>
            </w:r>
          </w:p>
        </w:tc>
      </w:tr>
      <w:tr w:rsidR="00EB3BC8" w:rsidRPr="00EA1B98" w:rsidTr="005E5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0"/>
          <w:jc w:val="center"/>
        </w:trPr>
        <w:tc>
          <w:tcPr>
            <w:tcW w:w="2263" w:type="dxa"/>
            <w:shd w:val="clear" w:color="000000" w:fill="FFFFFF"/>
            <w:vAlign w:val="center"/>
            <w:hideMark/>
          </w:tcPr>
          <w:p w:rsidR="00EB3BC8" w:rsidRPr="00EA1B98" w:rsidRDefault="00EB3BC8" w:rsidP="005E52E0">
            <w:pPr>
              <w:spacing w:line="240" w:lineRule="auto"/>
              <w:rPr>
                <w:rFonts w:eastAsiaTheme="minorHAnsi" w:cstheme="minorHAnsi"/>
                <w:b/>
                <w:bCs/>
                <w:sz w:val="20"/>
                <w:szCs w:val="20"/>
              </w:rPr>
            </w:pPr>
            <w:r w:rsidRPr="00EA1B98">
              <w:rPr>
                <w:rFonts w:eastAsiaTheme="minorHAnsi" w:cstheme="minorHAnsi"/>
                <w:b/>
                <w:bCs/>
                <w:sz w:val="20"/>
                <w:szCs w:val="20"/>
              </w:rPr>
              <w:t>San Pablo-Simití-E.I.A.</w:t>
            </w:r>
          </w:p>
        </w:tc>
        <w:tc>
          <w:tcPr>
            <w:tcW w:w="1134" w:type="dxa"/>
            <w:shd w:val="clear" w:color="000000" w:fill="FFFFFF"/>
            <w:noWrap/>
            <w:vAlign w:val="center"/>
            <w:hideMark/>
          </w:tcPr>
          <w:p w:rsidR="00EB3BC8" w:rsidRPr="00EA1B98" w:rsidRDefault="00EB3BC8" w:rsidP="005E52E0">
            <w:pPr>
              <w:spacing w:line="240" w:lineRule="auto"/>
              <w:jc w:val="center"/>
              <w:rPr>
                <w:rFonts w:eastAsiaTheme="minorHAnsi" w:cstheme="minorHAnsi"/>
                <w:sz w:val="20"/>
                <w:szCs w:val="20"/>
              </w:rPr>
            </w:pPr>
            <w:r w:rsidRPr="00EA1B98">
              <w:rPr>
                <w:rFonts w:eastAsiaTheme="minorHAnsi" w:cstheme="minorHAnsi"/>
                <w:sz w:val="20"/>
                <w:szCs w:val="20"/>
              </w:rPr>
              <w:t xml:space="preserve">TRÁMITE </w:t>
            </w:r>
          </w:p>
        </w:tc>
        <w:tc>
          <w:tcPr>
            <w:tcW w:w="5690" w:type="dxa"/>
            <w:shd w:val="clear" w:color="000000" w:fill="FFFFFF"/>
            <w:vAlign w:val="center"/>
            <w:hideMark/>
          </w:tcPr>
          <w:p w:rsidR="00EB3BC8" w:rsidRPr="00EA1B98" w:rsidRDefault="00EB3BC8" w:rsidP="005E52E0">
            <w:pPr>
              <w:spacing w:line="240" w:lineRule="auto"/>
              <w:jc w:val="both"/>
              <w:rPr>
                <w:rFonts w:eastAsiaTheme="minorHAnsi" w:cstheme="minorHAnsi"/>
                <w:sz w:val="20"/>
                <w:szCs w:val="20"/>
              </w:rPr>
            </w:pPr>
            <w:r w:rsidRPr="00EA1B98">
              <w:rPr>
                <w:rFonts w:eastAsiaTheme="minorHAnsi" w:cstheme="minorHAnsi"/>
                <w:sz w:val="20"/>
                <w:szCs w:val="20"/>
              </w:rPr>
              <w:t>ANLA solicita información complementaria al EIA el 18-feb-15 (Auto 0584) y CVA la radica el 30-abr-15.</w:t>
            </w:r>
          </w:p>
        </w:tc>
      </w:tr>
      <w:tr w:rsidR="00EB3BC8" w:rsidRPr="00EA1B98" w:rsidTr="005E5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jc w:val="center"/>
        </w:trPr>
        <w:tc>
          <w:tcPr>
            <w:tcW w:w="2263" w:type="dxa"/>
            <w:shd w:val="clear" w:color="000000" w:fill="FFFFFF"/>
            <w:vAlign w:val="center"/>
            <w:hideMark/>
          </w:tcPr>
          <w:p w:rsidR="00EB3BC8" w:rsidRPr="00EA1B98" w:rsidRDefault="00EB3BC8" w:rsidP="005E52E0">
            <w:pPr>
              <w:spacing w:line="240" w:lineRule="auto"/>
              <w:rPr>
                <w:rFonts w:eastAsiaTheme="minorHAnsi" w:cstheme="minorHAnsi"/>
                <w:b/>
                <w:bCs/>
                <w:sz w:val="20"/>
                <w:szCs w:val="20"/>
              </w:rPr>
            </w:pPr>
            <w:r w:rsidRPr="00EA1B98">
              <w:rPr>
                <w:rFonts w:eastAsiaTheme="minorHAnsi" w:cstheme="minorHAnsi"/>
                <w:b/>
                <w:bCs/>
                <w:sz w:val="20"/>
                <w:szCs w:val="20"/>
              </w:rPr>
              <w:t>Cantagallo-San Pablo-E.I.A.</w:t>
            </w:r>
          </w:p>
        </w:tc>
        <w:tc>
          <w:tcPr>
            <w:tcW w:w="1134" w:type="dxa"/>
            <w:shd w:val="clear" w:color="000000" w:fill="FFFFFF"/>
            <w:noWrap/>
            <w:vAlign w:val="center"/>
            <w:hideMark/>
          </w:tcPr>
          <w:p w:rsidR="00EB3BC8" w:rsidRPr="00EA1B98" w:rsidRDefault="00EB3BC8" w:rsidP="005E52E0">
            <w:pPr>
              <w:spacing w:line="240" w:lineRule="auto"/>
              <w:jc w:val="center"/>
              <w:rPr>
                <w:rFonts w:eastAsiaTheme="minorHAnsi" w:cstheme="minorHAnsi"/>
                <w:sz w:val="20"/>
                <w:szCs w:val="20"/>
              </w:rPr>
            </w:pPr>
            <w:r w:rsidRPr="00EA1B98">
              <w:rPr>
                <w:rFonts w:eastAsiaTheme="minorHAnsi" w:cstheme="minorHAnsi"/>
                <w:sz w:val="20"/>
                <w:szCs w:val="20"/>
              </w:rPr>
              <w:t xml:space="preserve">TRÁMITE </w:t>
            </w:r>
          </w:p>
        </w:tc>
        <w:tc>
          <w:tcPr>
            <w:tcW w:w="5690" w:type="dxa"/>
            <w:shd w:val="clear" w:color="000000" w:fill="FFFFFF"/>
            <w:vAlign w:val="center"/>
            <w:hideMark/>
          </w:tcPr>
          <w:p w:rsidR="00EB3BC8" w:rsidRPr="00EA1B98" w:rsidRDefault="00EB3BC8" w:rsidP="005E52E0">
            <w:pPr>
              <w:spacing w:line="240" w:lineRule="auto"/>
              <w:jc w:val="both"/>
              <w:rPr>
                <w:rFonts w:eastAsiaTheme="minorHAnsi" w:cstheme="minorHAnsi"/>
                <w:sz w:val="20"/>
                <w:szCs w:val="20"/>
              </w:rPr>
            </w:pPr>
            <w:r w:rsidRPr="00EA1B98">
              <w:rPr>
                <w:rFonts w:eastAsiaTheme="minorHAnsi" w:cstheme="minorHAnsi"/>
                <w:sz w:val="20"/>
                <w:szCs w:val="20"/>
              </w:rPr>
              <w:t>ANLA solicita información adicional el 2 de febrero de 2015. CVA interpone recurso de reposición el 19-feb-15. CVA entrega información 5-May-15.</w:t>
            </w:r>
          </w:p>
        </w:tc>
      </w:tr>
      <w:tr w:rsidR="00EB3BC8" w:rsidRPr="00EA1B98" w:rsidTr="005E5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jc w:val="center"/>
        </w:trPr>
        <w:tc>
          <w:tcPr>
            <w:tcW w:w="2263" w:type="dxa"/>
            <w:shd w:val="clear" w:color="000000" w:fill="FFFFFF"/>
            <w:vAlign w:val="center"/>
            <w:hideMark/>
          </w:tcPr>
          <w:p w:rsidR="00EB3BC8" w:rsidRPr="00EA1B98" w:rsidRDefault="00EB3BC8" w:rsidP="005E52E0">
            <w:pPr>
              <w:spacing w:line="240" w:lineRule="auto"/>
              <w:rPr>
                <w:rFonts w:eastAsiaTheme="minorHAnsi" w:cstheme="minorHAnsi"/>
                <w:b/>
                <w:bCs/>
                <w:sz w:val="20"/>
                <w:szCs w:val="20"/>
              </w:rPr>
            </w:pPr>
            <w:r w:rsidRPr="00EA1B98">
              <w:rPr>
                <w:rFonts w:eastAsiaTheme="minorHAnsi" w:cstheme="minorHAnsi"/>
                <w:b/>
                <w:bCs/>
                <w:sz w:val="20"/>
                <w:szCs w:val="20"/>
              </w:rPr>
              <w:t>Puente Cimitarra-E.I.A.</w:t>
            </w:r>
          </w:p>
        </w:tc>
        <w:tc>
          <w:tcPr>
            <w:tcW w:w="1134" w:type="dxa"/>
            <w:shd w:val="clear" w:color="000000" w:fill="FFFFFF"/>
            <w:noWrap/>
            <w:vAlign w:val="center"/>
            <w:hideMark/>
          </w:tcPr>
          <w:p w:rsidR="00EB3BC8" w:rsidRPr="00EA1B98" w:rsidRDefault="00EB3BC8" w:rsidP="005E52E0">
            <w:pPr>
              <w:spacing w:line="240" w:lineRule="auto"/>
              <w:jc w:val="center"/>
              <w:rPr>
                <w:rFonts w:eastAsiaTheme="minorHAnsi" w:cstheme="minorHAnsi"/>
                <w:sz w:val="20"/>
                <w:szCs w:val="20"/>
              </w:rPr>
            </w:pPr>
            <w:r w:rsidRPr="00EA1B98">
              <w:rPr>
                <w:rFonts w:eastAsiaTheme="minorHAnsi" w:cstheme="minorHAnsi"/>
                <w:sz w:val="20"/>
                <w:szCs w:val="20"/>
              </w:rPr>
              <w:t xml:space="preserve">TRÁMITE </w:t>
            </w:r>
          </w:p>
        </w:tc>
        <w:tc>
          <w:tcPr>
            <w:tcW w:w="5690" w:type="dxa"/>
            <w:shd w:val="clear" w:color="000000" w:fill="FFFFFF"/>
            <w:vAlign w:val="center"/>
            <w:hideMark/>
          </w:tcPr>
          <w:p w:rsidR="00EB3BC8" w:rsidRPr="00EA1B98" w:rsidRDefault="00EB3BC8" w:rsidP="005E52E0">
            <w:pPr>
              <w:spacing w:line="240" w:lineRule="auto"/>
              <w:jc w:val="both"/>
              <w:rPr>
                <w:rFonts w:eastAsiaTheme="minorHAnsi" w:cstheme="minorHAnsi"/>
                <w:sz w:val="20"/>
                <w:szCs w:val="20"/>
              </w:rPr>
            </w:pPr>
            <w:r w:rsidRPr="00EA1B98">
              <w:rPr>
                <w:rFonts w:eastAsiaTheme="minorHAnsi" w:cstheme="minorHAnsi"/>
                <w:color w:val="000000"/>
                <w:sz w:val="20"/>
                <w:szCs w:val="20"/>
              </w:rPr>
              <w:t>CVA realizará nueva solicitud de trámite el 25-abr-15. Fecha radicación del nuevo EIA  01 - Julio de 2015.</w:t>
            </w:r>
          </w:p>
        </w:tc>
      </w:tr>
      <w:tr w:rsidR="00EB3BC8" w:rsidRPr="00EA1B98" w:rsidTr="005E52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263" w:type="dxa"/>
            <w:shd w:val="clear" w:color="000000" w:fill="FFFFFF"/>
            <w:vAlign w:val="center"/>
            <w:hideMark/>
          </w:tcPr>
          <w:p w:rsidR="00EB3BC8" w:rsidRPr="00EA1B98" w:rsidRDefault="00EB3BC8" w:rsidP="005E52E0">
            <w:pPr>
              <w:spacing w:line="240" w:lineRule="auto"/>
              <w:rPr>
                <w:rFonts w:eastAsiaTheme="minorHAnsi" w:cstheme="minorHAnsi"/>
                <w:b/>
                <w:bCs/>
                <w:sz w:val="20"/>
                <w:szCs w:val="20"/>
              </w:rPr>
            </w:pPr>
            <w:r w:rsidRPr="00EA1B98">
              <w:rPr>
                <w:rFonts w:eastAsiaTheme="minorHAnsi" w:cstheme="minorHAnsi"/>
                <w:b/>
                <w:bCs/>
                <w:sz w:val="20"/>
                <w:szCs w:val="20"/>
              </w:rPr>
              <w:t>Santa Lucía-San Pelayo-E.I.A.</w:t>
            </w:r>
          </w:p>
        </w:tc>
        <w:tc>
          <w:tcPr>
            <w:tcW w:w="1134" w:type="dxa"/>
            <w:shd w:val="clear" w:color="000000" w:fill="FFFFFF"/>
            <w:noWrap/>
            <w:vAlign w:val="center"/>
            <w:hideMark/>
          </w:tcPr>
          <w:p w:rsidR="00EB3BC8" w:rsidRPr="00EA1B98" w:rsidRDefault="00EB3BC8" w:rsidP="005E52E0">
            <w:pPr>
              <w:spacing w:line="240" w:lineRule="auto"/>
              <w:jc w:val="center"/>
              <w:rPr>
                <w:rFonts w:eastAsiaTheme="minorHAnsi" w:cstheme="minorHAnsi"/>
                <w:b/>
                <w:bCs/>
                <w:sz w:val="20"/>
                <w:szCs w:val="20"/>
              </w:rPr>
            </w:pPr>
            <w:r w:rsidRPr="00EA1B98">
              <w:rPr>
                <w:rFonts w:eastAsiaTheme="minorHAnsi" w:cstheme="minorHAnsi"/>
                <w:b/>
                <w:bCs/>
                <w:sz w:val="20"/>
                <w:szCs w:val="20"/>
              </w:rPr>
              <w:t>OTORGADA</w:t>
            </w:r>
          </w:p>
        </w:tc>
        <w:tc>
          <w:tcPr>
            <w:tcW w:w="5690" w:type="dxa"/>
            <w:shd w:val="clear" w:color="000000" w:fill="FFFFFF"/>
            <w:vAlign w:val="center"/>
            <w:hideMark/>
          </w:tcPr>
          <w:p w:rsidR="00EB3BC8" w:rsidRPr="00EA1B98" w:rsidRDefault="00EB3BC8" w:rsidP="005E52E0">
            <w:pPr>
              <w:spacing w:line="240" w:lineRule="auto"/>
              <w:jc w:val="both"/>
              <w:rPr>
                <w:rFonts w:eastAsiaTheme="minorHAnsi" w:cstheme="minorHAnsi"/>
                <w:sz w:val="20"/>
                <w:szCs w:val="20"/>
              </w:rPr>
            </w:pPr>
            <w:r w:rsidRPr="00EA1B98">
              <w:rPr>
                <w:rFonts w:eastAsiaTheme="minorHAnsi" w:cstheme="minorHAnsi"/>
                <w:sz w:val="20"/>
                <w:szCs w:val="20"/>
              </w:rPr>
              <w:t>Resolución 1409 del 24 noviembre de 2014 ANLA otorga Licencia Ambiental.</w:t>
            </w:r>
          </w:p>
          <w:p w:rsidR="00EB3BC8" w:rsidRPr="00EA1B98" w:rsidRDefault="00EB3BC8" w:rsidP="005E52E0">
            <w:pPr>
              <w:spacing w:line="240" w:lineRule="auto"/>
              <w:jc w:val="both"/>
              <w:rPr>
                <w:rFonts w:eastAsiaTheme="minorHAnsi" w:cstheme="minorHAnsi"/>
                <w:sz w:val="20"/>
                <w:szCs w:val="20"/>
              </w:rPr>
            </w:pPr>
            <w:r w:rsidRPr="00EA1B98">
              <w:rPr>
                <w:rFonts w:eastAsiaTheme="minorHAnsi" w:cstheme="minorHAnsi"/>
                <w:sz w:val="20"/>
                <w:szCs w:val="20"/>
              </w:rPr>
              <w:t>El CVA 13-Mar-2015 informa al ANLA sobre instalación de un campamento temporal o transitorio, que corresponde a un cambio de giro menor o dentro de ajuste normal  dentro del giro ordinario de la actividad licenciada.</w:t>
            </w:r>
          </w:p>
          <w:p w:rsidR="00EB3BC8" w:rsidRPr="00EA1B98" w:rsidRDefault="00EB3BC8" w:rsidP="005E52E0">
            <w:pPr>
              <w:spacing w:line="240" w:lineRule="auto"/>
              <w:jc w:val="both"/>
              <w:rPr>
                <w:rFonts w:eastAsiaTheme="minorHAnsi" w:cstheme="minorHAnsi"/>
                <w:sz w:val="20"/>
                <w:szCs w:val="20"/>
              </w:rPr>
            </w:pPr>
            <w:r w:rsidRPr="00EA1B98">
              <w:rPr>
                <w:rFonts w:eastAsiaTheme="minorHAnsi" w:cstheme="minorHAnsi"/>
                <w:sz w:val="20"/>
                <w:szCs w:val="20"/>
              </w:rPr>
              <w:t>El 05-May-2015 el CVA adjunta información complementaria al ANLA sobre la instalación del campamento temporal o transitorio.</w:t>
            </w:r>
          </w:p>
          <w:p w:rsidR="00EB3BC8" w:rsidRPr="00EA1B98" w:rsidRDefault="00EB3BC8" w:rsidP="005E52E0">
            <w:pPr>
              <w:spacing w:line="240" w:lineRule="auto"/>
              <w:jc w:val="both"/>
              <w:rPr>
                <w:rFonts w:eastAsiaTheme="minorHAnsi" w:cstheme="minorHAnsi"/>
                <w:sz w:val="20"/>
                <w:szCs w:val="20"/>
              </w:rPr>
            </w:pPr>
            <w:r w:rsidRPr="00EA1B98">
              <w:rPr>
                <w:rFonts w:eastAsiaTheme="minorHAnsi" w:cstheme="minorHAnsi"/>
                <w:sz w:val="20"/>
                <w:szCs w:val="20"/>
              </w:rPr>
              <w:lastRenderedPageBreak/>
              <w:t>El CVA con radicado No. 20155019153-2-001 del 04-Jun-15 presenta respuesta al ANLA sobre la NO necesidad de construcción de carriles de aceleración y desaceleración, solicitado por el ANLA con el N° 20155019153-2-001.</w:t>
            </w:r>
          </w:p>
        </w:tc>
      </w:tr>
    </w:tbl>
    <w:p w:rsidR="00EB3BC8" w:rsidRPr="00EA1B98" w:rsidRDefault="00EB3BC8" w:rsidP="00EB3BC8">
      <w:pPr>
        <w:spacing w:line="240" w:lineRule="auto"/>
        <w:jc w:val="both"/>
        <w:rPr>
          <w:rFonts w:eastAsiaTheme="minorHAnsi" w:cstheme="minorHAnsi"/>
          <w:sz w:val="20"/>
          <w:szCs w:val="20"/>
          <w:lang w:val="es-ES_tradnl"/>
        </w:rPr>
      </w:pPr>
    </w:p>
    <w:p w:rsidR="00EB3BC8" w:rsidRPr="00EA1B98" w:rsidRDefault="00EB3BC8" w:rsidP="00EB3BC8">
      <w:pPr>
        <w:spacing w:line="240" w:lineRule="auto"/>
        <w:jc w:val="both"/>
        <w:rPr>
          <w:rFonts w:eastAsiaTheme="minorHAnsi" w:cstheme="minorHAnsi"/>
          <w:lang w:val="es-ES_tradnl"/>
        </w:rPr>
      </w:pPr>
      <w:r w:rsidRPr="00EA1B98">
        <w:rPr>
          <w:rFonts w:eastAsiaTheme="minorHAnsi" w:cstheme="minorHAnsi"/>
          <w:lang w:val="es-ES_tradnl"/>
        </w:rPr>
        <w:t>Respecto a los trámites ambientales, se requiere agilizar el proceso de aprobación por parte de la ANLA de los Estudios de Impacto Ambiental de los tramos Yondó-Cantagallo y Variantes pasos urbanos presentado por el Concesionario, lo cual permitiría el inicio pronto de las correspondientes obras.</w:t>
      </w:r>
    </w:p>
    <w:p w:rsidR="00EB3BC8" w:rsidRPr="00EA1B98" w:rsidRDefault="00EB3BC8" w:rsidP="00EB3BC8">
      <w:pPr>
        <w:spacing w:after="0" w:line="240" w:lineRule="auto"/>
        <w:jc w:val="both"/>
        <w:rPr>
          <w:rFonts w:eastAsiaTheme="minorHAnsi" w:cstheme="minorHAnsi"/>
          <w:lang w:val="es-ES_tradnl"/>
        </w:rPr>
      </w:pPr>
      <w:r w:rsidRPr="00EA1B98">
        <w:rPr>
          <w:rFonts w:eastAsiaTheme="minorHAnsi" w:cstheme="minorHAnsi"/>
          <w:lang w:val="es-ES_tradnl"/>
        </w:rPr>
        <w:t>A su vez el Concesionario debe agilizar la presentación de los Estudios de Impacto Ambiental requeridos por la autoridad ambiental, para el Nuevo EIA Puente Cimitarra, que por su complejidad en la ejecución deben acelerarse.</w:t>
      </w:r>
    </w:p>
    <w:p w:rsidR="00EB3BC8" w:rsidRPr="00EA1B98" w:rsidRDefault="00EB3BC8" w:rsidP="00EB3BC8">
      <w:pPr>
        <w:spacing w:after="0" w:line="240" w:lineRule="auto"/>
        <w:jc w:val="both"/>
        <w:rPr>
          <w:rFonts w:eastAsiaTheme="minorHAnsi" w:cstheme="minorHAnsi"/>
          <w:lang w:val="es-ES_tradnl"/>
        </w:rPr>
      </w:pPr>
    </w:p>
    <w:p w:rsidR="00EB3BC8" w:rsidRPr="00EA1B98" w:rsidRDefault="00EB3BC8" w:rsidP="00EB3BC8">
      <w:pPr>
        <w:spacing w:line="240" w:lineRule="auto"/>
        <w:jc w:val="both"/>
        <w:rPr>
          <w:rFonts w:eastAsiaTheme="minorHAnsi" w:cstheme="minorHAnsi"/>
          <w:lang w:val="es-ES_tradnl"/>
        </w:rPr>
      </w:pPr>
      <w:r w:rsidRPr="00EA1B98">
        <w:rPr>
          <w:rFonts w:eastAsiaTheme="minorHAnsi" w:cstheme="minorHAnsi"/>
          <w:lang w:val="es-ES_tradnl"/>
        </w:rPr>
        <w:t>Así mismo, se debe dar celeridad a la entrega de la información adicional requerida y garantizar la calidad de la misma a la Autoridad Ambiental para continuar el trámite de licenciamiento a seguir en el tramo Cantagallo - San Pablo y los Pasos Urbanos “Turbo – El Tigre”</w:t>
      </w:r>
    </w:p>
    <w:p w:rsidR="00EB3BC8" w:rsidRPr="005133E0" w:rsidRDefault="00EB3BC8" w:rsidP="00EB3BC8">
      <w:pPr>
        <w:spacing w:line="240" w:lineRule="auto"/>
        <w:rPr>
          <w:rFonts w:ascii="Arial" w:eastAsiaTheme="minorHAnsi" w:hAnsi="Arial" w:cs="Arial"/>
          <w:u w:val="single"/>
        </w:rPr>
      </w:pPr>
      <w:r w:rsidRPr="005133E0">
        <w:rPr>
          <w:rFonts w:ascii="Arial" w:eastAsiaTheme="minorHAnsi" w:hAnsi="Arial" w:cs="Arial"/>
          <w:u w:val="single"/>
        </w:rPr>
        <w:t xml:space="preserve">Información Predial </w:t>
      </w:r>
    </w:p>
    <w:p w:rsidR="00EB3BC8" w:rsidRPr="005133E0" w:rsidRDefault="00EB3BC8" w:rsidP="00EB3BC8">
      <w:pPr>
        <w:spacing w:line="240" w:lineRule="auto"/>
        <w:jc w:val="center"/>
        <w:rPr>
          <w:rFonts w:eastAsiaTheme="minorHAnsi"/>
          <w:sz w:val="20"/>
          <w:szCs w:val="20"/>
          <w:u w:val="single"/>
        </w:rPr>
      </w:pPr>
      <w:r w:rsidRPr="005133E0">
        <w:rPr>
          <w:rFonts w:eastAsiaTheme="minorHAnsi" w:cs="Arial"/>
          <w:noProof/>
          <w:sz w:val="20"/>
          <w:szCs w:val="20"/>
          <w:u w:val="single"/>
        </w:rPr>
        <w:drawing>
          <wp:inline distT="0" distB="0" distL="0" distR="0" wp14:anchorId="79963C54" wp14:editId="13956DF6">
            <wp:extent cx="3845858" cy="2089763"/>
            <wp:effectExtent l="0" t="0" r="254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873670" cy="2104875"/>
                    </a:xfrm>
                    <a:prstGeom prst="rect">
                      <a:avLst/>
                    </a:prstGeom>
                    <a:noFill/>
                  </pic:spPr>
                </pic:pic>
              </a:graphicData>
            </a:graphic>
          </wp:inline>
        </w:drawing>
      </w:r>
    </w:p>
    <w:p w:rsidR="00EB3BC8" w:rsidRPr="00EA1B98" w:rsidRDefault="00EB3BC8" w:rsidP="00EB3BC8">
      <w:pPr>
        <w:spacing w:line="240" w:lineRule="auto"/>
        <w:jc w:val="both"/>
        <w:rPr>
          <w:rFonts w:eastAsiaTheme="minorHAnsi" w:cstheme="minorHAnsi"/>
        </w:rPr>
      </w:pPr>
      <w:r w:rsidRPr="00EA1B98">
        <w:rPr>
          <w:rFonts w:eastAsiaTheme="minorHAnsi" w:cstheme="minorHAnsi"/>
        </w:rPr>
        <w:t>El reporte de Interventoría concluye que el atraso en la gestión predial en gran parte es por la falta de avalúos para poder ofertar y escriturar predios a nombre de la ANI y adiciona que: “debido a la baja gestión predial, especialmente en elaboración de avalúos, los diferentes tramos en ejecución presentan interferencias prediales que atrasan el avance en ejecución de obra, lo que representa un riesgo para el cumplimiento en la entrega de los Hitos programados para el mes de Septiembre de 2015”</w:t>
      </w:r>
    </w:p>
    <w:p w:rsidR="00EB3BC8" w:rsidRPr="00EA1B98" w:rsidRDefault="00EB3BC8" w:rsidP="000021B2">
      <w:pPr>
        <w:numPr>
          <w:ilvl w:val="0"/>
          <w:numId w:val="64"/>
        </w:numPr>
        <w:spacing w:after="160" w:line="240" w:lineRule="auto"/>
        <w:contextualSpacing/>
        <w:jc w:val="both"/>
        <w:rPr>
          <w:rFonts w:eastAsiaTheme="minorHAnsi" w:cstheme="minorHAnsi"/>
        </w:rPr>
      </w:pPr>
      <w:r w:rsidRPr="00EA1B98">
        <w:rPr>
          <w:rFonts w:eastAsiaTheme="minorHAnsi" w:cstheme="minorHAnsi"/>
        </w:rPr>
        <w:t>Ajuste de metas</w:t>
      </w:r>
    </w:p>
    <w:p w:rsidR="00EB3BC8" w:rsidRPr="00EA1B98" w:rsidRDefault="00EB3BC8" w:rsidP="00EB3BC8">
      <w:pPr>
        <w:spacing w:line="240" w:lineRule="auto"/>
        <w:jc w:val="both"/>
        <w:rPr>
          <w:rFonts w:eastAsiaTheme="minorHAnsi" w:cstheme="minorHAnsi"/>
        </w:rPr>
      </w:pPr>
      <w:r w:rsidRPr="00EA1B98">
        <w:rPr>
          <w:rFonts w:eastAsiaTheme="minorHAnsi" w:cstheme="minorHAnsi"/>
        </w:rPr>
        <w:t xml:space="preserve">El Concesionario reportó que debido a la entrega de los diseños para el tramo Turbo – El Tigre, la longitud por diseño para la doble calzada de éste tramo se modifica de 14.70 Km a 12.0 Km. </w:t>
      </w:r>
    </w:p>
    <w:p w:rsidR="00EB3BC8" w:rsidRPr="00EA1B98" w:rsidRDefault="00EB3BC8" w:rsidP="00EB3BC8">
      <w:pPr>
        <w:spacing w:line="240" w:lineRule="auto"/>
        <w:rPr>
          <w:rFonts w:eastAsiaTheme="minorHAnsi" w:cstheme="minorHAnsi"/>
          <w:sz w:val="20"/>
          <w:szCs w:val="20"/>
        </w:rPr>
      </w:pPr>
    </w:p>
    <w:p w:rsidR="00EB3BC8" w:rsidRPr="00EA1B98" w:rsidRDefault="00EB3BC8" w:rsidP="00EB3BC8">
      <w:pPr>
        <w:spacing w:line="240" w:lineRule="auto"/>
        <w:jc w:val="center"/>
        <w:rPr>
          <w:rFonts w:eastAsiaTheme="minorHAnsi" w:cstheme="minorHAnsi"/>
          <w:sz w:val="20"/>
          <w:szCs w:val="20"/>
        </w:rPr>
      </w:pPr>
      <w:r w:rsidRPr="00EA1B98">
        <w:rPr>
          <w:rFonts w:cstheme="minorHAnsi"/>
          <w:noProof/>
        </w:rPr>
        <w:lastRenderedPageBreak/>
        <w:drawing>
          <wp:inline distT="0" distB="0" distL="0" distR="0" wp14:anchorId="66A82B31" wp14:editId="5C8DD2D0">
            <wp:extent cx="2372497" cy="1934389"/>
            <wp:effectExtent l="0" t="0" r="8890" b="8890"/>
            <wp:docPr id="61" name="Imagen 61" descr="C:\Users\mcamargo\AppData\Local\Temp\Rar$DIa0.434\INF_38 MAY-15_Foto Carátula_Carpeta asfaltica K66-K67+000 SANA-G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amargo\AppData\Local\Temp\Rar$DIa0.434\INF_38 MAY-15_Foto Carátula_Carpeta asfaltica K66-K67+000 SANA-GLO.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383424" cy="1943298"/>
                    </a:xfrm>
                    <a:prstGeom prst="rect">
                      <a:avLst/>
                    </a:prstGeom>
                    <a:noFill/>
                    <a:ln>
                      <a:noFill/>
                    </a:ln>
                  </pic:spPr>
                </pic:pic>
              </a:graphicData>
            </a:graphic>
          </wp:inline>
        </w:drawing>
      </w:r>
      <w:r w:rsidRPr="00EA1B98">
        <w:rPr>
          <w:rFonts w:cstheme="minorHAnsi"/>
          <w:noProof/>
        </w:rPr>
        <w:t xml:space="preserve">         </w:t>
      </w:r>
      <w:r w:rsidRPr="00EA1B98">
        <w:rPr>
          <w:rFonts w:cstheme="minorHAnsi"/>
          <w:noProof/>
        </w:rPr>
        <w:drawing>
          <wp:inline distT="0" distB="0" distL="0" distR="0" wp14:anchorId="47DD5180" wp14:editId="108C7079">
            <wp:extent cx="2594919" cy="1941835"/>
            <wp:effectExtent l="0" t="0" r="0" b="1270"/>
            <wp:docPr id="92" name="Imagen 92" descr="C:\Users\mcamargo\AppData\Local\Temp\Rar$DIa0.085\INF_39 JUN-15_Foto Carátula_Puente TAL-SANA_Aguas Aba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amargo\AppData\Local\Temp\Rar$DIa0.085\INF_39 JUN-15_Foto Carátula_Puente TAL-SANA_Aguas Abajo.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06404" cy="1950430"/>
                    </a:xfrm>
                    <a:prstGeom prst="rect">
                      <a:avLst/>
                    </a:prstGeom>
                    <a:noFill/>
                    <a:ln>
                      <a:noFill/>
                    </a:ln>
                  </pic:spPr>
                </pic:pic>
              </a:graphicData>
            </a:graphic>
          </wp:inline>
        </w:drawing>
      </w:r>
    </w:p>
    <w:p w:rsidR="00EB3BC8" w:rsidRPr="00EA1B98" w:rsidRDefault="00EB3BC8" w:rsidP="00EB3BC8">
      <w:pPr>
        <w:spacing w:after="0" w:line="240" w:lineRule="auto"/>
        <w:rPr>
          <w:rFonts w:cstheme="minorHAnsi"/>
          <w:sz w:val="18"/>
          <w:szCs w:val="18"/>
        </w:rPr>
      </w:pPr>
      <w:r w:rsidRPr="00EA1B98">
        <w:rPr>
          <w:rFonts w:cstheme="minorHAnsi"/>
          <w:sz w:val="18"/>
          <w:szCs w:val="18"/>
        </w:rPr>
        <w:t xml:space="preserve">                K66+000 – K67+000 Santa Ana –              </w:t>
      </w:r>
      <w:r w:rsidRPr="00EA1B98">
        <w:rPr>
          <w:rFonts w:cstheme="minorHAnsi"/>
          <w:sz w:val="18"/>
          <w:szCs w:val="18"/>
        </w:rPr>
        <w:tab/>
      </w:r>
      <w:r w:rsidRPr="00EA1B98">
        <w:rPr>
          <w:rFonts w:cstheme="minorHAnsi"/>
          <w:sz w:val="18"/>
          <w:szCs w:val="18"/>
        </w:rPr>
        <w:tab/>
        <w:t xml:space="preserve">           Puente Talaigua Nuevo – </w:t>
      </w:r>
    </w:p>
    <w:p w:rsidR="00EB3BC8" w:rsidRPr="00EA1B98" w:rsidRDefault="00EB3BC8" w:rsidP="00EB3BC8">
      <w:pPr>
        <w:spacing w:after="0" w:line="240" w:lineRule="auto"/>
        <w:rPr>
          <w:rFonts w:cstheme="minorHAnsi"/>
          <w:sz w:val="18"/>
          <w:szCs w:val="18"/>
        </w:rPr>
      </w:pPr>
      <w:r w:rsidRPr="00EA1B98">
        <w:rPr>
          <w:rFonts w:cstheme="minorHAnsi"/>
          <w:sz w:val="18"/>
          <w:szCs w:val="18"/>
        </w:rPr>
        <w:t xml:space="preserve">            La Gloria, instalación carpeta asfáltica       </w:t>
      </w:r>
      <w:r w:rsidRPr="00EA1B98">
        <w:rPr>
          <w:rFonts w:cstheme="minorHAnsi"/>
          <w:sz w:val="18"/>
          <w:szCs w:val="18"/>
        </w:rPr>
        <w:tab/>
      </w:r>
      <w:r w:rsidRPr="00EA1B98">
        <w:rPr>
          <w:rFonts w:cstheme="minorHAnsi"/>
          <w:sz w:val="18"/>
          <w:szCs w:val="18"/>
        </w:rPr>
        <w:tab/>
        <w:t xml:space="preserve">        Santa Ana, Vista aguas abajo</w:t>
      </w:r>
    </w:p>
    <w:p w:rsidR="00EB3BC8" w:rsidRPr="00EA1B98" w:rsidRDefault="00EB3BC8" w:rsidP="00EB3BC8">
      <w:pPr>
        <w:spacing w:line="240" w:lineRule="auto"/>
        <w:jc w:val="both"/>
        <w:rPr>
          <w:rFonts w:eastAsia="Calibri" w:cstheme="minorHAnsi"/>
        </w:rPr>
      </w:pPr>
    </w:p>
    <w:p w:rsidR="00EB3BC8" w:rsidRPr="005133E0" w:rsidRDefault="00EB3BC8" w:rsidP="00EB3BC8">
      <w:pPr>
        <w:spacing w:line="240" w:lineRule="auto"/>
        <w:contextualSpacing/>
        <w:jc w:val="both"/>
        <w:rPr>
          <w:rFonts w:ascii="Arial" w:hAnsi="Arial" w:cs="Arial"/>
          <w:sz w:val="20"/>
          <w:szCs w:val="20"/>
        </w:rPr>
      </w:pPr>
    </w:p>
    <w:p w:rsidR="00EB3BC8" w:rsidRPr="004706BE" w:rsidRDefault="00EB3BC8" w:rsidP="00EB3BC8">
      <w:pPr>
        <w:spacing w:line="240" w:lineRule="auto"/>
        <w:jc w:val="both"/>
        <w:rPr>
          <w:rFonts w:eastAsia="Times New Roman" w:cs="Calibri"/>
          <w:b/>
          <w:color w:val="000000"/>
          <w:u w:val="single"/>
        </w:rPr>
      </w:pPr>
      <w:r w:rsidRPr="004706BE">
        <w:rPr>
          <w:rFonts w:eastAsia="Times New Roman" w:cs="Calibri"/>
          <w:b/>
          <w:color w:val="000000"/>
          <w:u w:val="single"/>
        </w:rPr>
        <w:t>27. INFORME DE GESTION PROYECTO CARTAGENA-BARRANQUILLA VIA AL MAR</w:t>
      </w:r>
    </w:p>
    <w:p w:rsidR="00EB3BC8" w:rsidRPr="004706BE" w:rsidRDefault="00EB3BC8" w:rsidP="00EB3BC8">
      <w:pPr>
        <w:spacing w:line="240" w:lineRule="auto"/>
        <w:jc w:val="both"/>
        <w:rPr>
          <w:rFonts w:eastAsia="Calibri" w:cstheme="minorHAnsi"/>
        </w:rPr>
      </w:pPr>
      <w:r w:rsidRPr="004706BE">
        <w:rPr>
          <w:rFonts w:eastAsia="Calibri" w:cstheme="minorHAnsi"/>
        </w:rPr>
        <w:t xml:space="preserve">El Contrato de Concesión No. 503 de 1994 correspondiente al proyecto Cartagena – Barranquilla (Vía al mar) se encuentra en la etapa de Operación y mantenimiento con obras especiales. </w:t>
      </w:r>
      <w:r w:rsidRPr="004706BE">
        <w:rPr>
          <w:rFonts w:eastAsia="Times New Roman" w:cstheme="minorHAnsi"/>
          <w:lang w:eastAsia="es-MX"/>
        </w:rPr>
        <w:t>Plazo establecido para la terminación de las obras, el próximo 21 de octubre de 2015.</w:t>
      </w:r>
      <w:r w:rsidRPr="004706BE">
        <w:rPr>
          <w:rFonts w:eastAsia="Times New Roman" w:cstheme="minorHAnsi"/>
          <w:lang w:eastAsia="es-MX"/>
        </w:rPr>
        <w:br/>
      </w:r>
      <w:r w:rsidRPr="004706BE">
        <w:rPr>
          <w:rFonts w:eastAsia="Times New Roman" w:cstheme="minorHAnsi"/>
          <w:lang w:eastAsia="es-MX"/>
        </w:rPr>
        <w:br/>
      </w:r>
      <w:r w:rsidRPr="004706BE">
        <w:rPr>
          <w:rFonts w:eastAsia="Calibri" w:cstheme="minorHAnsi"/>
        </w:rPr>
        <w:t>Durante el segundo trimestre del 2015 se han adelantado las siguientes actividades en cumplimiento del Plan de Acción 2015 así:</w:t>
      </w:r>
    </w:p>
    <w:p w:rsidR="00EB3BC8" w:rsidRPr="004706BE" w:rsidRDefault="00EB3BC8" w:rsidP="00EB3BC8">
      <w:pPr>
        <w:spacing w:line="240" w:lineRule="auto"/>
        <w:jc w:val="both"/>
        <w:rPr>
          <w:rFonts w:eastAsia="Calibri" w:cstheme="minorHAnsi"/>
        </w:rPr>
      </w:pPr>
      <w:r w:rsidRPr="004706BE">
        <w:rPr>
          <w:rFonts w:eastAsia="Calibri" w:cstheme="minorHAnsi"/>
          <w:b/>
        </w:rPr>
        <w:t xml:space="preserve">Pago Vigencias Futuras: </w:t>
      </w:r>
      <w:r w:rsidRPr="004706BE">
        <w:rPr>
          <w:rFonts w:eastAsia="Calibri" w:cstheme="minorHAnsi"/>
        </w:rPr>
        <w:t>Se realizó el pago de la vigencia programada para Junio/2015 por valor de 10.000´000.000 destinados a la terminación de las obras del anillo vial de crespo y terminación segunda calzada sector K88+060 al K 98+060 (Atlántico).</w:t>
      </w:r>
    </w:p>
    <w:p w:rsidR="00EB3BC8" w:rsidRPr="004706BE" w:rsidRDefault="00EB3BC8" w:rsidP="00EB3BC8">
      <w:pPr>
        <w:spacing w:line="240" w:lineRule="auto"/>
        <w:jc w:val="both"/>
        <w:rPr>
          <w:rFonts w:eastAsia="Calibri" w:cstheme="minorHAnsi"/>
          <w:b/>
        </w:rPr>
      </w:pPr>
      <w:r w:rsidRPr="004706BE">
        <w:rPr>
          <w:rFonts w:eastAsia="Calibri" w:cstheme="minorHAnsi"/>
          <w:b/>
        </w:rPr>
        <w:t>Obras</w:t>
      </w:r>
    </w:p>
    <w:tbl>
      <w:tblPr>
        <w:tblStyle w:val="Tablaconcuadrcula20"/>
        <w:tblW w:w="7655" w:type="dxa"/>
        <w:jc w:val="center"/>
        <w:tblLayout w:type="fixed"/>
        <w:tblLook w:val="04A0" w:firstRow="1" w:lastRow="0" w:firstColumn="1" w:lastColumn="0" w:noHBand="0" w:noVBand="1"/>
      </w:tblPr>
      <w:tblGrid>
        <w:gridCol w:w="851"/>
        <w:gridCol w:w="1034"/>
        <w:gridCol w:w="809"/>
        <w:gridCol w:w="850"/>
        <w:gridCol w:w="1560"/>
        <w:gridCol w:w="2551"/>
      </w:tblGrid>
      <w:tr w:rsidR="00EB3BC8" w:rsidRPr="004706BE" w:rsidTr="005E52E0">
        <w:trPr>
          <w:jc w:val="center"/>
        </w:trPr>
        <w:tc>
          <w:tcPr>
            <w:tcW w:w="851"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Tramo</w:t>
            </w:r>
          </w:p>
        </w:tc>
        <w:tc>
          <w:tcPr>
            <w:tcW w:w="1034"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PR inicial</w:t>
            </w:r>
          </w:p>
        </w:tc>
        <w:tc>
          <w:tcPr>
            <w:tcW w:w="809"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PR Final</w:t>
            </w:r>
          </w:p>
        </w:tc>
        <w:tc>
          <w:tcPr>
            <w:tcW w:w="850"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b/>
                <w:bCs/>
              </w:rPr>
              <w:t>KM</w:t>
            </w:r>
          </w:p>
        </w:tc>
        <w:tc>
          <w:tcPr>
            <w:tcW w:w="1560"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b/>
                <w:bCs/>
              </w:rPr>
              <w:t>Alcance de la obra</w:t>
            </w:r>
          </w:p>
        </w:tc>
        <w:tc>
          <w:tcPr>
            <w:tcW w:w="2551"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b/>
                <w:bCs/>
              </w:rPr>
              <w:t>Observaciones</w:t>
            </w:r>
          </w:p>
        </w:tc>
      </w:tr>
      <w:tr w:rsidR="00EB3BC8" w:rsidRPr="004706BE" w:rsidTr="005E52E0">
        <w:trPr>
          <w:trHeight w:val="244"/>
          <w:jc w:val="center"/>
        </w:trPr>
        <w:tc>
          <w:tcPr>
            <w:tcW w:w="851"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II</w:t>
            </w:r>
          </w:p>
        </w:tc>
        <w:tc>
          <w:tcPr>
            <w:tcW w:w="1034"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7+500</w:t>
            </w:r>
          </w:p>
        </w:tc>
        <w:tc>
          <w:tcPr>
            <w:tcW w:w="809"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16+000</w:t>
            </w:r>
          </w:p>
        </w:tc>
        <w:tc>
          <w:tcPr>
            <w:tcW w:w="850"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9.360</w:t>
            </w:r>
          </w:p>
        </w:tc>
        <w:tc>
          <w:tcPr>
            <w:tcW w:w="1560"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Construcción</w:t>
            </w:r>
          </w:p>
        </w:tc>
        <w:tc>
          <w:tcPr>
            <w:tcW w:w="2551"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Se llevó a cabo acta de recibo final de la obra.</w:t>
            </w:r>
          </w:p>
        </w:tc>
      </w:tr>
      <w:tr w:rsidR="00EB3BC8" w:rsidRPr="004706BE" w:rsidTr="005E52E0">
        <w:trPr>
          <w:trHeight w:val="244"/>
          <w:jc w:val="center"/>
        </w:trPr>
        <w:tc>
          <w:tcPr>
            <w:tcW w:w="851" w:type="dxa"/>
            <w:vMerge/>
            <w:vAlign w:val="center"/>
          </w:tcPr>
          <w:p w:rsidR="00EB3BC8" w:rsidRPr="004706BE" w:rsidRDefault="00EB3BC8" w:rsidP="005E52E0">
            <w:pPr>
              <w:contextualSpacing/>
              <w:jc w:val="center"/>
              <w:rPr>
                <w:rFonts w:asciiTheme="minorHAnsi" w:hAnsiTheme="minorHAnsi" w:cstheme="minorHAnsi"/>
              </w:rPr>
            </w:pPr>
          </w:p>
        </w:tc>
        <w:tc>
          <w:tcPr>
            <w:tcW w:w="1034" w:type="dxa"/>
            <w:vMerge/>
            <w:vAlign w:val="center"/>
          </w:tcPr>
          <w:p w:rsidR="00EB3BC8" w:rsidRPr="004706BE" w:rsidRDefault="00EB3BC8" w:rsidP="005E52E0">
            <w:pPr>
              <w:contextualSpacing/>
              <w:jc w:val="center"/>
              <w:rPr>
                <w:rFonts w:asciiTheme="minorHAnsi" w:hAnsiTheme="minorHAnsi" w:cstheme="minorHAnsi"/>
              </w:rPr>
            </w:pPr>
          </w:p>
        </w:tc>
        <w:tc>
          <w:tcPr>
            <w:tcW w:w="809" w:type="dxa"/>
            <w:vMerge/>
            <w:vAlign w:val="center"/>
          </w:tcPr>
          <w:p w:rsidR="00EB3BC8" w:rsidRPr="004706BE" w:rsidRDefault="00EB3BC8" w:rsidP="005E52E0">
            <w:pPr>
              <w:contextualSpacing/>
              <w:jc w:val="center"/>
              <w:rPr>
                <w:rFonts w:asciiTheme="minorHAnsi" w:hAnsiTheme="minorHAnsi" w:cstheme="minorHAnsi"/>
              </w:rPr>
            </w:pPr>
          </w:p>
        </w:tc>
        <w:tc>
          <w:tcPr>
            <w:tcW w:w="850" w:type="dxa"/>
            <w:vMerge/>
            <w:vAlign w:val="center"/>
          </w:tcPr>
          <w:p w:rsidR="00EB3BC8" w:rsidRPr="004706BE" w:rsidRDefault="00EB3BC8" w:rsidP="005E52E0">
            <w:pPr>
              <w:contextualSpacing/>
              <w:jc w:val="center"/>
              <w:rPr>
                <w:rFonts w:asciiTheme="minorHAnsi" w:hAnsiTheme="minorHAnsi" w:cstheme="minorHAnsi"/>
              </w:rPr>
            </w:pPr>
          </w:p>
        </w:tc>
        <w:tc>
          <w:tcPr>
            <w:tcW w:w="1560" w:type="dxa"/>
            <w:vMerge/>
            <w:vAlign w:val="center"/>
          </w:tcPr>
          <w:p w:rsidR="00EB3BC8" w:rsidRPr="004706BE" w:rsidRDefault="00EB3BC8" w:rsidP="005E52E0">
            <w:pPr>
              <w:contextualSpacing/>
              <w:jc w:val="center"/>
              <w:rPr>
                <w:rFonts w:asciiTheme="minorHAnsi" w:hAnsiTheme="minorHAnsi" w:cstheme="minorHAnsi"/>
              </w:rPr>
            </w:pPr>
          </w:p>
        </w:tc>
        <w:tc>
          <w:tcPr>
            <w:tcW w:w="2551" w:type="dxa"/>
            <w:vMerge/>
            <w:vAlign w:val="center"/>
          </w:tcPr>
          <w:p w:rsidR="00EB3BC8" w:rsidRPr="004706BE" w:rsidRDefault="00EB3BC8" w:rsidP="005E52E0">
            <w:pPr>
              <w:contextualSpacing/>
              <w:jc w:val="center"/>
              <w:rPr>
                <w:rFonts w:asciiTheme="minorHAnsi" w:hAnsiTheme="minorHAnsi" w:cstheme="minorHAnsi"/>
              </w:rPr>
            </w:pPr>
          </w:p>
        </w:tc>
      </w:tr>
      <w:tr w:rsidR="00EB3BC8" w:rsidRPr="004706BE" w:rsidTr="005E52E0">
        <w:trPr>
          <w:jc w:val="center"/>
        </w:trPr>
        <w:tc>
          <w:tcPr>
            <w:tcW w:w="851"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III</w:t>
            </w:r>
          </w:p>
        </w:tc>
        <w:tc>
          <w:tcPr>
            <w:tcW w:w="1034"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16+000</w:t>
            </w:r>
          </w:p>
        </w:tc>
        <w:tc>
          <w:tcPr>
            <w:tcW w:w="809"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49+000</w:t>
            </w:r>
          </w:p>
        </w:tc>
        <w:tc>
          <w:tcPr>
            <w:tcW w:w="850"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33.066</w:t>
            </w:r>
          </w:p>
        </w:tc>
        <w:tc>
          <w:tcPr>
            <w:tcW w:w="1560"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Mantenimiento</w:t>
            </w:r>
          </w:p>
        </w:tc>
        <w:tc>
          <w:tcPr>
            <w:tcW w:w="2551"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Pendiente radicar, Estudio de Impacto Ambiental - EIA,  revisado por interventoría , teniendo en cuenta que ya se terminaron los procesos de consulta previa</w:t>
            </w:r>
          </w:p>
        </w:tc>
      </w:tr>
      <w:tr w:rsidR="00EB3BC8" w:rsidRPr="004706BE" w:rsidTr="005E52E0">
        <w:trPr>
          <w:jc w:val="center"/>
        </w:trPr>
        <w:tc>
          <w:tcPr>
            <w:tcW w:w="851"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IV</w:t>
            </w:r>
          </w:p>
        </w:tc>
        <w:tc>
          <w:tcPr>
            <w:tcW w:w="1034"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49+000</w:t>
            </w:r>
          </w:p>
        </w:tc>
        <w:tc>
          <w:tcPr>
            <w:tcW w:w="809"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97+000</w:t>
            </w:r>
          </w:p>
        </w:tc>
        <w:tc>
          <w:tcPr>
            <w:tcW w:w="850"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47.959</w:t>
            </w:r>
          </w:p>
        </w:tc>
        <w:tc>
          <w:tcPr>
            <w:tcW w:w="1560"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Construcción</w:t>
            </w:r>
          </w:p>
        </w:tc>
        <w:tc>
          <w:tcPr>
            <w:tcW w:w="2551" w:type="dxa"/>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Mediante Res. 0597 de 22 de mayo de 2015, se autoriza medidas de manejo ambiental en el sector denominado ojo de agua. Se procede a su ejecución.</w:t>
            </w:r>
          </w:p>
        </w:tc>
      </w:tr>
      <w:tr w:rsidR="00EB3BC8" w:rsidRPr="004706BE" w:rsidTr="005E52E0">
        <w:trPr>
          <w:trHeight w:val="244"/>
          <w:jc w:val="center"/>
        </w:trPr>
        <w:tc>
          <w:tcPr>
            <w:tcW w:w="851"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Túnel de Crespo</w:t>
            </w:r>
          </w:p>
        </w:tc>
        <w:tc>
          <w:tcPr>
            <w:tcW w:w="1034" w:type="dxa"/>
            <w:vMerge w:val="restart"/>
            <w:vAlign w:val="center"/>
          </w:tcPr>
          <w:p w:rsidR="00EB3BC8" w:rsidRPr="004706BE" w:rsidRDefault="00EB3BC8" w:rsidP="005E52E0">
            <w:pPr>
              <w:contextualSpacing/>
              <w:jc w:val="center"/>
              <w:rPr>
                <w:rFonts w:asciiTheme="minorHAnsi" w:hAnsiTheme="minorHAnsi" w:cstheme="minorHAnsi"/>
              </w:rPr>
            </w:pPr>
          </w:p>
        </w:tc>
        <w:tc>
          <w:tcPr>
            <w:tcW w:w="809" w:type="dxa"/>
            <w:vMerge w:val="restart"/>
            <w:vAlign w:val="center"/>
          </w:tcPr>
          <w:p w:rsidR="00EB3BC8" w:rsidRPr="004706BE" w:rsidRDefault="00EB3BC8" w:rsidP="005E52E0">
            <w:pPr>
              <w:contextualSpacing/>
              <w:jc w:val="center"/>
              <w:rPr>
                <w:rFonts w:asciiTheme="minorHAnsi" w:hAnsiTheme="minorHAnsi" w:cstheme="minorHAnsi"/>
              </w:rPr>
            </w:pPr>
          </w:p>
        </w:tc>
        <w:tc>
          <w:tcPr>
            <w:tcW w:w="850"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2.500</w:t>
            </w:r>
          </w:p>
        </w:tc>
        <w:tc>
          <w:tcPr>
            <w:tcW w:w="1560"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construcción</w:t>
            </w:r>
          </w:p>
        </w:tc>
        <w:tc>
          <w:tcPr>
            <w:tcW w:w="2551" w:type="dxa"/>
            <w:vMerge w:val="restart"/>
            <w:vAlign w:val="center"/>
          </w:tcPr>
          <w:p w:rsidR="00EB3BC8" w:rsidRPr="004706BE" w:rsidRDefault="00EB3BC8" w:rsidP="005E52E0">
            <w:pPr>
              <w:contextualSpacing/>
              <w:jc w:val="center"/>
              <w:rPr>
                <w:rFonts w:asciiTheme="minorHAnsi" w:hAnsiTheme="minorHAnsi" w:cstheme="minorHAnsi"/>
              </w:rPr>
            </w:pPr>
            <w:r w:rsidRPr="004706BE">
              <w:rPr>
                <w:rFonts w:asciiTheme="minorHAnsi" w:hAnsiTheme="minorHAnsi" w:cstheme="minorHAnsi"/>
              </w:rPr>
              <w:t xml:space="preserve">Mediante resolución 1304 de 30 de octubre de 2014, </w:t>
            </w:r>
            <w:r w:rsidRPr="004706BE">
              <w:rPr>
                <w:rFonts w:asciiTheme="minorHAnsi" w:hAnsiTheme="minorHAnsi" w:cstheme="minorHAnsi"/>
              </w:rPr>
              <w:lastRenderedPageBreak/>
              <w:t>se establece medidas adicionales de paisajismo.</w:t>
            </w:r>
          </w:p>
        </w:tc>
      </w:tr>
      <w:tr w:rsidR="00EB3BC8" w:rsidRPr="004706BE" w:rsidTr="005E52E0">
        <w:trPr>
          <w:trHeight w:val="244"/>
          <w:jc w:val="center"/>
        </w:trPr>
        <w:tc>
          <w:tcPr>
            <w:tcW w:w="851" w:type="dxa"/>
            <w:vMerge/>
            <w:vAlign w:val="center"/>
          </w:tcPr>
          <w:p w:rsidR="00EB3BC8" w:rsidRPr="004706BE" w:rsidRDefault="00EB3BC8" w:rsidP="005E52E0">
            <w:pPr>
              <w:contextualSpacing/>
              <w:jc w:val="center"/>
              <w:rPr>
                <w:rFonts w:asciiTheme="minorHAnsi" w:hAnsiTheme="minorHAnsi" w:cstheme="minorHAnsi"/>
              </w:rPr>
            </w:pPr>
          </w:p>
        </w:tc>
        <w:tc>
          <w:tcPr>
            <w:tcW w:w="1034" w:type="dxa"/>
            <w:vMerge/>
            <w:vAlign w:val="center"/>
          </w:tcPr>
          <w:p w:rsidR="00EB3BC8" w:rsidRPr="004706BE" w:rsidRDefault="00EB3BC8" w:rsidP="005E52E0">
            <w:pPr>
              <w:contextualSpacing/>
              <w:jc w:val="center"/>
              <w:rPr>
                <w:rFonts w:asciiTheme="minorHAnsi" w:hAnsiTheme="minorHAnsi" w:cstheme="minorHAnsi"/>
              </w:rPr>
            </w:pPr>
          </w:p>
        </w:tc>
        <w:tc>
          <w:tcPr>
            <w:tcW w:w="809" w:type="dxa"/>
            <w:vMerge/>
            <w:vAlign w:val="center"/>
          </w:tcPr>
          <w:p w:rsidR="00EB3BC8" w:rsidRPr="004706BE" w:rsidRDefault="00EB3BC8" w:rsidP="005E52E0">
            <w:pPr>
              <w:contextualSpacing/>
              <w:jc w:val="center"/>
              <w:rPr>
                <w:rFonts w:asciiTheme="minorHAnsi" w:hAnsiTheme="minorHAnsi" w:cstheme="minorHAnsi"/>
              </w:rPr>
            </w:pPr>
          </w:p>
        </w:tc>
        <w:tc>
          <w:tcPr>
            <w:tcW w:w="850" w:type="dxa"/>
            <w:vMerge/>
            <w:vAlign w:val="center"/>
          </w:tcPr>
          <w:p w:rsidR="00EB3BC8" w:rsidRPr="004706BE" w:rsidRDefault="00EB3BC8" w:rsidP="005E52E0">
            <w:pPr>
              <w:contextualSpacing/>
              <w:jc w:val="center"/>
              <w:rPr>
                <w:rFonts w:asciiTheme="minorHAnsi" w:hAnsiTheme="minorHAnsi" w:cstheme="minorHAnsi"/>
              </w:rPr>
            </w:pPr>
          </w:p>
        </w:tc>
        <w:tc>
          <w:tcPr>
            <w:tcW w:w="1560" w:type="dxa"/>
            <w:vMerge/>
            <w:vAlign w:val="center"/>
          </w:tcPr>
          <w:p w:rsidR="00EB3BC8" w:rsidRPr="004706BE" w:rsidRDefault="00EB3BC8" w:rsidP="005E52E0">
            <w:pPr>
              <w:contextualSpacing/>
              <w:jc w:val="center"/>
              <w:rPr>
                <w:rFonts w:asciiTheme="minorHAnsi" w:hAnsiTheme="minorHAnsi" w:cstheme="minorHAnsi"/>
              </w:rPr>
            </w:pPr>
          </w:p>
        </w:tc>
        <w:tc>
          <w:tcPr>
            <w:tcW w:w="2551" w:type="dxa"/>
            <w:vMerge/>
            <w:vAlign w:val="center"/>
          </w:tcPr>
          <w:p w:rsidR="00EB3BC8" w:rsidRPr="004706BE" w:rsidRDefault="00EB3BC8" w:rsidP="005E52E0">
            <w:pPr>
              <w:contextualSpacing/>
              <w:jc w:val="center"/>
              <w:rPr>
                <w:rFonts w:asciiTheme="minorHAnsi" w:hAnsiTheme="minorHAnsi" w:cstheme="minorHAnsi"/>
              </w:rPr>
            </w:pPr>
          </w:p>
        </w:tc>
      </w:tr>
      <w:tr w:rsidR="00EB3BC8" w:rsidRPr="004706BE" w:rsidTr="005E52E0">
        <w:trPr>
          <w:trHeight w:val="244"/>
          <w:jc w:val="center"/>
        </w:trPr>
        <w:tc>
          <w:tcPr>
            <w:tcW w:w="851" w:type="dxa"/>
            <w:vMerge/>
            <w:vAlign w:val="center"/>
          </w:tcPr>
          <w:p w:rsidR="00EB3BC8" w:rsidRPr="004706BE" w:rsidRDefault="00EB3BC8" w:rsidP="005E52E0">
            <w:pPr>
              <w:contextualSpacing/>
              <w:jc w:val="center"/>
              <w:rPr>
                <w:rFonts w:asciiTheme="minorHAnsi" w:hAnsiTheme="minorHAnsi" w:cstheme="minorHAnsi"/>
              </w:rPr>
            </w:pPr>
          </w:p>
        </w:tc>
        <w:tc>
          <w:tcPr>
            <w:tcW w:w="1034" w:type="dxa"/>
            <w:vMerge/>
            <w:vAlign w:val="center"/>
          </w:tcPr>
          <w:p w:rsidR="00EB3BC8" w:rsidRPr="004706BE" w:rsidRDefault="00EB3BC8" w:rsidP="005E52E0">
            <w:pPr>
              <w:contextualSpacing/>
              <w:jc w:val="center"/>
              <w:rPr>
                <w:rFonts w:asciiTheme="minorHAnsi" w:hAnsiTheme="minorHAnsi" w:cstheme="minorHAnsi"/>
              </w:rPr>
            </w:pPr>
          </w:p>
        </w:tc>
        <w:tc>
          <w:tcPr>
            <w:tcW w:w="809" w:type="dxa"/>
            <w:vMerge/>
            <w:vAlign w:val="center"/>
          </w:tcPr>
          <w:p w:rsidR="00EB3BC8" w:rsidRPr="004706BE" w:rsidRDefault="00EB3BC8" w:rsidP="005E52E0">
            <w:pPr>
              <w:contextualSpacing/>
              <w:jc w:val="center"/>
              <w:rPr>
                <w:rFonts w:asciiTheme="minorHAnsi" w:hAnsiTheme="minorHAnsi" w:cstheme="minorHAnsi"/>
              </w:rPr>
            </w:pPr>
          </w:p>
        </w:tc>
        <w:tc>
          <w:tcPr>
            <w:tcW w:w="850" w:type="dxa"/>
            <w:vMerge/>
            <w:vAlign w:val="center"/>
          </w:tcPr>
          <w:p w:rsidR="00EB3BC8" w:rsidRPr="004706BE" w:rsidRDefault="00EB3BC8" w:rsidP="005E52E0">
            <w:pPr>
              <w:contextualSpacing/>
              <w:jc w:val="center"/>
              <w:rPr>
                <w:rFonts w:asciiTheme="minorHAnsi" w:hAnsiTheme="minorHAnsi" w:cstheme="minorHAnsi"/>
              </w:rPr>
            </w:pPr>
          </w:p>
        </w:tc>
        <w:tc>
          <w:tcPr>
            <w:tcW w:w="1560" w:type="dxa"/>
            <w:vMerge/>
            <w:vAlign w:val="center"/>
          </w:tcPr>
          <w:p w:rsidR="00EB3BC8" w:rsidRPr="004706BE" w:rsidRDefault="00EB3BC8" w:rsidP="005E52E0">
            <w:pPr>
              <w:contextualSpacing/>
              <w:jc w:val="center"/>
              <w:rPr>
                <w:rFonts w:asciiTheme="minorHAnsi" w:hAnsiTheme="minorHAnsi" w:cstheme="minorHAnsi"/>
              </w:rPr>
            </w:pPr>
          </w:p>
        </w:tc>
        <w:tc>
          <w:tcPr>
            <w:tcW w:w="2551" w:type="dxa"/>
            <w:vMerge/>
            <w:vAlign w:val="center"/>
          </w:tcPr>
          <w:p w:rsidR="00EB3BC8" w:rsidRPr="004706BE" w:rsidRDefault="00EB3BC8" w:rsidP="005E52E0">
            <w:pPr>
              <w:contextualSpacing/>
              <w:jc w:val="center"/>
              <w:rPr>
                <w:rFonts w:asciiTheme="minorHAnsi" w:hAnsiTheme="minorHAnsi" w:cstheme="minorHAnsi"/>
              </w:rPr>
            </w:pPr>
          </w:p>
        </w:tc>
      </w:tr>
      <w:tr w:rsidR="00EB3BC8" w:rsidRPr="004706BE" w:rsidTr="005E52E0">
        <w:trPr>
          <w:trHeight w:val="328"/>
          <w:jc w:val="center"/>
        </w:trPr>
        <w:tc>
          <w:tcPr>
            <w:tcW w:w="851" w:type="dxa"/>
            <w:vMerge/>
            <w:vAlign w:val="center"/>
          </w:tcPr>
          <w:p w:rsidR="00EB3BC8" w:rsidRPr="004706BE" w:rsidRDefault="00EB3BC8" w:rsidP="005E52E0">
            <w:pPr>
              <w:contextualSpacing/>
              <w:jc w:val="center"/>
              <w:rPr>
                <w:rFonts w:asciiTheme="minorHAnsi" w:hAnsiTheme="minorHAnsi" w:cstheme="minorHAnsi"/>
              </w:rPr>
            </w:pPr>
          </w:p>
        </w:tc>
        <w:tc>
          <w:tcPr>
            <w:tcW w:w="1034" w:type="dxa"/>
            <w:vMerge/>
            <w:vAlign w:val="center"/>
          </w:tcPr>
          <w:p w:rsidR="00EB3BC8" w:rsidRPr="004706BE" w:rsidRDefault="00EB3BC8" w:rsidP="005E52E0">
            <w:pPr>
              <w:contextualSpacing/>
              <w:jc w:val="center"/>
              <w:rPr>
                <w:rFonts w:asciiTheme="minorHAnsi" w:hAnsiTheme="minorHAnsi" w:cstheme="minorHAnsi"/>
              </w:rPr>
            </w:pPr>
          </w:p>
        </w:tc>
        <w:tc>
          <w:tcPr>
            <w:tcW w:w="809" w:type="dxa"/>
            <w:vMerge/>
            <w:vAlign w:val="center"/>
          </w:tcPr>
          <w:p w:rsidR="00EB3BC8" w:rsidRPr="004706BE" w:rsidRDefault="00EB3BC8" w:rsidP="005E52E0">
            <w:pPr>
              <w:contextualSpacing/>
              <w:jc w:val="center"/>
              <w:rPr>
                <w:rFonts w:asciiTheme="minorHAnsi" w:hAnsiTheme="minorHAnsi" w:cstheme="minorHAnsi"/>
              </w:rPr>
            </w:pPr>
          </w:p>
        </w:tc>
        <w:tc>
          <w:tcPr>
            <w:tcW w:w="850" w:type="dxa"/>
            <w:vMerge/>
            <w:vAlign w:val="center"/>
          </w:tcPr>
          <w:p w:rsidR="00EB3BC8" w:rsidRPr="004706BE" w:rsidRDefault="00EB3BC8" w:rsidP="005E52E0">
            <w:pPr>
              <w:contextualSpacing/>
              <w:jc w:val="center"/>
              <w:rPr>
                <w:rFonts w:asciiTheme="minorHAnsi" w:hAnsiTheme="minorHAnsi" w:cstheme="minorHAnsi"/>
              </w:rPr>
            </w:pPr>
          </w:p>
        </w:tc>
        <w:tc>
          <w:tcPr>
            <w:tcW w:w="1560" w:type="dxa"/>
            <w:vMerge/>
            <w:vAlign w:val="center"/>
          </w:tcPr>
          <w:p w:rsidR="00EB3BC8" w:rsidRPr="004706BE" w:rsidRDefault="00EB3BC8" w:rsidP="005E52E0">
            <w:pPr>
              <w:contextualSpacing/>
              <w:jc w:val="center"/>
              <w:rPr>
                <w:rFonts w:asciiTheme="minorHAnsi" w:hAnsiTheme="minorHAnsi" w:cstheme="minorHAnsi"/>
              </w:rPr>
            </w:pPr>
          </w:p>
        </w:tc>
        <w:tc>
          <w:tcPr>
            <w:tcW w:w="2551" w:type="dxa"/>
            <w:vMerge/>
            <w:vAlign w:val="center"/>
          </w:tcPr>
          <w:p w:rsidR="00EB3BC8" w:rsidRPr="004706BE" w:rsidRDefault="00EB3BC8" w:rsidP="005E52E0">
            <w:pPr>
              <w:contextualSpacing/>
              <w:jc w:val="center"/>
              <w:rPr>
                <w:rFonts w:asciiTheme="minorHAnsi" w:hAnsiTheme="minorHAnsi" w:cstheme="minorHAnsi"/>
              </w:rPr>
            </w:pPr>
          </w:p>
        </w:tc>
      </w:tr>
    </w:tbl>
    <w:p w:rsidR="00EB3BC8" w:rsidRPr="004706BE" w:rsidRDefault="00EB3BC8" w:rsidP="00EB3BC8">
      <w:pPr>
        <w:spacing w:line="240" w:lineRule="auto"/>
        <w:rPr>
          <w:rFonts w:cstheme="minorHAnsi"/>
        </w:rPr>
      </w:pPr>
      <w:r w:rsidRPr="004706BE">
        <w:rPr>
          <w:rFonts w:cstheme="minorHAnsi"/>
        </w:rPr>
        <w:lastRenderedPageBreak/>
        <w:t xml:space="preserve">     </w:t>
      </w:r>
    </w:p>
    <w:p w:rsidR="00EB3BC8" w:rsidRPr="004706BE" w:rsidRDefault="00EB3BC8" w:rsidP="00EB3BC8">
      <w:pPr>
        <w:tabs>
          <w:tab w:val="left" w:pos="3225"/>
        </w:tabs>
        <w:spacing w:after="0" w:line="240" w:lineRule="auto"/>
        <w:jc w:val="both"/>
        <w:rPr>
          <w:rFonts w:cstheme="minorHAnsi"/>
          <w:b/>
        </w:rPr>
      </w:pPr>
      <w:r w:rsidRPr="004706BE">
        <w:rPr>
          <w:rFonts w:cstheme="minorHAnsi"/>
          <w:b/>
        </w:rPr>
        <w:tab/>
      </w:r>
    </w:p>
    <w:p w:rsidR="00EB3BC8" w:rsidRPr="00C625FA" w:rsidRDefault="00EB3BC8" w:rsidP="00C625FA">
      <w:pPr>
        <w:spacing w:line="240" w:lineRule="auto"/>
        <w:jc w:val="both"/>
        <w:rPr>
          <w:rFonts w:eastAsia="Times New Roman" w:cs="Calibri"/>
          <w:b/>
          <w:color w:val="000000"/>
          <w:u w:val="single"/>
        </w:rPr>
      </w:pPr>
      <w:r w:rsidRPr="00C625FA">
        <w:rPr>
          <w:rFonts w:eastAsia="Times New Roman" w:cs="Calibri"/>
          <w:b/>
          <w:color w:val="000000"/>
          <w:u w:val="single"/>
        </w:rPr>
        <w:t xml:space="preserve">28. INFORME DE GESTIÓN PROYECTO CARTAGENA BARRANQUILLA CIRCUNVALAR DE LA PROSPERIDAD </w:t>
      </w:r>
    </w:p>
    <w:p w:rsidR="00EB3BC8" w:rsidRPr="004706BE" w:rsidRDefault="00EB3BC8" w:rsidP="00EB3BC8">
      <w:pPr>
        <w:spacing w:after="0" w:line="240" w:lineRule="auto"/>
        <w:jc w:val="both"/>
        <w:rPr>
          <w:rFonts w:eastAsia="Times New Roman" w:cstheme="minorHAnsi"/>
          <w:b/>
          <w:highlight w:val="yellow"/>
          <w:lang w:val="es-ES"/>
        </w:rPr>
      </w:pPr>
    </w:p>
    <w:p w:rsidR="00EB3BC8" w:rsidRPr="004706BE" w:rsidRDefault="00EB3BC8" w:rsidP="00EB3BC8">
      <w:pPr>
        <w:spacing w:after="0" w:line="240" w:lineRule="auto"/>
        <w:jc w:val="both"/>
        <w:rPr>
          <w:rFonts w:eastAsia="Times New Roman" w:cstheme="minorHAnsi"/>
          <w:b/>
          <w:lang w:val="es-ES"/>
        </w:rPr>
      </w:pPr>
      <w:r w:rsidRPr="004706BE">
        <w:rPr>
          <w:rFonts w:eastAsia="Times New Roman" w:cstheme="minorHAnsi"/>
          <w:b/>
          <w:highlight w:val="yellow"/>
          <w:lang w:val="es-ES"/>
        </w:rPr>
        <w:t xml:space="preserve"> </w:t>
      </w:r>
      <w:r w:rsidRPr="004706BE">
        <w:rPr>
          <w:rFonts w:eastAsia="Times New Roman" w:cstheme="minorHAnsi"/>
          <w:b/>
          <w:lang w:val="es-ES"/>
        </w:rPr>
        <w:t xml:space="preserve"> </w:t>
      </w:r>
    </w:p>
    <w:p w:rsidR="00EB3BC8" w:rsidRPr="004706BE" w:rsidRDefault="00EB4C0B" w:rsidP="00EB4C0B">
      <w:pPr>
        <w:spacing w:after="0" w:line="240" w:lineRule="auto"/>
        <w:contextualSpacing/>
        <w:jc w:val="both"/>
        <w:rPr>
          <w:rFonts w:cstheme="minorHAnsi"/>
          <w:b/>
        </w:rPr>
      </w:pPr>
      <w:r>
        <w:rPr>
          <w:rFonts w:cstheme="minorHAnsi"/>
          <w:b/>
        </w:rPr>
        <w:t>Análisis Propuesta d</w:t>
      </w:r>
      <w:r w:rsidRPr="004706BE">
        <w:rPr>
          <w:rFonts w:cstheme="minorHAnsi"/>
          <w:b/>
        </w:rPr>
        <w:t xml:space="preserve">e Modificación </w:t>
      </w:r>
      <w:r>
        <w:rPr>
          <w:rFonts w:cstheme="minorHAnsi"/>
          <w:b/>
        </w:rPr>
        <w:t>del Alcance de l</w:t>
      </w:r>
      <w:r w:rsidRPr="004706BE">
        <w:rPr>
          <w:rFonts w:cstheme="minorHAnsi"/>
          <w:b/>
        </w:rPr>
        <w:t xml:space="preserve">as Obras </w:t>
      </w:r>
      <w:r>
        <w:rPr>
          <w:rFonts w:cstheme="minorHAnsi"/>
          <w:b/>
        </w:rPr>
        <w:t>a</w:t>
      </w:r>
      <w:r w:rsidRPr="004706BE">
        <w:rPr>
          <w:rFonts w:cstheme="minorHAnsi"/>
          <w:b/>
        </w:rPr>
        <w:t xml:space="preserve"> Ejecutar – Viaducto </w:t>
      </w:r>
      <w:r>
        <w:rPr>
          <w:rFonts w:cstheme="minorHAnsi"/>
          <w:b/>
        </w:rPr>
        <w:t>s</w:t>
      </w:r>
      <w:r w:rsidRPr="004706BE">
        <w:rPr>
          <w:rFonts w:cstheme="minorHAnsi"/>
          <w:b/>
        </w:rPr>
        <w:t xml:space="preserve">obre </w:t>
      </w:r>
      <w:r>
        <w:rPr>
          <w:rFonts w:cstheme="minorHAnsi"/>
          <w:b/>
        </w:rPr>
        <w:t>l</w:t>
      </w:r>
      <w:r w:rsidRPr="004706BE">
        <w:rPr>
          <w:rFonts w:cstheme="minorHAnsi"/>
          <w:b/>
        </w:rPr>
        <w:t xml:space="preserve">a Ciénaga </w:t>
      </w:r>
      <w:r>
        <w:rPr>
          <w:rFonts w:cstheme="minorHAnsi"/>
          <w:b/>
        </w:rPr>
        <w:t>d</w:t>
      </w:r>
      <w:r w:rsidRPr="004706BE">
        <w:rPr>
          <w:rFonts w:cstheme="minorHAnsi"/>
          <w:b/>
        </w:rPr>
        <w:t xml:space="preserve">e </w:t>
      </w:r>
      <w:r>
        <w:rPr>
          <w:rFonts w:cstheme="minorHAnsi"/>
          <w:b/>
        </w:rPr>
        <w:t>l</w:t>
      </w:r>
      <w:r w:rsidRPr="004706BE">
        <w:rPr>
          <w:rFonts w:cstheme="minorHAnsi"/>
          <w:b/>
        </w:rPr>
        <w:t>a Virgen</w:t>
      </w:r>
    </w:p>
    <w:p w:rsidR="00EB3BC8" w:rsidRPr="004706BE" w:rsidRDefault="00EB3BC8" w:rsidP="00EB3BC8">
      <w:pPr>
        <w:spacing w:line="240" w:lineRule="auto"/>
        <w:jc w:val="both"/>
        <w:rPr>
          <w:rFonts w:cstheme="minorHAnsi"/>
        </w:rPr>
      </w:pPr>
    </w:p>
    <w:p w:rsidR="00EB3BC8" w:rsidRPr="004706BE" w:rsidRDefault="00EB3BC8" w:rsidP="00EB3BC8">
      <w:pPr>
        <w:spacing w:line="240" w:lineRule="auto"/>
        <w:jc w:val="both"/>
        <w:rPr>
          <w:rFonts w:cstheme="minorHAnsi"/>
        </w:rPr>
      </w:pPr>
      <w:r w:rsidRPr="004706BE">
        <w:rPr>
          <w:rFonts w:cstheme="minorHAnsi"/>
        </w:rPr>
        <w:t>El 5 de Marzo de 2015, el Concesionario presentó a la entidad una propuesta para de ajuste al diseño previsto inicialmente, la cual contemplaba:</w:t>
      </w:r>
    </w:p>
    <w:p w:rsidR="00EB3BC8" w:rsidRPr="004706BE" w:rsidRDefault="00EB3BC8" w:rsidP="000021B2">
      <w:pPr>
        <w:numPr>
          <w:ilvl w:val="0"/>
          <w:numId w:val="34"/>
        </w:numPr>
        <w:spacing w:after="0" w:line="240" w:lineRule="auto"/>
        <w:contextualSpacing/>
        <w:jc w:val="both"/>
        <w:rPr>
          <w:rFonts w:cstheme="minorHAnsi"/>
        </w:rPr>
      </w:pPr>
      <w:r w:rsidRPr="004706BE">
        <w:rPr>
          <w:rFonts w:cstheme="minorHAnsi"/>
        </w:rPr>
        <w:t>Eliminación de la segunda calzada a construir en la UF 1 (PR0+000 – PR7+500)</w:t>
      </w:r>
    </w:p>
    <w:p w:rsidR="00EB3BC8" w:rsidRPr="004706BE" w:rsidRDefault="00EB3BC8" w:rsidP="000021B2">
      <w:pPr>
        <w:numPr>
          <w:ilvl w:val="0"/>
          <w:numId w:val="34"/>
        </w:numPr>
        <w:spacing w:after="0" w:line="240" w:lineRule="auto"/>
        <w:contextualSpacing/>
        <w:jc w:val="both"/>
        <w:rPr>
          <w:rFonts w:cstheme="minorHAnsi"/>
        </w:rPr>
      </w:pPr>
      <w:r w:rsidRPr="004706BE">
        <w:rPr>
          <w:rFonts w:cstheme="minorHAnsi"/>
        </w:rPr>
        <w:t>Eliminación de la vía de servicio a construir en la UF1</w:t>
      </w:r>
    </w:p>
    <w:p w:rsidR="00EB3BC8" w:rsidRPr="004706BE" w:rsidRDefault="00EB3BC8" w:rsidP="000021B2">
      <w:pPr>
        <w:numPr>
          <w:ilvl w:val="0"/>
          <w:numId w:val="34"/>
        </w:numPr>
        <w:spacing w:after="0" w:line="240" w:lineRule="auto"/>
        <w:contextualSpacing/>
        <w:jc w:val="both"/>
        <w:rPr>
          <w:rFonts w:cstheme="minorHAnsi"/>
        </w:rPr>
      </w:pPr>
      <w:r w:rsidRPr="004706BE">
        <w:rPr>
          <w:rFonts w:cstheme="minorHAnsi"/>
        </w:rPr>
        <w:t>Construcción del viaducto sobre la Ciénaga de la Virgen en doble calzada</w:t>
      </w:r>
    </w:p>
    <w:p w:rsidR="00EB3BC8" w:rsidRPr="004706BE" w:rsidRDefault="00EB3BC8" w:rsidP="000021B2">
      <w:pPr>
        <w:numPr>
          <w:ilvl w:val="0"/>
          <w:numId w:val="34"/>
        </w:numPr>
        <w:spacing w:after="0" w:line="240" w:lineRule="auto"/>
        <w:contextualSpacing/>
        <w:jc w:val="both"/>
        <w:rPr>
          <w:rFonts w:cstheme="minorHAnsi"/>
        </w:rPr>
      </w:pPr>
      <w:r w:rsidRPr="004706BE">
        <w:rPr>
          <w:rFonts w:cstheme="minorHAnsi"/>
        </w:rPr>
        <w:t>Disminución del ancho del separador en las UF5 y UF6.</w:t>
      </w:r>
    </w:p>
    <w:p w:rsidR="00EB3BC8" w:rsidRPr="004706BE" w:rsidRDefault="00EB3BC8" w:rsidP="00EB3BC8">
      <w:pPr>
        <w:spacing w:line="240" w:lineRule="auto"/>
        <w:jc w:val="both"/>
        <w:rPr>
          <w:rFonts w:cstheme="minorHAnsi"/>
        </w:rPr>
      </w:pPr>
    </w:p>
    <w:p w:rsidR="00EB3BC8" w:rsidRPr="004706BE" w:rsidRDefault="00EB3BC8" w:rsidP="00EB3BC8">
      <w:pPr>
        <w:spacing w:line="240" w:lineRule="auto"/>
        <w:jc w:val="both"/>
        <w:rPr>
          <w:rFonts w:cstheme="minorHAnsi"/>
        </w:rPr>
      </w:pPr>
      <w:r w:rsidRPr="004706BE">
        <w:rPr>
          <w:rFonts w:cstheme="minorHAnsi"/>
        </w:rPr>
        <w:t xml:space="preserve">Al respecto, tanto por parte de ANI como del Interventor, se efectuaron los análisis del caso y se emitieron las respuestas correspondientes. </w:t>
      </w:r>
    </w:p>
    <w:p w:rsidR="00EB3BC8" w:rsidRPr="004706BE" w:rsidRDefault="00EB3BC8" w:rsidP="00EB3BC8">
      <w:pPr>
        <w:spacing w:line="240" w:lineRule="auto"/>
        <w:jc w:val="both"/>
        <w:rPr>
          <w:rFonts w:cstheme="minorHAnsi"/>
        </w:rPr>
      </w:pPr>
      <w:r w:rsidRPr="004706BE">
        <w:rPr>
          <w:rFonts w:cstheme="minorHAnsi"/>
        </w:rPr>
        <w:t xml:space="preserve">Por parte de ANI, con la comunicación 2015-300-014848-1 de Julio 8 de 2015, se le informó al Concesionario que no se consideró procedente aceptar la propuesta presentada. </w:t>
      </w:r>
    </w:p>
    <w:p w:rsidR="00EB3BC8" w:rsidRPr="004706BE" w:rsidRDefault="00EB3BC8" w:rsidP="00EB3BC8">
      <w:pPr>
        <w:spacing w:line="240" w:lineRule="auto"/>
        <w:jc w:val="both"/>
        <w:rPr>
          <w:rFonts w:cstheme="minorHAnsi"/>
        </w:rPr>
      </w:pPr>
    </w:p>
    <w:p w:rsidR="00EB3BC8" w:rsidRPr="004706BE" w:rsidRDefault="00EB4C0B" w:rsidP="00EB4C0B">
      <w:pPr>
        <w:spacing w:after="0" w:line="240" w:lineRule="auto"/>
        <w:contextualSpacing/>
        <w:jc w:val="both"/>
        <w:rPr>
          <w:rFonts w:cstheme="minorHAnsi"/>
          <w:b/>
        </w:rPr>
      </w:pPr>
      <w:r w:rsidRPr="004706BE">
        <w:rPr>
          <w:rFonts w:cstheme="minorHAnsi"/>
          <w:b/>
        </w:rPr>
        <w:t>Amigable Componedor</w:t>
      </w:r>
    </w:p>
    <w:p w:rsidR="00EB3BC8" w:rsidRPr="004706BE" w:rsidRDefault="00EB3BC8" w:rsidP="00EB3BC8">
      <w:pPr>
        <w:spacing w:line="240" w:lineRule="auto"/>
        <w:jc w:val="both"/>
        <w:rPr>
          <w:rFonts w:cstheme="minorHAnsi"/>
        </w:rPr>
      </w:pPr>
    </w:p>
    <w:p w:rsidR="00EB3BC8" w:rsidRPr="004706BE" w:rsidRDefault="00EB3BC8" w:rsidP="00EB3BC8">
      <w:pPr>
        <w:spacing w:line="240" w:lineRule="auto"/>
        <w:jc w:val="both"/>
        <w:rPr>
          <w:rFonts w:cstheme="minorHAnsi"/>
        </w:rPr>
      </w:pPr>
      <w:r w:rsidRPr="004706BE">
        <w:rPr>
          <w:rFonts w:cstheme="minorHAnsi"/>
        </w:rPr>
        <w:t>Se nombró el tercer miembro del amigable componedor, quedando conformado así:</w:t>
      </w:r>
    </w:p>
    <w:p w:rsidR="00EB3BC8" w:rsidRPr="004706BE" w:rsidRDefault="00EB3BC8" w:rsidP="00EB3BC8">
      <w:pPr>
        <w:spacing w:line="240" w:lineRule="auto"/>
        <w:jc w:val="both"/>
        <w:rPr>
          <w:rFonts w:cstheme="minorHAnsi"/>
        </w:rPr>
      </w:pPr>
      <w:r w:rsidRPr="004706BE">
        <w:rPr>
          <w:rFonts w:cstheme="minorHAnsi"/>
        </w:rPr>
        <w:t>1. Alfonso Gómez Méndez</w:t>
      </w:r>
    </w:p>
    <w:p w:rsidR="00EB3BC8" w:rsidRPr="004706BE" w:rsidRDefault="00EB3BC8" w:rsidP="00EB3BC8">
      <w:pPr>
        <w:spacing w:line="240" w:lineRule="auto"/>
        <w:jc w:val="both"/>
        <w:rPr>
          <w:rFonts w:cstheme="minorHAnsi"/>
        </w:rPr>
      </w:pPr>
      <w:r w:rsidRPr="004706BE">
        <w:rPr>
          <w:rFonts w:cstheme="minorHAnsi"/>
        </w:rPr>
        <w:t>2. Jaime Bernal Cuellar</w:t>
      </w:r>
    </w:p>
    <w:p w:rsidR="00EB3BC8" w:rsidRPr="004706BE" w:rsidRDefault="00EB3BC8" w:rsidP="00EB3BC8">
      <w:pPr>
        <w:spacing w:line="240" w:lineRule="auto"/>
        <w:jc w:val="both"/>
        <w:rPr>
          <w:rFonts w:cstheme="minorHAnsi"/>
        </w:rPr>
      </w:pPr>
      <w:r w:rsidRPr="004706BE">
        <w:rPr>
          <w:rFonts w:cstheme="minorHAnsi"/>
        </w:rPr>
        <w:t>3. Luis Hernando Parra</w:t>
      </w:r>
    </w:p>
    <w:p w:rsidR="00EB3BC8" w:rsidRPr="004706BE" w:rsidRDefault="00EB3BC8" w:rsidP="00EB3BC8">
      <w:pPr>
        <w:spacing w:line="240" w:lineRule="auto"/>
        <w:jc w:val="both"/>
        <w:rPr>
          <w:rFonts w:cstheme="minorHAnsi"/>
        </w:rPr>
      </w:pPr>
    </w:p>
    <w:p w:rsidR="00EB3BC8" w:rsidRPr="004706BE" w:rsidRDefault="004706BE" w:rsidP="004706BE">
      <w:pPr>
        <w:spacing w:after="0" w:line="240" w:lineRule="auto"/>
        <w:contextualSpacing/>
        <w:jc w:val="both"/>
        <w:rPr>
          <w:rFonts w:cstheme="minorHAnsi"/>
          <w:b/>
        </w:rPr>
      </w:pPr>
      <w:r>
        <w:rPr>
          <w:rFonts w:cstheme="minorHAnsi"/>
          <w:b/>
        </w:rPr>
        <w:t>Entrega d</w:t>
      </w:r>
      <w:r w:rsidRPr="004706BE">
        <w:rPr>
          <w:rFonts w:cstheme="minorHAnsi"/>
          <w:b/>
        </w:rPr>
        <w:t xml:space="preserve">e </w:t>
      </w:r>
      <w:r>
        <w:rPr>
          <w:rFonts w:cstheme="minorHAnsi"/>
          <w:b/>
        </w:rPr>
        <w:t>l</w:t>
      </w:r>
      <w:r w:rsidRPr="004706BE">
        <w:rPr>
          <w:rFonts w:cstheme="minorHAnsi"/>
          <w:b/>
        </w:rPr>
        <w:t xml:space="preserve">a Infraestructura </w:t>
      </w:r>
      <w:r>
        <w:rPr>
          <w:rFonts w:cstheme="minorHAnsi"/>
          <w:b/>
        </w:rPr>
        <w:t>de Puentes y</w:t>
      </w:r>
      <w:r w:rsidRPr="004706BE">
        <w:rPr>
          <w:rFonts w:cstheme="minorHAnsi"/>
          <w:b/>
        </w:rPr>
        <w:t xml:space="preserve"> V</w:t>
      </w:r>
      <w:r>
        <w:rPr>
          <w:rFonts w:cstheme="minorHAnsi"/>
          <w:b/>
        </w:rPr>
        <w:t>í</w:t>
      </w:r>
      <w:r w:rsidRPr="004706BE">
        <w:rPr>
          <w:rFonts w:cstheme="minorHAnsi"/>
          <w:b/>
        </w:rPr>
        <w:t>as</w:t>
      </w:r>
    </w:p>
    <w:p w:rsidR="00EB3BC8" w:rsidRPr="004706BE" w:rsidRDefault="00EB3BC8" w:rsidP="00EB3BC8">
      <w:pPr>
        <w:spacing w:line="240" w:lineRule="auto"/>
        <w:jc w:val="both"/>
        <w:rPr>
          <w:rFonts w:cstheme="minorHAnsi"/>
          <w:b/>
        </w:rPr>
      </w:pPr>
    </w:p>
    <w:p w:rsidR="00EB3BC8" w:rsidRPr="004706BE" w:rsidRDefault="00EB3BC8" w:rsidP="00EB3BC8">
      <w:pPr>
        <w:spacing w:line="240" w:lineRule="auto"/>
        <w:jc w:val="both"/>
        <w:rPr>
          <w:rFonts w:cstheme="minorHAnsi"/>
        </w:rPr>
      </w:pPr>
      <w:r w:rsidRPr="004706BE">
        <w:rPr>
          <w:rFonts w:cstheme="minorHAnsi"/>
        </w:rPr>
        <w:t xml:space="preserve">Se encuentra pendiente la entrega de la infraestructura del Departamento del Atlántico a la ANI, correspondiente al sector comprendido entre la Y de Caujaral y la Intersección con la Vía al Mar. </w:t>
      </w:r>
    </w:p>
    <w:p w:rsidR="00EB3BC8" w:rsidRPr="004706BE" w:rsidRDefault="00EB3BC8" w:rsidP="00EB3BC8">
      <w:pPr>
        <w:spacing w:line="240" w:lineRule="auto"/>
        <w:jc w:val="both"/>
        <w:rPr>
          <w:rFonts w:cstheme="minorHAnsi"/>
        </w:rPr>
      </w:pPr>
      <w:r w:rsidRPr="004706BE">
        <w:rPr>
          <w:rFonts w:cstheme="minorHAnsi"/>
        </w:rPr>
        <w:lastRenderedPageBreak/>
        <w:t xml:space="preserve">La ANI en repetidas ocasiones ha solicitado al Departamento la suscripción del acta de entrega que fue desafectada por ellos con documento de fecha Noviembre 7 de 2014, sin obtener respuesta alguna sobre el particular. </w:t>
      </w:r>
    </w:p>
    <w:p w:rsidR="00EB3BC8" w:rsidRPr="004706BE" w:rsidRDefault="00EB3BC8" w:rsidP="00EB3BC8">
      <w:pPr>
        <w:spacing w:line="240" w:lineRule="auto"/>
        <w:jc w:val="both"/>
        <w:rPr>
          <w:rFonts w:cstheme="minorHAnsi"/>
        </w:rPr>
      </w:pPr>
    </w:p>
    <w:p w:rsidR="00EB3BC8" w:rsidRPr="004706BE" w:rsidRDefault="004706BE" w:rsidP="004706BE">
      <w:pPr>
        <w:spacing w:after="0" w:line="240" w:lineRule="auto"/>
        <w:contextualSpacing/>
        <w:jc w:val="both"/>
        <w:rPr>
          <w:rFonts w:cstheme="minorHAnsi"/>
          <w:b/>
        </w:rPr>
      </w:pPr>
      <w:r>
        <w:rPr>
          <w:rFonts w:cstheme="minorHAnsi"/>
          <w:b/>
        </w:rPr>
        <w:t>Trámite d</w:t>
      </w:r>
      <w:r w:rsidRPr="004706BE">
        <w:rPr>
          <w:rFonts w:cstheme="minorHAnsi"/>
          <w:b/>
        </w:rPr>
        <w:t>e Licencia Ambiental</w:t>
      </w:r>
    </w:p>
    <w:p w:rsidR="00EB3BC8" w:rsidRPr="004706BE" w:rsidRDefault="00EB3BC8" w:rsidP="00EB3BC8">
      <w:pPr>
        <w:spacing w:line="240" w:lineRule="auto"/>
        <w:jc w:val="both"/>
        <w:rPr>
          <w:rFonts w:cstheme="minorHAnsi"/>
          <w:color w:val="000000"/>
        </w:rPr>
      </w:pPr>
    </w:p>
    <w:p w:rsidR="00EB3BC8" w:rsidRPr="004706BE" w:rsidRDefault="00EB3BC8" w:rsidP="00EB3BC8">
      <w:pPr>
        <w:spacing w:line="240" w:lineRule="auto"/>
        <w:jc w:val="both"/>
        <w:rPr>
          <w:rFonts w:cstheme="minorHAnsi"/>
        </w:rPr>
      </w:pPr>
      <w:r w:rsidRPr="004706BE">
        <w:rPr>
          <w:rFonts w:cstheme="minorHAnsi"/>
        </w:rPr>
        <w:t>El 13 de Julio, la Dirección de Bosques del MADT realizó visita al proyecto para verificar el aprovechamiento de epifitas en las UF1, UF5 y UF6. Sin embargo,  sigue sin resolverse lo referente a la solicitud de levantamiento de veda para  las mismas UF.</w:t>
      </w:r>
    </w:p>
    <w:p w:rsidR="00EB3BC8" w:rsidRPr="004706BE" w:rsidRDefault="00EB3BC8" w:rsidP="00EB3BC8">
      <w:pPr>
        <w:spacing w:line="240" w:lineRule="auto"/>
        <w:jc w:val="both"/>
        <w:rPr>
          <w:rFonts w:cstheme="minorHAnsi"/>
        </w:rPr>
      </w:pPr>
      <w:r w:rsidRPr="004706BE">
        <w:rPr>
          <w:rFonts w:cstheme="minorHAnsi"/>
        </w:rPr>
        <w:t>A la fecha se espera pronunciamiento de ANLA con relación a la licencia ambiental de las UF1 y UF2, y de la Dirección de Bosques del MAVDT, con relación a la veda para ejecución de obras en la Ciénaga de la Virgen.</w:t>
      </w:r>
    </w:p>
    <w:p w:rsidR="00EB3BC8" w:rsidRPr="004706BE" w:rsidRDefault="00EB3BC8" w:rsidP="00EB3BC8">
      <w:pPr>
        <w:spacing w:line="240" w:lineRule="auto"/>
        <w:jc w:val="both"/>
        <w:rPr>
          <w:rFonts w:cstheme="minorHAnsi"/>
        </w:rPr>
      </w:pPr>
    </w:p>
    <w:p w:rsidR="00EB3BC8" w:rsidRPr="004706BE" w:rsidRDefault="004706BE" w:rsidP="004706BE">
      <w:pPr>
        <w:spacing w:after="0" w:line="240" w:lineRule="auto"/>
        <w:contextualSpacing/>
        <w:jc w:val="both"/>
        <w:rPr>
          <w:rFonts w:cstheme="minorHAnsi"/>
          <w:b/>
        </w:rPr>
      </w:pPr>
      <w:r>
        <w:rPr>
          <w:rFonts w:cstheme="minorHAnsi"/>
          <w:b/>
        </w:rPr>
        <w:t>Estudios y</w:t>
      </w:r>
      <w:r w:rsidRPr="004706BE">
        <w:rPr>
          <w:rFonts w:cstheme="minorHAnsi"/>
          <w:b/>
        </w:rPr>
        <w:t xml:space="preserve"> Diseños</w:t>
      </w:r>
    </w:p>
    <w:p w:rsidR="00EB3BC8" w:rsidRPr="004706BE" w:rsidRDefault="00EB3BC8" w:rsidP="00EB3BC8">
      <w:pPr>
        <w:spacing w:line="240" w:lineRule="auto"/>
        <w:jc w:val="both"/>
        <w:rPr>
          <w:rFonts w:cstheme="minorHAnsi"/>
        </w:rPr>
      </w:pPr>
    </w:p>
    <w:p w:rsidR="00EB3BC8" w:rsidRPr="004706BE" w:rsidRDefault="00EB3BC8" w:rsidP="00EB3BC8">
      <w:pPr>
        <w:spacing w:line="240" w:lineRule="auto"/>
        <w:jc w:val="both"/>
        <w:rPr>
          <w:rFonts w:cstheme="minorHAnsi"/>
        </w:rPr>
      </w:pPr>
      <w:r w:rsidRPr="004706BE">
        <w:rPr>
          <w:rFonts w:cstheme="minorHAnsi"/>
        </w:rPr>
        <w:t xml:space="preserve">El Concesionario entregó el 2 de Junio el diseño geométrico de todas las unidades funcionales del Proyecto. A la fecha ha entregado los estudios de detalle de las UF2, UF5 y UF6; se comprometieron a entregar los estudios detalle de la UF4, y de la UF1 en el mes de Julio.   </w:t>
      </w:r>
    </w:p>
    <w:p w:rsidR="00EB3BC8" w:rsidRPr="004706BE" w:rsidRDefault="00EB3BC8" w:rsidP="00EB3BC8">
      <w:pPr>
        <w:spacing w:line="240" w:lineRule="auto"/>
        <w:jc w:val="both"/>
        <w:rPr>
          <w:rFonts w:cstheme="minorHAnsi"/>
        </w:rPr>
      </w:pPr>
      <w:r w:rsidRPr="004706BE">
        <w:rPr>
          <w:rFonts w:cstheme="minorHAnsi"/>
        </w:rPr>
        <w:t xml:space="preserve">Se suscribió el Otrosí No. 5 el 23 de Junio de 2015, con el cual se modificaron  algunas especificaciones técnicas propuestas en el Apéndice Técnico 1, relacionadas con el ancho del separador en las UF5 Y UF6, el ancho de la berma en la UF4, y el ancho del corredor en las  UF5 Y UF6.  </w:t>
      </w:r>
    </w:p>
    <w:p w:rsidR="00EB3BC8" w:rsidRPr="004706BE" w:rsidRDefault="00EB3BC8" w:rsidP="00EB3BC8">
      <w:pPr>
        <w:spacing w:line="240" w:lineRule="auto"/>
        <w:jc w:val="both"/>
        <w:rPr>
          <w:rFonts w:cstheme="minorHAnsi"/>
        </w:rPr>
      </w:pPr>
    </w:p>
    <w:p w:rsidR="00EB3BC8" w:rsidRPr="004706BE" w:rsidRDefault="004706BE" w:rsidP="00EB3BC8">
      <w:pPr>
        <w:spacing w:line="240" w:lineRule="auto"/>
        <w:jc w:val="both"/>
        <w:rPr>
          <w:rFonts w:cstheme="minorHAnsi"/>
          <w:b/>
        </w:rPr>
      </w:pPr>
      <w:r w:rsidRPr="004706BE">
        <w:rPr>
          <w:rFonts w:cstheme="minorHAnsi"/>
          <w:b/>
        </w:rPr>
        <w:t xml:space="preserve">Avance Del Plan </w:t>
      </w:r>
      <w:r>
        <w:rPr>
          <w:rFonts w:cstheme="minorHAnsi"/>
          <w:b/>
        </w:rPr>
        <w:t>d</w:t>
      </w:r>
      <w:r w:rsidRPr="004706BE">
        <w:rPr>
          <w:rFonts w:cstheme="minorHAnsi"/>
          <w:b/>
        </w:rPr>
        <w:t>e Acción</w:t>
      </w:r>
    </w:p>
    <w:p w:rsidR="00EB3BC8" w:rsidRPr="004706BE" w:rsidRDefault="00EB3BC8" w:rsidP="00EB3BC8">
      <w:pPr>
        <w:spacing w:line="240" w:lineRule="auto"/>
        <w:jc w:val="both"/>
        <w:rPr>
          <w:rFonts w:cstheme="minorHAnsi"/>
        </w:rPr>
      </w:pPr>
      <w:r w:rsidRPr="004706BE">
        <w:rPr>
          <w:rFonts w:cstheme="minorHAnsi"/>
        </w:rPr>
        <w:t>En cuanto al avance de las actividades incluidas en el Plan de Acción, se tiene:</w:t>
      </w:r>
    </w:p>
    <w:p w:rsidR="00EB3BC8" w:rsidRPr="004706BE" w:rsidRDefault="00EB3BC8" w:rsidP="00EB3BC8">
      <w:pPr>
        <w:spacing w:line="240" w:lineRule="auto"/>
        <w:jc w:val="both"/>
        <w:rPr>
          <w:rFonts w:cstheme="minorHAnsi"/>
        </w:rPr>
      </w:pPr>
    </w:p>
    <w:p w:rsidR="00EB3BC8" w:rsidRPr="004706BE" w:rsidRDefault="00EB3BC8" w:rsidP="00EB3BC8">
      <w:pPr>
        <w:spacing w:line="240" w:lineRule="auto"/>
        <w:jc w:val="both"/>
        <w:rPr>
          <w:rFonts w:cstheme="minorHAnsi"/>
        </w:rPr>
      </w:pPr>
      <w:r w:rsidRPr="004706BE">
        <w:rPr>
          <w:rFonts w:cstheme="minorHAnsi"/>
        </w:rPr>
        <w:t>Plan de Adquisición Predial – 90%</w:t>
      </w:r>
    </w:p>
    <w:p w:rsidR="00EB3BC8" w:rsidRPr="004706BE" w:rsidRDefault="00EB3BC8" w:rsidP="00EB3BC8">
      <w:pPr>
        <w:spacing w:line="240" w:lineRule="auto"/>
        <w:jc w:val="both"/>
        <w:rPr>
          <w:rFonts w:cstheme="minorHAnsi"/>
        </w:rPr>
      </w:pPr>
      <w:r w:rsidRPr="004706BE">
        <w:rPr>
          <w:rFonts w:cstheme="minorHAnsi"/>
        </w:rPr>
        <w:t>Estudios de trazado y diseño geométrico – 100%</w:t>
      </w:r>
    </w:p>
    <w:p w:rsidR="00EB3BC8" w:rsidRPr="004706BE" w:rsidRDefault="00EB3BC8" w:rsidP="00EB3BC8">
      <w:pPr>
        <w:spacing w:line="240" w:lineRule="auto"/>
        <w:jc w:val="both"/>
        <w:rPr>
          <w:rFonts w:cstheme="minorHAnsi"/>
        </w:rPr>
      </w:pPr>
      <w:r w:rsidRPr="004706BE">
        <w:rPr>
          <w:rFonts w:cstheme="minorHAnsi"/>
        </w:rPr>
        <w:t>Plan de Obras – 0%</w:t>
      </w:r>
    </w:p>
    <w:p w:rsidR="00EB3BC8" w:rsidRPr="005133E0" w:rsidRDefault="00EB3BC8" w:rsidP="00EB3BC8">
      <w:pPr>
        <w:spacing w:line="240" w:lineRule="auto"/>
        <w:jc w:val="both"/>
        <w:rPr>
          <w:rFonts w:ascii="Arial" w:hAnsi="Arial" w:cs="Arial"/>
        </w:rPr>
      </w:pPr>
      <w:r w:rsidRPr="004706BE">
        <w:rPr>
          <w:rFonts w:cstheme="minorHAnsi"/>
        </w:rPr>
        <w:t>Estudios de Detalle – 60%</w:t>
      </w:r>
    </w:p>
    <w:p w:rsidR="00EB3BC8" w:rsidRPr="005133E0" w:rsidRDefault="00EB3BC8" w:rsidP="00EB3BC8">
      <w:pPr>
        <w:spacing w:line="240" w:lineRule="auto"/>
        <w:jc w:val="both"/>
        <w:rPr>
          <w:rFonts w:ascii="Arial" w:hAnsi="Arial" w:cs="Arial"/>
          <w:b/>
        </w:rPr>
      </w:pPr>
    </w:p>
    <w:p w:rsidR="00EB3BC8" w:rsidRPr="005133E0" w:rsidRDefault="00EB3BC8" w:rsidP="00EB3BC8">
      <w:pPr>
        <w:spacing w:line="240" w:lineRule="auto"/>
        <w:jc w:val="both"/>
        <w:rPr>
          <w:rFonts w:ascii="Arial" w:hAnsi="Arial" w:cs="Arial"/>
          <w:b/>
        </w:rPr>
      </w:pPr>
    </w:p>
    <w:p w:rsidR="00EB3BC8" w:rsidRPr="00165651" w:rsidRDefault="00EB3BC8" w:rsidP="00EB3BC8">
      <w:pPr>
        <w:spacing w:line="240" w:lineRule="auto"/>
        <w:jc w:val="center"/>
        <w:rPr>
          <w:rFonts w:eastAsia="Times New Roman" w:cs="Calibri"/>
          <w:b/>
          <w:color w:val="000000"/>
          <w:u w:val="single"/>
        </w:rPr>
      </w:pPr>
      <w:r w:rsidRPr="00165651">
        <w:rPr>
          <w:rFonts w:eastAsia="Times New Roman" w:cs="Calibri"/>
          <w:b/>
          <w:color w:val="000000"/>
          <w:u w:val="single"/>
        </w:rPr>
        <w:t>GERENCIA AEROPUERTOS</w:t>
      </w:r>
    </w:p>
    <w:p w:rsidR="00EB3BC8" w:rsidRPr="005133E0" w:rsidRDefault="00EB3BC8" w:rsidP="00EB3BC8">
      <w:pPr>
        <w:spacing w:line="240" w:lineRule="auto"/>
        <w:jc w:val="both"/>
        <w:rPr>
          <w:rFonts w:ascii="Arial" w:eastAsiaTheme="minorHAnsi" w:hAnsi="Arial" w:cs="Arial"/>
          <w:b/>
        </w:rPr>
      </w:pPr>
    </w:p>
    <w:p w:rsidR="00EB3BC8" w:rsidRPr="00165651" w:rsidRDefault="00EB3BC8" w:rsidP="00EB3BC8">
      <w:pPr>
        <w:keepNext/>
        <w:keepLines/>
        <w:spacing w:before="240" w:after="0" w:line="240" w:lineRule="auto"/>
        <w:jc w:val="both"/>
        <w:outlineLvl w:val="0"/>
        <w:rPr>
          <w:rFonts w:eastAsiaTheme="majorEastAsia" w:cstheme="minorHAnsi"/>
          <w:b/>
          <w:u w:val="single"/>
        </w:rPr>
      </w:pPr>
      <w:bookmarkStart w:id="290" w:name="_Toc424884930"/>
      <w:bookmarkStart w:id="291" w:name="_Toc426547768"/>
      <w:bookmarkStart w:id="292" w:name="_Toc426558497"/>
      <w:bookmarkStart w:id="293" w:name="_Toc426559241"/>
      <w:r w:rsidRPr="00165651">
        <w:rPr>
          <w:rFonts w:eastAsiaTheme="majorEastAsia" w:cstheme="minorHAnsi"/>
          <w:b/>
          <w:u w:val="single"/>
        </w:rPr>
        <w:t>Antecedentes</w:t>
      </w:r>
      <w:bookmarkEnd w:id="290"/>
      <w:bookmarkEnd w:id="291"/>
      <w:bookmarkEnd w:id="292"/>
      <w:bookmarkEnd w:id="293"/>
    </w:p>
    <w:p w:rsidR="00EB3BC8" w:rsidRPr="005133E0" w:rsidRDefault="00EB3BC8" w:rsidP="00EB3BC8">
      <w:pPr>
        <w:spacing w:line="240" w:lineRule="auto"/>
        <w:jc w:val="both"/>
        <w:rPr>
          <w:rFonts w:eastAsiaTheme="minorHAnsi"/>
        </w:rPr>
      </w:pPr>
    </w:p>
    <w:p w:rsidR="00EB3BC8" w:rsidRPr="00165651" w:rsidRDefault="00EB3BC8" w:rsidP="00EB3BC8">
      <w:pPr>
        <w:spacing w:line="240" w:lineRule="auto"/>
        <w:jc w:val="both"/>
        <w:rPr>
          <w:rFonts w:eastAsiaTheme="minorHAnsi" w:cstheme="minorHAnsi"/>
        </w:rPr>
      </w:pPr>
      <w:r w:rsidRPr="005133E0">
        <w:rPr>
          <w:rFonts w:ascii="Arial" w:eastAsiaTheme="minorHAnsi" w:hAnsi="Arial" w:cs="Arial"/>
        </w:rPr>
        <w:t>A la fecha se encuentran en ejecución seis (6) contratos de concesión que fueron s</w:t>
      </w:r>
      <w:r w:rsidRPr="00165651">
        <w:rPr>
          <w:rFonts w:eastAsiaTheme="minorHAnsi" w:cstheme="minorHAnsi"/>
        </w:rPr>
        <w:t>ubrogados a la Agencia Nacional de Infraestructura por parte de la AEROCIVIL en el marco del Decreto Ley 4164 de 2011 y un (1) contrato de concesión No. 003-MARZO 5 DE 2015de Barranquilla que fue estructurado y adjudicado por la Agencia:</w:t>
      </w:r>
    </w:p>
    <w:tbl>
      <w:tblPr>
        <w:tblStyle w:val="Tablaconcuadrcula19"/>
        <w:tblW w:w="0" w:type="auto"/>
        <w:jc w:val="center"/>
        <w:tblLook w:val="04A0" w:firstRow="1" w:lastRow="0" w:firstColumn="1" w:lastColumn="0" w:noHBand="0" w:noVBand="1"/>
      </w:tblPr>
      <w:tblGrid>
        <w:gridCol w:w="3114"/>
        <w:gridCol w:w="3969"/>
      </w:tblGrid>
      <w:tr w:rsidR="00EB3BC8" w:rsidRPr="00165651" w:rsidTr="005E52E0">
        <w:trPr>
          <w:trHeight w:val="408"/>
          <w:jc w:val="center"/>
        </w:trPr>
        <w:tc>
          <w:tcPr>
            <w:tcW w:w="3114" w:type="dxa"/>
            <w:vAlign w:val="center"/>
            <w:hideMark/>
          </w:tcPr>
          <w:p w:rsidR="00EB3BC8" w:rsidRPr="00165651" w:rsidRDefault="00EB3BC8" w:rsidP="005E52E0">
            <w:pPr>
              <w:jc w:val="both"/>
              <w:rPr>
                <w:rFonts w:cstheme="minorHAnsi"/>
                <w:b/>
                <w:bCs/>
                <w:u w:val="single"/>
              </w:rPr>
            </w:pPr>
            <w:r w:rsidRPr="00165651">
              <w:rPr>
                <w:rFonts w:cstheme="minorHAnsi"/>
                <w:b/>
                <w:bCs/>
                <w:u w:val="single"/>
              </w:rPr>
              <w:t>CONCESIÓN</w:t>
            </w:r>
          </w:p>
        </w:tc>
        <w:tc>
          <w:tcPr>
            <w:tcW w:w="3969" w:type="dxa"/>
            <w:vAlign w:val="center"/>
            <w:hideMark/>
          </w:tcPr>
          <w:p w:rsidR="00EB3BC8" w:rsidRPr="00165651" w:rsidRDefault="00EB3BC8" w:rsidP="005E52E0">
            <w:pPr>
              <w:jc w:val="both"/>
              <w:rPr>
                <w:rFonts w:cstheme="minorHAnsi"/>
                <w:b/>
                <w:bCs/>
                <w:u w:val="single"/>
              </w:rPr>
            </w:pPr>
            <w:r w:rsidRPr="00165651">
              <w:rPr>
                <w:rFonts w:cstheme="minorHAnsi"/>
                <w:b/>
                <w:bCs/>
                <w:u w:val="single"/>
              </w:rPr>
              <w:t>CTO CONCESIÓN</w:t>
            </w:r>
          </w:p>
        </w:tc>
      </w:tr>
      <w:tr w:rsidR="00EB3BC8" w:rsidRPr="00165651" w:rsidTr="005E52E0">
        <w:trPr>
          <w:trHeight w:val="271"/>
          <w:jc w:val="center"/>
        </w:trPr>
        <w:tc>
          <w:tcPr>
            <w:tcW w:w="3114" w:type="dxa"/>
            <w:vAlign w:val="center"/>
            <w:hideMark/>
          </w:tcPr>
          <w:p w:rsidR="00EB3BC8" w:rsidRPr="00165651" w:rsidRDefault="00EB3BC8" w:rsidP="005E52E0">
            <w:pPr>
              <w:jc w:val="both"/>
              <w:rPr>
                <w:rFonts w:cstheme="minorHAnsi"/>
              </w:rPr>
            </w:pPr>
            <w:r w:rsidRPr="00165651">
              <w:rPr>
                <w:rFonts w:cstheme="minorHAnsi"/>
              </w:rPr>
              <w:t>CARTAGENA</w:t>
            </w:r>
          </w:p>
        </w:tc>
        <w:tc>
          <w:tcPr>
            <w:tcW w:w="3969" w:type="dxa"/>
            <w:vAlign w:val="center"/>
            <w:hideMark/>
          </w:tcPr>
          <w:p w:rsidR="00EB3BC8" w:rsidRPr="00165651" w:rsidRDefault="00EB3BC8" w:rsidP="005E52E0">
            <w:pPr>
              <w:jc w:val="both"/>
              <w:rPr>
                <w:rFonts w:cstheme="minorHAnsi"/>
              </w:rPr>
            </w:pPr>
            <w:r w:rsidRPr="00165651">
              <w:rPr>
                <w:rFonts w:cstheme="minorHAnsi"/>
              </w:rPr>
              <w:t>0186 DE 1996</w:t>
            </w:r>
          </w:p>
        </w:tc>
      </w:tr>
      <w:tr w:rsidR="00EB3BC8" w:rsidRPr="00165651" w:rsidTr="005E52E0">
        <w:trPr>
          <w:trHeight w:val="250"/>
          <w:jc w:val="center"/>
        </w:trPr>
        <w:tc>
          <w:tcPr>
            <w:tcW w:w="3114" w:type="dxa"/>
            <w:vAlign w:val="center"/>
            <w:hideMark/>
          </w:tcPr>
          <w:p w:rsidR="00EB3BC8" w:rsidRPr="00165651" w:rsidRDefault="00EB3BC8" w:rsidP="005E52E0">
            <w:pPr>
              <w:jc w:val="both"/>
              <w:rPr>
                <w:rFonts w:cstheme="minorHAnsi"/>
              </w:rPr>
            </w:pPr>
            <w:r w:rsidRPr="00165651">
              <w:rPr>
                <w:rFonts w:cstheme="minorHAnsi"/>
              </w:rPr>
              <w:t>CENTRO NORTE</w:t>
            </w:r>
          </w:p>
        </w:tc>
        <w:tc>
          <w:tcPr>
            <w:tcW w:w="3969" w:type="dxa"/>
            <w:vAlign w:val="center"/>
            <w:hideMark/>
          </w:tcPr>
          <w:p w:rsidR="00EB3BC8" w:rsidRPr="00165651" w:rsidRDefault="00EB3BC8" w:rsidP="005E52E0">
            <w:pPr>
              <w:jc w:val="both"/>
              <w:rPr>
                <w:rFonts w:cstheme="minorHAnsi"/>
              </w:rPr>
            </w:pPr>
            <w:r w:rsidRPr="00165651">
              <w:rPr>
                <w:rFonts w:cstheme="minorHAnsi"/>
              </w:rPr>
              <w:t>8000011-OK DE 2008</w:t>
            </w:r>
          </w:p>
        </w:tc>
      </w:tr>
      <w:tr w:rsidR="00EB3BC8" w:rsidRPr="00165651" w:rsidTr="005E52E0">
        <w:trPr>
          <w:trHeight w:val="214"/>
          <w:jc w:val="center"/>
        </w:trPr>
        <w:tc>
          <w:tcPr>
            <w:tcW w:w="3114" w:type="dxa"/>
            <w:vAlign w:val="center"/>
            <w:hideMark/>
          </w:tcPr>
          <w:p w:rsidR="00EB3BC8" w:rsidRPr="00165651" w:rsidRDefault="00EB3BC8" w:rsidP="005E52E0">
            <w:pPr>
              <w:jc w:val="both"/>
              <w:rPr>
                <w:rFonts w:cstheme="minorHAnsi"/>
              </w:rPr>
            </w:pPr>
            <w:r w:rsidRPr="00165651">
              <w:rPr>
                <w:rFonts w:cstheme="minorHAnsi"/>
              </w:rPr>
              <w:t xml:space="preserve">BARRANQUILLA </w:t>
            </w:r>
          </w:p>
        </w:tc>
        <w:tc>
          <w:tcPr>
            <w:tcW w:w="3969" w:type="dxa"/>
            <w:vAlign w:val="center"/>
            <w:hideMark/>
          </w:tcPr>
          <w:p w:rsidR="00EB3BC8" w:rsidRPr="00165651" w:rsidRDefault="00EB3BC8" w:rsidP="005E52E0">
            <w:pPr>
              <w:jc w:val="both"/>
              <w:rPr>
                <w:rFonts w:cstheme="minorHAnsi"/>
              </w:rPr>
            </w:pPr>
            <w:r w:rsidRPr="00165651">
              <w:rPr>
                <w:rFonts w:cstheme="minorHAnsi"/>
              </w:rPr>
              <w:t>003-MARZO 5 DE 2015</w:t>
            </w:r>
          </w:p>
        </w:tc>
      </w:tr>
      <w:tr w:rsidR="00EB3BC8" w:rsidRPr="00165651" w:rsidTr="005E52E0">
        <w:trPr>
          <w:trHeight w:val="320"/>
          <w:jc w:val="center"/>
        </w:trPr>
        <w:tc>
          <w:tcPr>
            <w:tcW w:w="3114" w:type="dxa"/>
            <w:vAlign w:val="center"/>
            <w:hideMark/>
          </w:tcPr>
          <w:p w:rsidR="00EB3BC8" w:rsidRPr="00165651" w:rsidRDefault="00EB3BC8" w:rsidP="005E52E0">
            <w:pPr>
              <w:jc w:val="both"/>
              <w:rPr>
                <w:rFonts w:cstheme="minorHAnsi"/>
              </w:rPr>
            </w:pPr>
            <w:r w:rsidRPr="00165651">
              <w:rPr>
                <w:rFonts w:cstheme="minorHAnsi"/>
              </w:rPr>
              <w:t>CODAD - 2P</w:t>
            </w:r>
          </w:p>
        </w:tc>
        <w:tc>
          <w:tcPr>
            <w:tcW w:w="3969" w:type="dxa"/>
            <w:vAlign w:val="center"/>
            <w:hideMark/>
          </w:tcPr>
          <w:p w:rsidR="00EB3BC8" w:rsidRPr="00165651" w:rsidRDefault="00EB3BC8" w:rsidP="005E52E0">
            <w:pPr>
              <w:jc w:val="both"/>
              <w:rPr>
                <w:rFonts w:cstheme="minorHAnsi"/>
              </w:rPr>
            </w:pPr>
            <w:r w:rsidRPr="00165651">
              <w:rPr>
                <w:rFonts w:cstheme="minorHAnsi"/>
              </w:rPr>
              <w:t>0110-O.P. DE 1995</w:t>
            </w:r>
          </w:p>
        </w:tc>
      </w:tr>
      <w:tr w:rsidR="00EB3BC8" w:rsidRPr="00165651" w:rsidTr="005E52E0">
        <w:trPr>
          <w:trHeight w:val="284"/>
          <w:jc w:val="center"/>
        </w:trPr>
        <w:tc>
          <w:tcPr>
            <w:tcW w:w="3114" w:type="dxa"/>
            <w:vAlign w:val="center"/>
            <w:hideMark/>
          </w:tcPr>
          <w:p w:rsidR="00EB3BC8" w:rsidRPr="00165651" w:rsidRDefault="00EB3BC8" w:rsidP="005E52E0">
            <w:pPr>
              <w:jc w:val="both"/>
              <w:rPr>
                <w:rFonts w:cstheme="minorHAnsi"/>
              </w:rPr>
            </w:pPr>
            <w:r w:rsidRPr="00165651">
              <w:rPr>
                <w:rFonts w:cstheme="minorHAnsi"/>
              </w:rPr>
              <w:t>ELDORADO</w:t>
            </w:r>
          </w:p>
        </w:tc>
        <w:tc>
          <w:tcPr>
            <w:tcW w:w="3969" w:type="dxa"/>
            <w:vAlign w:val="center"/>
            <w:hideMark/>
          </w:tcPr>
          <w:p w:rsidR="00EB3BC8" w:rsidRPr="00165651" w:rsidRDefault="00EB3BC8" w:rsidP="005E52E0">
            <w:pPr>
              <w:jc w:val="both"/>
              <w:rPr>
                <w:rFonts w:cstheme="minorHAnsi"/>
              </w:rPr>
            </w:pPr>
            <w:r w:rsidRPr="00165651">
              <w:rPr>
                <w:rFonts w:cstheme="minorHAnsi"/>
              </w:rPr>
              <w:t>6000169-OK DE 2006</w:t>
            </w:r>
          </w:p>
        </w:tc>
      </w:tr>
      <w:tr w:rsidR="00EB3BC8" w:rsidRPr="00165651" w:rsidTr="005E52E0">
        <w:trPr>
          <w:trHeight w:val="248"/>
          <w:jc w:val="center"/>
        </w:trPr>
        <w:tc>
          <w:tcPr>
            <w:tcW w:w="3114" w:type="dxa"/>
            <w:vAlign w:val="center"/>
            <w:hideMark/>
          </w:tcPr>
          <w:p w:rsidR="00EB3BC8" w:rsidRPr="00165651" w:rsidRDefault="00EB3BC8" w:rsidP="005E52E0">
            <w:pPr>
              <w:jc w:val="both"/>
              <w:rPr>
                <w:rFonts w:cstheme="minorHAnsi"/>
              </w:rPr>
            </w:pPr>
            <w:r w:rsidRPr="00165651">
              <w:rPr>
                <w:rFonts w:cstheme="minorHAnsi"/>
              </w:rPr>
              <w:t>NORORIENTE</w:t>
            </w:r>
          </w:p>
        </w:tc>
        <w:tc>
          <w:tcPr>
            <w:tcW w:w="3969" w:type="dxa"/>
            <w:vAlign w:val="center"/>
            <w:hideMark/>
          </w:tcPr>
          <w:p w:rsidR="00EB3BC8" w:rsidRPr="00165651" w:rsidRDefault="00EB3BC8" w:rsidP="005E52E0">
            <w:pPr>
              <w:jc w:val="both"/>
              <w:rPr>
                <w:rFonts w:cstheme="minorHAnsi"/>
              </w:rPr>
            </w:pPr>
            <w:r w:rsidRPr="00165651">
              <w:rPr>
                <w:rFonts w:cstheme="minorHAnsi"/>
              </w:rPr>
              <w:t>10000078 - OK DE 2010</w:t>
            </w:r>
          </w:p>
        </w:tc>
      </w:tr>
      <w:tr w:rsidR="00EB3BC8" w:rsidRPr="00165651" w:rsidTr="005E52E0">
        <w:trPr>
          <w:trHeight w:val="212"/>
          <w:jc w:val="center"/>
        </w:trPr>
        <w:tc>
          <w:tcPr>
            <w:tcW w:w="3114" w:type="dxa"/>
            <w:vAlign w:val="center"/>
            <w:hideMark/>
          </w:tcPr>
          <w:p w:rsidR="00EB3BC8" w:rsidRPr="00165651" w:rsidRDefault="00EB3BC8" w:rsidP="005E52E0">
            <w:pPr>
              <w:jc w:val="both"/>
              <w:rPr>
                <w:rFonts w:cstheme="minorHAnsi"/>
              </w:rPr>
            </w:pPr>
            <w:r w:rsidRPr="00165651">
              <w:rPr>
                <w:rFonts w:cstheme="minorHAnsi"/>
              </w:rPr>
              <w:t>CALI</w:t>
            </w:r>
          </w:p>
        </w:tc>
        <w:tc>
          <w:tcPr>
            <w:tcW w:w="3969" w:type="dxa"/>
            <w:vAlign w:val="center"/>
            <w:hideMark/>
          </w:tcPr>
          <w:p w:rsidR="00EB3BC8" w:rsidRPr="00165651" w:rsidRDefault="00EB3BC8" w:rsidP="005E52E0">
            <w:pPr>
              <w:jc w:val="both"/>
              <w:rPr>
                <w:rFonts w:cstheme="minorHAnsi"/>
              </w:rPr>
            </w:pPr>
            <w:r w:rsidRPr="00165651">
              <w:rPr>
                <w:rFonts w:cstheme="minorHAnsi"/>
              </w:rPr>
              <w:t>058-CON DE 2000</w:t>
            </w:r>
          </w:p>
        </w:tc>
      </w:tr>
    </w:tbl>
    <w:p w:rsidR="00EB3BC8" w:rsidRPr="00165651" w:rsidRDefault="00EB3BC8" w:rsidP="00EB3BC8">
      <w:pPr>
        <w:spacing w:line="240" w:lineRule="auto"/>
        <w:jc w:val="both"/>
        <w:rPr>
          <w:rFonts w:eastAsiaTheme="minorHAnsi" w:cstheme="minorHAnsi"/>
          <w:b/>
        </w:rPr>
      </w:pPr>
      <w:r w:rsidRPr="00165651">
        <w:rPr>
          <w:rFonts w:eastAsiaTheme="minorHAnsi" w:cstheme="minorHAnsi"/>
        </w:rPr>
        <w:tab/>
      </w:r>
    </w:p>
    <w:p w:rsidR="00EB3BC8" w:rsidRPr="00165651" w:rsidRDefault="00EB3BC8" w:rsidP="00EB3BC8">
      <w:pPr>
        <w:keepNext/>
        <w:keepLines/>
        <w:spacing w:before="240" w:after="0" w:line="240" w:lineRule="auto"/>
        <w:jc w:val="both"/>
        <w:outlineLvl w:val="0"/>
        <w:rPr>
          <w:rFonts w:eastAsiaTheme="majorEastAsia" w:cstheme="minorHAnsi"/>
          <w:b/>
          <w:u w:val="single"/>
        </w:rPr>
      </w:pPr>
      <w:bookmarkStart w:id="294" w:name="_Toc424884931"/>
      <w:bookmarkStart w:id="295" w:name="_Toc426547769"/>
      <w:bookmarkStart w:id="296" w:name="_Toc426558498"/>
      <w:bookmarkStart w:id="297" w:name="_Toc426559242"/>
      <w:r w:rsidRPr="00165651">
        <w:rPr>
          <w:rFonts w:eastAsiaTheme="majorEastAsia" w:cstheme="minorHAnsi"/>
          <w:b/>
          <w:u w:val="single"/>
        </w:rPr>
        <w:t>Recurso Asignado</w:t>
      </w:r>
      <w:bookmarkEnd w:id="294"/>
      <w:bookmarkEnd w:id="295"/>
      <w:bookmarkEnd w:id="296"/>
      <w:bookmarkEnd w:id="297"/>
    </w:p>
    <w:p w:rsidR="00EB3BC8" w:rsidRPr="00165651" w:rsidRDefault="00EB3BC8" w:rsidP="00EB3BC8">
      <w:pPr>
        <w:spacing w:line="240" w:lineRule="auto"/>
        <w:jc w:val="both"/>
        <w:rPr>
          <w:rFonts w:eastAsiaTheme="minorHAnsi" w:cstheme="minorHAnsi"/>
        </w:rPr>
      </w:pPr>
    </w:p>
    <w:p w:rsidR="00EB3BC8" w:rsidRPr="00165651" w:rsidRDefault="00EB3BC8" w:rsidP="00EB3BC8">
      <w:pPr>
        <w:spacing w:line="240" w:lineRule="auto"/>
        <w:jc w:val="both"/>
        <w:rPr>
          <w:rFonts w:eastAsiaTheme="minorHAnsi" w:cstheme="minorHAnsi"/>
        </w:rPr>
      </w:pPr>
      <w:r w:rsidRPr="00165651">
        <w:rPr>
          <w:rFonts w:eastAsiaTheme="minorHAnsi" w:cstheme="minorHAnsi"/>
        </w:rPr>
        <w:t>El recurso asignado para la vigencia 2015 por la Agencia es de $1.000 millones de pesos los cuales se encuentran asignados de la siguiente manera:</w:t>
      </w:r>
    </w:p>
    <w:p w:rsidR="00EB3BC8" w:rsidRPr="00165651" w:rsidRDefault="00EB3BC8" w:rsidP="00EB3BC8">
      <w:pPr>
        <w:spacing w:line="240" w:lineRule="auto"/>
        <w:jc w:val="both"/>
        <w:rPr>
          <w:rFonts w:eastAsiaTheme="minorHAnsi" w:cstheme="minorHAnsi"/>
        </w:rPr>
      </w:pPr>
    </w:p>
    <w:tbl>
      <w:tblPr>
        <w:tblW w:w="8500" w:type="dxa"/>
        <w:jc w:val="center"/>
        <w:tblCellMar>
          <w:left w:w="70" w:type="dxa"/>
          <w:right w:w="70" w:type="dxa"/>
        </w:tblCellMar>
        <w:tblLook w:val="04A0" w:firstRow="1" w:lastRow="0" w:firstColumn="1" w:lastColumn="0" w:noHBand="0" w:noVBand="1"/>
      </w:tblPr>
      <w:tblGrid>
        <w:gridCol w:w="6516"/>
        <w:gridCol w:w="1984"/>
      </w:tblGrid>
      <w:tr w:rsidR="00EB3BC8" w:rsidRPr="00165651" w:rsidTr="005E52E0">
        <w:trPr>
          <w:trHeight w:val="314"/>
          <w:jc w:val="center"/>
        </w:trPr>
        <w:tc>
          <w:tcPr>
            <w:tcW w:w="6516" w:type="dxa"/>
            <w:tcBorders>
              <w:top w:val="single" w:sz="4" w:space="0" w:color="auto"/>
              <w:left w:val="single" w:sz="4" w:space="0" w:color="auto"/>
              <w:bottom w:val="single" w:sz="4" w:space="0" w:color="auto"/>
              <w:right w:val="single" w:sz="4" w:space="0" w:color="auto"/>
            </w:tcBorders>
            <w:shd w:val="clear" w:color="000000" w:fill="4F81BD"/>
            <w:vAlign w:val="center"/>
            <w:hideMark/>
          </w:tcPr>
          <w:p w:rsidR="00EB3BC8" w:rsidRPr="00165651" w:rsidRDefault="00EB3BC8" w:rsidP="005E52E0">
            <w:pPr>
              <w:spacing w:after="0" w:line="240" w:lineRule="auto"/>
              <w:jc w:val="center"/>
              <w:rPr>
                <w:rFonts w:eastAsia="Times New Roman" w:cstheme="minorHAnsi"/>
                <w:b/>
                <w:bCs/>
                <w:color w:val="FFFFFF"/>
                <w:lang w:eastAsia="es-MX"/>
              </w:rPr>
            </w:pPr>
            <w:r w:rsidRPr="00165651">
              <w:rPr>
                <w:rFonts w:eastAsia="Times New Roman" w:cstheme="minorHAnsi"/>
                <w:b/>
                <w:bCs/>
                <w:color w:val="FFFFFF"/>
                <w:lang w:eastAsia="es-MX"/>
              </w:rPr>
              <w:t>Descripción</w:t>
            </w:r>
          </w:p>
        </w:tc>
        <w:tc>
          <w:tcPr>
            <w:tcW w:w="1984" w:type="dxa"/>
            <w:tcBorders>
              <w:top w:val="single" w:sz="4" w:space="0" w:color="auto"/>
              <w:left w:val="nil"/>
              <w:bottom w:val="single" w:sz="4" w:space="0" w:color="auto"/>
              <w:right w:val="single" w:sz="4" w:space="0" w:color="auto"/>
            </w:tcBorders>
            <w:shd w:val="clear" w:color="000000" w:fill="4F81BD"/>
            <w:vAlign w:val="center"/>
            <w:hideMark/>
          </w:tcPr>
          <w:p w:rsidR="00EB3BC8" w:rsidRPr="00165651" w:rsidRDefault="00EB3BC8" w:rsidP="005E52E0">
            <w:pPr>
              <w:spacing w:after="0" w:line="240" w:lineRule="auto"/>
              <w:jc w:val="center"/>
              <w:rPr>
                <w:rFonts w:eastAsia="Times New Roman" w:cstheme="minorHAnsi"/>
                <w:b/>
                <w:bCs/>
                <w:color w:val="FFFFFF"/>
                <w:lang w:eastAsia="es-MX"/>
              </w:rPr>
            </w:pPr>
            <w:r w:rsidRPr="00165651">
              <w:rPr>
                <w:rFonts w:eastAsia="Times New Roman" w:cstheme="minorHAnsi"/>
                <w:b/>
                <w:bCs/>
                <w:color w:val="FFFFFF"/>
                <w:lang w:eastAsia="es-MX"/>
              </w:rPr>
              <w:t>Valor total estimado</w:t>
            </w:r>
          </w:p>
        </w:tc>
      </w:tr>
      <w:tr w:rsidR="00EB3BC8" w:rsidRPr="00165651" w:rsidTr="005E52E0">
        <w:trPr>
          <w:trHeight w:val="829"/>
          <w:jc w:val="center"/>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EB3BC8" w:rsidRPr="00165651" w:rsidRDefault="00EB3BC8" w:rsidP="005E52E0">
            <w:pPr>
              <w:spacing w:after="0" w:line="240" w:lineRule="auto"/>
              <w:jc w:val="both"/>
              <w:rPr>
                <w:rFonts w:eastAsia="Times New Roman" w:cstheme="minorHAnsi"/>
                <w:b/>
                <w:bCs/>
                <w:color w:val="000000"/>
                <w:lang w:eastAsia="es-MX"/>
              </w:rPr>
            </w:pPr>
            <w:r w:rsidRPr="00165651">
              <w:rPr>
                <w:rFonts w:eastAsia="Times New Roman" w:cstheme="minorHAnsi"/>
                <w:b/>
                <w:bCs/>
                <w:color w:val="000000"/>
                <w:lang w:eastAsia="es-MX"/>
              </w:rPr>
              <w:t>Consultorías contrato de Concesión Modo Aeroportuario - Centronorte, Interventoría Técnica para la supervisión de las obras "Ampliación terminal de pasajeros - Aeropuerto Los Garzones de Montería".</w:t>
            </w:r>
          </w:p>
        </w:tc>
        <w:tc>
          <w:tcPr>
            <w:tcW w:w="1984" w:type="dxa"/>
            <w:tcBorders>
              <w:top w:val="nil"/>
              <w:left w:val="nil"/>
              <w:bottom w:val="single" w:sz="4" w:space="0" w:color="auto"/>
              <w:right w:val="single" w:sz="4" w:space="0" w:color="auto"/>
            </w:tcBorders>
            <w:shd w:val="clear" w:color="auto" w:fill="auto"/>
            <w:vAlign w:val="center"/>
            <w:hideMark/>
          </w:tcPr>
          <w:p w:rsidR="00EB3BC8" w:rsidRPr="00165651" w:rsidRDefault="00EB3BC8" w:rsidP="005E52E0">
            <w:pPr>
              <w:spacing w:after="0" w:line="240" w:lineRule="auto"/>
              <w:jc w:val="right"/>
              <w:rPr>
                <w:rFonts w:eastAsia="Times New Roman" w:cstheme="minorHAnsi"/>
                <w:b/>
                <w:bCs/>
                <w:color w:val="000000"/>
                <w:lang w:eastAsia="es-MX"/>
              </w:rPr>
            </w:pPr>
            <w:r w:rsidRPr="00165651">
              <w:rPr>
                <w:rFonts w:eastAsia="Times New Roman" w:cstheme="minorHAnsi"/>
                <w:b/>
                <w:bCs/>
                <w:color w:val="000000"/>
                <w:lang w:eastAsia="es-MX"/>
              </w:rPr>
              <w:t xml:space="preserve"> $971.994.809 </w:t>
            </w:r>
          </w:p>
        </w:tc>
      </w:tr>
      <w:tr w:rsidR="00EB3BC8" w:rsidRPr="00165651" w:rsidTr="005E52E0">
        <w:trPr>
          <w:trHeight w:val="423"/>
          <w:jc w:val="center"/>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EB3BC8" w:rsidRPr="00165651" w:rsidRDefault="00EB3BC8" w:rsidP="005E52E0">
            <w:pPr>
              <w:spacing w:after="0" w:line="240" w:lineRule="auto"/>
              <w:jc w:val="both"/>
              <w:rPr>
                <w:rFonts w:eastAsia="Times New Roman" w:cstheme="minorHAnsi"/>
                <w:b/>
                <w:bCs/>
                <w:color w:val="000000"/>
                <w:lang w:eastAsia="es-MX"/>
              </w:rPr>
            </w:pPr>
            <w:r w:rsidRPr="00165651">
              <w:rPr>
                <w:rFonts w:eastAsia="Times New Roman" w:cstheme="minorHAnsi"/>
                <w:b/>
                <w:bCs/>
                <w:color w:val="000000"/>
                <w:lang w:eastAsia="es-MX"/>
              </w:rPr>
              <w:t>Interventorías, contrato de Concesión Modo Aeroportuario - CODAD. Interventoría de Diseños - Calles de Salida Rápida.</w:t>
            </w:r>
          </w:p>
        </w:tc>
        <w:tc>
          <w:tcPr>
            <w:tcW w:w="1984" w:type="dxa"/>
            <w:tcBorders>
              <w:top w:val="nil"/>
              <w:left w:val="nil"/>
              <w:bottom w:val="single" w:sz="4" w:space="0" w:color="auto"/>
              <w:right w:val="single" w:sz="4" w:space="0" w:color="auto"/>
            </w:tcBorders>
            <w:shd w:val="clear" w:color="auto" w:fill="auto"/>
            <w:vAlign w:val="center"/>
            <w:hideMark/>
          </w:tcPr>
          <w:p w:rsidR="00EB3BC8" w:rsidRPr="00165651" w:rsidRDefault="00EB3BC8" w:rsidP="005E52E0">
            <w:pPr>
              <w:spacing w:after="0" w:line="240" w:lineRule="auto"/>
              <w:jc w:val="right"/>
              <w:rPr>
                <w:rFonts w:eastAsia="Times New Roman" w:cstheme="minorHAnsi"/>
                <w:b/>
                <w:bCs/>
                <w:color w:val="000000"/>
                <w:lang w:eastAsia="es-MX"/>
              </w:rPr>
            </w:pPr>
            <w:r w:rsidRPr="00165651">
              <w:rPr>
                <w:rFonts w:eastAsia="Times New Roman" w:cstheme="minorHAnsi"/>
                <w:b/>
                <w:bCs/>
                <w:color w:val="000000"/>
                <w:lang w:eastAsia="es-MX"/>
              </w:rPr>
              <w:t xml:space="preserve"> $24.005.191 </w:t>
            </w:r>
          </w:p>
        </w:tc>
      </w:tr>
      <w:tr w:rsidR="00EB3BC8" w:rsidRPr="00165651" w:rsidTr="005E52E0">
        <w:trPr>
          <w:trHeight w:val="415"/>
          <w:jc w:val="center"/>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EB3BC8" w:rsidRPr="00165651" w:rsidRDefault="00EB3BC8" w:rsidP="005E52E0">
            <w:pPr>
              <w:spacing w:after="0" w:line="240" w:lineRule="auto"/>
              <w:jc w:val="both"/>
              <w:rPr>
                <w:rFonts w:eastAsia="Times New Roman" w:cstheme="minorHAnsi"/>
                <w:b/>
                <w:bCs/>
                <w:color w:val="000000"/>
                <w:lang w:eastAsia="es-MX"/>
              </w:rPr>
            </w:pPr>
            <w:r w:rsidRPr="00165651">
              <w:rPr>
                <w:rFonts w:eastAsia="Times New Roman" w:cstheme="minorHAnsi"/>
                <w:b/>
                <w:bCs/>
                <w:color w:val="000000"/>
                <w:lang w:eastAsia="es-MX"/>
              </w:rPr>
              <w:t>Impuesto a las transacciones financieras (4*mil)</w:t>
            </w:r>
          </w:p>
        </w:tc>
        <w:tc>
          <w:tcPr>
            <w:tcW w:w="1984" w:type="dxa"/>
            <w:tcBorders>
              <w:top w:val="nil"/>
              <w:left w:val="nil"/>
              <w:bottom w:val="single" w:sz="4" w:space="0" w:color="auto"/>
              <w:right w:val="single" w:sz="4" w:space="0" w:color="auto"/>
            </w:tcBorders>
            <w:shd w:val="clear" w:color="auto" w:fill="auto"/>
            <w:vAlign w:val="center"/>
            <w:hideMark/>
          </w:tcPr>
          <w:p w:rsidR="00EB3BC8" w:rsidRPr="00165651" w:rsidRDefault="00EB3BC8" w:rsidP="005E52E0">
            <w:pPr>
              <w:spacing w:after="0" w:line="240" w:lineRule="auto"/>
              <w:jc w:val="right"/>
              <w:rPr>
                <w:rFonts w:eastAsia="Times New Roman" w:cstheme="minorHAnsi"/>
                <w:b/>
                <w:bCs/>
                <w:color w:val="000000"/>
                <w:lang w:eastAsia="es-MX"/>
              </w:rPr>
            </w:pPr>
            <w:r w:rsidRPr="00165651">
              <w:rPr>
                <w:rFonts w:eastAsia="Times New Roman" w:cstheme="minorHAnsi"/>
                <w:b/>
                <w:bCs/>
                <w:color w:val="000000"/>
                <w:lang w:eastAsia="es-MX"/>
              </w:rPr>
              <w:t xml:space="preserve"> $4.000.000 </w:t>
            </w:r>
          </w:p>
        </w:tc>
      </w:tr>
      <w:tr w:rsidR="00EB3BC8" w:rsidRPr="00165651" w:rsidTr="005E52E0">
        <w:trPr>
          <w:trHeight w:val="142"/>
          <w:jc w:val="center"/>
        </w:trPr>
        <w:tc>
          <w:tcPr>
            <w:tcW w:w="6516" w:type="dxa"/>
            <w:tcBorders>
              <w:top w:val="nil"/>
              <w:left w:val="nil"/>
              <w:bottom w:val="nil"/>
              <w:right w:val="nil"/>
            </w:tcBorders>
            <w:shd w:val="clear" w:color="auto" w:fill="auto"/>
            <w:noWrap/>
            <w:vAlign w:val="center"/>
            <w:hideMark/>
          </w:tcPr>
          <w:p w:rsidR="00EB3BC8" w:rsidRPr="00165651" w:rsidRDefault="00EB3BC8" w:rsidP="005E52E0">
            <w:pPr>
              <w:spacing w:after="0" w:line="240" w:lineRule="auto"/>
              <w:rPr>
                <w:rFonts w:eastAsia="Times New Roman" w:cstheme="minorHAnsi"/>
                <w:color w:val="000000"/>
                <w:lang w:eastAsia="es-MX"/>
              </w:rPr>
            </w:pPr>
          </w:p>
        </w:tc>
        <w:tc>
          <w:tcPr>
            <w:tcW w:w="1984" w:type="dxa"/>
            <w:tcBorders>
              <w:top w:val="nil"/>
              <w:left w:val="nil"/>
              <w:bottom w:val="nil"/>
              <w:right w:val="nil"/>
            </w:tcBorders>
            <w:shd w:val="clear" w:color="auto" w:fill="auto"/>
            <w:noWrap/>
            <w:vAlign w:val="center"/>
            <w:hideMark/>
          </w:tcPr>
          <w:p w:rsidR="00EB3BC8" w:rsidRPr="00165651" w:rsidRDefault="00EB3BC8" w:rsidP="005E52E0">
            <w:pPr>
              <w:spacing w:after="0" w:line="240" w:lineRule="auto"/>
              <w:rPr>
                <w:rFonts w:eastAsia="Times New Roman" w:cstheme="minorHAnsi"/>
                <w:lang w:eastAsia="es-MX"/>
              </w:rPr>
            </w:pPr>
          </w:p>
        </w:tc>
      </w:tr>
      <w:tr w:rsidR="00EB3BC8" w:rsidRPr="00165651" w:rsidTr="005E52E0">
        <w:trPr>
          <w:trHeight w:val="400"/>
          <w:jc w:val="center"/>
        </w:trPr>
        <w:tc>
          <w:tcPr>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3BC8" w:rsidRPr="00165651" w:rsidRDefault="00EB3BC8" w:rsidP="005E52E0">
            <w:pPr>
              <w:spacing w:after="0" w:line="240" w:lineRule="auto"/>
              <w:jc w:val="both"/>
              <w:rPr>
                <w:rFonts w:eastAsia="Times New Roman" w:cstheme="minorHAnsi"/>
                <w:color w:val="000000"/>
                <w:lang w:eastAsia="es-MX"/>
              </w:rPr>
            </w:pPr>
            <w:r w:rsidRPr="00165651">
              <w:rPr>
                <w:rFonts w:eastAsia="Times New Roman" w:cstheme="minorHAnsi"/>
                <w:b/>
                <w:bCs/>
                <w:color w:val="000000"/>
                <w:lang w:eastAsia="es-MX"/>
              </w:rPr>
              <w:t>Total</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B3BC8" w:rsidRPr="00165651" w:rsidRDefault="00EB3BC8" w:rsidP="005E52E0">
            <w:pPr>
              <w:spacing w:after="0" w:line="240" w:lineRule="auto"/>
              <w:rPr>
                <w:rFonts w:eastAsia="Times New Roman" w:cstheme="minorHAnsi"/>
                <w:b/>
                <w:bCs/>
                <w:color w:val="000000"/>
                <w:lang w:eastAsia="es-MX"/>
              </w:rPr>
            </w:pPr>
            <w:r w:rsidRPr="00165651">
              <w:rPr>
                <w:rFonts w:eastAsia="Times New Roman" w:cstheme="minorHAnsi"/>
                <w:b/>
                <w:bCs/>
                <w:color w:val="000000"/>
                <w:lang w:eastAsia="es-MX"/>
              </w:rPr>
              <w:t xml:space="preserve">$     1,000,000,000 </w:t>
            </w:r>
          </w:p>
        </w:tc>
      </w:tr>
    </w:tbl>
    <w:p w:rsidR="00EB3BC8" w:rsidRPr="00165651" w:rsidRDefault="00EB3BC8" w:rsidP="00EB3BC8">
      <w:pPr>
        <w:spacing w:line="240" w:lineRule="auto"/>
        <w:jc w:val="both"/>
        <w:rPr>
          <w:rFonts w:eastAsiaTheme="minorHAnsi" w:cstheme="minorHAnsi"/>
          <w:sz w:val="28"/>
          <w:szCs w:val="28"/>
        </w:rPr>
      </w:pPr>
    </w:p>
    <w:p w:rsidR="00EB3BC8" w:rsidRPr="00165651" w:rsidRDefault="00EB3BC8" w:rsidP="00EB3BC8">
      <w:pPr>
        <w:keepNext/>
        <w:keepLines/>
        <w:spacing w:before="240" w:after="0" w:line="240" w:lineRule="auto"/>
        <w:jc w:val="both"/>
        <w:outlineLvl w:val="0"/>
        <w:rPr>
          <w:rFonts w:eastAsiaTheme="majorEastAsia" w:cstheme="minorHAnsi"/>
          <w:b/>
          <w:u w:val="single"/>
        </w:rPr>
      </w:pPr>
      <w:bookmarkStart w:id="298" w:name="_Toc424884932"/>
      <w:bookmarkStart w:id="299" w:name="_Toc426547770"/>
      <w:bookmarkStart w:id="300" w:name="_Toc426558499"/>
      <w:bookmarkStart w:id="301" w:name="_Toc426559243"/>
      <w:r w:rsidRPr="00165651">
        <w:rPr>
          <w:rFonts w:eastAsiaTheme="majorEastAsia" w:cstheme="minorHAnsi"/>
          <w:b/>
          <w:u w:val="single"/>
        </w:rPr>
        <w:t>Avance en la Contratación</w:t>
      </w:r>
      <w:bookmarkEnd w:id="298"/>
      <w:bookmarkEnd w:id="299"/>
      <w:bookmarkEnd w:id="300"/>
      <w:bookmarkEnd w:id="301"/>
    </w:p>
    <w:p w:rsidR="00EB3BC8" w:rsidRPr="00165651" w:rsidRDefault="00EB3BC8" w:rsidP="00EB3BC8">
      <w:pPr>
        <w:spacing w:line="240" w:lineRule="auto"/>
        <w:jc w:val="both"/>
        <w:rPr>
          <w:rFonts w:eastAsiaTheme="minorHAnsi" w:cstheme="minorHAnsi"/>
        </w:rPr>
      </w:pPr>
    </w:p>
    <w:p w:rsidR="00EB3BC8" w:rsidRPr="00165651" w:rsidRDefault="00EB3BC8" w:rsidP="00EB3BC8">
      <w:pPr>
        <w:spacing w:line="240" w:lineRule="auto"/>
        <w:jc w:val="both"/>
        <w:rPr>
          <w:rFonts w:eastAsiaTheme="minorHAnsi" w:cstheme="minorHAnsi"/>
        </w:rPr>
      </w:pPr>
      <w:r w:rsidRPr="00165651">
        <w:rPr>
          <w:rFonts w:eastAsiaTheme="minorHAnsi" w:cstheme="minorHAnsi"/>
        </w:rPr>
        <w:t>A 30 de junio de 2015, se obtuvieron siguientes resultados:</w:t>
      </w:r>
    </w:p>
    <w:tbl>
      <w:tblPr>
        <w:tblStyle w:val="Tablaconcuadrcula19"/>
        <w:tblW w:w="0" w:type="auto"/>
        <w:jc w:val="center"/>
        <w:tblLook w:val="04A0" w:firstRow="1" w:lastRow="0" w:firstColumn="1" w:lastColumn="0" w:noHBand="0" w:noVBand="1"/>
      </w:tblPr>
      <w:tblGrid>
        <w:gridCol w:w="4390"/>
        <w:gridCol w:w="1984"/>
        <w:gridCol w:w="1984"/>
      </w:tblGrid>
      <w:tr w:rsidR="00EB3BC8" w:rsidRPr="00165651" w:rsidTr="005E52E0">
        <w:trPr>
          <w:trHeight w:val="285"/>
          <w:jc w:val="center"/>
        </w:trPr>
        <w:tc>
          <w:tcPr>
            <w:tcW w:w="4390" w:type="dxa"/>
            <w:vAlign w:val="center"/>
            <w:hideMark/>
          </w:tcPr>
          <w:p w:rsidR="00EB3BC8" w:rsidRPr="00165651" w:rsidRDefault="00EB3BC8" w:rsidP="005E52E0">
            <w:pPr>
              <w:jc w:val="both"/>
              <w:rPr>
                <w:rFonts w:cstheme="minorHAnsi"/>
                <w:bCs/>
              </w:rPr>
            </w:pPr>
            <w:r w:rsidRPr="00165651">
              <w:rPr>
                <w:rFonts w:cstheme="minorHAnsi"/>
                <w:bCs/>
              </w:rPr>
              <w:t>Descripción</w:t>
            </w:r>
          </w:p>
        </w:tc>
        <w:tc>
          <w:tcPr>
            <w:tcW w:w="1984" w:type="dxa"/>
            <w:vAlign w:val="center"/>
          </w:tcPr>
          <w:p w:rsidR="00EB3BC8" w:rsidRPr="00165651" w:rsidRDefault="00EB3BC8" w:rsidP="005E52E0">
            <w:pPr>
              <w:jc w:val="both"/>
              <w:rPr>
                <w:rFonts w:cstheme="minorHAnsi"/>
                <w:bCs/>
              </w:rPr>
            </w:pPr>
            <w:r w:rsidRPr="00165651">
              <w:rPr>
                <w:rFonts w:cstheme="minorHAnsi"/>
                <w:bCs/>
              </w:rPr>
              <w:t>Estado</w:t>
            </w:r>
          </w:p>
        </w:tc>
        <w:tc>
          <w:tcPr>
            <w:tcW w:w="1984" w:type="dxa"/>
            <w:vAlign w:val="center"/>
          </w:tcPr>
          <w:p w:rsidR="00EB3BC8" w:rsidRPr="00165651" w:rsidRDefault="00EB3BC8" w:rsidP="005E52E0">
            <w:pPr>
              <w:jc w:val="both"/>
              <w:rPr>
                <w:rFonts w:cstheme="minorHAnsi"/>
                <w:bCs/>
              </w:rPr>
            </w:pPr>
            <w:r w:rsidRPr="00165651">
              <w:rPr>
                <w:rFonts w:cstheme="minorHAnsi"/>
                <w:bCs/>
              </w:rPr>
              <w:t>Soporte</w:t>
            </w:r>
          </w:p>
        </w:tc>
      </w:tr>
      <w:tr w:rsidR="00EB3BC8" w:rsidRPr="00165651" w:rsidTr="005E52E0">
        <w:trPr>
          <w:trHeight w:val="404"/>
          <w:jc w:val="center"/>
        </w:trPr>
        <w:tc>
          <w:tcPr>
            <w:tcW w:w="4390" w:type="dxa"/>
            <w:vAlign w:val="center"/>
            <w:hideMark/>
          </w:tcPr>
          <w:p w:rsidR="00EB3BC8" w:rsidRPr="00165651" w:rsidRDefault="00EB3BC8" w:rsidP="005E52E0">
            <w:pPr>
              <w:jc w:val="both"/>
              <w:rPr>
                <w:rFonts w:eastAsia="Times New Roman" w:cstheme="minorHAnsi"/>
                <w:bCs/>
                <w:color w:val="000000"/>
                <w:lang w:eastAsia="es-MX"/>
              </w:rPr>
            </w:pPr>
            <w:r w:rsidRPr="00165651">
              <w:rPr>
                <w:rFonts w:eastAsia="Times New Roman" w:cstheme="minorHAnsi"/>
                <w:bCs/>
                <w:color w:val="000000"/>
                <w:lang w:eastAsia="es-MX"/>
              </w:rPr>
              <w:lastRenderedPageBreak/>
              <w:t>Consultorías contrato de Concesión Modo Aeroportuario - Centronorte, Interventoría Técnica para la supervisión de las obras "Ampliación terminal de pasajeros - Aeropuerto Los Garzones de Montería".</w:t>
            </w:r>
          </w:p>
        </w:tc>
        <w:tc>
          <w:tcPr>
            <w:tcW w:w="1984" w:type="dxa"/>
            <w:vAlign w:val="center"/>
          </w:tcPr>
          <w:p w:rsidR="00EB3BC8" w:rsidRPr="00165651" w:rsidRDefault="00EB3BC8" w:rsidP="005E52E0">
            <w:pPr>
              <w:jc w:val="both"/>
              <w:rPr>
                <w:rFonts w:cstheme="minorHAnsi"/>
              </w:rPr>
            </w:pPr>
            <w:r w:rsidRPr="00165651">
              <w:rPr>
                <w:rFonts w:cstheme="minorHAnsi"/>
              </w:rPr>
              <w:t>Contratado</w:t>
            </w:r>
          </w:p>
        </w:tc>
        <w:tc>
          <w:tcPr>
            <w:tcW w:w="1984" w:type="dxa"/>
            <w:vAlign w:val="center"/>
          </w:tcPr>
          <w:p w:rsidR="00EB3BC8" w:rsidRPr="00165651" w:rsidRDefault="00EB3BC8" w:rsidP="005E52E0">
            <w:pPr>
              <w:jc w:val="both"/>
              <w:rPr>
                <w:rFonts w:cstheme="minorHAnsi"/>
              </w:rPr>
            </w:pPr>
            <w:r w:rsidRPr="00165651">
              <w:rPr>
                <w:rFonts w:cstheme="minorHAnsi"/>
              </w:rPr>
              <w:t>Contrato de interventoría No. 049 de 2014 – Otrosí No. 2</w:t>
            </w:r>
          </w:p>
        </w:tc>
      </w:tr>
      <w:tr w:rsidR="00EB3BC8" w:rsidRPr="00165651" w:rsidTr="005E52E0">
        <w:trPr>
          <w:trHeight w:val="1054"/>
          <w:jc w:val="center"/>
        </w:trPr>
        <w:tc>
          <w:tcPr>
            <w:tcW w:w="4390" w:type="dxa"/>
            <w:vAlign w:val="center"/>
            <w:hideMark/>
          </w:tcPr>
          <w:p w:rsidR="00EB3BC8" w:rsidRPr="00165651" w:rsidRDefault="00EB3BC8" w:rsidP="005E52E0">
            <w:pPr>
              <w:jc w:val="both"/>
              <w:rPr>
                <w:rFonts w:eastAsia="Times New Roman" w:cstheme="minorHAnsi"/>
                <w:bCs/>
                <w:color w:val="000000"/>
                <w:lang w:eastAsia="es-MX"/>
              </w:rPr>
            </w:pPr>
            <w:r w:rsidRPr="00165651">
              <w:rPr>
                <w:rFonts w:eastAsia="Times New Roman" w:cstheme="minorHAnsi"/>
                <w:bCs/>
                <w:color w:val="000000"/>
                <w:lang w:eastAsia="es-MX"/>
              </w:rPr>
              <w:t>Interventorías, contrato de Concesión Modo Aeroportuario - CODAD. Interventoría de Diseños - Calles de Salida Rápida.</w:t>
            </w:r>
          </w:p>
        </w:tc>
        <w:tc>
          <w:tcPr>
            <w:tcW w:w="1984" w:type="dxa"/>
            <w:vAlign w:val="center"/>
          </w:tcPr>
          <w:p w:rsidR="00EB3BC8" w:rsidRPr="00165651" w:rsidRDefault="00EB3BC8" w:rsidP="005E52E0">
            <w:pPr>
              <w:jc w:val="both"/>
              <w:rPr>
                <w:rFonts w:cstheme="minorHAnsi"/>
              </w:rPr>
            </w:pPr>
            <w:r w:rsidRPr="00165651">
              <w:rPr>
                <w:rFonts w:cstheme="minorHAnsi"/>
              </w:rPr>
              <w:t>Contratado</w:t>
            </w:r>
          </w:p>
        </w:tc>
        <w:tc>
          <w:tcPr>
            <w:tcW w:w="1984" w:type="dxa"/>
            <w:vAlign w:val="center"/>
          </w:tcPr>
          <w:p w:rsidR="00EB3BC8" w:rsidRPr="00165651" w:rsidRDefault="00EB3BC8" w:rsidP="005E52E0">
            <w:pPr>
              <w:jc w:val="both"/>
              <w:rPr>
                <w:rFonts w:cstheme="minorHAnsi"/>
              </w:rPr>
            </w:pPr>
            <w:r w:rsidRPr="00165651">
              <w:rPr>
                <w:rFonts w:cstheme="minorHAnsi"/>
              </w:rPr>
              <w:t>Contrato de interventoría No. 015 de 2014 – Otrosí No. 2</w:t>
            </w:r>
          </w:p>
        </w:tc>
      </w:tr>
    </w:tbl>
    <w:p w:rsidR="00EB3BC8" w:rsidRPr="00165651" w:rsidRDefault="00EB3BC8" w:rsidP="00EB3BC8">
      <w:pPr>
        <w:spacing w:line="240" w:lineRule="auto"/>
        <w:jc w:val="both"/>
        <w:rPr>
          <w:rFonts w:eastAsiaTheme="minorHAnsi" w:cstheme="minorHAnsi"/>
          <w:b/>
        </w:rPr>
      </w:pPr>
    </w:p>
    <w:p w:rsidR="00EB3BC8" w:rsidRPr="00165651" w:rsidRDefault="00EB3BC8" w:rsidP="00EB3BC8">
      <w:pPr>
        <w:keepNext/>
        <w:keepLines/>
        <w:spacing w:before="240" w:after="0" w:line="240" w:lineRule="auto"/>
        <w:jc w:val="both"/>
        <w:outlineLvl w:val="0"/>
        <w:rPr>
          <w:rFonts w:eastAsiaTheme="majorEastAsia" w:cstheme="minorHAnsi"/>
          <w:b/>
          <w:u w:val="single"/>
        </w:rPr>
      </w:pPr>
      <w:bookmarkStart w:id="302" w:name="_Toc424884933"/>
      <w:bookmarkStart w:id="303" w:name="_Toc426547771"/>
      <w:bookmarkStart w:id="304" w:name="_Toc426558500"/>
      <w:bookmarkStart w:id="305" w:name="_Toc426559244"/>
      <w:r w:rsidRPr="00165651">
        <w:rPr>
          <w:rFonts w:eastAsiaTheme="majorEastAsia" w:cstheme="minorHAnsi"/>
          <w:b/>
          <w:u w:val="single"/>
        </w:rPr>
        <w:t>Metas de Inversión</w:t>
      </w:r>
      <w:bookmarkEnd w:id="302"/>
      <w:bookmarkEnd w:id="303"/>
      <w:bookmarkEnd w:id="304"/>
      <w:bookmarkEnd w:id="305"/>
    </w:p>
    <w:p w:rsidR="00EB3BC8" w:rsidRPr="00165651" w:rsidRDefault="00EB3BC8" w:rsidP="00EB3BC8">
      <w:pPr>
        <w:spacing w:line="240" w:lineRule="auto"/>
        <w:jc w:val="both"/>
        <w:rPr>
          <w:rFonts w:eastAsiaTheme="minorHAnsi" w:cstheme="minorHAnsi"/>
        </w:rPr>
      </w:pPr>
    </w:p>
    <w:p w:rsidR="00EB3BC8" w:rsidRPr="00165651" w:rsidRDefault="00EB3BC8" w:rsidP="00EB3BC8">
      <w:pPr>
        <w:spacing w:line="240" w:lineRule="auto"/>
        <w:jc w:val="both"/>
        <w:rPr>
          <w:rFonts w:eastAsiaTheme="minorHAnsi" w:cstheme="minorHAnsi"/>
        </w:rPr>
      </w:pPr>
      <w:r w:rsidRPr="00165651">
        <w:rPr>
          <w:rFonts w:eastAsiaTheme="minorHAnsi" w:cstheme="minorHAnsi"/>
        </w:rPr>
        <w:t>A 30 de junio de 2015 se alcanzaron las siguientes metas:</w:t>
      </w:r>
    </w:p>
    <w:p w:rsidR="00EB3BC8" w:rsidRPr="00165651" w:rsidRDefault="00EB3BC8" w:rsidP="000021B2">
      <w:pPr>
        <w:numPr>
          <w:ilvl w:val="0"/>
          <w:numId w:val="58"/>
        </w:numPr>
        <w:spacing w:after="160" w:line="240" w:lineRule="auto"/>
        <w:contextualSpacing/>
        <w:jc w:val="both"/>
        <w:rPr>
          <w:rFonts w:eastAsiaTheme="minorHAnsi" w:cstheme="minorHAnsi"/>
        </w:rPr>
      </w:pPr>
      <w:r w:rsidRPr="00165651">
        <w:rPr>
          <w:rFonts w:eastAsiaTheme="minorHAnsi" w:cstheme="minorHAnsi"/>
        </w:rPr>
        <w:t>Contratación del 100% del recurso asignado.</w:t>
      </w:r>
    </w:p>
    <w:p w:rsidR="00EB3BC8" w:rsidRPr="00165651" w:rsidRDefault="00EB3BC8" w:rsidP="000021B2">
      <w:pPr>
        <w:numPr>
          <w:ilvl w:val="0"/>
          <w:numId w:val="58"/>
        </w:numPr>
        <w:spacing w:after="160" w:line="240" w:lineRule="auto"/>
        <w:contextualSpacing/>
        <w:jc w:val="both"/>
        <w:rPr>
          <w:rFonts w:eastAsiaTheme="minorHAnsi" w:cstheme="minorHAnsi"/>
        </w:rPr>
      </w:pPr>
      <w:r w:rsidRPr="00165651">
        <w:rPr>
          <w:rFonts w:eastAsiaTheme="minorHAnsi" w:cstheme="minorHAnsi"/>
        </w:rPr>
        <w:t>Autorización de pago del recurso asignado al Contrato de interventoría No. 015 de 2014 – Otrosí No. 2.</w:t>
      </w:r>
    </w:p>
    <w:p w:rsidR="00EB3BC8" w:rsidRPr="00165651" w:rsidRDefault="00EB3BC8" w:rsidP="00EB3BC8">
      <w:pPr>
        <w:spacing w:line="240" w:lineRule="auto"/>
        <w:jc w:val="both"/>
        <w:rPr>
          <w:rFonts w:eastAsiaTheme="minorHAnsi" w:cstheme="minorHAnsi"/>
          <w:b/>
        </w:rPr>
      </w:pPr>
    </w:p>
    <w:p w:rsidR="00EB3BC8" w:rsidRPr="00165651" w:rsidRDefault="00EB3BC8" w:rsidP="00EB3BC8">
      <w:pPr>
        <w:keepNext/>
        <w:keepLines/>
        <w:spacing w:before="240" w:after="0" w:line="240" w:lineRule="auto"/>
        <w:jc w:val="both"/>
        <w:outlineLvl w:val="0"/>
        <w:rPr>
          <w:rFonts w:eastAsiaTheme="majorEastAsia" w:cstheme="minorHAnsi"/>
          <w:b/>
          <w:u w:val="single"/>
        </w:rPr>
      </w:pPr>
      <w:bookmarkStart w:id="306" w:name="_Toc424884934"/>
      <w:bookmarkStart w:id="307" w:name="_Toc426547772"/>
      <w:bookmarkStart w:id="308" w:name="_Toc426558501"/>
      <w:bookmarkStart w:id="309" w:name="_Toc426559245"/>
      <w:r w:rsidRPr="00165651">
        <w:rPr>
          <w:rFonts w:eastAsiaTheme="majorEastAsia" w:cstheme="minorHAnsi"/>
          <w:b/>
          <w:u w:val="single"/>
        </w:rPr>
        <w:t>Metas – Actividades contempladas en el PAA</w:t>
      </w:r>
      <w:bookmarkEnd w:id="306"/>
      <w:bookmarkEnd w:id="307"/>
      <w:bookmarkEnd w:id="308"/>
      <w:bookmarkEnd w:id="309"/>
    </w:p>
    <w:p w:rsidR="00EB3BC8" w:rsidRPr="00165651" w:rsidRDefault="00EB3BC8" w:rsidP="00EB3BC8">
      <w:pPr>
        <w:spacing w:line="240" w:lineRule="auto"/>
        <w:jc w:val="both"/>
        <w:rPr>
          <w:rFonts w:eastAsiaTheme="minorHAnsi" w:cstheme="minorHAnsi"/>
        </w:rPr>
      </w:pPr>
    </w:p>
    <w:p w:rsidR="00EB3BC8" w:rsidRPr="00165651" w:rsidRDefault="00EB3BC8" w:rsidP="00EB3BC8">
      <w:pPr>
        <w:spacing w:line="240" w:lineRule="auto"/>
        <w:jc w:val="both"/>
        <w:rPr>
          <w:rFonts w:eastAsiaTheme="minorHAnsi" w:cstheme="minorHAnsi"/>
        </w:rPr>
      </w:pPr>
      <w:r w:rsidRPr="00165651">
        <w:rPr>
          <w:rFonts w:eastAsiaTheme="minorHAnsi" w:cstheme="minorHAnsi"/>
        </w:rPr>
        <w:t>De acuerdo a las metas físicas actualizadas de acuerdo a los procesos proyectados se estimaron las siguientes metas las cuales presentaron un porcentaje de cumplimiento del 86%:</w:t>
      </w:r>
    </w:p>
    <w:p w:rsidR="00EB3BC8" w:rsidRPr="00165651" w:rsidRDefault="00EB3BC8" w:rsidP="00EB3BC8">
      <w:pPr>
        <w:spacing w:line="240" w:lineRule="auto"/>
        <w:jc w:val="both"/>
        <w:rPr>
          <w:rFonts w:eastAsiaTheme="minorHAnsi" w:cstheme="minorHAnsi"/>
        </w:rPr>
      </w:pPr>
    </w:p>
    <w:p w:rsidR="00EB3BC8" w:rsidRPr="00165651" w:rsidRDefault="00EB3BC8" w:rsidP="00EB3BC8">
      <w:pPr>
        <w:spacing w:line="240" w:lineRule="auto"/>
        <w:jc w:val="both"/>
        <w:rPr>
          <w:rFonts w:eastAsiaTheme="minorHAnsi" w:cstheme="minorHAnsi"/>
          <w:sz w:val="28"/>
          <w:szCs w:val="28"/>
        </w:rPr>
      </w:pPr>
      <w:r w:rsidRPr="00165651">
        <w:rPr>
          <w:rFonts w:eastAsiaTheme="minorHAnsi" w:cstheme="minorHAnsi"/>
          <w:noProof/>
          <w:sz w:val="28"/>
          <w:szCs w:val="28"/>
        </w:rPr>
        <w:drawing>
          <wp:inline distT="0" distB="0" distL="0" distR="0" wp14:anchorId="76C384AE" wp14:editId="45C6064A">
            <wp:extent cx="5611368" cy="2314575"/>
            <wp:effectExtent l="0" t="0" r="8890" b="0"/>
            <wp:docPr id="448" name="Imagen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13654" cy="2315518"/>
                    </a:xfrm>
                    <a:prstGeom prst="rect">
                      <a:avLst/>
                    </a:prstGeom>
                    <a:noFill/>
                    <a:ln>
                      <a:noFill/>
                    </a:ln>
                  </pic:spPr>
                </pic:pic>
              </a:graphicData>
            </a:graphic>
          </wp:inline>
        </w:drawing>
      </w:r>
    </w:p>
    <w:p w:rsidR="00EB3BC8" w:rsidRPr="00165651" w:rsidRDefault="00EB3BC8" w:rsidP="00EB3BC8">
      <w:pPr>
        <w:keepNext/>
        <w:keepLines/>
        <w:spacing w:before="240" w:after="0" w:line="240" w:lineRule="auto"/>
        <w:jc w:val="both"/>
        <w:outlineLvl w:val="0"/>
        <w:rPr>
          <w:rFonts w:eastAsiaTheme="majorEastAsia" w:cstheme="minorHAnsi"/>
          <w:b/>
          <w:u w:val="single"/>
        </w:rPr>
      </w:pPr>
      <w:bookmarkStart w:id="310" w:name="_Toc424884936"/>
      <w:bookmarkStart w:id="311" w:name="_Toc426547773"/>
      <w:bookmarkStart w:id="312" w:name="_Toc426558502"/>
      <w:bookmarkStart w:id="313" w:name="_Toc426559246"/>
      <w:r w:rsidRPr="00165651">
        <w:rPr>
          <w:rFonts w:eastAsiaTheme="majorEastAsia" w:cstheme="minorHAnsi"/>
          <w:b/>
          <w:u w:val="single"/>
        </w:rPr>
        <w:t>Conclusiones en el Seguimiento del PAA</w:t>
      </w:r>
      <w:bookmarkEnd w:id="310"/>
      <w:bookmarkEnd w:id="311"/>
      <w:bookmarkEnd w:id="312"/>
      <w:bookmarkEnd w:id="313"/>
    </w:p>
    <w:p w:rsidR="00EB3BC8" w:rsidRPr="00165651" w:rsidRDefault="00EB3BC8" w:rsidP="00EB3BC8">
      <w:pPr>
        <w:spacing w:line="240" w:lineRule="auto"/>
        <w:jc w:val="both"/>
        <w:rPr>
          <w:rFonts w:eastAsiaTheme="minorHAnsi" w:cstheme="minorHAnsi"/>
        </w:rPr>
      </w:pPr>
    </w:p>
    <w:p w:rsidR="00EB3BC8" w:rsidRPr="00165651" w:rsidRDefault="00EB3BC8" w:rsidP="00EB3BC8">
      <w:pPr>
        <w:spacing w:line="240" w:lineRule="auto"/>
        <w:jc w:val="both"/>
        <w:rPr>
          <w:rFonts w:eastAsiaTheme="minorHAnsi" w:cstheme="minorHAnsi"/>
        </w:rPr>
      </w:pPr>
      <w:r w:rsidRPr="00165651">
        <w:rPr>
          <w:rFonts w:eastAsiaTheme="minorHAnsi" w:cstheme="minorHAnsi"/>
        </w:rPr>
        <w:t>Las metas establecidas por Gerencia de Proyectos Aeroportuarios fueron alcanzadas en su totalidad relacionados con la contratación de los recursos asignados.</w:t>
      </w:r>
    </w:p>
    <w:p w:rsidR="00EB3BC8" w:rsidRPr="00165651" w:rsidRDefault="00EB3BC8" w:rsidP="00EB3BC8">
      <w:pPr>
        <w:spacing w:line="240" w:lineRule="auto"/>
        <w:jc w:val="both"/>
        <w:rPr>
          <w:rFonts w:eastAsiaTheme="minorHAnsi" w:cstheme="minorHAnsi"/>
          <w:b/>
        </w:rPr>
      </w:pPr>
      <w:r w:rsidRPr="00165651">
        <w:rPr>
          <w:rFonts w:eastAsiaTheme="minorHAnsi" w:cstheme="minorHAnsi"/>
        </w:rPr>
        <w:lastRenderedPageBreak/>
        <w:t>Las metas establecidas relacionadas con actividades previstas en el PAA se encuentran en un 86% de cumplimiento, por lo cual se realizara al interior de la Gerencia un Plan de Contingencia para cumplir la meta establecida en el año.</w:t>
      </w:r>
    </w:p>
    <w:p w:rsidR="00EB3BC8" w:rsidRPr="005133E0" w:rsidRDefault="00EB3BC8" w:rsidP="00EB3BC8">
      <w:pPr>
        <w:spacing w:line="240" w:lineRule="auto"/>
        <w:jc w:val="both"/>
        <w:rPr>
          <w:rFonts w:ascii="Arial" w:eastAsiaTheme="minorHAnsi" w:hAnsi="Arial" w:cs="Arial"/>
          <w:b/>
        </w:rPr>
      </w:pPr>
    </w:p>
    <w:p w:rsidR="00EB3BC8" w:rsidRPr="00165651" w:rsidRDefault="00165651" w:rsidP="00EB3BC8">
      <w:pPr>
        <w:spacing w:line="240" w:lineRule="auto"/>
        <w:jc w:val="both"/>
        <w:rPr>
          <w:rFonts w:eastAsiaTheme="majorEastAsia" w:cstheme="minorHAnsi"/>
          <w:b/>
        </w:rPr>
      </w:pPr>
      <w:bookmarkStart w:id="314" w:name="_Toc424884937"/>
      <w:r w:rsidRPr="00165651">
        <w:rPr>
          <w:rFonts w:eastAsiaTheme="majorEastAsia" w:cstheme="minorHAnsi"/>
          <w:b/>
        </w:rPr>
        <w:t>Avance en los Contratos de Concesión – Modo Aeroportuario</w:t>
      </w:r>
      <w:bookmarkEnd w:id="314"/>
    </w:p>
    <w:p w:rsidR="00EB3BC8" w:rsidRPr="00165651" w:rsidRDefault="00EB3BC8" w:rsidP="000021B2">
      <w:pPr>
        <w:keepNext/>
        <w:keepLines/>
        <w:numPr>
          <w:ilvl w:val="0"/>
          <w:numId w:val="57"/>
        </w:numPr>
        <w:spacing w:before="240" w:after="0" w:line="240" w:lineRule="auto"/>
        <w:jc w:val="both"/>
        <w:outlineLvl w:val="0"/>
        <w:rPr>
          <w:rFonts w:eastAsiaTheme="majorEastAsia" w:cstheme="minorHAnsi"/>
          <w:b/>
        </w:rPr>
      </w:pPr>
      <w:bookmarkStart w:id="315" w:name="_Toc418877360"/>
      <w:bookmarkStart w:id="316" w:name="_Toc424884938"/>
      <w:bookmarkStart w:id="317" w:name="_Toc426547774"/>
      <w:bookmarkStart w:id="318" w:name="_Toc426558503"/>
      <w:bookmarkStart w:id="319" w:name="_Toc426559247"/>
      <w:r w:rsidRPr="00165651">
        <w:rPr>
          <w:rFonts w:eastAsiaTheme="majorEastAsia" w:cstheme="minorHAnsi"/>
          <w:b/>
        </w:rPr>
        <w:t>AEROPUERTO ELDORADO</w:t>
      </w:r>
      <w:bookmarkEnd w:id="315"/>
      <w:bookmarkEnd w:id="316"/>
      <w:bookmarkEnd w:id="317"/>
      <w:bookmarkEnd w:id="318"/>
      <w:bookmarkEnd w:id="319"/>
    </w:p>
    <w:p w:rsidR="00EB3BC8" w:rsidRPr="00165651" w:rsidRDefault="00EB3BC8" w:rsidP="00EB3BC8">
      <w:pPr>
        <w:spacing w:line="240" w:lineRule="auto"/>
        <w:jc w:val="both"/>
        <w:rPr>
          <w:rFonts w:eastAsiaTheme="minorHAnsi" w:cstheme="minorHAnsi"/>
        </w:rPr>
      </w:pPr>
    </w:p>
    <w:p w:rsidR="00EB3BC8" w:rsidRPr="00165651" w:rsidRDefault="00EB3BC8" w:rsidP="00EB3BC8">
      <w:pPr>
        <w:keepNext/>
        <w:keepLines/>
        <w:spacing w:before="40" w:after="0" w:line="240" w:lineRule="auto"/>
        <w:ind w:firstLine="708"/>
        <w:jc w:val="both"/>
        <w:outlineLvl w:val="1"/>
        <w:rPr>
          <w:rFonts w:eastAsiaTheme="majorEastAsia" w:cstheme="minorHAnsi"/>
          <w:b/>
          <w:u w:val="single"/>
        </w:rPr>
      </w:pPr>
      <w:bookmarkStart w:id="320" w:name="_Toc424884939"/>
      <w:bookmarkStart w:id="321" w:name="_Toc426547775"/>
      <w:bookmarkStart w:id="322" w:name="_Toc426558504"/>
      <w:bookmarkStart w:id="323" w:name="_Toc426559248"/>
      <w:r w:rsidRPr="00165651">
        <w:rPr>
          <w:rFonts w:eastAsiaTheme="majorEastAsia" w:cstheme="minorHAnsi"/>
          <w:b/>
          <w:u w:val="single"/>
        </w:rPr>
        <w:t>OPAIN</w:t>
      </w:r>
      <w:bookmarkEnd w:id="320"/>
      <w:bookmarkEnd w:id="321"/>
      <w:bookmarkEnd w:id="322"/>
      <w:bookmarkEnd w:id="323"/>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25"/>
        <w:contextualSpacing/>
        <w:jc w:val="both"/>
        <w:rPr>
          <w:rFonts w:eastAsiaTheme="minorHAnsi" w:cstheme="minorHAnsi"/>
        </w:rPr>
      </w:pPr>
      <w:r w:rsidRPr="00165651">
        <w:rPr>
          <w:rFonts w:eastAsiaTheme="minorHAnsi" w:cstheme="minorHAnsi"/>
        </w:rPr>
        <w:t>Concesión:</w:t>
      </w:r>
      <w:r w:rsidRPr="00165651">
        <w:rPr>
          <w:rFonts w:eastAsiaTheme="minorHAnsi" w:cstheme="minorHAnsi"/>
        </w:rPr>
        <w:tab/>
        <w:t>AEROPUERTO ELDORADO</w:t>
      </w:r>
    </w:p>
    <w:p w:rsidR="00EB3BC8" w:rsidRPr="00165651" w:rsidRDefault="00EB3BC8" w:rsidP="00EB3BC8">
      <w:pPr>
        <w:spacing w:line="240" w:lineRule="auto"/>
        <w:ind w:left="4245" w:hanging="3525"/>
        <w:contextualSpacing/>
        <w:jc w:val="both"/>
        <w:rPr>
          <w:rFonts w:eastAsiaTheme="minorHAnsi" w:cstheme="minorHAnsi"/>
        </w:rPr>
      </w:pPr>
      <w:r w:rsidRPr="00165651">
        <w:rPr>
          <w:rFonts w:eastAsiaTheme="minorHAnsi" w:cstheme="minorHAnsi"/>
        </w:rPr>
        <w:t>Concesionario:</w:t>
      </w:r>
      <w:r w:rsidRPr="00165651">
        <w:rPr>
          <w:rFonts w:eastAsiaTheme="minorHAnsi" w:cstheme="minorHAnsi"/>
        </w:rPr>
        <w:tab/>
        <w:t>OPAIN (ODINSA, CSS CONSTRUCTORES, EL CÓNDOR, TERMOTECNICA COINDUSTRIAL, MARVAL, ARQUITECTURA Y CONCRETO, FLUGHAFEN ZURICH AG UNIQUE ZURICH AIRPORT, HERMANOS SOLARTE)</w:t>
      </w:r>
    </w:p>
    <w:p w:rsidR="00EB3BC8" w:rsidRPr="00165651" w:rsidRDefault="00EB3BC8" w:rsidP="00EB3BC8">
      <w:pPr>
        <w:spacing w:line="240" w:lineRule="auto"/>
        <w:ind w:left="4245" w:hanging="3525"/>
        <w:contextualSpacing/>
        <w:jc w:val="both"/>
        <w:rPr>
          <w:rFonts w:eastAsiaTheme="minorHAnsi" w:cstheme="minorHAnsi"/>
        </w:rPr>
      </w:pPr>
    </w:p>
    <w:p w:rsidR="00EB3BC8" w:rsidRPr="00165651" w:rsidRDefault="00EB3BC8" w:rsidP="00EB3BC8">
      <w:pPr>
        <w:keepNext/>
        <w:keepLines/>
        <w:spacing w:before="40" w:after="0" w:line="240" w:lineRule="auto"/>
        <w:ind w:firstLine="708"/>
        <w:jc w:val="both"/>
        <w:outlineLvl w:val="2"/>
        <w:rPr>
          <w:rFonts w:eastAsiaTheme="majorEastAsia" w:cstheme="minorHAnsi"/>
          <w:u w:val="single"/>
        </w:rPr>
      </w:pPr>
      <w:bookmarkStart w:id="324" w:name="_Toc424884940"/>
      <w:bookmarkStart w:id="325" w:name="_Toc426547776"/>
      <w:bookmarkStart w:id="326" w:name="_Toc426558505"/>
      <w:bookmarkStart w:id="327" w:name="_Toc426559249"/>
      <w:r w:rsidRPr="00165651">
        <w:rPr>
          <w:rFonts w:eastAsiaTheme="majorEastAsia" w:cstheme="minorHAnsi"/>
          <w:u w:val="single"/>
        </w:rPr>
        <w:t>Eldorado - OPAIN</w:t>
      </w:r>
      <w:bookmarkEnd w:id="324"/>
      <w:bookmarkEnd w:id="325"/>
      <w:bookmarkEnd w:id="326"/>
      <w:bookmarkEnd w:id="327"/>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Proyectos:</w:t>
      </w:r>
      <w:r w:rsidRPr="00165651">
        <w:rPr>
          <w:rFonts w:eastAsiaTheme="minorHAnsi" w:cstheme="minorHAnsi"/>
        </w:rPr>
        <w:tab/>
      </w:r>
      <w:r w:rsidRPr="00165651">
        <w:rPr>
          <w:rFonts w:eastAsiaTheme="minorHAnsi" w:cstheme="minorHAnsi"/>
          <w:u w:val="single"/>
        </w:rPr>
        <w:t>Etapa de Modernización y Expansión</w:t>
      </w:r>
      <w:r w:rsidRPr="00165651">
        <w:rPr>
          <w:rFonts w:eastAsiaTheme="minorHAnsi" w:cstheme="minorHAnsi"/>
        </w:rPr>
        <w:t xml:space="preserve"> Fecha inicio: Feb-01-2015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Feb-28-2017</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$ 100.000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Se encuentran en ejecución actividades relacionadas con la nivelación de franjas. 8% de avance.</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Obras Voluntarias:</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Junio-01-2015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Sep-01-2016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$ 332.000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El día de 7 de julio de 2015, iniciaron las actividades de pilotaje.</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Obras Complementarias:</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inicio: Noviembre-15-2015 Fecha fin: Dic-01-2016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$ 310.931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Se encuentra en la estructuración del otrosí al contrato principal.</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Hangar de Avianca (Inter – Helicol):</w:t>
      </w:r>
      <w:r w:rsidRPr="00165651">
        <w:rPr>
          <w:rFonts w:eastAsiaTheme="minorHAnsi" w:cstheme="minorHAnsi"/>
        </w:rPr>
        <w:t xml:space="preserve"> En proceso de negociación entre Avianca y Opain. </w:t>
      </w:r>
    </w:p>
    <w:p w:rsidR="00EB3BC8" w:rsidRPr="00165651" w:rsidRDefault="00EB3BC8" w:rsidP="00EB3BC8">
      <w:pPr>
        <w:spacing w:after="0" w:line="240" w:lineRule="auto"/>
        <w:ind w:left="4248"/>
        <w:contextualSpacing/>
        <w:jc w:val="both"/>
        <w:rPr>
          <w:rFonts w:eastAsiaTheme="minorHAnsi" w:cstheme="minorHAnsi"/>
          <w:u w:val="single"/>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$ 50.000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90% de la obra proyectada.</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concesión:</w:t>
      </w:r>
      <w:r w:rsidRPr="00165651">
        <w:rPr>
          <w:rFonts w:eastAsiaTheme="minorHAnsi" w:cstheme="minorHAnsi"/>
        </w:rPr>
        <w:tab/>
        <w:t>792.931 millones.</w:t>
      </w:r>
    </w:p>
    <w:p w:rsidR="00EB3BC8" w:rsidRPr="00165651" w:rsidRDefault="00EB3BC8" w:rsidP="00EB3BC8">
      <w:pPr>
        <w:spacing w:after="0" w:line="240" w:lineRule="auto"/>
        <w:ind w:left="4245" w:hanging="3537"/>
        <w:jc w:val="both"/>
        <w:rPr>
          <w:rFonts w:eastAsiaTheme="minorHAnsi" w:cstheme="minorHAnsi"/>
        </w:rPr>
      </w:pPr>
    </w:p>
    <w:p w:rsidR="00EB3BC8" w:rsidRPr="00165651" w:rsidRDefault="00EB3BC8" w:rsidP="00EB3BC8">
      <w:pPr>
        <w:spacing w:after="0" w:line="240" w:lineRule="auto"/>
        <w:ind w:left="4245" w:hanging="3525"/>
        <w:contextualSpacing/>
        <w:jc w:val="both"/>
        <w:rPr>
          <w:rFonts w:eastAsiaTheme="minorHAnsi" w:cstheme="minorHAnsi"/>
        </w:rPr>
      </w:pPr>
    </w:p>
    <w:p w:rsidR="00EB3BC8" w:rsidRPr="00165651" w:rsidRDefault="00EB3BC8" w:rsidP="00EB3BC8">
      <w:pPr>
        <w:keepNext/>
        <w:keepLines/>
        <w:spacing w:before="40" w:after="0" w:line="240" w:lineRule="auto"/>
        <w:ind w:firstLine="708"/>
        <w:jc w:val="both"/>
        <w:outlineLvl w:val="1"/>
        <w:rPr>
          <w:rFonts w:eastAsiaTheme="majorEastAsia" w:cstheme="minorHAnsi"/>
          <w:b/>
          <w:u w:val="single"/>
        </w:rPr>
      </w:pPr>
      <w:bookmarkStart w:id="328" w:name="_Toc424884941"/>
      <w:bookmarkStart w:id="329" w:name="_Toc426547777"/>
      <w:bookmarkStart w:id="330" w:name="_Toc426558506"/>
      <w:bookmarkStart w:id="331" w:name="_Toc426559250"/>
      <w:r w:rsidRPr="00165651">
        <w:rPr>
          <w:rFonts w:eastAsiaTheme="majorEastAsia" w:cstheme="minorHAnsi"/>
          <w:b/>
          <w:u w:val="single"/>
        </w:rPr>
        <w:t>CODAD</w:t>
      </w:r>
      <w:bookmarkEnd w:id="328"/>
      <w:bookmarkEnd w:id="329"/>
      <w:bookmarkEnd w:id="330"/>
      <w:bookmarkEnd w:id="331"/>
    </w:p>
    <w:p w:rsidR="00EB3BC8" w:rsidRPr="00165651" w:rsidRDefault="00EB3BC8" w:rsidP="00EB3BC8">
      <w:pPr>
        <w:keepNext/>
        <w:keepLines/>
        <w:spacing w:before="40" w:after="0" w:line="240" w:lineRule="auto"/>
        <w:ind w:firstLine="708"/>
        <w:outlineLvl w:val="1"/>
        <w:rPr>
          <w:rFonts w:eastAsiaTheme="majorEastAsia" w:cstheme="minorHAnsi"/>
          <w:b/>
          <w:sz w:val="28"/>
          <w:szCs w:val="26"/>
          <w:u w:val="single"/>
        </w:rPr>
      </w:pPr>
    </w:p>
    <w:p w:rsidR="00EB3BC8" w:rsidRPr="00165651" w:rsidRDefault="00EB3BC8" w:rsidP="00EB3BC8">
      <w:pPr>
        <w:keepNext/>
        <w:keepLines/>
        <w:spacing w:before="40" w:after="0" w:line="240" w:lineRule="auto"/>
        <w:ind w:firstLine="708"/>
        <w:jc w:val="center"/>
        <w:outlineLvl w:val="1"/>
        <w:rPr>
          <w:rFonts w:eastAsiaTheme="majorEastAsia" w:cstheme="minorHAnsi"/>
          <w:b/>
          <w:sz w:val="28"/>
          <w:szCs w:val="26"/>
          <w:u w:val="single"/>
        </w:rPr>
      </w:pPr>
      <w:bookmarkStart w:id="332" w:name="_Toc426547778"/>
      <w:bookmarkStart w:id="333" w:name="_Toc426558507"/>
      <w:bookmarkStart w:id="334" w:name="_Toc426559251"/>
      <w:r w:rsidRPr="00165651">
        <w:rPr>
          <w:rFonts w:eastAsiaTheme="minorHAnsi" w:cstheme="minorHAnsi"/>
          <w:b/>
          <w:noProof/>
          <w:sz w:val="28"/>
          <w:szCs w:val="28"/>
        </w:rPr>
        <w:drawing>
          <wp:inline distT="0" distB="0" distL="0" distR="0" wp14:anchorId="58EC211E" wp14:editId="75BF6CBD">
            <wp:extent cx="3486150" cy="2291035"/>
            <wp:effectExtent l="0" t="0" r="0" b="0"/>
            <wp:docPr id="449" name="Imagen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507921" cy="2305343"/>
                    </a:xfrm>
                    <a:prstGeom prst="rect">
                      <a:avLst/>
                    </a:prstGeom>
                    <a:noFill/>
                  </pic:spPr>
                </pic:pic>
              </a:graphicData>
            </a:graphic>
          </wp:inline>
        </w:drawing>
      </w:r>
      <w:bookmarkEnd w:id="332"/>
      <w:bookmarkEnd w:id="333"/>
      <w:bookmarkEnd w:id="334"/>
    </w:p>
    <w:p w:rsidR="00EB3BC8" w:rsidRPr="00165651" w:rsidRDefault="00EB3BC8" w:rsidP="00EB3BC8">
      <w:pPr>
        <w:spacing w:after="0" w:line="240" w:lineRule="auto"/>
        <w:ind w:left="4245" w:hanging="3525"/>
        <w:contextualSpacing/>
        <w:jc w:val="both"/>
        <w:rPr>
          <w:rFonts w:eastAsiaTheme="minorHAnsi" w:cstheme="minorHAnsi"/>
          <w:sz w:val="28"/>
          <w:szCs w:val="28"/>
        </w:rPr>
      </w:pPr>
    </w:p>
    <w:p w:rsidR="00EB3BC8" w:rsidRPr="00165651" w:rsidRDefault="00EB3BC8" w:rsidP="00EB3BC8">
      <w:pPr>
        <w:spacing w:after="0" w:line="240" w:lineRule="auto"/>
        <w:ind w:left="4245" w:hanging="3525"/>
        <w:contextualSpacing/>
        <w:jc w:val="both"/>
        <w:rPr>
          <w:rFonts w:eastAsiaTheme="minorHAnsi" w:cstheme="minorHAnsi"/>
        </w:rPr>
      </w:pPr>
      <w:r w:rsidRPr="00165651">
        <w:rPr>
          <w:rFonts w:eastAsiaTheme="minorHAnsi" w:cstheme="minorHAnsi"/>
        </w:rPr>
        <w:t>Concesión:</w:t>
      </w:r>
      <w:r w:rsidRPr="00165651">
        <w:rPr>
          <w:rFonts w:eastAsiaTheme="minorHAnsi" w:cstheme="minorHAnsi"/>
        </w:rPr>
        <w:tab/>
      </w:r>
      <w:r w:rsidRPr="00165651">
        <w:rPr>
          <w:rFonts w:eastAsiaTheme="minorHAnsi" w:cstheme="minorHAnsi"/>
        </w:rPr>
        <w:tab/>
        <w:t>AEROPUERTO ELDORADO</w:t>
      </w:r>
    </w:p>
    <w:p w:rsidR="00EB3BC8" w:rsidRPr="00165651" w:rsidRDefault="00EB3BC8" w:rsidP="00EB3BC8">
      <w:pPr>
        <w:spacing w:line="240" w:lineRule="auto"/>
        <w:ind w:left="4245" w:hanging="3525"/>
        <w:contextualSpacing/>
        <w:jc w:val="both"/>
        <w:rPr>
          <w:rFonts w:eastAsiaTheme="minorHAnsi" w:cstheme="minorHAnsi"/>
        </w:rPr>
      </w:pPr>
      <w:r w:rsidRPr="00165651">
        <w:rPr>
          <w:rFonts w:eastAsiaTheme="minorHAnsi" w:cstheme="minorHAnsi"/>
        </w:rPr>
        <w:t>Concesionario:</w:t>
      </w:r>
      <w:r w:rsidRPr="00165651">
        <w:rPr>
          <w:rFonts w:eastAsiaTheme="minorHAnsi" w:cstheme="minorHAnsi"/>
        </w:rPr>
        <w:tab/>
        <w:t xml:space="preserve">CODAD </w:t>
      </w:r>
    </w:p>
    <w:p w:rsidR="00EB3BC8" w:rsidRPr="00165651" w:rsidRDefault="00EB3BC8" w:rsidP="00EB3BC8">
      <w:pPr>
        <w:keepNext/>
        <w:keepLines/>
        <w:spacing w:before="40" w:after="0" w:line="240" w:lineRule="auto"/>
        <w:ind w:firstLine="708"/>
        <w:outlineLvl w:val="2"/>
        <w:rPr>
          <w:rFonts w:eastAsiaTheme="majorEastAsia"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35" w:name="_Toc424884942"/>
      <w:bookmarkStart w:id="336" w:name="_Toc426547779"/>
      <w:bookmarkStart w:id="337" w:name="_Toc426558508"/>
      <w:bookmarkStart w:id="338" w:name="_Toc426559252"/>
      <w:r w:rsidRPr="00165651">
        <w:rPr>
          <w:rFonts w:eastAsiaTheme="majorEastAsia" w:cstheme="minorHAnsi"/>
          <w:u w:val="single"/>
        </w:rPr>
        <w:t>Eldorado – Segunda Pista</w:t>
      </w:r>
      <w:bookmarkEnd w:id="335"/>
      <w:bookmarkEnd w:id="336"/>
      <w:bookmarkEnd w:id="337"/>
      <w:bookmarkEnd w:id="338"/>
    </w:p>
    <w:p w:rsidR="00EB3BC8" w:rsidRPr="00165651" w:rsidRDefault="00EB3BC8" w:rsidP="00EB3BC8">
      <w:pPr>
        <w:spacing w:after="0" w:line="240" w:lineRule="auto"/>
        <w:ind w:left="4245" w:hanging="3537"/>
        <w:jc w:val="both"/>
        <w:rPr>
          <w:rFonts w:eastAsiaTheme="minorHAnsi" w:cstheme="minorHAnsi"/>
        </w:rPr>
      </w:pPr>
    </w:p>
    <w:p w:rsidR="00EB3BC8" w:rsidRPr="00165651" w:rsidRDefault="00EB3BC8" w:rsidP="00EB3BC8">
      <w:pPr>
        <w:spacing w:after="0" w:line="240" w:lineRule="auto"/>
        <w:ind w:left="4245" w:hanging="3537"/>
        <w:jc w:val="both"/>
        <w:rPr>
          <w:rFonts w:eastAsiaTheme="minorHAnsi" w:cstheme="minorHAnsi"/>
        </w:rPr>
      </w:pPr>
      <w:r w:rsidRPr="00165651">
        <w:rPr>
          <w:rFonts w:eastAsiaTheme="minorHAnsi" w:cstheme="minorHAnsi"/>
        </w:rPr>
        <w:t>Proyectos:</w:t>
      </w:r>
      <w:r w:rsidRPr="00165651">
        <w:rPr>
          <w:rFonts w:eastAsiaTheme="minorHAnsi" w:cstheme="minorHAnsi"/>
        </w:rPr>
        <w:tab/>
      </w:r>
      <w:r w:rsidRPr="00165651">
        <w:rPr>
          <w:rFonts w:eastAsiaTheme="minorHAnsi" w:cstheme="minorHAnsi"/>
        </w:rPr>
        <w:tab/>
      </w:r>
      <w:r w:rsidRPr="00165651">
        <w:rPr>
          <w:rFonts w:eastAsiaTheme="minorHAnsi" w:cstheme="minorHAnsi"/>
          <w:u w:val="single"/>
        </w:rPr>
        <w:t>Construcción calles de salidas rápidas:</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Inicio: </w:t>
      </w:r>
      <w:r w:rsidRPr="00165651">
        <w:rPr>
          <w:rFonts w:eastAsiaTheme="minorHAnsi" w:cstheme="minorHAnsi"/>
        </w:rPr>
        <w:tab/>
      </w:r>
      <w:r w:rsidRPr="00165651">
        <w:rPr>
          <w:rFonts w:eastAsiaTheme="minorHAnsi" w:cstheme="minorHAnsi"/>
          <w:u w:val="single"/>
        </w:rPr>
        <w:t>1 de septiembre de 2015</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Fin: </w:t>
      </w:r>
      <w:r w:rsidRPr="00165651">
        <w:rPr>
          <w:rFonts w:eastAsiaTheme="minorHAnsi" w:cstheme="minorHAnsi"/>
        </w:rPr>
        <w:tab/>
      </w:r>
      <w:r w:rsidRPr="00165651">
        <w:rPr>
          <w:rFonts w:eastAsiaTheme="minorHAnsi" w:cstheme="minorHAnsi"/>
        </w:rPr>
        <w:tab/>
      </w:r>
      <w:r w:rsidRPr="00165651">
        <w:rPr>
          <w:rFonts w:eastAsiaTheme="minorHAnsi" w:cstheme="minorHAnsi"/>
          <w:u w:val="single"/>
        </w:rPr>
        <w:t>31 de agosto de 2017</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El día de 6 de julio de 2015 se firmó el otrosí No. 4 de adición al contrato principal.</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t>Inversión: $113.000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Repavimentación Pista Norte e iluminación:</w:t>
      </w:r>
      <w:r w:rsidRPr="00165651">
        <w:rPr>
          <w:rFonts w:eastAsiaTheme="minorHAnsi" w:cstheme="minorHAnsi"/>
        </w:rPr>
        <w:t xml:space="preserve"> </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lastRenderedPageBreak/>
        <w:t>Avances:</w:t>
      </w:r>
      <w:r w:rsidRPr="00165651">
        <w:rPr>
          <w:rFonts w:eastAsiaTheme="minorHAnsi" w:cstheme="minorHAnsi"/>
        </w:rPr>
        <w:tab/>
        <w:t xml:space="preserve">Se tiene previsto ejecutar durante el la vigencia del otrosí No. 4. </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t>Inversión: $10.000 millones</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concesión:</w:t>
      </w:r>
      <w:r w:rsidRPr="00165651">
        <w:rPr>
          <w:rFonts w:eastAsiaTheme="minorHAnsi" w:cstheme="minorHAnsi"/>
        </w:rPr>
        <w:tab/>
        <w:t>123.000 millones.</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28"/>
        <w:contextualSpacing/>
        <w:jc w:val="center"/>
        <w:rPr>
          <w:rFonts w:eastAsiaTheme="minorHAnsi" w:cstheme="minorHAnsi"/>
        </w:rPr>
      </w:pPr>
    </w:p>
    <w:p w:rsidR="00EB3BC8" w:rsidRPr="00165651" w:rsidRDefault="00EB3BC8" w:rsidP="000021B2">
      <w:pPr>
        <w:keepNext/>
        <w:keepLines/>
        <w:numPr>
          <w:ilvl w:val="0"/>
          <w:numId w:val="57"/>
        </w:numPr>
        <w:spacing w:before="240" w:after="0" w:line="240" w:lineRule="auto"/>
        <w:outlineLvl w:val="0"/>
        <w:rPr>
          <w:rFonts w:eastAsiaTheme="majorEastAsia" w:cstheme="minorHAnsi"/>
          <w:b/>
        </w:rPr>
      </w:pPr>
      <w:bookmarkStart w:id="339" w:name="_Toc418877361"/>
      <w:bookmarkStart w:id="340" w:name="_Toc424884943"/>
      <w:bookmarkStart w:id="341" w:name="_Toc426547780"/>
      <w:bookmarkStart w:id="342" w:name="_Toc426558509"/>
      <w:bookmarkStart w:id="343" w:name="_Toc426559253"/>
      <w:r w:rsidRPr="00165651">
        <w:rPr>
          <w:rFonts w:eastAsiaTheme="majorEastAsia" w:cstheme="minorHAnsi"/>
          <w:b/>
        </w:rPr>
        <w:t>AEROPUERTO RAFAEL NUÑEZ (CARTAGENA)</w:t>
      </w:r>
      <w:bookmarkEnd w:id="339"/>
      <w:bookmarkEnd w:id="340"/>
      <w:bookmarkEnd w:id="341"/>
      <w:bookmarkEnd w:id="342"/>
      <w:bookmarkEnd w:id="343"/>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25"/>
        <w:contextualSpacing/>
        <w:jc w:val="both"/>
        <w:rPr>
          <w:rFonts w:eastAsiaTheme="minorHAnsi" w:cstheme="minorHAnsi"/>
        </w:rPr>
      </w:pPr>
      <w:r w:rsidRPr="00165651">
        <w:rPr>
          <w:rFonts w:eastAsiaTheme="minorHAnsi" w:cstheme="minorHAnsi"/>
        </w:rPr>
        <w:t>Concesión:</w:t>
      </w:r>
      <w:r w:rsidRPr="00165651">
        <w:rPr>
          <w:rFonts w:eastAsiaTheme="minorHAnsi" w:cstheme="minorHAnsi"/>
        </w:rPr>
        <w:tab/>
      </w:r>
      <w:r w:rsidRPr="00165651">
        <w:rPr>
          <w:rFonts w:eastAsiaTheme="minorHAnsi" w:cstheme="minorHAnsi"/>
        </w:rPr>
        <w:tab/>
        <w:t>AEROPUERTO RAFAEL NUÑEZ</w:t>
      </w:r>
    </w:p>
    <w:p w:rsidR="00EB3BC8" w:rsidRPr="00165651" w:rsidRDefault="00EB3BC8" w:rsidP="00EB3BC8">
      <w:pPr>
        <w:spacing w:line="240" w:lineRule="auto"/>
        <w:ind w:left="4245" w:hanging="3525"/>
        <w:contextualSpacing/>
        <w:jc w:val="both"/>
        <w:rPr>
          <w:rFonts w:eastAsiaTheme="minorHAnsi" w:cstheme="minorHAnsi"/>
        </w:rPr>
      </w:pPr>
      <w:r w:rsidRPr="00165651">
        <w:rPr>
          <w:rFonts w:eastAsiaTheme="minorHAnsi" w:cstheme="minorHAnsi"/>
        </w:rPr>
        <w:t>Concesionario:</w:t>
      </w:r>
      <w:r w:rsidRPr="00165651">
        <w:rPr>
          <w:rFonts w:eastAsiaTheme="minorHAnsi" w:cstheme="minorHAnsi"/>
        </w:rPr>
        <w:tab/>
        <w:t>SACSA</w:t>
      </w:r>
    </w:p>
    <w:p w:rsidR="00EB3BC8" w:rsidRPr="00165651" w:rsidRDefault="00EB3BC8" w:rsidP="00EB3BC8">
      <w:pPr>
        <w:spacing w:line="240" w:lineRule="auto"/>
        <w:ind w:left="4245" w:hanging="3525"/>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44" w:name="_Toc424884944"/>
      <w:bookmarkStart w:id="345" w:name="_Toc426547781"/>
      <w:bookmarkStart w:id="346" w:name="_Toc426558510"/>
      <w:bookmarkStart w:id="347" w:name="_Toc426559254"/>
      <w:r w:rsidRPr="00165651">
        <w:rPr>
          <w:rFonts w:eastAsiaTheme="majorEastAsia" w:cstheme="minorHAnsi"/>
          <w:u w:val="single"/>
        </w:rPr>
        <w:t>Rafael Núñez</w:t>
      </w:r>
      <w:bookmarkEnd w:id="344"/>
      <w:bookmarkEnd w:id="345"/>
      <w:bookmarkEnd w:id="346"/>
      <w:bookmarkEnd w:id="347"/>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Proyectos:</w:t>
      </w:r>
      <w:r w:rsidRPr="00165651">
        <w:rPr>
          <w:rFonts w:eastAsiaTheme="minorHAnsi" w:cstheme="minorHAnsi"/>
        </w:rPr>
        <w:tab/>
      </w:r>
      <w:r w:rsidRPr="00165651">
        <w:rPr>
          <w:rFonts w:eastAsiaTheme="minorHAnsi" w:cstheme="minorHAnsi"/>
          <w:u w:val="single"/>
        </w:rPr>
        <w:t>Ampliación franjas de pista 75 metros a lado y lado de la pista:</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Abril-30-2015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Abril-29-2016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$ 3.253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10% de obra ejecutada acorde al cronograma de actividades.</w:t>
      </w: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p>
    <w:p w:rsidR="00EB3BC8" w:rsidRPr="00165651" w:rsidRDefault="00EB3BC8" w:rsidP="00EB3BC8">
      <w:pPr>
        <w:spacing w:after="0" w:line="240" w:lineRule="auto"/>
        <w:ind w:left="4248" w:hanging="3528"/>
        <w:contextualSpacing/>
        <w:jc w:val="both"/>
        <w:rPr>
          <w:rFonts w:eastAsiaTheme="minorHAnsi" w:cstheme="minorHAnsi"/>
          <w:u w:val="single"/>
        </w:rPr>
      </w:pPr>
      <w:r w:rsidRPr="00165651">
        <w:rPr>
          <w:rFonts w:eastAsiaTheme="minorHAnsi" w:cstheme="minorHAnsi"/>
        </w:rPr>
        <w:tab/>
      </w:r>
      <w:r w:rsidRPr="00165651">
        <w:rPr>
          <w:rFonts w:eastAsiaTheme="minorHAnsi" w:cstheme="minorHAnsi"/>
          <w:u w:val="single"/>
        </w:rPr>
        <w:t>Edificio SEI</w:t>
      </w:r>
    </w:p>
    <w:p w:rsidR="00EB3BC8" w:rsidRPr="00165651" w:rsidRDefault="00EB3BC8" w:rsidP="00EB3BC8">
      <w:pPr>
        <w:spacing w:after="0" w:line="240" w:lineRule="auto"/>
        <w:ind w:left="4248" w:hanging="3528"/>
        <w:contextualSpacing/>
        <w:jc w:val="both"/>
        <w:rPr>
          <w:rFonts w:eastAsiaTheme="minorHAnsi" w:cstheme="minorHAnsi"/>
          <w:u w:val="single"/>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Jul-15-2015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fin: Feb-15-2016.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$ 890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Se finalizó el traslado de las bodegas  handling y centro de acopio, las cuales son obras previas para la construcción del Edifico del SEI.</w:t>
      </w: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concesión:</w:t>
      </w:r>
      <w:r w:rsidRPr="00165651">
        <w:rPr>
          <w:rFonts w:eastAsiaTheme="minorHAnsi" w:cstheme="minorHAnsi"/>
        </w:rPr>
        <w:tab/>
        <w:t>3.253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jc w:val="both"/>
        <w:rPr>
          <w:rFonts w:eastAsiaTheme="minorHAnsi" w:cstheme="minorHAnsi"/>
        </w:rPr>
      </w:pPr>
    </w:p>
    <w:p w:rsidR="00EB3BC8" w:rsidRPr="00165651" w:rsidRDefault="00EB3BC8" w:rsidP="000021B2">
      <w:pPr>
        <w:keepNext/>
        <w:keepLines/>
        <w:numPr>
          <w:ilvl w:val="0"/>
          <w:numId w:val="57"/>
        </w:numPr>
        <w:spacing w:before="240" w:after="0" w:line="240" w:lineRule="auto"/>
        <w:outlineLvl w:val="0"/>
        <w:rPr>
          <w:rFonts w:eastAsiaTheme="majorEastAsia" w:cstheme="minorHAnsi"/>
          <w:b/>
        </w:rPr>
      </w:pPr>
      <w:bookmarkStart w:id="348" w:name="_Toc418877362"/>
      <w:bookmarkStart w:id="349" w:name="_Toc424884945"/>
      <w:bookmarkStart w:id="350" w:name="_Toc426547782"/>
      <w:bookmarkStart w:id="351" w:name="_Toc426558511"/>
      <w:bookmarkStart w:id="352" w:name="_Toc426559255"/>
      <w:r w:rsidRPr="00165651">
        <w:rPr>
          <w:rFonts w:eastAsiaTheme="majorEastAsia" w:cstheme="minorHAnsi"/>
          <w:b/>
        </w:rPr>
        <w:t>AEROPUERTO ALFONSO BONILLA ARAGÓN (CALI)</w:t>
      </w:r>
      <w:bookmarkEnd w:id="348"/>
      <w:bookmarkEnd w:id="349"/>
      <w:bookmarkEnd w:id="350"/>
      <w:bookmarkEnd w:id="351"/>
      <w:bookmarkEnd w:id="352"/>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25"/>
        <w:contextualSpacing/>
        <w:jc w:val="both"/>
        <w:rPr>
          <w:rFonts w:eastAsiaTheme="minorHAnsi" w:cstheme="minorHAnsi"/>
        </w:rPr>
      </w:pPr>
      <w:r w:rsidRPr="00165651">
        <w:rPr>
          <w:rFonts w:eastAsiaTheme="minorHAnsi" w:cstheme="minorHAnsi"/>
        </w:rPr>
        <w:t>Concesión:</w:t>
      </w:r>
      <w:r w:rsidRPr="00165651">
        <w:rPr>
          <w:rFonts w:eastAsiaTheme="minorHAnsi" w:cstheme="minorHAnsi"/>
        </w:rPr>
        <w:tab/>
        <w:t>AEROPUERTO ALFONSO BONILLA ARAGÓN</w:t>
      </w:r>
    </w:p>
    <w:p w:rsidR="00EB3BC8" w:rsidRPr="00165651" w:rsidRDefault="00EB3BC8" w:rsidP="00EB3BC8">
      <w:pPr>
        <w:spacing w:after="0" w:line="240" w:lineRule="auto"/>
        <w:ind w:left="4245" w:hanging="3525"/>
        <w:contextualSpacing/>
        <w:jc w:val="both"/>
        <w:rPr>
          <w:rFonts w:eastAsiaTheme="minorHAnsi" w:cstheme="minorHAnsi"/>
        </w:rPr>
      </w:pPr>
    </w:p>
    <w:p w:rsidR="00EB3BC8" w:rsidRPr="00165651" w:rsidRDefault="00EB3BC8" w:rsidP="00EB3BC8">
      <w:pPr>
        <w:spacing w:line="240" w:lineRule="auto"/>
        <w:ind w:left="4245" w:hanging="3525"/>
        <w:contextualSpacing/>
        <w:jc w:val="both"/>
        <w:rPr>
          <w:rFonts w:eastAsiaTheme="minorHAnsi" w:cstheme="minorHAnsi"/>
        </w:rPr>
      </w:pPr>
      <w:r w:rsidRPr="00165651">
        <w:rPr>
          <w:rFonts w:eastAsiaTheme="minorHAnsi" w:cstheme="minorHAnsi"/>
        </w:rPr>
        <w:t>Concesionario:</w:t>
      </w:r>
      <w:r w:rsidRPr="00165651">
        <w:rPr>
          <w:rFonts w:eastAsiaTheme="minorHAnsi" w:cstheme="minorHAnsi"/>
        </w:rPr>
        <w:tab/>
        <w:t>AEROCALI (AENA DESARROLLO INTERNACIONAL, CORPORACIÓN FINANCIERA COLOMBIA)</w:t>
      </w:r>
    </w:p>
    <w:p w:rsidR="00EB3BC8" w:rsidRPr="00165651" w:rsidRDefault="00EB3BC8" w:rsidP="00EB3BC8">
      <w:pPr>
        <w:spacing w:line="240" w:lineRule="auto"/>
        <w:ind w:left="4245" w:hanging="3525"/>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53" w:name="_Toc424884946"/>
      <w:bookmarkStart w:id="354" w:name="_Toc426547783"/>
      <w:bookmarkStart w:id="355" w:name="_Toc426558512"/>
      <w:bookmarkStart w:id="356" w:name="_Toc426559256"/>
      <w:r w:rsidRPr="00165651">
        <w:rPr>
          <w:rFonts w:eastAsiaTheme="majorEastAsia" w:cstheme="minorHAnsi"/>
          <w:u w:val="single"/>
        </w:rPr>
        <w:t>Alfonso Bonilla Aragón</w:t>
      </w:r>
      <w:bookmarkEnd w:id="353"/>
      <w:bookmarkEnd w:id="354"/>
      <w:bookmarkEnd w:id="355"/>
      <w:bookmarkEnd w:id="356"/>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Cronograma:</w:t>
      </w:r>
      <w:r w:rsidRPr="00165651">
        <w:rPr>
          <w:rFonts w:eastAsiaTheme="minorHAnsi" w:cstheme="minorHAnsi"/>
        </w:rPr>
        <w:tab/>
      </w:r>
      <w:r w:rsidRPr="00165651">
        <w:rPr>
          <w:rFonts w:eastAsiaTheme="minorHAnsi" w:cstheme="minorHAnsi"/>
          <w:u w:val="single"/>
        </w:rPr>
        <w:t>Modernización Terminal Nacional:</w:t>
      </w:r>
      <w:r w:rsidRPr="00165651">
        <w:rPr>
          <w:rFonts w:eastAsiaTheme="minorHAnsi" w:cstheme="minorHAnsi"/>
        </w:rPr>
        <w:t xml:space="preserve"> Fecha inicio: Nov-24-2014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Sep-30-2016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$ 9.027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66% de obra ejecutada en el dique Nacional con fecha de terminación 8 de agosto de 2015.</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Ampliación Terminal Internacional:</w:t>
      </w:r>
      <w:r w:rsidRPr="00165651">
        <w:rPr>
          <w:rFonts w:eastAsiaTheme="minorHAnsi" w:cstheme="minorHAnsi"/>
        </w:rPr>
        <w:t xml:space="preserve"> Fecha inicio: Junio-01-2015</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Sep-30-2016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$ 88.000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Se encuentran desarrollando obras de carácter preliminar, como cerramiento, campamento y vías de acceso.</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u w:val="single"/>
        </w:rPr>
      </w:pPr>
      <w:r w:rsidRPr="00165651">
        <w:rPr>
          <w:rFonts w:eastAsiaTheme="minorHAnsi" w:cstheme="minorHAnsi"/>
        </w:rPr>
        <w:tab/>
      </w:r>
      <w:r w:rsidRPr="00165651">
        <w:rPr>
          <w:rFonts w:eastAsiaTheme="minorHAnsi" w:cstheme="minorHAnsi"/>
          <w:u w:val="single"/>
        </w:rPr>
        <w:t xml:space="preserve">Obras de Certificación: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Julio-01-2015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Sept-30-2016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$ 53.392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 xml:space="preserve">Avances: </w:t>
      </w:r>
      <w:r w:rsidRPr="00165651">
        <w:rPr>
          <w:rFonts w:eastAsiaTheme="minorHAnsi" w:cstheme="minorHAnsi"/>
        </w:rPr>
        <w:tab/>
        <w:t>El inicio de este proyecto se programa para el mes de octubre de 2015, por consiguiente las fechas de inicio y terminación se encuentran desplazadas.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u w:val="single"/>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concesión</w:t>
      </w:r>
      <w:r w:rsidRPr="00165651">
        <w:rPr>
          <w:rFonts w:eastAsiaTheme="minorHAnsi" w:cstheme="minorHAnsi"/>
        </w:rPr>
        <w:tab/>
        <w:t>150.419 millones.</w:t>
      </w:r>
    </w:p>
    <w:p w:rsidR="00EB3BC8" w:rsidRPr="00165651" w:rsidRDefault="00EB3BC8" w:rsidP="000021B2">
      <w:pPr>
        <w:keepNext/>
        <w:keepLines/>
        <w:numPr>
          <w:ilvl w:val="0"/>
          <w:numId w:val="57"/>
        </w:numPr>
        <w:spacing w:before="240" w:after="0" w:line="240" w:lineRule="auto"/>
        <w:outlineLvl w:val="0"/>
        <w:rPr>
          <w:rFonts w:eastAsiaTheme="majorEastAsia" w:cstheme="minorHAnsi"/>
          <w:b/>
        </w:rPr>
      </w:pPr>
      <w:bookmarkStart w:id="357" w:name="_Toc418877363"/>
      <w:bookmarkStart w:id="358" w:name="_Toc424884947"/>
      <w:bookmarkStart w:id="359" w:name="_Toc426547784"/>
      <w:bookmarkStart w:id="360" w:name="_Toc426558513"/>
      <w:bookmarkStart w:id="361" w:name="_Toc426559257"/>
      <w:r w:rsidRPr="00165651">
        <w:rPr>
          <w:rFonts w:eastAsiaTheme="majorEastAsia" w:cstheme="minorHAnsi"/>
          <w:b/>
        </w:rPr>
        <w:lastRenderedPageBreak/>
        <w:t>CONCESIÓN CENTRO NORTE</w:t>
      </w:r>
      <w:bookmarkEnd w:id="357"/>
      <w:bookmarkEnd w:id="358"/>
      <w:bookmarkEnd w:id="359"/>
      <w:bookmarkEnd w:id="360"/>
      <w:bookmarkEnd w:id="361"/>
      <w:r w:rsidRPr="00165651">
        <w:rPr>
          <w:rFonts w:eastAsiaTheme="minorHAnsi" w:cstheme="minorHAnsi"/>
          <w:b/>
          <w:noProof/>
        </w:rPr>
        <w:t xml:space="preserve"> </w:t>
      </w:r>
    </w:p>
    <w:p w:rsidR="00EB3BC8" w:rsidRPr="00165651" w:rsidRDefault="00EB3BC8" w:rsidP="00EB3BC8">
      <w:pPr>
        <w:keepNext/>
        <w:keepLines/>
        <w:spacing w:before="240" w:after="0" w:line="240" w:lineRule="auto"/>
        <w:ind w:left="720"/>
        <w:jc w:val="center"/>
        <w:outlineLvl w:val="0"/>
        <w:rPr>
          <w:rFonts w:eastAsiaTheme="majorEastAsia" w:cstheme="minorHAnsi"/>
          <w:sz w:val="28"/>
          <w:szCs w:val="32"/>
        </w:rPr>
      </w:pPr>
      <w:bookmarkStart w:id="362" w:name="_Toc426558514"/>
      <w:bookmarkStart w:id="363" w:name="_Toc426559258"/>
      <w:r w:rsidRPr="00165651">
        <w:rPr>
          <w:rFonts w:eastAsiaTheme="minorHAnsi" w:cstheme="minorHAnsi"/>
          <w:b/>
          <w:noProof/>
          <w:sz w:val="28"/>
          <w:szCs w:val="28"/>
        </w:rPr>
        <w:drawing>
          <wp:inline distT="0" distB="0" distL="0" distR="0" wp14:anchorId="4BBB7DA1" wp14:editId="72CF63C6">
            <wp:extent cx="3514725" cy="2240599"/>
            <wp:effectExtent l="76200" t="76200" r="123825" b="140970"/>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548475" cy="22621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End w:id="362"/>
      <w:bookmarkEnd w:id="363"/>
    </w:p>
    <w:p w:rsidR="00EB3BC8" w:rsidRPr="00165651" w:rsidRDefault="00EB3BC8" w:rsidP="00EB3BC8">
      <w:pPr>
        <w:spacing w:line="240" w:lineRule="auto"/>
        <w:jc w:val="center"/>
        <w:rPr>
          <w:rFonts w:eastAsiaTheme="minorHAnsi" w:cstheme="minorHAnsi"/>
          <w:sz w:val="18"/>
          <w:szCs w:val="18"/>
        </w:rPr>
      </w:pPr>
      <w:r w:rsidRPr="00165651">
        <w:rPr>
          <w:rFonts w:eastAsiaTheme="minorHAnsi" w:cstheme="minorHAnsi"/>
          <w:sz w:val="18"/>
          <w:szCs w:val="18"/>
        </w:rPr>
        <w:t>Aeropuerto José María Córdova – CENTRO NORTE</w:t>
      </w:r>
    </w:p>
    <w:p w:rsidR="00EB3BC8" w:rsidRPr="00165651" w:rsidRDefault="00EB3BC8" w:rsidP="00EB3BC8">
      <w:pPr>
        <w:keepNext/>
        <w:keepLines/>
        <w:spacing w:before="240" w:after="0" w:line="240" w:lineRule="auto"/>
        <w:ind w:left="720"/>
        <w:outlineLvl w:val="0"/>
        <w:rPr>
          <w:rFonts w:eastAsiaTheme="majorEastAsia" w:cstheme="minorHAnsi"/>
        </w:rPr>
      </w:pP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25"/>
        <w:contextualSpacing/>
        <w:jc w:val="both"/>
        <w:rPr>
          <w:rFonts w:eastAsiaTheme="minorHAnsi" w:cstheme="minorHAnsi"/>
        </w:rPr>
      </w:pPr>
      <w:r w:rsidRPr="00165651">
        <w:rPr>
          <w:rFonts w:eastAsiaTheme="minorHAnsi" w:cstheme="minorHAnsi"/>
        </w:rPr>
        <w:t>Concesión:</w:t>
      </w:r>
      <w:r w:rsidRPr="00165651">
        <w:rPr>
          <w:rFonts w:eastAsiaTheme="minorHAnsi" w:cstheme="minorHAnsi"/>
        </w:rPr>
        <w:tab/>
        <w:t>CONCESIÓN CENTRO NORTE (José María Córdova (Rionegro), Olaya Herrera (Medellín), Antonio Roldan Betancourt (Carepa), Los Garzones (Montería), Las Brujas (Corozal), El Caraño (Quibdó).</w:t>
      </w:r>
    </w:p>
    <w:p w:rsidR="00EB3BC8" w:rsidRPr="00165651" w:rsidRDefault="00EB3BC8" w:rsidP="00EB3BC8">
      <w:pPr>
        <w:spacing w:after="0" w:line="240" w:lineRule="auto"/>
        <w:ind w:left="4245" w:hanging="3525"/>
        <w:contextualSpacing/>
        <w:jc w:val="both"/>
        <w:rPr>
          <w:rFonts w:eastAsiaTheme="minorHAnsi" w:cstheme="minorHAnsi"/>
        </w:rPr>
      </w:pPr>
    </w:p>
    <w:p w:rsidR="00EB3BC8" w:rsidRPr="00165651" w:rsidRDefault="00EB3BC8" w:rsidP="00EB3BC8">
      <w:pPr>
        <w:spacing w:line="240" w:lineRule="auto"/>
        <w:ind w:left="4245" w:hanging="3525"/>
        <w:contextualSpacing/>
        <w:jc w:val="both"/>
        <w:rPr>
          <w:rFonts w:eastAsiaTheme="minorHAnsi" w:cstheme="minorHAnsi"/>
        </w:rPr>
      </w:pPr>
      <w:r w:rsidRPr="00165651">
        <w:rPr>
          <w:rFonts w:eastAsiaTheme="minorHAnsi" w:cstheme="minorHAnsi"/>
        </w:rPr>
        <w:t>Concesionario:</w:t>
      </w:r>
      <w:r w:rsidRPr="00165651">
        <w:rPr>
          <w:rFonts w:eastAsiaTheme="minorHAnsi" w:cstheme="minorHAnsi"/>
        </w:rPr>
        <w:tab/>
        <w:t>AIRPLAN (CAH Colombia, Información y Tecnología, Fernando Mazuera y Cía., Malibú, Portales Urbanos, Nexus Infraestructura, Socinsa, Supert. y Drog. Olímpica, Aerocap, M.R. Londoño y Cía., Cumbia)</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64" w:name="_Toc424884948"/>
      <w:bookmarkStart w:id="365" w:name="_Toc426547786"/>
      <w:bookmarkStart w:id="366" w:name="_Toc426558515"/>
      <w:bookmarkStart w:id="367" w:name="_Toc426559259"/>
      <w:r w:rsidRPr="00165651">
        <w:rPr>
          <w:rFonts w:eastAsiaTheme="majorEastAsia" w:cstheme="minorHAnsi"/>
          <w:u w:val="single"/>
        </w:rPr>
        <w:t>José María Córdova</w:t>
      </w:r>
      <w:bookmarkEnd w:id="364"/>
      <w:bookmarkEnd w:id="365"/>
      <w:bookmarkEnd w:id="366"/>
      <w:bookmarkEnd w:id="367"/>
      <w:r w:rsidRPr="00165651">
        <w:rPr>
          <w:rFonts w:eastAsiaTheme="majorEastAsia" w:cstheme="minorHAnsi"/>
          <w:u w:val="single"/>
        </w:rPr>
        <w:tab/>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Repavimentación pista de aterrizaje:</w:t>
      </w:r>
      <w:r w:rsidRPr="00165651">
        <w:rPr>
          <w:rFonts w:eastAsiaTheme="minorHAnsi" w:cstheme="minorHAnsi"/>
        </w:rPr>
        <w:t xml:space="preserve"> Fecha inicio: Feb-16-2015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fin: Ago-15-2015.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$ 27.613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60%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jc w:val="both"/>
        <w:rPr>
          <w:rFonts w:eastAsiaTheme="minorHAnsi" w:cstheme="minorHAnsi"/>
        </w:rPr>
      </w:pP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Ampliación muelle nacional:</w:t>
      </w:r>
      <w:r w:rsidRPr="00165651">
        <w:rPr>
          <w:rFonts w:eastAsiaTheme="minorHAnsi" w:cstheme="minorHAnsi"/>
        </w:rPr>
        <w:t xml:space="preserve"> </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Fecha de Inicio: 16 de julio de 2015</w:t>
      </w:r>
    </w:p>
    <w:p w:rsidR="00EB3BC8" w:rsidRPr="00165651" w:rsidRDefault="00EB3BC8" w:rsidP="00EB3BC8">
      <w:pPr>
        <w:spacing w:after="0" w:line="240" w:lineRule="auto"/>
        <w:ind w:left="4245" w:hanging="4245"/>
        <w:jc w:val="both"/>
        <w:rPr>
          <w:rFonts w:eastAsiaTheme="minorHAnsi" w:cstheme="minorHAnsi"/>
        </w:rPr>
      </w:pPr>
      <w:r w:rsidRPr="00165651">
        <w:rPr>
          <w:rFonts w:eastAsiaTheme="minorHAnsi" w:cstheme="minorHAnsi"/>
        </w:rPr>
        <w:tab/>
      </w:r>
      <w:r w:rsidRPr="00165651">
        <w:rPr>
          <w:rFonts w:eastAsiaTheme="minorHAnsi" w:cstheme="minorHAnsi"/>
        </w:rPr>
        <w:tab/>
        <w:t>Fecha de Terminación: 30 de mayo de 2018</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$ 28.000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5" w:hanging="3537"/>
        <w:jc w:val="both"/>
        <w:rPr>
          <w:rFonts w:eastAsiaTheme="minorHAnsi" w:cstheme="minorHAnsi"/>
        </w:rPr>
      </w:pPr>
      <w:r w:rsidRPr="00165651">
        <w:rPr>
          <w:rFonts w:eastAsiaTheme="minorHAnsi" w:cstheme="minorHAnsi"/>
        </w:rPr>
        <w:t>Avances:</w:t>
      </w:r>
      <w:r w:rsidRPr="00165651">
        <w:rPr>
          <w:rFonts w:eastAsiaTheme="minorHAnsi" w:cstheme="minorHAnsi"/>
        </w:rPr>
        <w:tab/>
        <w:t>Se adjudicó contrato de obra por parte del concesionario.</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u w:val="single"/>
        </w:rPr>
      </w:pPr>
      <w:r w:rsidRPr="00165651">
        <w:rPr>
          <w:rFonts w:eastAsiaTheme="minorHAnsi" w:cstheme="minorHAnsi"/>
        </w:rPr>
        <w:lastRenderedPageBreak/>
        <w:tab/>
      </w:r>
      <w:r w:rsidRPr="00165651">
        <w:rPr>
          <w:rFonts w:eastAsiaTheme="minorHAnsi" w:cstheme="minorHAnsi"/>
          <w:u w:val="single"/>
        </w:rPr>
        <w:t xml:space="preserve">Ampliación muelle internacional: </w:t>
      </w:r>
    </w:p>
    <w:p w:rsidR="00EB3BC8" w:rsidRPr="00165651" w:rsidRDefault="00EB3BC8" w:rsidP="00EB3BC8">
      <w:pPr>
        <w:spacing w:after="0" w:line="240" w:lineRule="auto"/>
        <w:ind w:left="4248" w:hanging="3528"/>
        <w:contextualSpacing/>
        <w:jc w:val="both"/>
        <w:rPr>
          <w:rFonts w:eastAsiaTheme="minorHAnsi" w:cstheme="minorHAnsi"/>
          <w:u w:val="single"/>
        </w:rPr>
      </w:pP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Fecha de Inicio: 16 de julio de 2015</w:t>
      </w:r>
    </w:p>
    <w:p w:rsidR="00EB3BC8" w:rsidRPr="00165651" w:rsidRDefault="00EB3BC8" w:rsidP="00EB3BC8">
      <w:pPr>
        <w:spacing w:after="0" w:line="240" w:lineRule="auto"/>
        <w:ind w:left="4245" w:hanging="4245"/>
        <w:jc w:val="both"/>
        <w:rPr>
          <w:rFonts w:eastAsiaTheme="minorHAnsi" w:cstheme="minorHAnsi"/>
        </w:rPr>
      </w:pPr>
      <w:r w:rsidRPr="00165651">
        <w:rPr>
          <w:rFonts w:eastAsiaTheme="minorHAnsi" w:cstheme="minorHAnsi"/>
        </w:rPr>
        <w:tab/>
      </w:r>
      <w:r w:rsidRPr="00165651">
        <w:rPr>
          <w:rFonts w:eastAsiaTheme="minorHAnsi" w:cstheme="minorHAnsi"/>
        </w:rPr>
        <w:tab/>
        <w:t>Fecha de Terminación: 30 de mayo de 2018</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$ 28.400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37"/>
        <w:jc w:val="both"/>
        <w:rPr>
          <w:rFonts w:eastAsiaTheme="minorHAnsi" w:cstheme="minorHAnsi"/>
        </w:rPr>
      </w:pPr>
      <w:r w:rsidRPr="00165651">
        <w:rPr>
          <w:rFonts w:eastAsiaTheme="minorHAnsi" w:cstheme="minorHAnsi"/>
        </w:rPr>
        <w:t>Avances:</w:t>
      </w:r>
      <w:r w:rsidRPr="00165651">
        <w:rPr>
          <w:rFonts w:eastAsiaTheme="minorHAnsi" w:cstheme="minorHAnsi"/>
        </w:rPr>
        <w:tab/>
        <w:t>Se adjudicó contrato de obra por parte del concesionario.</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Ampliación de Plataforma:</w:t>
      </w:r>
      <w:r w:rsidRPr="00165651">
        <w:rPr>
          <w:rFonts w:eastAsiaTheme="minorHAnsi" w:cstheme="minorHAnsi"/>
        </w:rPr>
        <w:t xml:space="preserve"> </w:t>
      </w:r>
    </w:p>
    <w:p w:rsidR="00EB3BC8" w:rsidRPr="00165651" w:rsidRDefault="00EB3BC8" w:rsidP="00EB3BC8">
      <w:pPr>
        <w:spacing w:after="0" w:line="240" w:lineRule="auto"/>
        <w:ind w:left="4248" w:hanging="1416"/>
        <w:contextualSpacing/>
        <w:jc w:val="both"/>
        <w:rPr>
          <w:rFonts w:eastAsiaTheme="minorHAnsi" w:cstheme="minorHAnsi"/>
        </w:rPr>
      </w:pP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Fecha de Inicio: 16 de julio de 2015</w:t>
      </w:r>
    </w:p>
    <w:p w:rsidR="00EB3BC8" w:rsidRPr="00165651" w:rsidRDefault="00EB3BC8" w:rsidP="00EB3BC8">
      <w:pPr>
        <w:spacing w:after="0" w:line="240" w:lineRule="auto"/>
        <w:ind w:left="4245" w:hanging="4245"/>
        <w:jc w:val="both"/>
        <w:rPr>
          <w:rFonts w:eastAsiaTheme="minorHAnsi" w:cstheme="minorHAnsi"/>
        </w:rPr>
      </w:pPr>
      <w:r w:rsidRPr="00165651">
        <w:rPr>
          <w:rFonts w:eastAsiaTheme="minorHAnsi" w:cstheme="minorHAnsi"/>
        </w:rPr>
        <w:tab/>
      </w:r>
      <w:r w:rsidRPr="00165651">
        <w:rPr>
          <w:rFonts w:eastAsiaTheme="minorHAnsi" w:cstheme="minorHAnsi"/>
        </w:rPr>
        <w:tab/>
        <w:t>Fecha de Terminación: 30 de mayo de 2018</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$ 27.700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37"/>
        <w:jc w:val="both"/>
        <w:rPr>
          <w:rFonts w:eastAsiaTheme="minorHAnsi" w:cstheme="minorHAnsi"/>
        </w:rPr>
      </w:pPr>
      <w:r w:rsidRPr="00165651">
        <w:rPr>
          <w:rFonts w:eastAsiaTheme="minorHAnsi" w:cstheme="minorHAnsi"/>
        </w:rPr>
        <w:t>Avances:</w:t>
      </w:r>
      <w:r w:rsidRPr="00165651">
        <w:rPr>
          <w:rFonts w:eastAsiaTheme="minorHAnsi" w:cstheme="minorHAnsi"/>
        </w:rPr>
        <w:tab/>
        <w:t>Se adjudicó contrato de obra por parte del concesionario.</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Módulos de Conexión:</w:t>
      </w:r>
      <w:r w:rsidRPr="00165651">
        <w:rPr>
          <w:rFonts w:eastAsiaTheme="minorHAnsi" w:cstheme="minorHAnsi"/>
        </w:rPr>
        <w:t xml:space="preserve"> </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Fecha de Inicio: 16 de julio de 2015</w:t>
      </w:r>
    </w:p>
    <w:p w:rsidR="00EB3BC8" w:rsidRPr="00165651" w:rsidRDefault="00EB3BC8" w:rsidP="00EB3BC8">
      <w:pPr>
        <w:spacing w:after="0" w:line="240" w:lineRule="auto"/>
        <w:ind w:left="4245" w:hanging="4245"/>
        <w:jc w:val="both"/>
        <w:rPr>
          <w:rFonts w:eastAsiaTheme="minorHAnsi" w:cstheme="minorHAnsi"/>
        </w:rPr>
      </w:pPr>
      <w:r w:rsidRPr="00165651">
        <w:rPr>
          <w:rFonts w:eastAsiaTheme="minorHAnsi" w:cstheme="minorHAnsi"/>
        </w:rPr>
        <w:tab/>
      </w:r>
      <w:r w:rsidRPr="00165651">
        <w:rPr>
          <w:rFonts w:eastAsiaTheme="minorHAnsi" w:cstheme="minorHAnsi"/>
        </w:rPr>
        <w:tab/>
        <w:t>Fecha de Terminación: 30 de mayo de 2018</w:t>
      </w:r>
    </w:p>
    <w:p w:rsidR="00EB3BC8" w:rsidRPr="00165651" w:rsidRDefault="00EB3BC8" w:rsidP="00EB3BC8">
      <w:pPr>
        <w:spacing w:after="0" w:line="240" w:lineRule="auto"/>
        <w:ind w:left="4245" w:hanging="4245"/>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$ 17.000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37"/>
        <w:jc w:val="both"/>
        <w:rPr>
          <w:rFonts w:eastAsiaTheme="minorHAnsi" w:cstheme="minorHAnsi"/>
        </w:rPr>
      </w:pPr>
      <w:r w:rsidRPr="00165651">
        <w:rPr>
          <w:rFonts w:eastAsiaTheme="minorHAnsi" w:cstheme="minorHAnsi"/>
        </w:rPr>
        <w:t>Avances:</w:t>
      </w:r>
      <w:r w:rsidRPr="00165651">
        <w:rPr>
          <w:rFonts w:eastAsiaTheme="minorHAnsi" w:cstheme="minorHAnsi"/>
        </w:rPr>
        <w:tab/>
        <w:t>Se adjudicó contrato de obra por parte del concesionario.</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Terminal de Carga:</w:t>
      </w:r>
      <w:r w:rsidRPr="00165651">
        <w:rPr>
          <w:rFonts w:eastAsiaTheme="minorHAnsi" w:cstheme="minorHAnsi"/>
        </w:rPr>
        <w:t xml:space="preserve"> </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Fecha de Inicio: 16 de julio de 2015</w:t>
      </w:r>
    </w:p>
    <w:p w:rsidR="00EB3BC8" w:rsidRPr="00165651" w:rsidRDefault="00EB3BC8" w:rsidP="00EB3BC8">
      <w:pPr>
        <w:spacing w:after="0" w:line="240" w:lineRule="auto"/>
        <w:ind w:left="4245" w:hanging="4245"/>
        <w:jc w:val="both"/>
        <w:rPr>
          <w:rFonts w:eastAsiaTheme="minorHAnsi" w:cstheme="minorHAnsi"/>
        </w:rPr>
      </w:pPr>
      <w:r w:rsidRPr="00165651">
        <w:rPr>
          <w:rFonts w:eastAsiaTheme="minorHAnsi" w:cstheme="minorHAnsi"/>
        </w:rPr>
        <w:tab/>
      </w:r>
      <w:r w:rsidRPr="00165651">
        <w:rPr>
          <w:rFonts w:eastAsiaTheme="minorHAnsi" w:cstheme="minorHAnsi"/>
        </w:rPr>
        <w:tab/>
        <w:t>Fecha de Terminación: 30 de mayo de 2018</w:t>
      </w:r>
    </w:p>
    <w:p w:rsidR="00EB3BC8" w:rsidRPr="00165651" w:rsidRDefault="00EB3BC8" w:rsidP="00EB3BC8">
      <w:pPr>
        <w:spacing w:after="0" w:line="240" w:lineRule="auto"/>
        <w:ind w:left="4245" w:hanging="4245"/>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$ 55.000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37"/>
        <w:jc w:val="both"/>
        <w:rPr>
          <w:rFonts w:eastAsiaTheme="minorHAnsi" w:cstheme="minorHAnsi"/>
        </w:rPr>
      </w:pPr>
      <w:r w:rsidRPr="00165651">
        <w:rPr>
          <w:rFonts w:eastAsiaTheme="minorHAnsi" w:cstheme="minorHAnsi"/>
        </w:rPr>
        <w:t>Avances:</w:t>
      </w:r>
      <w:r w:rsidRPr="00165651">
        <w:rPr>
          <w:rFonts w:eastAsiaTheme="minorHAnsi" w:cstheme="minorHAnsi"/>
        </w:rPr>
        <w:tab/>
        <w:t>Se adjudicó contrato de obra por parte del concesionario.</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Taller de Mantenimiento de Avianca:</w:t>
      </w:r>
      <w:r w:rsidRPr="00165651">
        <w:rPr>
          <w:rFonts w:eastAsiaTheme="minorHAnsi" w:cstheme="minorHAnsi"/>
        </w:rPr>
        <w:t xml:space="preserve"> </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Feb-16-2015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Jun-30-2016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$ 60.000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5" w:hanging="3537"/>
        <w:jc w:val="both"/>
        <w:rPr>
          <w:rFonts w:eastAsiaTheme="minorHAnsi" w:cstheme="minorHAnsi"/>
        </w:rPr>
      </w:pPr>
      <w:r w:rsidRPr="00165651">
        <w:rPr>
          <w:rFonts w:eastAsiaTheme="minorHAnsi" w:cstheme="minorHAnsi"/>
        </w:rPr>
        <w:lastRenderedPageBreak/>
        <w:t>Avances:</w:t>
      </w:r>
      <w:r w:rsidRPr="00165651">
        <w:rPr>
          <w:rFonts w:eastAsiaTheme="minorHAnsi" w:cstheme="minorHAnsi"/>
        </w:rPr>
        <w:tab/>
        <w:t>Movimientos de tierra y conformación de terreno para cimentación</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Aeropuerto:</w:t>
      </w:r>
      <w:r w:rsidRPr="00165651">
        <w:rPr>
          <w:rFonts w:eastAsiaTheme="minorHAnsi" w:cstheme="minorHAnsi"/>
        </w:rPr>
        <w:tab/>
        <w:t>243.713 millones.</w:t>
      </w: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68" w:name="_Toc424884949"/>
      <w:bookmarkStart w:id="369" w:name="_Toc426547787"/>
      <w:bookmarkStart w:id="370" w:name="_Toc426558516"/>
      <w:bookmarkStart w:id="371" w:name="_Toc426559260"/>
      <w:r w:rsidRPr="00165651">
        <w:rPr>
          <w:rFonts w:eastAsiaTheme="majorEastAsia" w:cstheme="minorHAnsi"/>
          <w:u w:val="single"/>
        </w:rPr>
        <w:t>Olaya Herrera</w:t>
      </w:r>
      <w:bookmarkEnd w:id="368"/>
      <w:bookmarkEnd w:id="369"/>
      <w:bookmarkEnd w:id="370"/>
      <w:bookmarkEnd w:id="371"/>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Repavimentación pista de aterrizaje:</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Feb-16-2015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Ago-15-2015</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$ 8.118 millones</w:t>
      </w:r>
    </w:p>
    <w:p w:rsidR="00EB3BC8" w:rsidRPr="00165651" w:rsidRDefault="00EB3BC8" w:rsidP="00EB3BC8">
      <w:pPr>
        <w:spacing w:after="0" w:line="240" w:lineRule="auto"/>
        <w:ind w:left="4245" w:hanging="3537"/>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64%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ind w:left="4245" w:hanging="3537"/>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Torre de Control:</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Mar-30-2015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Noviembre-30-2015</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$ 2.583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35%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u w:val="single"/>
        </w:rPr>
      </w:pPr>
      <w:r w:rsidRPr="00165651">
        <w:rPr>
          <w:rFonts w:eastAsiaTheme="minorHAnsi" w:cstheme="minorHAnsi"/>
        </w:rPr>
        <w:tab/>
      </w:r>
      <w:r w:rsidRPr="00165651">
        <w:rPr>
          <w:rFonts w:eastAsiaTheme="minorHAnsi" w:cstheme="minorHAnsi"/>
          <w:u w:val="single"/>
        </w:rPr>
        <w:t xml:space="preserve">Edificio parqueadero: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Abr-27-2015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Nov-30-2015</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$ 2.672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37%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tab/>
      </w:r>
      <w:r w:rsidRPr="00165651">
        <w:rPr>
          <w:rFonts w:eastAsiaTheme="minorHAnsi" w:cstheme="minorHAnsi"/>
          <w:u w:val="single"/>
        </w:rPr>
        <w:t>Terminal VIP:</w:t>
      </w:r>
      <w:r w:rsidRPr="00165651">
        <w:rPr>
          <w:rFonts w:eastAsiaTheme="minorHAnsi" w:cstheme="minorHAnsi"/>
        </w:rPr>
        <w:t xml:space="preserve"> </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Marzo 30-2015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Agosto-15-2015</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$ 3.901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39%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lastRenderedPageBreak/>
        <w:t>Capex Total Aeropuerto:</w:t>
      </w:r>
      <w:r w:rsidRPr="00165651">
        <w:rPr>
          <w:rFonts w:eastAsiaTheme="minorHAnsi" w:cstheme="minorHAnsi"/>
        </w:rPr>
        <w:tab/>
        <w:t>17.274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72" w:name="_Toc424884950"/>
      <w:bookmarkStart w:id="373" w:name="_Toc426547788"/>
      <w:bookmarkStart w:id="374" w:name="_Toc426558517"/>
      <w:bookmarkStart w:id="375" w:name="_Toc426559261"/>
      <w:r w:rsidRPr="00165651">
        <w:rPr>
          <w:rFonts w:eastAsiaTheme="majorEastAsia" w:cstheme="minorHAnsi"/>
          <w:u w:val="single"/>
        </w:rPr>
        <w:t>Antonio Roldan Betancourt</w:t>
      </w:r>
      <w:bookmarkEnd w:id="372"/>
      <w:bookmarkEnd w:id="373"/>
      <w:bookmarkEnd w:id="374"/>
      <w:bookmarkEnd w:id="375"/>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Repavimentación pista de aterrizaje:</w:t>
      </w:r>
      <w:r w:rsidRPr="00165651">
        <w:rPr>
          <w:rFonts w:eastAsiaTheme="minorHAnsi" w:cstheme="minorHAnsi"/>
        </w:rPr>
        <w:t xml:space="preserve"> Fecha inicio: Feb-16-2015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Feb-16-2016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$ 13.290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44%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Aeropuerto:</w:t>
      </w:r>
      <w:r w:rsidRPr="00165651">
        <w:rPr>
          <w:rFonts w:eastAsiaTheme="minorHAnsi" w:cstheme="minorHAnsi"/>
        </w:rPr>
        <w:tab/>
        <w:t>13.290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76" w:name="_Toc424884951"/>
      <w:bookmarkStart w:id="377" w:name="_Toc426547789"/>
      <w:bookmarkStart w:id="378" w:name="_Toc426558518"/>
      <w:bookmarkStart w:id="379" w:name="_Toc426559262"/>
      <w:r w:rsidRPr="00165651">
        <w:rPr>
          <w:rFonts w:eastAsiaTheme="majorEastAsia" w:cstheme="minorHAnsi"/>
          <w:u w:val="single"/>
        </w:rPr>
        <w:t>Los Garzones</w:t>
      </w:r>
      <w:bookmarkEnd w:id="376"/>
      <w:bookmarkEnd w:id="377"/>
      <w:bookmarkEnd w:id="378"/>
      <w:bookmarkEnd w:id="379"/>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Repavimentación pista de aterrizaje:</w:t>
      </w:r>
      <w:r w:rsidRPr="00165651">
        <w:rPr>
          <w:rFonts w:eastAsiaTheme="minorHAnsi" w:cstheme="minorHAnsi"/>
        </w:rPr>
        <w:t xml:space="preserve"> Fecha inicio: Feb-16-2015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Ago-7-2015</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$ 10.499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72%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Ampliación Edificio Terminal de Pasajeros:</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Mayo-4-2015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fin: Abr-30-2016.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$28.574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2%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Atrasado, con plan de contingencia</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Aeropuerto:</w:t>
      </w:r>
      <w:r w:rsidRPr="00165651">
        <w:rPr>
          <w:rFonts w:eastAsiaTheme="minorHAnsi" w:cstheme="minorHAnsi"/>
        </w:rPr>
        <w:tab/>
        <w:t>39.074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80" w:name="_Toc424884952"/>
      <w:bookmarkStart w:id="381" w:name="_Toc426547790"/>
      <w:bookmarkStart w:id="382" w:name="_Toc426558519"/>
      <w:bookmarkStart w:id="383" w:name="_Toc426559263"/>
      <w:r w:rsidRPr="00165651">
        <w:rPr>
          <w:rFonts w:eastAsiaTheme="majorEastAsia" w:cstheme="minorHAnsi"/>
          <w:u w:val="single"/>
        </w:rPr>
        <w:t>Las Brujas</w:t>
      </w:r>
      <w:bookmarkEnd w:id="380"/>
      <w:bookmarkEnd w:id="381"/>
      <w:bookmarkEnd w:id="382"/>
      <w:bookmarkEnd w:id="383"/>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Repavimentación pista de aterrizaje:</w:t>
      </w:r>
      <w:r w:rsidRPr="00165651">
        <w:rPr>
          <w:rFonts w:eastAsiaTheme="minorHAnsi" w:cstheme="minorHAnsi"/>
        </w:rPr>
        <w:t xml:space="preserve"> Fecha inicio: Feb-16-2015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Dic-30-2015</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$ 5.617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53%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Ampliación pista de aterrizaje:</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Feb-16-2015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fin: Dic-30-2015.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$26.408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28%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Acorde al cronograma de actividades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Climatización terminal de pasajeros:</w:t>
      </w:r>
      <w:r w:rsidRPr="00165651">
        <w:rPr>
          <w:rFonts w:eastAsiaTheme="minorHAnsi" w:cstheme="minorHAnsi"/>
        </w:rPr>
        <w:t xml:space="preserve"> Fecha inicio: Mar-18-2015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fin: Jun-19-2015.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$2.000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Terminado – 100%</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Aeropuerto:</w:t>
      </w:r>
      <w:r w:rsidRPr="00165651">
        <w:rPr>
          <w:rFonts w:eastAsiaTheme="minorHAnsi" w:cstheme="minorHAnsi"/>
        </w:rPr>
        <w:tab/>
        <w:t>34.025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84" w:name="_Toc424884953"/>
      <w:bookmarkStart w:id="385" w:name="_Toc426547791"/>
      <w:bookmarkStart w:id="386" w:name="_Toc426558520"/>
      <w:bookmarkStart w:id="387" w:name="_Toc426559264"/>
      <w:r w:rsidRPr="00165651">
        <w:rPr>
          <w:rFonts w:eastAsiaTheme="majorEastAsia" w:cstheme="minorHAnsi"/>
          <w:u w:val="single"/>
        </w:rPr>
        <w:t>El Caraño</w:t>
      </w:r>
      <w:bookmarkEnd w:id="384"/>
      <w:bookmarkEnd w:id="385"/>
      <w:bookmarkEnd w:id="386"/>
      <w:bookmarkEnd w:id="387"/>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Repavimentación pista de aterrizaje:</w:t>
      </w:r>
      <w:r w:rsidRPr="00165651">
        <w:rPr>
          <w:rFonts w:eastAsiaTheme="minorHAnsi" w:cstheme="minorHAnsi"/>
        </w:rPr>
        <w:t xml:space="preserve"> Fecha inicio: Feb-16-2015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Mar-06-2016</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$15.923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7%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Atrasado, con plan de contingencia</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Ampliación de Pista y Plataforma:</w:t>
      </w:r>
      <w:r w:rsidRPr="00165651">
        <w:rPr>
          <w:rFonts w:eastAsiaTheme="minorHAnsi" w:cstheme="minorHAnsi"/>
        </w:rPr>
        <w:t xml:space="preserve"> Fecha inicio: May-10-2015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Ago-2017</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$80.766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1%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Actividades de Gestión predial, contempladas en el cronograma de actividades.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Centro de Servicios:</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May-10-2015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May-30-2016</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$71.900 millones.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firstLine="708"/>
        <w:jc w:val="both"/>
        <w:rPr>
          <w:rFonts w:eastAsiaTheme="minorHAnsi" w:cstheme="minorHAnsi"/>
        </w:rPr>
      </w:pPr>
      <w:r w:rsidRPr="00165651">
        <w:rPr>
          <w:rFonts w:eastAsiaTheme="minorHAnsi" w:cstheme="minorHAnsi"/>
        </w:rPr>
        <w:t>Avances:</w:t>
      </w:r>
      <w:r w:rsidRPr="00165651">
        <w:rPr>
          <w:rFonts w:eastAsiaTheme="minorHAnsi" w:cstheme="minorHAnsi"/>
        </w:rPr>
        <w:tab/>
      </w:r>
      <w:r w:rsidRPr="00165651">
        <w:rPr>
          <w:rFonts w:eastAsiaTheme="minorHAnsi" w:cstheme="minorHAnsi"/>
        </w:rPr>
        <w:tab/>
      </w:r>
      <w:r w:rsidRPr="00165651">
        <w:rPr>
          <w:rFonts w:eastAsiaTheme="minorHAnsi" w:cstheme="minorHAnsi"/>
        </w:rPr>
        <w:tab/>
      </w:r>
      <w:r w:rsidRPr="00165651">
        <w:rPr>
          <w:rFonts w:eastAsiaTheme="minorHAnsi" w:cstheme="minorHAnsi"/>
        </w:rPr>
        <w:tab/>
        <w:t>1% de la obra ejecutada</w:t>
      </w:r>
    </w:p>
    <w:p w:rsidR="00EB3BC8" w:rsidRPr="00165651" w:rsidRDefault="00EB3BC8" w:rsidP="00EB3BC8">
      <w:pPr>
        <w:spacing w:after="0" w:line="240" w:lineRule="auto"/>
        <w:ind w:left="4245"/>
        <w:jc w:val="both"/>
        <w:rPr>
          <w:rFonts w:eastAsiaTheme="minorHAnsi" w:cstheme="minorHAnsi"/>
        </w:rPr>
      </w:pPr>
      <w:r w:rsidRPr="00165651">
        <w:rPr>
          <w:rFonts w:eastAsiaTheme="minorHAnsi" w:cstheme="minorHAnsi"/>
        </w:rPr>
        <w:t>Atrasado, con plan de contingencia</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Aeropuerto:</w:t>
      </w:r>
      <w:r w:rsidRPr="00165651">
        <w:rPr>
          <w:rFonts w:eastAsiaTheme="minorHAnsi" w:cstheme="minorHAnsi"/>
        </w:rPr>
        <w:tab/>
        <w:t>168.569 Millones.</w:t>
      </w:r>
    </w:p>
    <w:p w:rsidR="00EB3BC8" w:rsidRPr="00165651" w:rsidRDefault="00EB3BC8" w:rsidP="00EB3BC8">
      <w:pPr>
        <w:keepNext/>
        <w:keepLines/>
        <w:spacing w:before="240" w:after="0" w:line="240" w:lineRule="auto"/>
        <w:ind w:left="720"/>
        <w:outlineLvl w:val="0"/>
        <w:rPr>
          <w:rFonts w:eastAsiaTheme="majorEastAsia" w:cstheme="minorHAnsi"/>
        </w:rPr>
      </w:pPr>
      <w:bookmarkStart w:id="388" w:name="_Toc418877364"/>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Concesión:</w:t>
      </w:r>
      <w:r w:rsidRPr="00165651">
        <w:rPr>
          <w:rFonts w:eastAsiaTheme="minorHAnsi" w:cstheme="minorHAnsi"/>
        </w:rPr>
        <w:tab/>
        <w:t>515.964 Millones.</w:t>
      </w:r>
    </w:p>
    <w:p w:rsidR="00EB3BC8" w:rsidRPr="00165651" w:rsidRDefault="00EB3BC8" w:rsidP="00EB3BC8">
      <w:pPr>
        <w:spacing w:line="240" w:lineRule="auto"/>
        <w:rPr>
          <w:rFonts w:eastAsiaTheme="minorHAnsi" w:cstheme="minorHAnsi"/>
          <w:b/>
        </w:rPr>
      </w:pPr>
    </w:p>
    <w:p w:rsidR="00EB3BC8" w:rsidRPr="00165651" w:rsidRDefault="00EB3BC8" w:rsidP="000021B2">
      <w:pPr>
        <w:keepNext/>
        <w:keepLines/>
        <w:numPr>
          <w:ilvl w:val="0"/>
          <w:numId w:val="57"/>
        </w:numPr>
        <w:spacing w:before="240" w:after="0" w:line="240" w:lineRule="auto"/>
        <w:outlineLvl w:val="0"/>
        <w:rPr>
          <w:rFonts w:eastAsiaTheme="majorEastAsia" w:cstheme="minorHAnsi"/>
          <w:b/>
        </w:rPr>
      </w:pPr>
      <w:bookmarkStart w:id="389" w:name="_Toc424884954"/>
      <w:bookmarkStart w:id="390" w:name="_Toc426558521"/>
      <w:bookmarkStart w:id="391" w:name="_Toc426559265"/>
      <w:r w:rsidRPr="00165651">
        <w:rPr>
          <w:rFonts w:eastAsiaTheme="majorEastAsia" w:cstheme="minorHAnsi"/>
          <w:b/>
        </w:rPr>
        <w:t>CONCESIÓN NORORIENTE</w:t>
      </w:r>
      <w:bookmarkEnd w:id="388"/>
      <w:bookmarkEnd w:id="389"/>
      <w:bookmarkEnd w:id="390"/>
      <w:bookmarkEnd w:id="391"/>
      <w:r w:rsidRPr="00165651">
        <w:rPr>
          <w:rFonts w:eastAsiaTheme="minorHAnsi" w:cstheme="minorHAnsi"/>
          <w:b/>
          <w:noProof/>
        </w:rPr>
        <w:t xml:space="preserve"> </w:t>
      </w:r>
    </w:p>
    <w:p w:rsidR="00EB3BC8" w:rsidRPr="00165651" w:rsidRDefault="00EB3BC8" w:rsidP="00EB3BC8">
      <w:pPr>
        <w:keepNext/>
        <w:keepLines/>
        <w:spacing w:before="240" w:after="0" w:line="240" w:lineRule="auto"/>
        <w:ind w:left="720"/>
        <w:jc w:val="center"/>
        <w:outlineLvl w:val="0"/>
        <w:rPr>
          <w:rFonts w:eastAsiaTheme="majorEastAsia" w:cstheme="minorHAnsi"/>
          <w:sz w:val="28"/>
          <w:szCs w:val="32"/>
        </w:rPr>
      </w:pPr>
      <w:bookmarkStart w:id="392" w:name="_Toc426558522"/>
      <w:bookmarkStart w:id="393" w:name="_Toc426559266"/>
      <w:r w:rsidRPr="00165651">
        <w:rPr>
          <w:rFonts w:eastAsiaTheme="minorHAnsi" w:cstheme="minorHAnsi"/>
          <w:b/>
          <w:noProof/>
          <w:sz w:val="28"/>
          <w:szCs w:val="28"/>
        </w:rPr>
        <w:drawing>
          <wp:inline distT="0" distB="0" distL="0" distR="0" wp14:anchorId="19339E6A" wp14:editId="6C51092B">
            <wp:extent cx="3562350" cy="2179319"/>
            <wp:effectExtent l="0" t="0" r="0" b="0"/>
            <wp:docPr id="451"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590492" cy="2196535"/>
                    </a:xfrm>
                    <a:prstGeom prst="rect">
                      <a:avLst/>
                    </a:prstGeom>
                    <a:noFill/>
                  </pic:spPr>
                </pic:pic>
              </a:graphicData>
            </a:graphic>
          </wp:inline>
        </w:drawing>
      </w:r>
      <w:bookmarkEnd w:id="392"/>
      <w:bookmarkEnd w:id="393"/>
    </w:p>
    <w:p w:rsidR="00EB3BC8" w:rsidRPr="00165651" w:rsidRDefault="00EB3BC8" w:rsidP="00EB3BC8">
      <w:pPr>
        <w:spacing w:line="240" w:lineRule="auto"/>
        <w:jc w:val="center"/>
        <w:rPr>
          <w:rFonts w:eastAsiaTheme="minorHAnsi" w:cstheme="minorHAnsi"/>
          <w:sz w:val="18"/>
          <w:szCs w:val="18"/>
        </w:rPr>
      </w:pPr>
      <w:r w:rsidRPr="00165651">
        <w:rPr>
          <w:rFonts w:eastAsiaTheme="minorHAnsi" w:cstheme="minorHAnsi"/>
          <w:sz w:val="18"/>
          <w:szCs w:val="18"/>
        </w:rPr>
        <w:t>Aeropuerto Yariguies – NORORIENTE</w:t>
      </w:r>
    </w:p>
    <w:p w:rsidR="00EB3BC8" w:rsidRPr="00165651" w:rsidRDefault="00EB3BC8" w:rsidP="00EB3BC8">
      <w:pPr>
        <w:spacing w:line="240" w:lineRule="auto"/>
        <w:rPr>
          <w:rFonts w:eastAsiaTheme="minorHAnsi" w:cstheme="minorHAnsi"/>
        </w:rPr>
      </w:pPr>
    </w:p>
    <w:p w:rsidR="00EB3BC8" w:rsidRPr="00165651" w:rsidRDefault="00EB3BC8" w:rsidP="00EB3BC8">
      <w:pPr>
        <w:tabs>
          <w:tab w:val="left" w:pos="2598"/>
        </w:tabs>
        <w:spacing w:after="0" w:line="240" w:lineRule="auto"/>
        <w:jc w:val="center"/>
        <w:rPr>
          <w:rFonts w:eastAsiaTheme="minorHAnsi" w:cstheme="minorHAnsi"/>
        </w:rPr>
      </w:pPr>
      <w:r w:rsidRPr="00165651">
        <w:rPr>
          <w:rFonts w:eastAsiaTheme="minorHAnsi" w:cstheme="minorHAnsi"/>
        </w:rPr>
        <w:t xml:space="preserve">      </w:t>
      </w:r>
      <w:r w:rsidRPr="00165651">
        <w:rPr>
          <w:rFonts w:eastAsiaTheme="minorHAnsi" w:cstheme="minorHAnsi"/>
          <w:b/>
          <w:noProof/>
          <w:sz w:val="28"/>
          <w:szCs w:val="28"/>
        </w:rPr>
        <w:drawing>
          <wp:inline distT="0" distB="0" distL="0" distR="0" wp14:anchorId="7BD9AD74" wp14:editId="68E03EA3">
            <wp:extent cx="3371690" cy="2305050"/>
            <wp:effectExtent l="76200" t="76200" r="133985" b="133350"/>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412414" cy="23328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B3BC8" w:rsidRPr="00165651" w:rsidRDefault="00EB3BC8" w:rsidP="00EB3BC8">
      <w:pPr>
        <w:spacing w:after="0" w:line="240" w:lineRule="auto"/>
        <w:jc w:val="center"/>
        <w:rPr>
          <w:rFonts w:eastAsiaTheme="minorHAnsi" w:cstheme="minorHAnsi"/>
          <w:sz w:val="18"/>
          <w:szCs w:val="18"/>
        </w:rPr>
      </w:pPr>
      <w:r w:rsidRPr="00165651">
        <w:rPr>
          <w:rFonts w:eastAsiaTheme="minorHAnsi" w:cstheme="minorHAnsi"/>
          <w:sz w:val="18"/>
          <w:szCs w:val="18"/>
        </w:rPr>
        <w:t>Aeropuerto Simón Bolívar – NORORIENTE</w:t>
      </w:r>
    </w:p>
    <w:p w:rsidR="00EB3BC8" w:rsidRPr="00165651" w:rsidRDefault="00EB3BC8" w:rsidP="00EB3BC8">
      <w:pPr>
        <w:spacing w:line="240" w:lineRule="auto"/>
        <w:jc w:val="center"/>
        <w:rPr>
          <w:rFonts w:eastAsiaTheme="minorHAnsi" w:cstheme="minorHAnsi"/>
        </w:rPr>
      </w:pPr>
    </w:p>
    <w:p w:rsidR="00EB3BC8" w:rsidRPr="00165651" w:rsidRDefault="00EB3BC8" w:rsidP="00EB3BC8">
      <w:pPr>
        <w:spacing w:after="0" w:line="240" w:lineRule="auto"/>
        <w:jc w:val="both"/>
        <w:rPr>
          <w:rFonts w:eastAsiaTheme="minorHAnsi" w:cstheme="minorHAnsi"/>
          <w:sz w:val="28"/>
          <w:szCs w:val="28"/>
        </w:rPr>
      </w:pPr>
    </w:p>
    <w:p w:rsidR="00EB3BC8" w:rsidRPr="00165651" w:rsidRDefault="00EB3BC8" w:rsidP="00EB3BC8">
      <w:pPr>
        <w:spacing w:after="0" w:line="240" w:lineRule="auto"/>
        <w:ind w:left="4245" w:hanging="3525"/>
        <w:contextualSpacing/>
        <w:jc w:val="both"/>
        <w:rPr>
          <w:rFonts w:eastAsiaTheme="minorHAnsi" w:cstheme="minorHAnsi"/>
        </w:rPr>
      </w:pPr>
      <w:r w:rsidRPr="00165651">
        <w:rPr>
          <w:rFonts w:eastAsiaTheme="minorHAnsi" w:cstheme="minorHAnsi"/>
        </w:rPr>
        <w:t>Concesión:</w:t>
      </w:r>
      <w:r w:rsidRPr="00165651">
        <w:rPr>
          <w:rFonts w:eastAsiaTheme="minorHAnsi" w:cstheme="minorHAnsi"/>
        </w:rPr>
        <w:tab/>
        <w:t>CONCESIÓN NORORIENTE: (Alfonso López Pumarejo (Valledupar), Simón Bolívar (Santa Marta), Almirante Padilla (Riohacha), Camilo Daza (Cúcuta), Yariguies (Barrancabermeja).</w:t>
      </w:r>
    </w:p>
    <w:p w:rsidR="00EB3BC8" w:rsidRPr="00165651" w:rsidRDefault="00EB3BC8" w:rsidP="00EB3BC8">
      <w:pPr>
        <w:spacing w:line="240" w:lineRule="auto"/>
        <w:ind w:left="4245" w:hanging="3525"/>
        <w:contextualSpacing/>
        <w:jc w:val="both"/>
        <w:rPr>
          <w:rFonts w:eastAsiaTheme="minorHAnsi" w:cstheme="minorHAnsi"/>
        </w:rPr>
      </w:pPr>
      <w:r w:rsidRPr="00165651">
        <w:rPr>
          <w:rFonts w:eastAsiaTheme="minorHAnsi" w:cstheme="minorHAnsi"/>
        </w:rPr>
        <w:t>Concesionario:</w:t>
      </w:r>
      <w:r w:rsidRPr="00165651">
        <w:rPr>
          <w:rFonts w:eastAsiaTheme="minorHAnsi" w:cstheme="minorHAnsi"/>
        </w:rPr>
        <w:tab/>
        <w:t>SOCIEDAD AEROPUERTOS DE ORIENTE (Olímpica, Incoequipos, Nexus Infraestructura, Pedro Ramón Emiliani)</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94" w:name="_Toc424884955"/>
      <w:bookmarkStart w:id="395" w:name="_Toc426558523"/>
      <w:bookmarkStart w:id="396" w:name="_Toc426559267"/>
      <w:r w:rsidRPr="00165651">
        <w:rPr>
          <w:rFonts w:eastAsiaTheme="majorEastAsia" w:cstheme="minorHAnsi"/>
          <w:u w:val="single"/>
        </w:rPr>
        <w:t>Alfonso López Pumarejo</w:t>
      </w:r>
      <w:bookmarkEnd w:id="394"/>
      <w:bookmarkEnd w:id="395"/>
      <w:bookmarkEnd w:id="396"/>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Obras de Climatización y ampliación de Salas:</w:t>
      </w:r>
      <w:r w:rsidRPr="00165651">
        <w:rPr>
          <w:rFonts w:eastAsiaTheme="minorHAnsi" w:cstheme="minorHAnsi"/>
        </w:rPr>
        <w:t xml:space="preserve"> Fecha inicio: Mar-03-2015 Fecha fin: Nov-02-2015. Otrosí de obra firmado el 30 de abril de 2015.</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4.817 millones</w:t>
      </w:r>
    </w:p>
    <w:p w:rsidR="00EB3BC8" w:rsidRPr="00165651" w:rsidRDefault="00EB3BC8" w:rsidP="00EB3BC8">
      <w:pPr>
        <w:spacing w:after="0" w:line="240" w:lineRule="auto"/>
        <w:ind w:firstLine="708"/>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Avances:</w:t>
      </w:r>
      <w:r w:rsidRPr="00165651">
        <w:rPr>
          <w:rFonts w:eastAsiaTheme="minorHAnsi" w:cstheme="minorHAnsi"/>
        </w:rPr>
        <w:tab/>
        <w:t>15% de la obra ejecutada de acuerdo al cronograma de actividades, relacionadas con Ampliación Sala de Abordaje, Ampliación Sala de Recibo de Equipaje, Instalación de Ductos.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397" w:name="_Toc424884956"/>
      <w:bookmarkStart w:id="398" w:name="_Toc426558524"/>
      <w:bookmarkStart w:id="399" w:name="_Toc426559268"/>
      <w:r w:rsidRPr="00165651">
        <w:rPr>
          <w:rFonts w:eastAsiaTheme="majorEastAsia" w:cstheme="minorHAnsi"/>
          <w:u w:val="single"/>
        </w:rPr>
        <w:t>Simón Bolívar</w:t>
      </w:r>
      <w:bookmarkEnd w:id="397"/>
      <w:bookmarkEnd w:id="398"/>
      <w:bookmarkEnd w:id="399"/>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Construcción del Nuevo Terminal:</w:t>
      </w:r>
      <w:r w:rsidRPr="00165651">
        <w:rPr>
          <w:rFonts w:eastAsiaTheme="minorHAnsi" w:cstheme="minorHAnsi"/>
        </w:rPr>
        <w:t xml:space="preserve"> Fecha inicio: Feb-02-2015 Fecha fin: Feb-01-2018. Se solicitó terminar las obras en noviembre de 2017 para los Juegos Panamericanos.</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109.500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Avances:</w:t>
      </w:r>
      <w:r w:rsidRPr="00165651">
        <w:rPr>
          <w:rFonts w:eastAsiaTheme="minorHAnsi" w:cstheme="minorHAnsi"/>
        </w:rPr>
        <w:tab/>
        <w:t>2% de la obra ejecutada de acuerdo al cronograma de actividades, relacionadas con parqueadero, plataforma, torre de control, PTAP, centro de acopio, muro de contención, locales provisionales, portería.</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400" w:name="_Toc424884957"/>
      <w:bookmarkStart w:id="401" w:name="_Toc426558525"/>
      <w:bookmarkStart w:id="402" w:name="_Toc426559269"/>
      <w:r w:rsidRPr="00165651">
        <w:rPr>
          <w:rFonts w:eastAsiaTheme="majorEastAsia" w:cstheme="minorHAnsi"/>
          <w:u w:val="single"/>
        </w:rPr>
        <w:t>Almirante Padilla</w:t>
      </w:r>
      <w:bookmarkEnd w:id="400"/>
      <w:bookmarkEnd w:id="401"/>
      <w:bookmarkEnd w:id="402"/>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Obras de Climatización:</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Abril-30-2015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Diciembre-15-2015</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1.781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lastRenderedPageBreak/>
        <w:t>Avances:</w:t>
      </w:r>
      <w:r w:rsidRPr="00165651">
        <w:rPr>
          <w:rFonts w:eastAsiaTheme="minorHAnsi" w:cstheme="minorHAnsi"/>
        </w:rPr>
        <w:tab/>
        <w:t>1% de la obra ejecutada de acuerdo al cronograma de actividades relacionadas con Cielo Razo, Plazoleta de comidas.</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403" w:name="_Toc424884958"/>
      <w:bookmarkStart w:id="404" w:name="_Toc426558526"/>
      <w:bookmarkStart w:id="405" w:name="_Toc426559270"/>
      <w:r w:rsidRPr="00165651">
        <w:rPr>
          <w:rFonts w:eastAsiaTheme="majorEastAsia" w:cstheme="minorHAnsi"/>
          <w:u w:val="single"/>
        </w:rPr>
        <w:t>Camilo Daza</w:t>
      </w:r>
      <w:bookmarkEnd w:id="403"/>
      <w:bookmarkEnd w:id="404"/>
      <w:bookmarkEnd w:id="405"/>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Obras de Climatización:</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Mar-03-2015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fin: Oct-15-2015.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2.937 Millones.</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Avances:</w:t>
      </w:r>
      <w:r w:rsidRPr="00165651">
        <w:rPr>
          <w:rFonts w:eastAsiaTheme="minorHAnsi" w:cstheme="minorHAnsi"/>
        </w:rPr>
        <w:tab/>
        <w:t>Proyecto suspendido, se vio la necesidad de generar un proyecto de mayor impacto que contempla una ampliación del terminal el cual incluye el proyecto inicialmente contemplado. Se tiene previsto iniciar la nueva obra el 15 de diciembre de 2015.</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406" w:name="_Toc424884959"/>
      <w:bookmarkStart w:id="407" w:name="_Toc426558527"/>
      <w:bookmarkStart w:id="408" w:name="_Toc426559271"/>
      <w:r w:rsidRPr="00165651">
        <w:rPr>
          <w:rFonts w:eastAsiaTheme="majorEastAsia" w:cstheme="minorHAnsi"/>
          <w:u w:val="single"/>
        </w:rPr>
        <w:t>Yariguies</w:t>
      </w:r>
      <w:bookmarkEnd w:id="406"/>
      <w:bookmarkEnd w:id="407"/>
      <w:bookmarkEnd w:id="408"/>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Obras de Climatización:</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Abril-17-2015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fin: Sep-30-2015.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$1.919 Millones.</w:t>
      </w:r>
    </w:p>
    <w:p w:rsidR="00EB3BC8" w:rsidRPr="00165651" w:rsidRDefault="00EB3BC8" w:rsidP="00EB3BC8">
      <w:pPr>
        <w:spacing w:after="0" w:line="240" w:lineRule="auto"/>
        <w:ind w:left="4248" w:hanging="3540"/>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Avances:</w:t>
      </w:r>
      <w:r w:rsidRPr="00165651">
        <w:rPr>
          <w:rFonts w:eastAsiaTheme="minorHAnsi" w:cstheme="minorHAnsi"/>
        </w:rPr>
        <w:tab/>
        <w:t>4% de la obra ejecutada de acuerdo al cronograma de actividades relacionadas con Terraza y pasillo del segundo piso, Plazoleta de comidas.</w:t>
      </w:r>
    </w:p>
    <w:p w:rsidR="00EB3BC8" w:rsidRPr="00165651" w:rsidRDefault="00EB3BC8" w:rsidP="00EB3BC8">
      <w:pPr>
        <w:spacing w:after="0" w:line="240" w:lineRule="auto"/>
        <w:ind w:left="4248" w:hanging="3540"/>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409" w:name="_Toc424884960"/>
      <w:bookmarkStart w:id="410" w:name="_Toc426558528"/>
      <w:bookmarkStart w:id="411" w:name="_Toc426559272"/>
      <w:r w:rsidRPr="00165651">
        <w:rPr>
          <w:rFonts w:eastAsiaTheme="majorEastAsia" w:cstheme="minorHAnsi"/>
          <w:u w:val="single"/>
        </w:rPr>
        <w:t>Palonegro</w:t>
      </w:r>
      <w:bookmarkEnd w:id="409"/>
      <w:bookmarkEnd w:id="410"/>
      <w:bookmarkEnd w:id="411"/>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u w:val="single"/>
        </w:rPr>
        <w:t>Ampliación de Terminal:</w:t>
      </w:r>
      <w:r w:rsidRPr="00165651">
        <w:rPr>
          <w:rFonts w:eastAsiaTheme="minorHAnsi" w:cstheme="minorHAnsi"/>
        </w:rPr>
        <w:t xml:space="preserve"> </w:t>
      </w:r>
    </w:p>
    <w:p w:rsidR="00EB3BC8" w:rsidRPr="00165651" w:rsidRDefault="00EB3BC8" w:rsidP="00EB3BC8">
      <w:pPr>
        <w:spacing w:after="0" w:line="240" w:lineRule="auto"/>
        <w:ind w:left="424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Inversión: 25.000 Millones. Estimada</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Avances:</w:t>
      </w:r>
      <w:r w:rsidRPr="00165651">
        <w:rPr>
          <w:rFonts w:eastAsiaTheme="minorHAnsi" w:cstheme="minorHAnsi"/>
        </w:rPr>
        <w:tab/>
        <w:t>Se encuentra en etapa de E&amp;D, se tiene previsto iniciar la nueva obra el 16 de noviembre de 2015</w:t>
      </w:r>
    </w:p>
    <w:p w:rsidR="00EB3BC8" w:rsidRPr="00165651" w:rsidRDefault="00EB3BC8" w:rsidP="00EB3BC8">
      <w:pPr>
        <w:spacing w:after="0" w:line="240" w:lineRule="auto"/>
        <w:ind w:left="4248" w:hanging="3540"/>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Total Concesión:</w:t>
      </w:r>
      <w:r w:rsidRPr="00165651">
        <w:rPr>
          <w:rFonts w:eastAsiaTheme="minorHAnsi" w:cstheme="minorHAnsi"/>
        </w:rPr>
        <w:tab/>
        <w:t>180.954 Millones.</w:t>
      </w:r>
    </w:p>
    <w:p w:rsidR="00EB3BC8" w:rsidRPr="00165651" w:rsidRDefault="00EB3BC8" w:rsidP="00EB3BC8">
      <w:pPr>
        <w:spacing w:after="0" w:line="240" w:lineRule="auto"/>
        <w:jc w:val="both"/>
        <w:rPr>
          <w:rFonts w:eastAsiaTheme="minorHAnsi" w:cstheme="minorHAnsi"/>
        </w:rPr>
      </w:pPr>
    </w:p>
    <w:p w:rsidR="00EB3BC8" w:rsidRPr="00165651" w:rsidRDefault="00EB3BC8" w:rsidP="000021B2">
      <w:pPr>
        <w:keepNext/>
        <w:keepLines/>
        <w:numPr>
          <w:ilvl w:val="0"/>
          <w:numId w:val="57"/>
        </w:numPr>
        <w:spacing w:before="240" w:after="0" w:line="240" w:lineRule="auto"/>
        <w:outlineLvl w:val="0"/>
        <w:rPr>
          <w:rFonts w:eastAsiaTheme="majorEastAsia" w:cstheme="minorHAnsi"/>
        </w:rPr>
      </w:pPr>
      <w:bookmarkStart w:id="412" w:name="_Toc418877365"/>
      <w:bookmarkStart w:id="413" w:name="_Toc424884961"/>
      <w:bookmarkStart w:id="414" w:name="_Toc426558529"/>
      <w:bookmarkStart w:id="415" w:name="_Toc426559273"/>
      <w:r w:rsidRPr="00165651">
        <w:rPr>
          <w:rFonts w:eastAsiaTheme="majorEastAsia" w:cstheme="minorHAnsi"/>
        </w:rPr>
        <w:t>AEROPUERTO ERNESTO CORTISSOZ (BARRANQUILLA)</w:t>
      </w:r>
      <w:bookmarkEnd w:id="412"/>
      <w:bookmarkEnd w:id="413"/>
      <w:bookmarkEnd w:id="414"/>
      <w:bookmarkEnd w:id="415"/>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line="240" w:lineRule="auto"/>
        <w:ind w:left="4245" w:hanging="3525"/>
        <w:contextualSpacing/>
        <w:jc w:val="both"/>
        <w:rPr>
          <w:rFonts w:eastAsiaTheme="minorHAnsi" w:cstheme="minorHAnsi"/>
        </w:rPr>
      </w:pPr>
      <w:r w:rsidRPr="00165651">
        <w:rPr>
          <w:rFonts w:eastAsiaTheme="minorHAnsi" w:cstheme="minorHAnsi"/>
        </w:rPr>
        <w:t>Concesionario:</w:t>
      </w:r>
      <w:r w:rsidRPr="00165651">
        <w:rPr>
          <w:rFonts w:eastAsiaTheme="minorHAnsi" w:cstheme="minorHAnsi"/>
        </w:rPr>
        <w:tab/>
        <w:t>Aeropuertos Colombia SPV (Valorcon, Equipo Universal, Inversiones Millenium Azipo)</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keepNext/>
        <w:keepLines/>
        <w:spacing w:before="40" w:after="0" w:line="240" w:lineRule="auto"/>
        <w:ind w:firstLine="708"/>
        <w:outlineLvl w:val="2"/>
        <w:rPr>
          <w:rFonts w:eastAsiaTheme="majorEastAsia" w:cstheme="minorHAnsi"/>
          <w:u w:val="single"/>
        </w:rPr>
      </w:pPr>
      <w:bookmarkStart w:id="416" w:name="_Toc424884962"/>
      <w:bookmarkStart w:id="417" w:name="_Toc426558530"/>
      <w:bookmarkStart w:id="418" w:name="_Toc426559274"/>
      <w:r w:rsidRPr="00165651">
        <w:rPr>
          <w:rFonts w:eastAsiaTheme="majorEastAsia" w:cstheme="minorHAnsi"/>
          <w:u w:val="single"/>
        </w:rPr>
        <w:t>Ernesto Cortissoz</w:t>
      </w:r>
      <w:bookmarkEnd w:id="416"/>
      <w:bookmarkEnd w:id="417"/>
      <w:bookmarkEnd w:id="418"/>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hanging="3528"/>
        <w:contextualSpacing/>
        <w:jc w:val="both"/>
        <w:rPr>
          <w:rFonts w:eastAsiaTheme="minorHAnsi" w:cstheme="minorHAnsi"/>
        </w:rPr>
      </w:pPr>
      <w:r w:rsidRPr="00165651">
        <w:rPr>
          <w:rFonts w:eastAsiaTheme="minorHAnsi" w:cstheme="minorHAnsi"/>
        </w:rPr>
        <w:lastRenderedPageBreak/>
        <w:t>Cronograma:</w:t>
      </w:r>
      <w:r w:rsidRPr="00165651">
        <w:rPr>
          <w:rFonts w:eastAsiaTheme="minorHAnsi" w:cstheme="minorHAnsi"/>
        </w:rPr>
        <w:tab/>
      </w:r>
      <w:r w:rsidRPr="00165651">
        <w:rPr>
          <w:rFonts w:eastAsiaTheme="minorHAnsi" w:cstheme="minorHAnsi"/>
          <w:u w:val="single"/>
        </w:rPr>
        <w:t>Modernización y Ampliación - Lado Aire y Tierra:</w:t>
      </w:r>
      <w:r w:rsidRPr="00165651">
        <w:rPr>
          <w:rFonts w:eastAsiaTheme="minorHAnsi" w:cstheme="minorHAnsi"/>
        </w:rPr>
        <w:t xml:space="preserve"> </w:t>
      </w:r>
    </w:p>
    <w:p w:rsidR="00EB3BC8" w:rsidRPr="00165651" w:rsidRDefault="00EB3BC8" w:rsidP="00EB3BC8">
      <w:pPr>
        <w:spacing w:after="0" w:line="240" w:lineRule="auto"/>
        <w:ind w:left="4248" w:hanging="3528"/>
        <w:contextualSpacing/>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 xml:space="preserve">Fecha inicio: May-15-2015 </w:t>
      </w:r>
    </w:p>
    <w:p w:rsidR="00EB3BC8" w:rsidRPr="00165651" w:rsidRDefault="00EB3BC8" w:rsidP="00EB3BC8">
      <w:pPr>
        <w:spacing w:after="0" w:line="240" w:lineRule="auto"/>
        <w:ind w:left="4248"/>
        <w:contextualSpacing/>
        <w:jc w:val="both"/>
        <w:rPr>
          <w:rFonts w:eastAsiaTheme="minorHAnsi" w:cstheme="minorHAnsi"/>
        </w:rPr>
      </w:pPr>
      <w:r w:rsidRPr="00165651">
        <w:rPr>
          <w:rFonts w:eastAsiaTheme="minorHAnsi" w:cstheme="minorHAnsi"/>
        </w:rPr>
        <w:t>Fecha fin: May-14-2035</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hanging="3540"/>
        <w:jc w:val="both"/>
        <w:rPr>
          <w:rFonts w:eastAsiaTheme="minorHAnsi" w:cstheme="minorHAnsi"/>
        </w:rPr>
      </w:pPr>
      <w:r w:rsidRPr="00165651">
        <w:rPr>
          <w:rFonts w:eastAsiaTheme="minorHAnsi" w:cstheme="minorHAnsi"/>
        </w:rPr>
        <w:t>Avances:</w:t>
      </w:r>
      <w:r w:rsidRPr="00165651">
        <w:rPr>
          <w:rFonts w:eastAsiaTheme="minorHAnsi" w:cstheme="minorHAnsi"/>
        </w:rPr>
        <w:tab/>
        <w:t>Se suscribe acta de entrega del Aeropuerto el día 19 de junio de 2015, a la fecha se adelantan actividades previas relacionadas con Repotenciación del Sistema de Climatización, Adecuaciones Generales de la infraestructura y equipos del Terminal, Gestión Ambiental, social, predial y de transición del operador, estructuración del Plan Maestro.</w:t>
      </w:r>
    </w:p>
    <w:p w:rsidR="00EB3BC8" w:rsidRPr="00165651" w:rsidRDefault="00EB3BC8" w:rsidP="00EB3BC8">
      <w:pPr>
        <w:spacing w:after="0" w:line="240" w:lineRule="auto"/>
        <w:jc w:val="both"/>
        <w:rPr>
          <w:rFonts w:eastAsiaTheme="minorHAnsi" w:cstheme="minorHAnsi"/>
        </w:rPr>
      </w:pPr>
    </w:p>
    <w:p w:rsidR="00EB3BC8" w:rsidRPr="00165651" w:rsidRDefault="00EB3BC8" w:rsidP="00EB3BC8">
      <w:pPr>
        <w:spacing w:after="0" w:line="240" w:lineRule="auto"/>
        <w:ind w:left="4248"/>
        <w:contextualSpacing/>
        <w:jc w:val="both"/>
        <w:rPr>
          <w:rFonts w:eastAsiaTheme="minorHAnsi" w:cstheme="minorHAnsi"/>
          <w:u w:val="single"/>
        </w:rPr>
      </w:pPr>
    </w:p>
    <w:p w:rsidR="00EB3BC8" w:rsidRPr="00165651" w:rsidRDefault="00EB3BC8" w:rsidP="00EB3BC8">
      <w:pPr>
        <w:pBdr>
          <w:top w:val="single" w:sz="4" w:space="1" w:color="auto"/>
          <w:left w:val="single" w:sz="4" w:space="4" w:color="auto"/>
          <w:bottom w:val="single" w:sz="4" w:space="1" w:color="auto"/>
          <w:right w:val="single" w:sz="4" w:space="4" w:color="auto"/>
        </w:pBdr>
        <w:spacing w:after="0" w:line="240" w:lineRule="auto"/>
        <w:ind w:left="4248" w:hanging="3528"/>
        <w:contextualSpacing/>
        <w:jc w:val="both"/>
        <w:rPr>
          <w:rFonts w:eastAsiaTheme="minorHAnsi" w:cstheme="minorHAnsi"/>
        </w:rPr>
      </w:pPr>
      <w:r w:rsidRPr="00165651">
        <w:rPr>
          <w:rFonts w:eastAsiaTheme="minorHAnsi" w:cstheme="minorHAnsi"/>
        </w:rPr>
        <w:t>Capex concesión:</w:t>
      </w:r>
      <w:r w:rsidRPr="00165651">
        <w:rPr>
          <w:rFonts w:eastAsiaTheme="minorHAnsi" w:cstheme="minorHAnsi"/>
        </w:rPr>
        <w:tab/>
        <w:t>345.000 millones.</w:t>
      </w:r>
    </w:p>
    <w:p w:rsidR="00EB3BC8" w:rsidRPr="00165651" w:rsidRDefault="00EB3BC8" w:rsidP="00EB3BC8">
      <w:pPr>
        <w:spacing w:line="240" w:lineRule="auto"/>
        <w:rPr>
          <w:rFonts w:eastAsiaTheme="minorHAnsi" w:cstheme="minorHAnsi"/>
        </w:rPr>
      </w:pPr>
    </w:p>
    <w:p w:rsidR="00EB3BC8" w:rsidRPr="005133E0" w:rsidRDefault="00EB3BC8" w:rsidP="00EB3BC8">
      <w:pPr>
        <w:spacing w:line="240" w:lineRule="auto"/>
        <w:jc w:val="both"/>
        <w:rPr>
          <w:rFonts w:ascii="Arial" w:hAnsi="Arial" w:cs="Arial"/>
          <w:b/>
        </w:rPr>
      </w:pPr>
    </w:p>
    <w:p w:rsidR="00EB3BC8" w:rsidRPr="00165651" w:rsidRDefault="00EB3BC8" w:rsidP="00EB3BC8">
      <w:pPr>
        <w:spacing w:line="240" w:lineRule="auto"/>
        <w:jc w:val="center"/>
        <w:rPr>
          <w:rFonts w:eastAsia="Times New Roman" w:cs="Calibri"/>
          <w:b/>
          <w:color w:val="000000"/>
          <w:u w:val="single"/>
        </w:rPr>
      </w:pPr>
      <w:r w:rsidRPr="00165651">
        <w:rPr>
          <w:rFonts w:eastAsia="Times New Roman" w:cs="Calibri"/>
          <w:b/>
          <w:color w:val="000000"/>
          <w:u w:val="single"/>
        </w:rPr>
        <w:t>GERENCIA PUERTOS Y FÉRREO</w:t>
      </w:r>
    </w:p>
    <w:p w:rsidR="00EB3BC8" w:rsidRPr="005133E0" w:rsidRDefault="00EB3BC8" w:rsidP="00EB3BC8">
      <w:pPr>
        <w:shd w:val="clear" w:color="auto" w:fill="FFFFFF"/>
        <w:spacing w:after="0" w:line="240" w:lineRule="auto"/>
        <w:ind w:left="708"/>
        <w:jc w:val="center"/>
        <w:rPr>
          <w:rFonts w:ascii="Arial" w:eastAsia="Times New Roman" w:hAnsi="Arial" w:cs="Arial"/>
          <w:b/>
          <w:bCs/>
          <w:sz w:val="24"/>
          <w:szCs w:val="24"/>
          <w:shd w:val="clear" w:color="auto" w:fill="FFFFFF"/>
        </w:rPr>
      </w:pPr>
    </w:p>
    <w:p w:rsidR="00EB3BC8" w:rsidRPr="005133E0" w:rsidRDefault="00EB3BC8" w:rsidP="00EB3BC8">
      <w:pPr>
        <w:shd w:val="clear" w:color="auto" w:fill="FFFFFF"/>
        <w:spacing w:after="0" w:line="240" w:lineRule="auto"/>
        <w:ind w:left="708"/>
        <w:jc w:val="both"/>
        <w:rPr>
          <w:rFonts w:ascii="Arial" w:eastAsia="Times New Roman" w:hAnsi="Arial" w:cs="Arial"/>
          <w:bCs/>
          <w:sz w:val="24"/>
          <w:szCs w:val="24"/>
          <w:shd w:val="clear" w:color="auto" w:fill="FFFFFF"/>
        </w:rPr>
      </w:pPr>
    </w:p>
    <w:p w:rsidR="00EB3BC8" w:rsidRPr="009353DC" w:rsidRDefault="00EB3BC8" w:rsidP="00EB3BC8">
      <w:pPr>
        <w:shd w:val="clear" w:color="auto" w:fill="FFFFFF"/>
        <w:spacing w:after="0" w:line="240" w:lineRule="auto"/>
        <w:rPr>
          <w:rFonts w:eastAsia="Times New Roman" w:cstheme="minorHAnsi"/>
          <w:b/>
          <w:szCs w:val="24"/>
          <w:shd w:val="clear" w:color="auto" w:fill="FFFFFF"/>
        </w:rPr>
      </w:pPr>
      <w:r w:rsidRPr="009353DC">
        <w:rPr>
          <w:rFonts w:eastAsia="Times New Roman" w:cstheme="minorHAnsi"/>
          <w:b/>
          <w:szCs w:val="24"/>
          <w:shd w:val="clear" w:color="auto" w:fill="FFFFFF"/>
        </w:rPr>
        <w:t>Interventorías</w:t>
      </w:r>
    </w:p>
    <w:p w:rsidR="00EB3BC8" w:rsidRPr="00165651" w:rsidRDefault="00EB3BC8" w:rsidP="00EB3BC8">
      <w:pPr>
        <w:shd w:val="clear" w:color="auto" w:fill="FFFFFF"/>
        <w:spacing w:after="0" w:line="240" w:lineRule="auto"/>
        <w:jc w:val="both"/>
        <w:rPr>
          <w:rFonts w:eastAsia="Times New Roman" w:cstheme="minorHAnsi"/>
          <w:bCs/>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bCs/>
          <w:szCs w:val="24"/>
          <w:shd w:val="clear" w:color="auto" w:fill="FFFFFF"/>
        </w:rPr>
      </w:pPr>
      <w:r w:rsidRPr="00165651">
        <w:rPr>
          <w:rFonts w:eastAsia="Times New Roman" w:cstheme="minorHAnsi"/>
          <w:bCs/>
          <w:szCs w:val="24"/>
          <w:shd w:val="clear" w:color="auto" w:fill="FFFFFF"/>
        </w:rPr>
        <w:t>De acuerdo a la necesidad de mantener una interventoría a los terminales portuarios  que durante el presente año contemplen un plan de inversión a ejecutar, la entidad realizó el proceso para contratación de las siguientes interventorías las cuales iniciaron a partir del 26 de Mayo de 2015 por lo que resta del año como se relaciona a continuación:</w:t>
      </w:r>
    </w:p>
    <w:p w:rsidR="00EB3BC8" w:rsidRPr="00165651" w:rsidRDefault="00EB3BC8" w:rsidP="00EB3BC8">
      <w:pPr>
        <w:shd w:val="clear" w:color="auto" w:fill="FFFFFF"/>
        <w:spacing w:after="0" w:line="240" w:lineRule="auto"/>
        <w:jc w:val="both"/>
        <w:rPr>
          <w:rFonts w:eastAsia="Times New Roman" w:cstheme="minorHAnsi"/>
          <w:bCs/>
          <w:szCs w:val="24"/>
          <w:shd w:val="clear" w:color="auto" w:fill="FFFFFF"/>
        </w:rPr>
      </w:pPr>
    </w:p>
    <w:p w:rsidR="00EB3BC8" w:rsidRPr="00165651" w:rsidRDefault="00EB3BC8" w:rsidP="000021B2">
      <w:pPr>
        <w:numPr>
          <w:ilvl w:val="0"/>
          <w:numId w:val="56"/>
        </w:numPr>
        <w:spacing w:after="160" w:line="240" w:lineRule="auto"/>
        <w:jc w:val="both"/>
        <w:rPr>
          <w:rFonts w:eastAsia="Times New Roman" w:cstheme="minorHAnsi"/>
          <w:bCs/>
          <w:szCs w:val="24"/>
          <w:shd w:val="clear" w:color="auto" w:fill="FFFFFF"/>
        </w:rPr>
      </w:pPr>
      <w:r w:rsidRPr="00165651">
        <w:rPr>
          <w:rFonts w:eastAsia="Times New Roman" w:cstheme="minorHAnsi"/>
          <w:bCs/>
          <w:szCs w:val="24"/>
          <w:shd w:val="clear" w:color="auto" w:fill="FFFFFF"/>
        </w:rPr>
        <w:t>Contrato de Interventoría No 199 - Consorcio SCA-AHC-2015 - realizando tareas en el seguimiento de tipo Técnico, Jurídico, Financiero, Predial y Ambiental para la Sociedad Terminal de Contenedores de Buenaventura TC-BUEN.</w:t>
      </w:r>
    </w:p>
    <w:p w:rsidR="00EB3BC8" w:rsidRPr="00165651" w:rsidRDefault="00EB3BC8" w:rsidP="000021B2">
      <w:pPr>
        <w:numPr>
          <w:ilvl w:val="0"/>
          <w:numId w:val="56"/>
        </w:numPr>
        <w:spacing w:after="160" w:line="240" w:lineRule="auto"/>
        <w:jc w:val="both"/>
        <w:rPr>
          <w:rFonts w:eastAsia="Times New Roman" w:cstheme="minorHAnsi"/>
          <w:bCs/>
          <w:szCs w:val="24"/>
          <w:shd w:val="clear" w:color="auto" w:fill="FFFFFF"/>
        </w:rPr>
      </w:pPr>
      <w:r w:rsidRPr="00165651">
        <w:rPr>
          <w:rFonts w:eastAsia="Times New Roman" w:cstheme="minorHAnsi"/>
          <w:bCs/>
          <w:szCs w:val="24"/>
          <w:shd w:val="clear" w:color="auto" w:fill="FFFFFF"/>
        </w:rPr>
        <w:t>Contrato de Interventoría No 200 - CONSORCIO CONCESION PORTUARIA 2015 - realizando tareas en el seguimiento de tipo Técnico, Jurídico, Financiero, Predial y Ambiental para las Sociedades – sociedad puerto industrial aguadulce y Cenit Tumaco S.A.</w:t>
      </w:r>
    </w:p>
    <w:p w:rsidR="00EB3BC8" w:rsidRPr="00165651" w:rsidRDefault="00EB3BC8" w:rsidP="000021B2">
      <w:pPr>
        <w:numPr>
          <w:ilvl w:val="0"/>
          <w:numId w:val="56"/>
        </w:numPr>
        <w:spacing w:after="160" w:line="240" w:lineRule="auto"/>
        <w:jc w:val="both"/>
        <w:rPr>
          <w:rFonts w:eastAsia="Times New Roman" w:cstheme="minorHAnsi"/>
          <w:bCs/>
          <w:szCs w:val="24"/>
          <w:shd w:val="clear" w:color="auto" w:fill="FFFFFF"/>
        </w:rPr>
      </w:pPr>
      <w:r w:rsidRPr="00165651">
        <w:rPr>
          <w:rFonts w:eastAsia="Times New Roman" w:cstheme="minorHAnsi"/>
          <w:bCs/>
          <w:szCs w:val="24"/>
          <w:shd w:val="clear" w:color="auto" w:fill="FFFFFF"/>
        </w:rPr>
        <w:t>Contrato de Interventoría No 201 - CONSORCIO SOTAVENTO COLOMBIA  2015- realizando tareas en el seguimiento de tipo Técnico, Jurídico, Financiero, Predial y Ambiental para las Sociedades - Sociedad Portuaria Algranel S.A., Sociedad Portuaria Bavaria S.A., Sociedad Oil Tanking y Sociedad Portuaria de la Península S.A.</w:t>
      </w:r>
    </w:p>
    <w:p w:rsidR="00EB3BC8" w:rsidRPr="00165651" w:rsidRDefault="00EB3BC8" w:rsidP="000021B2">
      <w:pPr>
        <w:numPr>
          <w:ilvl w:val="0"/>
          <w:numId w:val="56"/>
        </w:numPr>
        <w:spacing w:after="160" w:line="240" w:lineRule="auto"/>
        <w:jc w:val="both"/>
        <w:rPr>
          <w:rFonts w:eastAsia="Times New Roman" w:cstheme="minorHAnsi"/>
          <w:bCs/>
          <w:szCs w:val="24"/>
          <w:shd w:val="clear" w:color="auto" w:fill="FFFFFF"/>
        </w:rPr>
      </w:pPr>
      <w:r w:rsidRPr="00165651">
        <w:rPr>
          <w:rFonts w:eastAsia="Times New Roman" w:cstheme="minorHAnsi"/>
          <w:bCs/>
          <w:szCs w:val="24"/>
          <w:shd w:val="clear" w:color="auto" w:fill="FFFFFF"/>
        </w:rPr>
        <w:t>Contrato de Interventoría No 202 - CONSORCIO CONCESIÓN PORTUARIA - realizando tareas en el seguimiento de tipo Técnico, Jurídico, Financiero, Predial y Ambiental para las Sociedades - REFINERÍA DE CARTAGENA S.A. (REFICAR S.A.), sociedad portuaria central Cartagena s.a. y Sociedad arenal zona atlántica respectivamente.</w:t>
      </w:r>
    </w:p>
    <w:p w:rsidR="00EB3BC8" w:rsidRPr="00165651" w:rsidRDefault="00EB3BC8" w:rsidP="000021B2">
      <w:pPr>
        <w:numPr>
          <w:ilvl w:val="0"/>
          <w:numId w:val="56"/>
        </w:numPr>
        <w:spacing w:after="160" w:line="240" w:lineRule="auto"/>
        <w:jc w:val="both"/>
        <w:rPr>
          <w:rFonts w:eastAsia="Times New Roman" w:cstheme="minorHAnsi"/>
          <w:bCs/>
          <w:szCs w:val="24"/>
          <w:shd w:val="clear" w:color="auto" w:fill="FFFFFF"/>
        </w:rPr>
      </w:pPr>
      <w:r w:rsidRPr="00165651">
        <w:rPr>
          <w:rFonts w:eastAsia="Times New Roman" w:cstheme="minorHAnsi"/>
          <w:bCs/>
          <w:szCs w:val="24"/>
          <w:shd w:val="clear" w:color="auto" w:fill="FFFFFF"/>
        </w:rPr>
        <w:lastRenderedPageBreak/>
        <w:t>Contrato de Interventoría No 203 - CONSORCIO PUERTOS 008-2015 - realizando tareas en el seguimiento de tipo Técnico, Jurídico, Financiero, Predial y Ambiental para la Sociedad Portuaria Regional de Cartagena.</w:t>
      </w:r>
    </w:p>
    <w:p w:rsidR="00EB3BC8" w:rsidRPr="00165651" w:rsidRDefault="00EB3BC8" w:rsidP="00EB3BC8">
      <w:pPr>
        <w:shd w:val="clear" w:color="auto" w:fill="FFFFFF"/>
        <w:spacing w:after="0" w:line="240" w:lineRule="auto"/>
        <w:jc w:val="both"/>
        <w:rPr>
          <w:rFonts w:eastAsia="Times New Roman" w:cstheme="minorHAnsi"/>
          <w:bCs/>
          <w:szCs w:val="24"/>
          <w:shd w:val="clear" w:color="auto" w:fill="FFFFFF"/>
        </w:rPr>
      </w:pPr>
    </w:p>
    <w:p w:rsidR="00EB3BC8" w:rsidRPr="00165651" w:rsidRDefault="00EB3BC8" w:rsidP="00EB3BC8">
      <w:pPr>
        <w:spacing w:line="240" w:lineRule="auto"/>
        <w:jc w:val="both"/>
        <w:rPr>
          <w:rFonts w:cstheme="minorHAnsi"/>
          <w:szCs w:val="24"/>
        </w:rPr>
      </w:pPr>
      <w:r w:rsidRPr="00165651">
        <w:rPr>
          <w:rFonts w:cstheme="minorHAnsi"/>
          <w:szCs w:val="24"/>
        </w:rPr>
        <w:t>Adicionalmente durante el primer semestre de 2015 la Gerencia del Grupo Interno de Trabajo Férreo y Portuario se apoyó de la Interventoría conformada por el Consorcio INTERPUERTOS para la Supervisión de los contratos de concesión otorgados a las sociedades Regional Cartagena, Regional Santa Marta y CONTECAR.</w:t>
      </w:r>
    </w:p>
    <w:p w:rsidR="00EB3BC8" w:rsidRPr="00165651" w:rsidRDefault="00EB3BC8" w:rsidP="00EB3BC8">
      <w:pPr>
        <w:spacing w:line="240" w:lineRule="auto"/>
        <w:jc w:val="both"/>
        <w:rPr>
          <w:rFonts w:cstheme="minorHAnsi"/>
          <w:szCs w:val="24"/>
        </w:rPr>
      </w:pPr>
      <w:r w:rsidRPr="00165651">
        <w:rPr>
          <w:rFonts w:cstheme="minorHAnsi"/>
          <w:szCs w:val="24"/>
        </w:rPr>
        <w:t>Con el seguimiento oportuno a los planes de inversión y demás aspectos técnicos de cada concesión portuaria, junto con el apoyo de las interventorías se lograron los siguientes y principales avances en cuanto a concesiones portuarias a cargo de la ANI.</w:t>
      </w:r>
    </w:p>
    <w:p w:rsidR="00EB3BC8" w:rsidRPr="00165651" w:rsidRDefault="00EB3BC8" w:rsidP="00EB3BC8">
      <w:pPr>
        <w:shd w:val="clear" w:color="auto" w:fill="FFFFFF"/>
        <w:spacing w:after="0" w:line="240" w:lineRule="auto"/>
        <w:jc w:val="both"/>
        <w:rPr>
          <w:rFonts w:eastAsia="Times New Roman" w:cstheme="minorHAnsi"/>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szCs w:val="24"/>
          <w:shd w:val="clear" w:color="auto" w:fill="FFFFFF"/>
        </w:rPr>
      </w:pPr>
    </w:p>
    <w:p w:rsidR="00EB3BC8" w:rsidRPr="00165651" w:rsidRDefault="00D31745" w:rsidP="00D31745">
      <w:pPr>
        <w:shd w:val="clear" w:color="auto" w:fill="FFFFFF"/>
        <w:spacing w:after="0" w:line="240" w:lineRule="auto"/>
        <w:contextualSpacing/>
        <w:jc w:val="both"/>
        <w:rPr>
          <w:rFonts w:eastAsia="Times New Roman" w:cstheme="minorHAnsi"/>
          <w:b/>
          <w:szCs w:val="24"/>
          <w:shd w:val="clear" w:color="auto" w:fill="FFFFFF"/>
        </w:rPr>
      </w:pPr>
      <w:r w:rsidRPr="00165651">
        <w:rPr>
          <w:rFonts w:eastAsia="Times New Roman" w:cstheme="minorHAnsi"/>
          <w:b/>
          <w:szCs w:val="24"/>
          <w:shd w:val="clear" w:color="auto" w:fill="FFFFFF"/>
        </w:rPr>
        <w:t>Contecar</w:t>
      </w:r>
    </w:p>
    <w:p w:rsidR="00EB3BC8" w:rsidRPr="00165651" w:rsidRDefault="00EB3BC8" w:rsidP="00EB3BC8">
      <w:pPr>
        <w:shd w:val="clear" w:color="auto" w:fill="FFFFFF"/>
        <w:spacing w:after="0" w:line="240" w:lineRule="auto"/>
        <w:ind w:left="360"/>
        <w:contextualSpacing/>
        <w:jc w:val="both"/>
        <w:rPr>
          <w:rFonts w:eastAsia="Times New Roman" w:cstheme="minorHAnsi"/>
          <w:b/>
          <w:sz w:val="24"/>
          <w:szCs w:val="24"/>
          <w:shd w:val="clear" w:color="auto" w:fill="FFFFFF"/>
        </w:rPr>
      </w:pPr>
    </w:p>
    <w:p w:rsidR="00EB3BC8" w:rsidRPr="00165651" w:rsidRDefault="00EB3BC8" w:rsidP="00EB3BC8">
      <w:pPr>
        <w:shd w:val="clear" w:color="auto" w:fill="FFFFFF"/>
        <w:spacing w:before="100" w:beforeAutospacing="1" w:after="100" w:afterAutospacing="1" w:line="240" w:lineRule="auto"/>
        <w:ind w:left="720"/>
        <w:contextualSpacing/>
        <w:jc w:val="center"/>
        <w:rPr>
          <w:rFonts w:eastAsia="Times New Roman" w:cstheme="minorHAnsi"/>
          <w:b/>
          <w:sz w:val="24"/>
          <w:szCs w:val="24"/>
          <w:shd w:val="clear" w:color="auto" w:fill="FFFFFF"/>
        </w:rPr>
      </w:pPr>
      <w:r w:rsidRPr="00165651">
        <w:rPr>
          <w:rFonts w:eastAsia="Times New Roman" w:cstheme="minorHAnsi"/>
          <w:b/>
          <w:noProof/>
          <w:sz w:val="24"/>
          <w:szCs w:val="24"/>
          <w:shd w:val="clear" w:color="auto" w:fill="FFFFFF"/>
        </w:rPr>
        <w:drawing>
          <wp:inline distT="0" distB="0" distL="0" distR="0" wp14:anchorId="7DCFEB06" wp14:editId="2C783007">
            <wp:extent cx="3467100" cy="2272345"/>
            <wp:effectExtent l="0" t="0" r="0" b="0"/>
            <wp:docPr id="453"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485372" cy="2284321"/>
                    </a:xfrm>
                    <a:prstGeom prst="rect">
                      <a:avLst/>
                    </a:prstGeom>
                    <a:noFill/>
                    <a:ln>
                      <a:noFill/>
                    </a:ln>
                  </pic:spPr>
                </pic:pic>
              </a:graphicData>
            </a:graphic>
          </wp:inline>
        </w:drawing>
      </w:r>
    </w:p>
    <w:p w:rsidR="00EB3BC8" w:rsidRPr="00165651" w:rsidRDefault="00EB3BC8" w:rsidP="000021B2">
      <w:pPr>
        <w:numPr>
          <w:ilvl w:val="0"/>
          <w:numId w:val="38"/>
        </w:numPr>
        <w:spacing w:after="160" w:line="240" w:lineRule="auto"/>
        <w:rPr>
          <w:rFonts w:eastAsia="Times New Roman" w:cstheme="minorHAnsi"/>
          <w:b/>
          <w:szCs w:val="24"/>
          <w:shd w:val="clear" w:color="auto" w:fill="FFFFFF"/>
        </w:rPr>
      </w:pPr>
      <w:r w:rsidRPr="00165651">
        <w:rPr>
          <w:rFonts w:eastAsia="Times New Roman" w:cstheme="minorHAnsi"/>
          <w:b/>
          <w:szCs w:val="24"/>
          <w:shd w:val="clear" w:color="auto" w:fill="FFFFFF"/>
        </w:rPr>
        <w:t>Reglamento de Condiciones Técnicos de Operación</w:t>
      </w:r>
    </w:p>
    <w:p w:rsidR="00EB3BC8" w:rsidRPr="00165651" w:rsidRDefault="00EB3BC8" w:rsidP="00EB3BC8">
      <w:pPr>
        <w:spacing w:line="240" w:lineRule="auto"/>
        <w:ind w:left="786"/>
        <w:jc w:val="both"/>
        <w:rPr>
          <w:rFonts w:eastAsia="Times New Roman" w:cstheme="minorHAnsi"/>
          <w:szCs w:val="24"/>
          <w:shd w:val="clear" w:color="auto" w:fill="FFFFFF"/>
        </w:rPr>
      </w:pPr>
      <w:r w:rsidRPr="00165651">
        <w:rPr>
          <w:rFonts w:eastAsia="Times New Roman" w:cstheme="minorHAnsi"/>
          <w:szCs w:val="24"/>
          <w:shd w:val="clear" w:color="auto" w:fill="FFFFFF"/>
        </w:rPr>
        <w:t>Mediante Rad No. 2015-303-004088-1 del 26 de febrero de 2015, fue solicitado concepto sobre el Reglamento de Condiciones Técnicas de Operación a la Interventoría del proyecto, Consorcio ínter-Puertos, quien se pronunció mediante Rad No. 2015-409-017121-2 del 25 de marzo de 2015, emitiendo concepto favorable.</w:t>
      </w:r>
    </w:p>
    <w:p w:rsidR="00EB3BC8" w:rsidRPr="00165651" w:rsidRDefault="00EB3BC8" w:rsidP="00EB3BC8">
      <w:pPr>
        <w:spacing w:line="240" w:lineRule="auto"/>
        <w:ind w:left="708"/>
        <w:jc w:val="both"/>
        <w:rPr>
          <w:rFonts w:eastAsia="Times New Roman" w:cstheme="minorHAnsi"/>
          <w:szCs w:val="24"/>
          <w:shd w:val="clear" w:color="auto" w:fill="FFFFFF"/>
        </w:rPr>
      </w:pPr>
      <w:r w:rsidRPr="00165651">
        <w:rPr>
          <w:rFonts w:eastAsia="Times New Roman" w:cstheme="minorHAnsi"/>
          <w:szCs w:val="24"/>
          <w:shd w:val="clear" w:color="auto" w:fill="FFFFFF"/>
        </w:rPr>
        <w:t>Mediante Memorando No 2015-303-004045-3 del 27 de marzo de 2015 fue emitido concepto técnico favorable con relación al RTO de Contecar S.A. y mediante Resolución No. 461 de junio de 2014se aprobó.</w:t>
      </w:r>
    </w:p>
    <w:p w:rsidR="00EB3BC8" w:rsidRPr="00165651" w:rsidRDefault="00EB3BC8" w:rsidP="00EB3BC8">
      <w:pPr>
        <w:spacing w:line="240" w:lineRule="auto"/>
        <w:ind w:left="708"/>
        <w:jc w:val="both"/>
        <w:rPr>
          <w:rFonts w:eastAsia="Times New Roman" w:cstheme="minorHAnsi"/>
          <w:szCs w:val="24"/>
          <w:shd w:val="clear" w:color="auto" w:fill="FFFFFF"/>
        </w:rPr>
      </w:pPr>
      <w:r w:rsidRPr="00165651">
        <w:rPr>
          <w:rFonts w:eastAsia="Times New Roman" w:cstheme="minorHAnsi"/>
          <w:szCs w:val="24"/>
          <w:shd w:val="clear" w:color="auto" w:fill="FFFFFF"/>
        </w:rPr>
        <w:t>En el segundo trimestre del presente año se realizó validación de ejecución de inversiones 2008 – 2014 (rad. 2015303032531)</w:t>
      </w:r>
    </w:p>
    <w:p w:rsidR="00EB3BC8" w:rsidRPr="00165651" w:rsidRDefault="00EB3BC8" w:rsidP="00EB3BC8">
      <w:pPr>
        <w:shd w:val="clear" w:color="auto" w:fill="FFFFFF"/>
        <w:spacing w:after="0" w:line="240" w:lineRule="auto"/>
        <w:ind w:left="720"/>
        <w:contextualSpacing/>
        <w:jc w:val="both"/>
        <w:rPr>
          <w:rFonts w:eastAsia="Times New Roman" w:cstheme="minorHAnsi"/>
          <w:szCs w:val="24"/>
          <w:shd w:val="clear" w:color="auto" w:fill="FFFFFF"/>
        </w:rPr>
      </w:pPr>
    </w:p>
    <w:p w:rsidR="00EB3BC8" w:rsidRPr="00165651" w:rsidRDefault="00EB3BC8" w:rsidP="000021B2">
      <w:pPr>
        <w:numPr>
          <w:ilvl w:val="0"/>
          <w:numId w:val="14"/>
        </w:numPr>
        <w:shd w:val="clear" w:color="auto" w:fill="FFFFFF"/>
        <w:spacing w:before="100" w:beforeAutospacing="1" w:after="100" w:afterAutospacing="1" w:line="240" w:lineRule="auto"/>
        <w:ind w:left="360"/>
        <w:contextualSpacing/>
        <w:jc w:val="both"/>
        <w:rPr>
          <w:rFonts w:eastAsia="Times New Roman" w:cstheme="minorHAnsi"/>
          <w:b/>
          <w:szCs w:val="24"/>
          <w:shd w:val="clear" w:color="auto" w:fill="FFFFFF"/>
        </w:rPr>
      </w:pPr>
      <w:r w:rsidRPr="00165651">
        <w:rPr>
          <w:rFonts w:eastAsia="Times New Roman" w:cstheme="minorHAnsi"/>
          <w:b/>
          <w:szCs w:val="24"/>
          <w:shd w:val="clear" w:color="auto" w:fill="FFFFFF"/>
        </w:rPr>
        <w:t>Sociedad Portuaria Regional Cartagena S.A.</w:t>
      </w:r>
    </w:p>
    <w:p w:rsidR="00EB3BC8" w:rsidRPr="00165651" w:rsidRDefault="00EB3BC8" w:rsidP="00EB3BC8">
      <w:pPr>
        <w:shd w:val="clear" w:color="auto" w:fill="FFFFFF"/>
        <w:spacing w:before="100" w:beforeAutospacing="1" w:after="100" w:afterAutospacing="1" w:line="240" w:lineRule="auto"/>
        <w:ind w:left="360"/>
        <w:contextualSpacing/>
        <w:jc w:val="center"/>
        <w:rPr>
          <w:rFonts w:eastAsia="Times New Roman" w:cstheme="minorHAnsi"/>
          <w:b/>
          <w:sz w:val="24"/>
          <w:szCs w:val="24"/>
          <w:shd w:val="clear" w:color="auto" w:fill="FFFFFF"/>
        </w:rPr>
      </w:pPr>
    </w:p>
    <w:p w:rsidR="00EB3BC8" w:rsidRPr="00165651" w:rsidRDefault="00EB3BC8" w:rsidP="00EB3BC8">
      <w:pPr>
        <w:shd w:val="clear" w:color="auto" w:fill="FFFFFF"/>
        <w:spacing w:before="100" w:beforeAutospacing="1" w:after="100" w:afterAutospacing="1" w:line="240" w:lineRule="auto"/>
        <w:jc w:val="center"/>
        <w:rPr>
          <w:rFonts w:eastAsia="Times New Roman" w:cstheme="minorHAnsi"/>
          <w:b/>
          <w:sz w:val="24"/>
          <w:szCs w:val="24"/>
          <w:shd w:val="clear" w:color="auto" w:fill="FFFFFF"/>
        </w:rPr>
      </w:pPr>
      <w:r w:rsidRPr="00165651">
        <w:rPr>
          <w:rFonts w:eastAsia="Times New Roman" w:cstheme="minorHAnsi"/>
          <w:noProof/>
          <w:shd w:val="clear" w:color="auto" w:fill="FFFFFF"/>
        </w:rPr>
        <w:drawing>
          <wp:inline distT="0" distB="0" distL="0" distR="0" wp14:anchorId="19D75749" wp14:editId="753C3DB8">
            <wp:extent cx="2433944" cy="1906270"/>
            <wp:effectExtent l="0" t="0" r="5080" b="0"/>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456015" cy="1923556"/>
                    </a:xfrm>
                    <a:prstGeom prst="rect">
                      <a:avLst/>
                    </a:prstGeom>
                    <a:noFill/>
                    <a:ln>
                      <a:noFill/>
                    </a:ln>
                  </pic:spPr>
                </pic:pic>
              </a:graphicData>
            </a:graphic>
          </wp:inline>
        </w:drawing>
      </w:r>
      <w:r w:rsidRPr="00165651">
        <w:rPr>
          <w:rFonts w:eastAsia="Times New Roman" w:cstheme="minorHAnsi"/>
          <w:noProof/>
          <w:shd w:val="clear" w:color="auto" w:fill="FFFFFF"/>
        </w:rPr>
        <w:t xml:space="preserve">     </w:t>
      </w:r>
      <w:r w:rsidRPr="00165651">
        <w:rPr>
          <w:rFonts w:eastAsia="Times New Roman" w:cstheme="minorHAnsi"/>
          <w:noProof/>
          <w:shd w:val="clear" w:color="auto" w:fill="FFFFFF"/>
        </w:rPr>
        <w:drawing>
          <wp:inline distT="0" distB="0" distL="0" distR="0" wp14:anchorId="2318B082" wp14:editId="05383E07">
            <wp:extent cx="2531110" cy="1901825"/>
            <wp:effectExtent l="0" t="0" r="2540" b="3175"/>
            <wp:docPr id="455"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531110" cy="1901825"/>
                    </a:xfrm>
                    <a:prstGeom prst="rect">
                      <a:avLst/>
                    </a:prstGeom>
                    <a:noFill/>
                    <a:ln>
                      <a:noFill/>
                    </a:ln>
                  </pic:spPr>
                </pic:pic>
              </a:graphicData>
            </a:graphic>
          </wp:inline>
        </w:drawing>
      </w:r>
    </w:p>
    <w:p w:rsidR="00EB3BC8" w:rsidRPr="00165651" w:rsidRDefault="00EB3BC8" w:rsidP="000021B2">
      <w:pPr>
        <w:numPr>
          <w:ilvl w:val="0"/>
          <w:numId w:val="38"/>
        </w:numPr>
        <w:shd w:val="clear" w:color="auto" w:fill="FFFFFF"/>
        <w:spacing w:before="100" w:beforeAutospacing="1" w:after="100" w:afterAutospacing="1" w:line="240" w:lineRule="auto"/>
        <w:jc w:val="both"/>
        <w:rPr>
          <w:rFonts w:eastAsia="Times New Roman" w:cstheme="minorHAnsi"/>
          <w:szCs w:val="24"/>
          <w:shd w:val="clear" w:color="auto" w:fill="FFFFFF"/>
        </w:rPr>
      </w:pPr>
      <w:r w:rsidRPr="00165651">
        <w:rPr>
          <w:rFonts w:eastAsia="Times New Roman" w:cstheme="minorHAnsi"/>
          <w:szCs w:val="24"/>
          <w:shd w:val="clear" w:color="auto" w:fill="FFFFFF"/>
        </w:rPr>
        <w:t xml:space="preserve">Mediante Rad No 2014-409-058520-2 de 26 de Noviembre de 2014, la SPRC presento solicitud de autorización para la Sustitución y Disposición de las Grúas Pórtico G3 y G4. </w:t>
      </w:r>
    </w:p>
    <w:p w:rsidR="00EB3BC8" w:rsidRPr="00165651" w:rsidRDefault="00EB3BC8" w:rsidP="00EB3BC8">
      <w:pPr>
        <w:shd w:val="clear" w:color="auto" w:fill="FFFFFF"/>
        <w:spacing w:before="100" w:beforeAutospacing="1" w:after="100" w:afterAutospacing="1" w:line="240" w:lineRule="auto"/>
        <w:ind w:left="708"/>
        <w:jc w:val="both"/>
        <w:rPr>
          <w:rFonts w:eastAsia="Times New Roman" w:cstheme="minorHAnsi"/>
          <w:szCs w:val="24"/>
          <w:shd w:val="clear" w:color="auto" w:fill="FFFFFF"/>
        </w:rPr>
      </w:pPr>
      <w:r w:rsidRPr="00165651">
        <w:rPr>
          <w:rFonts w:eastAsia="Times New Roman" w:cstheme="minorHAnsi"/>
          <w:szCs w:val="24"/>
          <w:shd w:val="clear" w:color="auto" w:fill="FFFFFF"/>
        </w:rPr>
        <w:t>Las inversiones en las nuevas grúas pórtico fueron aprobadas Mediante Resolución No 583 de 2015 'Por la cual se aprueban nuevas inversiones para la sustitución y disposición de Grúas en el Terminal Portuario de a SOCIEDAD PORTUARIA REGLONAI DE CARTAGENA SA. – Contrato de Concesión Portuaria No. 007 de 1993</w:t>
      </w:r>
    </w:p>
    <w:p w:rsidR="00EB3BC8" w:rsidRPr="00165651" w:rsidRDefault="00EB3BC8" w:rsidP="000021B2">
      <w:pPr>
        <w:numPr>
          <w:ilvl w:val="0"/>
          <w:numId w:val="38"/>
        </w:numPr>
        <w:shd w:val="clear" w:color="auto" w:fill="FFFFFF"/>
        <w:spacing w:before="100" w:beforeAutospacing="1" w:after="100" w:afterAutospacing="1" w:line="240" w:lineRule="auto"/>
        <w:jc w:val="both"/>
        <w:rPr>
          <w:rFonts w:eastAsia="Times New Roman" w:cstheme="minorHAnsi"/>
          <w:szCs w:val="24"/>
          <w:shd w:val="clear" w:color="auto" w:fill="FFFFFF"/>
        </w:rPr>
      </w:pPr>
      <w:r w:rsidRPr="00165651">
        <w:rPr>
          <w:rFonts w:eastAsia="Times New Roman" w:cstheme="minorHAnsi"/>
          <w:szCs w:val="24"/>
          <w:shd w:val="clear" w:color="auto" w:fill="FFFFFF"/>
        </w:rPr>
        <w:t>La SPRC presentó recurso de reposición mediante Rad No. 2014-409-038173-2 del 11 de agosto de 2014, el cual fue resuelto mediante resolución No 500 de 2015, ordenando sanear el procedimiento administrativo y para tal efecto disponer el inicio y agotamiento de una etapa de arreglo directo para definir la situación surgida respecto del pago de la contraprestación por infraestructura del Contrato de Concesión Portuaria No. 007 de 1993, en los términos que señalará la entidad al CONCESIONARIO, dentro de los treinta (30) días siguientes a la ejecutoria de la resolución.</w:t>
      </w:r>
    </w:p>
    <w:p w:rsidR="00EB3BC8" w:rsidRPr="00165651" w:rsidRDefault="00EB3BC8" w:rsidP="000021B2">
      <w:pPr>
        <w:numPr>
          <w:ilvl w:val="0"/>
          <w:numId w:val="38"/>
        </w:numPr>
        <w:shd w:val="clear" w:color="auto" w:fill="FFFFFF"/>
        <w:spacing w:before="100" w:beforeAutospacing="1" w:after="100" w:afterAutospacing="1" w:line="240" w:lineRule="auto"/>
        <w:jc w:val="both"/>
        <w:rPr>
          <w:rFonts w:eastAsia="Times New Roman" w:cstheme="minorHAnsi"/>
          <w:szCs w:val="24"/>
          <w:shd w:val="clear" w:color="auto" w:fill="FFFFFF"/>
        </w:rPr>
      </w:pPr>
    </w:p>
    <w:p w:rsidR="00EB3BC8" w:rsidRPr="00165651" w:rsidRDefault="00EB3BC8" w:rsidP="000021B2">
      <w:pPr>
        <w:numPr>
          <w:ilvl w:val="0"/>
          <w:numId w:val="38"/>
        </w:numPr>
        <w:shd w:val="clear" w:color="auto" w:fill="FFFFFF"/>
        <w:spacing w:before="100" w:beforeAutospacing="1" w:after="100" w:afterAutospacing="1" w:line="240" w:lineRule="auto"/>
        <w:jc w:val="both"/>
        <w:rPr>
          <w:rFonts w:eastAsia="Times New Roman" w:cstheme="minorHAnsi"/>
          <w:szCs w:val="24"/>
          <w:shd w:val="clear" w:color="auto" w:fill="FFFFFF"/>
        </w:rPr>
      </w:pPr>
      <w:r w:rsidRPr="00165651">
        <w:rPr>
          <w:rFonts w:eastAsia="Times New Roman" w:cstheme="minorHAnsi"/>
          <w:szCs w:val="24"/>
          <w:shd w:val="clear" w:color="auto" w:fill="FFFFFF"/>
        </w:rPr>
        <w:t>En el segundo trimestre del presente año se han realizado 2 mesas de trabajo de la etapa de arreglo directo.</w:t>
      </w:r>
    </w:p>
    <w:p w:rsidR="00EB3BC8" w:rsidRPr="00165651" w:rsidRDefault="00EB3BC8" w:rsidP="00EB3BC8">
      <w:pPr>
        <w:shd w:val="clear" w:color="auto" w:fill="FFFFFF"/>
        <w:spacing w:before="100" w:beforeAutospacing="1" w:after="100" w:afterAutospacing="1" w:line="240" w:lineRule="auto"/>
        <w:ind w:left="786"/>
        <w:jc w:val="both"/>
        <w:rPr>
          <w:rFonts w:eastAsia="Times New Roman" w:cstheme="minorHAnsi"/>
          <w:szCs w:val="24"/>
          <w:shd w:val="clear" w:color="auto" w:fill="FFFFFF"/>
        </w:rPr>
      </w:pPr>
    </w:p>
    <w:p w:rsidR="00EB3BC8" w:rsidRPr="00165651" w:rsidRDefault="00EB3BC8" w:rsidP="00EB3BC8">
      <w:pPr>
        <w:shd w:val="clear" w:color="auto" w:fill="FFFFFF"/>
        <w:spacing w:before="100" w:beforeAutospacing="1" w:after="100" w:afterAutospacing="1" w:line="240" w:lineRule="auto"/>
        <w:contextualSpacing/>
        <w:jc w:val="both"/>
        <w:rPr>
          <w:rFonts w:eastAsia="Times New Roman" w:cstheme="minorHAnsi"/>
          <w:b/>
          <w:szCs w:val="24"/>
          <w:shd w:val="clear" w:color="auto" w:fill="FFFFFF"/>
        </w:rPr>
      </w:pPr>
      <w:r w:rsidRPr="00165651">
        <w:rPr>
          <w:rFonts w:eastAsia="Times New Roman" w:cstheme="minorHAnsi"/>
          <w:b/>
          <w:szCs w:val="24"/>
          <w:shd w:val="clear" w:color="auto" w:fill="FFFFFF"/>
        </w:rPr>
        <w:t xml:space="preserve">Sociedad Portuaria Puerto </w:t>
      </w:r>
      <w:r w:rsidR="00D31745">
        <w:rPr>
          <w:rFonts w:eastAsia="Times New Roman" w:cstheme="minorHAnsi"/>
          <w:b/>
          <w:szCs w:val="24"/>
          <w:shd w:val="clear" w:color="auto" w:fill="FFFFFF"/>
        </w:rPr>
        <w:t>d</w:t>
      </w:r>
      <w:r w:rsidRPr="00165651">
        <w:rPr>
          <w:rFonts w:eastAsia="Times New Roman" w:cstheme="minorHAnsi"/>
          <w:b/>
          <w:szCs w:val="24"/>
          <w:shd w:val="clear" w:color="auto" w:fill="FFFFFF"/>
        </w:rPr>
        <w:t>e Mamonal</w:t>
      </w:r>
    </w:p>
    <w:p w:rsidR="00EB3BC8" w:rsidRPr="00165651" w:rsidRDefault="00EB3BC8" w:rsidP="00EB3BC8">
      <w:pPr>
        <w:shd w:val="clear" w:color="auto" w:fill="FFFFFF"/>
        <w:spacing w:before="100" w:beforeAutospacing="1" w:after="100" w:afterAutospacing="1" w:line="240" w:lineRule="auto"/>
        <w:ind w:left="720"/>
        <w:contextualSpacing/>
        <w:jc w:val="both"/>
        <w:rPr>
          <w:rFonts w:eastAsia="Times New Roman" w:cstheme="minorHAnsi"/>
          <w:b/>
          <w:sz w:val="24"/>
          <w:szCs w:val="24"/>
          <w:shd w:val="clear" w:color="auto" w:fill="FFFFFF"/>
        </w:rPr>
      </w:pPr>
    </w:p>
    <w:p w:rsidR="00EB3BC8" w:rsidRPr="00165651" w:rsidRDefault="00EB3BC8" w:rsidP="00EB3BC8">
      <w:pPr>
        <w:shd w:val="clear" w:color="auto" w:fill="FFFFFF"/>
        <w:spacing w:before="100" w:beforeAutospacing="1" w:after="100" w:afterAutospacing="1" w:line="240" w:lineRule="auto"/>
        <w:ind w:left="720"/>
        <w:contextualSpacing/>
        <w:jc w:val="center"/>
        <w:rPr>
          <w:rFonts w:eastAsia="Times New Roman" w:cstheme="minorHAnsi"/>
          <w:b/>
          <w:sz w:val="24"/>
          <w:szCs w:val="24"/>
          <w:shd w:val="clear" w:color="auto" w:fill="FFFFFF"/>
        </w:rPr>
      </w:pPr>
      <w:r w:rsidRPr="00165651">
        <w:rPr>
          <w:rFonts w:eastAsia="Times New Roman" w:cstheme="minorHAnsi"/>
          <w:b/>
          <w:noProof/>
          <w:sz w:val="24"/>
          <w:szCs w:val="24"/>
          <w:shd w:val="clear" w:color="auto" w:fill="FFFFFF"/>
        </w:rPr>
        <w:lastRenderedPageBreak/>
        <w:drawing>
          <wp:inline distT="0" distB="0" distL="0" distR="0" wp14:anchorId="59B03B01" wp14:editId="58D4727F">
            <wp:extent cx="2619375" cy="2647672"/>
            <wp:effectExtent l="0" t="0" r="0" b="635"/>
            <wp:docPr id="457" name="Imagen 457" descr="C:\Users\jbermudez\Downloads\IMG_20150213_11505812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jbermudez\Downloads\IMG_20150213_115058126_HDR.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33000" cy="2661444"/>
                    </a:xfrm>
                    <a:prstGeom prst="rect">
                      <a:avLst/>
                    </a:prstGeom>
                    <a:noFill/>
                    <a:ln>
                      <a:noFill/>
                    </a:ln>
                  </pic:spPr>
                </pic:pic>
              </a:graphicData>
            </a:graphic>
          </wp:inline>
        </w:drawing>
      </w:r>
    </w:p>
    <w:p w:rsidR="00EB3BC8" w:rsidRPr="00165651" w:rsidRDefault="00EB3BC8" w:rsidP="00EB3BC8">
      <w:pPr>
        <w:shd w:val="clear" w:color="auto" w:fill="FFFFFF"/>
        <w:spacing w:before="100" w:beforeAutospacing="1" w:after="100" w:afterAutospacing="1" w:line="240" w:lineRule="auto"/>
        <w:ind w:left="720"/>
        <w:contextualSpacing/>
        <w:jc w:val="center"/>
        <w:rPr>
          <w:rFonts w:eastAsia="Times New Roman" w:cstheme="minorHAnsi"/>
          <w:b/>
          <w:sz w:val="24"/>
          <w:szCs w:val="24"/>
          <w:shd w:val="clear" w:color="auto" w:fill="FFFFFF"/>
        </w:rPr>
      </w:pPr>
    </w:p>
    <w:p w:rsidR="00EB3BC8" w:rsidRPr="00165651" w:rsidRDefault="00EB3BC8" w:rsidP="00EB3BC8">
      <w:pPr>
        <w:shd w:val="clear" w:color="auto" w:fill="FFFFFF"/>
        <w:spacing w:before="100" w:beforeAutospacing="1" w:after="100" w:afterAutospacing="1" w:line="240" w:lineRule="auto"/>
        <w:ind w:left="426"/>
        <w:jc w:val="both"/>
        <w:rPr>
          <w:rFonts w:eastAsia="Times New Roman" w:cstheme="minorHAnsi"/>
          <w:szCs w:val="24"/>
          <w:shd w:val="clear" w:color="auto" w:fill="FFFFFF"/>
        </w:rPr>
      </w:pPr>
      <w:r w:rsidRPr="00165651">
        <w:rPr>
          <w:rFonts w:eastAsia="Times New Roman" w:cstheme="minorHAnsi"/>
          <w:szCs w:val="24"/>
          <w:shd w:val="clear" w:color="auto" w:fill="FFFFFF"/>
        </w:rPr>
        <w:t xml:space="preserve">Acorde al informe presentado por la Sociedad Portuaria Puerto de Mamonal S.A. para el cumplimiento de la obligación prevista en el Decreto 3083 de 2007, es posible observar que la ejecución de obras para la implementación de cargue directo presenta un porcentaje de avance significativo; ya se tiene un 98% de ejecución de obras civiles y el puerto está en su fase de implementación eléctrica, de instalación y montaje de equipos en un 60% aproximadamente. Se espera que para mitad de año ya se estarían haciendo pruebas para la implementación del cargue directo. Por otra parte la entidad envió un oficio al Concesionario con respecto a solicitud de unos ajustes en las pólizas y de igual manera se solicitó dar un informe completo de las inversiones ejecutadas relacionadas con el Contrato de Concesión, ya que existen algunas inconsistencias en los reportes de inversiones. En el oficio enviado al Concesionario se da total claridad de las inversiones que debieron haberse cumplido del año 1 al 3 y se solicita al concesionario dar claridad de la finalización de las actividades para proceder con la expedición de las pólizas de estabilidad de obra. </w:t>
      </w:r>
    </w:p>
    <w:p w:rsidR="00EB3BC8" w:rsidRPr="00165651" w:rsidRDefault="00EB3BC8" w:rsidP="000021B2">
      <w:pPr>
        <w:numPr>
          <w:ilvl w:val="0"/>
          <w:numId w:val="14"/>
        </w:numPr>
        <w:shd w:val="clear" w:color="auto" w:fill="FFFFFF"/>
        <w:spacing w:before="100" w:beforeAutospacing="1" w:after="100" w:afterAutospacing="1" w:line="240" w:lineRule="auto"/>
        <w:ind w:left="360"/>
        <w:contextualSpacing/>
        <w:jc w:val="both"/>
        <w:rPr>
          <w:rFonts w:eastAsia="Times New Roman" w:cstheme="minorHAnsi"/>
          <w:b/>
          <w:szCs w:val="24"/>
          <w:shd w:val="clear" w:color="auto" w:fill="FFFFFF"/>
        </w:rPr>
      </w:pPr>
      <w:r w:rsidRPr="00165651">
        <w:rPr>
          <w:rFonts w:eastAsia="Times New Roman" w:cstheme="minorHAnsi"/>
          <w:b/>
          <w:szCs w:val="24"/>
          <w:shd w:val="clear" w:color="auto" w:fill="FFFFFF"/>
        </w:rPr>
        <w:t>Sociedad Portuaria Regional Santa Marta</w:t>
      </w:r>
    </w:p>
    <w:p w:rsidR="00EB3BC8" w:rsidRPr="00165651" w:rsidRDefault="00EB3BC8" w:rsidP="00EB3BC8">
      <w:pPr>
        <w:shd w:val="clear" w:color="auto" w:fill="FFFFFF"/>
        <w:spacing w:after="0" w:line="240" w:lineRule="auto"/>
        <w:ind w:left="360"/>
        <w:contextualSpacing/>
        <w:jc w:val="both"/>
        <w:rPr>
          <w:rFonts w:eastAsia="Times New Roman" w:cstheme="minorHAnsi"/>
          <w:b/>
          <w:sz w:val="24"/>
          <w:szCs w:val="24"/>
          <w:shd w:val="clear" w:color="auto" w:fill="FFFFFF"/>
        </w:rPr>
      </w:pPr>
    </w:p>
    <w:p w:rsidR="00EB3BC8" w:rsidRPr="00165651" w:rsidRDefault="00EB3BC8" w:rsidP="00EB3BC8">
      <w:pPr>
        <w:shd w:val="clear" w:color="auto" w:fill="FFFFFF"/>
        <w:spacing w:after="0" w:line="240" w:lineRule="auto"/>
        <w:ind w:left="426"/>
        <w:jc w:val="center"/>
        <w:rPr>
          <w:rFonts w:eastAsia="Times New Roman" w:cstheme="minorHAnsi"/>
          <w:sz w:val="24"/>
          <w:szCs w:val="24"/>
          <w:shd w:val="clear" w:color="auto" w:fill="FFFFFF"/>
        </w:rPr>
      </w:pPr>
      <w:r w:rsidRPr="00165651">
        <w:rPr>
          <w:rFonts w:eastAsia="Times New Roman" w:cstheme="minorHAnsi"/>
          <w:noProof/>
          <w:sz w:val="24"/>
          <w:szCs w:val="24"/>
          <w:shd w:val="clear" w:color="auto" w:fill="FFFFFF"/>
        </w:rPr>
        <w:drawing>
          <wp:inline distT="0" distB="0" distL="0" distR="0" wp14:anchorId="693969DF" wp14:editId="5A9F73E4">
            <wp:extent cx="4418330" cy="2055495"/>
            <wp:effectExtent l="19050" t="19050" r="20320" b="20955"/>
            <wp:docPr id="458" name="Imagen 458" descr="DSC05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5996"/>
                    <pic:cNvPicPr>
                      <a:picLocks noChangeAspect="1" noChangeArrowheads="1"/>
                    </pic:cNvPicPr>
                  </pic:nvPicPr>
                  <pic:blipFill>
                    <a:blip r:embed="rId116">
                      <a:lum bright="12000" contrast="24000"/>
                      <a:extLst>
                        <a:ext uri="{28A0092B-C50C-407E-A947-70E740481C1C}">
                          <a14:useLocalDpi xmlns:a14="http://schemas.microsoft.com/office/drawing/2010/main" val="0"/>
                        </a:ext>
                      </a:extLst>
                    </a:blip>
                    <a:srcRect t="28168"/>
                    <a:stretch>
                      <a:fillRect/>
                    </a:stretch>
                  </pic:blipFill>
                  <pic:spPr bwMode="auto">
                    <a:xfrm>
                      <a:off x="0" y="0"/>
                      <a:ext cx="4418330" cy="2055495"/>
                    </a:xfrm>
                    <a:prstGeom prst="rect">
                      <a:avLst/>
                    </a:prstGeom>
                    <a:noFill/>
                    <a:ln w="6350" cmpd="sng">
                      <a:solidFill>
                        <a:srgbClr val="000000"/>
                      </a:solidFill>
                      <a:miter lim="800000"/>
                      <a:headEnd/>
                      <a:tailEnd/>
                    </a:ln>
                    <a:effectLst/>
                  </pic:spPr>
                </pic:pic>
              </a:graphicData>
            </a:graphic>
          </wp:inline>
        </w:drawing>
      </w:r>
    </w:p>
    <w:p w:rsidR="00EB3BC8" w:rsidRPr="00165651" w:rsidRDefault="00EB3BC8" w:rsidP="00EB3BC8">
      <w:pPr>
        <w:shd w:val="clear" w:color="auto" w:fill="FFFFFF"/>
        <w:spacing w:after="0" w:line="240" w:lineRule="auto"/>
        <w:ind w:left="426"/>
        <w:jc w:val="both"/>
        <w:rPr>
          <w:rFonts w:eastAsia="Times New Roman" w:cstheme="minorHAnsi"/>
          <w:sz w:val="24"/>
          <w:szCs w:val="24"/>
          <w:shd w:val="clear" w:color="auto" w:fill="FFFFFF"/>
        </w:rPr>
      </w:pPr>
    </w:p>
    <w:p w:rsidR="00EB3BC8" w:rsidRPr="00165651" w:rsidRDefault="00EB3BC8" w:rsidP="00EB3BC8">
      <w:pPr>
        <w:shd w:val="clear" w:color="auto" w:fill="FFFFFF"/>
        <w:spacing w:after="0" w:line="240" w:lineRule="auto"/>
        <w:ind w:left="425"/>
        <w:jc w:val="both"/>
        <w:rPr>
          <w:rFonts w:eastAsia="Times New Roman" w:cstheme="minorHAnsi"/>
          <w:szCs w:val="24"/>
          <w:shd w:val="clear" w:color="auto" w:fill="FFFFFF"/>
        </w:rPr>
      </w:pPr>
      <w:r w:rsidRPr="00165651">
        <w:rPr>
          <w:rFonts w:eastAsia="Times New Roman" w:cstheme="minorHAnsi"/>
          <w:szCs w:val="24"/>
          <w:shd w:val="clear" w:color="auto" w:fill="FFFFFF"/>
        </w:rPr>
        <w:t>El Plan Bianual 2013 – 2014 fue revisado técnica y jurídicamente, una vez se concluya la revisión financiera se procederá a la aprobación respectiva.</w:t>
      </w:r>
    </w:p>
    <w:p w:rsidR="00EB3BC8" w:rsidRPr="00165651" w:rsidRDefault="00EB3BC8" w:rsidP="00EB3BC8">
      <w:pPr>
        <w:shd w:val="clear" w:color="auto" w:fill="FFFFFF"/>
        <w:spacing w:after="0" w:line="240" w:lineRule="auto"/>
        <w:ind w:left="425"/>
        <w:jc w:val="both"/>
        <w:rPr>
          <w:rFonts w:eastAsia="Times New Roman" w:cstheme="minorHAnsi"/>
          <w:szCs w:val="24"/>
          <w:shd w:val="clear" w:color="auto" w:fill="FFFFFF"/>
        </w:rPr>
      </w:pPr>
    </w:p>
    <w:p w:rsidR="00EB3BC8" w:rsidRPr="00165651" w:rsidRDefault="00EB3BC8" w:rsidP="00EB3BC8">
      <w:pPr>
        <w:shd w:val="clear" w:color="auto" w:fill="FFFFFF"/>
        <w:spacing w:after="0" w:line="240" w:lineRule="auto"/>
        <w:ind w:left="425"/>
        <w:jc w:val="both"/>
        <w:rPr>
          <w:rFonts w:eastAsia="Times New Roman" w:cstheme="minorHAnsi"/>
          <w:szCs w:val="24"/>
          <w:shd w:val="clear" w:color="auto" w:fill="FFFFFF"/>
        </w:rPr>
      </w:pPr>
      <w:r w:rsidRPr="00165651">
        <w:rPr>
          <w:rFonts w:eastAsia="Times New Roman" w:cstheme="minorHAnsi"/>
          <w:szCs w:val="24"/>
          <w:shd w:val="clear" w:color="auto" w:fill="FFFFFF"/>
        </w:rPr>
        <w:t>Plan Bianual 2015 - 2016, en evaluación.</w:t>
      </w:r>
    </w:p>
    <w:p w:rsidR="00EB3BC8" w:rsidRPr="00165651" w:rsidRDefault="00EB3BC8" w:rsidP="00EB3BC8">
      <w:pPr>
        <w:shd w:val="clear" w:color="auto" w:fill="FFFFFF"/>
        <w:spacing w:after="0" w:line="240" w:lineRule="auto"/>
        <w:ind w:left="425"/>
        <w:jc w:val="both"/>
        <w:rPr>
          <w:rFonts w:eastAsia="Times New Roman" w:cstheme="minorHAnsi"/>
          <w:color w:val="1F4E79"/>
          <w:szCs w:val="24"/>
          <w:shd w:val="clear" w:color="auto" w:fill="FFFFFF"/>
        </w:rPr>
      </w:pPr>
    </w:p>
    <w:p w:rsidR="00EB3BC8" w:rsidRPr="00165651" w:rsidRDefault="00EB3BC8" w:rsidP="000021B2">
      <w:pPr>
        <w:numPr>
          <w:ilvl w:val="0"/>
          <w:numId w:val="14"/>
        </w:numPr>
        <w:shd w:val="clear" w:color="auto" w:fill="FFFFFF"/>
        <w:spacing w:before="100" w:beforeAutospacing="1" w:after="100" w:afterAutospacing="1" w:line="240" w:lineRule="auto"/>
        <w:ind w:left="360"/>
        <w:contextualSpacing/>
        <w:jc w:val="both"/>
        <w:rPr>
          <w:rFonts w:eastAsia="Times New Roman" w:cstheme="minorHAnsi"/>
          <w:b/>
          <w:szCs w:val="24"/>
          <w:shd w:val="clear" w:color="auto" w:fill="FFFFFF"/>
        </w:rPr>
      </w:pPr>
      <w:r w:rsidRPr="00165651">
        <w:rPr>
          <w:rFonts w:eastAsia="Times New Roman" w:cstheme="minorHAnsi"/>
          <w:b/>
          <w:szCs w:val="24"/>
          <w:shd w:val="clear" w:color="auto" w:fill="FFFFFF"/>
        </w:rPr>
        <w:t>Sociedad Portuaria Central Cartagena</w:t>
      </w:r>
    </w:p>
    <w:p w:rsidR="00EB3BC8" w:rsidRPr="00165651" w:rsidRDefault="00EB3BC8" w:rsidP="00EB3BC8">
      <w:pPr>
        <w:shd w:val="clear" w:color="auto" w:fill="FFFFFF"/>
        <w:spacing w:before="100" w:beforeAutospacing="1" w:after="100" w:afterAutospacing="1" w:line="240" w:lineRule="auto"/>
        <w:ind w:left="720"/>
        <w:contextualSpacing/>
        <w:jc w:val="both"/>
        <w:rPr>
          <w:rFonts w:eastAsia="Times New Roman" w:cstheme="minorHAnsi"/>
          <w:b/>
          <w:szCs w:val="24"/>
          <w:shd w:val="clear" w:color="auto" w:fill="FFFFFF"/>
        </w:rPr>
      </w:pPr>
    </w:p>
    <w:p w:rsidR="00EB3BC8" w:rsidRPr="00165651" w:rsidRDefault="00EB3BC8" w:rsidP="00EB3BC8">
      <w:pPr>
        <w:shd w:val="clear" w:color="auto" w:fill="FFFFFF"/>
        <w:spacing w:before="100" w:beforeAutospacing="1" w:after="100" w:afterAutospacing="1" w:line="240" w:lineRule="auto"/>
        <w:ind w:left="720"/>
        <w:contextualSpacing/>
        <w:jc w:val="both"/>
        <w:rPr>
          <w:rFonts w:cstheme="minorHAnsi"/>
          <w:noProof/>
          <w:szCs w:val="24"/>
        </w:rPr>
      </w:pPr>
    </w:p>
    <w:p w:rsidR="00EB3BC8" w:rsidRPr="00165651" w:rsidRDefault="00EB3BC8" w:rsidP="00EB3BC8">
      <w:pPr>
        <w:shd w:val="clear" w:color="auto" w:fill="FFFFFF"/>
        <w:spacing w:before="100" w:beforeAutospacing="1" w:after="100" w:afterAutospacing="1" w:line="240" w:lineRule="auto"/>
        <w:ind w:left="720"/>
        <w:contextualSpacing/>
        <w:jc w:val="center"/>
        <w:rPr>
          <w:rFonts w:cstheme="minorHAnsi"/>
          <w:noProof/>
          <w:sz w:val="24"/>
          <w:szCs w:val="24"/>
        </w:rPr>
      </w:pPr>
      <w:r w:rsidRPr="00165651">
        <w:rPr>
          <w:rFonts w:cstheme="minorHAnsi"/>
          <w:noProof/>
          <w:sz w:val="24"/>
          <w:szCs w:val="24"/>
        </w:rPr>
        <w:drawing>
          <wp:inline distT="0" distB="0" distL="0" distR="0" wp14:anchorId="322DD08A" wp14:editId="22A60864">
            <wp:extent cx="4162425" cy="2339814"/>
            <wp:effectExtent l="0" t="0" r="0" b="3810"/>
            <wp:docPr id="459" name="Imagen 459" descr="C:\Users\jbermudez\Downloads\IMG-2015021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C:\Users\jbermudez\Downloads\IMG-20150212-WA0003.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168615" cy="2343294"/>
                    </a:xfrm>
                    <a:prstGeom prst="rect">
                      <a:avLst/>
                    </a:prstGeom>
                    <a:noFill/>
                    <a:ln>
                      <a:noFill/>
                    </a:ln>
                  </pic:spPr>
                </pic:pic>
              </a:graphicData>
            </a:graphic>
          </wp:inline>
        </w:drawing>
      </w:r>
    </w:p>
    <w:p w:rsidR="00EB3BC8" w:rsidRPr="00165651" w:rsidRDefault="00EB3BC8" w:rsidP="00EB3BC8">
      <w:pPr>
        <w:shd w:val="clear" w:color="auto" w:fill="FFFFFF"/>
        <w:spacing w:before="100" w:beforeAutospacing="1" w:after="100" w:afterAutospacing="1" w:line="240" w:lineRule="auto"/>
        <w:ind w:left="426"/>
        <w:jc w:val="both"/>
        <w:rPr>
          <w:rFonts w:eastAsia="Times New Roman" w:cstheme="minorHAnsi"/>
          <w:shd w:val="clear" w:color="auto" w:fill="FFFFFF"/>
        </w:rPr>
      </w:pPr>
      <w:r w:rsidRPr="00165651">
        <w:rPr>
          <w:rFonts w:eastAsia="Times New Roman" w:cstheme="minorHAnsi"/>
          <w:shd w:val="clear" w:color="auto" w:fill="FFFFFF"/>
        </w:rPr>
        <w:t xml:space="preserve">A la fecha se encuentra aprobado la modificación del contrato en donde se tiene proyectado la construcción del muelle en forma vertical (i) mediante el otro si No. 1 del 22 de diciembre del 2014. Las inversiones a realizar se iniciarán a finales del 2015. En este momento está pendiente la respuesta de las observaciones del Plan de Manejo Ambiental – PMA por parte de CARDIQUE. Por otra parte, a la fecha también está pendiente el pronunciamiento de esta entidad respecto a Reglamento Técnico de Operaciones. Haciendo claridad que para estas autorizaciones de las entidades ambientales hay un año de plazo y sin estos permisos no se puede dar inicio a las actividades del contrato. </w:t>
      </w:r>
    </w:p>
    <w:p w:rsidR="00EB3BC8" w:rsidRPr="00165651" w:rsidRDefault="00EB3BC8" w:rsidP="00EB3BC8">
      <w:pPr>
        <w:shd w:val="clear" w:color="auto" w:fill="FFFFFF"/>
        <w:spacing w:after="0" w:line="240" w:lineRule="auto"/>
        <w:jc w:val="both"/>
        <w:rPr>
          <w:rFonts w:eastAsia="Times New Roman" w:cstheme="minorHAnsi"/>
          <w:color w:val="1F4E79"/>
          <w:shd w:val="clear" w:color="auto" w:fill="FFFFFF"/>
        </w:rPr>
      </w:pPr>
    </w:p>
    <w:p w:rsidR="00EB3BC8" w:rsidRPr="00165651" w:rsidRDefault="00EB3BC8" w:rsidP="000021B2">
      <w:pPr>
        <w:numPr>
          <w:ilvl w:val="0"/>
          <w:numId w:val="14"/>
        </w:numPr>
        <w:shd w:val="clear" w:color="auto" w:fill="FFFFFF"/>
        <w:spacing w:after="0" w:line="240" w:lineRule="auto"/>
        <w:ind w:left="360"/>
        <w:contextualSpacing/>
        <w:jc w:val="both"/>
        <w:rPr>
          <w:rFonts w:eastAsia="Times New Roman" w:cstheme="minorHAnsi"/>
          <w:b/>
          <w:shd w:val="clear" w:color="auto" w:fill="FFFFFF"/>
        </w:rPr>
      </w:pPr>
      <w:r w:rsidRPr="00165651">
        <w:rPr>
          <w:rFonts w:eastAsia="Times New Roman" w:cstheme="minorHAnsi"/>
          <w:b/>
          <w:shd w:val="clear" w:color="auto" w:fill="FFFFFF"/>
        </w:rPr>
        <w:t>Sociedad Refinería de Cartagena S.A – REFICAR</w:t>
      </w:r>
    </w:p>
    <w:p w:rsidR="00EB3BC8" w:rsidRPr="00165651" w:rsidRDefault="00EB3BC8" w:rsidP="00EB3BC8">
      <w:pPr>
        <w:shd w:val="clear" w:color="auto" w:fill="FFFFFF"/>
        <w:spacing w:after="0" w:line="240" w:lineRule="auto"/>
        <w:ind w:left="720"/>
        <w:contextualSpacing/>
        <w:jc w:val="both"/>
        <w:rPr>
          <w:rFonts w:eastAsia="Times New Roman" w:cstheme="minorHAnsi"/>
          <w:b/>
          <w:sz w:val="24"/>
          <w:szCs w:val="24"/>
          <w:shd w:val="clear" w:color="auto" w:fill="FFFFFF"/>
        </w:rPr>
      </w:pPr>
    </w:p>
    <w:p w:rsidR="00EB3BC8" w:rsidRPr="00165651" w:rsidRDefault="00EB3BC8" w:rsidP="00EB3BC8">
      <w:pPr>
        <w:spacing w:after="0" w:line="240" w:lineRule="auto"/>
        <w:jc w:val="center"/>
        <w:rPr>
          <w:rFonts w:eastAsia="Times New Roman" w:cstheme="minorHAnsi"/>
          <w:b/>
          <w:noProof/>
          <w:sz w:val="24"/>
          <w:szCs w:val="24"/>
          <w:shd w:val="clear" w:color="auto" w:fill="FFFFFF"/>
          <w:lang w:val="en-US" w:eastAsia="es-ES"/>
        </w:rPr>
      </w:pPr>
      <w:r w:rsidRPr="00165651">
        <w:rPr>
          <w:rFonts w:eastAsia="Times New Roman" w:cstheme="minorHAnsi"/>
          <w:b/>
          <w:noProof/>
          <w:sz w:val="24"/>
          <w:szCs w:val="24"/>
          <w:shd w:val="clear" w:color="auto" w:fill="FFFFFF"/>
        </w:rPr>
        <w:drawing>
          <wp:inline distT="0" distB="0" distL="0" distR="0" wp14:anchorId="569C9807" wp14:editId="50812B1E">
            <wp:extent cx="5340350" cy="1543685"/>
            <wp:effectExtent l="0" t="0" r="0" b="0"/>
            <wp:docPr id="460" name="Imagen 460" descr="C:\Users\yperez\Dropbox\ANI\5 Supervisión\2.1 Modif.DOS\1 Documentos Legales\2014.11.05 Fotos desde ExxonM\IMG_20141105_102629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yperez\Dropbox\ANI\5 Supervisión\2.1 Modif.DOS\1 Documentos Legales\2014.11.05 Fotos desde ExxonM\IMG_20141105_102629072.jpg"/>
                    <pic:cNvPicPr>
                      <a:picLocks noChangeAspect="1" noChangeArrowheads="1"/>
                    </pic:cNvPicPr>
                  </pic:nvPicPr>
                  <pic:blipFill>
                    <a:blip r:embed="rId118">
                      <a:extLst>
                        <a:ext uri="{28A0092B-C50C-407E-A947-70E740481C1C}">
                          <a14:useLocalDpi xmlns:a14="http://schemas.microsoft.com/office/drawing/2010/main" val="0"/>
                        </a:ext>
                      </a:extLst>
                    </a:blip>
                    <a:srcRect t="7552" b="41081"/>
                    <a:stretch>
                      <a:fillRect/>
                    </a:stretch>
                  </pic:blipFill>
                  <pic:spPr bwMode="auto">
                    <a:xfrm>
                      <a:off x="0" y="0"/>
                      <a:ext cx="5340350" cy="1543685"/>
                    </a:xfrm>
                    <a:prstGeom prst="rect">
                      <a:avLst/>
                    </a:prstGeom>
                    <a:noFill/>
                    <a:ln>
                      <a:noFill/>
                    </a:ln>
                  </pic:spPr>
                </pic:pic>
              </a:graphicData>
            </a:graphic>
          </wp:inline>
        </w:drawing>
      </w:r>
    </w:p>
    <w:p w:rsidR="00EB3BC8" w:rsidRPr="00165651" w:rsidRDefault="00EB3BC8" w:rsidP="00EB3BC8">
      <w:pPr>
        <w:shd w:val="clear" w:color="auto" w:fill="FFFFFF"/>
        <w:spacing w:after="0" w:line="240" w:lineRule="auto"/>
        <w:ind w:left="720"/>
        <w:contextualSpacing/>
        <w:jc w:val="center"/>
        <w:rPr>
          <w:rFonts w:eastAsia="Times New Roman" w:cstheme="minorHAnsi"/>
          <w:b/>
          <w:sz w:val="18"/>
          <w:szCs w:val="18"/>
          <w:shd w:val="clear" w:color="auto" w:fill="FFFFFF"/>
        </w:rPr>
      </w:pPr>
      <w:r w:rsidRPr="00165651">
        <w:rPr>
          <w:rFonts w:cstheme="minorHAnsi"/>
          <w:sz w:val="18"/>
          <w:szCs w:val="18"/>
        </w:rPr>
        <w:t>Muelle</w:t>
      </w:r>
      <w:r w:rsidRPr="00165651">
        <w:rPr>
          <w:rFonts w:cstheme="minorHAnsi"/>
          <w:i/>
          <w:sz w:val="18"/>
          <w:szCs w:val="18"/>
        </w:rPr>
        <w:t xml:space="preserve"> Roll On Roll Off</w:t>
      </w:r>
    </w:p>
    <w:p w:rsidR="00EB3BC8" w:rsidRPr="00165651" w:rsidRDefault="00EB3BC8" w:rsidP="00EB3BC8">
      <w:pPr>
        <w:spacing w:after="0" w:line="240" w:lineRule="auto"/>
        <w:jc w:val="both"/>
        <w:rPr>
          <w:rFonts w:eastAsia="Times New Roman" w:cstheme="minorHAnsi"/>
          <w:bCs/>
          <w:sz w:val="24"/>
          <w:szCs w:val="24"/>
          <w:shd w:val="clear" w:color="auto" w:fill="FFFFFF"/>
        </w:rPr>
      </w:pPr>
    </w:p>
    <w:p w:rsidR="00EB3BC8" w:rsidRPr="00165651" w:rsidRDefault="00EB3BC8" w:rsidP="00EB3BC8">
      <w:pPr>
        <w:spacing w:after="0" w:line="240" w:lineRule="auto"/>
        <w:jc w:val="both"/>
        <w:rPr>
          <w:rFonts w:eastAsia="Times New Roman" w:cstheme="minorHAnsi"/>
          <w:bCs/>
          <w:szCs w:val="24"/>
          <w:shd w:val="clear" w:color="auto" w:fill="FFFFFF"/>
        </w:rPr>
      </w:pPr>
      <w:r w:rsidRPr="00165651">
        <w:rPr>
          <w:rFonts w:eastAsia="Times New Roman" w:cstheme="minorHAnsi"/>
          <w:bCs/>
          <w:szCs w:val="24"/>
          <w:shd w:val="clear" w:color="auto" w:fill="FFFFFF"/>
        </w:rPr>
        <w:t>Se adelanta modificación contractual para incorporar los Terminales Refinería y Néstor Pineda (Ecopetrol) al contrato de concesión de Reficar.</w:t>
      </w:r>
    </w:p>
    <w:p w:rsidR="00EB3BC8" w:rsidRPr="00165651" w:rsidRDefault="00EB3BC8" w:rsidP="00EB3BC8">
      <w:pPr>
        <w:spacing w:line="240" w:lineRule="auto"/>
        <w:jc w:val="both"/>
        <w:rPr>
          <w:rFonts w:cstheme="minorHAnsi"/>
          <w:szCs w:val="24"/>
        </w:rPr>
      </w:pPr>
    </w:p>
    <w:p w:rsidR="00EB3BC8" w:rsidRPr="00165651" w:rsidRDefault="00EB3BC8" w:rsidP="00EB3BC8">
      <w:pPr>
        <w:spacing w:line="240" w:lineRule="auto"/>
        <w:jc w:val="both"/>
        <w:rPr>
          <w:rFonts w:cstheme="minorHAnsi"/>
          <w:szCs w:val="24"/>
        </w:rPr>
      </w:pPr>
      <w:r w:rsidRPr="00165651">
        <w:rPr>
          <w:rFonts w:cstheme="minorHAnsi"/>
          <w:szCs w:val="24"/>
        </w:rPr>
        <w:lastRenderedPageBreak/>
        <w:t>Mediante la Resolución No. 493 del 2 de marzo de 2015 de nuevo se autorizó a REFICAR la modificación del cronograma de ejecución de inversiones</w:t>
      </w:r>
      <w:r w:rsidRPr="00165651">
        <w:rPr>
          <w:rFonts w:cstheme="minorHAnsi"/>
          <w:szCs w:val="24"/>
          <w:u w:val="single"/>
        </w:rPr>
        <w:t xml:space="preserve"> </w:t>
      </w:r>
      <w:r w:rsidRPr="00165651">
        <w:rPr>
          <w:rFonts w:cstheme="minorHAnsi"/>
          <w:szCs w:val="24"/>
        </w:rPr>
        <w:t>específicamente en lo que se refiere a la actividad correspondiente a la construcción del muelle para la movilización de coque</w:t>
      </w:r>
    </w:p>
    <w:p w:rsidR="00EB3BC8" w:rsidRPr="00165651" w:rsidRDefault="00EB3BC8" w:rsidP="00EB3BC8">
      <w:pPr>
        <w:spacing w:line="240" w:lineRule="auto"/>
        <w:jc w:val="both"/>
        <w:rPr>
          <w:rFonts w:cstheme="minorHAnsi"/>
          <w:szCs w:val="24"/>
        </w:rPr>
      </w:pPr>
      <w:r w:rsidRPr="00165651">
        <w:rPr>
          <w:rFonts w:cstheme="minorHAnsi"/>
          <w:szCs w:val="24"/>
        </w:rPr>
        <w:t>En consecuencia el cronograma para la ejecución de dicha actividad será el que a continuación se enuncia:</w:t>
      </w:r>
    </w:p>
    <w:p w:rsidR="00EB3BC8" w:rsidRPr="00165651" w:rsidRDefault="00EB3BC8" w:rsidP="00EB3BC8">
      <w:pPr>
        <w:spacing w:line="240" w:lineRule="auto"/>
        <w:jc w:val="both"/>
        <w:rPr>
          <w:rFonts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822"/>
        <w:gridCol w:w="1817"/>
        <w:gridCol w:w="2007"/>
      </w:tblGrid>
      <w:tr w:rsidR="00EB3BC8" w:rsidRPr="00165651" w:rsidTr="005E52E0">
        <w:trPr>
          <w:trHeight w:val="531"/>
          <w:jc w:val="center"/>
        </w:trPr>
        <w:tc>
          <w:tcPr>
            <w:tcW w:w="3045" w:type="dxa"/>
            <w:shd w:val="clear" w:color="auto" w:fill="000000"/>
            <w:vAlign w:val="center"/>
          </w:tcPr>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Actividad</w:t>
            </w:r>
          </w:p>
        </w:tc>
        <w:tc>
          <w:tcPr>
            <w:tcW w:w="1822" w:type="dxa"/>
            <w:shd w:val="clear" w:color="auto" w:fill="000000"/>
            <w:vAlign w:val="center"/>
          </w:tcPr>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Año 1</w:t>
            </w:r>
          </w:p>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2010</w:t>
            </w:r>
          </w:p>
        </w:tc>
        <w:tc>
          <w:tcPr>
            <w:tcW w:w="1817" w:type="dxa"/>
            <w:shd w:val="clear" w:color="auto" w:fill="000000"/>
            <w:vAlign w:val="center"/>
          </w:tcPr>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Año 6</w:t>
            </w:r>
          </w:p>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2015</w:t>
            </w:r>
          </w:p>
        </w:tc>
        <w:tc>
          <w:tcPr>
            <w:tcW w:w="2005" w:type="dxa"/>
            <w:shd w:val="clear" w:color="auto" w:fill="000000"/>
            <w:vAlign w:val="center"/>
          </w:tcPr>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Año 7</w:t>
            </w:r>
          </w:p>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2016</w:t>
            </w:r>
          </w:p>
        </w:tc>
      </w:tr>
      <w:tr w:rsidR="00EB3BC8" w:rsidRPr="00165651" w:rsidTr="005E52E0">
        <w:trPr>
          <w:trHeight w:val="318"/>
          <w:jc w:val="center"/>
        </w:trPr>
        <w:tc>
          <w:tcPr>
            <w:tcW w:w="3045" w:type="dxa"/>
            <w:shd w:val="clear" w:color="auto" w:fill="auto"/>
          </w:tcPr>
          <w:p w:rsidR="00EB3BC8" w:rsidRPr="00165651" w:rsidRDefault="00EB3BC8" w:rsidP="005E52E0">
            <w:pPr>
              <w:spacing w:line="240" w:lineRule="auto"/>
              <w:jc w:val="both"/>
              <w:rPr>
                <w:rFonts w:cstheme="minorHAnsi"/>
                <w:sz w:val="24"/>
                <w:szCs w:val="24"/>
              </w:rPr>
            </w:pPr>
            <w:r w:rsidRPr="00165651">
              <w:rPr>
                <w:rFonts w:cstheme="minorHAnsi"/>
                <w:sz w:val="24"/>
                <w:szCs w:val="24"/>
              </w:rPr>
              <w:t>Muelle de Ro-Ro</w:t>
            </w:r>
          </w:p>
        </w:tc>
        <w:tc>
          <w:tcPr>
            <w:tcW w:w="1822" w:type="dxa"/>
            <w:shd w:val="clear" w:color="auto" w:fill="auto"/>
          </w:tcPr>
          <w:p w:rsidR="00EB3BC8" w:rsidRPr="00165651" w:rsidRDefault="00EB3BC8" w:rsidP="005E52E0">
            <w:pPr>
              <w:spacing w:line="240" w:lineRule="auto"/>
              <w:jc w:val="center"/>
              <w:rPr>
                <w:rFonts w:cstheme="minorHAnsi"/>
                <w:sz w:val="24"/>
                <w:szCs w:val="24"/>
              </w:rPr>
            </w:pPr>
            <w:r w:rsidRPr="00165651">
              <w:rPr>
                <w:rFonts w:cstheme="minorHAnsi"/>
                <w:sz w:val="24"/>
                <w:szCs w:val="24"/>
              </w:rPr>
              <w:t>7.699.634</w:t>
            </w:r>
          </w:p>
        </w:tc>
        <w:tc>
          <w:tcPr>
            <w:tcW w:w="1817" w:type="dxa"/>
            <w:shd w:val="clear" w:color="auto" w:fill="auto"/>
          </w:tcPr>
          <w:p w:rsidR="00EB3BC8" w:rsidRPr="00165651" w:rsidRDefault="00EB3BC8" w:rsidP="005E52E0">
            <w:pPr>
              <w:spacing w:line="240" w:lineRule="auto"/>
              <w:jc w:val="center"/>
              <w:rPr>
                <w:rFonts w:cstheme="minorHAnsi"/>
                <w:sz w:val="24"/>
                <w:szCs w:val="24"/>
              </w:rPr>
            </w:pPr>
          </w:p>
        </w:tc>
        <w:tc>
          <w:tcPr>
            <w:tcW w:w="2005" w:type="dxa"/>
            <w:shd w:val="clear" w:color="auto" w:fill="auto"/>
          </w:tcPr>
          <w:p w:rsidR="00EB3BC8" w:rsidRPr="00165651" w:rsidRDefault="00EB3BC8" w:rsidP="005E52E0">
            <w:pPr>
              <w:spacing w:line="240" w:lineRule="auto"/>
              <w:jc w:val="center"/>
              <w:rPr>
                <w:rFonts w:cstheme="minorHAnsi"/>
                <w:sz w:val="24"/>
                <w:szCs w:val="24"/>
              </w:rPr>
            </w:pPr>
          </w:p>
        </w:tc>
      </w:tr>
      <w:tr w:rsidR="00EB3BC8" w:rsidRPr="00165651" w:rsidTr="005E52E0">
        <w:trPr>
          <w:trHeight w:val="414"/>
          <w:jc w:val="center"/>
        </w:trPr>
        <w:tc>
          <w:tcPr>
            <w:tcW w:w="3045" w:type="dxa"/>
            <w:shd w:val="clear" w:color="auto" w:fill="auto"/>
          </w:tcPr>
          <w:p w:rsidR="00EB3BC8" w:rsidRPr="00165651" w:rsidRDefault="00EB3BC8" w:rsidP="005E52E0">
            <w:pPr>
              <w:spacing w:line="240" w:lineRule="auto"/>
              <w:jc w:val="both"/>
              <w:rPr>
                <w:rFonts w:cstheme="minorHAnsi"/>
                <w:sz w:val="24"/>
                <w:szCs w:val="24"/>
              </w:rPr>
            </w:pPr>
            <w:r w:rsidRPr="00165651">
              <w:rPr>
                <w:rFonts w:cstheme="minorHAnsi"/>
                <w:sz w:val="24"/>
                <w:szCs w:val="24"/>
              </w:rPr>
              <w:t>Infraestructura Portuaria</w:t>
            </w:r>
          </w:p>
        </w:tc>
        <w:tc>
          <w:tcPr>
            <w:tcW w:w="1822" w:type="dxa"/>
            <w:shd w:val="clear" w:color="auto" w:fill="auto"/>
          </w:tcPr>
          <w:p w:rsidR="00EB3BC8" w:rsidRPr="00165651" w:rsidRDefault="00EB3BC8" w:rsidP="005E52E0">
            <w:pPr>
              <w:spacing w:line="240" w:lineRule="auto"/>
              <w:jc w:val="center"/>
              <w:rPr>
                <w:rFonts w:cstheme="minorHAnsi"/>
                <w:sz w:val="24"/>
                <w:szCs w:val="24"/>
              </w:rPr>
            </w:pPr>
          </w:p>
        </w:tc>
        <w:tc>
          <w:tcPr>
            <w:tcW w:w="1817" w:type="dxa"/>
            <w:shd w:val="clear" w:color="auto" w:fill="auto"/>
          </w:tcPr>
          <w:p w:rsidR="00EB3BC8" w:rsidRPr="00165651" w:rsidRDefault="00EB3BC8" w:rsidP="005E52E0">
            <w:pPr>
              <w:spacing w:line="240" w:lineRule="auto"/>
              <w:jc w:val="center"/>
              <w:rPr>
                <w:rFonts w:cstheme="minorHAnsi"/>
                <w:sz w:val="24"/>
                <w:szCs w:val="24"/>
              </w:rPr>
            </w:pPr>
            <w:r w:rsidRPr="00165651">
              <w:rPr>
                <w:rFonts w:cstheme="minorHAnsi"/>
                <w:sz w:val="24"/>
                <w:szCs w:val="24"/>
              </w:rPr>
              <w:t>39.269.266</w:t>
            </w:r>
          </w:p>
        </w:tc>
        <w:tc>
          <w:tcPr>
            <w:tcW w:w="2005" w:type="dxa"/>
            <w:shd w:val="clear" w:color="auto" w:fill="auto"/>
          </w:tcPr>
          <w:p w:rsidR="00EB3BC8" w:rsidRPr="00165651" w:rsidRDefault="00EB3BC8" w:rsidP="005E52E0">
            <w:pPr>
              <w:spacing w:line="240" w:lineRule="auto"/>
              <w:jc w:val="center"/>
              <w:rPr>
                <w:rFonts w:cstheme="minorHAnsi"/>
                <w:sz w:val="24"/>
                <w:szCs w:val="24"/>
              </w:rPr>
            </w:pPr>
            <w:r w:rsidRPr="00165651">
              <w:rPr>
                <w:rFonts w:cstheme="minorHAnsi"/>
                <w:sz w:val="24"/>
                <w:szCs w:val="24"/>
              </w:rPr>
              <w:t>9.718.075</w:t>
            </w:r>
          </w:p>
        </w:tc>
      </w:tr>
      <w:tr w:rsidR="00EB3BC8" w:rsidRPr="00165651" w:rsidTr="005E52E0">
        <w:trPr>
          <w:trHeight w:val="260"/>
          <w:jc w:val="center"/>
        </w:trPr>
        <w:tc>
          <w:tcPr>
            <w:tcW w:w="3045" w:type="dxa"/>
            <w:shd w:val="clear" w:color="auto" w:fill="auto"/>
          </w:tcPr>
          <w:p w:rsidR="00EB3BC8" w:rsidRPr="00165651" w:rsidRDefault="00EB3BC8" w:rsidP="005E52E0">
            <w:pPr>
              <w:spacing w:line="240" w:lineRule="auto"/>
              <w:jc w:val="both"/>
              <w:rPr>
                <w:rFonts w:cstheme="minorHAnsi"/>
                <w:b/>
                <w:sz w:val="24"/>
                <w:szCs w:val="24"/>
              </w:rPr>
            </w:pPr>
            <w:r w:rsidRPr="00165651">
              <w:rPr>
                <w:rFonts w:cstheme="minorHAnsi"/>
                <w:b/>
                <w:sz w:val="24"/>
                <w:szCs w:val="24"/>
              </w:rPr>
              <w:t>Total por año</w:t>
            </w:r>
          </w:p>
        </w:tc>
        <w:tc>
          <w:tcPr>
            <w:tcW w:w="1822" w:type="dxa"/>
            <w:shd w:val="clear" w:color="auto" w:fill="auto"/>
          </w:tcPr>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7.699.634</w:t>
            </w:r>
          </w:p>
        </w:tc>
        <w:tc>
          <w:tcPr>
            <w:tcW w:w="1817" w:type="dxa"/>
            <w:shd w:val="clear" w:color="auto" w:fill="auto"/>
          </w:tcPr>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39.269.266</w:t>
            </w:r>
          </w:p>
        </w:tc>
        <w:tc>
          <w:tcPr>
            <w:tcW w:w="2005" w:type="dxa"/>
            <w:shd w:val="clear" w:color="auto" w:fill="auto"/>
          </w:tcPr>
          <w:p w:rsidR="00EB3BC8" w:rsidRPr="00165651" w:rsidRDefault="00EB3BC8" w:rsidP="005E52E0">
            <w:pPr>
              <w:spacing w:line="240" w:lineRule="auto"/>
              <w:jc w:val="center"/>
              <w:rPr>
                <w:rFonts w:cstheme="minorHAnsi"/>
                <w:b/>
                <w:sz w:val="24"/>
                <w:szCs w:val="24"/>
              </w:rPr>
            </w:pPr>
            <w:r w:rsidRPr="00165651">
              <w:rPr>
                <w:rFonts w:cstheme="minorHAnsi"/>
                <w:b/>
                <w:sz w:val="24"/>
                <w:szCs w:val="24"/>
              </w:rPr>
              <w:t>9.718.075</w:t>
            </w:r>
          </w:p>
        </w:tc>
      </w:tr>
      <w:tr w:rsidR="00EB3BC8" w:rsidRPr="00165651" w:rsidTr="005E52E0">
        <w:trPr>
          <w:trHeight w:val="271"/>
          <w:jc w:val="center"/>
        </w:trPr>
        <w:tc>
          <w:tcPr>
            <w:tcW w:w="8691" w:type="dxa"/>
            <w:gridSpan w:val="4"/>
            <w:shd w:val="clear" w:color="auto" w:fill="auto"/>
          </w:tcPr>
          <w:p w:rsidR="00EB3BC8" w:rsidRPr="00165651" w:rsidRDefault="00EB3BC8" w:rsidP="005E52E0">
            <w:pPr>
              <w:spacing w:line="240" w:lineRule="auto"/>
              <w:rPr>
                <w:rFonts w:cstheme="minorHAnsi"/>
                <w:b/>
                <w:sz w:val="24"/>
                <w:szCs w:val="24"/>
              </w:rPr>
            </w:pPr>
            <w:r w:rsidRPr="00165651">
              <w:rPr>
                <w:rFonts w:cstheme="minorHAnsi"/>
                <w:b/>
                <w:sz w:val="24"/>
                <w:szCs w:val="24"/>
              </w:rPr>
              <w:t>Valor Total = 56.686.975</w:t>
            </w:r>
          </w:p>
        </w:tc>
      </w:tr>
    </w:tbl>
    <w:p w:rsidR="00EB3BC8" w:rsidRPr="00165651" w:rsidRDefault="00EB3BC8" w:rsidP="00EB3BC8">
      <w:pPr>
        <w:spacing w:line="240" w:lineRule="auto"/>
        <w:jc w:val="both"/>
        <w:rPr>
          <w:rFonts w:cstheme="minorHAnsi"/>
          <w:sz w:val="24"/>
          <w:szCs w:val="24"/>
        </w:rPr>
      </w:pPr>
    </w:p>
    <w:p w:rsidR="00EB3BC8" w:rsidRPr="00165651" w:rsidRDefault="00EB3BC8" w:rsidP="00EB3BC8">
      <w:pPr>
        <w:spacing w:line="240" w:lineRule="auto"/>
        <w:jc w:val="both"/>
        <w:rPr>
          <w:rFonts w:cstheme="minorHAnsi"/>
          <w:szCs w:val="24"/>
        </w:rPr>
      </w:pPr>
      <w:r w:rsidRPr="00165651">
        <w:rPr>
          <w:rFonts w:cstheme="minorHAnsi"/>
          <w:szCs w:val="24"/>
        </w:rPr>
        <w:t>Ecopetrol actualmente está operando mediante los terminales portuarios Néstor Pineda y Refinería, éstos cuentan con permiso de autorización temporal otorgada por la ANI en marzo de 2015 (contraprestación con metodología indicada en CONPES 3744 DE 2013) mientras se resuelve la modificación contractual solicitada por REFICAR.</w:t>
      </w:r>
    </w:p>
    <w:p w:rsidR="00EB3BC8" w:rsidRPr="00165651" w:rsidRDefault="00EB3BC8" w:rsidP="00EB3BC8">
      <w:pPr>
        <w:spacing w:line="240" w:lineRule="auto"/>
        <w:jc w:val="both"/>
        <w:rPr>
          <w:rFonts w:cstheme="minorHAnsi"/>
          <w:szCs w:val="24"/>
        </w:rPr>
      </w:pPr>
      <w:r w:rsidRPr="00165651">
        <w:rPr>
          <w:rFonts w:cstheme="minorHAnsi"/>
          <w:szCs w:val="24"/>
        </w:rPr>
        <w:t>Se han adelantado aclaraciones al modelo financiero de la modificación y desde la parte técnica se solicitaron aclaraciones al plan de inversiones propuesto, por lo que se están elaborando conceptos y que la interventoría presente recomendaciones para una vez radicados proceder a presentar la modificación al consejo directivo de la ANI.</w:t>
      </w:r>
    </w:p>
    <w:p w:rsidR="00EB3BC8" w:rsidRPr="00165651" w:rsidRDefault="00EB3BC8" w:rsidP="00EB3BC8">
      <w:pPr>
        <w:shd w:val="clear" w:color="auto" w:fill="FFFFFF"/>
        <w:spacing w:after="0" w:line="240" w:lineRule="auto"/>
        <w:ind w:left="708"/>
        <w:jc w:val="both"/>
        <w:rPr>
          <w:rFonts w:eastAsia="Times New Roman" w:cstheme="minorHAnsi"/>
          <w:color w:val="1F4E79"/>
          <w:szCs w:val="24"/>
          <w:shd w:val="clear" w:color="auto" w:fill="FFFFFF"/>
        </w:rPr>
      </w:pPr>
    </w:p>
    <w:p w:rsidR="00EB3BC8" w:rsidRPr="00165651" w:rsidRDefault="00EB3BC8" w:rsidP="00EB3BC8">
      <w:pPr>
        <w:shd w:val="clear" w:color="auto" w:fill="FFFFFF"/>
        <w:spacing w:after="0" w:line="240" w:lineRule="auto"/>
        <w:ind w:left="708"/>
        <w:jc w:val="both"/>
        <w:rPr>
          <w:rFonts w:eastAsia="Times New Roman" w:cstheme="minorHAnsi"/>
          <w:szCs w:val="24"/>
          <w:shd w:val="clear" w:color="auto" w:fill="FFFFFF"/>
        </w:rPr>
      </w:pPr>
    </w:p>
    <w:p w:rsidR="00EB3BC8" w:rsidRPr="00165651" w:rsidRDefault="00EB3BC8" w:rsidP="000021B2">
      <w:pPr>
        <w:numPr>
          <w:ilvl w:val="0"/>
          <w:numId w:val="14"/>
        </w:numPr>
        <w:shd w:val="clear" w:color="auto" w:fill="FFFFFF"/>
        <w:spacing w:after="0" w:line="240" w:lineRule="auto"/>
        <w:ind w:left="360"/>
        <w:contextualSpacing/>
        <w:jc w:val="both"/>
        <w:rPr>
          <w:rFonts w:eastAsia="Times New Roman" w:cstheme="minorHAnsi"/>
          <w:b/>
          <w:szCs w:val="24"/>
          <w:shd w:val="clear" w:color="auto" w:fill="FFFFFF"/>
        </w:rPr>
      </w:pPr>
      <w:r w:rsidRPr="00165651">
        <w:rPr>
          <w:rFonts w:eastAsia="Times New Roman" w:cstheme="minorHAnsi"/>
          <w:b/>
          <w:szCs w:val="24"/>
          <w:shd w:val="clear" w:color="auto" w:fill="FFFFFF"/>
        </w:rPr>
        <w:t>Sociedad Portuaria de la Zona Atlántica (Cartagena)</w:t>
      </w:r>
    </w:p>
    <w:p w:rsidR="00EB3BC8" w:rsidRPr="00165651" w:rsidRDefault="00EB3BC8" w:rsidP="00EB3BC8">
      <w:pPr>
        <w:shd w:val="clear" w:color="auto" w:fill="FFFFFF"/>
        <w:spacing w:after="0" w:line="240" w:lineRule="auto"/>
        <w:ind w:left="426"/>
        <w:jc w:val="both"/>
        <w:rPr>
          <w:rFonts w:eastAsia="Times New Roman" w:cstheme="minorHAnsi"/>
          <w:bCs/>
          <w:sz w:val="24"/>
          <w:szCs w:val="24"/>
          <w:shd w:val="clear" w:color="auto" w:fill="FFFFFF"/>
        </w:rPr>
      </w:pPr>
    </w:p>
    <w:p w:rsidR="00EB3BC8" w:rsidRPr="00165651" w:rsidRDefault="00EB3BC8" w:rsidP="00EB3BC8">
      <w:pPr>
        <w:shd w:val="clear" w:color="auto" w:fill="FFFFFF"/>
        <w:spacing w:after="0" w:line="240" w:lineRule="auto"/>
        <w:ind w:left="426"/>
        <w:jc w:val="center"/>
        <w:rPr>
          <w:rFonts w:eastAsia="Times New Roman" w:cstheme="minorHAnsi"/>
          <w:bCs/>
          <w:sz w:val="24"/>
          <w:szCs w:val="24"/>
          <w:shd w:val="clear" w:color="auto" w:fill="FFFFFF"/>
        </w:rPr>
      </w:pPr>
      <w:r w:rsidRPr="00165651">
        <w:rPr>
          <w:rFonts w:cstheme="minorHAnsi"/>
          <w:noProof/>
          <w:sz w:val="24"/>
          <w:szCs w:val="24"/>
        </w:rPr>
        <w:drawing>
          <wp:inline distT="0" distB="0" distL="0" distR="0" wp14:anchorId="0660114B" wp14:editId="2E84133C">
            <wp:extent cx="3542122" cy="2057400"/>
            <wp:effectExtent l="0" t="0" r="1270" b="0"/>
            <wp:docPr id="461" name="Imagen 461" descr="IMG_20140801_15015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MG_20140801_150150676"/>
                    <pic:cNvPicPr>
                      <a:picLocks noChangeAspect="1" noChangeArrowheads="1"/>
                    </pic:cNvPicPr>
                  </pic:nvPicPr>
                  <pic:blipFill>
                    <a:blip r:embed="rId119" cstate="print">
                      <a:extLst>
                        <a:ext uri="{28A0092B-C50C-407E-A947-70E740481C1C}">
                          <a14:useLocalDpi xmlns:a14="http://schemas.microsoft.com/office/drawing/2010/main" val="0"/>
                        </a:ext>
                      </a:extLst>
                    </a:blip>
                    <a:srcRect t="14568"/>
                    <a:stretch>
                      <a:fillRect/>
                    </a:stretch>
                  </pic:blipFill>
                  <pic:spPr bwMode="auto">
                    <a:xfrm>
                      <a:off x="0" y="0"/>
                      <a:ext cx="3555630" cy="2065246"/>
                    </a:xfrm>
                    <a:prstGeom prst="rect">
                      <a:avLst/>
                    </a:prstGeom>
                    <a:noFill/>
                    <a:ln>
                      <a:noFill/>
                    </a:ln>
                  </pic:spPr>
                </pic:pic>
              </a:graphicData>
            </a:graphic>
          </wp:inline>
        </w:drawing>
      </w:r>
    </w:p>
    <w:p w:rsidR="00EB3BC8" w:rsidRPr="00165651" w:rsidRDefault="00EB3BC8" w:rsidP="00EB3BC8">
      <w:pPr>
        <w:spacing w:after="0" w:line="240" w:lineRule="auto"/>
        <w:jc w:val="center"/>
        <w:rPr>
          <w:rFonts w:cstheme="minorHAnsi"/>
          <w:sz w:val="18"/>
          <w:szCs w:val="24"/>
        </w:rPr>
      </w:pPr>
      <w:r w:rsidRPr="00165651">
        <w:rPr>
          <w:rFonts w:cstheme="minorHAnsi"/>
          <w:sz w:val="18"/>
          <w:szCs w:val="24"/>
        </w:rPr>
        <w:t>Vista de pasarela hacia plataforma de atraque</w:t>
      </w:r>
    </w:p>
    <w:p w:rsidR="00EB3BC8" w:rsidRPr="00165651" w:rsidRDefault="00EB3BC8" w:rsidP="00EB3BC8">
      <w:pPr>
        <w:spacing w:after="0" w:line="240" w:lineRule="auto"/>
        <w:jc w:val="center"/>
        <w:rPr>
          <w:rFonts w:cstheme="minorHAnsi"/>
          <w:sz w:val="18"/>
          <w:szCs w:val="24"/>
        </w:rPr>
      </w:pPr>
    </w:p>
    <w:p w:rsidR="00EB3BC8" w:rsidRPr="00165651" w:rsidRDefault="00EB3BC8" w:rsidP="00EB3BC8">
      <w:pPr>
        <w:spacing w:after="0" w:line="240" w:lineRule="auto"/>
        <w:rPr>
          <w:rFonts w:cstheme="minorHAnsi"/>
          <w:sz w:val="24"/>
          <w:szCs w:val="24"/>
        </w:rPr>
      </w:pPr>
    </w:p>
    <w:p w:rsidR="00EB3BC8" w:rsidRPr="00165651" w:rsidRDefault="00EB3BC8" w:rsidP="00EB3BC8">
      <w:pPr>
        <w:spacing w:after="0" w:line="240" w:lineRule="auto"/>
        <w:jc w:val="both"/>
        <w:rPr>
          <w:rFonts w:cstheme="minorHAnsi"/>
        </w:rPr>
      </w:pPr>
      <w:r w:rsidRPr="00165651">
        <w:rPr>
          <w:rFonts w:eastAsia="Times New Roman" w:cstheme="minorHAnsi"/>
          <w:bCs/>
          <w:shd w:val="clear" w:color="auto" w:fill="FFFFFF"/>
        </w:rPr>
        <w:t xml:space="preserve">Se encuentra en evaluación la solicitud de autorización para ceder el contrato de concesión a </w:t>
      </w:r>
      <w:r w:rsidRPr="00165651">
        <w:rPr>
          <w:rFonts w:eastAsia="Times New Roman" w:cstheme="minorHAnsi"/>
          <w:bCs/>
          <w:i/>
          <w:shd w:val="clear" w:color="auto" w:fill="FFFFFF"/>
        </w:rPr>
        <w:t>Chevron Petroleum Company</w:t>
      </w:r>
    </w:p>
    <w:p w:rsidR="00EB3BC8" w:rsidRPr="00165651" w:rsidRDefault="00EB3BC8" w:rsidP="00EB3BC8">
      <w:pPr>
        <w:shd w:val="clear" w:color="auto" w:fill="FFFFFF"/>
        <w:spacing w:after="0" w:line="240" w:lineRule="auto"/>
        <w:jc w:val="both"/>
        <w:rPr>
          <w:rFonts w:eastAsia="Times New Roman" w:cstheme="minorHAnsi"/>
          <w:bCs/>
          <w:color w:val="1F4E79"/>
          <w:sz w:val="24"/>
          <w:szCs w:val="24"/>
          <w:shd w:val="clear" w:color="auto" w:fill="FFFFFF"/>
        </w:rPr>
      </w:pPr>
    </w:p>
    <w:p w:rsidR="00EB3BC8" w:rsidRPr="00165651" w:rsidRDefault="00EB3BC8" w:rsidP="000021B2">
      <w:pPr>
        <w:numPr>
          <w:ilvl w:val="0"/>
          <w:numId w:val="14"/>
        </w:numPr>
        <w:shd w:val="clear" w:color="auto" w:fill="FFFFFF"/>
        <w:spacing w:after="0" w:line="240" w:lineRule="auto"/>
        <w:ind w:left="360"/>
        <w:contextualSpacing/>
        <w:jc w:val="both"/>
        <w:rPr>
          <w:rFonts w:eastAsia="Times New Roman" w:cstheme="minorHAnsi"/>
          <w:b/>
          <w:sz w:val="24"/>
          <w:szCs w:val="24"/>
          <w:shd w:val="clear" w:color="auto" w:fill="FFFFFF"/>
        </w:rPr>
      </w:pPr>
      <w:r w:rsidRPr="00165651">
        <w:rPr>
          <w:rFonts w:eastAsia="Times New Roman" w:cstheme="minorHAnsi"/>
          <w:b/>
          <w:sz w:val="24"/>
          <w:szCs w:val="24"/>
          <w:shd w:val="clear" w:color="auto" w:fill="FFFFFF"/>
        </w:rPr>
        <w:t xml:space="preserve">Terminal de Contenedores de Buenaventura -  TC BUEN </w:t>
      </w:r>
    </w:p>
    <w:p w:rsidR="00EB3BC8" w:rsidRPr="00165651" w:rsidRDefault="00EB3BC8" w:rsidP="00EB3BC8">
      <w:pPr>
        <w:shd w:val="clear" w:color="auto" w:fill="FFFFFF"/>
        <w:spacing w:after="0" w:line="240" w:lineRule="auto"/>
        <w:jc w:val="both"/>
        <w:rPr>
          <w:rFonts w:eastAsia="Times New Roman" w:cstheme="minorHAnsi"/>
          <w:b/>
          <w:sz w:val="24"/>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b/>
          <w:sz w:val="24"/>
          <w:szCs w:val="24"/>
          <w:shd w:val="clear" w:color="auto" w:fill="FFFFFF"/>
        </w:rPr>
      </w:pPr>
    </w:p>
    <w:p w:rsidR="00EB3BC8" w:rsidRPr="00165651" w:rsidRDefault="00EB3BC8" w:rsidP="00EB3BC8">
      <w:pPr>
        <w:shd w:val="clear" w:color="auto" w:fill="FFFFFF"/>
        <w:spacing w:after="0" w:line="240" w:lineRule="auto"/>
        <w:jc w:val="center"/>
        <w:rPr>
          <w:rFonts w:eastAsia="Times New Roman" w:cstheme="minorHAnsi"/>
          <w:b/>
          <w:sz w:val="24"/>
          <w:szCs w:val="24"/>
          <w:shd w:val="clear" w:color="auto" w:fill="FFFFFF"/>
        </w:rPr>
      </w:pPr>
      <w:r w:rsidRPr="00165651">
        <w:rPr>
          <w:rFonts w:eastAsia="Times New Roman" w:cstheme="minorHAnsi"/>
          <w:b/>
          <w:noProof/>
          <w:sz w:val="24"/>
          <w:szCs w:val="24"/>
          <w:shd w:val="clear" w:color="auto" w:fill="FFFFFF"/>
        </w:rPr>
        <w:drawing>
          <wp:inline distT="0" distB="0" distL="0" distR="0" wp14:anchorId="1BE2A5FD" wp14:editId="61068F6F">
            <wp:extent cx="4171950" cy="2341758"/>
            <wp:effectExtent l="0" t="0" r="0" b="1905"/>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0">
                      <a:extLst>
                        <a:ext uri="{28A0092B-C50C-407E-A947-70E740481C1C}">
                          <a14:useLocalDpi xmlns:a14="http://schemas.microsoft.com/office/drawing/2010/main" val="0"/>
                        </a:ext>
                      </a:extLst>
                    </a:blip>
                    <a:srcRect l="4805" t="7455" b="5504"/>
                    <a:stretch>
                      <a:fillRect/>
                    </a:stretch>
                  </pic:blipFill>
                  <pic:spPr bwMode="auto">
                    <a:xfrm>
                      <a:off x="0" y="0"/>
                      <a:ext cx="4183613" cy="2348304"/>
                    </a:xfrm>
                    <a:prstGeom prst="rect">
                      <a:avLst/>
                    </a:prstGeom>
                    <a:noFill/>
                    <a:ln>
                      <a:noFill/>
                    </a:ln>
                  </pic:spPr>
                </pic:pic>
              </a:graphicData>
            </a:graphic>
          </wp:inline>
        </w:drawing>
      </w:r>
    </w:p>
    <w:p w:rsidR="00EB3BC8" w:rsidRPr="00165651" w:rsidRDefault="00EB3BC8" w:rsidP="000021B2">
      <w:pPr>
        <w:numPr>
          <w:ilvl w:val="0"/>
          <w:numId w:val="38"/>
        </w:numPr>
        <w:spacing w:after="0" w:line="240" w:lineRule="auto"/>
        <w:ind w:left="426"/>
        <w:contextualSpacing/>
        <w:jc w:val="both"/>
        <w:rPr>
          <w:rFonts w:cstheme="minorHAnsi"/>
          <w:szCs w:val="24"/>
        </w:rPr>
      </w:pPr>
      <w:r w:rsidRPr="00165651">
        <w:rPr>
          <w:rFonts w:cstheme="minorHAnsi"/>
          <w:szCs w:val="24"/>
        </w:rPr>
        <w:t>Se firmó Otrosí No 03 el 23 de Diciembre de 2014 en el trámite de modificación del contrato de concesión portuaria No 005 de 2007  de la Sociedad Terminal de Contenedores de Buenaventura S.A</w:t>
      </w:r>
      <w:r w:rsidRPr="00165651">
        <w:rPr>
          <w:rFonts w:cstheme="minorHAnsi"/>
          <w:b/>
          <w:szCs w:val="24"/>
        </w:rPr>
        <w:t xml:space="preserve">. </w:t>
      </w:r>
      <w:r w:rsidRPr="00165651">
        <w:rPr>
          <w:rFonts w:cstheme="minorHAnsi"/>
          <w:szCs w:val="24"/>
        </w:rPr>
        <w:t>– TC BUEN S.A, de conformidad con los previsto en el art. 17 de la ley 1 de 1991.</w:t>
      </w:r>
    </w:p>
    <w:p w:rsidR="00EB3BC8" w:rsidRPr="00165651" w:rsidRDefault="00EB3BC8" w:rsidP="00EB3BC8">
      <w:pPr>
        <w:spacing w:after="0" w:line="240" w:lineRule="auto"/>
        <w:ind w:left="426"/>
        <w:contextualSpacing/>
        <w:jc w:val="both"/>
        <w:rPr>
          <w:rFonts w:cstheme="minorHAnsi"/>
          <w:szCs w:val="24"/>
        </w:rPr>
      </w:pPr>
    </w:p>
    <w:p w:rsidR="00EB3BC8" w:rsidRPr="00165651" w:rsidRDefault="00EB3BC8" w:rsidP="000021B2">
      <w:pPr>
        <w:numPr>
          <w:ilvl w:val="0"/>
          <w:numId w:val="38"/>
        </w:numPr>
        <w:spacing w:after="0" w:line="240" w:lineRule="auto"/>
        <w:ind w:left="426"/>
        <w:contextualSpacing/>
        <w:jc w:val="both"/>
        <w:rPr>
          <w:rFonts w:cstheme="minorHAnsi"/>
          <w:szCs w:val="24"/>
        </w:rPr>
      </w:pPr>
      <w:r w:rsidRPr="00165651">
        <w:rPr>
          <w:rFonts w:cstheme="minorHAnsi"/>
          <w:szCs w:val="24"/>
        </w:rPr>
        <w:t>Se realizó aprobación de póliza de Responsabilidad civil mediante Rad no 2015-303-008469-1 del 24/04/2015.</w:t>
      </w:r>
    </w:p>
    <w:p w:rsidR="00EB3BC8" w:rsidRPr="00165651" w:rsidRDefault="00EB3BC8" w:rsidP="00EB3BC8">
      <w:pPr>
        <w:ind w:left="720"/>
        <w:contextualSpacing/>
        <w:rPr>
          <w:rFonts w:cstheme="minorHAnsi"/>
          <w:szCs w:val="24"/>
        </w:rPr>
      </w:pPr>
    </w:p>
    <w:p w:rsidR="00EB3BC8" w:rsidRPr="00165651" w:rsidRDefault="00EB3BC8" w:rsidP="000021B2">
      <w:pPr>
        <w:numPr>
          <w:ilvl w:val="0"/>
          <w:numId w:val="38"/>
        </w:numPr>
        <w:spacing w:after="0" w:line="240" w:lineRule="auto"/>
        <w:ind w:left="426"/>
        <w:contextualSpacing/>
        <w:jc w:val="both"/>
        <w:rPr>
          <w:rFonts w:cstheme="minorHAnsi"/>
          <w:szCs w:val="24"/>
        </w:rPr>
      </w:pPr>
      <w:r w:rsidRPr="00165651">
        <w:rPr>
          <w:rFonts w:cstheme="minorHAnsi"/>
          <w:szCs w:val="24"/>
        </w:rPr>
        <w:t>Se encuentra en evaluación póliza de cumplimiento del contrato.</w:t>
      </w:r>
    </w:p>
    <w:p w:rsidR="00EB3BC8" w:rsidRPr="00165651" w:rsidRDefault="00EB3BC8" w:rsidP="00EB3BC8">
      <w:pPr>
        <w:ind w:left="720"/>
        <w:contextualSpacing/>
        <w:rPr>
          <w:rFonts w:cstheme="minorHAnsi"/>
          <w:szCs w:val="24"/>
        </w:rPr>
      </w:pPr>
    </w:p>
    <w:p w:rsidR="00EB3BC8" w:rsidRPr="00165651" w:rsidRDefault="00EB3BC8" w:rsidP="000021B2">
      <w:pPr>
        <w:numPr>
          <w:ilvl w:val="0"/>
          <w:numId w:val="38"/>
        </w:numPr>
        <w:spacing w:after="0" w:line="240" w:lineRule="auto"/>
        <w:ind w:left="426"/>
        <w:contextualSpacing/>
        <w:jc w:val="both"/>
        <w:rPr>
          <w:rFonts w:cstheme="minorHAnsi"/>
          <w:szCs w:val="24"/>
        </w:rPr>
      </w:pPr>
      <w:r w:rsidRPr="00165651">
        <w:rPr>
          <w:rFonts w:cstheme="minorHAnsi"/>
          <w:szCs w:val="24"/>
        </w:rPr>
        <w:t>El proceso No 008 de 2015 se está llevando a cabo con normalidad y se espera se encuentre adjudicado el día 5 de mayo de 2015 ,lo que daría como resultado la contratación de la  interventoría hasta diciembre de 2015 al plan de inversión del contrato de concesión portuaria de la sociedad Terminal de Contenedores de Buenaventura S.A.</w:t>
      </w:r>
    </w:p>
    <w:p w:rsidR="00EB3BC8" w:rsidRPr="00165651" w:rsidRDefault="00EB3BC8" w:rsidP="00EB3BC8">
      <w:pPr>
        <w:ind w:left="720"/>
        <w:contextualSpacing/>
        <w:rPr>
          <w:rFonts w:cstheme="minorHAnsi"/>
          <w:szCs w:val="24"/>
        </w:rPr>
      </w:pPr>
    </w:p>
    <w:p w:rsidR="00EB3BC8" w:rsidRPr="00165651" w:rsidRDefault="00EB3BC8" w:rsidP="000021B2">
      <w:pPr>
        <w:numPr>
          <w:ilvl w:val="0"/>
          <w:numId w:val="38"/>
        </w:numPr>
        <w:spacing w:after="0" w:line="240" w:lineRule="auto"/>
        <w:ind w:left="426"/>
        <w:contextualSpacing/>
        <w:jc w:val="both"/>
        <w:rPr>
          <w:rFonts w:cstheme="minorHAnsi"/>
          <w:szCs w:val="24"/>
        </w:rPr>
      </w:pPr>
      <w:r w:rsidRPr="00165651">
        <w:rPr>
          <w:rFonts w:cstheme="minorHAnsi"/>
          <w:szCs w:val="24"/>
        </w:rPr>
        <w:t>El concesionario ha invertido en el año 2015 aproximadamente USD 7.611.407 en virtud de las actividades del plan de inversión del contrato de concesión.</w:t>
      </w:r>
    </w:p>
    <w:p w:rsidR="00EB3BC8" w:rsidRPr="00165651" w:rsidRDefault="00EB3BC8" w:rsidP="00EB3BC8">
      <w:pPr>
        <w:ind w:left="720"/>
        <w:contextualSpacing/>
        <w:rPr>
          <w:rFonts w:cstheme="minorHAnsi"/>
          <w:szCs w:val="24"/>
        </w:rPr>
      </w:pPr>
    </w:p>
    <w:p w:rsidR="00EB3BC8" w:rsidRPr="00165651" w:rsidRDefault="00EB3BC8" w:rsidP="000021B2">
      <w:pPr>
        <w:numPr>
          <w:ilvl w:val="0"/>
          <w:numId w:val="38"/>
        </w:numPr>
        <w:spacing w:after="0" w:line="240" w:lineRule="auto"/>
        <w:ind w:left="426"/>
        <w:contextualSpacing/>
        <w:jc w:val="both"/>
        <w:rPr>
          <w:rFonts w:cstheme="minorHAnsi"/>
          <w:szCs w:val="24"/>
        </w:rPr>
      </w:pPr>
      <w:r w:rsidRPr="00165651">
        <w:rPr>
          <w:rFonts w:cstheme="minorHAnsi"/>
          <w:szCs w:val="24"/>
        </w:rPr>
        <w:t xml:space="preserve"> A la fecha el concesionario continúa ejecutando el plan de inversión propuesto.</w:t>
      </w:r>
    </w:p>
    <w:p w:rsidR="00EB3BC8" w:rsidRPr="00165651" w:rsidRDefault="00EB3BC8" w:rsidP="00EB3BC8">
      <w:pPr>
        <w:spacing w:line="240" w:lineRule="auto"/>
        <w:jc w:val="both"/>
        <w:rPr>
          <w:rFonts w:cstheme="minorHAnsi"/>
          <w:szCs w:val="24"/>
        </w:rPr>
      </w:pPr>
    </w:p>
    <w:p w:rsidR="00EB3BC8" w:rsidRPr="00165651" w:rsidRDefault="00EB3BC8" w:rsidP="000021B2">
      <w:pPr>
        <w:numPr>
          <w:ilvl w:val="0"/>
          <w:numId w:val="15"/>
        </w:numPr>
        <w:spacing w:after="160" w:line="240" w:lineRule="auto"/>
        <w:ind w:left="360"/>
        <w:jc w:val="both"/>
        <w:rPr>
          <w:rFonts w:eastAsia="Times New Roman" w:cstheme="minorHAnsi"/>
          <w:b/>
          <w:szCs w:val="24"/>
          <w:shd w:val="clear" w:color="auto" w:fill="FFFFFF"/>
        </w:rPr>
      </w:pPr>
      <w:r w:rsidRPr="00165651">
        <w:rPr>
          <w:rFonts w:eastAsia="Times New Roman" w:cstheme="minorHAnsi"/>
          <w:b/>
          <w:szCs w:val="24"/>
          <w:shd w:val="clear" w:color="auto" w:fill="FFFFFF"/>
        </w:rPr>
        <w:t>Sociedad Portuaria Puerto Industrial Agua Dulce S.A. (Contrato No 010 de 2007)</w:t>
      </w:r>
    </w:p>
    <w:p w:rsidR="00EB3BC8" w:rsidRPr="00165651" w:rsidRDefault="00EB3BC8" w:rsidP="00EB3BC8">
      <w:pPr>
        <w:tabs>
          <w:tab w:val="left" w:pos="284"/>
        </w:tabs>
        <w:spacing w:after="0" w:line="240" w:lineRule="auto"/>
        <w:jc w:val="both"/>
        <w:rPr>
          <w:rFonts w:cstheme="minorHAnsi"/>
          <w:sz w:val="24"/>
          <w:szCs w:val="24"/>
        </w:rPr>
      </w:pPr>
    </w:p>
    <w:p w:rsidR="00EB3BC8" w:rsidRPr="00165651" w:rsidRDefault="00EB3BC8" w:rsidP="00EB3BC8">
      <w:pPr>
        <w:tabs>
          <w:tab w:val="left" w:pos="284"/>
        </w:tabs>
        <w:spacing w:after="0" w:line="240" w:lineRule="auto"/>
        <w:jc w:val="both"/>
        <w:rPr>
          <w:rFonts w:cstheme="minorHAnsi"/>
          <w:sz w:val="24"/>
          <w:szCs w:val="24"/>
        </w:rPr>
      </w:pPr>
      <w:r w:rsidRPr="00165651">
        <w:rPr>
          <w:rFonts w:eastAsia="Times New Roman" w:cstheme="minorHAnsi"/>
          <w:b/>
          <w:noProof/>
          <w:sz w:val="24"/>
          <w:szCs w:val="24"/>
          <w:shd w:val="clear" w:color="auto" w:fill="FFFFFF"/>
        </w:rPr>
        <w:drawing>
          <wp:anchor distT="0" distB="0" distL="114300" distR="114300" simplePos="0" relativeHeight="251707392" behindDoc="1" locked="0" layoutInCell="1" allowOverlap="1" wp14:anchorId="53B97BD3" wp14:editId="0DD03A14">
            <wp:simplePos x="0" y="0"/>
            <wp:positionH relativeFrom="column">
              <wp:posOffset>3231515</wp:posOffset>
            </wp:positionH>
            <wp:positionV relativeFrom="paragraph">
              <wp:posOffset>171450</wp:posOffset>
            </wp:positionV>
            <wp:extent cx="2438400" cy="1569085"/>
            <wp:effectExtent l="0" t="0" r="0" b="0"/>
            <wp:wrapNone/>
            <wp:docPr id="463" name="Imagen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38400" cy="1569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5651">
        <w:rPr>
          <w:rFonts w:eastAsia="Times New Roman" w:cstheme="minorHAnsi"/>
          <w:b/>
          <w:noProof/>
          <w:sz w:val="24"/>
          <w:szCs w:val="24"/>
          <w:shd w:val="clear" w:color="auto" w:fill="FFFFFF"/>
        </w:rPr>
        <w:drawing>
          <wp:anchor distT="0" distB="0" distL="114300" distR="114300" simplePos="0" relativeHeight="251706368" behindDoc="1" locked="0" layoutInCell="1" allowOverlap="1" wp14:anchorId="0850BE60" wp14:editId="1CA429B1">
            <wp:simplePos x="0" y="0"/>
            <wp:positionH relativeFrom="column">
              <wp:posOffset>374650</wp:posOffset>
            </wp:positionH>
            <wp:positionV relativeFrom="paragraph">
              <wp:posOffset>149225</wp:posOffset>
            </wp:positionV>
            <wp:extent cx="2545715" cy="1591310"/>
            <wp:effectExtent l="0" t="0" r="6985" b="8890"/>
            <wp:wrapNone/>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545715" cy="1591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3BC8" w:rsidRPr="00165651" w:rsidRDefault="00EB3BC8" w:rsidP="00EB3BC8">
      <w:pPr>
        <w:tabs>
          <w:tab w:val="left" w:pos="284"/>
        </w:tabs>
        <w:spacing w:after="0" w:line="240" w:lineRule="auto"/>
        <w:jc w:val="both"/>
        <w:rPr>
          <w:rFonts w:cstheme="minorHAnsi"/>
          <w:sz w:val="24"/>
          <w:szCs w:val="24"/>
        </w:rPr>
      </w:pPr>
    </w:p>
    <w:p w:rsidR="00EB3BC8" w:rsidRPr="00165651" w:rsidRDefault="00EB3BC8" w:rsidP="00EB3BC8">
      <w:pPr>
        <w:tabs>
          <w:tab w:val="left" w:pos="284"/>
        </w:tabs>
        <w:spacing w:after="0" w:line="240" w:lineRule="auto"/>
        <w:jc w:val="both"/>
        <w:rPr>
          <w:rFonts w:cstheme="minorHAnsi"/>
          <w:sz w:val="24"/>
          <w:szCs w:val="24"/>
        </w:rPr>
      </w:pPr>
    </w:p>
    <w:p w:rsidR="00EB3BC8" w:rsidRPr="00165651" w:rsidRDefault="00EB3BC8" w:rsidP="00EB3BC8">
      <w:pPr>
        <w:tabs>
          <w:tab w:val="left" w:pos="284"/>
        </w:tabs>
        <w:spacing w:after="0" w:line="240" w:lineRule="auto"/>
        <w:jc w:val="both"/>
        <w:rPr>
          <w:rFonts w:cstheme="minorHAnsi"/>
          <w:sz w:val="24"/>
          <w:szCs w:val="24"/>
        </w:rPr>
      </w:pPr>
    </w:p>
    <w:p w:rsidR="00EB3BC8" w:rsidRPr="00165651" w:rsidRDefault="00EB3BC8" w:rsidP="00EB3BC8">
      <w:pPr>
        <w:tabs>
          <w:tab w:val="left" w:pos="284"/>
        </w:tabs>
        <w:spacing w:after="0" w:line="240" w:lineRule="auto"/>
        <w:ind w:left="1068"/>
        <w:jc w:val="both"/>
        <w:rPr>
          <w:rFonts w:cstheme="minorHAnsi"/>
          <w:sz w:val="24"/>
          <w:szCs w:val="24"/>
        </w:rPr>
      </w:pPr>
    </w:p>
    <w:p w:rsidR="00EB3BC8" w:rsidRPr="00165651" w:rsidRDefault="00EB3BC8" w:rsidP="00EB3BC8">
      <w:pPr>
        <w:tabs>
          <w:tab w:val="left" w:pos="284"/>
        </w:tabs>
        <w:spacing w:after="0" w:line="240" w:lineRule="auto"/>
        <w:ind w:left="1068"/>
        <w:jc w:val="both"/>
        <w:rPr>
          <w:rFonts w:cstheme="minorHAnsi"/>
          <w:sz w:val="24"/>
          <w:szCs w:val="24"/>
        </w:rPr>
      </w:pPr>
    </w:p>
    <w:p w:rsidR="00EB3BC8" w:rsidRPr="00165651" w:rsidRDefault="00EB3BC8" w:rsidP="000021B2">
      <w:pPr>
        <w:numPr>
          <w:ilvl w:val="0"/>
          <w:numId w:val="39"/>
        </w:numPr>
        <w:tabs>
          <w:tab w:val="left" w:pos="284"/>
        </w:tabs>
        <w:spacing w:after="0" w:line="240" w:lineRule="auto"/>
        <w:jc w:val="both"/>
        <w:rPr>
          <w:rFonts w:cstheme="minorHAnsi"/>
          <w:sz w:val="24"/>
          <w:szCs w:val="24"/>
        </w:rPr>
      </w:pPr>
    </w:p>
    <w:p w:rsidR="00EB3BC8" w:rsidRPr="00165651" w:rsidRDefault="00EB3BC8" w:rsidP="00EB3BC8">
      <w:pPr>
        <w:tabs>
          <w:tab w:val="left" w:pos="284"/>
        </w:tabs>
        <w:spacing w:after="0" w:line="240" w:lineRule="auto"/>
        <w:ind w:left="1068"/>
        <w:jc w:val="both"/>
        <w:rPr>
          <w:rFonts w:cstheme="minorHAnsi"/>
          <w:sz w:val="24"/>
          <w:szCs w:val="24"/>
        </w:rPr>
      </w:pPr>
    </w:p>
    <w:p w:rsidR="00EB3BC8" w:rsidRPr="00165651" w:rsidRDefault="00EB3BC8" w:rsidP="00EB3BC8">
      <w:pPr>
        <w:tabs>
          <w:tab w:val="left" w:pos="284"/>
        </w:tabs>
        <w:spacing w:after="0" w:line="240" w:lineRule="auto"/>
        <w:ind w:left="1068"/>
        <w:jc w:val="both"/>
        <w:rPr>
          <w:rFonts w:cstheme="minorHAnsi"/>
          <w:sz w:val="24"/>
          <w:szCs w:val="24"/>
        </w:rPr>
      </w:pPr>
    </w:p>
    <w:p w:rsidR="00EB3BC8" w:rsidRPr="00165651" w:rsidRDefault="00EB3BC8" w:rsidP="00EB3BC8">
      <w:pPr>
        <w:tabs>
          <w:tab w:val="left" w:pos="284"/>
        </w:tabs>
        <w:spacing w:after="0" w:line="240" w:lineRule="auto"/>
        <w:ind w:left="1068"/>
        <w:jc w:val="both"/>
        <w:rPr>
          <w:rFonts w:cstheme="minorHAnsi"/>
          <w:sz w:val="24"/>
          <w:szCs w:val="24"/>
        </w:rPr>
      </w:pPr>
    </w:p>
    <w:p w:rsidR="00EB3BC8" w:rsidRPr="00165651" w:rsidRDefault="00EB3BC8" w:rsidP="00EB3BC8">
      <w:pPr>
        <w:tabs>
          <w:tab w:val="left" w:pos="284"/>
        </w:tabs>
        <w:spacing w:after="0" w:line="240" w:lineRule="auto"/>
        <w:jc w:val="both"/>
        <w:rPr>
          <w:rFonts w:cstheme="minorHAnsi"/>
          <w:sz w:val="24"/>
          <w:szCs w:val="24"/>
        </w:rPr>
      </w:pPr>
    </w:p>
    <w:p w:rsidR="00EB3BC8" w:rsidRPr="00165651" w:rsidRDefault="00EB3BC8" w:rsidP="00EB3BC8">
      <w:pPr>
        <w:tabs>
          <w:tab w:val="left" w:pos="284"/>
        </w:tabs>
        <w:spacing w:after="0" w:line="240" w:lineRule="auto"/>
        <w:jc w:val="both"/>
        <w:rPr>
          <w:rFonts w:cstheme="minorHAnsi"/>
          <w:sz w:val="24"/>
          <w:szCs w:val="24"/>
        </w:rPr>
      </w:pPr>
    </w:p>
    <w:p w:rsidR="00EB3BC8" w:rsidRPr="00165651" w:rsidRDefault="00EB3BC8" w:rsidP="000021B2">
      <w:pPr>
        <w:numPr>
          <w:ilvl w:val="0"/>
          <w:numId w:val="39"/>
        </w:numPr>
        <w:tabs>
          <w:tab w:val="left" w:pos="284"/>
        </w:tabs>
        <w:spacing w:after="0" w:line="240" w:lineRule="auto"/>
        <w:jc w:val="both"/>
        <w:rPr>
          <w:rFonts w:cstheme="minorHAnsi"/>
          <w:szCs w:val="24"/>
        </w:rPr>
      </w:pPr>
      <w:r w:rsidRPr="00165651">
        <w:rPr>
          <w:rFonts w:cstheme="minorHAnsi"/>
          <w:szCs w:val="24"/>
        </w:rPr>
        <w:t>Mediante Rad No 2015-705-004106-3 del 30/03/2015 se realizó concepto jurídico acerca de la solicitud de prórroga del término para la ejecución de algunas inversiones pactadas en el Contrato de Concesión Portuaria No. 010 de 2007 Sociedad Puerto Industrial Aguadulce SA. – SPIA.</w:t>
      </w:r>
    </w:p>
    <w:p w:rsidR="00EB3BC8" w:rsidRPr="00165651" w:rsidRDefault="00EB3BC8" w:rsidP="00EB3BC8">
      <w:pPr>
        <w:spacing w:line="240" w:lineRule="auto"/>
        <w:ind w:left="720"/>
        <w:contextualSpacing/>
        <w:rPr>
          <w:rFonts w:cstheme="minorHAnsi"/>
          <w:szCs w:val="24"/>
        </w:rPr>
      </w:pPr>
    </w:p>
    <w:p w:rsidR="00EB3BC8" w:rsidRPr="00165651" w:rsidRDefault="00EB3BC8" w:rsidP="000021B2">
      <w:pPr>
        <w:numPr>
          <w:ilvl w:val="0"/>
          <w:numId w:val="39"/>
        </w:numPr>
        <w:tabs>
          <w:tab w:val="left" w:pos="284"/>
        </w:tabs>
        <w:spacing w:after="0" w:line="240" w:lineRule="auto"/>
        <w:jc w:val="both"/>
        <w:rPr>
          <w:rFonts w:cstheme="minorHAnsi"/>
          <w:szCs w:val="24"/>
        </w:rPr>
      </w:pPr>
      <w:r w:rsidRPr="00165651">
        <w:rPr>
          <w:rFonts w:cstheme="minorHAnsi"/>
          <w:szCs w:val="24"/>
        </w:rPr>
        <w:t>Mediante Rad No 2015-308-004133-3 del 31/03/2015 se realizó concepto financiero acerca de la solicitud de prórroga del término para la ejecución de algunas inversiones pactadas en el Contrato de Concesión Portuaria No. 010 de 2007 Sociedad Puerto Industrial Aguadulce SA. – SPIA.</w:t>
      </w:r>
    </w:p>
    <w:p w:rsidR="00EB3BC8" w:rsidRPr="00165651" w:rsidRDefault="00EB3BC8" w:rsidP="00EB3BC8">
      <w:pPr>
        <w:spacing w:line="240" w:lineRule="auto"/>
        <w:ind w:left="720"/>
        <w:contextualSpacing/>
        <w:rPr>
          <w:rFonts w:cstheme="minorHAnsi"/>
          <w:szCs w:val="24"/>
        </w:rPr>
      </w:pPr>
    </w:p>
    <w:p w:rsidR="00EB3BC8" w:rsidRPr="00165651" w:rsidRDefault="00EB3BC8" w:rsidP="000021B2">
      <w:pPr>
        <w:numPr>
          <w:ilvl w:val="0"/>
          <w:numId w:val="39"/>
        </w:numPr>
        <w:tabs>
          <w:tab w:val="left" w:pos="284"/>
        </w:tabs>
        <w:spacing w:after="0" w:line="240" w:lineRule="auto"/>
        <w:jc w:val="both"/>
        <w:rPr>
          <w:rFonts w:cstheme="minorHAnsi"/>
          <w:szCs w:val="24"/>
        </w:rPr>
      </w:pPr>
      <w:r w:rsidRPr="00165651">
        <w:rPr>
          <w:rFonts w:cstheme="minorHAnsi"/>
          <w:szCs w:val="24"/>
        </w:rPr>
        <w:t>Se emitió en el mes de abril la resolución aprobando la solicitud de prórroga del término para la ejecución de algunas inversiones pactadas en el Contrato de Concesión Portuaria No. 010 de 2007.</w:t>
      </w:r>
    </w:p>
    <w:p w:rsidR="00EB3BC8" w:rsidRPr="00165651" w:rsidRDefault="00EB3BC8" w:rsidP="00EB3BC8">
      <w:pPr>
        <w:spacing w:line="240" w:lineRule="auto"/>
        <w:ind w:left="720"/>
        <w:contextualSpacing/>
        <w:rPr>
          <w:rFonts w:cstheme="minorHAnsi"/>
          <w:szCs w:val="24"/>
        </w:rPr>
      </w:pPr>
    </w:p>
    <w:p w:rsidR="00EB3BC8" w:rsidRPr="00165651" w:rsidRDefault="00EB3BC8" w:rsidP="000021B2">
      <w:pPr>
        <w:numPr>
          <w:ilvl w:val="0"/>
          <w:numId w:val="39"/>
        </w:numPr>
        <w:tabs>
          <w:tab w:val="left" w:pos="284"/>
        </w:tabs>
        <w:spacing w:after="0" w:line="240" w:lineRule="auto"/>
        <w:jc w:val="both"/>
        <w:rPr>
          <w:rFonts w:cstheme="minorHAnsi"/>
          <w:szCs w:val="24"/>
        </w:rPr>
      </w:pPr>
      <w:r w:rsidRPr="00165651">
        <w:rPr>
          <w:rFonts w:cstheme="minorHAnsi"/>
          <w:szCs w:val="24"/>
        </w:rPr>
        <w:t>Mediante Rad No 2015-303-007252-1 del 08/04/2015 se remitió observaciones realizadas a través de la Gerencia Predial Agencia Nacional de Infraestructura -ANI al Avalúo predio SB-TG-SPIA sedar Sanquepalo, península Buenaventura (Valle del Cauca) para que se hagan los ajustes pertinentes.</w:t>
      </w:r>
    </w:p>
    <w:p w:rsidR="00EB3BC8" w:rsidRPr="00165651" w:rsidRDefault="00EB3BC8" w:rsidP="00EB3BC8">
      <w:pPr>
        <w:spacing w:after="0" w:line="240" w:lineRule="auto"/>
        <w:jc w:val="both"/>
        <w:rPr>
          <w:rFonts w:cstheme="minorHAnsi"/>
          <w:szCs w:val="24"/>
        </w:rPr>
      </w:pPr>
    </w:p>
    <w:p w:rsidR="00EB3BC8" w:rsidRPr="00165651" w:rsidRDefault="00EB3BC8" w:rsidP="000021B2">
      <w:pPr>
        <w:numPr>
          <w:ilvl w:val="0"/>
          <w:numId w:val="39"/>
        </w:numPr>
        <w:spacing w:after="160" w:line="240" w:lineRule="auto"/>
        <w:jc w:val="both"/>
        <w:rPr>
          <w:rFonts w:cstheme="minorHAnsi"/>
          <w:szCs w:val="24"/>
        </w:rPr>
      </w:pPr>
      <w:r w:rsidRPr="00165651">
        <w:rPr>
          <w:rFonts w:cstheme="minorHAnsi"/>
          <w:szCs w:val="24"/>
        </w:rPr>
        <w:t xml:space="preserve">El concesionario ha invertido en el año 2015 aproximadamente USD 19.000.000 en virtud de las actividades del plan de inversión del contrato de concesión </w:t>
      </w:r>
    </w:p>
    <w:p w:rsidR="00EB3BC8" w:rsidRPr="00165651" w:rsidRDefault="00EB3BC8" w:rsidP="000021B2">
      <w:pPr>
        <w:numPr>
          <w:ilvl w:val="0"/>
          <w:numId w:val="39"/>
        </w:numPr>
        <w:spacing w:after="0" w:line="240" w:lineRule="auto"/>
        <w:contextualSpacing/>
        <w:jc w:val="both"/>
        <w:rPr>
          <w:rFonts w:cstheme="minorHAnsi"/>
          <w:szCs w:val="24"/>
        </w:rPr>
      </w:pPr>
      <w:r w:rsidRPr="00165651">
        <w:rPr>
          <w:rFonts w:cstheme="minorHAnsi"/>
          <w:szCs w:val="24"/>
        </w:rPr>
        <w:t>El área financiera de la entidad realizo el ejercicio que da como resultado un valor de contraprestación basado en los soportes allegados por el concesionario, sin embargo se solicitó  al área jurídica de la entidad definir si es válido o no utilizar la metodología de contraprestación del contrato en el momento de la firma del mismo o la metodología vigente, esto en virtud de la  expropiación del predio denominado Sanquepalo en la zona de Buenaventura, área que se encuentra asociada al concepto emitido por el Consejo de Estado en el caso de los predios adyacentes que prestaran servicios a la concesión portuaria.</w:t>
      </w:r>
    </w:p>
    <w:p w:rsidR="00EB3BC8" w:rsidRPr="00165651" w:rsidRDefault="00EB3BC8" w:rsidP="00EB3BC8">
      <w:pPr>
        <w:spacing w:after="0" w:line="240" w:lineRule="auto"/>
        <w:ind w:left="1068"/>
        <w:contextualSpacing/>
        <w:jc w:val="both"/>
        <w:rPr>
          <w:rFonts w:cstheme="minorHAnsi"/>
          <w:szCs w:val="24"/>
        </w:rPr>
      </w:pPr>
    </w:p>
    <w:p w:rsidR="00EB3BC8" w:rsidRPr="00165651" w:rsidRDefault="00EB3BC8" w:rsidP="000021B2">
      <w:pPr>
        <w:numPr>
          <w:ilvl w:val="0"/>
          <w:numId w:val="39"/>
        </w:numPr>
        <w:spacing w:after="0" w:line="240" w:lineRule="auto"/>
        <w:contextualSpacing/>
        <w:jc w:val="both"/>
        <w:rPr>
          <w:rFonts w:cstheme="minorHAnsi"/>
          <w:szCs w:val="24"/>
        </w:rPr>
      </w:pPr>
      <w:r w:rsidRPr="00165651">
        <w:rPr>
          <w:rFonts w:cstheme="minorHAnsi"/>
          <w:szCs w:val="24"/>
        </w:rPr>
        <w:t>Respecto de lo anterior la Gerencia Jurídica se pronunció mediante radicado No. 20157050074433</w:t>
      </w:r>
    </w:p>
    <w:p w:rsidR="00EB3BC8" w:rsidRPr="00165651" w:rsidRDefault="00EB3BC8" w:rsidP="00EB3BC8">
      <w:pPr>
        <w:spacing w:after="0" w:line="240" w:lineRule="auto"/>
        <w:ind w:left="1068"/>
        <w:contextualSpacing/>
        <w:jc w:val="both"/>
        <w:rPr>
          <w:rFonts w:cstheme="minorHAnsi"/>
          <w:szCs w:val="24"/>
        </w:rPr>
      </w:pPr>
    </w:p>
    <w:p w:rsidR="00EB3BC8" w:rsidRPr="00165651" w:rsidRDefault="00EB3BC8" w:rsidP="000021B2">
      <w:pPr>
        <w:numPr>
          <w:ilvl w:val="0"/>
          <w:numId w:val="39"/>
        </w:numPr>
        <w:spacing w:after="0" w:line="240" w:lineRule="auto"/>
        <w:contextualSpacing/>
        <w:jc w:val="both"/>
        <w:rPr>
          <w:rFonts w:cstheme="minorHAnsi"/>
          <w:szCs w:val="24"/>
        </w:rPr>
      </w:pPr>
      <w:r w:rsidRPr="00165651">
        <w:rPr>
          <w:rFonts w:cstheme="minorHAnsi"/>
          <w:szCs w:val="24"/>
        </w:rPr>
        <w:t>Se está a la espera a que el concesionario presente avalúo final del predio Sanquepalo.</w:t>
      </w:r>
    </w:p>
    <w:p w:rsidR="00EB3BC8" w:rsidRPr="00165651" w:rsidRDefault="00EB3BC8" w:rsidP="00EB3BC8">
      <w:pPr>
        <w:spacing w:after="0" w:line="240" w:lineRule="auto"/>
        <w:ind w:left="1068"/>
        <w:contextualSpacing/>
        <w:jc w:val="both"/>
        <w:rPr>
          <w:rFonts w:cstheme="minorHAnsi"/>
          <w:szCs w:val="24"/>
        </w:rPr>
      </w:pPr>
    </w:p>
    <w:p w:rsidR="00EB3BC8" w:rsidRPr="00165651" w:rsidRDefault="00EB3BC8" w:rsidP="00EB3BC8">
      <w:pPr>
        <w:spacing w:after="0" w:line="240" w:lineRule="auto"/>
        <w:ind w:left="1068"/>
        <w:contextualSpacing/>
        <w:jc w:val="both"/>
        <w:rPr>
          <w:rFonts w:cstheme="minorHAnsi"/>
          <w:color w:val="1F4E79"/>
          <w:szCs w:val="24"/>
        </w:rPr>
      </w:pPr>
    </w:p>
    <w:p w:rsidR="00EB3BC8" w:rsidRPr="00165651" w:rsidRDefault="00EB3BC8" w:rsidP="000021B2">
      <w:pPr>
        <w:numPr>
          <w:ilvl w:val="0"/>
          <w:numId w:val="15"/>
        </w:numPr>
        <w:spacing w:after="160" w:line="240" w:lineRule="auto"/>
        <w:ind w:left="360"/>
        <w:jc w:val="both"/>
        <w:rPr>
          <w:rFonts w:eastAsia="Times New Roman" w:cstheme="minorHAnsi"/>
          <w:b/>
          <w:szCs w:val="24"/>
          <w:shd w:val="clear" w:color="auto" w:fill="FFFFFF"/>
        </w:rPr>
      </w:pPr>
      <w:r w:rsidRPr="00165651">
        <w:rPr>
          <w:rFonts w:eastAsia="Times New Roman" w:cstheme="minorHAnsi"/>
          <w:b/>
          <w:szCs w:val="24"/>
          <w:shd w:val="clear" w:color="auto" w:fill="FFFFFF"/>
        </w:rPr>
        <w:lastRenderedPageBreak/>
        <w:t xml:space="preserve">Sociedad Portuaria Regional de Buenaventura (Contrato de Concesión No. 009 de 1994) </w:t>
      </w:r>
    </w:p>
    <w:p w:rsidR="00EB3BC8" w:rsidRPr="00165651" w:rsidRDefault="00EB3BC8" w:rsidP="00EB3BC8">
      <w:pPr>
        <w:spacing w:line="240" w:lineRule="auto"/>
        <w:jc w:val="center"/>
        <w:rPr>
          <w:rFonts w:eastAsia="Times New Roman" w:cstheme="minorHAnsi"/>
          <w:b/>
          <w:sz w:val="24"/>
          <w:szCs w:val="24"/>
          <w:shd w:val="clear" w:color="auto" w:fill="FFFFFF"/>
        </w:rPr>
      </w:pPr>
    </w:p>
    <w:p w:rsidR="00EB3BC8" w:rsidRPr="00165651" w:rsidRDefault="00EB3BC8" w:rsidP="00EB3BC8">
      <w:pPr>
        <w:spacing w:line="240" w:lineRule="auto"/>
        <w:jc w:val="center"/>
        <w:rPr>
          <w:rFonts w:eastAsia="Times New Roman" w:cstheme="minorHAnsi"/>
          <w:b/>
          <w:sz w:val="24"/>
          <w:szCs w:val="24"/>
          <w:shd w:val="clear" w:color="auto" w:fill="FFFFFF"/>
        </w:rPr>
      </w:pPr>
      <w:r w:rsidRPr="00165651">
        <w:rPr>
          <w:rFonts w:eastAsia="Times New Roman" w:cstheme="minorHAnsi"/>
          <w:b/>
          <w:noProof/>
          <w:sz w:val="24"/>
          <w:szCs w:val="24"/>
          <w:shd w:val="clear" w:color="auto" w:fill="FFFFFF"/>
        </w:rPr>
        <w:drawing>
          <wp:inline distT="0" distB="0" distL="0" distR="0" wp14:anchorId="60E02358" wp14:editId="11B8E214">
            <wp:extent cx="3810000" cy="2508052"/>
            <wp:effectExtent l="0" t="0" r="0" b="6985"/>
            <wp:docPr id="466" name="Imagen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9581" cy="2514359"/>
                    </a:xfrm>
                    <a:prstGeom prst="rect">
                      <a:avLst/>
                    </a:prstGeom>
                    <a:noFill/>
                    <a:ln>
                      <a:noFill/>
                    </a:ln>
                  </pic:spPr>
                </pic:pic>
              </a:graphicData>
            </a:graphic>
          </wp:inline>
        </w:drawing>
      </w:r>
    </w:p>
    <w:p w:rsidR="00EB3BC8" w:rsidRPr="00165651" w:rsidRDefault="00EB3BC8" w:rsidP="000021B2">
      <w:pPr>
        <w:numPr>
          <w:ilvl w:val="0"/>
          <w:numId w:val="39"/>
        </w:numPr>
        <w:spacing w:after="0" w:line="240" w:lineRule="auto"/>
        <w:jc w:val="both"/>
        <w:rPr>
          <w:rFonts w:cstheme="minorHAnsi"/>
          <w:szCs w:val="24"/>
        </w:rPr>
      </w:pPr>
      <w:r w:rsidRPr="00165651">
        <w:rPr>
          <w:rFonts w:cstheme="minorHAnsi"/>
          <w:szCs w:val="24"/>
        </w:rPr>
        <w:t xml:space="preserve">A través de la resolución de marzo de 2015 se realizó aprobación del  plan bianual de inversiones 2015-2016 remitido por la Sociedad Portuaria Regional de Buenaventura S.A. </w:t>
      </w:r>
    </w:p>
    <w:p w:rsidR="00EB3BC8" w:rsidRPr="00165651" w:rsidRDefault="00EB3BC8" w:rsidP="00EB3BC8">
      <w:pPr>
        <w:spacing w:after="0" w:line="240" w:lineRule="auto"/>
        <w:ind w:left="1068"/>
        <w:jc w:val="both"/>
        <w:rPr>
          <w:rFonts w:cstheme="minorHAnsi"/>
          <w:szCs w:val="24"/>
        </w:rPr>
      </w:pPr>
    </w:p>
    <w:p w:rsidR="00EB3BC8" w:rsidRPr="00165651" w:rsidRDefault="00EB3BC8" w:rsidP="000021B2">
      <w:pPr>
        <w:numPr>
          <w:ilvl w:val="0"/>
          <w:numId w:val="39"/>
        </w:numPr>
        <w:spacing w:after="0" w:line="240" w:lineRule="auto"/>
        <w:jc w:val="both"/>
        <w:rPr>
          <w:rFonts w:cstheme="minorHAnsi"/>
          <w:szCs w:val="24"/>
        </w:rPr>
      </w:pPr>
      <w:r w:rsidRPr="00165651">
        <w:rPr>
          <w:rFonts w:cstheme="minorHAnsi"/>
          <w:szCs w:val="24"/>
        </w:rPr>
        <w:t>A través del Rad No 2015-308-004100-3 del 30/03/2015 se emitió concepto técnico y financiero acerca de la Viabilidad financiera de la solicitud de  crédito con tasa compensada FINDETER para adquisición Grúas  Pórtico Terminal Marítimo Buenaventura - Sociedad  Portuaria Regional de Buenaventura S.A.</w:t>
      </w:r>
    </w:p>
    <w:p w:rsidR="00EB3BC8" w:rsidRPr="00165651" w:rsidRDefault="00EB3BC8" w:rsidP="00EB3BC8">
      <w:pPr>
        <w:spacing w:line="240" w:lineRule="auto"/>
        <w:ind w:left="720"/>
        <w:contextualSpacing/>
        <w:rPr>
          <w:rFonts w:cstheme="minorHAnsi"/>
          <w:szCs w:val="24"/>
        </w:rPr>
      </w:pPr>
    </w:p>
    <w:p w:rsidR="00EB3BC8" w:rsidRPr="00165651" w:rsidRDefault="00EB3BC8" w:rsidP="000021B2">
      <w:pPr>
        <w:numPr>
          <w:ilvl w:val="0"/>
          <w:numId w:val="39"/>
        </w:numPr>
        <w:spacing w:after="0" w:line="240" w:lineRule="auto"/>
        <w:jc w:val="both"/>
        <w:rPr>
          <w:rFonts w:cstheme="minorHAnsi"/>
          <w:szCs w:val="24"/>
        </w:rPr>
      </w:pPr>
      <w:r w:rsidRPr="00165651">
        <w:rPr>
          <w:rFonts w:cstheme="minorHAnsi"/>
          <w:szCs w:val="24"/>
        </w:rPr>
        <w:t>Una vez se modifique el plan bianual 2013-2014 se deberá incorporar la inversión correspondiente al inicio del contrato del muelle 1  de aprox USD 7.500.000</w:t>
      </w:r>
    </w:p>
    <w:p w:rsidR="00EB3BC8" w:rsidRPr="00165651" w:rsidRDefault="00EB3BC8" w:rsidP="00EB3BC8">
      <w:pPr>
        <w:spacing w:line="240" w:lineRule="auto"/>
        <w:ind w:left="720"/>
        <w:contextualSpacing/>
        <w:rPr>
          <w:rFonts w:cstheme="minorHAnsi"/>
          <w:szCs w:val="24"/>
        </w:rPr>
      </w:pPr>
    </w:p>
    <w:p w:rsidR="00EB3BC8" w:rsidRPr="00165651" w:rsidRDefault="00EB3BC8" w:rsidP="000021B2">
      <w:pPr>
        <w:numPr>
          <w:ilvl w:val="0"/>
          <w:numId w:val="39"/>
        </w:numPr>
        <w:spacing w:after="0" w:line="240" w:lineRule="auto"/>
        <w:jc w:val="both"/>
        <w:rPr>
          <w:rFonts w:cstheme="minorHAnsi"/>
          <w:szCs w:val="24"/>
        </w:rPr>
      </w:pPr>
      <w:r w:rsidRPr="00165651">
        <w:rPr>
          <w:rFonts w:cstheme="minorHAnsi"/>
          <w:szCs w:val="24"/>
        </w:rPr>
        <w:t>Del plan Bianual se realizó evaluación técnica y financiera, a la espera de la evaluación jurídica para luego emitir resolución decidiendo sobre la propuesta.</w:t>
      </w:r>
    </w:p>
    <w:p w:rsidR="00EB3BC8" w:rsidRPr="00165651" w:rsidRDefault="00EB3BC8" w:rsidP="00EB3BC8">
      <w:pPr>
        <w:spacing w:after="0" w:line="240" w:lineRule="auto"/>
        <w:jc w:val="both"/>
        <w:rPr>
          <w:rFonts w:cstheme="minorHAnsi"/>
          <w:szCs w:val="24"/>
        </w:rPr>
      </w:pPr>
    </w:p>
    <w:p w:rsidR="00EB3BC8" w:rsidRPr="00165651" w:rsidRDefault="00EB3BC8" w:rsidP="00EB3BC8">
      <w:pPr>
        <w:spacing w:after="0" w:line="240" w:lineRule="auto"/>
        <w:ind w:left="708"/>
        <w:jc w:val="both"/>
        <w:rPr>
          <w:rFonts w:cstheme="minorHAnsi"/>
          <w:szCs w:val="24"/>
        </w:rPr>
      </w:pPr>
    </w:p>
    <w:p w:rsidR="00EB3BC8" w:rsidRPr="00165651" w:rsidRDefault="00EB3BC8" w:rsidP="000021B2">
      <w:pPr>
        <w:numPr>
          <w:ilvl w:val="0"/>
          <w:numId w:val="14"/>
        </w:numPr>
        <w:shd w:val="clear" w:color="auto" w:fill="FFFFFF"/>
        <w:spacing w:after="0" w:line="240" w:lineRule="auto"/>
        <w:ind w:left="360"/>
        <w:contextualSpacing/>
        <w:jc w:val="both"/>
        <w:rPr>
          <w:rFonts w:eastAsia="Times New Roman" w:cstheme="minorHAnsi"/>
          <w:b/>
          <w:bCs/>
          <w:szCs w:val="24"/>
          <w:shd w:val="clear" w:color="auto" w:fill="FFFFFF"/>
        </w:rPr>
      </w:pPr>
      <w:r w:rsidRPr="00165651">
        <w:rPr>
          <w:rFonts w:eastAsia="Times New Roman" w:cstheme="minorHAnsi"/>
          <w:b/>
          <w:bCs/>
          <w:szCs w:val="24"/>
          <w:shd w:val="clear" w:color="auto" w:fill="FFFFFF"/>
        </w:rPr>
        <w:t>Sociedad Portuaria del Dique S.A.</w:t>
      </w:r>
    </w:p>
    <w:p w:rsidR="00EB3BC8" w:rsidRPr="00165651" w:rsidRDefault="00EB3BC8" w:rsidP="00EB3BC8">
      <w:pPr>
        <w:shd w:val="clear" w:color="auto" w:fill="FFFFFF"/>
        <w:spacing w:after="0" w:line="240" w:lineRule="auto"/>
        <w:ind w:left="720"/>
        <w:contextualSpacing/>
        <w:jc w:val="both"/>
        <w:rPr>
          <w:rFonts w:eastAsia="Times New Roman" w:cstheme="minorHAnsi"/>
          <w:b/>
          <w:bCs/>
          <w:szCs w:val="24"/>
          <w:shd w:val="clear" w:color="auto" w:fill="FFFFFF"/>
        </w:rPr>
      </w:pPr>
    </w:p>
    <w:p w:rsidR="00EB3BC8" w:rsidRPr="00165651" w:rsidRDefault="00EB3BC8" w:rsidP="00EB3BC8">
      <w:pPr>
        <w:shd w:val="clear" w:color="auto" w:fill="FFFFFF"/>
        <w:spacing w:after="0" w:line="240" w:lineRule="auto"/>
        <w:ind w:left="426"/>
        <w:jc w:val="both"/>
        <w:rPr>
          <w:rFonts w:eastAsia="Times New Roman" w:cstheme="minorHAnsi"/>
          <w:bCs/>
          <w:szCs w:val="24"/>
          <w:shd w:val="clear" w:color="auto" w:fill="FFFFFF"/>
        </w:rPr>
      </w:pPr>
      <w:r w:rsidRPr="00165651">
        <w:rPr>
          <w:rFonts w:eastAsia="Times New Roman" w:cstheme="minorHAnsi"/>
          <w:bCs/>
          <w:szCs w:val="24"/>
          <w:shd w:val="clear" w:color="auto" w:fill="FFFFFF"/>
        </w:rPr>
        <w:t xml:space="preserve">Mediante Resolución No. 1494 del 29 de octubre de 2014, se aprobó la solicitud de modificación del Contrato de Concesión Portuaria No. 060 de 2004 otorgado a la Sociedad Portuaria del Dique S.A. El concesionario en conjunto con la ANI están realizando una revisión del modelo financiero para definir la contraprestación, sin embargo el concesionario a raíz de la situación del mercado con el precio del petróleo y el aumento del dólar, está estudiando la posibilidad de un aplazamiento al inicio y legalización del otrosí, ya que éste no se ha ejecutado aun. En este momento la entidad se encuentra analizando el plan de inversiones y solicita a la Sociedad Portuaria del Dique el cumplimiento del contrato que se encuentra vigente, independiente de la Modificación que se encuentra en curso.  </w:t>
      </w:r>
    </w:p>
    <w:p w:rsidR="00EB3BC8" w:rsidRPr="00165651" w:rsidRDefault="00EB3BC8" w:rsidP="00EB3BC8">
      <w:pPr>
        <w:shd w:val="clear" w:color="auto" w:fill="FFFFFF"/>
        <w:spacing w:after="0" w:line="240" w:lineRule="auto"/>
        <w:ind w:left="426"/>
        <w:jc w:val="both"/>
        <w:rPr>
          <w:rFonts w:eastAsia="Times New Roman" w:cstheme="minorHAnsi"/>
          <w:bCs/>
          <w:color w:val="1F4E79"/>
          <w:szCs w:val="24"/>
          <w:shd w:val="clear" w:color="auto" w:fill="FFFFFF"/>
        </w:rPr>
      </w:pPr>
    </w:p>
    <w:p w:rsidR="00EB3BC8" w:rsidRPr="00165651" w:rsidRDefault="00EB3BC8" w:rsidP="000021B2">
      <w:pPr>
        <w:numPr>
          <w:ilvl w:val="0"/>
          <w:numId w:val="14"/>
        </w:numPr>
        <w:shd w:val="clear" w:color="auto" w:fill="FFFFFF"/>
        <w:spacing w:after="0" w:line="240" w:lineRule="auto"/>
        <w:ind w:left="360"/>
        <w:contextualSpacing/>
        <w:jc w:val="both"/>
        <w:rPr>
          <w:rFonts w:eastAsia="Times New Roman" w:cstheme="minorHAnsi"/>
          <w:b/>
          <w:bCs/>
          <w:szCs w:val="24"/>
          <w:shd w:val="clear" w:color="auto" w:fill="FFFFFF"/>
        </w:rPr>
      </w:pPr>
      <w:r w:rsidRPr="00165651">
        <w:rPr>
          <w:rFonts w:eastAsia="Times New Roman" w:cstheme="minorHAnsi"/>
          <w:b/>
          <w:bCs/>
          <w:szCs w:val="24"/>
          <w:shd w:val="clear" w:color="auto" w:fill="FFFFFF"/>
        </w:rPr>
        <w:t xml:space="preserve">Sociedad Portuaria DEXTON </w:t>
      </w:r>
    </w:p>
    <w:p w:rsidR="00EB3BC8" w:rsidRPr="00165651" w:rsidRDefault="00EB3BC8" w:rsidP="00EB3BC8">
      <w:pPr>
        <w:shd w:val="clear" w:color="auto" w:fill="FFFFFF"/>
        <w:spacing w:after="0" w:line="240" w:lineRule="auto"/>
        <w:ind w:left="360"/>
        <w:contextualSpacing/>
        <w:jc w:val="both"/>
        <w:rPr>
          <w:rFonts w:eastAsia="Times New Roman" w:cstheme="minorHAnsi"/>
          <w:b/>
          <w:bCs/>
          <w:szCs w:val="24"/>
          <w:shd w:val="clear" w:color="auto" w:fill="FFFFFF"/>
        </w:rPr>
      </w:pPr>
    </w:p>
    <w:p w:rsidR="00EB3BC8" w:rsidRPr="00165651" w:rsidRDefault="00EB3BC8" w:rsidP="00EB3BC8">
      <w:pPr>
        <w:shd w:val="clear" w:color="auto" w:fill="FFFFFF"/>
        <w:spacing w:after="0" w:line="240" w:lineRule="auto"/>
        <w:ind w:left="360"/>
        <w:contextualSpacing/>
        <w:jc w:val="both"/>
        <w:rPr>
          <w:rFonts w:eastAsia="Times New Roman" w:cstheme="minorHAnsi"/>
          <w:bCs/>
          <w:szCs w:val="24"/>
          <w:shd w:val="clear" w:color="auto" w:fill="FFFFFF"/>
        </w:rPr>
      </w:pPr>
      <w:r w:rsidRPr="00165651">
        <w:rPr>
          <w:rFonts w:eastAsia="Times New Roman" w:cstheme="minorHAnsi"/>
          <w:bCs/>
          <w:szCs w:val="24"/>
          <w:shd w:val="clear" w:color="auto" w:fill="FFFFFF"/>
        </w:rPr>
        <w:t>El concesionario solicitó una modificación al contrato en donde se espera tener un incremento de cargas desde el año 2018 especialmente para hidrocarburos además de los incrementos en otras actividades del puerto. Dicha solicitud ya se ha tramitado desde la parte técnica, administrativa, legal y financiera,  a la fecha se está a la espera que el concesionario defina unos valores de la contraprestación de los años 2013, 2014 y la parte proporcionalmente del 2015, ya que para la entidad es preferible que el puerto defina los valores pendientes a pagar antes de realizar la legalización de la modificación. Después de hacer la publicación y entregar todos los documentos respectivos a la ANI para que le sea otorgada la modificación.</w:t>
      </w:r>
    </w:p>
    <w:p w:rsidR="00EB3BC8" w:rsidRPr="00165651" w:rsidRDefault="00EB3BC8" w:rsidP="00EB3BC8">
      <w:pPr>
        <w:shd w:val="clear" w:color="auto" w:fill="FFFFFF"/>
        <w:spacing w:after="0" w:line="240" w:lineRule="auto"/>
        <w:ind w:left="360"/>
        <w:contextualSpacing/>
        <w:jc w:val="both"/>
        <w:rPr>
          <w:rFonts w:eastAsia="Times New Roman" w:cstheme="minorHAnsi"/>
          <w:bCs/>
          <w:szCs w:val="24"/>
          <w:shd w:val="clear" w:color="auto" w:fill="FFFFFF"/>
        </w:rPr>
      </w:pPr>
    </w:p>
    <w:p w:rsidR="00EB3BC8" w:rsidRPr="00165651" w:rsidRDefault="00EB3BC8" w:rsidP="00EB3BC8">
      <w:pPr>
        <w:shd w:val="clear" w:color="auto" w:fill="FFFFFF"/>
        <w:spacing w:after="0" w:line="240" w:lineRule="auto"/>
        <w:ind w:left="360"/>
        <w:contextualSpacing/>
        <w:jc w:val="both"/>
        <w:rPr>
          <w:rFonts w:eastAsia="Times New Roman" w:cstheme="minorHAnsi"/>
          <w:bCs/>
          <w:szCs w:val="24"/>
          <w:shd w:val="clear" w:color="auto" w:fill="FFFFFF"/>
        </w:rPr>
      </w:pPr>
      <w:r w:rsidRPr="00165651">
        <w:rPr>
          <w:rFonts w:eastAsia="Times New Roman" w:cstheme="minorHAnsi"/>
          <w:bCs/>
          <w:szCs w:val="24"/>
          <w:shd w:val="clear" w:color="auto" w:fill="FFFFFF"/>
        </w:rPr>
        <w:t xml:space="preserve">Después de la Audiencia celebrada el pasado 6 de mayo de 2015, esta entidad ha recibido concepto y observaciones por parte del Ministerio de Comercio, Instituto Nacional de Vías – INVIAS, Ministerio de Transporte y DIMAR. El concepto vinculante de la Alcaldía de Cartagena o en su defecto la Secretaria de Planeación no se ha recibido aún, la entidad está a la espera de tener prontamente este concepto ya que es fundamental para continuar con el trámite de la modificación al Contrato 003 de 2011. En este momento se está dando trámite a las observaciones dadas por las entidades mencionadas y trasladándolas al Concesionario para que den pronta respuesta y continuar con el trámite de Modificación. </w:t>
      </w:r>
    </w:p>
    <w:p w:rsidR="00EB3BC8" w:rsidRPr="00165651" w:rsidRDefault="00EB3BC8" w:rsidP="00EB3BC8">
      <w:pPr>
        <w:shd w:val="clear" w:color="auto" w:fill="FFFFFF"/>
        <w:spacing w:after="0" w:line="240" w:lineRule="auto"/>
        <w:ind w:left="360"/>
        <w:contextualSpacing/>
        <w:jc w:val="both"/>
        <w:rPr>
          <w:rFonts w:eastAsia="Times New Roman" w:cstheme="minorHAnsi"/>
          <w:bCs/>
          <w:szCs w:val="24"/>
          <w:shd w:val="clear" w:color="auto" w:fill="FFFFFF"/>
        </w:rPr>
      </w:pPr>
    </w:p>
    <w:p w:rsidR="00EB3BC8" w:rsidRPr="00165651" w:rsidRDefault="00EB3BC8" w:rsidP="00EB3BC8">
      <w:pPr>
        <w:shd w:val="clear" w:color="auto" w:fill="FFFFFF"/>
        <w:spacing w:after="0" w:line="240" w:lineRule="auto"/>
        <w:contextualSpacing/>
        <w:jc w:val="both"/>
        <w:rPr>
          <w:rFonts w:eastAsia="Times New Roman" w:cstheme="minorHAnsi"/>
          <w:b/>
          <w:bCs/>
          <w:szCs w:val="24"/>
          <w:shd w:val="clear" w:color="auto" w:fill="FFFFFF"/>
        </w:rPr>
      </w:pPr>
    </w:p>
    <w:p w:rsidR="00EB3BC8" w:rsidRPr="00165651" w:rsidRDefault="00B546A5" w:rsidP="00B546A5">
      <w:pPr>
        <w:shd w:val="clear" w:color="auto" w:fill="FFFFFF"/>
        <w:spacing w:after="0" w:line="240" w:lineRule="auto"/>
        <w:ind w:firstLine="360"/>
        <w:contextualSpacing/>
        <w:jc w:val="both"/>
        <w:rPr>
          <w:rFonts w:eastAsia="Times New Roman" w:cstheme="minorHAnsi"/>
          <w:b/>
          <w:bCs/>
          <w:szCs w:val="24"/>
          <w:shd w:val="clear" w:color="auto" w:fill="FFFFFF"/>
        </w:rPr>
      </w:pPr>
      <w:r w:rsidRPr="00165651">
        <w:rPr>
          <w:rFonts w:eastAsia="Times New Roman" w:cstheme="minorHAnsi"/>
          <w:b/>
          <w:bCs/>
          <w:szCs w:val="24"/>
          <w:shd w:val="clear" w:color="auto" w:fill="FFFFFF"/>
        </w:rPr>
        <w:t>Oiltanking Colombia</w:t>
      </w:r>
    </w:p>
    <w:p w:rsidR="00EB3BC8" w:rsidRPr="00165651" w:rsidRDefault="00EB3BC8" w:rsidP="00EB3BC8">
      <w:pPr>
        <w:shd w:val="clear" w:color="auto" w:fill="FFFFFF"/>
        <w:spacing w:after="0" w:line="240" w:lineRule="auto"/>
        <w:ind w:left="360"/>
        <w:contextualSpacing/>
        <w:jc w:val="both"/>
        <w:rPr>
          <w:rFonts w:eastAsia="Times New Roman" w:cstheme="minorHAnsi"/>
          <w:bCs/>
          <w:szCs w:val="24"/>
          <w:shd w:val="clear" w:color="auto" w:fill="FFFFFF"/>
        </w:rPr>
      </w:pPr>
    </w:p>
    <w:p w:rsidR="00EB3BC8" w:rsidRPr="00165651" w:rsidRDefault="00EB3BC8" w:rsidP="00EB3BC8">
      <w:pPr>
        <w:shd w:val="clear" w:color="auto" w:fill="FFFFFF"/>
        <w:spacing w:after="0" w:line="240" w:lineRule="auto"/>
        <w:ind w:left="360"/>
        <w:contextualSpacing/>
        <w:jc w:val="both"/>
        <w:rPr>
          <w:rFonts w:eastAsia="Times New Roman" w:cstheme="minorHAnsi"/>
          <w:bCs/>
          <w:szCs w:val="24"/>
          <w:shd w:val="clear" w:color="auto" w:fill="FFFFFF"/>
        </w:rPr>
      </w:pPr>
      <w:r w:rsidRPr="00165651">
        <w:rPr>
          <w:rFonts w:eastAsia="Times New Roman" w:cstheme="minorHAnsi"/>
          <w:bCs/>
          <w:szCs w:val="24"/>
          <w:shd w:val="clear" w:color="auto" w:fill="FFFFFF"/>
        </w:rPr>
        <w:t xml:space="preserve">El concesionario solicitó una modificación al contrato a la entidad en donde proyectan realizar cambio en el puerto para aumentar la capacidad del muelle, esto como consecuencia también del incidente que ocurrió en mayo del 2014 en donde un buque averió dos de las piñas de amarre. Debido a esto, el concesionario proyecta modificar el plan de inversiones sin necesidad de afectar su valor total al final de los años en donde se realizan las inversiones. Oiltanking quiere modificar algunos componentes de inversiones pero sin afectar la inversión total al final del año 7. Por otro lado, a la fecha se estudia por parte de la entidad un posible incumplimiento en las ejecuciones de las inversiones en los 3 primeros años según el Anexo A del otrosí No. 2, ya que las inversiones ejecutadas no son las que están contratadas y especificadas en el Anexo A, luego de esta aclaración la entidad dispondrá a dar el concepto de la posibilidad de la modificación solicitada por OILTANKING.  </w:t>
      </w:r>
    </w:p>
    <w:p w:rsidR="00EB3BC8" w:rsidRPr="00165651" w:rsidRDefault="00EB3BC8" w:rsidP="00EB3BC8">
      <w:pPr>
        <w:shd w:val="clear" w:color="auto" w:fill="FFFFFF"/>
        <w:spacing w:after="0" w:line="240" w:lineRule="auto"/>
        <w:ind w:left="360"/>
        <w:contextualSpacing/>
        <w:jc w:val="both"/>
        <w:rPr>
          <w:rFonts w:eastAsia="Times New Roman" w:cstheme="minorHAnsi"/>
          <w:bCs/>
          <w:szCs w:val="24"/>
          <w:shd w:val="clear" w:color="auto" w:fill="FFFFFF"/>
        </w:rPr>
      </w:pPr>
    </w:p>
    <w:p w:rsidR="00EB3BC8" w:rsidRPr="00165651" w:rsidRDefault="00EB3BC8" w:rsidP="00EB3BC8">
      <w:pPr>
        <w:shd w:val="clear" w:color="auto" w:fill="FFFFFF"/>
        <w:spacing w:after="0" w:line="240" w:lineRule="auto"/>
        <w:ind w:left="360"/>
        <w:contextualSpacing/>
        <w:jc w:val="both"/>
        <w:rPr>
          <w:rFonts w:eastAsia="Times New Roman" w:cstheme="minorHAnsi"/>
          <w:bCs/>
          <w:color w:val="1F4E79"/>
          <w:szCs w:val="24"/>
          <w:shd w:val="clear" w:color="auto" w:fill="FFFFFF"/>
        </w:rPr>
      </w:pPr>
      <w:r w:rsidRPr="00165651">
        <w:rPr>
          <w:rFonts w:eastAsia="Times New Roman" w:cstheme="minorHAnsi"/>
          <w:bCs/>
          <w:szCs w:val="24"/>
          <w:shd w:val="clear" w:color="auto" w:fill="FFFFFF"/>
        </w:rPr>
        <w:t xml:space="preserve">Oiltanking se encuentra trabajando en la presentación de la modificación al contrato 021 de 1997, simultáneamente Oiltanking radicó solicitud la aprobación para la construcción de la piña de atraque norte, que consiste en la demolición de la piña existente que fue averiada por el Buque Besiktas en Mayo del 2014 y la reconstrucción de la piña nueva. La entidad en conjunto con la Interventoría Sotavento Colombia S.A. se encuentra estudiando la </w:t>
      </w:r>
      <w:r w:rsidR="00232A48">
        <w:rPr>
          <w:rFonts w:eastAsia="Times New Roman" w:cstheme="minorHAnsi"/>
          <w:bCs/>
          <w:szCs w:val="24"/>
          <w:shd w:val="clear" w:color="auto" w:fill="FFFFFF"/>
        </w:rPr>
        <w:t xml:space="preserve">viabilidad a esta solicitud y </w:t>
      </w:r>
      <w:r w:rsidRPr="00165651">
        <w:rPr>
          <w:rFonts w:eastAsia="Times New Roman" w:cstheme="minorHAnsi"/>
          <w:bCs/>
          <w:szCs w:val="24"/>
          <w:shd w:val="clear" w:color="auto" w:fill="FFFFFF"/>
        </w:rPr>
        <w:t xml:space="preserve">se requirió a Oiltanking de la información que de claridad respecto los costos discriminados de la demolición de la piña averiada que va a ser demolida y la construcción de la nueva piña norte de atraque. </w:t>
      </w:r>
    </w:p>
    <w:p w:rsidR="00EB3BC8" w:rsidRPr="00165651" w:rsidRDefault="00EB3BC8" w:rsidP="00EB3BC8">
      <w:pPr>
        <w:shd w:val="clear" w:color="auto" w:fill="FFFFFF"/>
        <w:spacing w:after="0" w:line="240" w:lineRule="auto"/>
        <w:ind w:left="426"/>
        <w:jc w:val="both"/>
        <w:rPr>
          <w:rFonts w:eastAsia="Times New Roman" w:cstheme="minorHAnsi"/>
          <w:bCs/>
          <w:color w:val="1F4E79"/>
          <w:szCs w:val="24"/>
          <w:shd w:val="clear" w:color="auto" w:fill="FFFFFF"/>
        </w:rPr>
      </w:pPr>
    </w:p>
    <w:p w:rsidR="00EB3BC8" w:rsidRPr="00165651" w:rsidRDefault="00EB3BC8" w:rsidP="00EB3BC8">
      <w:pPr>
        <w:shd w:val="clear" w:color="auto" w:fill="FFFFFF"/>
        <w:spacing w:after="0" w:line="240" w:lineRule="auto"/>
        <w:jc w:val="both"/>
        <w:rPr>
          <w:rFonts w:eastAsia="Times New Roman" w:cstheme="minorHAnsi"/>
          <w:bCs/>
          <w:color w:val="1F4E79"/>
          <w:szCs w:val="24"/>
          <w:shd w:val="clear" w:color="auto" w:fill="FFFFFF"/>
        </w:rPr>
      </w:pPr>
    </w:p>
    <w:p w:rsidR="00EB3BC8" w:rsidRPr="00B546A5" w:rsidRDefault="00B546A5" w:rsidP="00EB3BC8">
      <w:pPr>
        <w:spacing w:after="0" w:line="240" w:lineRule="auto"/>
        <w:ind w:left="360"/>
        <w:jc w:val="both"/>
        <w:rPr>
          <w:rFonts w:cstheme="minorHAnsi"/>
          <w:b/>
          <w:szCs w:val="24"/>
          <w:lang w:val="es-ES_tradnl"/>
        </w:rPr>
      </w:pPr>
      <w:r w:rsidRPr="00B546A5">
        <w:rPr>
          <w:rFonts w:cstheme="minorHAnsi"/>
          <w:b/>
          <w:szCs w:val="24"/>
          <w:lang w:val="es-ES_tradnl"/>
        </w:rPr>
        <w:t>Sociedad portuaria puerto bahía s.a.</w:t>
      </w:r>
    </w:p>
    <w:p w:rsidR="00EB3BC8" w:rsidRPr="00165651" w:rsidRDefault="00EB3BC8" w:rsidP="00EB3BC8">
      <w:pPr>
        <w:spacing w:after="0" w:line="240" w:lineRule="auto"/>
        <w:ind w:left="360"/>
        <w:jc w:val="both"/>
        <w:rPr>
          <w:rFonts w:cstheme="minorHAnsi"/>
          <w:b/>
          <w:szCs w:val="24"/>
          <w:u w:val="single"/>
          <w:lang w:val="es-ES_tradnl"/>
        </w:rPr>
      </w:pPr>
    </w:p>
    <w:p w:rsidR="00EB3BC8" w:rsidRPr="00165651" w:rsidRDefault="00EB3BC8" w:rsidP="00EB3BC8">
      <w:pPr>
        <w:spacing w:after="0" w:line="240" w:lineRule="auto"/>
        <w:ind w:left="360"/>
        <w:jc w:val="center"/>
        <w:rPr>
          <w:rFonts w:cstheme="minorHAnsi"/>
          <w:b/>
          <w:spacing w:val="-3"/>
          <w:sz w:val="24"/>
          <w:szCs w:val="24"/>
          <w:u w:val="single"/>
        </w:rPr>
      </w:pPr>
      <w:r w:rsidRPr="00165651">
        <w:rPr>
          <w:rFonts w:cstheme="minorHAnsi"/>
          <w:noProof/>
          <w:sz w:val="24"/>
          <w:szCs w:val="24"/>
        </w:rPr>
        <w:lastRenderedPageBreak/>
        <w:drawing>
          <wp:inline distT="0" distB="0" distL="0" distR="0" wp14:anchorId="7CC5DD72" wp14:editId="4DCD69DB">
            <wp:extent cx="4019550" cy="2659438"/>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022902" cy="2661656"/>
                    </a:xfrm>
                    <a:prstGeom prst="rect">
                      <a:avLst/>
                    </a:prstGeom>
                    <a:noFill/>
                    <a:ln>
                      <a:noFill/>
                    </a:ln>
                  </pic:spPr>
                </pic:pic>
              </a:graphicData>
            </a:graphic>
          </wp:inline>
        </w:drawing>
      </w:r>
    </w:p>
    <w:p w:rsidR="00EB3BC8" w:rsidRPr="00165651" w:rsidRDefault="00EB3BC8" w:rsidP="00EB3BC8">
      <w:pPr>
        <w:spacing w:after="0" w:line="240" w:lineRule="auto"/>
        <w:ind w:left="360"/>
        <w:jc w:val="both"/>
        <w:rPr>
          <w:rFonts w:cstheme="minorHAnsi"/>
          <w:b/>
          <w:spacing w:val="-3"/>
          <w:sz w:val="24"/>
          <w:szCs w:val="24"/>
          <w:u w:val="single"/>
        </w:rPr>
      </w:pPr>
    </w:p>
    <w:p w:rsidR="00EB3BC8" w:rsidRPr="00165651" w:rsidRDefault="00EB3BC8" w:rsidP="00EB3BC8">
      <w:pPr>
        <w:spacing w:line="240" w:lineRule="auto"/>
        <w:jc w:val="both"/>
        <w:rPr>
          <w:rFonts w:cstheme="minorHAnsi"/>
          <w:szCs w:val="24"/>
        </w:rPr>
      </w:pPr>
      <w:r w:rsidRPr="00165651">
        <w:rPr>
          <w:rFonts w:cstheme="minorHAnsi"/>
          <w:szCs w:val="24"/>
        </w:rPr>
        <w:t>A partir del 26 de febrero de 2015 se procedió a solicitar mensualmente el avance en la ejecución de inversiones con el fin controlar y supervisar las obras incluidas en el Plan de Inversiones del contrato de concesión portuario No 002 del 15 de abril de 2011 entre la Agencia Nacional de Infraestructura y la Sociedad Portuaria de Puerto Bahía S.A.</w:t>
      </w:r>
    </w:p>
    <w:p w:rsidR="00EB3BC8" w:rsidRPr="00165651" w:rsidRDefault="00EB3BC8" w:rsidP="00EB3BC8">
      <w:pPr>
        <w:spacing w:line="240" w:lineRule="auto"/>
        <w:jc w:val="both"/>
        <w:rPr>
          <w:rFonts w:cstheme="minorHAnsi"/>
          <w:szCs w:val="24"/>
        </w:rPr>
      </w:pPr>
      <w:r w:rsidRPr="00165651">
        <w:rPr>
          <w:rFonts w:cstheme="minorHAnsi"/>
          <w:szCs w:val="24"/>
        </w:rPr>
        <w:t>De otra parte, mediante comunicados de radicación ANI No. 2013-303-002419-1 del 20 de febrero de 2013 y  2015-308-003973-1 del 25 de febrero de 2015, la Agencia Nacional de Infraestructura, se encuentra en proceso de estructuración de la interventoría externa, en cumplimiento de la Cláusula Décima del Contrato No 002 de 15 de abril de 2011 suscrito entre el Instituto Nacional de Concesiones hoy Agencia Nacional de Infraestructura y la Sociedad Portuaria Puerto Bahía S.A.</w:t>
      </w:r>
    </w:p>
    <w:p w:rsidR="00EB3BC8" w:rsidRPr="00165651" w:rsidRDefault="00EB3BC8" w:rsidP="00EB3BC8">
      <w:pPr>
        <w:spacing w:line="240" w:lineRule="auto"/>
        <w:jc w:val="both"/>
        <w:rPr>
          <w:rFonts w:cstheme="minorHAnsi"/>
          <w:szCs w:val="24"/>
        </w:rPr>
      </w:pPr>
      <w:r w:rsidRPr="00165651">
        <w:rPr>
          <w:rFonts w:cstheme="minorHAnsi"/>
          <w:szCs w:val="24"/>
        </w:rPr>
        <w:t xml:space="preserve">El día 25 de Marzo se realizó visita Técnica con la llegada a la </w:t>
      </w:r>
      <w:r w:rsidRPr="00165651">
        <w:rPr>
          <w:rFonts w:cstheme="minorHAnsi"/>
          <w:i/>
          <w:szCs w:val="24"/>
        </w:rPr>
        <w:t>Sociedad Portuaria de Puerto Bahía</w:t>
      </w:r>
      <w:r w:rsidRPr="00165651">
        <w:rPr>
          <w:rFonts w:cstheme="minorHAnsi"/>
          <w:szCs w:val="24"/>
        </w:rPr>
        <w:t>, vía marítima en el cual se realizó un reconocimiento complejo portuario multipropósito ubicado en un lote de 155 hectáreas en la Isla Barú en la Bahía de Cartagena. El complejo portuario aprovechará el robusto prospecto de la producción de petróleo crudo en Colombia y la necesidad de más y mejores instalaciones para su transporte y exportación.</w:t>
      </w:r>
    </w:p>
    <w:p w:rsidR="00EB3BC8" w:rsidRPr="00165651" w:rsidRDefault="00EB3BC8" w:rsidP="00EB3BC8">
      <w:pPr>
        <w:spacing w:line="240" w:lineRule="auto"/>
        <w:jc w:val="both"/>
        <w:rPr>
          <w:rFonts w:cstheme="minorHAnsi"/>
          <w:szCs w:val="24"/>
        </w:rPr>
      </w:pPr>
      <w:r w:rsidRPr="00165651">
        <w:rPr>
          <w:rFonts w:cstheme="minorHAnsi"/>
          <w:szCs w:val="24"/>
        </w:rPr>
        <w:t>Actualmente el terminal cuenta con un Terminal de líquidos:</w:t>
      </w:r>
    </w:p>
    <w:p w:rsidR="00EB3BC8" w:rsidRPr="00165651" w:rsidRDefault="00EB3BC8" w:rsidP="000021B2">
      <w:pPr>
        <w:numPr>
          <w:ilvl w:val="0"/>
          <w:numId w:val="43"/>
        </w:numPr>
        <w:spacing w:after="0" w:line="240" w:lineRule="auto"/>
        <w:contextualSpacing/>
        <w:jc w:val="both"/>
        <w:rPr>
          <w:rFonts w:cstheme="minorHAnsi"/>
          <w:szCs w:val="24"/>
        </w:rPr>
      </w:pPr>
      <w:r w:rsidRPr="00165651">
        <w:rPr>
          <w:rFonts w:cstheme="minorHAnsi"/>
          <w:szCs w:val="24"/>
        </w:rPr>
        <w:t>10 tanques de almacenamiento de 334 Kbbl para una capacidad total de 3.3 Mbbl</w:t>
      </w:r>
    </w:p>
    <w:p w:rsidR="00EB3BC8" w:rsidRPr="00165651" w:rsidRDefault="00EB3BC8" w:rsidP="000021B2">
      <w:pPr>
        <w:numPr>
          <w:ilvl w:val="0"/>
          <w:numId w:val="43"/>
        </w:numPr>
        <w:spacing w:after="0" w:line="240" w:lineRule="auto"/>
        <w:contextualSpacing/>
        <w:jc w:val="both"/>
        <w:rPr>
          <w:rFonts w:cstheme="minorHAnsi"/>
          <w:szCs w:val="24"/>
        </w:rPr>
      </w:pPr>
      <w:r w:rsidRPr="00165651">
        <w:rPr>
          <w:rFonts w:cstheme="minorHAnsi"/>
          <w:szCs w:val="24"/>
        </w:rPr>
        <w:t>2 posiciones de atraque para embarcaciones de hasta 80K DWT y 150K DWT</w:t>
      </w:r>
    </w:p>
    <w:p w:rsidR="00EB3BC8" w:rsidRPr="00165651" w:rsidRDefault="00EB3BC8" w:rsidP="000021B2">
      <w:pPr>
        <w:numPr>
          <w:ilvl w:val="0"/>
          <w:numId w:val="43"/>
        </w:numPr>
        <w:spacing w:after="0" w:line="240" w:lineRule="auto"/>
        <w:contextualSpacing/>
        <w:jc w:val="both"/>
        <w:rPr>
          <w:rFonts w:cstheme="minorHAnsi"/>
          <w:szCs w:val="24"/>
        </w:rPr>
      </w:pPr>
      <w:r w:rsidRPr="00165651">
        <w:rPr>
          <w:rFonts w:cstheme="minorHAnsi"/>
          <w:szCs w:val="24"/>
        </w:rPr>
        <w:t>Estaciones de cargue/descargue de carro tanques con una capacidad de hasta 30 Kbbl/d</w:t>
      </w:r>
    </w:p>
    <w:p w:rsidR="00EB3BC8" w:rsidRPr="00165651" w:rsidRDefault="00EB3BC8" w:rsidP="000021B2">
      <w:pPr>
        <w:numPr>
          <w:ilvl w:val="0"/>
          <w:numId w:val="43"/>
        </w:numPr>
        <w:spacing w:after="0" w:line="240" w:lineRule="auto"/>
        <w:contextualSpacing/>
        <w:jc w:val="both"/>
        <w:rPr>
          <w:rFonts w:cstheme="minorHAnsi"/>
          <w:szCs w:val="24"/>
        </w:rPr>
      </w:pPr>
      <w:r w:rsidRPr="00165651">
        <w:rPr>
          <w:rFonts w:cstheme="minorHAnsi"/>
          <w:szCs w:val="24"/>
        </w:rPr>
        <w:t>Una instalación para el manejo de barcazas con capacidad de hasta 45 Kbbl/d</w:t>
      </w:r>
    </w:p>
    <w:p w:rsidR="00EB3BC8" w:rsidRPr="00165651" w:rsidRDefault="00EB3BC8" w:rsidP="000021B2">
      <w:pPr>
        <w:numPr>
          <w:ilvl w:val="0"/>
          <w:numId w:val="43"/>
        </w:numPr>
        <w:spacing w:after="0" w:line="240" w:lineRule="auto"/>
        <w:contextualSpacing/>
        <w:jc w:val="both"/>
        <w:rPr>
          <w:rFonts w:cstheme="minorHAnsi"/>
          <w:szCs w:val="24"/>
        </w:rPr>
      </w:pPr>
      <w:r w:rsidRPr="00165651">
        <w:rPr>
          <w:rFonts w:cstheme="minorHAnsi"/>
          <w:szCs w:val="24"/>
        </w:rPr>
        <w:t>Un puente fijo que conecta el puerto con las principales autopistas del país</w:t>
      </w:r>
    </w:p>
    <w:p w:rsidR="00EB3BC8" w:rsidRPr="00165651" w:rsidRDefault="00EB3BC8" w:rsidP="00EB3BC8">
      <w:pPr>
        <w:spacing w:line="240" w:lineRule="auto"/>
        <w:jc w:val="both"/>
        <w:rPr>
          <w:rFonts w:cstheme="minorHAnsi"/>
          <w:szCs w:val="24"/>
        </w:rPr>
      </w:pPr>
    </w:p>
    <w:p w:rsidR="00EB3BC8" w:rsidRPr="00165651" w:rsidRDefault="00EB3BC8" w:rsidP="00EB3BC8">
      <w:pPr>
        <w:spacing w:line="240" w:lineRule="auto"/>
        <w:jc w:val="both"/>
        <w:rPr>
          <w:rFonts w:cstheme="minorHAnsi"/>
          <w:szCs w:val="24"/>
        </w:rPr>
      </w:pPr>
      <w:r w:rsidRPr="00165651">
        <w:rPr>
          <w:rFonts w:cstheme="minorHAnsi"/>
          <w:szCs w:val="24"/>
        </w:rPr>
        <w:t>Actualmente el terminal cuenta con un Terminal multipropósito:</w:t>
      </w:r>
    </w:p>
    <w:p w:rsidR="00EB3BC8" w:rsidRPr="00165651" w:rsidRDefault="00EB3BC8" w:rsidP="000021B2">
      <w:pPr>
        <w:numPr>
          <w:ilvl w:val="0"/>
          <w:numId w:val="44"/>
        </w:numPr>
        <w:spacing w:after="0" w:line="240" w:lineRule="auto"/>
        <w:contextualSpacing/>
        <w:jc w:val="both"/>
        <w:rPr>
          <w:rFonts w:cstheme="minorHAnsi"/>
          <w:szCs w:val="24"/>
        </w:rPr>
      </w:pPr>
      <w:r w:rsidRPr="00165651">
        <w:rPr>
          <w:rFonts w:cstheme="minorHAnsi"/>
          <w:szCs w:val="24"/>
        </w:rPr>
        <w:t>Plataforma de atraque de 297 metros con posibilidad de expansión hasta 600 metros.</w:t>
      </w:r>
    </w:p>
    <w:p w:rsidR="00EB3BC8" w:rsidRPr="00165651" w:rsidRDefault="00EB3BC8" w:rsidP="000021B2">
      <w:pPr>
        <w:numPr>
          <w:ilvl w:val="0"/>
          <w:numId w:val="44"/>
        </w:numPr>
        <w:spacing w:after="0" w:line="240" w:lineRule="auto"/>
        <w:contextualSpacing/>
        <w:jc w:val="both"/>
        <w:rPr>
          <w:rFonts w:cstheme="minorHAnsi"/>
          <w:szCs w:val="24"/>
        </w:rPr>
      </w:pPr>
      <w:r w:rsidRPr="00165651">
        <w:rPr>
          <w:rFonts w:cstheme="minorHAnsi"/>
          <w:szCs w:val="24"/>
        </w:rPr>
        <w:t>Instalaciones de propósito general en tierra con capacidad para el manejo de carga seca y general al granel, además de vehículos</w:t>
      </w:r>
    </w:p>
    <w:p w:rsidR="00EB3BC8" w:rsidRPr="00165651" w:rsidRDefault="00EB3BC8" w:rsidP="00EB3BC8">
      <w:pPr>
        <w:spacing w:line="240" w:lineRule="auto"/>
        <w:jc w:val="both"/>
        <w:rPr>
          <w:rFonts w:cstheme="minorHAnsi"/>
          <w:szCs w:val="24"/>
        </w:rPr>
      </w:pPr>
    </w:p>
    <w:p w:rsidR="00EB3BC8" w:rsidRPr="00165651" w:rsidRDefault="00EB3BC8" w:rsidP="00EB3BC8">
      <w:pPr>
        <w:spacing w:line="240" w:lineRule="auto"/>
        <w:jc w:val="both"/>
        <w:rPr>
          <w:rFonts w:cstheme="minorHAnsi"/>
          <w:szCs w:val="24"/>
        </w:rPr>
      </w:pPr>
      <w:r w:rsidRPr="00165651">
        <w:rPr>
          <w:rFonts w:cstheme="minorHAnsi"/>
          <w:szCs w:val="24"/>
        </w:rPr>
        <w:lastRenderedPageBreak/>
        <w:t xml:space="preserve">En el recorrido en las instalaciones se encontró un  avance del 97% en las obras   y  en reunión sostenida con los integrantes del grupo de trabajo de la Concesión Portuaria se manifestó  la Importancia y Prioridad de la constitución del Patrimonio autónomo por parte de la Sociedad Puerto Bahía, debido a que contractualmente se encuentra especificado en el contrato  la ejecución de una de interventoría de las obras incluidas en el Plan de Inversiones, lo cual implica la validación de toda la infraestructura a revertir al Estado. </w:t>
      </w:r>
    </w:p>
    <w:p w:rsidR="00EB3BC8" w:rsidRPr="00165651" w:rsidRDefault="00EB3BC8" w:rsidP="00EB3BC8">
      <w:pPr>
        <w:spacing w:line="240" w:lineRule="auto"/>
        <w:jc w:val="both"/>
        <w:rPr>
          <w:rFonts w:cstheme="minorHAnsi"/>
          <w:szCs w:val="24"/>
        </w:rPr>
      </w:pPr>
    </w:p>
    <w:p w:rsidR="00EB3BC8" w:rsidRPr="00165651" w:rsidRDefault="00EB3BC8" w:rsidP="00EB3BC8">
      <w:pPr>
        <w:spacing w:line="240" w:lineRule="auto"/>
        <w:jc w:val="center"/>
        <w:rPr>
          <w:rFonts w:cstheme="minorHAnsi"/>
          <w:sz w:val="24"/>
          <w:szCs w:val="24"/>
        </w:rPr>
      </w:pPr>
      <w:r w:rsidRPr="00165651">
        <w:rPr>
          <w:rFonts w:cstheme="minorHAnsi"/>
          <w:noProof/>
          <w:sz w:val="24"/>
          <w:szCs w:val="24"/>
        </w:rPr>
        <w:drawing>
          <wp:inline distT="0" distB="0" distL="0" distR="0" wp14:anchorId="5C62D1BF" wp14:editId="56156866">
            <wp:extent cx="4352290" cy="1257935"/>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352290" cy="1257935"/>
                    </a:xfrm>
                    <a:prstGeom prst="rect">
                      <a:avLst/>
                    </a:prstGeom>
                    <a:noFill/>
                    <a:ln>
                      <a:noFill/>
                    </a:ln>
                  </pic:spPr>
                </pic:pic>
              </a:graphicData>
            </a:graphic>
          </wp:inline>
        </w:drawing>
      </w:r>
    </w:p>
    <w:p w:rsidR="00EB3BC8" w:rsidRPr="00165651" w:rsidRDefault="00EB3BC8" w:rsidP="00EB3BC8">
      <w:pPr>
        <w:spacing w:line="240" w:lineRule="auto"/>
        <w:jc w:val="both"/>
        <w:rPr>
          <w:rFonts w:cstheme="minorHAnsi"/>
          <w:sz w:val="24"/>
          <w:szCs w:val="24"/>
        </w:rPr>
      </w:pPr>
    </w:p>
    <w:p w:rsidR="00EB3BC8" w:rsidRPr="00165651" w:rsidRDefault="00EB3BC8" w:rsidP="000021B2">
      <w:pPr>
        <w:numPr>
          <w:ilvl w:val="0"/>
          <w:numId w:val="45"/>
        </w:numPr>
        <w:spacing w:after="0" w:line="240" w:lineRule="auto"/>
        <w:jc w:val="both"/>
        <w:rPr>
          <w:rFonts w:cstheme="minorHAnsi"/>
          <w:szCs w:val="24"/>
        </w:rPr>
      </w:pPr>
      <w:r w:rsidRPr="00165651">
        <w:rPr>
          <w:rFonts w:cstheme="minorHAnsi"/>
          <w:szCs w:val="24"/>
        </w:rPr>
        <w:t>La ejecución Financiera es superior a la planificada, y la  ejecución física Puerto Bahía Se encuentra en 97%.</w:t>
      </w:r>
    </w:p>
    <w:p w:rsidR="00EB3BC8" w:rsidRPr="00165651" w:rsidRDefault="00EB3BC8" w:rsidP="000021B2">
      <w:pPr>
        <w:numPr>
          <w:ilvl w:val="0"/>
          <w:numId w:val="45"/>
        </w:numPr>
        <w:spacing w:after="0" w:line="240" w:lineRule="auto"/>
        <w:jc w:val="both"/>
        <w:rPr>
          <w:rFonts w:cstheme="minorHAnsi"/>
          <w:szCs w:val="24"/>
        </w:rPr>
      </w:pPr>
      <w:r w:rsidRPr="00165651">
        <w:rPr>
          <w:rFonts w:cstheme="minorHAnsi"/>
          <w:szCs w:val="24"/>
        </w:rPr>
        <w:t>Solamente faltan finalizar las obras en el Muelle Multipropósito.</w:t>
      </w:r>
    </w:p>
    <w:p w:rsidR="00EB3BC8" w:rsidRPr="00165651" w:rsidRDefault="00EB3BC8" w:rsidP="00EB3BC8">
      <w:pPr>
        <w:spacing w:after="0" w:line="240" w:lineRule="auto"/>
        <w:jc w:val="both"/>
        <w:rPr>
          <w:rFonts w:cstheme="minorHAnsi"/>
          <w:b/>
          <w:szCs w:val="24"/>
        </w:rPr>
      </w:pPr>
    </w:p>
    <w:p w:rsidR="00EB3BC8" w:rsidRPr="00165651" w:rsidRDefault="00EB3BC8" w:rsidP="00EB3BC8">
      <w:pPr>
        <w:spacing w:after="0" w:line="240" w:lineRule="auto"/>
        <w:jc w:val="both"/>
        <w:rPr>
          <w:rFonts w:cstheme="minorHAnsi"/>
          <w:b/>
          <w:szCs w:val="24"/>
        </w:rPr>
      </w:pPr>
    </w:p>
    <w:p w:rsidR="00EB3BC8" w:rsidRPr="00165651" w:rsidRDefault="00EB3BC8" w:rsidP="00EB3BC8">
      <w:pPr>
        <w:spacing w:after="0" w:line="240" w:lineRule="auto"/>
        <w:jc w:val="both"/>
        <w:rPr>
          <w:rFonts w:cstheme="minorHAnsi"/>
          <w:b/>
          <w:szCs w:val="24"/>
          <w:lang w:val="es-ES_tradnl"/>
        </w:rPr>
      </w:pPr>
      <w:r w:rsidRPr="00165651">
        <w:rPr>
          <w:rFonts w:cstheme="minorHAnsi"/>
          <w:b/>
          <w:szCs w:val="24"/>
          <w:lang w:val="es-ES_tradnl"/>
        </w:rPr>
        <w:t xml:space="preserve">TERMINAL PETROLERO DE COVEÑAS &amp; SOCIEDAD PORTUARIA OLEODUCTO CENTRAL </w:t>
      </w:r>
    </w:p>
    <w:p w:rsidR="00EB3BC8" w:rsidRPr="00165651" w:rsidRDefault="00EB3BC8" w:rsidP="00EB3BC8">
      <w:pPr>
        <w:spacing w:line="240" w:lineRule="auto"/>
        <w:ind w:left="360"/>
        <w:jc w:val="both"/>
        <w:rPr>
          <w:rFonts w:cstheme="minorHAnsi"/>
          <w:szCs w:val="24"/>
        </w:rPr>
      </w:pPr>
    </w:p>
    <w:p w:rsidR="00EB3BC8" w:rsidRPr="00165651" w:rsidRDefault="00EB3BC8" w:rsidP="00EB3BC8">
      <w:pPr>
        <w:spacing w:line="240" w:lineRule="auto"/>
        <w:jc w:val="both"/>
        <w:rPr>
          <w:rFonts w:cstheme="minorHAnsi"/>
          <w:szCs w:val="24"/>
        </w:rPr>
      </w:pPr>
      <w:r w:rsidRPr="00165651">
        <w:rPr>
          <w:rFonts w:cstheme="minorHAnsi"/>
          <w:szCs w:val="24"/>
        </w:rPr>
        <w:t xml:space="preserve">A partir del 26 de febrero de 2015 se procedió a revisar y solicitar la información del contrato de concesión portuario de </w:t>
      </w:r>
      <w:r w:rsidRPr="00165651">
        <w:rPr>
          <w:rFonts w:cstheme="minorHAnsi"/>
          <w:i/>
          <w:szCs w:val="24"/>
        </w:rPr>
        <w:t>Sociedad Portuaria Oleoducto Central S.A. - Ocensa Y Oleoducto Central Y Terminal Petrolero Coveñas Sociedad Cenit</w:t>
      </w:r>
      <w:r w:rsidRPr="00165651">
        <w:rPr>
          <w:rFonts w:cstheme="minorHAnsi"/>
          <w:szCs w:val="24"/>
        </w:rPr>
        <w:t xml:space="preserve"> con la Agencia Nacional de Infraestructura.</w:t>
      </w:r>
    </w:p>
    <w:p w:rsidR="00EB3BC8" w:rsidRPr="00165651" w:rsidRDefault="00EB3BC8" w:rsidP="00EB3BC8">
      <w:pPr>
        <w:spacing w:line="240" w:lineRule="auto"/>
        <w:jc w:val="both"/>
        <w:rPr>
          <w:rFonts w:cstheme="minorHAnsi"/>
          <w:sz w:val="24"/>
          <w:szCs w:val="24"/>
        </w:rPr>
      </w:pPr>
    </w:p>
    <w:p w:rsidR="00EB3BC8" w:rsidRPr="00165651" w:rsidRDefault="00EB3BC8" w:rsidP="00EB3BC8">
      <w:pPr>
        <w:spacing w:line="240" w:lineRule="auto"/>
        <w:jc w:val="center"/>
        <w:rPr>
          <w:rFonts w:cstheme="minorHAnsi"/>
          <w:sz w:val="24"/>
          <w:szCs w:val="24"/>
        </w:rPr>
      </w:pPr>
      <w:r w:rsidRPr="00165651">
        <w:rPr>
          <w:rFonts w:cstheme="minorHAnsi"/>
          <w:noProof/>
          <w:sz w:val="24"/>
          <w:szCs w:val="24"/>
        </w:rPr>
        <w:drawing>
          <wp:inline distT="0" distB="0" distL="0" distR="0" wp14:anchorId="0E52ECFF" wp14:editId="1E5AA13F">
            <wp:extent cx="4133215" cy="2026285"/>
            <wp:effectExtent l="19050" t="19050" r="19685" b="12065"/>
            <wp:docPr id="469" name="Imagen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133215" cy="2026285"/>
                    </a:xfrm>
                    <a:prstGeom prst="rect">
                      <a:avLst/>
                    </a:prstGeom>
                    <a:noFill/>
                    <a:ln w="6350" cmpd="sng">
                      <a:solidFill>
                        <a:srgbClr val="000000"/>
                      </a:solidFill>
                      <a:miter lim="800000"/>
                      <a:headEnd/>
                      <a:tailEnd/>
                    </a:ln>
                    <a:effectLst/>
                  </pic:spPr>
                </pic:pic>
              </a:graphicData>
            </a:graphic>
          </wp:inline>
        </w:drawing>
      </w:r>
    </w:p>
    <w:p w:rsidR="00EB3BC8" w:rsidRPr="00165651" w:rsidRDefault="00EB3BC8" w:rsidP="00EB3BC8">
      <w:pPr>
        <w:spacing w:line="240" w:lineRule="auto"/>
        <w:jc w:val="center"/>
        <w:rPr>
          <w:rFonts w:cstheme="minorHAnsi"/>
          <w:sz w:val="24"/>
          <w:szCs w:val="24"/>
        </w:rPr>
      </w:pPr>
    </w:p>
    <w:p w:rsidR="00EB3BC8" w:rsidRPr="00165651" w:rsidRDefault="00EB3BC8" w:rsidP="00EB3BC8">
      <w:pPr>
        <w:spacing w:line="240" w:lineRule="auto"/>
        <w:jc w:val="both"/>
        <w:rPr>
          <w:rFonts w:cstheme="minorHAnsi"/>
          <w:szCs w:val="24"/>
        </w:rPr>
      </w:pPr>
      <w:r w:rsidRPr="00165651">
        <w:rPr>
          <w:rFonts w:cstheme="minorHAnsi"/>
          <w:szCs w:val="24"/>
        </w:rPr>
        <w:t xml:space="preserve">El día 26 de Marzo se hizo la visita a la </w:t>
      </w:r>
      <w:r w:rsidRPr="00165651">
        <w:rPr>
          <w:rFonts w:cstheme="minorHAnsi"/>
          <w:b/>
          <w:i/>
          <w:szCs w:val="24"/>
        </w:rPr>
        <w:t>Sociedad Portuaria Oleoducto Central S.A. - Ocensa Y Oleoducto Central Y Terminal Petrolero Coveñas Sociedad Cenit</w:t>
      </w:r>
      <w:r w:rsidRPr="00165651">
        <w:rPr>
          <w:rFonts w:cstheme="minorHAnsi"/>
          <w:szCs w:val="24"/>
        </w:rPr>
        <w:t xml:space="preserve">,  en el cual  se realizó una reunión </w:t>
      </w:r>
      <w:r w:rsidRPr="00165651">
        <w:rPr>
          <w:rFonts w:cstheme="minorHAnsi"/>
          <w:szCs w:val="24"/>
        </w:rPr>
        <w:lastRenderedPageBreak/>
        <w:t xml:space="preserve">de emergencia con el fin de tratar el acontecimiento ocurrido El lunes festivo 23 de marzo de 2015, aproximadamente a las 12:30 a.m., en el  cual el líder de la Comunidad de La Caimanera Víctor Pardo, reporto la aparición de manchas (partículas) de petróleo (HC) en el sector norte de la Boca de La Caimanera (aprox. 100 m) hasta playas Belinda. </w:t>
      </w:r>
    </w:p>
    <w:p w:rsidR="00EB3BC8" w:rsidRPr="00165651" w:rsidRDefault="00EB3BC8" w:rsidP="00EB3BC8">
      <w:pPr>
        <w:spacing w:line="240" w:lineRule="auto"/>
        <w:jc w:val="both"/>
        <w:rPr>
          <w:rFonts w:cstheme="minorHAnsi"/>
          <w:b/>
          <w:szCs w:val="24"/>
        </w:rPr>
      </w:pPr>
      <w:r w:rsidRPr="00165651">
        <w:rPr>
          <w:rFonts w:cstheme="minorHAnsi"/>
          <w:b/>
          <w:szCs w:val="24"/>
        </w:rPr>
        <w:t>Estrategias de atención y respuesta</w:t>
      </w:r>
    </w:p>
    <w:p w:rsidR="00EB3BC8" w:rsidRPr="00165651" w:rsidRDefault="00EB3BC8" w:rsidP="00EB3BC8">
      <w:pPr>
        <w:widowControl w:val="0"/>
        <w:autoSpaceDE w:val="0"/>
        <w:autoSpaceDN w:val="0"/>
        <w:adjustRightInd w:val="0"/>
        <w:spacing w:line="240" w:lineRule="auto"/>
        <w:jc w:val="both"/>
        <w:rPr>
          <w:rFonts w:cstheme="minorHAnsi"/>
          <w:szCs w:val="24"/>
        </w:rPr>
      </w:pPr>
      <w:r w:rsidRPr="00165651">
        <w:rPr>
          <w:rFonts w:cstheme="minorHAnsi"/>
          <w:b/>
          <w:i/>
          <w:szCs w:val="24"/>
          <w:u w:val="single"/>
        </w:rPr>
        <w:t>Por aire:</w:t>
      </w:r>
      <w:r w:rsidRPr="00165651">
        <w:rPr>
          <w:rFonts w:cstheme="minorHAnsi"/>
          <w:szCs w:val="24"/>
        </w:rPr>
        <w:t xml:space="preserve"> Se hace un sobrevuelo en helicóptero para identificar la magnitud del evento, con resultados negativos, pues desde el aire no se evidencian anomalías relacionadas con presencia de hidrocarburos libres sobre la superficie del mar.</w:t>
      </w:r>
    </w:p>
    <w:p w:rsidR="00EB3BC8" w:rsidRPr="00165651" w:rsidRDefault="00EB3BC8" w:rsidP="00EB3BC8">
      <w:pPr>
        <w:widowControl w:val="0"/>
        <w:autoSpaceDE w:val="0"/>
        <w:autoSpaceDN w:val="0"/>
        <w:adjustRightInd w:val="0"/>
        <w:spacing w:line="240" w:lineRule="auto"/>
        <w:jc w:val="both"/>
        <w:rPr>
          <w:rFonts w:cstheme="minorHAnsi"/>
          <w:szCs w:val="24"/>
        </w:rPr>
      </w:pPr>
      <w:r w:rsidRPr="00165651">
        <w:rPr>
          <w:rFonts w:cstheme="minorHAnsi"/>
          <w:b/>
          <w:i/>
          <w:szCs w:val="24"/>
          <w:u w:val="single"/>
        </w:rPr>
        <w:t>Por tierra:</w:t>
      </w:r>
      <w:r w:rsidRPr="00165651">
        <w:rPr>
          <w:rFonts w:cstheme="minorHAnsi"/>
          <w:szCs w:val="24"/>
        </w:rPr>
        <w:t xml:space="preserve"> El Supervisor de Operaciones Marinas CNV, se desplaza hasta el lugar para verificar las condiciones referidas por la comunidad, identificando vestigios de HC dispersos sobre la línea de marea. No se identifica el origen de las partículas pero se toman acciones buscando la protección del medio ambiente en el marco de la responsabilidad social del operador.</w:t>
      </w:r>
    </w:p>
    <w:p w:rsidR="00EB3BC8" w:rsidRPr="00165651" w:rsidRDefault="00EB3BC8" w:rsidP="00EB3BC8">
      <w:pPr>
        <w:spacing w:line="240" w:lineRule="auto"/>
        <w:jc w:val="both"/>
        <w:rPr>
          <w:rFonts w:cstheme="minorHAnsi"/>
          <w:szCs w:val="24"/>
        </w:rPr>
      </w:pPr>
    </w:p>
    <w:p w:rsidR="00EB3BC8" w:rsidRPr="00165651" w:rsidRDefault="00EB3BC8" w:rsidP="00EB3BC8">
      <w:pPr>
        <w:widowControl w:val="0"/>
        <w:autoSpaceDE w:val="0"/>
        <w:autoSpaceDN w:val="0"/>
        <w:adjustRightInd w:val="0"/>
        <w:spacing w:line="240" w:lineRule="auto"/>
        <w:ind w:left="360"/>
        <w:jc w:val="both"/>
        <w:rPr>
          <w:rFonts w:cstheme="minorHAnsi"/>
          <w:b/>
          <w:szCs w:val="24"/>
        </w:rPr>
      </w:pPr>
      <w:r w:rsidRPr="00165651">
        <w:rPr>
          <w:rFonts w:cstheme="minorHAnsi"/>
          <w:b/>
          <w:szCs w:val="24"/>
        </w:rPr>
        <w:t>Atención</w:t>
      </w:r>
    </w:p>
    <w:p w:rsidR="00EB3BC8" w:rsidRPr="00165651" w:rsidRDefault="00EB3BC8" w:rsidP="000021B2">
      <w:pPr>
        <w:widowControl w:val="0"/>
        <w:numPr>
          <w:ilvl w:val="0"/>
          <w:numId w:val="40"/>
        </w:numPr>
        <w:autoSpaceDE w:val="0"/>
        <w:autoSpaceDN w:val="0"/>
        <w:adjustRightInd w:val="0"/>
        <w:spacing w:line="240" w:lineRule="auto"/>
        <w:jc w:val="both"/>
        <w:rPr>
          <w:rFonts w:cstheme="minorHAnsi"/>
          <w:szCs w:val="24"/>
        </w:rPr>
      </w:pPr>
      <w:r w:rsidRPr="00165651">
        <w:rPr>
          <w:rFonts w:cstheme="minorHAnsi"/>
          <w:szCs w:val="24"/>
        </w:rPr>
        <w:t>Se instalaron barreras de contención tipo Meko de 24” con apoyo de los pescadores entrenados de La Caimanera, para evitar el posible ingreso de partículas al cuerpo de la Ciénaga.</w:t>
      </w:r>
    </w:p>
    <w:p w:rsidR="00EB3BC8" w:rsidRPr="00165651" w:rsidRDefault="00EB3BC8" w:rsidP="000021B2">
      <w:pPr>
        <w:widowControl w:val="0"/>
        <w:numPr>
          <w:ilvl w:val="0"/>
          <w:numId w:val="40"/>
        </w:numPr>
        <w:autoSpaceDE w:val="0"/>
        <w:autoSpaceDN w:val="0"/>
        <w:adjustRightInd w:val="0"/>
        <w:spacing w:line="240" w:lineRule="auto"/>
        <w:jc w:val="both"/>
        <w:rPr>
          <w:rFonts w:cstheme="minorHAnsi"/>
          <w:szCs w:val="24"/>
        </w:rPr>
      </w:pPr>
      <w:r w:rsidRPr="00165651">
        <w:rPr>
          <w:rFonts w:cstheme="minorHAnsi"/>
          <w:szCs w:val="24"/>
        </w:rPr>
        <w:t>Se avanza con la recolección de las partículas que deposita la corriente en el sector referido.</w:t>
      </w:r>
    </w:p>
    <w:p w:rsidR="00EB3BC8" w:rsidRPr="00165651" w:rsidRDefault="00EB3BC8" w:rsidP="000021B2">
      <w:pPr>
        <w:widowControl w:val="0"/>
        <w:numPr>
          <w:ilvl w:val="0"/>
          <w:numId w:val="40"/>
        </w:numPr>
        <w:autoSpaceDE w:val="0"/>
        <w:autoSpaceDN w:val="0"/>
        <w:adjustRightInd w:val="0"/>
        <w:spacing w:line="240" w:lineRule="auto"/>
        <w:jc w:val="both"/>
        <w:rPr>
          <w:rFonts w:cstheme="minorHAnsi"/>
          <w:szCs w:val="24"/>
        </w:rPr>
      </w:pPr>
      <w:r w:rsidRPr="00165651">
        <w:rPr>
          <w:rFonts w:cstheme="minorHAnsi"/>
          <w:szCs w:val="24"/>
        </w:rPr>
        <w:t>Se inspeccionan sectores aledaños para determinar los límites del evento.</w:t>
      </w:r>
    </w:p>
    <w:p w:rsidR="00EB3BC8" w:rsidRPr="00165651" w:rsidRDefault="00EB3BC8" w:rsidP="00EB3BC8">
      <w:pPr>
        <w:widowControl w:val="0"/>
        <w:autoSpaceDE w:val="0"/>
        <w:autoSpaceDN w:val="0"/>
        <w:adjustRightInd w:val="0"/>
        <w:spacing w:after="0" w:line="240" w:lineRule="auto"/>
        <w:jc w:val="both"/>
        <w:rPr>
          <w:rFonts w:cstheme="minorHAnsi"/>
          <w:szCs w:val="24"/>
        </w:rPr>
      </w:pPr>
    </w:p>
    <w:p w:rsidR="00EB3BC8" w:rsidRPr="00165651" w:rsidRDefault="00EB3BC8" w:rsidP="00EB3BC8">
      <w:pPr>
        <w:widowControl w:val="0"/>
        <w:autoSpaceDE w:val="0"/>
        <w:autoSpaceDN w:val="0"/>
        <w:adjustRightInd w:val="0"/>
        <w:spacing w:line="240" w:lineRule="auto"/>
        <w:ind w:left="360"/>
        <w:jc w:val="both"/>
        <w:rPr>
          <w:rFonts w:cstheme="minorHAnsi"/>
          <w:szCs w:val="24"/>
        </w:rPr>
      </w:pPr>
      <w:r w:rsidRPr="00165651">
        <w:rPr>
          <w:rFonts w:cstheme="minorHAnsi"/>
          <w:szCs w:val="24"/>
        </w:rPr>
        <w:t xml:space="preserve">A continuación encuentran los compromisos asumidos en la reunión con la </w:t>
      </w:r>
      <w:r w:rsidRPr="00165651">
        <w:rPr>
          <w:rFonts w:cstheme="minorHAnsi"/>
          <w:b/>
          <w:i/>
          <w:szCs w:val="24"/>
        </w:rPr>
        <w:t>Sociedad Portuaria Oleoducto Central S.A. - Ocensa Y Oleoducto Central Y Terminal Petrolero Coveñas Sociedad Cenit</w:t>
      </w:r>
      <w:r w:rsidRPr="00165651">
        <w:rPr>
          <w:rFonts w:cstheme="minorHAnsi"/>
          <w:szCs w:val="24"/>
        </w:rPr>
        <w:t xml:space="preserve"> el día 26 de Marzo de 2015:</w:t>
      </w:r>
    </w:p>
    <w:p w:rsidR="00EB3BC8" w:rsidRPr="00165651" w:rsidRDefault="00EB3BC8" w:rsidP="000021B2">
      <w:pPr>
        <w:widowControl w:val="0"/>
        <w:numPr>
          <w:ilvl w:val="0"/>
          <w:numId w:val="41"/>
        </w:numPr>
        <w:autoSpaceDE w:val="0"/>
        <w:autoSpaceDN w:val="0"/>
        <w:adjustRightInd w:val="0"/>
        <w:spacing w:after="0" w:line="240" w:lineRule="auto"/>
        <w:jc w:val="both"/>
        <w:rPr>
          <w:rFonts w:cstheme="minorHAnsi"/>
          <w:szCs w:val="24"/>
        </w:rPr>
      </w:pPr>
      <w:r w:rsidRPr="00165651">
        <w:rPr>
          <w:rFonts w:cstheme="minorHAnsi"/>
          <w:szCs w:val="24"/>
        </w:rPr>
        <w:t>Enviar a la ANI el recuento de las acciones desplegadas por las Compañías frente al evento ocurrido en la boca Ciénaga la Caimanera y la Marta en el fin de semana del 21-23 de marzo.</w:t>
      </w:r>
    </w:p>
    <w:p w:rsidR="00EB3BC8" w:rsidRPr="00165651" w:rsidRDefault="00EB3BC8" w:rsidP="000021B2">
      <w:pPr>
        <w:widowControl w:val="0"/>
        <w:numPr>
          <w:ilvl w:val="0"/>
          <w:numId w:val="41"/>
        </w:numPr>
        <w:autoSpaceDE w:val="0"/>
        <w:autoSpaceDN w:val="0"/>
        <w:adjustRightInd w:val="0"/>
        <w:spacing w:after="0" w:line="240" w:lineRule="auto"/>
        <w:jc w:val="both"/>
        <w:rPr>
          <w:rFonts w:cstheme="minorHAnsi"/>
          <w:szCs w:val="24"/>
        </w:rPr>
      </w:pPr>
      <w:r w:rsidRPr="00165651">
        <w:rPr>
          <w:rFonts w:cstheme="minorHAnsi"/>
          <w:szCs w:val="24"/>
        </w:rPr>
        <w:t>Enviar a la ANI el plan de acción de cierre de brechas de operación unificada de Coveñas.</w:t>
      </w:r>
    </w:p>
    <w:p w:rsidR="00EB3BC8" w:rsidRPr="00165651" w:rsidRDefault="00EB3BC8" w:rsidP="000021B2">
      <w:pPr>
        <w:widowControl w:val="0"/>
        <w:numPr>
          <w:ilvl w:val="0"/>
          <w:numId w:val="41"/>
        </w:numPr>
        <w:autoSpaceDE w:val="0"/>
        <w:autoSpaceDN w:val="0"/>
        <w:adjustRightInd w:val="0"/>
        <w:spacing w:after="0" w:line="240" w:lineRule="auto"/>
        <w:jc w:val="both"/>
        <w:rPr>
          <w:rFonts w:cstheme="minorHAnsi"/>
          <w:szCs w:val="24"/>
        </w:rPr>
      </w:pPr>
      <w:r w:rsidRPr="00165651">
        <w:rPr>
          <w:rFonts w:cstheme="minorHAnsi"/>
          <w:szCs w:val="24"/>
        </w:rPr>
        <w:t>Determinar el esquema de comunicaciones con la ANI e informar los contactos a la ANI.</w:t>
      </w:r>
    </w:p>
    <w:p w:rsidR="00EB3BC8" w:rsidRPr="00165651" w:rsidRDefault="00EB3BC8" w:rsidP="000021B2">
      <w:pPr>
        <w:widowControl w:val="0"/>
        <w:numPr>
          <w:ilvl w:val="0"/>
          <w:numId w:val="41"/>
        </w:numPr>
        <w:autoSpaceDE w:val="0"/>
        <w:autoSpaceDN w:val="0"/>
        <w:adjustRightInd w:val="0"/>
        <w:spacing w:after="0" w:line="240" w:lineRule="auto"/>
        <w:jc w:val="both"/>
        <w:rPr>
          <w:rFonts w:cstheme="minorHAnsi"/>
          <w:szCs w:val="24"/>
        </w:rPr>
      </w:pPr>
      <w:r w:rsidRPr="00165651">
        <w:rPr>
          <w:rFonts w:cstheme="minorHAnsi"/>
          <w:szCs w:val="24"/>
        </w:rPr>
        <w:t>Enviar el plan de mantenimiento y estado de los equipos off-shore de cada uno de los Terminales.</w:t>
      </w:r>
    </w:p>
    <w:p w:rsidR="00EB3BC8" w:rsidRPr="00165651" w:rsidRDefault="00EB3BC8" w:rsidP="000021B2">
      <w:pPr>
        <w:widowControl w:val="0"/>
        <w:numPr>
          <w:ilvl w:val="0"/>
          <w:numId w:val="41"/>
        </w:numPr>
        <w:autoSpaceDE w:val="0"/>
        <w:autoSpaceDN w:val="0"/>
        <w:adjustRightInd w:val="0"/>
        <w:spacing w:after="0" w:line="240" w:lineRule="auto"/>
        <w:jc w:val="both"/>
        <w:rPr>
          <w:rFonts w:cstheme="minorHAnsi"/>
          <w:szCs w:val="24"/>
        </w:rPr>
      </w:pPr>
    </w:p>
    <w:p w:rsidR="00EB3BC8" w:rsidRPr="00165651" w:rsidRDefault="00EB3BC8" w:rsidP="00EB3BC8">
      <w:pPr>
        <w:spacing w:after="0" w:line="240" w:lineRule="auto"/>
        <w:jc w:val="center"/>
        <w:rPr>
          <w:rFonts w:cstheme="minorHAnsi"/>
          <w:sz w:val="24"/>
          <w:szCs w:val="24"/>
        </w:rPr>
      </w:pPr>
      <w:r w:rsidRPr="00165651">
        <w:rPr>
          <w:rFonts w:cstheme="minorHAnsi"/>
          <w:noProof/>
          <w:sz w:val="24"/>
          <w:szCs w:val="24"/>
        </w:rPr>
        <w:drawing>
          <wp:inline distT="0" distB="0" distL="0" distR="0" wp14:anchorId="15E8A09E" wp14:editId="18667FC1">
            <wp:extent cx="3903652" cy="1628775"/>
            <wp:effectExtent l="19050" t="19050" r="20955" b="9525"/>
            <wp:docPr id="470" name="Imagen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941786" cy="1644686"/>
                    </a:xfrm>
                    <a:prstGeom prst="rect">
                      <a:avLst/>
                    </a:prstGeom>
                    <a:noFill/>
                    <a:ln w="6350" cmpd="sng">
                      <a:solidFill>
                        <a:srgbClr val="000000"/>
                      </a:solidFill>
                      <a:miter lim="800000"/>
                      <a:headEnd/>
                      <a:tailEnd/>
                    </a:ln>
                    <a:effectLst/>
                  </pic:spPr>
                </pic:pic>
              </a:graphicData>
            </a:graphic>
          </wp:inline>
        </w:drawing>
      </w:r>
    </w:p>
    <w:p w:rsidR="00EB3BC8" w:rsidRPr="00165651" w:rsidRDefault="00EB3BC8" w:rsidP="00EB3BC8">
      <w:pPr>
        <w:widowControl w:val="0"/>
        <w:autoSpaceDE w:val="0"/>
        <w:autoSpaceDN w:val="0"/>
        <w:adjustRightInd w:val="0"/>
        <w:spacing w:after="0" w:line="240" w:lineRule="auto"/>
        <w:ind w:left="720"/>
        <w:jc w:val="center"/>
        <w:rPr>
          <w:rFonts w:cstheme="minorHAnsi"/>
          <w:sz w:val="18"/>
          <w:szCs w:val="18"/>
        </w:rPr>
      </w:pPr>
      <w:r w:rsidRPr="00165651">
        <w:rPr>
          <w:rFonts w:cstheme="minorHAnsi"/>
          <w:sz w:val="18"/>
          <w:szCs w:val="18"/>
        </w:rPr>
        <w:t>Inspección de Barcos Remolcadores y TLU2.</w:t>
      </w:r>
    </w:p>
    <w:p w:rsidR="00EB3BC8" w:rsidRPr="00165651" w:rsidRDefault="00EB3BC8" w:rsidP="00EB3BC8">
      <w:pPr>
        <w:spacing w:line="240" w:lineRule="auto"/>
        <w:jc w:val="center"/>
        <w:rPr>
          <w:rFonts w:cstheme="minorHAnsi"/>
          <w:sz w:val="18"/>
          <w:szCs w:val="18"/>
        </w:rPr>
      </w:pPr>
    </w:p>
    <w:p w:rsidR="00EB3BC8" w:rsidRPr="00165651" w:rsidRDefault="00EB3BC8" w:rsidP="00EB3BC8">
      <w:pPr>
        <w:spacing w:after="0" w:line="240" w:lineRule="auto"/>
        <w:jc w:val="center"/>
        <w:rPr>
          <w:rFonts w:cstheme="minorHAnsi"/>
          <w:b/>
          <w:sz w:val="24"/>
          <w:szCs w:val="24"/>
        </w:rPr>
      </w:pPr>
      <w:r w:rsidRPr="00165651">
        <w:rPr>
          <w:rFonts w:cstheme="minorHAnsi"/>
          <w:b/>
          <w:noProof/>
          <w:sz w:val="24"/>
          <w:szCs w:val="24"/>
        </w:rPr>
        <w:drawing>
          <wp:inline distT="0" distB="0" distL="0" distR="0" wp14:anchorId="2F3FC4FD" wp14:editId="3C74E864">
            <wp:extent cx="1806575" cy="1960245"/>
            <wp:effectExtent l="19050" t="19050" r="22225" b="20955"/>
            <wp:docPr id="471" name="Imagen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8" cstate="print">
                      <a:extLst>
                        <a:ext uri="{28A0092B-C50C-407E-A947-70E740481C1C}">
                          <a14:useLocalDpi xmlns:a14="http://schemas.microsoft.com/office/drawing/2010/main" val="0"/>
                        </a:ext>
                      </a:extLst>
                    </a:blip>
                    <a:srcRect t="-713"/>
                    <a:stretch>
                      <a:fillRect/>
                    </a:stretch>
                  </pic:blipFill>
                  <pic:spPr bwMode="auto">
                    <a:xfrm>
                      <a:off x="0" y="0"/>
                      <a:ext cx="1806575" cy="1960245"/>
                    </a:xfrm>
                    <a:prstGeom prst="rect">
                      <a:avLst/>
                    </a:prstGeom>
                    <a:noFill/>
                    <a:ln w="6350" cmpd="sng">
                      <a:solidFill>
                        <a:srgbClr val="000000"/>
                      </a:solidFill>
                      <a:miter lim="800000"/>
                      <a:headEnd/>
                      <a:tailEnd/>
                    </a:ln>
                    <a:effectLst/>
                  </pic:spPr>
                </pic:pic>
              </a:graphicData>
            </a:graphic>
          </wp:inline>
        </w:drawing>
      </w:r>
      <w:r w:rsidRPr="00165651">
        <w:rPr>
          <w:rFonts w:cstheme="minorHAnsi"/>
          <w:b/>
          <w:noProof/>
          <w:sz w:val="24"/>
          <w:szCs w:val="24"/>
        </w:rPr>
        <w:t xml:space="preserve">    </w:t>
      </w:r>
      <w:r w:rsidRPr="00165651">
        <w:rPr>
          <w:rFonts w:cstheme="minorHAnsi"/>
          <w:b/>
          <w:noProof/>
          <w:sz w:val="24"/>
          <w:szCs w:val="24"/>
        </w:rPr>
        <w:drawing>
          <wp:inline distT="0" distB="0" distL="0" distR="0" wp14:anchorId="6C040CEE" wp14:editId="72710709">
            <wp:extent cx="1997075" cy="1967865"/>
            <wp:effectExtent l="19050" t="19050" r="22225" b="13335"/>
            <wp:docPr id="472" name="Imagen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97075" cy="1967865"/>
                    </a:xfrm>
                    <a:prstGeom prst="rect">
                      <a:avLst/>
                    </a:prstGeom>
                    <a:noFill/>
                    <a:ln w="6350" cmpd="sng">
                      <a:solidFill>
                        <a:srgbClr val="000000"/>
                      </a:solidFill>
                      <a:miter lim="800000"/>
                      <a:headEnd/>
                      <a:tailEnd/>
                    </a:ln>
                    <a:effectLst/>
                  </pic:spPr>
                </pic:pic>
              </a:graphicData>
            </a:graphic>
          </wp:inline>
        </w:drawing>
      </w:r>
    </w:p>
    <w:p w:rsidR="00EB3BC8" w:rsidRPr="00165651" w:rsidRDefault="00EB3BC8" w:rsidP="00EB3BC8">
      <w:pPr>
        <w:spacing w:after="0" w:line="240" w:lineRule="auto"/>
        <w:ind w:left="720"/>
        <w:jc w:val="center"/>
        <w:rPr>
          <w:rFonts w:cstheme="minorHAnsi"/>
          <w:sz w:val="18"/>
          <w:szCs w:val="18"/>
        </w:rPr>
      </w:pPr>
      <w:r w:rsidRPr="00165651">
        <w:rPr>
          <w:rFonts w:cstheme="minorHAnsi"/>
          <w:sz w:val="18"/>
          <w:szCs w:val="18"/>
        </w:rPr>
        <w:t>Inspección de procedimiento de cargue de crudo al buque</w:t>
      </w:r>
    </w:p>
    <w:p w:rsidR="00EB3BC8" w:rsidRPr="00165651" w:rsidRDefault="00EB3BC8" w:rsidP="00EB3BC8">
      <w:pPr>
        <w:spacing w:after="0" w:line="240" w:lineRule="auto"/>
        <w:jc w:val="both"/>
        <w:rPr>
          <w:rFonts w:cstheme="minorHAnsi"/>
          <w:b/>
          <w:sz w:val="24"/>
          <w:szCs w:val="24"/>
          <w:u w:val="single"/>
          <w:lang w:val="es-ES_tradnl"/>
        </w:rPr>
      </w:pPr>
    </w:p>
    <w:p w:rsidR="00EB3BC8" w:rsidRPr="00165651" w:rsidRDefault="00EB3BC8" w:rsidP="00EB3BC8">
      <w:pPr>
        <w:spacing w:after="0" w:line="240" w:lineRule="auto"/>
        <w:jc w:val="both"/>
        <w:rPr>
          <w:rFonts w:cstheme="minorHAnsi"/>
          <w:b/>
          <w:szCs w:val="24"/>
          <w:u w:val="single"/>
          <w:lang w:val="es-ES_tradnl"/>
        </w:rPr>
      </w:pPr>
    </w:p>
    <w:p w:rsidR="00EB3BC8" w:rsidRPr="00B546A5" w:rsidRDefault="00EB3BC8" w:rsidP="00EB3BC8">
      <w:pPr>
        <w:spacing w:after="0" w:line="240" w:lineRule="auto"/>
        <w:jc w:val="both"/>
        <w:rPr>
          <w:rFonts w:cstheme="minorHAnsi"/>
          <w:b/>
          <w:szCs w:val="24"/>
          <w:lang w:val="es-ES_tradnl"/>
        </w:rPr>
      </w:pPr>
      <w:r w:rsidRPr="00B546A5">
        <w:rPr>
          <w:rFonts w:cstheme="minorHAnsi"/>
          <w:b/>
          <w:szCs w:val="24"/>
          <w:lang w:val="es-ES_tradnl"/>
        </w:rPr>
        <w:t>SOCIEDAD ZONA FRANCA ARGOS S.A</w:t>
      </w:r>
    </w:p>
    <w:p w:rsidR="00EB3BC8" w:rsidRPr="00165651" w:rsidRDefault="00EB3BC8" w:rsidP="00EB3BC8">
      <w:pPr>
        <w:spacing w:line="240" w:lineRule="auto"/>
        <w:jc w:val="both"/>
        <w:rPr>
          <w:rFonts w:cstheme="minorHAnsi"/>
          <w:sz w:val="24"/>
          <w:szCs w:val="24"/>
        </w:rPr>
      </w:pPr>
    </w:p>
    <w:p w:rsidR="00EB3BC8" w:rsidRPr="00165651" w:rsidRDefault="00EB3BC8" w:rsidP="00EB3BC8">
      <w:pPr>
        <w:spacing w:after="0" w:line="240" w:lineRule="auto"/>
        <w:jc w:val="center"/>
        <w:rPr>
          <w:rFonts w:cstheme="minorHAnsi"/>
          <w:sz w:val="24"/>
          <w:szCs w:val="24"/>
        </w:rPr>
      </w:pPr>
      <w:r w:rsidRPr="00165651">
        <w:rPr>
          <w:rFonts w:cstheme="minorHAnsi"/>
          <w:noProof/>
          <w:sz w:val="24"/>
          <w:szCs w:val="24"/>
        </w:rPr>
        <w:drawing>
          <wp:inline distT="0" distB="0" distL="0" distR="0" wp14:anchorId="7527D8C8" wp14:editId="14B45BE2">
            <wp:extent cx="2211572" cy="1574977"/>
            <wp:effectExtent l="19050" t="19050" r="17780" b="25400"/>
            <wp:docPr id="473" name="Imagen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30958" cy="1588783"/>
                    </a:xfrm>
                    <a:prstGeom prst="rect">
                      <a:avLst/>
                    </a:prstGeom>
                    <a:noFill/>
                    <a:ln w="6350" cmpd="sng">
                      <a:solidFill>
                        <a:srgbClr val="000000"/>
                      </a:solidFill>
                      <a:miter lim="800000"/>
                      <a:headEnd/>
                      <a:tailEnd/>
                    </a:ln>
                    <a:effectLst/>
                  </pic:spPr>
                </pic:pic>
              </a:graphicData>
            </a:graphic>
          </wp:inline>
        </w:drawing>
      </w:r>
      <w:r w:rsidRPr="00165651">
        <w:rPr>
          <w:rFonts w:cstheme="minorHAnsi"/>
          <w:noProof/>
          <w:sz w:val="24"/>
          <w:szCs w:val="24"/>
        </w:rPr>
        <w:t xml:space="preserve">    </w:t>
      </w:r>
      <w:r w:rsidRPr="00165651">
        <w:rPr>
          <w:rFonts w:cstheme="minorHAnsi"/>
          <w:noProof/>
          <w:sz w:val="24"/>
          <w:szCs w:val="24"/>
        </w:rPr>
        <w:drawing>
          <wp:inline distT="0" distB="0" distL="0" distR="0" wp14:anchorId="66359DE1" wp14:editId="31F6A418">
            <wp:extent cx="2934586" cy="1578504"/>
            <wp:effectExtent l="19050" t="19050" r="18415" b="22225"/>
            <wp:docPr id="474" name="Imagen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943641" cy="1583375"/>
                    </a:xfrm>
                    <a:prstGeom prst="rect">
                      <a:avLst/>
                    </a:prstGeom>
                    <a:noFill/>
                    <a:ln w="6350" cmpd="sng">
                      <a:solidFill>
                        <a:srgbClr val="000000"/>
                      </a:solidFill>
                      <a:miter lim="800000"/>
                      <a:headEnd/>
                      <a:tailEnd/>
                    </a:ln>
                    <a:effectLst/>
                  </pic:spPr>
                </pic:pic>
              </a:graphicData>
            </a:graphic>
          </wp:inline>
        </w:drawing>
      </w:r>
    </w:p>
    <w:p w:rsidR="00EB3BC8" w:rsidRPr="00165651" w:rsidRDefault="00EB3BC8" w:rsidP="00EB3BC8">
      <w:pPr>
        <w:spacing w:after="0" w:line="240" w:lineRule="auto"/>
        <w:ind w:left="720"/>
        <w:jc w:val="center"/>
        <w:rPr>
          <w:rFonts w:cstheme="minorHAnsi"/>
          <w:sz w:val="18"/>
          <w:szCs w:val="18"/>
        </w:rPr>
      </w:pPr>
      <w:r w:rsidRPr="00165651">
        <w:rPr>
          <w:rFonts w:cstheme="minorHAnsi"/>
          <w:sz w:val="18"/>
          <w:szCs w:val="18"/>
        </w:rPr>
        <w:t>Vista Ampliación Puerto.</w:t>
      </w:r>
    </w:p>
    <w:p w:rsidR="00EB3BC8" w:rsidRPr="00165651" w:rsidRDefault="00EB3BC8" w:rsidP="00EB3BC8">
      <w:pPr>
        <w:spacing w:line="240" w:lineRule="auto"/>
        <w:jc w:val="center"/>
        <w:rPr>
          <w:rFonts w:cstheme="minorHAnsi"/>
          <w:sz w:val="18"/>
          <w:szCs w:val="18"/>
        </w:rPr>
      </w:pPr>
    </w:p>
    <w:p w:rsidR="00EB3BC8" w:rsidRPr="00165651" w:rsidRDefault="00EB3BC8" w:rsidP="000021B2">
      <w:pPr>
        <w:numPr>
          <w:ilvl w:val="0"/>
          <w:numId w:val="42"/>
        </w:numPr>
        <w:spacing w:after="0" w:line="240" w:lineRule="auto"/>
        <w:jc w:val="both"/>
        <w:rPr>
          <w:rFonts w:cstheme="minorHAnsi"/>
          <w:szCs w:val="24"/>
        </w:rPr>
      </w:pPr>
      <w:r w:rsidRPr="00165651">
        <w:rPr>
          <w:rFonts w:cstheme="minorHAnsi"/>
          <w:szCs w:val="24"/>
        </w:rPr>
        <w:t>El día 03 de marzo de 2015 se remitió al concesionario el otrosí No. 1 del 27 de febrero de 2015 entre la agencia nacional de infraestructura y ARGOS</w:t>
      </w:r>
    </w:p>
    <w:p w:rsidR="00EB3BC8" w:rsidRPr="00165651" w:rsidRDefault="00EB3BC8" w:rsidP="00EB3BC8">
      <w:pPr>
        <w:spacing w:after="0" w:line="240" w:lineRule="auto"/>
        <w:ind w:left="720"/>
        <w:jc w:val="both"/>
        <w:rPr>
          <w:rFonts w:cstheme="minorHAnsi"/>
          <w:spacing w:val="-3"/>
          <w:szCs w:val="24"/>
        </w:rPr>
      </w:pPr>
    </w:p>
    <w:p w:rsidR="00EB3BC8" w:rsidRPr="00165651" w:rsidRDefault="00EB3BC8" w:rsidP="000021B2">
      <w:pPr>
        <w:numPr>
          <w:ilvl w:val="0"/>
          <w:numId w:val="42"/>
        </w:numPr>
        <w:spacing w:after="0" w:line="240" w:lineRule="auto"/>
        <w:jc w:val="both"/>
        <w:rPr>
          <w:rFonts w:cstheme="minorHAnsi"/>
          <w:spacing w:val="-3"/>
          <w:szCs w:val="24"/>
        </w:rPr>
      </w:pPr>
      <w:r w:rsidRPr="00165651">
        <w:rPr>
          <w:rFonts w:cstheme="minorHAnsi"/>
          <w:szCs w:val="24"/>
        </w:rPr>
        <w:t>El día 27 de marzo de 2015 se solicitó la Constitución patrimonio autónomo ARGOS de acuerdo a</w:t>
      </w:r>
      <w:r w:rsidRPr="00165651">
        <w:rPr>
          <w:rFonts w:cstheme="minorHAnsi"/>
          <w:spacing w:val="-3"/>
          <w:szCs w:val="24"/>
        </w:rPr>
        <w:t>l Otro si No 001 del 27 de febrero de 2015 para posterior contratación de la interventoría que realizará control al plan de inversiones</w:t>
      </w:r>
    </w:p>
    <w:p w:rsidR="00EB3BC8" w:rsidRPr="00165651" w:rsidRDefault="00EB3BC8" w:rsidP="00EB3BC8">
      <w:pPr>
        <w:shd w:val="clear" w:color="auto" w:fill="FFFFFF"/>
        <w:spacing w:after="0" w:line="240" w:lineRule="auto"/>
        <w:jc w:val="both"/>
        <w:rPr>
          <w:rFonts w:eastAsia="Times New Roman" w:cstheme="minorHAnsi"/>
          <w:b/>
          <w:color w:val="1F4E79"/>
          <w:sz w:val="20"/>
          <w:shd w:val="clear" w:color="auto" w:fill="FFFFFF"/>
        </w:rPr>
      </w:pPr>
    </w:p>
    <w:p w:rsidR="00EB3BC8" w:rsidRPr="00165651" w:rsidRDefault="00EB3BC8" w:rsidP="00EB3BC8">
      <w:pPr>
        <w:shd w:val="clear" w:color="auto" w:fill="FFFFFF"/>
        <w:spacing w:after="0" w:line="240" w:lineRule="auto"/>
        <w:jc w:val="both"/>
        <w:rPr>
          <w:rFonts w:eastAsia="Times New Roman" w:cstheme="minorHAnsi"/>
          <w:b/>
          <w:color w:val="000000"/>
          <w:shd w:val="clear" w:color="auto" w:fill="FFFFFF"/>
        </w:rPr>
      </w:pPr>
    </w:p>
    <w:p w:rsidR="00EB3BC8" w:rsidRPr="00165651" w:rsidRDefault="00EB3BC8" w:rsidP="00EB3BC8">
      <w:pPr>
        <w:shd w:val="clear" w:color="auto" w:fill="FFFFFF"/>
        <w:spacing w:after="0" w:line="240" w:lineRule="auto"/>
        <w:jc w:val="both"/>
        <w:rPr>
          <w:rFonts w:eastAsia="Times New Roman" w:cstheme="minorHAnsi"/>
          <w:color w:val="000000"/>
          <w:sz w:val="28"/>
          <w:szCs w:val="28"/>
          <w:shd w:val="clear" w:color="auto" w:fill="FFFFFF"/>
        </w:rPr>
      </w:pPr>
    </w:p>
    <w:p w:rsidR="00EB3BC8" w:rsidRPr="00165651" w:rsidRDefault="00EB3BC8" w:rsidP="00EB3BC8">
      <w:pPr>
        <w:shd w:val="clear" w:color="auto" w:fill="FFFFFF"/>
        <w:spacing w:after="0" w:line="240" w:lineRule="auto"/>
        <w:jc w:val="both"/>
        <w:rPr>
          <w:rFonts w:cstheme="minorHAnsi"/>
          <w:b/>
          <w:sz w:val="28"/>
          <w:szCs w:val="28"/>
        </w:rPr>
      </w:pPr>
      <w:r w:rsidRPr="00165651">
        <w:rPr>
          <w:rFonts w:cstheme="minorHAnsi"/>
          <w:b/>
          <w:sz w:val="28"/>
          <w:szCs w:val="28"/>
        </w:rPr>
        <w:t>2. FÉRREO</w:t>
      </w:r>
    </w:p>
    <w:p w:rsidR="00EB3BC8" w:rsidRPr="00165651" w:rsidRDefault="00EB3BC8" w:rsidP="00EB3BC8">
      <w:pPr>
        <w:shd w:val="clear" w:color="auto" w:fill="FFFFFF"/>
        <w:spacing w:after="0" w:line="240" w:lineRule="auto"/>
        <w:jc w:val="both"/>
        <w:rPr>
          <w:rFonts w:cstheme="minorHAnsi"/>
          <w:b/>
        </w:rPr>
      </w:pPr>
    </w:p>
    <w:p w:rsidR="00EB3BC8" w:rsidRPr="00165651" w:rsidRDefault="00EB3BC8" w:rsidP="00EB3BC8">
      <w:pPr>
        <w:spacing w:line="240" w:lineRule="auto"/>
        <w:jc w:val="both"/>
        <w:rPr>
          <w:rFonts w:eastAsiaTheme="minorHAnsi" w:cstheme="minorHAnsi"/>
          <w:b/>
        </w:rPr>
      </w:pPr>
      <w:r w:rsidRPr="00165651">
        <w:rPr>
          <w:rFonts w:eastAsiaTheme="minorHAnsi" w:cstheme="minorHAnsi"/>
          <w:b/>
        </w:rPr>
        <w:t>2.1 INFORME DE GESTION  CONCESION RED FERREA DEL PACIFICO</w:t>
      </w:r>
    </w:p>
    <w:tbl>
      <w:tblPr>
        <w:tblStyle w:val="Tablaconcuadrcula"/>
        <w:tblW w:w="909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96"/>
        <w:gridCol w:w="2978"/>
        <w:gridCol w:w="2404"/>
        <w:gridCol w:w="2019"/>
      </w:tblGrid>
      <w:tr w:rsidR="00EB3BC8" w:rsidRPr="00165651" w:rsidTr="005E52E0">
        <w:trPr>
          <w:trHeight w:val="340"/>
          <w:jc w:val="center"/>
        </w:trPr>
        <w:tc>
          <w:tcPr>
            <w:tcW w:w="9097" w:type="dxa"/>
            <w:gridSpan w:val="4"/>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EB3BC8" w:rsidRPr="00165651" w:rsidRDefault="00EB3BC8" w:rsidP="005E52E0">
            <w:pPr>
              <w:jc w:val="both"/>
              <w:rPr>
                <w:rFonts w:cstheme="minorHAnsi"/>
                <w:sz w:val="24"/>
                <w:szCs w:val="16"/>
              </w:rPr>
            </w:pPr>
          </w:p>
        </w:tc>
      </w:tr>
      <w:tr w:rsidR="00EB3BC8" w:rsidRPr="00165651" w:rsidTr="005E52E0">
        <w:trPr>
          <w:trHeight w:val="340"/>
          <w:jc w:val="center"/>
        </w:trPr>
        <w:tc>
          <w:tcPr>
            <w:tcW w:w="1696" w:type="dxa"/>
            <w:shd w:val="clear" w:color="auto" w:fill="auto"/>
            <w:vAlign w:val="center"/>
          </w:tcPr>
          <w:p w:rsidR="00EB3BC8" w:rsidRPr="00165651" w:rsidRDefault="00EB3BC8" w:rsidP="005E52E0">
            <w:pPr>
              <w:rPr>
                <w:rFonts w:cstheme="minorHAnsi"/>
                <w:b/>
              </w:rPr>
            </w:pPr>
            <w:r w:rsidRPr="00165651">
              <w:rPr>
                <w:rFonts w:cstheme="minorHAnsi"/>
                <w:b/>
              </w:rPr>
              <w:t>Contrato de Concesión</w:t>
            </w:r>
          </w:p>
        </w:tc>
        <w:tc>
          <w:tcPr>
            <w:tcW w:w="7401" w:type="dxa"/>
            <w:gridSpan w:val="3"/>
            <w:shd w:val="clear" w:color="auto" w:fill="auto"/>
            <w:vAlign w:val="center"/>
          </w:tcPr>
          <w:p w:rsidR="00EB3BC8" w:rsidRPr="00165651" w:rsidRDefault="00EB3BC8" w:rsidP="005E52E0">
            <w:pPr>
              <w:jc w:val="both"/>
              <w:rPr>
                <w:rFonts w:cstheme="minorHAnsi"/>
              </w:rPr>
            </w:pPr>
            <w:r w:rsidRPr="00165651">
              <w:rPr>
                <w:rFonts w:cstheme="minorHAnsi"/>
              </w:rPr>
              <w:t>09-CONP -98</w:t>
            </w:r>
          </w:p>
        </w:tc>
      </w:tr>
      <w:tr w:rsidR="00EB3BC8" w:rsidRPr="00165651" w:rsidTr="005E52E0">
        <w:trPr>
          <w:trHeight w:val="941"/>
          <w:jc w:val="center"/>
        </w:trPr>
        <w:tc>
          <w:tcPr>
            <w:tcW w:w="1696" w:type="dxa"/>
            <w:vAlign w:val="center"/>
          </w:tcPr>
          <w:p w:rsidR="00EB3BC8" w:rsidRPr="00165651" w:rsidRDefault="00EB3BC8" w:rsidP="005E52E0">
            <w:pPr>
              <w:rPr>
                <w:rFonts w:cstheme="minorHAnsi"/>
                <w:b/>
              </w:rPr>
            </w:pPr>
            <w:r w:rsidRPr="00165651">
              <w:rPr>
                <w:rFonts w:cstheme="minorHAnsi"/>
                <w:b/>
              </w:rPr>
              <w:lastRenderedPageBreak/>
              <w:t>Objeto</w:t>
            </w:r>
          </w:p>
        </w:tc>
        <w:tc>
          <w:tcPr>
            <w:tcW w:w="7401" w:type="dxa"/>
            <w:gridSpan w:val="3"/>
            <w:vAlign w:val="center"/>
          </w:tcPr>
          <w:p w:rsidR="00EB3BC8" w:rsidRPr="00165651" w:rsidRDefault="00EB3BC8" w:rsidP="005E52E0">
            <w:pPr>
              <w:jc w:val="both"/>
              <w:rPr>
                <w:rFonts w:cstheme="minorHAnsi"/>
              </w:rPr>
            </w:pPr>
            <w:r w:rsidRPr="00165651">
              <w:rPr>
                <w:rFonts w:cstheme="minorHAnsi"/>
              </w:rPr>
              <w:t>La rehabilitación, conservación, operación y explotación de la infraestructura de transporte férreo de la Red del Pacífico:</w:t>
            </w:r>
          </w:p>
          <w:p w:rsidR="00EB3BC8" w:rsidRPr="00165651" w:rsidRDefault="00EB3BC8" w:rsidP="000021B2">
            <w:pPr>
              <w:numPr>
                <w:ilvl w:val="0"/>
                <w:numId w:val="84"/>
              </w:numPr>
              <w:jc w:val="both"/>
              <w:rPr>
                <w:rFonts w:cstheme="minorHAnsi"/>
              </w:rPr>
            </w:pPr>
            <w:r w:rsidRPr="00165651">
              <w:rPr>
                <w:rFonts w:cstheme="minorHAnsi"/>
              </w:rPr>
              <w:t>Buenaventura - La Felisa y el ramal Zarzal – La Tebaida - Prominex.</w:t>
            </w:r>
          </w:p>
          <w:p w:rsidR="00EB3BC8" w:rsidRPr="00165651" w:rsidRDefault="00EB3BC8" w:rsidP="000021B2">
            <w:pPr>
              <w:numPr>
                <w:ilvl w:val="0"/>
                <w:numId w:val="84"/>
              </w:numPr>
              <w:jc w:val="both"/>
              <w:rPr>
                <w:rFonts w:cstheme="minorHAnsi"/>
              </w:rPr>
            </w:pPr>
            <w:r w:rsidRPr="00165651">
              <w:rPr>
                <w:rFonts w:cstheme="minorHAnsi"/>
              </w:rPr>
              <w:t>La cesión del derecho de paso de un tramo de la línea de la ciudad de Cali</w:t>
            </w:r>
          </w:p>
          <w:p w:rsidR="00EB3BC8" w:rsidRPr="00165651" w:rsidRDefault="00EB3BC8" w:rsidP="000021B2">
            <w:pPr>
              <w:numPr>
                <w:ilvl w:val="0"/>
                <w:numId w:val="84"/>
              </w:numPr>
              <w:jc w:val="both"/>
              <w:rPr>
                <w:rFonts w:cstheme="minorHAnsi"/>
              </w:rPr>
            </w:pPr>
            <w:r w:rsidRPr="00165651">
              <w:rPr>
                <w:rFonts w:cstheme="minorHAnsi"/>
              </w:rPr>
              <w:t xml:space="preserve">La construcción, operación y mantenimiento de una Terminal de transferencia de carga en la Felisa. </w:t>
            </w:r>
          </w:p>
        </w:tc>
      </w:tr>
      <w:tr w:rsidR="00EB3BC8" w:rsidRPr="00165651" w:rsidTr="005E52E0">
        <w:trPr>
          <w:trHeight w:val="977"/>
          <w:jc w:val="center"/>
        </w:trPr>
        <w:tc>
          <w:tcPr>
            <w:tcW w:w="1696" w:type="dxa"/>
            <w:vAlign w:val="center"/>
          </w:tcPr>
          <w:p w:rsidR="00EB3BC8" w:rsidRPr="00165651" w:rsidRDefault="00EB3BC8" w:rsidP="005E52E0">
            <w:pPr>
              <w:rPr>
                <w:rFonts w:cstheme="minorHAnsi"/>
                <w:b/>
              </w:rPr>
            </w:pPr>
            <w:r w:rsidRPr="00165651">
              <w:rPr>
                <w:rFonts w:cstheme="minorHAnsi"/>
                <w:b/>
              </w:rPr>
              <w:t>Descripción</w:t>
            </w:r>
          </w:p>
        </w:tc>
        <w:tc>
          <w:tcPr>
            <w:tcW w:w="7401" w:type="dxa"/>
            <w:gridSpan w:val="3"/>
            <w:vAlign w:val="center"/>
          </w:tcPr>
          <w:p w:rsidR="00EB3BC8" w:rsidRPr="00165651" w:rsidRDefault="00EB3BC8" w:rsidP="005E52E0">
            <w:pPr>
              <w:jc w:val="both"/>
              <w:rPr>
                <w:rFonts w:cstheme="minorHAnsi"/>
              </w:rPr>
            </w:pPr>
            <w:r w:rsidRPr="00165651">
              <w:rPr>
                <w:rFonts w:cstheme="minorHAnsi"/>
              </w:rPr>
              <w:t xml:space="preserve">Se entregó en concesión, corredor de la Vía Férrea del Pacifico, entre la Sociedad Regional Portuaria de Buenaventura – y el centro poblado de la Felisa, así como el Ramal Zarzal  a la  Tebaida, para que fuera rehabilitado, operado, explotado y conservado de manera posterior a su rehabilitación. </w:t>
            </w:r>
          </w:p>
          <w:p w:rsidR="00EB3BC8" w:rsidRPr="00165651" w:rsidRDefault="00EB3BC8" w:rsidP="005E52E0">
            <w:pPr>
              <w:jc w:val="both"/>
              <w:rPr>
                <w:rFonts w:cstheme="minorHAnsi"/>
              </w:rPr>
            </w:pPr>
            <w:r w:rsidRPr="00165651">
              <w:rPr>
                <w:rFonts w:cstheme="minorHAnsi"/>
              </w:rPr>
              <w:t>El aporte inicial de la Nación en el año 1998 fue de US$120 millones, repartidos en tres periodos consecutivos de US$30 millones y posteriormente mediante el contrato de Transacción la Nación aportó para la reconstrucción del tramo Cartago – La Felisa, un total de US$28 millones.</w:t>
            </w:r>
          </w:p>
          <w:p w:rsidR="00EB3BC8" w:rsidRPr="00165651" w:rsidRDefault="00EB3BC8" w:rsidP="005E52E0">
            <w:pPr>
              <w:jc w:val="both"/>
              <w:rPr>
                <w:rFonts w:cstheme="minorHAnsi"/>
              </w:rPr>
            </w:pPr>
            <w:r w:rsidRPr="00165651">
              <w:rPr>
                <w:rFonts w:cstheme="minorHAnsi"/>
              </w:rPr>
              <w:t>En la actualidad se realiza la operación comercial de carga mixta entre el puerto de Buenaventura y la zona industrial de Yumbo, así como se realizan operaciones comerciales, entre la zona industrial de Yumbo y los diferentes ingenios, se realizan actividades de mantenimiento y se colocó en condiciones de operación el tramo desde Yumbo hasta La Tebaida.</w:t>
            </w:r>
          </w:p>
        </w:tc>
      </w:tr>
      <w:tr w:rsidR="00EB3BC8" w:rsidRPr="00165651" w:rsidTr="005E52E0">
        <w:trPr>
          <w:trHeight w:val="1029"/>
          <w:jc w:val="center"/>
        </w:trPr>
        <w:tc>
          <w:tcPr>
            <w:tcW w:w="1696" w:type="dxa"/>
            <w:vAlign w:val="center"/>
          </w:tcPr>
          <w:p w:rsidR="00EB3BC8" w:rsidRPr="00165651" w:rsidRDefault="00EB3BC8" w:rsidP="005E52E0">
            <w:pPr>
              <w:jc w:val="both"/>
              <w:rPr>
                <w:rFonts w:cstheme="minorHAnsi"/>
                <w:b/>
              </w:rPr>
            </w:pPr>
            <w:r w:rsidRPr="00165651">
              <w:rPr>
                <w:rFonts w:cstheme="minorHAnsi"/>
                <w:b/>
              </w:rPr>
              <w:t>Temas Relativos a la Operación:</w:t>
            </w:r>
          </w:p>
        </w:tc>
        <w:tc>
          <w:tcPr>
            <w:tcW w:w="7401" w:type="dxa"/>
            <w:gridSpan w:val="3"/>
            <w:vAlign w:val="center"/>
          </w:tcPr>
          <w:p w:rsidR="00EB3BC8" w:rsidRPr="00165651" w:rsidRDefault="00EB3BC8" w:rsidP="005E52E0">
            <w:pPr>
              <w:jc w:val="both"/>
              <w:rPr>
                <w:rFonts w:cstheme="minorHAnsi"/>
              </w:rPr>
            </w:pPr>
            <w:r w:rsidRPr="00165651">
              <w:rPr>
                <w:rFonts w:cstheme="minorHAnsi"/>
              </w:rPr>
              <w:t>Se atienden clientes ya establecidos y clientes nuevos como: Agro Cañaveralejo, Apextool Group, Envases Pack Film, Hércules, Inorca, Jhoel Rueda Lemus, Norte Caucana, Químicos del Cauca, Reckitt.</w:t>
            </w:r>
          </w:p>
          <w:p w:rsidR="00EB3BC8" w:rsidRPr="00165651" w:rsidRDefault="00EB3BC8" w:rsidP="005E52E0">
            <w:pPr>
              <w:jc w:val="both"/>
              <w:rPr>
                <w:rFonts w:cstheme="minorHAnsi"/>
              </w:rPr>
            </w:pPr>
          </w:p>
          <w:p w:rsidR="00EB3BC8" w:rsidRPr="00165651" w:rsidRDefault="00EB3BC8" w:rsidP="005E52E0">
            <w:pPr>
              <w:jc w:val="both"/>
              <w:rPr>
                <w:rFonts w:cstheme="minorHAnsi"/>
              </w:rPr>
            </w:pPr>
            <w:r w:rsidRPr="00165651">
              <w:rPr>
                <w:rFonts w:cstheme="minorHAnsi"/>
              </w:rPr>
              <w:t xml:space="preserve">El transporte de acero que se realiza en lámina y contenedores se mantiene como la principal parte del mercado atendida, representando un 53% de la carga neta transportada para clientes como Ferrasa, Diaco, Fanalca y Dimel. </w:t>
            </w:r>
          </w:p>
          <w:p w:rsidR="00EB3BC8" w:rsidRPr="00165651" w:rsidRDefault="00EB3BC8" w:rsidP="005E52E0">
            <w:pPr>
              <w:jc w:val="both"/>
              <w:rPr>
                <w:rFonts w:cstheme="minorHAnsi"/>
              </w:rPr>
            </w:pPr>
          </w:p>
          <w:p w:rsidR="00EB3BC8" w:rsidRPr="00165651" w:rsidRDefault="00EB3BC8" w:rsidP="005E52E0">
            <w:pPr>
              <w:jc w:val="both"/>
              <w:rPr>
                <w:rFonts w:cstheme="minorHAnsi"/>
              </w:rPr>
            </w:pPr>
            <w:r w:rsidRPr="00165651">
              <w:rPr>
                <w:rFonts w:cstheme="minorHAnsi"/>
              </w:rPr>
              <w:t>Concesionario mantiene sus clientes y realiza algunos ejercicios con carga compensada pero se mantiene la dependencia de clientes de importación.</w:t>
            </w:r>
          </w:p>
          <w:p w:rsidR="00EB3BC8" w:rsidRPr="00165651" w:rsidRDefault="00EB3BC8" w:rsidP="005E52E0">
            <w:pPr>
              <w:jc w:val="both"/>
              <w:rPr>
                <w:rFonts w:cstheme="minorHAnsi"/>
              </w:rPr>
            </w:pPr>
          </w:p>
          <w:p w:rsidR="00EB3BC8" w:rsidRPr="00165651" w:rsidRDefault="00EB3BC8" w:rsidP="005E52E0">
            <w:pPr>
              <w:jc w:val="both"/>
              <w:rPr>
                <w:rFonts w:cstheme="minorHAnsi"/>
              </w:rPr>
            </w:pPr>
            <w:r w:rsidRPr="00165651">
              <w:rPr>
                <w:rFonts w:cstheme="minorHAnsi"/>
              </w:rPr>
              <w:t xml:space="preserve">El concesionario dispone actualmente de 18 locomotoras y 168 plataformas para la operación comercial así: </w:t>
            </w:r>
          </w:p>
          <w:p w:rsidR="00EB3BC8" w:rsidRPr="00165651" w:rsidRDefault="00EB3BC8" w:rsidP="005E52E0">
            <w:pPr>
              <w:jc w:val="both"/>
              <w:rPr>
                <w:rFonts w:cstheme="minorHAnsi"/>
              </w:rPr>
            </w:pPr>
          </w:p>
          <w:p w:rsidR="00EB3BC8" w:rsidRPr="00165651" w:rsidRDefault="00EB3BC8" w:rsidP="000021B2">
            <w:pPr>
              <w:numPr>
                <w:ilvl w:val="0"/>
                <w:numId w:val="85"/>
              </w:numPr>
              <w:contextualSpacing/>
              <w:jc w:val="both"/>
              <w:rPr>
                <w:rFonts w:cstheme="minorHAnsi"/>
              </w:rPr>
            </w:pPr>
            <w:r w:rsidRPr="00165651">
              <w:rPr>
                <w:rFonts w:cstheme="minorHAnsi"/>
              </w:rPr>
              <w:t>Cuatro (4) locomotoras R22. (Puesta en operación en el mes de abril de 2015)</w:t>
            </w:r>
          </w:p>
          <w:p w:rsidR="00EB3BC8" w:rsidRPr="00165651" w:rsidRDefault="00EB3BC8" w:rsidP="000021B2">
            <w:pPr>
              <w:numPr>
                <w:ilvl w:val="0"/>
                <w:numId w:val="85"/>
              </w:numPr>
              <w:contextualSpacing/>
              <w:jc w:val="both"/>
              <w:rPr>
                <w:rFonts w:cstheme="minorHAnsi"/>
              </w:rPr>
            </w:pPr>
            <w:r w:rsidRPr="00165651">
              <w:rPr>
                <w:rFonts w:cstheme="minorHAnsi"/>
              </w:rPr>
              <w:t>Dos (2) locomotoras U18C.</w:t>
            </w:r>
          </w:p>
          <w:p w:rsidR="00EB3BC8" w:rsidRPr="00165651" w:rsidRDefault="00EB3BC8" w:rsidP="000021B2">
            <w:pPr>
              <w:numPr>
                <w:ilvl w:val="0"/>
                <w:numId w:val="85"/>
              </w:numPr>
              <w:contextualSpacing/>
              <w:jc w:val="both"/>
              <w:rPr>
                <w:rFonts w:cstheme="minorHAnsi"/>
              </w:rPr>
            </w:pPr>
            <w:r w:rsidRPr="00165651">
              <w:rPr>
                <w:rFonts w:cstheme="minorHAnsi"/>
              </w:rPr>
              <w:t>Cinco (5) locomotoras U12C</w:t>
            </w:r>
          </w:p>
          <w:p w:rsidR="00EB3BC8" w:rsidRPr="00165651" w:rsidRDefault="00EB3BC8" w:rsidP="000021B2">
            <w:pPr>
              <w:numPr>
                <w:ilvl w:val="0"/>
                <w:numId w:val="85"/>
              </w:numPr>
              <w:contextualSpacing/>
              <w:jc w:val="both"/>
              <w:rPr>
                <w:rFonts w:cstheme="minorHAnsi"/>
              </w:rPr>
            </w:pPr>
            <w:r w:rsidRPr="00165651">
              <w:rPr>
                <w:rFonts w:cstheme="minorHAnsi"/>
              </w:rPr>
              <w:t>Seis (6) locomotoras U10B.</w:t>
            </w:r>
          </w:p>
          <w:p w:rsidR="00EB3BC8" w:rsidRPr="00165651" w:rsidRDefault="00EB3BC8" w:rsidP="000021B2">
            <w:pPr>
              <w:numPr>
                <w:ilvl w:val="0"/>
                <w:numId w:val="85"/>
              </w:numPr>
              <w:contextualSpacing/>
              <w:jc w:val="both"/>
              <w:rPr>
                <w:rFonts w:cstheme="minorHAnsi"/>
              </w:rPr>
            </w:pPr>
            <w:r w:rsidRPr="00165651">
              <w:rPr>
                <w:rFonts w:cstheme="minorHAnsi"/>
              </w:rPr>
              <w:t>Una (1) locomotora U6.</w:t>
            </w:r>
          </w:p>
          <w:p w:rsidR="00EB3BC8" w:rsidRPr="00165651" w:rsidRDefault="00EB3BC8" w:rsidP="005E52E0">
            <w:pPr>
              <w:ind w:left="720"/>
              <w:contextualSpacing/>
              <w:jc w:val="both"/>
              <w:rPr>
                <w:rFonts w:cstheme="minorHAnsi"/>
              </w:rPr>
            </w:pPr>
          </w:p>
        </w:tc>
      </w:tr>
      <w:tr w:rsidR="00EB3BC8" w:rsidRPr="00165651" w:rsidTr="005E52E0">
        <w:trPr>
          <w:trHeight w:val="3436"/>
          <w:jc w:val="center"/>
        </w:trPr>
        <w:tc>
          <w:tcPr>
            <w:tcW w:w="1696" w:type="dxa"/>
            <w:vAlign w:val="center"/>
          </w:tcPr>
          <w:p w:rsidR="00EB3BC8" w:rsidRPr="00165651" w:rsidRDefault="00EB3BC8" w:rsidP="005E52E0">
            <w:pPr>
              <w:rPr>
                <w:rFonts w:cstheme="minorHAnsi"/>
                <w:b/>
                <w:sz w:val="24"/>
                <w:szCs w:val="16"/>
              </w:rPr>
            </w:pPr>
            <w:r w:rsidRPr="00165651">
              <w:rPr>
                <w:rFonts w:cstheme="minorHAnsi"/>
                <w:b/>
                <w:sz w:val="24"/>
                <w:szCs w:val="16"/>
              </w:rPr>
              <w:lastRenderedPageBreak/>
              <w:t>Localización</w:t>
            </w:r>
          </w:p>
        </w:tc>
        <w:tc>
          <w:tcPr>
            <w:tcW w:w="7401" w:type="dxa"/>
            <w:gridSpan w:val="3"/>
            <w:vAlign w:val="center"/>
          </w:tcPr>
          <w:p w:rsidR="00EB3BC8" w:rsidRPr="00165651" w:rsidRDefault="00EB3BC8" w:rsidP="005E52E0">
            <w:pPr>
              <w:jc w:val="center"/>
              <w:rPr>
                <w:rFonts w:cstheme="minorHAnsi"/>
                <w:sz w:val="24"/>
                <w:szCs w:val="16"/>
              </w:rPr>
            </w:pPr>
            <w:r w:rsidRPr="00165651">
              <w:rPr>
                <w:rFonts w:cstheme="minorHAnsi"/>
                <w:noProof/>
              </w:rPr>
              <w:drawing>
                <wp:inline distT="0" distB="0" distL="0" distR="0" wp14:anchorId="5E020103" wp14:editId="0DEDB732">
                  <wp:extent cx="4140098" cy="3581400"/>
                  <wp:effectExtent l="0" t="0" r="0" b="0"/>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43155" t="27693" r="9061" b="20639"/>
                          <a:stretch/>
                        </pic:blipFill>
                        <pic:spPr bwMode="auto">
                          <a:xfrm>
                            <a:off x="0" y="0"/>
                            <a:ext cx="4149971" cy="3589941"/>
                          </a:xfrm>
                          <a:prstGeom prst="rect">
                            <a:avLst/>
                          </a:prstGeom>
                          <a:ln>
                            <a:noFill/>
                          </a:ln>
                          <a:extLst>
                            <a:ext uri="{53640926-AAD7-44D8-BBD7-CCE9431645EC}">
                              <a14:shadowObscured xmlns:a14="http://schemas.microsoft.com/office/drawing/2010/main"/>
                            </a:ext>
                          </a:extLst>
                        </pic:spPr>
                      </pic:pic>
                    </a:graphicData>
                  </a:graphic>
                </wp:inline>
              </w:drawing>
            </w:r>
          </w:p>
        </w:tc>
      </w:tr>
      <w:tr w:rsidR="00EB3BC8" w:rsidRPr="00165651" w:rsidTr="005E52E0">
        <w:trPr>
          <w:trHeight w:val="340"/>
          <w:jc w:val="center"/>
        </w:trPr>
        <w:tc>
          <w:tcPr>
            <w:tcW w:w="1696" w:type="dxa"/>
            <w:vAlign w:val="center"/>
          </w:tcPr>
          <w:p w:rsidR="00EB3BC8" w:rsidRPr="00165651" w:rsidRDefault="00EB3BC8" w:rsidP="005E52E0">
            <w:pPr>
              <w:rPr>
                <w:rFonts w:cstheme="minorHAnsi"/>
                <w:b/>
                <w:sz w:val="24"/>
                <w:szCs w:val="16"/>
              </w:rPr>
            </w:pPr>
            <w:r w:rsidRPr="00165651">
              <w:rPr>
                <w:rFonts w:cstheme="minorHAnsi"/>
                <w:b/>
                <w:sz w:val="24"/>
                <w:szCs w:val="16"/>
              </w:rPr>
              <w:t>Plazo</w:t>
            </w:r>
          </w:p>
        </w:tc>
        <w:tc>
          <w:tcPr>
            <w:tcW w:w="2978" w:type="dxa"/>
            <w:tcBorders>
              <w:right w:val="single" w:sz="4" w:space="0" w:color="BFBFBF" w:themeColor="background1" w:themeShade="BF"/>
            </w:tcBorders>
            <w:vAlign w:val="center"/>
          </w:tcPr>
          <w:p w:rsidR="00EB3BC8" w:rsidRPr="00165651" w:rsidRDefault="00EB3BC8" w:rsidP="005E52E0">
            <w:pPr>
              <w:rPr>
                <w:rFonts w:cstheme="minorHAnsi"/>
                <w:sz w:val="24"/>
                <w:szCs w:val="16"/>
              </w:rPr>
            </w:pPr>
            <w:r w:rsidRPr="00165651">
              <w:rPr>
                <w:rFonts w:cstheme="minorHAnsi"/>
                <w:sz w:val="24"/>
                <w:szCs w:val="16"/>
              </w:rPr>
              <w:t xml:space="preserve">Treinta Años contados desde el 14 de marzo de 2000. </w:t>
            </w:r>
          </w:p>
        </w:tc>
        <w:tc>
          <w:tcPr>
            <w:tcW w:w="2404" w:type="dxa"/>
            <w:tcBorders>
              <w:left w:val="single" w:sz="4" w:space="0" w:color="BFBFBF" w:themeColor="background1" w:themeShade="BF"/>
              <w:right w:val="single" w:sz="4" w:space="0" w:color="9BBB59" w:themeColor="accent3"/>
            </w:tcBorders>
            <w:vAlign w:val="center"/>
          </w:tcPr>
          <w:p w:rsidR="00EB3BC8" w:rsidRPr="00165651" w:rsidRDefault="00EB3BC8" w:rsidP="005E52E0">
            <w:pPr>
              <w:rPr>
                <w:rFonts w:cstheme="minorHAnsi"/>
                <w:b/>
                <w:sz w:val="24"/>
                <w:szCs w:val="16"/>
              </w:rPr>
            </w:pPr>
            <w:r w:rsidRPr="00165651">
              <w:rPr>
                <w:rFonts w:cstheme="minorHAnsi"/>
                <w:b/>
                <w:sz w:val="24"/>
                <w:szCs w:val="16"/>
              </w:rPr>
              <w:t>Fecha de firma del Contrato</w:t>
            </w:r>
          </w:p>
        </w:tc>
        <w:tc>
          <w:tcPr>
            <w:tcW w:w="2019" w:type="dxa"/>
            <w:tcBorders>
              <w:left w:val="single" w:sz="4" w:space="0" w:color="9BBB59" w:themeColor="accent3"/>
            </w:tcBorders>
            <w:vAlign w:val="center"/>
          </w:tcPr>
          <w:p w:rsidR="00EB3BC8" w:rsidRPr="00165651" w:rsidRDefault="00EB3BC8" w:rsidP="005E52E0">
            <w:pPr>
              <w:rPr>
                <w:rFonts w:cstheme="minorHAnsi"/>
                <w:sz w:val="24"/>
                <w:szCs w:val="16"/>
              </w:rPr>
            </w:pPr>
            <w:r w:rsidRPr="00165651">
              <w:rPr>
                <w:rFonts w:cstheme="minorHAnsi"/>
                <w:sz w:val="24"/>
                <w:szCs w:val="16"/>
              </w:rPr>
              <w:t>8 de octubre de 2013</w:t>
            </w:r>
          </w:p>
        </w:tc>
      </w:tr>
      <w:tr w:rsidR="00EB3BC8" w:rsidRPr="00165651" w:rsidTr="005E52E0">
        <w:trPr>
          <w:trHeight w:val="340"/>
          <w:jc w:val="center"/>
        </w:trPr>
        <w:tc>
          <w:tcPr>
            <w:tcW w:w="9097" w:type="dxa"/>
            <w:gridSpan w:val="4"/>
            <w:vAlign w:val="center"/>
          </w:tcPr>
          <w:p w:rsidR="00EB3BC8" w:rsidRPr="00165651" w:rsidRDefault="00EB3BC8" w:rsidP="005E52E0">
            <w:pPr>
              <w:rPr>
                <w:rFonts w:cstheme="minorHAnsi"/>
                <w:sz w:val="24"/>
                <w:szCs w:val="16"/>
              </w:rPr>
            </w:pPr>
            <w:r w:rsidRPr="00165651">
              <w:rPr>
                <w:rFonts w:cstheme="minorHAnsi"/>
                <w:noProof/>
              </w:rPr>
              <w:drawing>
                <wp:inline distT="0" distB="0" distL="0" distR="0" wp14:anchorId="7399AA3D" wp14:editId="6924E563">
                  <wp:extent cx="5632332" cy="2009775"/>
                  <wp:effectExtent l="0" t="0" r="6985" b="0"/>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l="21494" t="53734" r="3440" b="12786"/>
                          <a:stretch/>
                        </pic:blipFill>
                        <pic:spPr bwMode="auto">
                          <a:xfrm>
                            <a:off x="0" y="0"/>
                            <a:ext cx="5641704" cy="2013119"/>
                          </a:xfrm>
                          <a:prstGeom prst="rect">
                            <a:avLst/>
                          </a:prstGeom>
                          <a:ln>
                            <a:noFill/>
                          </a:ln>
                          <a:extLst>
                            <a:ext uri="{53640926-AAD7-44D8-BBD7-CCE9431645EC}">
                              <a14:shadowObscured xmlns:a14="http://schemas.microsoft.com/office/drawing/2010/main"/>
                            </a:ext>
                          </a:extLst>
                        </pic:spPr>
                      </pic:pic>
                    </a:graphicData>
                  </a:graphic>
                </wp:inline>
              </w:drawing>
            </w:r>
          </w:p>
        </w:tc>
      </w:tr>
      <w:tr w:rsidR="00EB3BC8" w:rsidRPr="00165651" w:rsidTr="005E52E0">
        <w:trPr>
          <w:trHeight w:val="340"/>
          <w:jc w:val="center"/>
        </w:trPr>
        <w:tc>
          <w:tcPr>
            <w:tcW w:w="1696" w:type="dxa"/>
            <w:vAlign w:val="center"/>
          </w:tcPr>
          <w:p w:rsidR="00EB3BC8" w:rsidRPr="00165651" w:rsidRDefault="00EB3BC8" w:rsidP="005E52E0">
            <w:pPr>
              <w:rPr>
                <w:rFonts w:cstheme="minorHAnsi"/>
                <w:b/>
              </w:rPr>
            </w:pPr>
            <w:r w:rsidRPr="00165651">
              <w:rPr>
                <w:rFonts w:cstheme="minorHAnsi"/>
                <w:b/>
              </w:rPr>
              <w:t>Valor de contrato</w:t>
            </w:r>
          </w:p>
        </w:tc>
        <w:tc>
          <w:tcPr>
            <w:tcW w:w="2978" w:type="dxa"/>
            <w:tcBorders>
              <w:right w:val="single" w:sz="4" w:space="0" w:color="BFBFBF" w:themeColor="background1" w:themeShade="BF"/>
            </w:tcBorders>
            <w:vAlign w:val="center"/>
          </w:tcPr>
          <w:p w:rsidR="00EB3BC8" w:rsidRPr="00165651" w:rsidRDefault="00EB3BC8" w:rsidP="005E52E0">
            <w:pPr>
              <w:rPr>
                <w:rFonts w:cstheme="minorHAnsi"/>
              </w:rPr>
            </w:pPr>
            <w:r w:rsidRPr="00165651">
              <w:rPr>
                <w:rFonts w:cstheme="minorHAnsi"/>
              </w:rPr>
              <w:t>Valor Indeterminado; Clausula 141, Contrato de Concesión. Capex Aporte Gobierno US$148.000.000</w:t>
            </w:r>
          </w:p>
        </w:tc>
        <w:tc>
          <w:tcPr>
            <w:tcW w:w="2404" w:type="dxa"/>
            <w:tcBorders>
              <w:left w:val="single" w:sz="4" w:space="0" w:color="BFBFBF" w:themeColor="background1" w:themeShade="BF"/>
              <w:right w:val="single" w:sz="4" w:space="0" w:color="9BBB59" w:themeColor="accent3"/>
            </w:tcBorders>
            <w:vAlign w:val="center"/>
          </w:tcPr>
          <w:p w:rsidR="00EB3BC8" w:rsidRPr="00165651" w:rsidRDefault="00EB3BC8" w:rsidP="005E52E0">
            <w:pPr>
              <w:rPr>
                <w:rFonts w:cstheme="minorHAnsi"/>
                <w:b/>
              </w:rPr>
            </w:pPr>
            <w:r w:rsidRPr="00165651">
              <w:rPr>
                <w:rFonts w:cstheme="minorHAnsi"/>
                <w:b/>
              </w:rPr>
              <w:t xml:space="preserve">Fecha suscripción del Contrato </w:t>
            </w:r>
          </w:p>
        </w:tc>
        <w:tc>
          <w:tcPr>
            <w:tcW w:w="2019" w:type="dxa"/>
            <w:tcBorders>
              <w:left w:val="single" w:sz="4" w:space="0" w:color="9BBB59" w:themeColor="accent3"/>
            </w:tcBorders>
            <w:vAlign w:val="center"/>
          </w:tcPr>
          <w:p w:rsidR="00EB3BC8" w:rsidRPr="00165651" w:rsidRDefault="00EB3BC8" w:rsidP="005E52E0">
            <w:pPr>
              <w:rPr>
                <w:rFonts w:cstheme="minorHAnsi"/>
              </w:rPr>
            </w:pPr>
            <w:r w:rsidRPr="00165651">
              <w:rPr>
                <w:rFonts w:cstheme="minorHAnsi"/>
              </w:rPr>
              <w:t>18-12-1998</w:t>
            </w:r>
          </w:p>
        </w:tc>
      </w:tr>
      <w:tr w:rsidR="00EB3BC8" w:rsidRPr="00165651" w:rsidTr="005E52E0">
        <w:trPr>
          <w:trHeight w:val="283"/>
          <w:jc w:val="center"/>
        </w:trPr>
        <w:tc>
          <w:tcPr>
            <w:tcW w:w="1696" w:type="dxa"/>
            <w:vAlign w:val="center"/>
          </w:tcPr>
          <w:p w:rsidR="00EB3BC8" w:rsidRPr="00165651" w:rsidRDefault="00EB3BC8" w:rsidP="005E52E0">
            <w:pPr>
              <w:rPr>
                <w:rFonts w:cstheme="minorHAnsi"/>
                <w:b/>
              </w:rPr>
            </w:pPr>
            <w:r w:rsidRPr="00165651">
              <w:rPr>
                <w:rFonts w:cstheme="minorHAnsi"/>
                <w:b/>
              </w:rPr>
              <w:t>Firma Concesionario</w:t>
            </w:r>
          </w:p>
        </w:tc>
        <w:tc>
          <w:tcPr>
            <w:tcW w:w="2978" w:type="dxa"/>
            <w:tcBorders>
              <w:right w:val="single" w:sz="4" w:space="0" w:color="BFBFBF" w:themeColor="background1" w:themeShade="BF"/>
            </w:tcBorders>
            <w:vAlign w:val="center"/>
          </w:tcPr>
          <w:p w:rsidR="00EB3BC8" w:rsidRPr="00165651" w:rsidRDefault="00EB3BC8" w:rsidP="005E52E0">
            <w:pPr>
              <w:rPr>
                <w:rFonts w:cstheme="minorHAnsi"/>
              </w:rPr>
            </w:pPr>
            <w:r w:rsidRPr="00165651">
              <w:rPr>
                <w:rFonts w:cstheme="minorHAnsi"/>
              </w:rPr>
              <w:t>Ferrocarril del Pacifico SAS</w:t>
            </w:r>
          </w:p>
        </w:tc>
        <w:tc>
          <w:tcPr>
            <w:tcW w:w="2404" w:type="dxa"/>
            <w:tcBorders>
              <w:left w:val="single" w:sz="4" w:space="0" w:color="BFBFBF" w:themeColor="background1" w:themeShade="BF"/>
              <w:right w:val="single" w:sz="4" w:space="0" w:color="9BBB59" w:themeColor="accent3"/>
            </w:tcBorders>
            <w:vAlign w:val="center"/>
          </w:tcPr>
          <w:p w:rsidR="00EB3BC8" w:rsidRPr="00165651" w:rsidRDefault="00EB3BC8" w:rsidP="005E52E0">
            <w:pPr>
              <w:rPr>
                <w:rFonts w:cstheme="minorHAnsi"/>
                <w:b/>
              </w:rPr>
            </w:pPr>
            <w:r w:rsidRPr="00165651">
              <w:rPr>
                <w:rFonts w:cstheme="minorHAnsi"/>
                <w:b/>
              </w:rPr>
              <w:t>Inicio Plazo Concesión</w:t>
            </w:r>
          </w:p>
        </w:tc>
        <w:tc>
          <w:tcPr>
            <w:tcW w:w="2019" w:type="dxa"/>
            <w:tcBorders>
              <w:left w:val="single" w:sz="4" w:space="0" w:color="9BBB59" w:themeColor="accent3"/>
            </w:tcBorders>
            <w:vAlign w:val="center"/>
          </w:tcPr>
          <w:p w:rsidR="00EB3BC8" w:rsidRPr="00165651" w:rsidRDefault="00EB3BC8" w:rsidP="005E52E0">
            <w:pPr>
              <w:rPr>
                <w:rFonts w:cstheme="minorHAnsi"/>
              </w:rPr>
            </w:pPr>
            <w:r w:rsidRPr="00165651">
              <w:rPr>
                <w:rFonts w:cstheme="minorHAnsi"/>
              </w:rPr>
              <w:t>14-03-2000</w:t>
            </w:r>
          </w:p>
        </w:tc>
      </w:tr>
      <w:tr w:rsidR="00EB3BC8" w:rsidRPr="00165651" w:rsidTr="005E52E0">
        <w:trPr>
          <w:trHeight w:val="340"/>
          <w:jc w:val="center"/>
        </w:trPr>
        <w:tc>
          <w:tcPr>
            <w:tcW w:w="1696" w:type="dxa"/>
            <w:vAlign w:val="center"/>
          </w:tcPr>
          <w:p w:rsidR="00EB3BC8" w:rsidRPr="00165651" w:rsidRDefault="00EB3BC8" w:rsidP="005E52E0">
            <w:pPr>
              <w:rPr>
                <w:rFonts w:cstheme="minorHAnsi"/>
                <w:b/>
              </w:rPr>
            </w:pPr>
            <w:r w:rsidRPr="00165651">
              <w:rPr>
                <w:rFonts w:cstheme="minorHAnsi"/>
                <w:b/>
              </w:rPr>
              <w:t>Fecha de adjudicación</w:t>
            </w:r>
          </w:p>
        </w:tc>
        <w:tc>
          <w:tcPr>
            <w:tcW w:w="7401" w:type="dxa"/>
            <w:gridSpan w:val="3"/>
            <w:vAlign w:val="center"/>
          </w:tcPr>
          <w:p w:rsidR="00EB3BC8" w:rsidRPr="00165651" w:rsidRDefault="00EB3BC8" w:rsidP="005E52E0">
            <w:pPr>
              <w:rPr>
                <w:rFonts w:cstheme="minorHAnsi"/>
              </w:rPr>
            </w:pPr>
            <w:r w:rsidRPr="00165651">
              <w:rPr>
                <w:rFonts w:cstheme="minorHAnsi"/>
              </w:rPr>
              <w:t>22-11/1998</w:t>
            </w:r>
          </w:p>
        </w:tc>
      </w:tr>
    </w:tbl>
    <w:tbl>
      <w:tblPr>
        <w:tblStyle w:val="Tablaconcuadrcula"/>
        <w:tblpPr w:leftFromText="141" w:rightFromText="141" w:vertAnchor="text" w:horzAnchor="margin" w:tblpY="766"/>
        <w:tblOverlap w:val="neve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62"/>
      </w:tblGrid>
      <w:tr w:rsidR="00EB3BC8" w:rsidRPr="00165651" w:rsidTr="005E52E0">
        <w:trPr>
          <w:trHeight w:val="283"/>
        </w:trPr>
        <w:tc>
          <w:tcPr>
            <w:tcW w:w="2405" w:type="dxa"/>
            <w:vAlign w:val="center"/>
          </w:tcPr>
          <w:p w:rsidR="00EB3BC8" w:rsidRPr="00165651" w:rsidRDefault="00EB3BC8" w:rsidP="005E52E0">
            <w:pPr>
              <w:spacing w:before="40" w:after="40"/>
              <w:rPr>
                <w:rFonts w:cstheme="minorHAnsi"/>
                <w:b/>
                <w:color w:val="000000" w:themeColor="text1"/>
              </w:rPr>
            </w:pPr>
            <w:r w:rsidRPr="00165651">
              <w:rPr>
                <w:rFonts w:cstheme="minorHAnsi"/>
                <w:b/>
              </w:rPr>
              <w:lastRenderedPageBreak/>
              <w:t>Movilización de Carga Mixta:</w:t>
            </w:r>
          </w:p>
        </w:tc>
        <w:tc>
          <w:tcPr>
            <w:tcW w:w="6662" w:type="dxa"/>
            <w:vAlign w:val="center"/>
          </w:tcPr>
          <w:p w:rsidR="00EB3BC8" w:rsidRPr="00165651" w:rsidRDefault="00EB3BC8" w:rsidP="005E52E0">
            <w:pPr>
              <w:jc w:val="both"/>
              <w:rPr>
                <w:rFonts w:cstheme="minorHAnsi"/>
                <w:b/>
                <w:color w:val="000000" w:themeColor="text1"/>
              </w:rPr>
            </w:pPr>
            <w:r w:rsidRPr="00165651">
              <w:rPr>
                <w:rFonts w:cstheme="minorHAnsi"/>
              </w:rPr>
              <w:t>Se realiza la movilización de carga mixta como contenedores, metales y granel, desde y hacia la sociedad Regional de Buenaventura.</w:t>
            </w:r>
          </w:p>
        </w:tc>
      </w:tr>
      <w:tr w:rsidR="00EB3BC8" w:rsidRPr="00165651" w:rsidTr="005E52E0">
        <w:trPr>
          <w:trHeight w:val="283"/>
        </w:trPr>
        <w:tc>
          <w:tcPr>
            <w:tcW w:w="2405" w:type="dxa"/>
            <w:vAlign w:val="center"/>
          </w:tcPr>
          <w:p w:rsidR="00EB3BC8" w:rsidRPr="00165651" w:rsidRDefault="00EB3BC8" w:rsidP="005E52E0">
            <w:pPr>
              <w:spacing w:before="40" w:after="40"/>
              <w:rPr>
                <w:rFonts w:cstheme="minorHAnsi"/>
                <w:b/>
                <w:color w:val="000000" w:themeColor="text1"/>
                <w:sz w:val="16"/>
                <w:szCs w:val="16"/>
              </w:rPr>
            </w:pPr>
            <w:r w:rsidRPr="00165651">
              <w:rPr>
                <w:rFonts w:cstheme="minorHAnsi"/>
                <w:b/>
                <w:sz w:val="24"/>
                <w:szCs w:val="16"/>
              </w:rPr>
              <w:t>Histórico Movilización:</w:t>
            </w:r>
          </w:p>
        </w:tc>
        <w:tc>
          <w:tcPr>
            <w:tcW w:w="6662" w:type="dxa"/>
            <w:vAlign w:val="center"/>
          </w:tcPr>
          <w:p w:rsidR="00EB3BC8" w:rsidRPr="00165651" w:rsidRDefault="00EB3BC8" w:rsidP="005E52E0">
            <w:pPr>
              <w:spacing w:before="40" w:after="40"/>
              <w:rPr>
                <w:rFonts w:cstheme="minorHAnsi"/>
                <w:b/>
                <w:color w:val="000000" w:themeColor="text1"/>
                <w:sz w:val="16"/>
                <w:szCs w:val="16"/>
              </w:rPr>
            </w:pPr>
            <w:r w:rsidRPr="00165651">
              <w:rPr>
                <w:rFonts w:cstheme="minorHAnsi"/>
                <w:noProof/>
              </w:rPr>
              <w:drawing>
                <wp:inline distT="0" distB="0" distL="0" distR="0" wp14:anchorId="4780F14A" wp14:editId="38B5740F">
                  <wp:extent cx="4136341" cy="1847850"/>
                  <wp:effectExtent l="0" t="0" r="0" b="0"/>
                  <wp:docPr id="477"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24200" t="42176" r="8082" b="20011"/>
                          <a:stretch/>
                        </pic:blipFill>
                        <pic:spPr bwMode="auto">
                          <a:xfrm>
                            <a:off x="0" y="0"/>
                            <a:ext cx="4140564" cy="1849736"/>
                          </a:xfrm>
                          <a:prstGeom prst="rect">
                            <a:avLst/>
                          </a:prstGeom>
                          <a:ln>
                            <a:noFill/>
                          </a:ln>
                          <a:extLst>
                            <a:ext uri="{53640926-AAD7-44D8-BBD7-CCE9431645EC}">
                              <a14:shadowObscured xmlns:a14="http://schemas.microsoft.com/office/drawing/2010/main"/>
                            </a:ext>
                          </a:extLst>
                        </pic:spPr>
                      </pic:pic>
                    </a:graphicData>
                  </a:graphic>
                </wp:inline>
              </w:drawing>
            </w:r>
          </w:p>
        </w:tc>
      </w:tr>
      <w:tr w:rsidR="00EB3BC8" w:rsidRPr="00165651" w:rsidTr="005E52E0">
        <w:tblPrEx>
          <w:tblCellMar>
            <w:left w:w="70" w:type="dxa"/>
            <w:right w:w="70" w:type="dxa"/>
          </w:tblCellMar>
        </w:tblPrEx>
        <w:trPr>
          <w:trHeight w:val="283"/>
        </w:trPr>
        <w:tc>
          <w:tcPr>
            <w:tcW w:w="2405" w:type="dxa"/>
            <w:vAlign w:val="center"/>
          </w:tcPr>
          <w:p w:rsidR="00EB3BC8" w:rsidRPr="00165651" w:rsidRDefault="00EB3BC8" w:rsidP="005E52E0">
            <w:pPr>
              <w:spacing w:before="40" w:after="40"/>
              <w:rPr>
                <w:rFonts w:cstheme="minorHAnsi"/>
                <w:b/>
                <w:color w:val="000000" w:themeColor="text1"/>
              </w:rPr>
            </w:pPr>
            <w:r w:rsidRPr="00165651">
              <w:rPr>
                <w:rFonts w:cstheme="minorHAnsi"/>
                <w:b/>
              </w:rPr>
              <w:t>Movilización Año 2015:</w:t>
            </w:r>
          </w:p>
        </w:tc>
        <w:tc>
          <w:tcPr>
            <w:tcW w:w="6662" w:type="dxa"/>
            <w:vAlign w:val="center"/>
          </w:tcPr>
          <w:p w:rsidR="00EB3BC8" w:rsidRPr="00165651" w:rsidRDefault="00EB3BC8" w:rsidP="005E52E0">
            <w:pPr>
              <w:spacing w:before="40" w:after="40"/>
              <w:rPr>
                <w:rFonts w:cstheme="minorHAnsi"/>
                <w:b/>
                <w:color w:val="000000" w:themeColor="text1"/>
                <w:sz w:val="16"/>
                <w:szCs w:val="16"/>
              </w:rPr>
            </w:pPr>
            <w:r w:rsidRPr="00165651">
              <w:rPr>
                <w:rFonts w:cstheme="minorHAnsi"/>
                <w:noProof/>
              </w:rPr>
              <w:drawing>
                <wp:inline distT="0" distB="0" distL="0" distR="0" wp14:anchorId="24322490" wp14:editId="32B17C3C">
                  <wp:extent cx="4093210" cy="2284730"/>
                  <wp:effectExtent l="0" t="0" r="2540" b="1270"/>
                  <wp:docPr id="478" name="Gráfico 4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tc>
      </w:tr>
      <w:tr w:rsidR="00EB3BC8" w:rsidRPr="00165651" w:rsidTr="005E52E0">
        <w:tblPrEx>
          <w:tblCellMar>
            <w:left w:w="70" w:type="dxa"/>
            <w:right w:w="70" w:type="dxa"/>
          </w:tblCellMar>
        </w:tblPrEx>
        <w:trPr>
          <w:trHeight w:val="283"/>
        </w:trPr>
        <w:tc>
          <w:tcPr>
            <w:tcW w:w="2405" w:type="dxa"/>
            <w:vAlign w:val="center"/>
          </w:tcPr>
          <w:p w:rsidR="00EB3BC8" w:rsidRPr="00165651" w:rsidRDefault="00EB3BC8" w:rsidP="005E52E0">
            <w:pPr>
              <w:spacing w:before="40" w:after="40"/>
              <w:rPr>
                <w:rFonts w:cstheme="minorHAnsi"/>
                <w:b/>
                <w:color w:val="000000" w:themeColor="text1"/>
              </w:rPr>
            </w:pPr>
            <w:r w:rsidRPr="00165651">
              <w:rPr>
                <w:rFonts w:cstheme="minorHAnsi"/>
                <w:b/>
              </w:rPr>
              <w:t>Clientes Atendidos:</w:t>
            </w:r>
          </w:p>
        </w:tc>
        <w:tc>
          <w:tcPr>
            <w:tcW w:w="6662" w:type="dxa"/>
            <w:vAlign w:val="center"/>
          </w:tcPr>
          <w:p w:rsidR="00EB3BC8" w:rsidRPr="00165651" w:rsidRDefault="00EB3BC8" w:rsidP="005E52E0">
            <w:pPr>
              <w:rPr>
                <w:rFonts w:cstheme="minorHAnsi"/>
              </w:rPr>
            </w:pPr>
          </w:p>
          <w:p w:rsidR="00EB3BC8" w:rsidRPr="00165651" w:rsidRDefault="00EB3BC8" w:rsidP="005E52E0">
            <w:pPr>
              <w:jc w:val="both"/>
              <w:rPr>
                <w:rFonts w:cstheme="minorHAnsi"/>
              </w:rPr>
            </w:pPr>
            <w:r w:rsidRPr="00165651">
              <w:rPr>
                <w:rFonts w:cstheme="minorHAnsi"/>
                <w:b/>
              </w:rPr>
              <w:t>CLIENTES</w:t>
            </w:r>
            <w:r w:rsidRPr="00165651">
              <w:rPr>
                <w:rFonts w:cstheme="minorHAnsi"/>
              </w:rPr>
              <w:t>: DIACO, FANALCA, FERRASA, ARGOS, FAMILIA, INGREDION, DHL/DIMEL,  CENTELSA, ARAUCO, ESTRUMETAL, PANTOS/LG, RIMAX, SUCROAL, MADECENTRO, AGECOLDA, QUIMICOS, COFRE, MASISA, GOODYEAR, FAJOBE, MERSUTEX, CARVAJAL, MANUELITA, METAZA, IMPORTROPI, PLANTIFORMAS, HAMBURG, DISPROQUIN, SONOCO, DAYTEX/NIMEX, DISAN, INORCA, PACKFILM, GEMA, CAÑAVERALEJO, CARLOS ROZO, JOEL RUEDA, APEXTOCOL, CALDERON</w:t>
            </w:r>
          </w:p>
          <w:p w:rsidR="00EB3BC8" w:rsidRPr="00165651" w:rsidRDefault="00EB3BC8" w:rsidP="005E52E0">
            <w:pPr>
              <w:jc w:val="both"/>
              <w:rPr>
                <w:rFonts w:cstheme="minorHAnsi"/>
              </w:rPr>
            </w:pPr>
          </w:p>
          <w:p w:rsidR="00EB3BC8" w:rsidRPr="00165651" w:rsidRDefault="00EB3BC8" w:rsidP="005E52E0">
            <w:pPr>
              <w:jc w:val="both"/>
              <w:rPr>
                <w:rFonts w:cstheme="minorHAnsi"/>
              </w:rPr>
            </w:pPr>
            <w:r w:rsidRPr="00165651">
              <w:rPr>
                <w:rFonts w:cstheme="minorHAnsi"/>
                <w:b/>
              </w:rPr>
              <w:t>PRODUCTOS:</w:t>
            </w:r>
            <w:r w:rsidRPr="00165651">
              <w:rPr>
                <w:rFonts w:cstheme="minorHAnsi"/>
              </w:rPr>
              <w:t xml:space="preserve"> Palanquilla, chatarra, rollos de lámina, cemento, contenedores, maíz, rollos, cobre, aluminio, lamina, varillas de hierro, electrodomésticos, polietileno, propileno, ácido cítrico, químicos, azúcar, materiales para calzado, carga general</w:t>
            </w:r>
          </w:p>
          <w:p w:rsidR="00EB3BC8" w:rsidRPr="00165651" w:rsidRDefault="00EB3BC8" w:rsidP="005E52E0">
            <w:pPr>
              <w:jc w:val="both"/>
              <w:rPr>
                <w:rFonts w:cstheme="minorHAnsi"/>
              </w:rPr>
            </w:pPr>
          </w:p>
          <w:p w:rsidR="00EB3BC8" w:rsidRPr="00165651" w:rsidRDefault="00EB3BC8" w:rsidP="005E52E0">
            <w:pPr>
              <w:spacing w:before="40" w:after="40"/>
              <w:rPr>
                <w:rFonts w:cstheme="minorHAnsi"/>
                <w:b/>
                <w:color w:val="000000" w:themeColor="text1"/>
              </w:rPr>
            </w:pPr>
          </w:p>
        </w:tc>
      </w:tr>
      <w:tr w:rsidR="00EB3BC8" w:rsidRPr="00165651" w:rsidTr="005E52E0">
        <w:tblPrEx>
          <w:tblCellMar>
            <w:left w:w="70" w:type="dxa"/>
            <w:right w:w="70" w:type="dxa"/>
          </w:tblCellMar>
        </w:tblPrEx>
        <w:trPr>
          <w:trHeight w:val="388"/>
        </w:trPr>
        <w:tc>
          <w:tcPr>
            <w:tcW w:w="2405" w:type="dxa"/>
            <w:vAlign w:val="center"/>
          </w:tcPr>
          <w:p w:rsidR="00EB3BC8" w:rsidRPr="00165651" w:rsidRDefault="00EB3BC8" w:rsidP="005E52E0">
            <w:pPr>
              <w:tabs>
                <w:tab w:val="left" w:pos="993"/>
              </w:tabs>
              <w:ind w:left="295" w:hanging="295"/>
              <w:rPr>
                <w:rFonts w:cstheme="minorHAnsi"/>
                <w:b/>
                <w:color w:val="000000" w:themeColor="text1"/>
              </w:rPr>
            </w:pPr>
            <w:r w:rsidRPr="00165651">
              <w:rPr>
                <w:rFonts w:cstheme="minorHAnsi"/>
                <w:b/>
              </w:rPr>
              <w:lastRenderedPageBreak/>
              <w:t>Plan de transporte 2015:</w:t>
            </w:r>
          </w:p>
        </w:tc>
        <w:tc>
          <w:tcPr>
            <w:tcW w:w="6662" w:type="dxa"/>
            <w:vAlign w:val="center"/>
          </w:tcPr>
          <w:p w:rsidR="00EB3BC8" w:rsidRPr="00165651" w:rsidRDefault="00EB3BC8" w:rsidP="005E52E0">
            <w:pPr>
              <w:tabs>
                <w:tab w:val="left" w:pos="993"/>
              </w:tabs>
              <w:ind w:left="295" w:hanging="295"/>
              <w:rPr>
                <w:rFonts w:cstheme="minorHAnsi"/>
                <w:b/>
                <w:color w:val="000000" w:themeColor="text1"/>
                <w:sz w:val="16"/>
                <w:szCs w:val="16"/>
              </w:rPr>
            </w:pPr>
            <w:r w:rsidRPr="00165651">
              <w:rPr>
                <w:rFonts w:cstheme="minorHAnsi"/>
                <w:noProof/>
              </w:rPr>
              <w:drawing>
                <wp:inline distT="0" distB="0" distL="0" distR="0" wp14:anchorId="5DF7CE0E" wp14:editId="06A8DB23">
                  <wp:extent cx="4133850" cy="2362200"/>
                  <wp:effectExtent l="0" t="0" r="0" b="0"/>
                  <wp:docPr id="479" name="Imagen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l="17480" t="49444" r="31003" b="13760"/>
                          <a:stretch/>
                        </pic:blipFill>
                        <pic:spPr bwMode="auto">
                          <a:xfrm>
                            <a:off x="0" y="0"/>
                            <a:ext cx="4139261" cy="2365292"/>
                          </a:xfrm>
                          <a:prstGeom prst="rect">
                            <a:avLst/>
                          </a:prstGeom>
                          <a:ln>
                            <a:noFill/>
                          </a:ln>
                          <a:extLst>
                            <a:ext uri="{53640926-AAD7-44D8-BBD7-CCE9431645EC}">
                              <a14:shadowObscured xmlns:a14="http://schemas.microsoft.com/office/drawing/2010/main"/>
                            </a:ext>
                          </a:extLst>
                        </pic:spPr>
                      </pic:pic>
                    </a:graphicData>
                  </a:graphic>
                </wp:inline>
              </w:drawing>
            </w:r>
          </w:p>
        </w:tc>
      </w:tr>
      <w:tr w:rsidR="00EB3BC8" w:rsidRPr="00165651" w:rsidTr="005E52E0">
        <w:tblPrEx>
          <w:tblCellMar>
            <w:left w:w="70" w:type="dxa"/>
            <w:right w:w="70" w:type="dxa"/>
          </w:tblCellMar>
        </w:tblPrEx>
        <w:trPr>
          <w:trHeight w:val="60"/>
        </w:trPr>
        <w:tc>
          <w:tcPr>
            <w:tcW w:w="2405" w:type="dxa"/>
            <w:vAlign w:val="center"/>
          </w:tcPr>
          <w:p w:rsidR="00EB3BC8" w:rsidRPr="00165651" w:rsidRDefault="00EB3BC8" w:rsidP="005E52E0">
            <w:pPr>
              <w:tabs>
                <w:tab w:val="left" w:pos="993"/>
              </w:tabs>
              <w:ind w:left="295" w:hanging="295"/>
              <w:rPr>
                <w:rFonts w:cstheme="minorHAnsi"/>
                <w:b/>
              </w:rPr>
            </w:pPr>
            <w:r w:rsidRPr="00165651">
              <w:rPr>
                <w:rFonts w:cstheme="minorHAnsi"/>
                <w:b/>
              </w:rPr>
              <w:t>Tendencia movilización de Carga:</w:t>
            </w:r>
          </w:p>
        </w:tc>
        <w:tc>
          <w:tcPr>
            <w:tcW w:w="6662" w:type="dxa"/>
            <w:vAlign w:val="center"/>
          </w:tcPr>
          <w:p w:rsidR="00EB3BC8" w:rsidRPr="00165651" w:rsidRDefault="00EB3BC8" w:rsidP="005E52E0">
            <w:pPr>
              <w:tabs>
                <w:tab w:val="left" w:pos="993"/>
              </w:tabs>
              <w:ind w:left="295" w:hanging="295"/>
              <w:rPr>
                <w:rFonts w:cstheme="minorHAnsi"/>
                <w:b/>
                <w:sz w:val="24"/>
                <w:szCs w:val="16"/>
              </w:rPr>
            </w:pPr>
            <w:r w:rsidRPr="00165651">
              <w:rPr>
                <w:rFonts w:cstheme="minorHAnsi"/>
                <w:b/>
                <w:noProof/>
                <w:sz w:val="24"/>
                <w:szCs w:val="16"/>
              </w:rPr>
              <w:drawing>
                <wp:inline distT="0" distB="0" distL="0" distR="0" wp14:anchorId="16EB7E59" wp14:editId="635ACB63">
                  <wp:extent cx="4137371" cy="1866900"/>
                  <wp:effectExtent l="0" t="0" r="0" b="0"/>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153174" cy="1874031"/>
                          </a:xfrm>
                          <a:prstGeom prst="rect">
                            <a:avLst/>
                          </a:prstGeom>
                          <a:noFill/>
                          <a:ln>
                            <a:noFill/>
                          </a:ln>
                        </pic:spPr>
                      </pic:pic>
                    </a:graphicData>
                  </a:graphic>
                </wp:inline>
              </w:drawing>
            </w:r>
          </w:p>
        </w:tc>
      </w:tr>
    </w:tbl>
    <w:p w:rsidR="00EB3BC8" w:rsidRPr="00165651" w:rsidRDefault="00EB3BC8" w:rsidP="00EB3BC8">
      <w:pPr>
        <w:rPr>
          <w:rFonts w:cstheme="minorHAnsi"/>
        </w:rPr>
      </w:pPr>
    </w:p>
    <w:p w:rsidR="00EB3BC8" w:rsidRPr="00165651" w:rsidRDefault="00EB3BC8" w:rsidP="00EB3BC8">
      <w:pPr>
        <w:jc w:val="both"/>
        <w:rPr>
          <w:rFonts w:cstheme="minorHAnsi"/>
          <w:color w:val="000000"/>
        </w:rPr>
      </w:pPr>
      <w:r w:rsidRPr="00165651">
        <w:rPr>
          <w:rFonts w:cstheme="minorHAnsi"/>
          <w:color w:val="000000"/>
        </w:rPr>
        <w:t>El concesionario realiza inversiones por US$32 millones, que fueron comprometidas con ocasión del Otrosí No.16 de fecha 05 de julio de 2015. El estado de las inversiones y compromisos es el siguiente:</w:t>
      </w:r>
    </w:p>
    <w:p w:rsidR="00EB3BC8" w:rsidRPr="00165651" w:rsidRDefault="00EB3BC8" w:rsidP="00EB3BC8">
      <w:pPr>
        <w:tabs>
          <w:tab w:val="left" w:pos="5925"/>
        </w:tabs>
        <w:rPr>
          <w:rFonts w:eastAsiaTheme="minorHAnsi" w:cstheme="minorHAnsi"/>
        </w:rPr>
      </w:pPr>
      <w:r w:rsidRPr="00165651">
        <w:rPr>
          <w:rFonts w:eastAsiaTheme="minorHAnsi" w:cstheme="minorHAnsi"/>
        </w:rPr>
        <w:tab/>
      </w:r>
    </w:p>
    <w:p w:rsidR="00EB3BC8" w:rsidRPr="00165651" w:rsidRDefault="00EB3BC8" w:rsidP="00EB3BC8">
      <w:pPr>
        <w:rPr>
          <w:rFonts w:cstheme="minorHAnsi"/>
          <w:color w:val="000000"/>
        </w:rPr>
      </w:pPr>
      <w:r w:rsidRPr="00165651">
        <w:rPr>
          <w:rFonts w:cstheme="minorHAnsi"/>
          <w:noProof/>
          <w:color w:val="000000"/>
        </w:rPr>
        <w:lastRenderedPageBreak/>
        <w:drawing>
          <wp:inline distT="0" distB="0" distL="0" distR="0" wp14:anchorId="2D397181" wp14:editId="0FC421DB">
            <wp:extent cx="5760720" cy="4195445"/>
            <wp:effectExtent l="0" t="0" r="0" b="0"/>
            <wp:docPr id="4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38" cstate="screen">
                      <a:extLst>
                        <a:ext uri="{28A0092B-C50C-407E-A947-70E740481C1C}">
                          <a14:useLocalDpi xmlns:a14="http://schemas.microsoft.com/office/drawing/2010/main"/>
                        </a:ext>
                      </a:extLst>
                    </a:blip>
                    <a:srcRect/>
                    <a:stretch/>
                  </pic:blipFill>
                  <pic:spPr>
                    <a:xfrm>
                      <a:off x="0" y="0"/>
                      <a:ext cx="5760720" cy="4195445"/>
                    </a:xfrm>
                    <a:prstGeom prst="rect">
                      <a:avLst/>
                    </a:prstGeom>
                  </pic:spPr>
                </pic:pic>
              </a:graphicData>
            </a:graphic>
          </wp:inline>
        </w:drawing>
      </w:r>
    </w:p>
    <w:p w:rsidR="00EB3BC8" w:rsidRPr="00165651" w:rsidRDefault="00EB3BC8" w:rsidP="000021B2">
      <w:pPr>
        <w:numPr>
          <w:ilvl w:val="0"/>
          <w:numId w:val="46"/>
        </w:numPr>
        <w:spacing w:after="160" w:line="240" w:lineRule="auto"/>
        <w:contextualSpacing/>
        <w:jc w:val="both"/>
        <w:rPr>
          <w:rFonts w:cstheme="minorHAnsi"/>
        </w:rPr>
      </w:pPr>
      <w:r w:rsidRPr="00165651">
        <w:rPr>
          <w:rFonts w:cstheme="minorHAnsi"/>
        </w:rPr>
        <w:t xml:space="preserve">Durante los meses de Enero a Junio se ha realizado la movilización de carga dentro de los volúmenes esperados, </w:t>
      </w:r>
    </w:p>
    <w:p w:rsidR="00EB3BC8" w:rsidRPr="00165651" w:rsidRDefault="00EB3BC8" w:rsidP="00EB3BC8">
      <w:pPr>
        <w:spacing w:line="240" w:lineRule="auto"/>
        <w:rPr>
          <w:rFonts w:eastAsiaTheme="minorHAnsi" w:cstheme="minorHAnsi"/>
        </w:rPr>
      </w:pPr>
    </w:p>
    <w:p w:rsidR="00EB3BC8" w:rsidRPr="00165651" w:rsidRDefault="00EB3BC8" w:rsidP="00EB3BC8">
      <w:pPr>
        <w:rPr>
          <w:rFonts w:cstheme="minorHAnsi"/>
        </w:rPr>
      </w:pPr>
    </w:p>
    <w:p w:rsidR="00EB3BC8" w:rsidRPr="00165651" w:rsidRDefault="00EB3BC8" w:rsidP="00EB3BC8">
      <w:pPr>
        <w:spacing w:line="240" w:lineRule="auto"/>
        <w:jc w:val="both"/>
        <w:rPr>
          <w:rFonts w:cstheme="minorHAnsi"/>
        </w:rPr>
      </w:pPr>
    </w:p>
    <w:tbl>
      <w:tblPr>
        <w:tblpPr w:leftFromText="141" w:rightFromText="141" w:vertAnchor="text" w:tblpXSpec="center" w:tblpY="1"/>
        <w:tblOverlap w:val="never"/>
        <w:tblW w:w="4229" w:type="dxa"/>
        <w:tblCellMar>
          <w:left w:w="70" w:type="dxa"/>
          <w:right w:w="70" w:type="dxa"/>
        </w:tblCellMar>
        <w:tblLook w:val="04A0" w:firstRow="1" w:lastRow="0" w:firstColumn="1" w:lastColumn="0" w:noHBand="0" w:noVBand="1"/>
      </w:tblPr>
      <w:tblGrid>
        <w:gridCol w:w="2043"/>
        <w:gridCol w:w="2186"/>
      </w:tblGrid>
      <w:tr w:rsidR="00EB3BC8" w:rsidRPr="00165651" w:rsidTr="005E52E0">
        <w:trPr>
          <w:trHeight w:val="339"/>
        </w:trPr>
        <w:tc>
          <w:tcPr>
            <w:tcW w:w="2043" w:type="dxa"/>
            <w:tcBorders>
              <w:top w:val="single" w:sz="8" w:space="0" w:color="auto"/>
              <w:left w:val="single" w:sz="8" w:space="0" w:color="auto"/>
              <w:bottom w:val="single" w:sz="4" w:space="0" w:color="auto"/>
              <w:right w:val="single" w:sz="4" w:space="0" w:color="auto"/>
            </w:tcBorders>
            <w:shd w:val="clear" w:color="000000" w:fill="FFFFFF"/>
            <w:hideMark/>
          </w:tcPr>
          <w:p w:rsidR="00EB3BC8" w:rsidRPr="00165651" w:rsidRDefault="00EB3BC8" w:rsidP="005E52E0">
            <w:pPr>
              <w:spacing w:after="0" w:line="240" w:lineRule="auto"/>
              <w:jc w:val="both"/>
              <w:rPr>
                <w:rFonts w:eastAsia="Times New Roman" w:cstheme="minorHAnsi"/>
              </w:rPr>
            </w:pPr>
            <w:r w:rsidRPr="00165651">
              <w:rPr>
                <w:rFonts w:eastAsia="Times New Roman" w:cstheme="minorHAnsi"/>
              </w:rPr>
              <w:t>Enero</w:t>
            </w:r>
          </w:p>
        </w:tc>
        <w:tc>
          <w:tcPr>
            <w:tcW w:w="2186" w:type="dxa"/>
            <w:tcBorders>
              <w:top w:val="single" w:sz="8" w:space="0" w:color="auto"/>
              <w:left w:val="nil"/>
              <w:bottom w:val="single" w:sz="4" w:space="0" w:color="auto"/>
              <w:right w:val="single" w:sz="4" w:space="0" w:color="auto"/>
            </w:tcBorders>
            <w:shd w:val="clear" w:color="000000" w:fill="DAEEF3"/>
            <w:vAlign w:val="center"/>
            <w:hideMark/>
          </w:tcPr>
          <w:p w:rsidR="00EB3BC8" w:rsidRPr="00165651" w:rsidRDefault="00EB3BC8" w:rsidP="005E52E0">
            <w:pPr>
              <w:spacing w:after="0" w:line="240" w:lineRule="auto"/>
              <w:jc w:val="both"/>
              <w:rPr>
                <w:rFonts w:eastAsia="Times New Roman" w:cstheme="minorHAnsi"/>
                <w:b/>
                <w:bCs/>
              </w:rPr>
            </w:pPr>
            <w:r w:rsidRPr="00165651">
              <w:rPr>
                <w:rFonts w:eastAsia="Times New Roman" w:cstheme="minorHAnsi"/>
                <w:b/>
                <w:bCs/>
              </w:rPr>
              <w:t>16.521</w:t>
            </w:r>
          </w:p>
        </w:tc>
      </w:tr>
      <w:tr w:rsidR="00EB3BC8" w:rsidRPr="00165651" w:rsidTr="005E52E0">
        <w:trPr>
          <w:trHeight w:val="339"/>
        </w:trPr>
        <w:tc>
          <w:tcPr>
            <w:tcW w:w="2043" w:type="dxa"/>
            <w:tcBorders>
              <w:top w:val="nil"/>
              <w:left w:val="single" w:sz="8" w:space="0" w:color="auto"/>
              <w:bottom w:val="single" w:sz="4" w:space="0" w:color="auto"/>
              <w:right w:val="single" w:sz="4" w:space="0" w:color="auto"/>
            </w:tcBorders>
            <w:shd w:val="clear" w:color="000000" w:fill="FFFFFF"/>
            <w:hideMark/>
          </w:tcPr>
          <w:p w:rsidR="00EB3BC8" w:rsidRPr="00165651" w:rsidRDefault="00EB3BC8" w:rsidP="005E52E0">
            <w:pPr>
              <w:spacing w:after="0" w:line="240" w:lineRule="auto"/>
              <w:jc w:val="both"/>
              <w:rPr>
                <w:rFonts w:eastAsia="Times New Roman" w:cstheme="minorHAnsi"/>
              </w:rPr>
            </w:pPr>
            <w:r w:rsidRPr="00165651">
              <w:rPr>
                <w:rFonts w:eastAsia="Times New Roman" w:cstheme="minorHAnsi"/>
              </w:rPr>
              <w:t>Febrero</w:t>
            </w:r>
          </w:p>
        </w:tc>
        <w:tc>
          <w:tcPr>
            <w:tcW w:w="2186" w:type="dxa"/>
            <w:tcBorders>
              <w:top w:val="nil"/>
              <w:left w:val="nil"/>
              <w:bottom w:val="single" w:sz="4" w:space="0" w:color="auto"/>
              <w:right w:val="single" w:sz="4" w:space="0" w:color="auto"/>
            </w:tcBorders>
            <w:shd w:val="clear" w:color="000000" w:fill="DAEEF3"/>
            <w:vAlign w:val="center"/>
            <w:hideMark/>
          </w:tcPr>
          <w:p w:rsidR="00EB3BC8" w:rsidRPr="00165651" w:rsidRDefault="00EB3BC8" w:rsidP="005E52E0">
            <w:pPr>
              <w:spacing w:after="0" w:line="240" w:lineRule="auto"/>
              <w:jc w:val="both"/>
              <w:rPr>
                <w:rFonts w:eastAsia="Times New Roman" w:cstheme="minorHAnsi"/>
                <w:b/>
                <w:bCs/>
              </w:rPr>
            </w:pPr>
            <w:r w:rsidRPr="00165651">
              <w:rPr>
                <w:rFonts w:eastAsia="Times New Roman" w:cstheme="minorHAnsi"/>
                <w:b/>
                <w:bCs/>
              </w:rPr>
              <w:t>18.060</w:t>
            </w:r>
          </w:p>
        </w:tc>
      </w:tr>
      <w:tr w:rsidR="00EB3BC8" w:rsidRPr="00165651" w:rsidTr="005E52E0">
        <w:trPr>
          <w:trHeight w:val="339"/>
        </w:trPr>
        <w:tc>
          <w:tcPr>
            <w:tcW w:w="2043" w:type="dxa"/>
            <w:tcBorders>
              <w:top w:val="nil"/>
              <w:left w:val="single" w:sz="8" w:space="0" w:color="auto"/>
              <w:bottom w:val="single" w:sz="4" w:space="0" w:color="auto"/>
              <w:right w:val="single" w:sz="4" w:space="0" w:color="auto"/>
            </w:tcBorders>
            <w:shd w:val="clear" w:color="000000" w:fill="FFFFFF"/>
            <w:hideMark/>
          </w:tcPr>
          <w:p w:rsidR="00EB3BC8" w:rsidRPr="00165651" w:rsidRDefault="00EB3BC8" w:rsidP="005E52E0">
            <w:pPr>
              <w:spacing w:after="0" w:line="240" w:lineRule="auto"/>
              <w:jc w:val="both"/>
              <w:rPr>
                <w:rFonts w:eastAsia="Times New Roman" w:cstheme="minorHAnsi"/>
              </w:rPr>
            </w:pPr>
            <w:r w:rsidRPr="00165651">
              <w:rPr>
                <w:rFonts w:eastAsia="Times New Roman" w:cstheme="minorHAnsi"/>
              </w:rPr>
              <w:t>Marzo</w:t>
            </w:r>
          </w:p>
        </w:tc>
        <w:tc>
          <w:tcPr>
            <w:tcW w:w="2186" w:type="dxa"/>
            <w:tcBorders>
              <w:top w:val="nil"/>
              <w:left w:val="nil"/>
              <w:bottom w:val="single" w:sz="4" w:space="0" w:color="auto"/>
              <w:right w:val="single" w:sz="4" w:space="0" w:color="auto"/>
            </w:tcBorders>
            <w:shd w:val="clear" w:color="000000" w:fill="DAEEF3"/>
            <w:noWrap/>
            <w:vAlign w:val="bottom"/>
            <w:hideMark/>
          </w:tcPr>
          <w:p w:rsidR="00EB3BC8" w:rsidRPr="00165651" w:rsidRDefault="00EB3BC8" w:rsidP="005E52E0">
            <w:pPr>
              <w:spacing w:after="0" w:line="240" w:lineRule="auto"/>
              <w:jc w:val="both"/>
              <w:rPr>
                <w:rFonts w:eastAsia="Times New Roman" w:cstheme="minorHAnsi"/>
                <w:b/>
                <w:bCs/>
              </w:rPr>
            </w:pPr>
            <w:r w:rsidRPr="00165651">
              <w:rPr>
                <w:rFonts w:eastAsia="Times New Roman" w:cstheme="minorHAnsi"/>
                <w:b/>
                <w:bCs/>
              </w:rPr>
              <w:t>22.876</w:t>
            </w:r>
          </w:p>
        </w:tc>
      </w:tr>
      <w:tr w:rsidR="00EB3BC8" w:rsidRPr="00165651" w:rsidTr="005E52E0">
        <w:trPr>
          <w:trHeight w:val="339"/>
        </w:trPr>
        <w:tc>
          <w:tcPr>
            <w:tcW w:w="2043" w:type="dxa"/>
            <w:tcBorders>
              <w:top w:val="single" w:sz="4" w:space="0" w:color="auto"/>
              <w:left w:val="single" w:sz="4" w:space="0" w:color="auto"/>
              <w:bottom w:val="single" w:sz="4" w:space="0" w:color="auto"/>
              <w:right w:val="single" w:sz="4" w:space="0" w:color="auto"/>
            </w:tcBorders>
            <w:shd w:val="clear" w:color="000000" w:fill="FFFFFF"/>
          </w:tcPr>
          <w:p w:rsidR="00EB3BC8" w:rsidRPr="00165651" w:rsidRDefault="00EB3BC8" w:rsidP="005E52E0">
            <w:pPr>
              <w:spacing w:after="0" w:line="240" w:lineRule="auto"/>
              <w:jc w:val="both"/>
              <w:rPr>
                <w:rFonts w:eastAsia="Times New Roman" w:cstheme="minorHAnsi"/>
              </w:rPr>
            </w:pPr>
            <w:r w:rsidRPr="00165651">
              <w:rPr>
                <w:rFonts w:eastAsia="Times New Roman" w:cstheme="minorHAnsi"/>
              </w:rPr>
              <w:t>Abril</w:t>
            </w:r>
          </w:p>
        </w:tc>
        <w:tc>
          <w:tcPr>
            <w:tcW w:w="2186" w:type="dxa"/>
            <w:tcBorders>
              <w:top w:val="single" w:sz="4" w:space="0" w:color="auto"/>
              <w:left w:val="nil"/>
              <w:bottom w:val="single" w:sz="4" w:space="0" w:color="auto"/>
              <w:right w:val="single" w:sz="4" w:space="0" w:color="auto"/>
            </w:tcBorders>
            <w:shd w:val="clear" w:color="000000" w:fill="DAEEF3"/>
            <w:noWrap/>
            <w:vAlign w:val="bottom"/>
          </w:tcPr>
          <w:p w:rsidR="00EB3BC8" w:rsidRPr="00165651" w:rsidRDefault="00EB3BC8" w:rsidP="005E52E0">
            <w:pPr>
              <w:spacing w:after="0" w:line="240" w:lineRule="auto"/>
              <w:jc w:val="both"/>
              <w:rPr>
                <w:rFonts w:eastAsia="Times New Roman" w:cstheme="minorHAnsi"/>
                <w:b/>
                <w:bCs/>
              </w:rPr>
            </w:pPr>
            <w:r w:rsidRPr="00165651">
              <w:rPr>
                <w:rFonts w:eastAsia="Times New Roman" w:cstheme="minorHAnsi"/>
                <w:b/>
                <w:bCs/>
              </w:rPr>
              <w:t>23.553</w:t>
            </w:r>
          </w:p>
        </w:tc>
      </w:tr>
      <w:tr w:rsidR="00EB3BC8" w:rsidRPr="00165651" w:rsidTr="005E52E0">
        <w:trPr>
          <w:trHeight w:val="339"/>
        </w:trPr>
        <w:tc>
          <w:tcPr>
            <w:tcW w:w="2043" w:type="dxa"/>
            <w:tcBorders>
              <w:top w:val="single" w:sz="4" w:space="0" w:color="auto"/>
              <w:left w:val="single" w:sz="4" w:space="0" w:color="auto"/>
              <w:bottom w:val="single" w:sz="4" w:space="0" w:color="auto"/>
              <w:right w:val="single" w:sz="4" w:space="0" w:color="auto"/>
            </w:tcBorders>
            <w:shd w:val="clear" w:color="000000" w:fill="FFFFFF"/>
          </w:tcPr>
          <w:p w:rsidR="00EB3BC8" w:rsidRPr="00165651" w:rsidRDefault="00EB3BC8" w:rsidP="005E52E0">
            <w:pPr>
              <w:spacing w:after="0" w:line="240" w:lineRule="auto"/>
              <w:jc w:val="both"/>
              <w:rPr>
                <w:rFonts w:eastAsia="Times New Roman" w:cstheme="minorHAnsi"/>
              </w:rPr>
            </w:pPr>
            <w:r w:rsidRPr="00165651">
              <w:rPr>
                <w:rFonts w:eastAsia="Times New Roman" w:cstheme="minorHAnsi"/>
              </w:rPr>
              <w:t xml:space="preserve">Mayo </w:t>
            </w:r>
          </w:p>
        </w:tc>
        <w:tc>
          <w:tcPr>
            <w:tcW w:w="2186" w:type="dxa"/>
            <w:tcBorders>
              <w:top w:val="single" w:sz="4" w:space="0" w:color="auto"/>
              <w:left w:val="nil"/>
              <w:bottom w:val="single" w:sz="4" w:space="0" w:color="auto"/>
              <w:right w:val="single" w:sz="4" w:space="0" w:color="auto"/>
            </w:tcBorders>
            <w:shd w:val="clear" w:color="000000" w:fill="DAEEF3"/>
            <w:noWrap/>
            <w:vAlign w:val="bottom"/>
          </w:tcPr>
          <w:p w:rsidR="00EB3BC8" w:rsidRPr="00165651" w:rsidRDefault="00EB3BC8" w:rsidP="005E52E0">
            <w:pPr>
              <w:spacing w:after="0" w:line="240" w:lineRule="auto"/>
              <w:jc w:val="both"/>
              <w:rPr>
                <w:rFonts w:eastAsia="Times New Roman" w:cstheme="minorHAnsi"/>
                <w:b/>
                <w:bCs/>
              </w:rPr>
            </w:pPr>
            <w:r w:rsidRPr="00165651">
              <w:rPr>
                <w:rFonts w:eastAsia="Times New Roman" w:cstheme="minorHAnsi"/>
                <w:b/>
                <w:bCs/>
              </w:rPr>
              <w:t>21.424</w:t>
            </w:r>
          </w:p>
        </w:tc>
      </w:tr>
      <w:tr w:rsidR="00EB3BC8" w:rsidRPr="00165651" w:rsidTr="005E52E0">
        <w:trPr>
          <w:trHeight w:val="339"/>
        </w:trPr>
        <w:tc>
          <w:tcPr>
            <w:tcW w:w="2043" w:type="dxa"/>
            <w:tcBorders>
              <w:top w:val="single" w:sz="4" w:space="0" w:color="auto"/>
              <w:left w:val="single" w:sz="4" w:space="0" w:color="auto"/>
              <w:bottom w:val="single" w:sz="4" w:space="0" w:color="auto"/>
              <w:right w:val="single" w:sz="4" w:space="0" w:color="auto"/>
            </w:tcBorders>
            <w:shd w:val="clear" w:color="000000" w:fill="FFFFFF"/>
          </w:tcPr>
          <w:p w:rsidR="00EB3BC8" w:rsidRPr="00165651" w:rsidRDefault="00EB3BC8" w:rsidP="005E52E0">
            <w:pPr>
              <w:spacing w:after="0" w:line="240" w:lineRule="auto"/>
              <w:jc w:val="both"/>
              <w:rPr>
                <w:rFonts w:eastAsia="Times New Roman" w:cstheme="minorHAnsi"/>
              </w:rPr>
            </w:pPr>
            <w:r w:rsidRPr="00165651">
              <w:rPr>
                <w:rFonts w:eastAsia="Times New Roman" w:cstheme="minorHAnsi"/>
              </w:rPr>
              <w:t>Junio</w:t>
            </w:r>
          </w:p>
        </w:tc>
        <w:tc>
          <w:tcPr>
            <w:tcW w:w="2186" w:type="dxa"/>
            <w:tcBorders>
              <w:top w:val="single" w:sz="4" w:space="0" w:color="auto"/>
              <w:left w:val="nil"/>
              <w:bottom w:val="single" w:sz="4" w:space="0" w:color="auto"/>
              <w:right w:val="single" w:sz="4" w:space="0" w:color="auto"/>
            </w:tcBorders>
            <w:shd w:val="clear" w:color="000000" w:fill="DAEEF3"/>
            <w:noWrap/>
            <w:vAlign w:val="bottom"/>
          </w:tcPr>
          <w:p w:rsidR="00EB3BC8" w:rsidRPr="00165651" w:rsidRDefault="00EB3BC8" w:rsidP="005E52E0">
            <w:pPr>
              <w:spacing w:after="0" w:line="240" w:lineRule="auto"/>
              <w:jc w:val="both"/>
              <w:rPr>
                <w:rFonts w:eastAsia="Times New Roman" w:cstheme="minorHAnsi"/>
                <w:b/>
                <w:bCs/>
              </w:rPr>
            </w:pPr>
            <w:r w:rsidRPr="00165651">
              <w:rPr>
                <w:rFonts w:eastAsia="Times New Roman" w:cstheme="minorHAnsi"/>
                <w:b/>
                <w:bCs/>
              </w:rPr>
              <w:t>16.549</w:t>
            </w:r>
          </w:p>
        </w:tc>
      </w:tr>
    </w:tbl>
    <w:p w:rsidR="00EB3BC8" w:rsidRPr="00165651" w:rsidRDefault="00EB3BC8" w:rsidP="00EB3BC8">
      <w:pPr>
        <w:spacing w:line="240" w:lineRule="auto"/>
        <w:jc w:val="center"/>
        <w:rPr>
          <w:rFonts w:cstheme="minorHAnsi"/>
        </w:rPr>
      </w:pPr>
    </w:p>
    <w:p w:rsidR="00EB3BC8" w:rsidRPr="00165651" w:rsidRDefault="00EB3BC8" w:rsidP="00EB3BC8">
      <w:pPr>
        <w:spacing w:line="240" w:lineRule="auto"/>
        <w:jc w:val="center"/>
        <w:rPr>
          <w:rFonts w:cstheme="minorHAnsi"/>
        </w:rPr>
      </w:pPr>
    </w:p>
    <w:p w:rsidR="00EB3BC8" w:rsidRPr="00165651" w:rsidRDefault="00EB3BC8" w:rsidP="00EB3BC8">
      <w:pPr>
        <w:spacing w:line="240" w:lineRule="auto"/>
        <w:jc w:val="center"/>
        <w:rPr>
          <w:rFonts w:cstheme="minorHAnsi"/>
        </w:rPr>
      </w:pPr>
    </w:p>
    <w:p w:rsidR="00EB3BC8" w:rsidRPr="00165651" w:rsidRDefault="00EB3BC8" w:rsidP="00EB3BC8">
      <w:pPr>
        <w:spacing w:line="240" w:lineRule="auto"/>
        <w:jc w:val="center"/>
        <w:rPr>
          <w:rFonts w:cstheme="minorHAnsi"/>
        </w:rPr>
      </w:pPr>
    </w:p>
    <w:p w:rsidR="00EB3BC8" w:rsidRPr="00165651" w:rsidRDefault="00EB3BC8" w:rsidP="00EB3BC8">
      <w:pPr>
        <w:spacing w:line="240" w:lineRule="auto"/>
        <w:jc w:val="center"/>
        <w:rPr>
          <w:rFonts w:cstheme="minorHAnsi"/>
        </w:rPr>
      </w:pPr>
    </w:p>
    <w:p w:rsidR="00EB3BC8" w:rsidRPr="00165651" w:rsidRDefault="00EB3BC8" w:rsidP="00EB3BC8">
      <w:pPr>
        <w:spacing w:line="240" w:lineRule="auto"/>
        <w:jc w:val="center"/>
        <w:rPr>
          <w:rFonts w:cstheme="minorHAnsi"/>
        </w:rPr>
      </w:pPr>
    </w:p>
    <w:p w:rsidR="00EB3BC8" w:rsidRPr="00165651" w:rsidRDefault="00EB3BC8" w:rsidP="00EB3BC8">
      <w:pPr>
        <w:spacing w:line="240" w:lineRule="auto"/>
        <w:jc w:val="both"/>
        <w:rPr>
          <w:rFonts w:cstheme="minorHAnsi"/>
        </w:rPr>
      </w:pPr>
    </w:p>
    <w:p w:rsidR="00EB3BC8" w:rsidRPr="00165651" w:rsidRDefault="00EB3BC8" w:rsidP="000021B2">
      <w:pPr>
        <w:numPr>
          <w:ilvl w:val="1"/>
          <w:numId w:val="47"/>
        </w:numPr>
        <w:spacing w:before="120" w:after="0" w:line="240" w:lineRule="auto"/>
        <w:contextualSpacing/>
        <w:jc w:val="both"/>
        <w:rPr>
          <w:rFonts w:eastAsia="Times New Roman" w:cstheme="minorHAnsi"/>
          <w:b/>
          <w:sz w:val="20"/>
          <w:szCs w:val="20"/>
        </w:rPr>
      </w:pPr>
      <w:r w:rsidRPr="00165651">
        <w:rPr>
          <w:rFonts w:eastAsiaTheme="minorHAnsi" w:cstheme="minorHAnsi"/>
          <w:b/>
        </w:rPr>
        <w:t xml:space="preserve"> INFORME DE GESTION  CORREDOR FÈRREO LA DORADA - CHIRIGUANA </w:t>
      </w:r>
    </w:p>
    <w:p w:rsidR="00EB3BC8" w:rsidRPr="00165651" w:rsidRDefault="00EB3BC8" w:rsidP="00EB3BC8">
      <w:pPr>
        <w:spacing w:before="120" w:after="0" w:line="240" w:lineRule="auto"/>
        <w:jc w:val="both"/>
        <w:rPr>
          <w:rFonts w:eastAsia="Times New Roman" w:cstheme="minorHAnsi"/>
          <w:b/>
          <w:sz w:val="20"/>
          <w:szCs w:val="20"/>
        </w:rPr>
      </w:pPr>
    </w:p>
    <w:tbl>
      <w:tblPr>
        <w:tblStyle w:val="Tablaconcuadrcula23"/>
        <w:tblpPr w:leftFromText="141" w:rightFromText="141" w:vertAnchor="text" w:tblpY="1"/>
        <w:tblOverlap w:val="neve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43"/>
        <w:gridCol w:w="567"/>
        <w:gridCol w:w="992"/>
        <w:gridCol w:w="3827"/>
        <w:gridCol w:w="1418"/>
        <w:gridCol w:w="1420"/>
      </w:tblGrid>
      <w:tr w:rsidR="00EB3BC8" w:rsidRPr="00165651" w:rsidTr="005E52E0">
        <w:trPr>
          <w:trHeight w:val="340"/>
        </w:trPr>
        <w:tc>
          <w:tcPr>
            <w:tcW w:w="2402" w:type="dxa"/>
            <w:gridSpan w:val="3"/>
            <w:shd w:val="clear" w:color="auto" w:fill="auto"/>
            <w:vAlign w:val="center"/>
          </w:tcPr>
          <w:p w:rsidR="00EB3BC8" w:rsidRPr="00165651" w:rsidRDefault="00EB3BC8" w:rsidP="005E52E0">
            <w:pPr>
              <w:spacing w:before="40" w:after="40"/>
              <w:jc w:val="both"/>
              <w:rPr>
                <w:rFonts w:eastAsia="Times New Roman" w:cstheme="minorHAnsi"/>
                <w:b/>
                <w:color w:val="000000" w:themeColor="text1"/>
                <w:sz w:val="18"/>
                <w:szCs w:val="16"/>
                <w:lang w:val="es-CO" w:eastAsia="es-CO"/>
              </w:rPr>
            </w:pPr>
            <w:r w:rsidRPr="00165651">
              <w:rPr>
                <w:rFonts w:eastAsia="Times New Roman" w:cstheme="minorHAnsi"/>
                <w:b/>
                <w:color w:val="000000" w:themeColor="text1"/>
                <w:sz w:val="18"/>
                <w:szCs w:val="16"/>
                <w:lang w:val="es-CO" w:eastAsia="es-CO"/>
              </w:rPr>
              <w:lastRenderedPageBreak/>
              <w:t>Contrato de Obra</w:t>
            </w:r>
          </w:p>
        </w:tc>
        <w:tc>
          <w:tcPr>
            <w:tcW w:w="6665" w:type="dxa"/>
            <w:gridSpan w:val="3"/>
            <w:shd w:val="clear" w:color="auto" w:fill="auto"/>
            <w:vAlign w:val="center"/>
          </w:tcPr>
          <w:p w:rsidR="00EB3BC8" w:rsidRPr="00165651" w:rsidRDefault="00EB3BC8" w:rsidP="005E52E0">
            <w:pPr>
              <w:spacing w:before="40" w:after="40"/>
              <w:jc w:val="both"/>
              <w:rPr>
                <w:rFonts w:eastAsia="Times New Roman" w:cstheme="minorHAnsi"/>
                <w:color w:val="000000" w:themeColor="text1"/>
                <w:sz w:val="18"/>
                <w:szCs w:val="16"/>
                <w:lang w:val="es-CO" w:eastAsia="es-CO"/>
              </w:rPr>
            </w:pPr>
            <w:r w:rsidRPr="00165651">
              <w:rPr>
                <w:rFonts w:eastAsia="Times New Roman" w:cstheme="minorHAnsi"/>
                <w:color w:val="000000" w:themeColor="text1"/>
                <w:sz w:val="18"/>
                <w:szCs w:val="16"/>
                <w:lang w:val="es-CO" w:eastAsia="es-CO"/>
              </w:rPr>
              <w:t>VJ-418 del 17 de octubre de 2013</w:t>
            </w:r>
          </w:p>
        </w:tc>
      </w:tr>
      <w:tr w:rsidR="00EB3BC8" w:rsidRPr="00165651" w:rsidTr="005E52E0">
        <w:trPr>
          <w:trHeight w:val="1154"/>
        </w:trPr>
        <w:tc>
          <w:tcPr>
            <w:tcW w:w="2402" w:type="dxa"/>
            <w:gridSpan w:val="3"/>
            <w:vAlign w:val="center"/>
          </w:tcPr>
          <w:p w:rsidR="00EB3BC8" w:rsidRPr="00165651" w:rsidRDefault="00EB3BC8" w:rsidP="005E52E0">
            <w:pPr>
              <w:spacing w:before="40" w:after="40"/>
              <w:jc w:val="both"/>
              <w:rPr>
                <w:rFonts w:eastAsia="Times New Roman" w:cstheme="minorHAnsi"/>
                <w:b/>
                <w:color w:val="000000" w:themeColor="text1"/>
                <w:sz w:val="18"/>
                <w:szCs w:val="16"/>
                <w:lang w:val="es-CO" w:eastAsia="es-CO"/>
              </w:rPr>
            </w:pPr>
            <w:r w:rsidRPr="00165651">
              <w:rPr>
                <w:rFonts w:eastAsia="Times New Roman" w:cstheme="minorHAnsi"/>
                <w:b/>
                <w:color w:val="000000" w:themeColor="text1"/>
                <w:sz w:val="18"/>
                <w:szCs w:val="16"/>
                <w:lang w:val="es-CO" w:eastAsia="es-CO"/>
              </w:rPr>
              <w:t>Objeto del Contrato</w:t>
            </w:r>
          </w:p>
        </w:tc>
        <w:tc>
          <w:tcPr>
            <w:tcW w:w="6665" w:type="dxa"/>
            <w:gridSpan w:val="3"/>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6"/>
                <w:lang w:val="es-CO" w:eastAsia="es-CO"/>
              </w:rPr>
            </w:pPr>
            <w:r w:rsidRPr="00165651">
              <w:rPr>
                <w:rFonts w:eastAsia="Times New Roman" w:cstheme="minorHAnsi"/>
                <w:color w:val="000000" w:themeColor="text1"/>
                <w:sz w:val="18"/>
                <w:szCs w:val="16"/>
                <w:lang w:val="es-CO" w:eastAsia="es-CO"/>
              </w:rPr>
              <w:t>“Reparación y atención de puntos críticos que presenta la vía férrea en los tramos: La Dorada (PK 201+502) - Chiriguaná (PK 722+683); Puerto Berrio (PK 328+100) – Cabañas (PK 361+199) ramal de Puerto Capulco, que se ubica entre las abscisas PK 597+394,08 (cambiavías sur) y PK 598+253,54 (cambiavías norte) que finaliza en la abscisa PK 601+976,20, así como administración, mejoramiento, mantenimiento, vigilancia y control de tráfico entre otras actividades por el tiempo de vigencia de este contrato”</w:t>
            </w:r>
          </w:p>
        </w:tc>
      </w:tr>
      <w:tr w:rsidR="00EB3BC8" w:rsidRPr="00165651" w:rsidTr="005E52E0">
        <w:trPr>
          <w:trHeight w:val="2121"/>
        </w:trPr>
        <w:tc>
          <w:tcPr>
            <w:tcW w:w="2402" w:type="dxa"/>
            <w:gridSpan w:val="3"/>
            <w:vAlign w:val="center"/>
          </w:tcPr>
          <w:p w:rsidR="00EB3BC8" w:rsidRPr="00165651" w:rsidRDefault="00EB3BC8" w:rsidP="005E52E0">
            <w:pPr>
              <w:spacing w:before="40" w:after="40"/>
              <w:rPr>
                <w:rFonts w:eastAsia="Times New Roman" w:cstheme="minorHAnsi"/>
                <w:b/>
                <w:color w:val="000000" w:themeColor="text1"/>
                <w:sz w:val="18"/>
                <w:szCs w:val="16"/>
                <w:lang w:val="es-CO" w:eastAsia="es-CO"/>
              </w:rPr>
            </w:pPr>
            <w:r w:rsidRPr="00165651">
              <w:rPr>
                <w:rFonts w:eastAsia="Times New Roman" w:cstheme="minorHAnsi"/>
                <w:b/>
                <w:color w:val="000000" w:themeColor="text1"/>
                <w:sz w:val="18"/>
                <w:szCs w:val="16"/>
                <w:lang w:val="es-CO" w:eastAsia="es-CO"/>
              </w:rPr>
              <w:t>Descripción General del proyecto</w:t>
            </w:r>
          </w:p>
        </w:tc>
        <w:tc>
          <w:tcPr>
            <w:tcW w:w="6665" w:type="dxa"/>
            <w:gridSpan w:val="3"/>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6"/>
                <w:lang w:val="es-CO" w:eastAsia="es-CO"/>
              </w:rPr>
            </w:pPr>
            <w:r w:rsidRPr="00165651">
              <w:rPr>
                <w:rFonts w:eastAsia="Times New Roman" w:cstheme="minorHAnsi"/>
                <w:color w:val="000000" w:themeColor="text1"/>
                <w:sz w:val="18"/>
                <w:szCs w:val="16"/>
                <w:lang w:val="es-CO" w:eastAsia="es-CO"/>
              </w:rPr>
              <w:t>El proyecto consiste en la reparación y atención de puntos críticos que presenta la vía férrea en los tramos:  La  Dorada  (PK  201+502)  -  Chiriguaná  (PK  722+683);  Puerto  Berrio  (PK  328+100)  – Cabañas (PK 361+199) Ramal de Puerto Capulco, que se ubica entre las abscisas PK 597+394,08 (cambiavías sur) y PK 598+253,54 (cambiavías norte) que finaliza en la abscisa PK 601+976,20, así como su administración, mejoramiento, mantenimiento, vigilancia y control de tráfico entre otras actividades por el tiempo de vigencia de este contrato, con el fin de reactivar la operación férrea que se ha visto interrumpida por daños en la vía, producto de las olas invernales del 2010 y 2011 respectivamente. Este corredor corresponde a una sola línea férrea que cruza o pasa por cercanía a los municipios de: La Dorada, Puerto Triunfo, Puerto Boyacá, Puerto Nare, Puerto Berrio, Puerto Parra, Barrancabermeja, Puerto Wilches, Gamarra, Pelaya, Pailitas y Chiriguaná.</w:t>
            </w:r>
          </w:p>
        </w:tc>
      </w:tr>
      <w:tr w:rsidR="00EB3BC8" w:rsidRPr="00165651" w:rsidTr="005E52E0">
        <w:trPr>
          <w:trHeight w:val="283"/>
        </w:trPr>
        <w:tc>
          <w:tcPr>
            <w:tcW w:w="2402" w:type="dxa"/>
            <w:gridSpan w:val="3"/>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Localización General Corredor Férreo y obras objeto del contrato</w:t>
            </w:r>
          </w:p>
        </w:tc>
        <w:tc>
          <w:tcPr>
            <w:tcW w:w="6665" w:type="dxa"/>
            <w:gridSpan w:val="3"/>
            <w:vAlign w:val="center"/>
          </w:tcPr>
          <w:p w:rsidR="00EB3BC8" w:rsidRPr="00165651" w:rsidRDefault="00EB3BC8" w:rsidP="005E52E0">
            <w:pPr>
              <w:spacing w:before="40" w:after="40"/>
              <w:jc w:val="center"/>
              <w:rPr>
                <w:rFonts w:eastAsia="Times New Roman" w:cstheme="minorHAnsi"/>
                <w:color w:val="000000" w:themeColor="text1"/>
                <w:sz w:val="16"/>
                <w:szCs w:val="16"/>
                <w:lang w:val="es-CO" w:eastAsia="es-CO"/>
              </w:rPr>
            </w:pPr>
            <w:r w:rsidRPr="00165651">
              <w:rPr>
                <w:rFonts w:eastAsia="Times New Roman" w:cstheme="minorHAnsi"/>
                <w:noProof/>
                <w:color w:val="000000" w:themeColor="text1"/>
                <w:sz w:val="16"/>
                <w:szCs w:val="16"/>
              </w:rPr>
              <w:drawing>
                <wp:inline distT="0" distB="0" distL="0" distR="0" wp14:anchorId="725386AD" wp14:editId="09629CED">
                  <wp:extent cx="3636000" cy="4199835"/>
                  <wp:effectExtent l="0" t="0" r="3175"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636000" cy="4199835"/>
                          </a:xfrm>
                          <a:prstGeom prst="rect">
                            <a:avLst/>
                          </a:prstGeom>
                        </pic:spPr>
                      </pic:pic>
                    </a:graphicData>
                  </a:graphic>
                </wp:inline>
              </w:drawing>
            </w:r>
          </w:p>
        </w:tc>
      </w:tr>
      <w:tr w:rsidR="00EB3BC8" w:rsidRPr="00165651" w:rsidTr="005E52E0">
        <w:trPr>
          <w:trHeight w:val="397"/>
        </w:trPr>
        <w:tc>
          <w:tcPr>
            <w:tcW w:w="2402" w:type="dxa"/>
            <w:gridSpan w:val="3"/>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Longitud del Corredor:</w:t>
            </w:r>
          </w:p>
        </w:tc>
        <w:tc>
          <w:tcPr>
            <w:tcW w:w="6665" w:type="dxa"/>
            <w:gridSpan w:val="3"/>
            <w:vAlign w:val="center"/>
          </w:tcPr>
          <w:p w:rsidR="00EB3BC8" w:rsidRPr="00165651" w:rsidRDefault="00EB3BC8" w:rsidP="005E52E0">
            <w:pPr>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Chiriguaná (PK 722+683) – La Dorada (PK 201+502): 521 Km</w:t>
            </w:r>
          </w:p>
          <w:p w:rsidR="00EB3BC8" w:rsidRPr="00165651" w:rsidRDefault="00EB3BC8" w:rsidP="005E52E0">
            <w:pPr>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Puerto Berrío (PK 328+100) – Cabañas (PK 361+199): 33,1 Km</w:t>
            </w:r>
          </w:p>
          <w:p w:rsidR="00EB3BC8" w:rsidRPr="00165651" w:rsidRDefault="00EB3BC8" w:rsidP="005E52E0">
            <w:pPr>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Ramal Capulco (PK 598+900 al 602+900: 4 Km </w:t>
            </w:r>
          </w:p>
        </w:tc>
      </w:tr>
      <w:tr w:rsidR="00EB3BC8" w:rsidRPr="00165651" w:rsidTr="005E52E0">
        <w:trPr>
          <w:trHeight w:val="340"/>
        </w:trPr>
        <w:tc>
          <w:tcPr>
            <w:tcW w:w="2402" w:type="dxa"/>
            <w:gridSpan w:val="3"/>
            <w:vAlign w:val="center"/>
          </w:tcPr>
          <w:p w:rsidR="00EB3BC8" w:rsidRPr="00165651" w:rsidRDefault="00EB3BC8" w:rsidP="005E52E0">
            <w:pPr>
              <w:spacing w:before="40" w:after="40"/>
              <w:jc w:val="both"/>
              <w:rPr>
                <w:rFonts w:eastAsia="Times New Roman" w:cstheme="minorHAnsi"/>
                <w:color w:val="000000" w:themeColor="text1"/>
                <w:sz w:val="18"/>
                <w:szCs w:val="18"/>
                <w:lang w:val="es-CO" w:eastAsia="es-CO"/>
              </w:rPr>
            </w:pPr>
            <w:r w:rsidRPr="00165651">
              <w:rPr>
                <w:rFonts w:eastAsia="Times New Roman" w:cstheme="minorHAnsi"/>
                <w:b/>
                <w:color w:val="000000" w:themeColor="text1"/>
                <w:sz w:val="18"/>
                <w:szCs w:val="18"/>
                <w:lang w:val="es-CO" w:eastAsia="es-CO"/>
              </w:rPr>
              <w:t>Fecha adjudicación Contrato</w:t>
            </w:r>
          </w:p>
        </w:tc>
        <w:tc>
          <w:tcPr>
            <w:tcW w:w="6665" w:type="dxa"/>
            <w:gridSpan w:val="3"/>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color w:val="000000" w:themeColor="text1"/>
                <w:sz w:val="18"/>
                <w:szCs w:val="18"/>
                <w:lang w:val="es-CO" w:eastAsia="es-CO"/>
              </w:rPr>
              <w:t>25 de septiembre de 2013</w:t>
            </w:r>
          </w:p>
        </w:tc>
      </w:tr>
      <w:tr w:rsidR="00EB3BC8" w:rsidRPr="00165651" w:rsidTr="005E52E0">
        <w:trPr>
          <w:trHeight w:val="283"/>
        </w:trPr>
        <w:tc>
          <w:tcPr>
            <w:tcW w:w="843" w:type="dxa"/>
            <w:vMerge w:val="restart"/>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lastRenderedPageBreak/>
              <w:t>Plazos</w:t>
            </w:r>
          </w:p>
        </w:tc>
        <w:tc>
          <w:tcPr>
            <w:tcW w:w="1559"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Contrato</w:t>
            </w:r>
          </w:p>
        </w:tc>
        <w:tc>
          <w:tcPr>
            <w:tcW w:w="3827" w:type="dxa"/>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24 meses</w:t>
            </w:r>
          </w:p>
        </w:tc>
        <w:tc>
          <w:tcPr>
            <w:tcW w:w="1418" w:type="dxa"/>
            <w:vMerge w:val="restart"/>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Fecha de firma del Contrato</w:t>
            </w:r>
          </w:p>
        </w:tc>
        <w:tc>
          <w:tcPr>
            <w:tcW w:w="1420" w:type="dxa"/>
            <w:vMerge w:val="restart"/>
            <w:tcBorders>
              <w:left w:val="single" w:sz="4" w:space="0" w:color="9BBB59" w:themeColor="accent3"/>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17 de oct. de 2013</w:t>
            </w:r>
          </w:p>
        </w:tc>
      </w:tr>
      <w:tr w:rsidR="00EB3BC8" w:rsidRPr="00165651" w:rsidTr="005E52E0">
        <w:trPr>
          <w:trHeight w:val="283"/>
        </w:trPr>
        <w:tc>
          <w:tcPr>
            <w:tcW w:w="843" w:type="dxa"/>
            <w:vMerge/>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p>
        </w:tc>
        <w:tc>
          <w:tcPr>
            <w:tcW w:w="1559"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Obras</w:t>
            </w:r>
          </w:p>
        </w:tc>
        <w:tc>
          <w:tcPr>
            <w:tcW w:w="3827" w:type="dxa"/>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17 meses a partir del acta de inicio – 30 de marzo 2015.</w:t>
            </w:r>
          </w:p>
        </w:tc>
        <w:tc>
          <w:tcPr>
            <w:tcW w:w="1418" w:type="dxa"/>
            <w:vMerge/>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p>
        </w:tc>
        <w:tc>
          <w:tcPr>
            <w:tcW w:w="1420" w:type="dxa"/>
            <w:vMerge/>
            <w:tcBorders>
              <w:left w:val="single" w:sz="4" w:space="0" w:color="9BBB59" w:themeColor="accent3"/>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p>
        </w:tc>
      </w:tr>
      <w:tr w:rsidR="00EB3BC8" w:rsidRPr="00165651" w:rsidTr="005E52E0">
        <w:trPr>
          <w:trHeight w:val="283"/>
        </w:trPr>
        <w:tc>
          <w:tcPr>
            <w:tcW w:w="843" w:type="dxa"/>
            <w:vMerge w:val="restart"/>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Valores</w:t>
            </w:r>
          </w:p>
        </w:tc>
        <w:tc>
          <w:tcPr>
            <w:tcW w:w="1559"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Contrato Inicial</w:t>
            </w:r>
          </w:p>
        </w:tc>
        <w:tc>
          <w:tcPr>
            <w:tcW w:w="3827" w:type="dxa"/>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$COP 90.835.540.937</w:t>
            </w:r>
          </w:p>
        </w:tc>
        <w:tc>
          <w:tcPr>
            <w:tcW w:w="1418" w:type="dxa"/>
            <w:vMerge w:val="restart"/>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xml:space="preserve">Fecha firma acta de Inicio </w:t>
            </w:r>
          </w:p>
        </w:tc>
        <w:tc>
          <w:tcPr>
            <w:tcW w:w="1420" w:type="dxa"/>
            <w:vMerge w:val="restart"/>
            <w:tcBorders>
              <w:left w:val="single" w:sz="4" w:space="0" w:color="9BBB59" w:themeColor="accent3"/>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1 de nov. de 2013</w:t>
            </w:r>
          </w:p>
        </w:tc>
      </w:tr>
      <w:tr w:rsidR="00EB3BC8" w:rsidRPr="00165651" w:rsidTr="005E52E0">
        <w:trPr>
          <w:trHeight w:val="283"/>
        </w:trPr>
        <w:tc>
          <w:tcPr>
            <w:tcW w:w="843" w:type="dxa"/>
            <w:vMerge/>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p>
        </w:tc>
        <w:tc>
          <w:tcPr>
            <w:tcW w:w="1559"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Contrato Actual</w:t>
            </w:r>
          </w:p>
        </w:tc>
        <w:tc>
          <w:tcPr>
            <w:tcW w:w="3827" w:type="dxa"/>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$COP 99.631.796.815</w:t>
            </w:r>
          </w:p>
        </w:tc>
        <w:tc>
          <w:tcPr>
            <w:tcW w:w="1418" w:type="dxa"/>
            <w:vMerge/>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p>
        </w:tc>
        <w:tc>
          <w:tcPr>
            <w:tcW w:w="1420" w:type="dxa"/>
            <w:vMerge/>
            <w:tcBorders>
              <w:left w:val="single" w:sz="4" w:space="0" w:color="9BBB59" w:themeColor="accent3"/>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p>
        </w:tc>
      </w:tr>
      <w:tr w:rsidR="00EB3BC8" w:rsidRPr="00165651" w:rsidTr="005E52E0">
        <w:trPr>
          <w:trHeight w:val="283"/>
        </w:trPr>
        <w:tc>
          <w:tcPr>
            <w:tcW w:w="843" w:type="dxa"/>
            <w:vMerge/>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p>
        </w:tc>
        <w:tc>
          <w:tcPr>
            <w:tcW w:w="1559"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Obras Contractual</w:t>
            </w:r>
          </w:p>
        </w:tc>
        <w:tc>
          <w:tcPr>
            <w:tcW w:w="3827" w:type="dxa"/>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$COP 40.418.931.118</w:t>
            </w:r>
          </w:p>
        </w:tc>
        <w:tc>
          <w:tcPr>
            <w:tcW w:w="1418" w:type="dxa"/>
            <w:vMerge/>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p>
        </w:tc>
        <w:tc>
          <w:tcPr>
            <w:tcW w:w="1420" w:type="dxa"/>
            <w:vMerge/>
            <w:tcBorders>
              <w:left w:val="single" w:sz="4" w:space="0" w:color="9BBB59" w:themeColor="accent3"/>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p>
        </w:tc>
      </w:tr>
      <w:tr w:rsidR="00EB3BC8" w:rsidRPr="00165651" w:rsidTr="005E52E0">
        <w:trPr>
          <w:trHeight w:val="326"/>
        </w:trPr>
        <w:tc>
          <w:tcPr>
            <w:tcW w:w="843" w:type="dxa"/>
            <w:vMerge/>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p>
        </w:tc>
        <w:tc>
          <w:tcPr>
            <w:tcW w:w="1559"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Obras actual.</w:t>
            </w:r>
          </w:p>
        </w:tc>
        <w:tc>
          <w:tcPr>
            <w:tcW w:w="3827" w:type="dxa"/>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xml:space="preserve">$COP </w:t>
            </w:r>
            <w:r w:rsidRPr="00165651">
              <w:rPr>
                <w:rFonts w:eastAsia="Times New Roman" w:cstheme="minorHAnsi"/>
                <w:b/>
                <w:color w:val="000000"/>
                <w:sz w:val="18"/>
                <w:szCs w:val="18"/>
                <w:lang w:val="es-CO" w:eastAsia="es-CO"/>
              </w:rPr>
              <w:t xml:space="preserve">48.967.867.706 </w:t>
            </w:r>
          </w:p>
        </w:tc>
        <w:tc>
          <w:tcPr>
            <w:tcW w:w="1418" w:type="dxa"/>
            <w:vMerge/>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p>
        </w:tc>
        <w:tc>
          <w:tcPr>
            <w:tcW w:w="1420" w:type="dxa"/>
            <w:vMerge/>
            <w:tcBorders>
              <w:left w:val="single" w:sz="4" w:space="0" w:color="9BBB59" w:themeColor="accent3"/>
            </w:tcBorders>
            <w:vAlign w:val="center"/>
          </w:tcPr>
          <w:p w:rsidR="00EB3BC8" w:rsidRPr="00165651" w:rsidRDefault="00EB3BC8" w:rsidP="005E52E0">
            <w:pPr>
              <w:tabs>
                <w:tab w:val="left" w:pos="993"/>
              </w:tabs>
              <w:spacing w:before="40" w:after="40"/>
              <w:jc w:val="both"/>
              <w:rPr>
                <w:rFonts w:eastAsia="Times New Roman" w:cstheme="minorHAnsi"/>
                <w:color w:val="000000" w:themeColor="text1"/>
                <w:sz w:val="18"/>
                <w:szCs w:val="18"/>
                <w:lang w:val="es-CO" w:eastAsia="es-CO"/>
              </w:rPr>
            </w:pPr>
          </w:p>
        </w:tc>
      </w:tr>
      <w:tr w:rsidR="00EB3BC8" w:rsidRPr="00165651" w:rsidTr="005E52E0">
        <w:trPr>
          <w:trHeight w:val="326"/>
        </w:trPr>
        <w:tc>
          <w:tcPr>
            <w:tcW w:w="2402" w:type="dxa"/>
            <w:gridSpan w:val="3"/>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Firma contratista</w:t>
            </w:r>
            <w:r w:rsidRPr="00165651">
              <w:rPr>
                <w:rFonts w:eastAsia="Times New Roman" w:cstheme="minorHAnsi"/>
                <w:color w:val="000000" w:themeColor="text1"/>
                <w:sz w:val="18"/>
                <w:szCs w:val="18"/>
                <w:lang w:val="es-CO" w:eastAsia="es-CO"/>
              </w:rPr>
              <w:t xml:space="preserve"> </w:t>
            </w:r>
          </w:p>
        </w:tc>
        <w:tc>
          <w:tcPr>
            <w:tcW w:w="3827" w:type="dxa"/>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ES" w:eastAsia="es-CO"/>
              </w:rPr>
              <w:t xml:space="preserve">Unión Temporal Ferroviaria Central </w:t>
            </w:r>
          </w:p>
          <w:p w:rsidR="00EB3BC8" w:rsidRPr="00165651" w:rsidRDefault="00EB3BC8" w:rsidP="000021B2">
            <w:pPr>
              <w:numPr>
                <w:ilvl w:val="0"/>
                <w:numId w:val="26"/>
              </w:numPr>
              <w:tabs>
                <w:tab w:val="left" w:pos="993"/>
              </w:tabs>
              <w:spacing w:before="120" w:after="40"/>
              <w:ind w:left="295" w:hanging="295"/>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Construcciones Rubau S.A. (33%), </w:t>
            </w:r>
          </w:p>
          <w:p w:rsidR="00EB3BC8" w:rsidRPr="00165651" w:rsidRDefault="00EB3BC8" w:rsidP="000021B2">
            <w:pPr>
              <w:numPr>
                <w:ilvl w:val="0"/>
                <w:numId w:val="26"/>
              </w:numPr>
              <w:tabs>
                <w:tab w:val="left" w:pos="993"/>
              </w:tabs>
              <w:spacing w:before="40" w:after="40"/>
              <w:ind w:left="295" w:hanging="295"/>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Sonacol S.A.S. (33%), </w:t>
            </w:r>
          </w:p>
          <w:p w:rsidR="00EB3BC8" w:rsidRPr="00165651" w:rsidRDefault="00EB3BC8" w:rsidP="000021B2">
            <w:pPr>
              <w:numPr>
                <w:ilvl w:val="0"/>
                <w:numId w:val="26"/>
              </w:numPr>
              <w:tabs>
                <w:tab w:val="left" w:pos="993"/>
              </w:tabs>
              <w:spacing w:before="40" w:after="40"/>
              <w:ind w:left="295" w:hanging="295"/>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Rahs Ingeniería S.A. (33%) </w:t>
            </w:r>
          </w:p>
          <w:p w:rsidR="00EB3BC8" w:rsidRPr="00165651" w:rsidRDefault="00EB3BC8" w:rsidP="000021B2">
            <w:pPr>
              <w:numPr>
                <w:ilvl w:val="0"/>
                <w:numId w:val="26"/>
              </w:numPr>
              <w:tabs>
                <w:tab w:val="left" w:pos="993"/>
              </w:tabs>
              <w:spacing w:before="40" w:after="40"/>
              <w:ind w:left="295" w:hanging="295"/>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Ferroviaria Central S.A (1%).</w:t>
            </w:r>
          </w:p>
        </w:tc>
        <w:tc>
          <w:tcPr>
            <w:tcW w:w="1418" w:type="dxa"/>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Inicio actividades del contrato</w:t>
            </w:r>
          </w:p>
        </w:tc>
        <w:tc>
          <w:tcPr>
            <w:tcW w:w="1420" w:type="dxa"/>
            <w:tcBorders>
              <w:left w:val="single" w:sz="4" w:space="0" w:color="9BBB59" w:themeColor="accent3"/>
            </w:tcBorders>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color w:val="000000" w:themeColor="text1"/>
                <w:sz w:val="18"/>
                <w:szCs w:val="18"/>
                <w:lang w:val="es-CO" w:eastAsia="es-CO"/>
              </w:rPr>
              <w:t>31 de oct. de 2013 a las 18:00:01</w:t>
            </w:r>
          </w:p>
        </w:tc>
      </w:tr>
      <w:tr w:rsidR="00EB3BC8" w:rsidRPr="00165651" w:rsidTr="005E52E0">
        <w:trPr>
          <w:trHeight w:val="320"/>
        </w:trPr>
        <w:tc>
          <w:tcPr>
            <w:tcW w:w="843" w:type="dxa"/>
            <w:vMerge w:val="restart"/>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Otrosíes</w:t>
            </w:r>
          </w:p>
        </w:tc>
        <w:tc>
          <w:tcPr>
            <w:tcW w:w="567" w:type="dxa"/>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No</w:t>
            </w:r>
          </w:p>
        </w:tc>
        <w:tc>
          <w:tcPr>
            <w:tcW w:w="992" w:type="dxa"/>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Fecha</w:t>
            </w:r>
          </w:p>
        </w:tc>
        <w:tc>
          <w:tcPr>
            <w:tcW w:w="3827" w:type="dxa"/>
            <w:tcBorders>
              <w:right w:val="single" w:sz="4" w:space="0" w:color="9BBB59" w:themeColor="accent3"/>
            </w:tcBorders>
            <w:vAlign w:val="center"/>
          </w:tcPr>
          <w:p w:rsidR="00EB3BC8" w:rsidRPr="00165651" w:rsidRDefault="00EB3BC8" w:rsidP="005E52E0">
            <w:pPr>
              <w:spacing w:before="40" w:after="40"/>
              <w:jc w:val="center"/>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ES" w:eastAsia="es-CO"/>
              </w:rPr>
              <w:t>Alcance</w:t>
            </w:r>
          </w:p>
        </w:tc>
        <w:tc>
          <w:tcPr>
            <w:tcW w:w="1418" w:type="dxa"/>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jc w:val="center"/>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Adición Plazo</w:t>
            </w:r>
          </w:p>
        </w:tc>
        <w:tc>
          <w:tcPr>
            <w:tcW w:w="1420" w:type="dxa"/>
            <w:tcBorders>
              <w:left w:val="single" w:sz="4" w:space="0" w:color="9BBB59" w:themeColor="accent3"/>
            </w:tcBorders>
            <w:vAlign w:val="center"/>
          </w:tcPr>
          <w:p w:rsidR="00EB3BC8" w:rsidRPr="00165651" w:rsidRDefault="00EB3BC8" w:rsidP="005E52E0">
            <w:pPr>
              <w:tabs>
                <w:tab w:val="left" w:pos="993"/>
              </w:tabs>
              <w:spacing w:before="40" w:after="40"/>
              <w:jc w:val="center"/>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Adición Valor</w:t>
            </w:r>
          </w:p>
        </w:tc>
      </w:tr>
      <w:tr w:rsidR="00EB3BC8" w:rsidRPr="00165651" w:rsidTr="005E52E0">
        <w:trPr>
          <w:trHeight w:val="1361"/>
        </w:trPr>
        <w:tc>
          <w:tcPr>
            <w:tcW w:w="843" w:type="dxa"/>
            <w:vMerge/>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p>
        </w:tc>
        <w:tc>
          <w:tcPr>
            <w:tcW w:w="567" w:type="dxa"/>
            <w:vAlign w:val="center"/>
          </w:tcPr>
          <w:p w:rsidR="00EB3BC8" w:rsidRPr="00165651" w:rsidRDefault="00EB3BC8" w:rsidP="005E52E0">
            <w:pPr>
              <w:spacing w:before="40" w:after="40"/>
              <w:jc w:val="center"/>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1</w:t>
            </w:r>
          </w:p>
        </w:tc>
        <w:tc>
          <w:tcPr>
            <w:tcW w:w="992" w:type="dxa"/>
            <w:vAlign w:val="center"/>
          </w:tcPr>
          <w:p w:rsidR="00EB3BC8" w:rsidRPr="00165651" w:rsidRDefault="00EB3BC8" w:rsidP="005E52E0">
            <w:pPr>
              <w:spacing w:before="40" w:after="40"/>
              <w:jc w:val="center"/>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21-10-2014</w:t>
            </w:r>
          </w:p>
        </w:tc>
        <w:tc>
          <w:tcPr>
            <w:tcW w:w="3827" w:type="dxa"/>
            <w:tcBorders>
              <w:right w:val="single" w:sz="4" w:space="0" w:color="9BBB59" w:themeColor="accent3"/>
            </w:tcBorders>
            <w:vAlign w:val="center"/>
          </w:tcPr>
          <w:p w:rsidR="00EB3BC8" w:rsidRPr="00165651" w:rsidRDefault="00EB3BC8" w:rsidP="000021B2">
            <w:pPr>
              <w:numPr>
                <w:ilvl w:val="0"/>
                <w:numId w:val="28"/>
              </w:numPr>
              <w:spacing w:before="80" w:after="40"/>
              <w:ind w:left="176" w:hanging="142"/>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Excluir los puntos críticos 12 (PK 300+369), y 19 (376+254 Carare) del Contrato de Obra 418 de 2013.</w:t>
            </w:r>
          </w:p>
          <w:p w:rsidR="00EB3BC8" w:rsidRPr="00165651" w:rsidRDefault="00EB3BC8" w:rsidP="000021B2">
            <w:pPr>
              <w:numPr>
                <w:ilvl w:val="0"/>
                <w:numId w:val="28"/>
              </w:numPr>
              <w:spacing w:before="80" w:after="40"/>
              <w:ind w:left="176" w:hanging="142"/>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Reprogramar la intervención de las obras del Punto Crítico No. 40 (Ramal Capulco). </w:t>
            </w:r>
          </w:p>
          <w:p w:rsidR="00EB3BC8" w:rsidRPr="00165651" w:rsidRDefault="00EB3BC8" w:rsidP="000021B2">
            <w:pPr>
              <w:numPr>
                <w:ilvl w:val="0"/>
                <w:numId w:val="28"/>
              </w:numPr>
              <w:spacing w:before="40" w:after="40"/>
              <w:ind w:left="176" w:hanging="142"/>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Adicionar el valor inicial del contrato previsto en la Cláusula Séptima del Contrato de Obra No. 418 de 2013 en la suma $8.796.255.878 M/Cte., incluido IVA y todos los impuestos a que haya lugar, recursos destinados a la ejecución total de las obras objeto del Punto Crítico Contractual No 8 (Variante Nare) y para la ejecución de los diseños definitivos de las nuevas afectaciones. </w:t>
            </w:r>
          </w:p>
          <w:p w:rsidR="00EB3BC8" w:rsidRPr="00165651" w:rsidRDefault="00EB3BC8" w:rsidP="000021B2">
            <w:pPr>
              <w:numPr>
                <w:ilvl w:val="0"/>
                <w:numId w:val="28"/>
              </w:numPr>
              <w:spacing w:before="40" w:after="40"/>
              <w:ind w:left="176" w:hanging="142"/>
              <w:jc w:val="both"/>
              <w:rPr>
                <w:rFonts w:eastAsia="Times New Roman" w:cstheme="minorHAnsi"/>
                <w:b/>
                <w:color w:val="000000" w:themeColor="text1"/>
                <w:sz w:val="18"/>
                <w:szCs w:val="18"/>
                <w:lang w:val="es-CO" w:eastAsia="es-CO"/>
              </w:rPr>
            </w:pPr>
            <w:r w:rsidRPr="00165651">
              <w:rPr>
                <w:rFonts w:eastAsia="Times New Roman" w:cstheme="minorHAnsi"/>
                <w:color w:val="000000" w:themeColor="text1"/>
                <w:sz w:val="18"/>
                <w:szCs w:val="18"/>
                <w:lang w:val="es-CO" w:eastAsia="es-CO"/>
              </w:rPr>
              <w:t>Prorrogar el plazo de ejecución del punto crítico denominado Variante Nare, en tres (3) meses contados a partir del plazo máximo establecido en el Numeral 3.2.3- Cronograma- del Apéndice Técnico del Contrato de Obra</w:t>
            </w:r>
          </w:p>
        </w:tc>
        <w:tc>
          <w:tcPr>
            <w:tcW w:w="1418" w:type="dxa"/>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color w:val="000000" w:themeColor="text1"/>
                <w:sz w:val="18"/>
                <w:szCs w:val="18"/>
                <w:lang w:val="es-CO" w:eastAsia="es-CO"/>
              </w:rPr>
            </w:pPr>
            <w:r w:rsidRPr="00165651">
              <w:rPr>
                <w:rFonts w:eastAsia="Times New Roman" w:cstheme="minorHAnsi"/>
                <w:b/>
                <w:color w:val="000000" w:themeColor="text1"/>
                <w:sz w:val="18"/>
                <w:szCs w:val="18"/>
                <w:lang w:val="es-CO" w:eastAsia="es-CO"/>
              </w:rPr>
              <w:t>Obras Variante Nare</w:t>
            </w:r>
            <w:r w:rsidRPr="00165651">
              <w:rPr>
                <w:rFonts w:eastAsia="Times New Roman" w:cstheme="minorHAnsi"/>
                <w:color w:val="000000" w:themeColor="text1"/>
                <w:sz w:val="18"/>
                <w:szCs w:val="18"/>
                <w:lang w:val="es-CO" w:eastAsia="es-CO"/>
              </w:rPr>
              <w:t>: 3 meses</w:t>
            </w:r>
          </w:p>
          <w:p w:rsidR="00EB3BC8" w:rsidRPr="00165651" w:rsidRDefault="00EB3BC8" w:rsidP="005E52E0">
            <w:pPr>
              <w:spacing w:before="40" w:after="40"/>
              <w:rPr>
                <w:rFonts w:eastAsia="Times New Roman" w:cstheme="minorHAnsi"/>
                <w:color w:val="000000" w:themeColor="text1"/>
                <w:sz w:val="18"/>
                <w:szCs w:val="18"/>
                <w:lang w:val="es-CO" w:eastAsia="es-CO"/>
              </w:rPr>
            </w:pPr>
          </w:p>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Diseño Nuevas afectaciones</w:t>
            </w:r>
            <w:r w:rsidRPr="00165651">
              <w:rPr>
                <w:rFonts w:eastAsia="Times New Roman" w:cstheme="minorHAnsi"/>
                <w:color w:val="000000" w:themeColor="text1"/>
                <w:sz w:val="18"/>
                <w:szCs w:val="18"/>
                <w:lang w:val="es-CO" w:eastAsia="es-CO"/>
              </w:rPr>
              <w:t>: 2 meses</w:t>
            </w:r>
          </w:p>
        </w:tc>
        <w:tc>
          <w:tcPr>
            <w:tcW w:w="1420" w:type="dxa"/>
            <w:tcBorders>
              <w:left w:val="single" w:sz="4" w:space="0" w:color="9BBB59" w:themeColor="accent3"/>
            </w:tcBorders>
            <w:vAlign w:val="center"/>
          </w:tcPr>
          <w:p w:rsidR="00EB3BC8" w:rsidRPr="00165651" w:rsidRDefault="00EB3BC8" w:rsidP="005E52E0">
            <w:pPr>
              <w:spacing w:before="40" w:after="40"/>
              <w:rPr>
                <w:rFonts w:eastAsia="Times New Roman" w:cstheme="minorHAnsi"/>
                <w:color w:val="000000" w:themeColor="text1"/>
                <w:sz w:val="18"/>
                <w:szCs w:val="18"/>
                <w:lang w:val="es-CO" w:eastAsia="es-CO"/>
              </w:rPr>
            </w:pPr>
            <w:r w:rsidRPr="00165651">
              <w:rPr>
                <w:rFonts w:eastAsia="Times New Roman" w:cstheme="minorHAnsi"/>
                <w:b/>
                <w:color w:val="000000" w:themeColor="text1"/>
                <w:sz w:val="18"/>
                <w:szCs w:val="18"/>
                <w:lang w:val="es-CO" w:eastAsia="es-CO"/>
              </w:rPr>
              <w:t>Obras Variante Nare</w:t>
            </w:r>
            <w:r w:rsidRPr="00165651">
              <w:rPr>
                <w:rFonts w:eastAsia="Times New Roman" w:cstheme="minorHAnsi"/>
                <w:color w:val="000000" w:themeColor="text1"/>
                <w:sz w:val="18"/>
                <w:szCs w:val="18"/>
                <w:lang w:val="es-CO" w:eastAsia="es-CO"/>
              </w:rPr>
              <w:t>: 8.548.936.588</w:t>
            </w:r>
          </w:p>
          <w:p w:rsidR="00EB3BC8" w:rsidRPr="00165651" w:rsidRDefault="00EB3BC8" w:rsidP="005E52E0">
            <w:pPr>
              <w:spacing w:before="40" w:after="40"/>
              <w:rPr>
                <w:rFonts w:eastAsia="Times New Roman" w:cstheme="minorHAnsi"/>
                <w:color w:val="000000" w:themeColor="text1"/>
                <w:sz w:val="18"/>
                <w:szCs w:val="18"/>
                <w:lang w:val="es-CO" w:eastAsia="es-CO"/>
              </w:rPr>
            </w:pPr>
          </w:p>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b/>
                <w:color w:val="000000" w:themeColor="text1"/>
                <w:sz w:val="18"/>
                <w:szCs w:val="18"/>
                <w:lang w:val="es-CO" w:eastAsia="es-CO"/>
              </w:rPr>
              <w:t>Diseño Nuevas afectaciones</w:t>
            </w:r>
            <w:r w:rsidRPr="00165651">
              <w:rPr>
                <w:rFonts w:eastAsia="Times New Roman" w:cstheme="minorHAnsi"/>
                <w:color w:val="000000" w:themeColor="text1"/>
                <w:sz w:val="18"/>
                <w:szCs w:val="18"/>
                <w:lang w:val="es-CO" w:eastAsia="es-CO"/>
              </w:rPr>
              <w:t>:</w:t>
            </w:r>
          </w:p>
          <w:p w:rsidR="00EB3BC8" w:rsidRPr="00165651" w:rsidRDefault="00EB3BC8" w:rsidP="005E52E0">
            <w:pPr>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247.319.290</w:t>
            </w:r>
          </w:p>
        </w:tc>
      </w:tr>
      <w:tr w:rsidR="00EB3BC8" w:rsidRPr="00165651" w:rsidTr="005E52E0">
        <w:trPr>
          <w:trHeight w:val="737"/>
        </w:trPr>
        <w:tc>
          <w:tcPr>
            <w:tcW w:w="843" w:type="dxa"/>
            <w:vMerge/>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p>
        </w:tc>
        <w:tc>
          <w:tcPr>
            <w:tcW w:w="567" w:type="dxa"/>
            <w:vAlign w:val="center"/>
          </w:tcPr>
          <w:p w:rsidR="00EB3BC8" w:rsidRPr="00165651" w:rsidRDefault="00EB3BC8" w:rsidP="005E52E0">
            <w:pPr>
              <w:spacing w:before="40" w:after="40"/>
              <w:jc w:val="center"/>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2</w:t>
            </w:r>
          </w:p>
        </w:tc>
        <w:tc>
          <w:tcPr>
            <w:tcW w:w="992" w:type="dxa"/>
            <w:vAlign w:val="center"/>
          </w:tcPr>
          <w:p w:rsidR="00EB3BC8" w:rsidRPr="00165651" w:rsidRDefault="00EB3BC8" w:rsidP="005E52E0">
            <w:pPr>
              <w:spacing w:before="40" w:after="40"/>
              <w:jc w:val="center"/>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24-12-2014</w:t>
            </w:r>
          </w:p>
        </w:tc>
        <w:tc>
          <w:tcPr>
            <w:tcW w:w="3827" w:type="dxa"/>
            <w:tcBorders>
              <w:right w:val="single" w:sz="4" w:space="0" w:color="9BBB59" w:themeColor="accent3"/>
            </w:tcBorders>
            <w:vAlign w:val="center"/>
          </w:tcPr>
          <w:p w:rsidR="00EB3BC8" w:rsidRPr="00165651" w:rsidRDefault="00EB3BC8" w:rsidP="000021B2">
            <w:pPr>
              <w:numPr>
                <w:ilvl w:val="0"/>
                <w:numId w:val="28"/>
              </w:numPr>
              <w:spacing w:before="80" w:after="40"/>
              <w:ind w:left="176" w:hanging="142"/>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Prorrogar en 3 meses el plazo para la reparación de los puntos críticos previsto en el numeral 3.2.3 – Cronograma del Apéndice Técnico y en la Cláusula Vigésima del Contrato de obra No. 418 de 2013, por lo tanto, el término establecido para la culminación de las obras vence el 30 de marzo de 2015</w:t>
            </w:r>
          </w:p>
        </w:tc>
        <w:tc>
          <w:tcPr>
            <w:tcW w:w="1418" w:type="dxa"/>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3 meses</w:t>
            </w:r>
          </w:p>
        </w:tc>
        <w:tc>
          <w:tcPr>
            <w:tcW w:w="1420" w:type="dxa"/>
            <w:tcBorders>
              <w:left w:val="single" w:sz="4" w:space="0" w:color="9BBB59" w:themeColor="accent3"/>
            </w:tcBorders>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No Aplica</w:t>
            </w:r>
          </w:p>
        </w:tc>
      </w:tr>
      <w:tr w:rsidR="00EB3BC8" w:rsidRPr="00165651" w:rsidTr="005E52E0">
        <w:trPr>
          <w:trHeight w:val="283"/>
        </w:trPr>
        <w:tc>
          <w:tcPr>
            <w:tcW w:w="2402" w:type="dxa"/>
            <w:gridSpan w:val="3"/>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Avance financiero Contrato</w:t>
            </w:r>
          </w:p>
        </w:tc>
        <w:tc>
          <w:tcPr>
            <w:tcW w:w="6665" w:type="dxa"/>
            <w:gridSpan w:val="3"/>
            <w:vAlign w:val="center"/>
          </w:tcPr>
          <w:p w:rsidR="00EB3BC8" w:rsidRPr="00165651" w:rsidRDefault="00EB3BC8" w:rsidP="005E52E0">
            <w:pPr>
              <w:spacing w:before="40" w:after="40"/>
              <w:jc w:val="both"/>
              <w:rPr>
                <w:rFonts w:eastAsia="Times New Roman" w:cstheme="minorHAnsi"/>
                <w:color w:val="000000" w:themeColor="text1"/>
                <w:sz w:val="18"/>
                <w:szCs w:val="18"/>
                <w:lang w:val="es-CO" w:eastAsia="es-CO"/>
              </w:rPr>
            </w:pPr>
            <w:r w:rsidRPr="00165651">
              <w:rPr>
                <w:rFonts w:eastAsia="Times New Roman" w:cstheme="minorHAnsi"/>
                <w:b/>
                <w:color w:val="000000" w:themeColor="text1"/>
                <w:sz w:val="18"/>
                <w:szCs w:val="18"/>
                <w:lang w:val="es-CO" w:eastAsia="es-CO"/>
              </w:rPr>
              <w:t>67.89 %</w:t>
            </w:r>
            <w:r w:rsidRPr="00165651">
              <w:rPr>
                <w:rFonts w:eastAsia="Times New Roman" w:cstheme="minorHAnsi"/>
                <w:color w:val="000000" w:themeColor="text1"/>
                <w:sz w:val="18"/>
                <w:szCs w:val="18"/>
                <w:lang w:val="es-CO" w:eastAsia="es-CO"/>
              </w:rPr>
              <w:t xml:space="preserve"> al 30 de Junio de 2015</w:t>
            </w:r>
          </w:p>
        </w:tc>
      </w:tr>
      <w:tr w:rsidR="00EB3BC8" w:rsidRPr="00165651" w:rsidTr="005E52E0">
        <w:trPr>
          <w:trHeight w:val="283"/>
        </w:trPr>
        <w:tc>
          <w:tcPr>
            <w:tcW w:w="2402" w:type="dxa"/>
            <w:gridSpan w:val="3"/>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xml:space="preserve">% Avance físico Obras </w:t>
            </w:r>
          </w:p>
        </w:tc>
        <w:tc>
          <w:tcPr>
            <w:tcW w:w="6665" w:type="dxa"/>
            <w:gridSpan w:val="3"/>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xml:space="preserve">100% </w:t>
            </w:r>
            <w:r w:rsidRPr="00165651">
              <w:rPr>
                <w:rFonts w:eastAsia="Times New Roman" w:cstheme="minorHAnsi"/>
                <w:color w:val="000000" w:themeColor="text1"/>
                <w:sz w:val="18"/>
                <w:szCs w:val="18"/>
                <w:lang w:val="es-CO" w:eastAsia="es-CO"/>
              </w:rPr>
              <w:t xml:space="preserve"> al 30 de Junio de 2015</w:t>
            </w:r>
          </w:p>
        </w:tc>
      </w:tr>
      <w:tr w:rsidR="00EB3BC8" w:rsidRPr="00165651" w:rsidTr="005E52E0">
        <w:trPr>
          <w:trHeight w:val="283"/>
        </w:trPr>
        <w:tc>
          <w:tcPr>
            <w:tcW w:w="2402" w:type="dxa"/>
            <w:gridSpan w:val="3"/>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Obras culminadas a la Fecha</w:t>
            </w:r>
          </w:p>
        </w:tc>
        <w:tc>
          <w:tcPr>
            <w:tcW w:w="6665" w:type="dxa"/>
            <w:gridSpan w:val="3"/>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xml:space="preserve">47/47 </w:t>
            </w:r>
            <w:r w:rsidRPr="00165651">
              <w:rPr>
                <w:rFonts w:eastAsia="Times New Roman" w:cstheme="minorHAnsi"/>
                <w:color w:val="000000" w:themeColor="text1"/>
                <w:sz w:val="18"/>
                <w:szCs w:val="18"/>
                <w:lang w:val="es-CO" w:eastAsia="es-CO"/>
              </w:rPr>
              <w:t>al 30 de Junio de 2015</w:t>
            </w:r>
          </w:p>
        </w:tc>
      </w:tr>
      <w:tr w:rsidR="00EB3BC8" w:rsidRPr="00165651" w:rsidTr="005E52E0">
        <w:trPr>
          <w:trHeight w:val="283"/>
        </w:trPr>
        <w:tc>
          <w:tcPr>
            <w:tcW w:w="2402" w:type="dxa"/>
            <w:gridSpan w:val="3"/>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Avance en Tiempo Contrato</w:t>
            </w:r>
          </w:p>
        </w:tc>
        <w:tc>
          <w:tcPr>
            <w:tcW w:w="6665" w:type="dxa"/>
            <w:gridSpan w:val="3"/>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xml:space="preserve">83,83 % </w:t>
            </w:r>
            <w:r w:rsidRPr="00165651">
              <w:rPr>
                <w:rFonts w:eastAsia="Times New Roman" w:cstheme="minorHAnsi"/>
                <w:color w:val="000000" w:themeColor="text1"/>
                <w:sz w:val="18"/>
                <w:szCs w:val="18"/>
                <w:lang w:val="es-CO" w:eastAsia="es-CO"/>
              </w:rPr>
              <w:t xml:space="preserve"> al 30 de Junio de 2015</w:t>
            </w:r>
          </w:p>
        </w:tc>
      </w:tr>
      <w:tr w:rsidR="00EB3BC8" w:rsidRPr="00165651" w:rsidTr="005E52E0">
        <w:trPr>
          <w:trHeight w:val="283"/>
        </w:trPr>
        <w:tc>
          <w:tcPr>
            <w:tcW w:w="2402" w:type="dxa"/>
            <w:gridSpan w:val="3"/>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Avance en Tiempo Obras</w:t>
            </w:r>
          </w:p>
        </w:tc>
        <w:tc>
          <w:tcPr>
            <w:tcW w:w="6665" w:type="dxa"/>
            <w:gridSpan w:val="3"/>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xml:space="preserve">100% </w:t>
            </w:r>
            <w:r w:rsidRPr="00165651">
              <w:rPr>
                <w:rFonts w:eastAsia="Times New Roman" w:cstheme="minorHAnsi"/>
                <w:color w:val="000000" w:themeColor="text1"/>
                <w:sz w:val="18"/>
                <w:szCs w:val="18"/>
                <w:lang w:val="es-CO" w:eastAsia="es-CO"/>
              </w:rPr>
              <w:t xml:space="preserve"> al 30 de Junio de 2015</w:t>
            </w:r>
          </w:p>
        </w:tc>
      </w:tr>
      <w:tr w:rsidR="00EB3BC8" w:rsidRPr="00165651" w:rsidTr="005E52E0">
        <w:tblPrEx>
          <w:tblCellMar>
            <w:left w:w="70" w:type="dxa"/>
            <w:right w:w="70" w:type="dxa"/>
          </w:tblCellMar>
        </w:tblPrEx>
        <w:trPr>
          <w:trHeight w:val="397"/>
        </w:trPr>
        <w:tc>
          <w:tcPr>
            <w:tcW w:w="2402" w:type="dxa"/>
            <w:gridSpan w:val="3"/>
            <w:vAlign w:val="center"/>
          </w:tcPr>
          <w:p w:rsidR="00EB3BC8" w:rsidRPr="00165651" w:rsidRDefault="00EB3BC8" w:rsidP="005E52E0">
            <w:pPr>
              <w:spacing w:before="40" w:after="40"/>
              <w:rPr>
                <w:rFonts w:eastAsia="Times New Roman" w:cstheme="minorHAnsi"/>
                <w:b/>
                <w:color w:val="000000" w:themeColor="text1"/>
                <w:sz w:val="16"/>
                <w:szCs w:val="16"/>
                <w:lang w:val="es-CO" w:eastAsia="es-CO"/>
              </w:rPr>
            </w:pPr>
            <w:r w:rsidRPr="00165651">
              <w:rPr>
                <w:rFonts w:eastAsia="Times New Roman" w:cstheme="minorHAnsi"/>
                <w:b/>
                <w:color w:val="000000" w:themeColor="text1"/>
                <w:sz w:val="16"/>
                <w:szCs w:val="16"/>
                <w:lang w:val="es-CO" w:eastAsia="es-CO"/>
              </w:rPr>
              <w:lastRenderedPageBreak/>
              <w:t xml:space="preserve">Ejecución General del Contrato de Obra 418 de 2013 al 30 de Junio de 2015  </w:t>
            </w:r>
          </w:p>
        </w:tc>
        <w:tc>
          <w:tcPr>
            <w:tcW w:w="6665" w:type="dxa"/>
            <w:gridSpan w:val="3"/>
            <w:vAlign w:val="center"/>
          </w:tcPr>
          <w:p w:rsidR="00EB3BC8" w:rsidRPr="00165651" w:rsidRDefault="00EB3BC8" w:rsidP="005E52E0">
            <w:pPr>
              <w:spacing w:before="40" w:after="40"/>
              <w:jc w:val="center"/>
              <w:rPr>
                <w:rFonts w:eastAsia="Times New Roman" w:cstheme="minorHAnsi"/>
                <w:color w:val="000000" w:themeColor="text1"/>
                <w:sz w:val="16"/>
                <w:szCs w:val="16"/>
                <w:lang w:val="es-CO" w:eastAsia="es-CO"/>
              </w:rPr>
            </w:pPr>
            <w:r w:rsidRPr="00165651">
              <w:rPr>
                <w:rFonts w:eastAsia="Times New Roman" w:cstheme="minorHAnsi"/>
                <w:noProof/>
                <w:sz w:val="20"/>
                <w:szCs w:val="20"/>
              </w:rPr>
              <w:drawing>
                <wp:inline distT="0" distB="0" distL="0" distR="0" wp14:anchorId="272AF02A" wp14:editId="354C3A59">
                  <wp:extent cx="4000500" cy="3829050"/>
                  <wp:effectExtent l="38100" t="38100" r="95250" b="95250"/>
                  <wp:docPr id="502" name="Gráfico 5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tbl>
            <w:tblPr>
              <w:tblStyle w:val="Tabladecuadrcula4-nfasis62"/>
              <w:tblpPr w:leftFromText="141" w:rightFromText="141" w:vertAnchor="page" w:horzAnchor="margin" w:tblpXSpec="center" w:tblpY="61"/>
              <w:tblOverlap w:val="never"/>
              <w:tblW w:w="6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2721"/>
              <w:gridCol w:w="1134"/>
              <w:gridCol w:w="1276"/>
              <w:gridCol w:w="1134"/>
            </w:tblGrid>
            <w:tr w:rsidR="00EB3BC8" w:rsidRPr="00165651" w:rsidTr="005E52E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721" w:type="dxa"/>
                  <w:tcBorders>
                    <w:top w:val="nil"/>
                    <w:left w:val="nil"/>
                    <w:bottom w:val="single" w:sz="4" w:space="0" w:color="BFBFBF" w:themeColor="background1" w:themeShade="BF"/>
                  </w:tcBorders>
                  <w:shd w:val="clear" w:color="auto" w:fill="FFFFFF" w:themeFill="background1"/>
                  <w:noWrap/>
                  <w:vAlign w:val="center"/>
                </w:tcPr>
                <w:p w:rsidR="00EB3BC8" w:rsidRPr="00165651" w:rsidRDefault="00EB3BC8" w:rsidP="005E52E0">
                  <w:pPr>
                    <w:jc w:val="center"/>
                    <w:rPr>
                      <w:rFonts w:eastAsia="Times New Roman" w:cstheme="minorHAnsi"/>
                      <w:color w:val="000000"/>
                      <w:sz w:val="16"/>
                      <w:szCs w:val="16"/>
                      <w:lang w:eastAsia="es-CO"/>
                    </w:rPr>
                  </w:pPr>
                </w:p>
              </w:tc>
              <w:tc>
                <w:tcPr>
                  <w:tcW w:w="1134" w:type="dxa"/>
                  <w:tcBorders>
                    <w:top w:val="nil"/>
                    <w:bottom w:val="single" w:sz="4" w:space="0" w:color="BFBFBF" w:themeColor="background1" w:themeShade="BF"/>
                  </w:tcBorders>
                  <w:shd w:val="clear" w:color="auto" w:fill="FFFFFF" w:themeFill="background1"/>
                  <w:noWrap/>
                  <w:vAlign w:val="center"/>
                </w:tcPr>
                <w:p w:rsidR="00EB3BC8" w:rsidRPr="00165651" w:rsidRDefault="00EB3BC8" w:rsidP="005E52E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CO"/>
                    </w:rPr>
                  </w:pPr>
                </w:p>
              </w:tc>
              <w:tc>
                <w:tcPr>
                  <w:tcW w:w="1276" w:type="dxa"/>
                  <w:tcBorders>
                    <w:top w:val="nil"/>
                    <w:bottom w:val="single" w:sz="4" w:space="0" w:color="BFBFBF" w:themeColor="background1" w:themeShade="BF"/>
                  </w:tcBorders>
                  <w:shd w:val="clear" w:color="auto" w:fill="FFFFFF" w:themeFill="background1"/>
                  <w:vAlign w:val="center"/>
                </w:tcPr>
                <w:p w:rsidR="00EB3BC8" w:rsidRPr="00165651" w:rsidRDefault="00EB3BC8" w:rsidP="005E52E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CO"/>
                    </w:rPr>
                  </w:pPr>
                </w:p>
              </w:tc>
              <w:tc>
                <w:tcPr>
                  <w:tcW w:w="1134" w:type="dxa"/>
                  <w:tcBorders>
                    <w:top w:val="nil"/>
                    <w:bottom w:val="single" w:sz="4" w:space="0" w:color="BFBFBF" w:themeColor="background1" w:themeShade="BF"/>
                    <w:right w:val="nil"/>
                  </w:tcBorders>
                  <w:shd w:val="clear" w:color="auto" w:fill="FFFFFF" w:themeFill="background1"/>
                  <w:noWrap/>
                  <w:vAlign w:val="center"/>
                </w:tcPr>
                <w:p w:rsidR="00EB3BC8" w:rsidRPr="00165651" w:rsidRDefault="00EB3BC8" w:rsidP="005E52E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CO"/>
                    </w:rPr>
                  </w:pPr>
                </w:p>
              </w:tc>
            </w:tr>
            <w:tr w:rsidR="00EB3BC8" w:rsidRPr="00165651" w:rsidTr="005E52E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BFBFBF" w:themeColor="background1" w:themeShade="BF"/>
                  </w:tcBorders>
                  <w:shd w:val="clear" w:color="auto" w:fill="FFFFFF" w:themeFill="background1"/>
                  <w:noWrap/>
                  <w:vAlign w:val="center"/>
                  <w:hideMark/>
                </w:tcPr>
                <w:p w:rsidR="00EB3BC8" w:rsidRPr="00165651" w:rsidRDefault="00EB3BC8" w:rsidP="005E52E0">
                  <w:pPr>
                    <w:jc w:val="center"/>
                    <w:rPr>
                      <w:rFonts w:eastAsia="Times New Roman" w:cstheme="minorHAnsi"/>
                      <w:color w:val="000000"/>
                      <w:sz w:val="16"/>
                      <w:szCs w:val="16"/>
                      <w:lang w:eastAsia="es-CO"/>
                    </w:rPr>
                  </w:pPr>
                  <w:r w:rsidRPr="00165651">
                    <w:rPr>
                      <w:rFonts w:eastAsia="Times New Roman" w:cstheme="minorHAnsi"/>
                      <w:color w:val="000000"/>
                      <w:sz w:val="16"/>
                      <w:szCs w:val="16"/>
                      <w:lang w:eastAsia="es-CO"/>
                    </w:rPr>
                    <w:t>ITEM</w:t>
                  </w:r>
                </w:p>
              </w:tc>
              <w:tc>
                <w:tcPr>
                  <w:tcW w:w="1134" w:type="dxa"/>
                  <w:tcBorders>
                    <w:top w:val="single" w:sz="4" w:space="0" w:color="BFBFBF" w:themeColor="background1" w:themeShade="BF"/>
                  </w:tcBorders>
                  <w:shd w:val="clear" w:color="auto" w:fill="FFFFFF" w:themeFill="background1"/>
                  <w:noWrap/>
                  <w:vAlign w:val="center"/>
                  <w:hideMark/>
                </w:tcPr>
                <w:p w:rsidR="00EB3BC8" w:rsidRPr="00165651" w:rsidRDefault="00EB3BC8" w:rsidP="005E52E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16"/>
                      <w:szCs w:val="16"/>
                      <w:lang w:eastAsia="es-CO"/>
                    </w:rPr>
                  </w:pPr>
                  <w:r w:rsidRPr="00165651">
                    <w:rPr>
                      <w:rFonts w:eastAsia="Times New Roman" w:cstheme="minorHAnsi"/>
                      <w:b/>
                      <w:color w:val="000000"/>
                      <w:sz w:val="16"/>
                      <w:szCs w:val="16"/>
                      <w:lang w:eastAsia="es-CO"/>
                    </w:rPr>
                    <w:t>Contractual</w:t>
                  </w:r>
                </w:p>
              </w:tc>
              <w:tc>
                <w:tcPr>
                  <w:tcW w:w="1276" w:type="dxa"/>
                  <w:tcBorders>
                    <w:top w:val="single" w:sz="4" w:space="0" w:color="BFBFBF" w:themeColor="background1" w:themeShade="BF"/>
                  </w:tcBorders>
                  <w:shd w:val="clear" w:color="auto" w:fill="FFFFFF" w:themeFill="background1"/>
                  <w:vAlign w:val="center"/>
                  <w:hideMark/>
                </w:tcPr>
                <w:p w:rsidR="00EB3BC8" w:rsidRPr="00165651" w:rsidRDefault="00EB3BC8" w:rsidP="005E52E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16"/>
                      <w:szCs w:val="16"/>
                      <w:lang w:eastAsia="es-CO"/>
                    </w:rPr>
                  </w:pPr>
                  <w:r w:rsidRPr="00165651">
                    <w:rPr>
                      <w:rFonts w:eastAsia="Times New Roman" w:cstheme="minorHAnsi"/>
                      <w:b/>
                      <w:color w:val="000000"/>
                      <w:sz w:val="16"/>
                      <w:szCs w:val="16"/>
                      <w:lang w:eastAsia="es-CO"/>
                    </w:rPr>
                    <w:t>Ejecutado a 31 de Mar - 2015</w:t>
                  </w:r>
                </w:p>
              </w:tc>
              <w:tc>
                <w:tcPr>
                  <w:tcW w:w="1134" w:type="dxa"/>
                  <w:tcBorders>
                    <w:top w:val="single" w:sz="4" w:space="0" w:color="BFBFBF" w:themeColor="background1" w:themeShade="BF"/>
                  </w:tcBorders>
                  <w:shd w:val="clear" w:color="auto" w:fill="FFFFFF" w:themeFill="background1"/>
                  <w:noWrap/>
                  <w:vAlign w:val="center"/>
                  <w:hideMark/>
                </w:tcPr>
                <w:p w:rsidR="00EB3BC8" w:rsidRPr="00165651" w:rsidRDefault="00EB3BC8" w:rsidP="005E52E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16"/>
                      <w:szCs w:val="16"/>
                      <w:lang w:eastAsia="es-CO"/>
                    </w:rPr>
                  </w:pPr>
                  <w:r w:rsidRPr="00165651">
                    <w:rPr>
                      <w:rFonts w:eastAsia="Times New Roman" w:cstheme="minorHAnsi"/>
                      <w:b/>
                      <w:color w:val="000000"/>
                      <w:sz w:val="16"/>
                      <w:szCs w:val="16"/>
                      <w:lang w:eastAsia="es-CO"/>
                    </w:rPr>
                    <w:t>Avance</w:t>
                  </w:r>
                </w:p>
              </w:tc>
            </w:tr>
            <w:tr w:rsidR="00EB3BC8" w:rsidRPr="00165651" w:rsidTr="005E52E0">
              <w:trPr>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FFFFF" w:themeFill="background1"/>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Intervención puntos críticos</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48.967,87</w:t>
                  </w:r>
                </w:p>
              </w:tc>
              <w:tc>
                <w:tcPr>
                  <w:tcW w:w="1276"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46,577.97  </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95.12%</w:t>
                  </w:r>
                </w:p>
              </w:tc>
            </w:tr>
            <w:tr w:rsidR="00EB3BC8" w:rsidRPr="00165651" w:rsidTr="005E52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2F2F2" w:themeFill="background1" w:themeFillShade="F2"/>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Estudios y Diseños</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1.475,62</w:t>
                  </w:r>
                </w:p>
              </w:tc>
              <w:tc>
                <w:tcPr>
                  <w:tcW w:w="1276"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1,475.62 </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100.00%</w:t>
                  </w:r>
                </w:p>
              </w:tc>
            </w:tr>
            <w:tr w:rsidR="00EB3BC8" w:rsidRPr="00165651" w:rsidTr="005E52E0">
              <w:trPr>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FFFFF" w:themeFill="background1"/>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Mantenimiento de Vía</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7.917,98</w:t>
                  </w:r>
                </w:p>
              </w:tc>
              <w:tc>
                <w:tcPr>
                  <w:tcW w:w="1276"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3,752.11 </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47.39%</w:t>
                  </w:r>
                </w:p>
              </w:tc>
            </w:tr>
            <w:tr w:rsidR="00EB3BC8" w:rsidRPr="00165651" w:rsidTr="005E52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2F2F2" w:themeFill="background1" w:themeFillShade="F2"/>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Mejoramiento de vía</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17.910,60</w:t>
                  </w:r>
                </w:p>
              </w:tc>
              <w:tc>
                <w:tcPr>
                  <w:tcW w:w="1276"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830.28 </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4.64%</w:t>
                  </w:r>
                </w:p>
              </w:tc>
            </w:tr>
            <w:tr w:rsidR="00EB3BC8" w:rsidRPr="00165651" w:rsidTr="005E52E0">
              <w:trPr>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FFFFF" w:themeFill="background1"/>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Mto. Material rodante</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1.712,95</w:t>
                  </w:r>
                </w:p>
              </w:tc>
              <w:tc>
                <w:tcPr>
                  <w:tcW w:w="1276"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1,077.75 </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62.92%</w:t>
                  </w:r>
                </w:p>
              </w:tc>
            </w:tr>
            <w:tr w:rsidR="00EB3BC8" w:rsidRPr="00165651" w:rsidTr="005E52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2F2F2" w:themeFill="background1" w:themeFillShade="F2"/>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Atención Emergencias</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2.239,06</w:t>
                  </w:r>
                </w:p>
              </w:tc>
              <w:tc>
                <w:tcPr>
                  <w:tcW w:w="1276"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   </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0.00%</w:t>
                  </w:r>
                </w:p>
              </w:tc>
            </w:tr>
            <w:tr w:rsidR="00EB3BC8" w:rsidRPr="00165651" w:rsidTr="005E52E0">
              <w:trPr>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FFFFF" w:themeFill="background1"/>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Recuperación Estaciones</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1.243,84</w:t>
                  </w:r>
                </w:p>
              </w:tc>
              <w:tc>
                <w:tcPr>
                  <w:tcW w:w="1276"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27.02 </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2.17%</w:t>
                  </w:r>
                </w:p>
              </w:tc>
            </w:tr>
            <w:tr w:rsidR="00EB3BC8" w:rsidRPr="00165651" w:rsidTr="005E52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2F2F2" w:themeFill="background1" w:themeFillShade="F2"/>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Señalización Corredor Férreo</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565,15</w:t>
                  </w:r>
                </w:p>
              </w:tc>
              <w:tc>
                <w:tcPr>
                  <w:tcW w:w="1276"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   </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0.00%</w:t>
                  </w:r>
                </w:p>
              </w:tc>
            </w:tr>
            <w:tr w:rsidR="00EB3BC8" w:rsidRPr="00165651" w:rsidTr="005E52E0">
              <w:trPr>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FFFFF" w:themeFill="background1"/>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Gastos de Administración</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10.167,65</w:t>
                  </w:r>
                </w:p>
              </w:tc>
              <w:tc>
                <w:tcPr>
                  <w:tcW w:w="1276"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7,898.71 </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77.68%</w:t>
                  </w:r>
                </w:p>
              </w:tc>
            </w:tr>
            <w:tr w:rsidR="00EB3BC8" w:rsidRPr="00165651" w:rsidTr="005E52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2F2F2" w:themeFill="background1" w:themeFillShade="F2"/>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Control de tráfico</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3.455,39</w:t>
                  </w:r>
                </w:p>
              </w:tc>
              <w:tc>
                <w:tcPr>
                  <w:tcW w:w="1276"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2,879.50 </w:t>
                  </w:r>
                </w:p>
              </w:tc>
              <w:tc>
                <w:tcPr>
                  <w:tcW w:w="1134" w:type="dxa"/>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83.33%</w:t>
                  </w:r>
                </w:p>
              </w:tc>
            </w:tr>
            <w:tr w:rsidR="00EB3BC8" w:rsidRPr="00165651" w:rsidTr="005E52E0">
              <w:trPr>
                <w:trHeight w:val="283"/>
              </w:trPr>
              <w:tc>
                <w:tcPr>
                  <w:cnfStyle w:val="001000000000" w:firstRow="0" w:lastRow="0" w:firstColumn="1" w:lastColumn="0" w:oddVBand="0" w:evenVBand="0" w:oddHBand="0" w:evenHBand="0" w:firstRowFirstColumn="0" w:firstRowLastColumn="0" w:lastRowFirstColumn="0" w:lastRowLastColumn="0"/>
                  <w:tcW w:w="2721" w:type="dxa"/>
                  <w:shd w:val="clear" w:color="auto" w:fill="FFFFFF" w:themeFill="background1"/>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Vigilancia</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1.921,59</w:t>
                  </w:r>
                </w:p>
              </w:tc>
              <w:tc>
                <w:tcPr>
                  <w:tcW w:w="1276"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1,589.64 </w:t>
                  </w:r>
                </w:p>
              </w:tc>
              <w:tc>
                <w:tcPr>
                  <w:tcW w:w="1134" w:type="dxa"/>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82.73%</w:t>
                  </w:r>
                </w:p>
              </w:tc>
            </w:tr>
            <w:tr w:rsidR="00EB3BC8" w:rsidRPr="00165651" w:rsidTr="005E52E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721" w:type="dxa"/>
                  <w:tcBorders>
                    <w:bottom w:val="single" w:sz="4" w:space="0" w:color="BFBFBF" w:themeColor="background1" w:themeShade="BF"/>
                  </w:tcBorders>
                  <w:shd w:val="clear" w:color="auto" w:fill="F2F2F2" w:themeFill="background1" w:themeFillShade="F2"/>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Programas socio-ambientales</w:t>
                  </w:r>
                </w:p>
              </w:tc>
              <w:tc>
                <w:tcPr>
                  <w:tcW w:w="1134" w:type="dxa"/>
                  <w:tcBorders>
                    <w:bottom w:val="single" w:sz="4" w:space="0" w:color="BFBFBF" w:themeColor="background1" w:themeShade="BF"/>
                  </w:tcBorders>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2.054,09</w:t>
                  </w:r>
                </w:p>
              </w:tc>
              <w:tc>
                <w:tcPr>
                  <w:tcW w:w="1276" w:type="dxa"/>
                  <w:tcBorders>
                    <w:bottom w:val="single" w:sz="4" w:space="0" w:color="BFBFBF" w:themeColor="background1" w:themeShade="BF"/>
                  </w:tcBorders>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1,528.61 </w:t>
                  </w:r>
                </w:p>
              </w:tc>
              <w:tc>
                <w:tcPr>
                  <w:tcW w:w="1134" w:type="dxa"/>
                  <w:tcBorders>
                    <w:bottom w:val="single" w:sz="4" w:space="0" w:color="BFBFBF" w:themeColor="background1" w:themeShade="BF"/>
                  </w:tcBorders>
                  <w:shd w:val="clear" w:color="auto" w:fill="F2F2F2" w:themeFill="background1" w:themeFillShade="F2"/>
                  <w:noWrap/>
                  <w:hideMark/>
                </w:tcPr>
                <w:p w:rsidR="00EB3BC8" w:rsidRPr="00165651" w:rsidRDefault="00EB3BC8" w:rsidP="005E52E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74.42%</w:t>
                  </w:r>
                </w:p>
              </w:tc>
            </w:tr>
            <w:tr w:rsidR="00EB3BC8" w:rsidRPr="00165651" w:rsidTr="005E52E0">
              <w:trPr>
                <w:trHeight w:val="283"/>
              </w:trPr>
              <w:tc>
                <w:tcPr>
                  <w:cnfStyle w:val="001000000000" w:firstRow="0" w:lastRow="0" w:firstColumn="1" w:lastColumn="0" w:oddVBand="0" w:evenVBand="0" w:oddHBand="0" w:evenHBand="0" w:firstRowFirstColumn="0" w:firstRowLastColumn="0" w:lastRowFirstColumn="0" w:lastRowLastColumn="0"/>
                  <w:tcW w:w="2721" w:type="dxa"/>
                  <w:tcBorders>
                    <w:bottom w:val="single" w:sz="4" w:space="0" w:color="BFBFBF" w:themeColor="background1" w:themeShade="BF"/>
                  </w:tcBorders>
                  <w:shd w:val="clear" w:color="auto" w:fill="FFFFFF" w:themeFill="background1"/>
                  <w:noWrap/>
                  <w:hideMark/>
                </w:tcPr>
                <w:p w:rsidR="00EB3BC8" w:rsidRPr="00165651" w:rsidRDefault="00EB3BC8" w:rsidP="005E52E0">
                  <w:pPr>
                    <w:jc w:val="both"/>
                    <w:rPr>
                      <w:rFonts w:eastAsia="Times New Roman" w:cstheme="minorHAnsi"/>
                      <w:sz w:val="16"/>
                      <w:szCs w:val="20"/>
                      <w:lang w:eastAsia="es-CO"/>
                    </w:rPr>
                  </w:pPr>
                  <w:r w:rsidRPr="00165651">
                    <w:rPr>
                      <w:rFonts w:eastAsia="Times New Roman" w:cstheme="minorHAnsi"/>
                      <w:sz w:val="16"/>
                      <w:szCs w:val="20"/>
                      <w:lang w:eastAsia="es-CO"/>
                    </w:rPr>
                    <w:t>Totales</w:t>
                  </w:r>
                </w:p>
              </w:tc>
              <w:tc>
                <w:tcPr>
                  <w:tcW w:w="1134" w:type="dxa"/>
                  <w:tcBorders>
                    <w:bottom w:val="single" w:sz="4" w:space="0" w:color="BFBFBF" w:themeColor="background1" w:themeShade="BF"/>
                  </w:tcBorders>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99.631,80</w:t>
                  </w:r>
                </w:p>
              </w:tc>
              <w:tc>
                <w:tcPr>
                  <w:tcW w:w="1276" w:type="dxa"/>
                  <w:tcBorders>
                    <w:bottom w:val="single" w:sz="4" w:space="0" w:color="BFBFBF" w:themeColor="background1" w:themeShade="BF"/>
                  </w:tcBorders>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 xml:space="preserve">67,637.19 </w:t>
                  </w:r>
                </w:p>
              </w:tc>
              <w:tc>
                <w:tcPr>
                  <w:tcW w:w="1134" w:type="dxa"/>
                  <w:tcBorders>
                    <w:bottom w:val="single" w:sz="4" w:space="0" w:color="BFBFBF" w:themeColor="background1" w:themeShade="BF"/>
                  </w:tcBorders>
                  <w:shd w:val="clear" w:color="auto" w:fill="FFFFFF" w:themeFill="background1"/>
                  <w:noWrap/>
                  <w:hideMark/>
                </w:tcPr>
                <w:p w:rsidR="00EB3BC8" w:rsidRPr="00165651" w:rsidRDefault="00EB3BC8" w:rsidP="005E52E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20"/>
                      <w:lang w:eastAsia="es-CO"/>
                    </w:rPr>
                  </w:pPr>
                  <w:r w:rsidRPr="00165651">
                    <w:rPr>
                      <w:rFonts w:eastAsia="Times New Roman" w:cstheme="minorHAnsi"/>
                      <w:sz w:val="16"/>
                      <w:szCs w:val="20"/>
                      <w:lang w:eastAsia="es-CO"/>
                    </w:rPr>
                    <w:t>67.89%</w:t>
                  </w:r>
                </w:p>
              </w:tc>
            </w:tr>
            <w:tr w:rsidR="00EB3BC8" w:rsidRPr="00165651" w:rsidTr="005E52E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BFBFBF" w:themeColor="background1" w:themeShade="BF"/>
                    <w:left w:val="nil"/>
                    <w:bottom w:val="nil"/>
                    <w:right w:val="nil"/>
                  </w:tcBorders>
                  <w:shd w:val="clear" w:color="auto" w:fill="FFFFFF" w:themeFill="background1"/>
                  <w:noWrap/>
                  <w:vAlign w:val="center"/>
                </w:tcPr>
                <w:p w:rsidR="00EB3BC8" w:rsidRPr="00165651" w:rsidRDefault="00EB3BC8" w:rsidP="005E52E0">
                  <w:pPr>
                    <w:rPr>
                      <w:rFonts w:eastAsia="Times New Roman" w:cstheme="minorHAnsi"/>
                      <w:color w:val="000000"/>
                      <w:sz w:val="8"/>
                      <w:szCs w:val="16"/>
                      <w:lang w:eastAsia="es-CO"/>
                    </w:rPr>
                  </w:pPr>
                </w:p>
              </w:tc>
              <w:tc>
                <w:tcPr>
                  <w:tcW w:w="1134" w:type="dxa"/>
                  <w:tcBorders>
                    <w:top w:val="single" w:sz="4" w:space="0" w:color="BFBFBF" w:themeColor="background1" w:themeShade="BF"/>
                    <w:left w:val="nil"/>
                    <w:bottom w:val="nil"/>
                    <w:right w:val="nil"/>
                  </w:tcBorders>
                  <w:shd w:val="clear" w:color="auto" w:fill="FFFFFF" w:themeFill="background1"/>
                  <w:noWrap/>
                  <w:vAlign w:val="center"/>
                </w:tcPr>
                <w:p w:rsidR="00EB3BC8" w:rsidRPr="00165651" w:rsidRDefault="00EB3BC8" w:rsidP="005E52E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8"/>
                      <w:szCs w:val="16"/>
                      <w:lang w:eastAsia="es-CO"/>
                    </w:rPr>
                  </w:pPr>
                </w:p>
              </w:tc>
              <w:tc>
                <w:tcPr>
                  <w:tcW w:w="1276" w:type="dxa"/>
                  <w:tcBorders>
                    <w:top w:val="single" w:sz="4" w:space="0" w:color="BFBFBF" w:themeColor="background1" w:themeShade="BF"/>
                    <w:left w:val="nil"/>
                    <w:bottom w:val="nil"/>
                    <w:right w:val="nil"/>
                  </w:tcBorders>
                  <w:shd w:val="clear" w:color="auto" w:fill="FFFFFF" w:themeFill="background1"/>
                  <w:noWrap/>
                  <w:vAlign w:val="center"/>
                </w:tcPr>
                <w:p w:rsidR="00EB3BC8" w:rsidRPr="00165651" w:rsidRDefault="00EB3BC8" w:rsidP="005E52E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8"/>
                      <w:szCs w:val="16"/>
                      <w:lang w:eastAsia="es-CO"/>
                    </w:rPr>
                  </w:pPr>
                </w:p>
              </w:tc>
              <w:tc>
                <w:tcPr>
                  <w:tcW w:w="1134" w:type="dxa"/>
                  <w:tcBorders>
                    <w:top w:val="single" w:sz="4" w:space="0" w:color="BFBFBF" w:themeColor="background1" w:themeShade="BF"/>
                    <w:left w:val="nil"/>
                    <w:bottom w:val="nil"/>
                    <w:right w:val="nil"/>
                  </w:tcBorders>
                  <w:shd w:val="clear" w:color="auto" w:fill="FFFFFF" w:themeFill="background1"/>
                  <w:noWrap/>
                  <w:vAlign w:val="center"/>
                </w:tcPr>
                <w:p w:rsidR="00EB3BC8" w:rsidRPr="00165651" w:rsidRDefault="00EB3BC8" w:rsidP="005E52E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 w:val="8"/>
                      <w:szCs w:val="16"/>
                      <w:lang w:eastAsia="es-CO"/>
                    </w:rPr>
                  </w:pPr>
                </w:p>
              </w:tc>
            </w:tr>
          </w:tbl>
          <w:p w:rsidR="00EB3BC8" w:rsidRPr="00165651" w:rsidRDefault="00EB3BC8" w:rsidP="005E52E0">
            <w:pPr>
              <w:spacing w:before="40" w:after="40"/>
              <w:jc w:val="both"/>
              <w:rPr>
                <w:rFonts w:eastAsia="Times New Roman" w:cstheme="minorHAnsi"/>
                <w:color w:val="000000" w:themeColor="text1"/>
                <w:sz w:val="16"/>
                <w:szCs w:val="16"/>
                <w:lang w:val="es-CO" w:eastAsia="es-CO"/>
              </w:rPr>
            </w:pPr>
          </w:p>
        </w:tc>
      </w:tr>
      <w:tr w:rsidR="00EB3BC8" w:rsidRPr="00165651" w:rsidTr="005E52E0">
        <w:tblPrEx>
          <w:tblCellMar>
            <w:left w:w="70" w:type="dxa"/>
            <w:right w:w="70" w:type="dxa"/>
          </w:tblCellMar>
        </w:tblPrEx>
        <w:trPr>
          <w:trHeight w:val="70"/>
        </w:trPr>
        <w:tc>
          <w:tcPr>
            <w:tcW w:w="9067" w:type="dxa"/>
            <w:gridSpan w:val="6"/>
            <w:vAlign w:val="center"/>
          </w:tcPr>
          <w:p w:rsidR="00EB3BC8" w:rsidRPr="00165651" w:rsidRDefault="00EB3BC8" w:rsidP="005E52E0">
            <w:pPr>
              <w:tabs>
                <w:tab w:val="left" w:pos="993"/>
              </w:tabs>
              <w:spacing w:before="120"/>
              <w:ind w:left="67"/>
              <w:jc w:val="both"/>
              <w:rPr>
                <w:rFonts w:eastAsia="Times New Roman" w:cstheme="minorHAnsi"/>
                <w:color w:val="000000" w:themeColor="text1"/>
                <w:sz w:val="16"/>
                <w:szCs w:val="16"/>
                <w:lang w:val="es-CO" w:eastAsia="es-CO"/>
              </w:rPr>
            </w:pPr>
            <w:r w:rsidRPr="00165651">
              <w:rPr>
                <w:rFonts w:eastAsia="Times New Roman" w:cstheme="minorHAnsi"/>
                <w:noProof/>
                <w:color w:val="000000" w:themeColor="text1"/>
                <w:sz w:val="16"/>
                <w:szCs w:val="16"/>
              </w:rPr>
              <w:lastRenderedPageBreak/>
              <w:drawing>
                <wp:inline distT="0" distB="0" distL="0" distR="0" wp14:anchorId="48673FEC" wp14:editId="3C0C2789">
                  <wp:extent cx="5495925" cy="2638425"/>
                  <wp:effectExtent l="38100" t="38100" r="85725" b="85725"/>
                  <wp:docPr id="503" name="Gráfico 5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EB3BC8" w:rsidRPr="00165651" w:rsidRDefault="00EB3BC8" w:rsidP="005E52E0">
            <w:pPr>
              <w:tabs>
                <w:tab w:val="left" w:pos="993"/>
              </w:tabs>
              <w:spacing w:before="120"/>
              <w:jc w:val="center"/>
              <w:rPr>
                <w:rFonts w:eastAsia="Times New Roman" w:cstheme="minorHAnsi"/>
                <w:noProof/>
                <w:sz w:val="2"/>
                <w:szCs w:val="20"/>
                <w:lang w:val="es-CO" w:eastAsia="es-CO"/>
              </w:rPr>
            </w:pPr>
          </w:p>
          <w:p w:rsidR="00EB3BC8" w:rsidRPr="00165651" w:rsidRDefault="00EB3BC8" w:rsidP="005E52E0">
            <w:pPr>
              <w:tabs>
                <w:tab w:val="left" w:pos="993"/>
              </w:tabs>
              <w:spacing w:before="120"/>
              <w:ind w:left="67"/>
              <w:jc w:val="both"/>
              <w:rPr>
                <w:rFonts w:eastAsia="Times New Roman" w:cstheme="minorHAnsi"/>
                <w:noProof/>
                <w:sz w:val="20"/>
                <w:szCs w:val="20"/>
                <w:lang w:val="es-CO" w:eastAsia="es-CO"/>
              </w:rPr>
            </w:pPr>
            <w:r w:rsidRPr="00165651">
              <w:rPr>
                <w:rFonts w:eastAsia="Times New Roman" w:cstheme="minorHAnsi"/>
                <w:noProof/>
                <w:sz w:val="20"/>
                <w:szCs w:val="20"/>
              </w:rPr>
              <w:drawing>
                <wp:inline distT="0" distB="0" distL="0" distR="0" wp14:anchorId="395594B4" wp14:editId="23368061">
                  <wp:extent cx="5467350" cy="2533650"/>
                  <wp:effectExtent l="38100" t="38100" r="95250" b="95250"/>
                  <wp:docPr id="504" name="Gráfico 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c>
      </w:tr>
      <w:tr w:rsidR="00EB3BC8" w:rsidRPr="00165651" w:rsidTr="005E52E0">
        <w:trPr>
          <w:trHeight w:val="340"/>
        </w:trPr>
        <w:tc>
          <w:tcPr>
            <w:tcW w:w="9067" w:type="dxa"/>
            <w:gridSpan w:val="6"/>
            <w:vAlign w:val="center"/>
          </w:tcPr>
          <w:p w:rsidR="00EB3BC8" w:rsidRPr="00165651" w:rsidRDefault="00EB3BC8" w:rsidP="005E52E0">
            <w:pPr>
              <w:tabs>
                <w:tab w:val="left" w:pos="993"/>
              </w:tabs>
              <w:spacing w:before="120" w:after="120"/>
              <w:jc w:val="both"/>
              <w:rPr>
                <w:rFonts w:eastAsia="Times New Roman" w:cstheme="minorHAnsi"/>
                <w:color w:val="000000" w:themeColor="text1"/>
                <w:sz w:val="18"/>
                <w:szCs w:val="18"/>
                <w:highlight w:val="yellow"/>
                <w:lang w:val="es-CO" w:eastAsia="es-CO"/>
              </w:rPr>
            </w:pPr>
            <w:r w:rsidRPr="00165651">
              <w:rPr>
                <w:rFonts w:eastAsia="Times New Roman" w:cstheme="minorHAnsi"/>
                <w:b/>
                <w:color w:val="000000" w:themeColor="text1"/>
                <w:sz w:val="18"/>
                <w:szCs w:val="18"/>
                <w:lang w:val="es-CO" w:eastAsia="es-CO"/>
              </w:rPr>
              <w:t>Principales gestiones durante el segundo trimestre de 2015</w:t>
            </w:r>
          </w:p>
        </w:tc>
      </w:tr>
      <w:tr w:rsidR="00EB3BC8" w:rsidRPr="00165651" w:rsidTr="005E52E0">
        <w:tblPrEx>
          <w:tblCellMar>
            <w:left w:w="70" w:type="dxa"/>
            <w:right w:w="70" w:type="dxa"/>
          </w:tblCellMar>
        </w:tblPrEx>
        <w:trPr>
          <w:trHeight w:val="340"/>
        </w:trPr>
        <w:tc>
          <w:tcPr>
            <w:tcW w:w="9067" w:type="dxa"/>
            <w:gridSpan w:val="6"/>
            <w:vAlign w:val="center"/>
          </w:tcPr>
          <w:p w:rsidR="00EB3BC8" w:rsidRPr="00165651" w:rsidRDefault="00EB3BC8" w:rsidP="000021B2">
            <w:pPr>
              <w:numPr>
                <w:ilvl w:val="0"/>
                <w:numId w:val="48"/>
              </w:numPr>
              <w:tabs>
                <w:tab w:val="left" w:pos="993"/>
              </w:tabs>
              <w:spacing w:before="120" w:line="276" w:lineRule="auto"/>
              <w:contextualSpacing/>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En el mes de abril de 2015, se dio inicio al proceso de verificación y recibo de las obras objeto del contrato; dicho proceso culmino  en el mes de abril de 2015 - </w:t>
            </w:r>
            <w:r w:rsidRPr="00165651">
              <w:rPr>
                <w:rFonts w:eastAsia="Times New Roman" w:cstheme="minorHAnsi"/>
                <w:b/>
                <w:spacing w:val="-2"/>
                <w:sz w:val="18"/>
                <w:szCs w:val="18"/>
                <w:lang w:val="es-CO" w:eastAsia="es-CO"/>
              </w:rPr>
              <w:t xml:space="preserve"> Avance de obra al 30 de junio: 100%</w:t>
            </w:r>
          </w:p>
          <w:p w:rsidR="00EB3BC8" w:rsidRPr="00165651" w:rsidRDefault="00EB3BC8" w:rsidP="000021B2">
            <w:pPr>
              <w:numPr>
                <w:ilvl w:val="0"/>
                <w:numId w:val="48"/>
              </w:numPr>
              <w:tabs>
                <w:tab w:val="left" w:pos="993"/>
              </w:tabs>
              <w:spacing w:before="120" w:after="120" w:line="276" w:lineRule="auto"/>
              <w:ind w:left="357" w:hanging="357"/>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El constante seguimiento y control a la ejecución del contrato, permitió proyectar la ejecución de este contrato al 31 de octubre de 2015, evidenciando que se podrá disponer de un remanente de aproximadamente $COP 13.000 Millones, los cuales se analizan como serán reinvertidos en el proyecto (atención de nuevas afectaciones, intervención de Ramal Capulco, entre otros).</w:t>
            </w:r>
          </w:p>
          <w:p w:rsidR="00EB3BC8" w:rsidRPr="00165651" w:rsidRDefault="00EB3BC8" w:rsidP="000021B2">
            <w:pPr>
              <w:numPr>
                <w:ilvl w:val="0"/>
                <w:numId w:val="48"/>
              </w:numPr>
              <w:tabs>
                <w:tab w:val="left" w:pos="993"/>
              </w:tabs>
              <w:spacing w:before="240" w:line="276" w:lineRule="auto"/>
              <w:ind w:left="357" w:hanging="357"/>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Se dio solución a las diferencias existentes entre la UTFC y CIVF por cobro de cantidades del rubro de intervención de puntos críticos, quedando este rubro ejecutado y facturado en su totalidad, según la ejecución realizada por el contratista.</w:t>
            </w:r>
          </w:p>
          <w:p w:rsidR="00EB3BC8" w:rsidRPr="00165651" w:rsidRDefault="00EB3BC8" w:rsidP="000021B2">
            <w:pPr>
              <w:numPr>
                <w:ilvl w:val="0"/>
                <w:numId w:val="48"/>
              </w:numPr>
              <w:tabs>
                <w:tab w:val="left" w:pos="993"/>
              </w:tabs>
              <w:spacing w:before="120" w:line="276" w:lineRule="auto"/>
              <w:jc w:val="both"/>
              <w:rPr>
                <w:rFonts w:eastAsia="Times New Roman" w:cstheme="minorHAnsi"/>
                <w:b/>
                <w:spacing w:val="-2"/>
                <w:sz w:val="18"/>
                <w:szCs w:val="18"/>
                <w:lang w:val="es-CO" w:eastAsia="es-CO"/>
              </w:rPr>
            </w:pPr>
            <w:r w:rsidRPr="00165651">
              <w:rPr>
                <w:rFonts w:eastAsia="Times New Roman" w:cstheme="minorHAnsi"/>
                <w:spacing w:val="-2"/>
                <w:sz w:val="18"/>
                <w:szCs w:val="18"/>
                <w:lang w:val="es-CO" w:eastAsia="es-CO"/>
              </w:rPr>
              <w:t xml:space="preserve">Se avanza con cumplimiento del cronograma del contrato 227 de Diciembre 2014 el cual tiene por objeto  “la construcción de obras para atender los sitios críticos localizados en los PK300+369 y 376+254 del corredor férreo La Dorada – </w:t>
            </w:r>
            <w:r w:rsidRPr="00165651">
              <w:rPr>
                <w:rFonts w:eastAsia="Times New Roman" w:cstheme="minorHAnsi"/>
                <w:spacing w:val="-2"/>
                <w:sz w:val="18"/>
                <w:szCs w:val="18"/>
                <w:lang w:val="es-CO" w:eastAsia="es-CO"/>
              </w:rPr>
              <w:lastRenderedPageBreak/>
              <w:t xml:space="preserve">Chiriguaná”.   PC-12 - PK 300+369: Box Culvert tricelular en Concreto de 5x3 m. </w:t>
            </w:r>
            <w:r w:rsidRPr="00165651">
              <w:rPr>
                <w:rFonts w:eastAsia="Times New Roman" w:cstheme="minorHAnsi"/>
                <w:b/>
                <w:spacing w:val="-2"/>
                <w:sz w:val="18"/>
                <w:szCs w:val="18"/>
                <w:lang w:val="es-CO" w:eastAsia="es-CO"/>
              </w:rPr>
              <w:t>- Avance de obra: 12,3%</w:t>
            </w:r>
            <w:r w:rsidRPr="00165651">
              <w:rPr>
                <w:rFonts w:eastAsia="Times New Roman" w:cstheme="minorHAnsi"/>
                <w:spacing w:val="-2"/>
                <w:sz w:val="18"/>
                <w:szCs w:val="18"/>
                <w:lang w:val="es-CO" w:eastAsia="es-CO"/>
              </w:rPr>
              <w:t xml:space="preserve"> y  PC-19 - PK 376+254: Protección margen del río y estribo puente - </w:t>
            </w:r>
            <w:r w:rsidRPr="00165651">
              <w:rPr>
                <w:rFonts w:eastAsia="Times New Roman" w:cstheme="minorHAnsi"/>
                <w:b/>
                <w:spacing w:val="-2"/>
                <w:sz w:val="18"/>
                <w:szCs w:val="18"/>
                <w:lang w:val="es-CO" w:eastAsia="es-CO"/>
              </w:rPr>
              <w:t xml:space="preserve">Avance de obra: 42,0% </w:t>
            </w:r>
          </w:p>
          <w:p w:rsidR="00EB3BC8" w:rsidRPr="00165651" w:rsidRDefault="00EB3BC8" w:rsidP="000021B2">
            <w:pPr>
              <w:numPr>
                <w:ilvl w:val="0"/>
                <w:numId w:val="48"/>
              </w:numPr>
              <w:tabs>
                <w:tab w:val="left" w:pos="993"/>
              </w:tabs>
              <w:spacing w:before="120" w:line="276" w:lineRule="auto"/>
              <w:jc w:val="both"/>
              <w:rPr>
                <w:rFonts w:eastAsia="Times New Roman" w:cstheme="minorHAnsi"/>
                <w:b/>
                <w:spacing w:val="-2"/>
                <w:sz w:val="18"/>
                <w:szCs w:val="18"/>
                <w:lang w:val="es-CO" w:eastAsia="es-CO"/>
              </w:rPr>
            </w:pPr>
            <w:r w:rsidRPr="00165651">
              <w:rPr>
                <w:rFonts w:eastAsia="Times New Roman" w:cstheme="minorHAnsi"/>
                <w:spacing w:val="-2"/>
                <w:sz w:val="18"/>
                <w:szCs w:val="18"/>
                <w:lang w:val="es-CO" w:eastAsia="es-CO"/>
              </w:rPr>
              <w:t>Se realizó el cambio de las vallas del proyecto según la nueva resolución.</w:t>
            </w:r>
          </w:p>
          <w:p w:rsidR="00EB3BC8" w:rsidRPr="00165651" w:rsidRDefault="00EB3BC8" w:rsidP="000021B2">
            <w:pPr>
              <w:numPr>
                <w:ilvl w:val="0"/>
                <w:numId w:val="48"/>
              </w:numPr>
              <w:tabs>
                <w:tab w:val="left" w:pos="993"/>
              </w:tabs>
              <w:spacing w:before="120" w:line="276" w:lineRule="auto"/>
              <w:jc w:val="both"/>
              <w:rPr>
                <w:rFonts w:eastAsia="Times New Roman" w:cstheme="minorHAnsi"/>
                <w:spacing w:val="-2"/>
                <w:sz w:val="18"/>
                <w:szCs w:val="18"/>
                <w:lang w:val="es-CO" w:eastAsia="es-CO"/>
              </w:rPr>
            </w:pPr>
            <w:r w:rsidRPr="00165651">
              <w:rPr>
                <w:rFonts w:eastAsia="Times New Roman" w:cstheme="minorHAnsi"/>
                <w:spacing w:val="-2"/>
                <w:sz w:val="18"/>
                <w:szCs w:val="18"/>
                <w:lang w:val="es-CO" w:eastAsia="es-CO"/>
              </w:rPr>
              <w:t xml:space="preserve">Se dio inicio a las actividades de mejoramiento de vía referidas a alineación  de vía y riesgo de balasto las cuales iniciaron de Norte a Sur del corredor Férreo. </w:t>
            </w:r>
          </w:p>
          <w:p w:rsidR="00EB3BC8" w:rsidRPr="00165651" w:rsidRDefault="00EB3BC8" w:rsidP="000021B2">
            <w:pPr>
              <w:numPr>
                <w:ilvl w:val="0"/>
                <w:numId w:val="48"/>
              </w:numPr>
              <w:tabs>
                <w:tab w:val="left" w:pos="993"/>
              </w:tabs>
              <w:spacing w:before="120" w:line="276" w:lineRule="auto"/>
              <w:jc w:val="both"/>
              <w:rPr>
                <w:rFonts w:eastAsia="Times New Roman" w:cstheme="minorHAnsi"/>
                <w:spacing w:val="-2"/>
                <w:sz w:val="18"/>
                <w:szCs w:val="18"/>
                <w:lang w:val="es-CO" w:eastAsia="es-CO"/>
              </w:rPr>
            </w:pPr>
            <w:r w:rsidRPr="00165651">
              <w:rPr>
                <w:rFonts w:eastAsia="Times New Roman" w:cstheme="minorHAnsi"/>
                <w:spacing w:val="-2"/>
                <w:sz w:val="18"/>
                <w:szCs w:val="18"/>
                <w:lang w:val="es-CO" w:eastAsia="es-CO"/>
              </w:rPr>
              <w:t>Se definió junto con la Interventoría, el alcancé de las actividades de reparación locativa  y recuperación paisajista de estaciones,  para que el contratista UTFC diera inicio a esta actividad incluida dentro del alcance general del proyecto.</w:t>
            </w:r>
          </w:p>
          <w:p w:rsidR="00EB3BC8" w:rsidRPr="00165651" w:rsidRDefault="00EB3BC8" w:rsidP="000021B2">
            <w:pPr>
              <w:numPr>
                <w:ilvl w:val="0"/>
                <w:numId w:val="48"/>
              </w:numPr>
              <w:tabs>
                <w:tab w:val="left" w:pos="993"/>
              </w:tabs>
              <w:spacing w:before="120" w:line="276" w:lineRule="auto"/>
              <w:jc w:val="both"/>
              <w:rPr>
                <w:rFonts w:eastAsia="Times New Roman" w:cstheme="minorHAnsi"/>
                <w:spacing w:val="-2"/>
                <w:sz w:val="18"/>
                <w:szCs w:val="18"/>
                <w:lang w:val="es-CO" w:eastAsia="es-CO"/>
              </w:rPr>
            </w:pPr>
            <w:r w:rsidRPr="00165651">
              <w:rPr>
                <w:rFonts w:eastAsia="Times New Roman" w:cstheme="minorHAnsi"/>
                <w:spacing w:val="-2"/>
                <w:sz w:val="18"/>
                <w:szCs w:val="18"/>
                <w:lang w:val="es-CO" w:eastAsia="es-CO"/>
              </w:rPr>
              <w:t>Se dio solución a la condición de expedición de la póliza Todo Riesgo Maquinaria y Equipo, informando al contratista como debían ser las condiciones de aseguramiento del equipo entregado en custodia según concepto presentado por la Interventoría. En espera de la presentación de la póliza por parte de la UTFC para aprobación.</w:t>
            </w:r>
          </w:p>
          <w:p w:rsidR="00EB3BC8" w:rsidRPr="00165651" w:rsidRDefault="00EB3BC8" w:rsidP="000021B2">
            <w:pPr>
              <w:numPr>
                <w:ilvl w:val="0"/>
                <w:numId w:val="48"/>
              </w:numPr>
              <w:tabs>
                <w:tab w:val="left" w:pos="993"/>
              </w:tabs>
              <w:spacing w:before="120" w:line="276" w:lineRule="auto"/>
              <w:jc w:val="both"/>
              <w:rPr>
                <w:rFonts w:eastAsia="Times New Roman" w:cstheme="minorHAnsi"/>
                <w:spacing w:val="-2"/>
                <w:sz w:val="18"/>
                <w:szCs w:val="18"/>
                <w:lang w:val="es-CO" w:eastAsia="es-CO"/>
              </w:rPr>
            </w:pPr>
            <w:r w:rsidRPr="00165651">
              <w:rPr>
                <w:rFonts w:eastAsia="Times New Roman" w:cstheme="minorHAnsi"/>
                <w:spacing w:val="-2"/>
                <w:sz w:val="18"/>
                <w:szCs w:val="18"/>
                <w:lang w:val="es-CO" w:eastAsia="es-CO"/>
              </w:rPr>
              <w:t>Se adelantaron reuniones junto con los posibles operadores  férreos del corredor Dorada – Chiriguaná, entre ellos Holdtarde y Trencar, dando apoyo total a estas empresas, en el marco del contrato, para gestionar el inicio de una operación temprana en este corredor.</w:t>
            </w:r>
          </w:p>
          <w:p w:rsidR="00EB3BC8" w:rsidRPr="00165651" w:rsidRDefault="00EB3BC8" w:rsidP="000021B2">
            <w:pPr>
              <w:numPr>
                <w:ilvl w:val="0"/>
                <w:numId w:val="48"/>
              </w:numPr>
              <w:tabs>
                <w:tab w:val="left" w:pos="993"/>
              </w:tabs>
              <w:spacing w:before="120" w:line="276" w:lineRule="auto"/>
              <w:jc w:val="both"/>
              <w:rPr>
                <w:rFonts w:eastAsia="Times New Roman" w:cstheme="minorHAnsi"/>
                <w:spacing w:val="-2"/>
                <w:sz w:val="18"/>
                <w:szCs w:val="18"/>
                <w:lang w:val="es-CO" w:eastAsia="es-CO"/>
              </w:rPr>
            </w:pPr>
            <w:r w:rsidRPr="00165651">
              <w:rPr>
                <w:rFonts w:eastAsia="Times New Roman" w:cstheme="minorHAnsi"/>
                <w:spacing w:val="-2"/>
                <w:sz w:val="18"/>
                <w:szCs w:val="18"/>
                <w:lang w:val="es-CO" w:eastAsia="es-CO"/>
              </w:rPr>
              <w:t xml:space="preserve">Desde la Agencia, se ha gestionado y apoyado a la solución de los conflictos sociales existen en el corredor, en especial en el municipio de Gamarra - Cesar, donde se realizaron bloqueos de vía que impidieron la ejecución de los trabajos de obra, mejoramiento y mantenimiento, en este sector del corredor férreo. </w:t>
            </w:r>
          </w:p>
          <w:p w:rsidR="00EB3BC8" w:rsidRPr="00165651" w:rsidRDefault="00EB3BC8" w:rsidP="005E52E0">
            <w:pPr>
              <w:tabs>
                <w:tab w:val="left" w:pos="993"/>
              </w:tabs>
              <w:spacing w:before="120" w:line="276" w:lineRule="auto"/>
              <w:jc w:val="both"/>
              <w:rPr>
                <w:rFonts w:eastAsia="Times New Roman" w:cstheme="minorHAnsi"/>
                <w:b/>
                <w:spacing w:val="-2"/>
                <w:sz w:val="18"/>
                <w:szCs w:val="18"/>
                <w:u w:val="single"/>
                <w:lang w:val="es-CO" w:eastAsia="es-CO"/>
              </w:rPr>
            </w:pPr>
          </w:p>
          <w:p w:rsidR="00EB3BC8" w:rsidRPr="00165651" w:rsidRDefault="00EB3BC8" w:rsidP="005E52E0">
            <w:pPr>
              <w:spacing w:before="120" w:line="276" w:lineRule="auto"/>
              <w:jc w:val="both"/>
              <w:rPr>
                <w:rFonts w:eastAsia="Times New Roman" w:cstheme="minorHAnsi"/>
                <w:b/>
                <w:color w:val="31849B" w:themeColor="accent5" w:themeShade="BF"/>
                <w:sz w:val="18"/>
                <w:szCs w:val="18"/>
                <w:lang w:val="es-CO" w:eastAsia="es-CO"/>
              </w:rPr>
            </w:pPr>
            <w:r w:rsidRPr="00165651">
              <w:rPr>
                <w:rFonts w:eastAsia="Times New Roman" w:cstheme="minorHAnsi"/>
                <w:b/>
                <w:color w:val="31849B" w:themeColor="accent5" w:themeShade="BF"/>
                <w:sz w:val="18"/>
                <w:szCs w:val="18"/>
                <w:lang w:val="es-CO" w:eastAsia="es-CO"/>
              </w:rPr>
              <w:t>Registro Fotográfico de algunas obras culminadas</w:t>
            </w:r>
          </w:p>
          <w:p w:rsidR="00EB3BC8" w:rsidRPr="00165651" w:rsidRDefault="00EB3BC8" w:rsidP="005E52E0">
            <w:pPr>
              <w:tabs>
                <w:tab w:val="left" w:pos="993"/>
              </w:tabs>
              <w:spacing w:before="120" w:line="276" w:lineRule="auto"/>
              <w:jc w:val="both"/>
              <w:rPr>
                <w:rFonts w:eastAsia="Times New Roman" w:cstheme="minorHAnsi"/>
                <w:b/>
                <w:spacing w:val="-2"/>
                <w:sz w:val="18"/>
                <w:szCs w:val="18"/>
                <w:u w:val="single"/>
                <w:lang w:val="es-CO" w:eastAsia="es-CO"/>
              </w:rPr>
            </w:pPr>
          </w:p>
          <w:tbl>
            <w:tblPr>
              <w:tblStyle w:val="Tablaconcuadrcula23"/>
              <w:tblW w:w="86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9"/>
              <w:gridCol w:w="4309"/>
            </w:tblGrid>
            <w:tr w:rsidR="00EB3BC8" w:rsidRPr="00165651" w:rsidTr="005E52E0">
              <w:trPr>
                <w:trHeight w:val="537"/>
                <w:jc w:val="center"/>
              </w:trPr>
              <w:tc>
                <w:tcPr>
                  <w:tcW w:w="8618" w:type="dxa"/>
                  <w:gridSpan w:val="2"/>
                </w:tcPr>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b/>
                      <w:bCs/>
                      <w:spacing w:val="-2"/>
                      <w:sz w:val="18"/>
                      <w:szCs w:val="18"/>
                      <w:lang w:eastAsia="es-CO"/>
                    </w:rPr>
                    <w:t>PC 7 - Conformación del Terraplén Ferroviario</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Ubicación - PK 290+300                      Departamento: Antioquia</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Valor Final: $ 918.591.391                  Terminación: 11-10-2014</w:t>
                  </w:r>
                </w:p>
              </w:tc>
            </w:tr>
            <w:tr w:rsidR="00EB3BC8" w:rsidRPr="00165651" w:rsidTr="005E52E0">
              <w:trPr>
                <w:trHeight w:val="3276"/>
                <w:jc w:val="center"/>
              </w:trPr>
              <w:tc>
                <w:tcPr>
                  <w:tcW w:w="4309" w:type="dxa"/>
                </w:tcPr>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eastAsia="es-CO"/>
                    </w:rPr>
                  </w:pPr>
                  <w:r w:rsidRPr="00165651">
                    <w:rPr>
                      <w:rFonts w:eastAsia="Times New Roman" w:cstheme="minorHAnsi"/>
                      <w:b/>
                      <w:noProof/>
                      <w:spacing w:val="-2"/>
                      <w:sz w:val="18"/>
                      <w:szCs w:val="18"/>
                    </w:rPr>
                    <w:drawing>
                      <wp:inline distT="0" distB="0" distL="0" distR="0" wp14:anchorId="7CE7CB8C" wp14:editId="6378B08B">
                        <wp:extent cx="2562225" cy="1887855"/>
                        <wp:effectExtent l="57150" t="57150" r="123825" b="112395"/>
                        <wp:docPr id="505" name="Picture 1" descr="66B82A6E02305D4EA1907F4437C4A923@rub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66B82A6E02305D4EA1907F4437C4A923@rubau"/>
                                <pic:cNvPicPr>
                                  <a:picLocks noChangeAspect="1" noChangeArrowheads="1"/>
                                </pic:cNvPicPr>
                              </pic:nvPicPr>
                              <pic:blipFill>
                                <a:blip r:embed="rId143" cstate="print">
                                  <a:lum contrast="20000"/>
                                </a:blip>
                                <a:srcRect/>
                                <a:stretch>
                                  <a:fillRect/>
                                </a:stretch>
                              </pic:blipFill>
                              <pic:spPr bwMode="auto">
                                <a:xfrm>
                                  <a:off x="0" y="0"/>
                                  <a:ext cx="2562225" cy="1887855"/>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eastAsia="es-CO"/>
                    </w:rPr>
                  </w:pPr>
                  <w:r w:rsidRPr="00165651">
                    <w:rPr>
                      <w:rFonts w:eastAsia="Times New Roman" w:cstheme="minorHAnsi"/>
                      <w:b/>
                      <w:spacing w:val="-2"/>
                      <w:sz w:val="18"/>
                      <w:szCs w:val="18"/>
                      <w:lang w:eastAsia="es-CO"/>
                    </w:rPr>
                    <w:t>Antes</w:t>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tc>
              <w:tc>
                <w:tcPr>
                  <w:tcW w:w="4309" w:type="dxa"/>
                </w:tcPr>
                <w:p w:rsidR="00EB3BC8" w:rsidRPr="00165651" w:rsidRDefault="00EB3BC8" w:rsidP="0005003A">
                  <w:pPr>
                    <w:framePr w:hSpace="141" w:wrap="around" w:vAnchor="text" w:hAnchor="text" w:y="1"/>
                    <w:spacing w:line="276" w:lineRule="auto"/>
                    <w:suppressOverlap/>
                    <w:jc w:val="both"/>
                    <w:rPr>
                      <w:rFonts w:eastAsia="Times New Roman" w:cstheme="minorHAnsi"/>
                      <w:b/>
                      <w:spacing w:val="-2"/>
                      <w:sz w:val="18"/>
                      <w:szCs w:val="18"/>
                      <w:lang w:eastAsia="es-CO"/>
                    </w:rPr>
                  </w:pPr>
                  <w:r w:rsidRPr="00165651">
                    <w:rPr>
                      <w:rFonts w:eastAsia="Times New Roman" w:cstheme="minorHAnsi"/>
                      <w:b/>
                      <w:noProof/>
                      <w:spacing w:val="-2"/>
                      <w:sz w:val="18"/>
                      <w:szCs w:val="18"/>
                    </w:rPr>
                    <w:drawing>
                      <wp:inline distT="0" distB="0" distL="0" distR="0" wp14:anchorId="2819B9E9" wp14:editId="7DFDEB52">
                        <wp:extent cx="2571750" cy="1875790"/>
                        <wp:effectExtent l="57150" t="57150" r="114300" b="105410"/>
                        <wp:docPr id="50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pic:cNvPicPr>
                              </pic:nvPicPr>
                              <pic:blipFill>
                                <a:blip r:embed="rId144" cstate="print">
                                  <a:lum contrast="20000"/>
                                  <a:extLst>
                                    <a:ext uri="{28A0092B-C50C-407E-A947-70E740481C1C}">
                                      <a14:useLocalDpi xmlns:a14="http://schemas.microsoft.com/office/drawing/2010/main" val="0"/>
                                    </a:ext>
                                  </a:extLst>
                                </a:blip>
                                <a:stretch>
                                  <a:fillRect/>
                                </a:stretch>
                              </pic:blipFill>
                              <pic:spPr>
                                <a:xfrm>
                                  <a:off x="0" y="0"/>
                                  <a:ext cx="2571750" cy="1875790"/>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r w:rsidRPr="00165651">
                    <w:rPr>
                      <w:rFonts w:eastAsia="Times New Roman" w:cstheme="minorHAnsi"/>
                      <w:b/>
                      <w:spacing w:val="-2"/>
                      <w:sz w:val="18"/>
                      <w:szCs w:val="18"/>
                      <w:lang w:eastAsia="es-CO"/>
                    </w:rPr>
                    <w:t>Después</w:t>
                  </w:r>
                </w:p>
              </w:tc>
            </w:tr>
            <w:tr w:rsidR="00EB3BC8" w:rsidRPr="00165651" w:rsidTr="005E52E0">
              <w:trPr>
                <w:trHeight w:val="537"/>
                <w:jc w:val="center"/>
              </w:trPr>
              <w:tc>
                <w:tcPr>
                  <w:tcW w:w="8618" w:type="dxa"/>
                  <w:gridSpan w:val="2"/>
                </w:tcPr>
                <w:p w:rsidR="00EB3BC8" w:rsidRPr="00165651" w:rsidRDefault="00EB3BC8" w:rsidP="0005003A">
                  <w:pPr>
                    <w:framePr w:hSpace="141" w:wrap="around" w:vAnchor="text" w:hAnchor="text" w:y="1"/>
                    <w:spacing w:line="276" w:lineRule="auto"/>
                    <w:suppressOverlap/>
                    <w:rPr>
                      <w:rFonts w:eastAsia="Times New Roman" w:cstheme="minorHAnsi"/>
                      <w:b/>
                      <w:bCs/>
                      <w:spacing w:val="-2"/>
                      <w:sz w:val="18"/>
                      <w:szCs w:val="18"/>
                      <w:lang w:eastAsia="es-CO"/>
                    </w:rPr>
                  </w:pP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b/>
                      <w:bCs/>
                      <w:spacing w:val="-2"/>
                      <w:sz w:val="18"/>
                      <w:szCs w:val="18"/>
                      <w:lang w:eastAsia="es-CO"/>
                    </w:rPr>
                    <w:t>PC 8 - Estabilización de talud</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lastRenderedPageBreak/>
                    <w:t>Ubicación - PK 294+000                  Departamento: Antioquia</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Valor Final: $ 13.710.922.417        Terminación: 15-06-2015</w:t>
                  </w:r>
                </w:p>
              </w:tc>
            </w:tr>
            <w:tr w:rsidR="00EB3BC8" w:rsidRPr="00165651" w:rsidTr="005E52E0">
              <w:trPr>
                <w:trHeight w:val="3276"/>
                <w:jc w:val="center"/>
              </w:trPr>
              <w:tc>
                <w:tcPr>
                  <w:tcW w:w="4309" w:type="dxa"/>
                </w:tcPr>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eastAsia="es-CO"/>
                    </w:rPr>
                  </w:pPr>
                  <w:r w:rsidRPr="00165651">
                    <w:rPr>
                      <w:rFonts w:eastAsia="Times New Roman" w:cstheme="minorHAnsi"/>
                      <w:b/>
                      <w:noProof/>
                      <w:spacing w:val="-2"/>
                      <w:sz w:val="18"/>
                      <w:szCs w:val="18"/>
                    </w:rPr>
                    <w:lastRenderedPageBreak/>
                    <w:drawing>
                      <wp:inline distT="0" distB="0" distL="0" distR="0" wp14:anchorId="1139942A" wp14:editId="68F5CDF8">
                        <wp:extent cx="2447925" cy="1800016"/>
                        <wp:effectExtent l="57150" t="57150" r="104775" b="105410"/>
                        <wp:docPr id="507" name="8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8 Imagen"/>
                                <pic:cNvPicPr>
                                  <a:picLocks noChangeAspect="1"/>
                                </pic:cNvPicPr>
                              </pic:nvPicPr>
                              <pic:blipFill>
                                <a:blip r:embed="rId145">
                                  <a:lum contrast="20000"/>
                                </a:blip>
                                <a:stretch>
                                  <a:fillRect/>
                                </a:stretch>
                              </pic:blipFill>
                              <pic:spPr>
                                <a:xfrm>
                                  <a:off x="0" y="0"/>
                                  <a:ext cx="2449989" cy="1801533"/>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eastAsia="es-CO"/>
                    </w:rPr>
                  </w:pPr>
                  <w:r w:rsidRPr="00165651">
                    <w:rPr>
                      <w:rFonts w:eastAsia="Times New Roman" w:cstheme="minorHAnsi"/>
                      <w:b/>
                      <w:spacing w:val="-2"/>
                      <w:sz w:val="18"/>
                      <w:szCs w:val="18"/>
                      <w:lang w:eastAsia="es-CO"/>
                    </w:rPr>
                    <w:t>Antes</w:t>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tc>
              <w:tc>
                <w:tcPr>
                  <w:tcW w:w="4309" w:type="dxa"/>
                </w:tcPr>
                <w:p w:rsidR="00EB3BC8" w:rsidRPr="00165651" w:rsidRDefault="00EB3BC8" w:rsidP="0005003A">
                  <w:pPr>
                    <w:framePr w:hSpace="141" w:wrap="around" w:vAnchor="text" w:hAnchor="text" w:y="1"/>
                    <w:spacing w:line="276" w:lineRule="auto"/>
                    <w:suppressOverlap/>
                    <w:jc w:val="both"/>
                    <w:rPr>
                      <w:rFonts w:eastAsia="Times New Roman" w:cstheme="minorHAnsi"/>
                      <w:b/>
                      <w:spacing w:val="-2"/>
                      <w:sz w:val="18"/>
                      <w:szCs w:val="18"/>
                      <w:lang w:eastAsia="es-CO"/>
                    </w:rPr>
                  </w:pPr>
                  <w:r w:rsidRPr="00165651">
                    <w:rPr>
                      <w:rFonts w:eastAsia="Times New Roman" w:cstheme="minorHAnsi"/>
                      <w:b/>
                      <w:noProof/>
                      <w:spacing w:val="-2"/>
                      <w:sz w:val="18"/>
                      <w:szCs w:val="18"/>
                    </w:rPr>
                    <w:drawing>
                      <wp:inline distT="0" distB="0" distL="0" distR="0" wp14:anchorId="38EBA492" wp14:editId="43154A15">
                        <wp:extent cx="2483730" cy="1809750"/>
                        <wp:effectExtent l="57150" t="57150" r="107315" b="114300"/>
                        <wp:docPr id="5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46" cstate="print">
                                  <a:lum contrast="20000"/>
                                  <a:extLst>
                                    <a:ext uri="{28A0092B-C50C-407E-A947-70E740481C1C}">
                                      <a14:useLocalDpi xmlns:a14="http://schemas.microsoft.com/office/drawing/2010/main" val="0"/>
                                    </a:ext>
                                  </a:extLst>
                                </a:blip>
                                <a:stretch>
                                  <a:fillRect/>
                                </a:stretch>
                              </pic:blipFill>
                              <pic:spPr>
                                <a:xfrm>
                                  <a:off x="0" y="0"/>
                                  <a:ext cx="2485485" cy="1811029"/>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r w:rsidRPr="00165651">
                    <w:rPr>
                      <w:rFonts w:eastAsia="Times New Roman" w:cstheme="minorHAnsi"/>
                      <w:b/>
                      <w:spacing w:val="-2"/>
                      <w:sz w:val="18"/>
                      <w:szCs w:val="18"/>
                      <w:lang w:eastAsia="es-CO"/>
                    </w:rPr>
                    <w:t>Después</w:t>
                  </w:r>
                </w:p>
              </w:tc>
            </w:tr>
            <w:tr w:rsidR="00EB3BC8" w:rsidRPr="00165651" w:rsidTr="005E52E0">
              <w:trPr>
                <w:trHeight w:val="537"/>
                <w:jc w:val="center"/>
              </w:trPr>
              <w:tc>
                <w:tcPr>
                  <w:tcW w:w="8618" w:type="dxa"/>
                  <w:gridSpan w:val="2"/>
                </w:tcPr>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b/>
                      <w:bCs/>
                      <w:spacing w:val="-2"/>
                      <w:sz w:val="18"/>
                      <w:szCs w:val="18"/>
                      <w:lang w:eastAsia="es-CO"/>
                    </w:rPr>
                    <w:t>PC 24 - Alcantarilla</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Ubicación - PK  436+364             Departamento: Santander</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Valor Final: $  813.939.216        Terminación: 30-03-2015</w:t>
                  </w:r>
                </w:p>
              </w:tc>
            </w:tr>
            <w:tr w:rsidR="00EB3BC8" w:rsidRPr="00165651" w:rsidTr="005E52E0">
              <w:trPr>
                <w:trHeight w:val="271"/>
                <w:jc w:val="center"/>
              </w:trPr>
              <w:tc>
                <w:tcPr>
                  <w:tcW w:w="4309" w:type="dxa"/>
                </w:tcPr>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eastAsia="es-CO"/>
                    </w:rPr>
                  </w:pPr>
                  <w:r w:rsidRPr="00165651">
                    <w:rPr>
                      <w:rFonts w:eastAsia="Times New Roman" w:cstheme="minorHAnsi"/>
                      <w:b/>
                      <w:noProof/>
                      <w:spacing w:val="-2"/>
                      <w:sz w:val="18"/>
                      <w:szCs w:val="18"/>
                    </w:rPr>
                    <w:drawing>
                      <wp:inline distT="0" distB="0" distL="0" distR="0" wp14:anchorId="22C7E7B0" wp14:editId="6A101F88">
                        <wp:extent cx="2428875" cy="1815743"/>
                        <wp:effectExtent l="57150" t="57150" r="104775" b="108585"/>
                        <wp:docPr id="50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pic:cNvPicPr>
                                  <a:picLocks noChangeAspect="1"/>
                                </pic:cNvPicPr>
                              </pic:nvPicPr>
                              <pic:blipFill>
                                <a:blip r:embed="rId147">
                                  <a:lum contrast="20000"/>
                                </a:blip>
                                <a:stretch>
                                  <a:fillRect/>
                                </a:stretch>
                              </pic:blipFill>
                              <pic:spPr>
                                <a:xfrm>
                                  <a:off x="0" y="0"/>
                                  <a:ext cx="2433457" cy="1819169"/>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eastAsia="es-CO"/>
                    </w:rPr>
                  </w:pPr>
                  <w:r w:rsidRPr="00165651">
                    <w:rPr>
                      <w:rFonts w:eastAsia="Times New Roman" w:cstheme="minorHAnsi"/>
                      <w:b/>
                      <w:spacing w:val="-2"/>
                      <w:sz w:val="18"/>
                      <w:szCs w:val="18"/>
                      <w:lang w:eastAsia="es-CO"/>
                    </w:rPr>
                    <w:t>Antes</w:t>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tc>
              <w:tc>
                <w:tcPr>
                  <w:tcW w:w="4309" w:type="dxa"/>
                </w:tcPr>
                <w:p w:rsidR="00EB3BC8" w:rsidRPr="00165651" w:rsidRDefault="00EB3BC8" w:rsidP="0005003A">
                  <w:pPr>
                    <w:framePr w:hSpace="141" w:wrap="around" w:vAnchor="text" w:hAnchor="text" w:y="1"/>
                    <w:spacing w:line="276" w:lineRule="auto"/>
                    <w:suppressOverlap/>
                    <w:jc w:val="both"/>
                    <w:rPr>
                      <w:rFonts w:eastAsia="Times New Roman" w:cstheme="minorHAnsi"/>
                      <w:b/>
                      <w:spacing w:val="-2"/>
                      <w:sz w:val="18"/>
                      <w:szCs w:val="18"/>
                      <w:lang w:eastAsia="es-CO"/>
                    </w:rPr>
                  </w:pPr>
                  <w:r w:rsidRPr="00165651">
                    <w:rPr>
                      <w:rFonts w:eastAsia="Times New Roman" w:cstheme="minorHAnsi"/>
                      <w:b/>
                      <w:noProof/>
                      <w:spacing w:val="-2"/>
                      <w:sz w:val="18"/>
                      <w:szCs w:val="18"/>
                    </w:rPr>
                    <w:drawing>
                      <wp:inline distT="0" distB="0" distL="0" distR="0" wp14:anchorId="07968105" wp14:editId="33E063C6">
                        <wp:extent cx="2428875" cy="1828800"/>
                        <wp:effectExtent l="57150" t="57150" r="123825" b="114300"/>
                        <wp:docPr id="510" name="Imagen 28" descr="F:\Recorrido abril 2015\IMG_9957.JPG"/>
                        <wp:cNvGraphicFramePr/>
                        <a:graphic xmlns:a="http://schemas.openxmlformats.org/drawingml/2006/main">
                          <a:graphicData uri="http://schemas.openxmlformats.org/drawingml/2006/picture">
                            <pic:pic xmlns:pic="http://schemas.openxmlformats.org/drawingml/2006/picture">
                              <pic:nvPicPr>
                                <pic:cNvPr id="29" name="Imagen 28" descr="F:\Recorrido abril 2015\IMG_9957.JPG"/>
                                <pic:cNvPicPr/>
                              </pic:nvPicPr>
                              <pic:blipFill>
                                <a:blip r:embed="rId148" cstate="print">
                                  <a:lum contrast="20000"/>
                                  <a:extLst>
                                    <a:ext uri="{28A0092B-C50C-407E-A947-70E740481C1C}">
                                      <a14:useLocalDpi xmlns:a14="http://schemas.microsoft.com/office/drawing/2010/main" val="0"/>
                                    </a:ext>
                                  </a:extLst>
                                </a:blip>
                                <a:srcRect/>
                                <a:stretch>
                                  <a:fillRect/>
                                </a:stretch>
                              </pic:blipFill>
                              <pic:spPr bwMode="auto">
                                <a:xfrm>
                                  <a:off x="0" y="0"/>
                                  <a:ext cx="2428875" cy="1828800"/>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r w:rsidRPr="00165651">
                    <w:rPr>
                      <w:rFonts w:eastAsia="Times New Roman" w:cstheme="minorHAnsi"/>
                      <w:b/>
                      <w:spacing w:val="-2"/>
                      <w:sz w:val="18"/>
                      <w:szCs w:val="18"/>
                      <w:lang w:eastAsia="es-CO"/>
                    </w:rPr>
                    <w:t>Después</w:t>
                  </w:r>
                </w:p>
              </w:tc>
            </w:tr>
            <w:tr w:rsidR="00EB3BC8" w:rsidRPr="00165651" w:rsidTr="005E52E0">
              <w:trPr>
                <w:trHeight w:val="537"/>
                <w:jc w:val="center"/>
              </w:trPr>
              <w:tc>
                <w:tcPr>
                  <w:tcW w:w="8618" w:type="dxa"/>
                  <w:gridSpan w:val="2"/>
                </w:tcPr>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b/>
                      <w:bCs/>
                      <w:spacing w:val="-2"/>
                      <w:sz w:val="18"/>
                      <w:szCs w:val="18"/>
                      <w:lang w:eastAsia="es-CO"/>
                    </w:rPr>
                    <w:t>PC 31 - Protección estribo puente</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Ubicación - PK  513+599        Departamento: Santander</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Valor Final: $ 796.631.572     Terminación: 30-03-2015</w:t>
                  </w:r>
                </w:p>
                <w:p w:rsidR="00EB3BC8" w:rsidRPr="00165651" w:rsidRDefault="00EB3BC8" w:rsidP="0005003A">
                  <w:pPr>
                    <w:framePr w:hSpace="141" w:wrap="around" w:vAnchor="text" w:hAnchor="text" w:y="1"/>
                    <w:spacing w:line="276" w:lineRule="auto"/>
                    <w:suppressOverlap/>
                    <w:rPr>
                      <w:rFonts w:eastAsia="Times New Roman" w:cstheme="minorHAnsi"/>
                      <w:b/>
                      <w:noProof/>
                      <w:spacing w:val="-2"/>
                      <w:sz w:val="18"/>
                      <w:szCs w:val="18"/>
                      <w:lang w:val="es-CO" w:eastAsia="es-CO"/>
                    </w:rPr>
                  </w:pPr>
                  <w:r w:rsidRPr="00165651">
                    <w:rPr>
                      <w:rFonts w:eastAsia="Times New Roman" w:cstheme="minorHAnsi"/>
                      <w:b/>
                      <w:noProof/>
                      <w:spacing w:val="-2"/>
                      <w:sz w:val="18"/>
                      <w:szCs w:val="18"/>
                    </w:rPr>
                    <w:drawing>
                      <wp:inline distT="0" distB="0" distL="0" distR="0" wp14:anchorId="42607D4B" wp14:editId="0AB38256">
                        <wp:extent cx="2276475" cy="1708212"/>
                        <wp:effectExtent l="57150" t="57150" r="104775" b="120650"/>
                        <wp:docPr id="51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pic:cNvPicPr>
                                  <a:picLocks noChangeAspect="1"/>
                                </pic:cNvPicPr>
                              </pic:nvPicPr>
                              <pic:blipFill>
                                <a:blip r:embed="rId149">
                                  <a:lum contrast="20000"/>
                                </a:blip>
                                <a:stretch>
                                  <a:fillRect/>
                                </a:stretch>
                              </pic:blipFill>
                              <pic:spPr>
                                <a:xfrm>
                                  <a:off x="0" y="0"/>
                                  <a:ext cx="2278108" cy="1709437"/>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r w:rsidRPr="00165651">
                    <w:rPr>
                      <w:rFonts w:eastAsia="Times New Roman" w:cstheme="minorHAnsi"/>
                      <w:b/>
                      <w:noProof/>
                      <w:spacing w:val="-2"/>
                      <w:sz w:val="18"/>
                      <w:szCs w:val="18"/>
                      <w:lang w:val="es-CO" w:eastAsia="es-CO"/>
                    </w:rPr>
                    <w:t xml:space="preserve">     </w:t>
                  </w:r>
                  <w:r w:rsidRPr="00165651">
                    <w:rPr>
                      <w:rFonts w:eastAsia="Times New Roman" w:cstheme="minorHAnsi"/>
                      <w:b/>
                      <w:noProof/>
                      <w:spacing w:val="-2"/>
                      <w:sz w:val="18"/>
                      <w:szCs w:val="18"/>
                    </w:rPr>
                    <w:drawing>
                      <wp:inline distT="0" distB="0" distL="0" distR="0" wp14:anchorId="239BD9C9" wp14:editId="2CFEC4DE">
                        <wp:extent cx="2400300" cy="1733550"/>
                        <wp:effectExtent l="57150" t="57150" r="114300" b="114300"/>
                        <wp:docPr id="93" name="Imagen 35" descr="F:\Recorrido abril 2015\IMG_9893.JPG"/>
                        <wp:cNvGraphicFramePr/>
                        <a:graphic xmlns:a="http://schemas.openxmlformats.org/drawingml/2006/main">
                          <a:graphicData uri="http://schemas.openxmlformats.org/drawingml/2006/picture">
                            <pic:pic xmlns:pic="http://schemas.openxmlformats.org/drawingml/2006/picture">
                              <pic:nvPicPr>
                                <pic:cNvPr id="36" name="Imagen 35" descr="F:\Recorrido abril 2015\IMG_9893.JPG"/>
                                <pic:cNvPicPr/>
                              </pic:nvPicPr>
                              <pic:blipFill>
                                <a:blip r:embed="rId150" cstate="print">
                                  <a:lum contrast="20000"/>
                                  <a:extLst>
                                    <a:ext uri="{28A0092B-C50C-407E-A947-70E740481C1C}">
                                      <a14:useLocalDpi xmlns:a14="http://schemas.microsoft.com/office/drawing/2010/main" val="0"/>
                                    </a:ext>
                                  </a:extLst>
                                </a:blip>
                                <a:srcRect/>
                                <a:stretch>
                                  <a:fillRect/>
                                </a:stretch>
                              </pic:blipFill>
                              <pic:spPr bwMode="auto">
                                <a:xfrm>
                                  <a:off x="0" y="0"/>
                                  <a:ext cx="2400300" cy="1733550"/>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rPr>
                      <w:rFonts w:eastAsia="Times New Roman" w:cstheme="minorHAnsi"/>
                      <w:b/>
                      <w:noProof/>
                      <w:spacing w:val="-2"/>
                      <w:sz w:val="18"/>
                      <w:szCs w:val="18"/>
                      <w:lang w:val="es-CO" w:eastAsia="es-CO"/>
                    </w:rPr>
                  </w:pPr>
                  <w:r w:rsidRPr="00165651">
                    <w:rPr>
                      <w:rFonts w:eastAsia="Times New Roman" w:cstheme="minorHAnsi"/>
                      <w:b/>
                      <w:noProof/>
                      <w:spacing w:val="-2"/>
                      <w:sz w:val="18"/>
                      <w:szCs w:val="18"/>
                      <w:lang w:val="es-CO" w:eastAsia="es-CO"/>
                    </w:rPr>
                    <w:t xml:space="preserve">                                     Antes                                                                     Después</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p>
              </w:tc>
            </w:tr>
            <w:tr w:rsidR="00EB3BC8" w:rsidRPr="00165651" w:rsidTr="005E52E0">
              <w:trPr>
                <w:trHeight w:val="80"/>
                <w:jc w:val="center"/>
              </w:trPr>
              <w:tc>
                <w:tcPr>
                  <w:tcW w:w="4309" w:type="dxa"/>
                </w:tcPr>
                <w:p w:rsidR="00EB3BC8" w:rsidRPr="00165651" w:rsidRDefault="00EB3BC8" w:rsidP="0005003A">
                  <w:pPr>
                    <w:framePr w:hSpace="141" w:wrap="around" w:vAnchor="text" w:hAnchor="text" w:y="1"/>
                    <w:suppressOverlap/>
                    <w:rPr>
                      <w:rFonts w:eastAsia="Times New Roman" w:cstheme="minorHAnsi"/>
                      <w:sz w:val="18"/>
                      <w:szCs w:val="18"/>
                      <w:lang w:val="es-CO" w:eastAsia="es-CO"/>
                    </w:rPr>
                  </w:pPr>
                </w:p>
              </w:tc>
              <w:tc>
                <w:tcPr>
                  <w:tcW w:w="4309" w:type="dxa"/>
                </w:tcPr>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tc>
            </w:tr>
            <w:tr w:rsidR="00EB3BC8" w:rsidRPr="00165651" w:rsidTr="005E52E0">
              <w:trPr>
                <w:trHeight w:val="537"/>
                <w:jc w:val="center"/>
              </w:trPr>
              <w:tc>
                <w:tcPr>
                  <w:tcW w:w="8618" w:type="dxa"/>
                  <w:gridSpan w:val="2"/>
                </w:tcPr>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b/>
                      <w:bCs/>
                      <w:spacing w:val="-2"/>
                      <w:sz w:val="18"/>
                      <w:szCs w:val="18"/>
                      <w:lang w:eastAsia="es-CO"/>
                    </w:rPr>
                    <w:t>PC 38 - Box Culvert</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Ubicación - PK  598+810         Departamento: Cesar</w:t>
                  </w:r>
                </w:p>
                <w:p w:rsidR="00EB3BC8" w:rsidRPr="00165651" w:rsidRDefault="00EB3BC8" w:rsidP="0005003A">
                  <w:pPr>
                    <w:framePr w:hSpace="141" w:wrap="around" w:vAnchor="text" w:hAnchor="text" w:y="1"/>
                    <w:spacing w:line="276" w:lineRule="auto"/>
                    <w:suppressOverlap/>
                    <w:rPr>
                      <w:rFonts w:eastAsia="Times New Roman" w:cstheme="minorHAnsi"/>
                      <w:spacing w:val="-2"/>
                      <w:sz w:val="18"/>
                      <w:szCs w:val="18"/>
                      <w:lang w:eastAsia="es-CO"/>
                    </w:rPr>
                  </w:pPr>
                  <w:r w:rsidRPr="00165651">
                    <w:rPr>
                      <w:rFonts w:eastAsia="Times New Roman" w:cstheme="minorHAnsi"/>
                      <w:spacing w:val="-2"/>
                      <w:sz w:val="18"/>
                      <w:szCs w:val="18"/>
                      <w:lang w:eastAsia="es-CO"/>
                    </w:rPr>
                    <w:t>Valor Final: $ 4.296.975.527   Terminación: 30-03-2015</w:t>
                  </w:r>
                </w:p>
              </w:tc>
            </w:tr>
            <w:tr w:rsidR="00EB3BC8" w:rsidRPr="00165651" w:rsidTr="005E52E0">
              <w:trPr>
                <w:trHeight w:val="3276"/>
                <w:jc w:val="center"/>
              </w:trPr>
              <w:tc>
                <w:tcPr>
                  <w:tcW w:w="4309" w:type="dxa"/>
                </w:tcPr>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eastAsia="es-CO"/>
                    </w:rPr>
                  </w:pPr>
                  <w:r w:rsidRPr="00165651">
                    <w:rPr>
                      <w:rFonts w:eastAsia="Times New Roman" w:cstheme="minorHAnsi"/>
                      <w:b/>
                      <w:noProof/>
                      <w:spacing w:val="-2"/>
                      <w:sz w:val="18"/>
                      <w:szCs w:val="18"/>
                    </w:rPr>
                    <w:drawing>
                      <wp:inline distT="0" distB="0" distL="0" distR="0" wp14:anchorId="44D3521D" wp14:editId="7A01F7BA">
                        <wp:extent cx="2276475" cy="1685899"/>
                        <wp:effectExtent l="57150" t="57150" r="104775" b="105410"/>
                        <wp:docPr id="9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pic:cNvPicPr>
                                  <a:picLocks noChangeAspect="1"/>
                                </pic:cNvPicPr>
                              </pic:nvPicPr>
                              <pic:blipFill>
                                <a:blip r:embed="rId151">
                                  <a:lum contrast="20000"/>
                                </a:blip>
                                <a:stretch>
                                  <a:fillRect/>
                                </a:stretch>
                              </pic:blipFill>
                              <pic:spPr>
                                <a:xfrm>
                                  <a:off x="0" y="0"/>
                                  <a:ext cx="2280877" cy="1689159"/>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eastAsia="es-CO"/>
                    </w:rPr>
                  </w:pPr>
                  <w:r w:rsidRPr="00165651">
                    <w:rPr>
                      <w:rFonts w:eastAsia="Times New Roman" w:cstheme="minorHAnsi"/>
                      <w:b/>
                      <w:spacing w:val="-2"/>
                      <w:sz w:val="18"/>
                      <w:szCs w:val="18"/>
                      <w:lang w:eastAsia="es-CO"/>
                    </w:rPr>
                    <w:t>Antes</w:t>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p>
              </w:tc>
              <w:tc>
                <w:tcPr>
                  <w:tcW w:w="4309" w:type="dxa"/>
                </w:tcPr>
                <w:p w:rsidR="00EB3BC8" w:rsidRPr="00165651" w:rsidRDefault="00EB3BC8" w:rsidP="0005003A">
                  <w:pPr>
                    <w:framePr w:hSpace="141" w:wrap="around" w:vAnchor="text" w:hAnchor="text" w:y="1"/>
                    <w:spacing w:line="276" w:lineRule="auto"/>
                    <w:suppressOverlap/>
                    <w:jc w:val="both"/>
                    <w:rPr>
                      <w:rFonts w:eastAsia="Times New Roman" w:cstheme="minorHAnsi"/>
                      <w:b/>
                      <w:spacing w:val="-2"/>
                      <w:sz w:val="18"/>
                      <w:szCs w:val="18"/>
                      <w:lang w:eastAsia="es-CO"/>
                    </w:rPr>
                  </w:pPr>
                  <w:r w:rsidRPr="00165651">
                    <w:rPr>
                      <w:rFonts w:eastAsia="Times New Roman" w:cstheme="minorHAnsi"/>
                      <w:b/>
                      <w:noProof/>
                      <w:spacing w:val="-2"/>
                      <w:sz w:val="18"/>
                      <w:szCs w:val="18"/>
                    </w:rPr>
                    <w:drawing>
                      <wp:inline distT="0" distB="0" distL="0" distR="0" wp14:anchorId="38898891" wp14:editId="0F48EF08">
                        <wp:extent cx="2266950" cy="1685290"/>
                        <wp:effectExtent l="57150" t="57150" r="114300" b="105410"/>
                        <wp:docPr id="95" name="Imagen 35" descr="F:\Recorrido abril 2015\IMG_9831.JPG"/>
                        <wp:cNvGraphicFramePr/>
                        <a:graphic xmlns:a="http://schemas.openxmlformats.org/drawingml/2006/main">
                          <a:graphicData uri="http://schemas.openxmlformats.org/drawingml/2006/picture">
                            <pic:pic xmlns:pic="http://schemas.openxmlformats.org/drawingml/2006/picture">
                              <pic:nvPicPr>
                                <pic:cNvPr id="36" name="Imagen 35" descr="F:\Recorrido abril 2015\IMG_9831.JPG"/>
                                <pic:cNvPicPr/>
                              </pic:nvPicPr>
                              <pic:blipFill>
                                <a:blip r:embed="rId152" cstate="print">
                                  <a:lum contrast="20000"/>
                                  <a:extLst>
                                    <a:ext uri="{28A0092B-C50C-407E-A947-70E740481C1C}">
                                      <a14:useLocalDpi xmlns:a14="http://schemas.microsoft.com/office/drawing/2010/main" val="0"/>
                                    </a:ext>
                                  </a:extLst>
                                </a:blip>
                                <a:srcRect/>
                                <a:stretch>
                                  <a:fillRect/>
                                </a:stretch>
                              </pic:blipFill>
                              <pic:spPr bwMode="auto">
                                <a:xfrm>
                                  <a:off x="0" y="0"/>
                                  <a:ext cx="2266950" cy="1685290"/>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line="276" w:lineRule="auto"/>
                    <w:suppressOverlap/>
                    <w:jc w:val="center"/>
                    <w:rPr>
                      <w:rFonts w:eastAsia="Times New Roman" w:cstheme="minorHAnsi"/>
                      <w:b/>
                      <w:spacing w:val="-2"/>
                      <w:sz w:val="18"/>
                      <w:szCs w:val="18"/>
                      <w:lang w:val="es-CO" w:eastAsia="es-CO"/>
                    </w:rPr>
                  </w:pPr>
                  <w:r w:rsidRPr="00165651">
                    <w:rPr>
                      <w:rFonts w:eastAsia="Times New Roman" w:cstheme="minorHAnsi"/>
                      <w:b/>
                      <w:spacing w:val="-2"/>
                      <w:sz w:val="18"/>
                      <w:szCs w:val="18"/>
                      <w:lang w:eastAsia="es-CO"/>
                    </w:rPr>
                    <w:t>Después</w:t>
                  </w:r>
                </w:p>
              </w:tc>
            </w:tr>
            <w:tr w:rsidR="00EB3BC8" w:rsidRPr="00165651" w:rsidTr="005E52E0">
              <w:trPr>
                <w:jc w:val="center"/>
              </w:trPr>
              <w:tc>
                <w:tcPr>
                  <w:tcW w:w="4309" w:type="dxa"/>
                </w:tcPr>
                <w:p w:rsidR="00EB3BC8" w:rsidRPr="00165651" w:rsidRDefault="00EB3BC8" w:rsidP="0005003A">
                  <w:pPr>
                    <w:framePr w:hSpace="141" w:wrap="around" w:vAnchor="text" w:hAnchor="text" w:y="1"/>
                    <w:spacing w:line="276" w:lineRule="auto"/>
                    <w:suppressOverlap/>
                    <w:jc w:val="both"/>
                    <w:rPr>
                      <w:rFonts w:eastAsia="Times New Roman" w:cstheme="minorHAnsi"/>
                      <w:spacing w:val="-2"/>
                      <w:sz w:val="18"/>
                      <w:szCs w:val="18"/>
                      <w:lang w:val="es-CO" w:eastAsia="es-CO"/>
                    </w:rPr>
                  </w:pPr>
                </w:p>
              </w:tc>
              <w:tc>
                <w:tcPr>
                  <w:tcW w:w="4309" w:type="dxa"/>
                </w:tcPr>
                <w:p w:rsidR="00EB3BC8" w:rsidRPr="00165651" w:rsidRDefault="00EB3BC8" w:rsidP="0005003A">
                  <w:pPr>
                    <w:framePr w:hSpace="141" w:wrap="around" w:vAnchor="text" w:hAnchor="text" w:y="1"/>
                    <w:spacing w:line="276" w:lineRule="auto"/>
                    <w:suppressOverlap/>
                    <w:jc w:val="both"/>
                    <w:rPr>
                      <w:rFonts w:eastAsia="Times New Roman" w:cstheme="minorHAnsi"/>
                      <w:spacing w:val="-2"/>
                      <w:sz w:val="18"/>
                      <w:szCs w:val="18"/>
                      <w:lang w:val="es-CO" w:eastAsia="es-CO"/>
                    </w:rPr>
                  </w:pPr>
                </w:p>
              </w:tc>
            </w:tr>
          </w:tbl>
          <w:p w:rsidR="00EB3BC8" w:rsidRPr="00165651" w:rsidRDefault="00EB3BC8" w:rsidP="005E52E0">
            <w:pPr>
              <w:spacing w:line="276" w:lineRule="auto"/>
              <w:rPr>
                <w:rFonts w:eastAsia="Times New Roman" w:cstheme="minorHAnsi"/>
                <w:b/>
                <w:sz w:val="18"/>
                <w:szCs w:val="18"/>
                <w:lang w:val="es-CO" w:eastAsia="es-CO"/>
              </w:rPr>
            </w:pPr>
            <w:r w:rsidRPr="00165651">
              <w:rPr>
                <w:rFonts w:eastAsia="Times New Roman" w:cstheme="minorHAnsi"/>
                <w:b/>
                <w:sz w:val="18"/>
                <w:szCs w:val="18"/>
                <w:lang w:val="es-CO" w:eastAsia="es-CO"/>
              </w:rPr>
              <w:t>Estado actual de mantenimiento y conservación del corredor férreo</w:t>
            </w:r>
          </w:p>
          <w:p w:rsidR="00EB3BC8" w:rsidRPr="00165651" w:rsidRDefault="00EB3BC8" w:rsidP="005E52E0">
            <w:pPr>
              <w:spacing w:line="276" w:lineRule="auto"/>
              <w:rPr>
                <w:rFonts w:eastAsia="Times New Roman" w:cstheme="minorHAnsi"/>
                <w:sz w:val="18"/>
                <w:szCs w:val="18"/>
                <w:lang w:val="es-CO" w:eastAsia="es-CO"/>
              </w:rPr>
            </w:pPr>
          </w:p>
          <w:p w:rsidR="00EB3BC8" w:rsidRPr="00165651" w:rsidRDefault="00EB3BC8" w:rsidP="005E52E0">
            <w:pPr>
              <w:spacing w:line="276" w:lineRule="auto"/>
              <w:jc w:val="center"/>
              <w:rPr>
                <w:rFonts w:eastAsia="Times New Roman" w:cstheme="minorHAnsi"/>
                <w:sz w:val="18"/>
                <w:szCs w:val="18"/>
                <w:lang w:val="es-CO" w:eastAsia="es-CO"/>
              </w:rPr>
            </w:pPr>
            <w:r w:rsidRPr="00165651">
              <w:rPr>
                <w:rFonts w:eastAsia="Times New Roman" w:cstheme="minorHAnsi"/>
                <w:noProof/>
                <w:sz w:val="18"/>
                <w:szCs w:val="18"/>
              </w:rPr>
              <w:drawing>
                <wp:inline distT="0" distB="0" distL="0" distR="0" wp14:anchorId="7C06BCE6" wp14:editId="2989D032">
                  <wp:extent cx="4829175" cy="2276475"/>
                  <wp:effectExtent l="0" t="0" r="0" b="0"/>
                  <wp:docPr id="96" name="Gráfico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EB3BC8" w:rsidRPr="00165651" w:rsidRDefault="00EB3BC8" w:rsidP="005E52E0">
            <w:pPr>
              <w:spacing w:line="276" w:lineRule="auto"/>
              <w:jc w:val="center"/>
              <w:rPr>
                <w:rFonts w:eastAsia="Times New Roman" w:cstheme="minorHAnsi"/>
                <w:sz w:val="18"/>
                <w:szCs w:val="18"/>
                <w:lang w:val="es-CO" w:eastAsia="es-CO"/>
              </w:rPr>
            </w:pPr>
            <w:r w:rsidRPr="00165651">
              <w:rPr>
                <w:rFonts w:eastAsia="Times New Roman" w:cstheme="minorHAnsi"/>
                <w:noProof/>
                <w:sz w:val="18"/>
                <w:szCs w:val="18"/>
              </w:rPr>
              <w:drawing>
                <wp:anchor distT="0" distB="0" distL="114300" distR="114300" simplePos="0" relativeHeight="251719680" behindDoc="0" locked="0" layoutInCell="1" allowOverlap="1" wp14:anchorId="2704E5C2" wp14:editId="01EF03EB">
                  <wp:simplePos x="0" y="0"/>
                  <wp:positionH relativeFrom="column">
                    <wp:posOffset>2941955</wp:posOffset>
                  </wp:positionH>
                  <wp:positionV relativeFrom="paragraph">
                    <wp:posOffset>9525</wp:posOffset>
                  </wp:positionV>
                  <wp:extent cx="2679065" cy="1962150"/>
                  <wp:effectExtent l="0" t="0" r="45085" b="0"/>
                  <wp:wrapSquare wrapText="bothSides"/>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14:sizeRelH relativeFrom="page">
                    <wp14:pctWidth>0</wp14:pctWidth>
                  </wp14:sizeRelH>
                  <wp14:sizeRelV relativeFrom="page">
                    <wp14:pctHeight>0</wp14:pctHeight>
                  </wp14:sizeRelV>
                </wp:anchor>
              </w:drawing>
            </w:r>
          </w:p>
          <w:p w:rsidR="00EB3BC8" w:rsidRPr="00165651" w:rsidRDefault="00EB3BC8" w:rsidP="005E52E0">
            <w:pPr>
              <w:spacing w:line="276" w:lineRule="auto"/>
              <w:rPr>
                <w:rFonts w:eastAsia="Times New Roman" w:cstheme="minorHAnsi"/>
                <w:b/>
                <w:bCs/>
                <w:sz w:val="18"/>
                <w:szCs w:val="18"/>
                <w:lang w:val="en-US" w:eastAsia="es-CO"/>
              </w:rPr>
            </w:pPr>
          </w:p>
          <w:p w:rsidR="00EB3BC8" w:rsidRPr="00165651" w:rsidRDefault="00EB3BC8" w:rsidP="005E52E0">
            <w:pPr>
              <w:spacing w:line="276" w:lineRule="auto"/>
              <w:rPr>
                <w:rFonts w:eastAsia="Times New Roman" w:cstheme="minorHAnsi"/>
                <w:b/>
                <w:sz w:val="18"/>
                <w:szCs w:val="18"/>
                <w:lang w:eastAsia="es-CO"/>
              </w:rPr>
            </w:pPr>
            <w:r w:rsidRPr="00165651">
              <w:rPr>
                <w:rFonts w:eastAsia="Times New Roman" w:cstheme="minorHAnsi"/>
                <w:b/>
                <w:bCs/>
                <w:sz w:val="18"/>
                <w:szCs w:val="18"/>
                <w:lang w:eastAsia="es-CO"/>
              </w:rPr>
              <w:t>Deshierbe y Rocería</w:t>
            </w:r>
            <w:r w:rsidRPr="00165651">
              <w:rPr>
                <w:rFonts w:eastAsia="Times New Roman" w:cstheme="minorHAnsi"/>
                <w:b/>
                <w:sz w:val="18"/>
                <w:szCs w:val="18"/>
                <w:lang w:eastAsia="es-CO"/>
              </w:rPr>
              <w:t xml:space="preserve"> - </w:t>
            </w:r>
            <w:r w:rsidRPr="00165651">
              <w:rPr>
                <w:rFonts w:eastAsia="Times New Roman" w:cstheme="minorHAnsi"/>
                <w:b/>
                <w:sz w:val="18"/>
                <w:szCs w:val="18"/>
                <w:lang w:val="es-CO" w:eastAsia="es-CO"/>
              </w:rPr>
              <w:t>Descripción Actividad</w:t>
            </w:r>
          </w:p>
          <w:p w:rsidR="00EB3BC8" w:rsidRPr="00165651" w:rsidRDefault="00EB3BC8" w:rsidP="005E52E0">
            <w:pPr>
              <w:spacing w:line="276" w:lineRule="auto"/>
              <w:rPr>
                <w:rFonts w:eastAsia="Times New Roman" w:cstheme="minorHAnsi"/>
                <w:b/>
                <w:sz w:val="18"/>
                <w:szCs w:val="18"/>
                <w:lang w:val="es-CO" w:eastAsia="es-CO"/>
              </w:rPr>
            </w:pPr>
          </w:p>
          <w:p w:rsidR="00EB3BC8" w:rsidRPr="00165651" w:rsidRDefault="00EB3BC8" w:rsidP="005E52E0">
            <w:pPr>
              <w:spacing w:line="276" w:lineRule="auto"/>
              <w:ind w:left="49"/>
              <w:jc w:val="both"/>
              <w:rPr>
                <w:rFonts w:eastAsia="Times New Roman" w:cstheme="minorHAnsi"/>
                <w:sz w:val="18"/>
                <w:szCs w:val="18"/>
                <w:lang w:val="es-CO" w:eastAsia="es-CO"/>
              </w:rPr>
            </w:pPr>
            <w:r w:rsidRPr="00165651">
              <w:rPr>
                <w:rFonts w:eastAsia="Times New Roman" w:cstheme="minorHAnsi"/>
                <w:sz w:val="18"/>
                <w:szCs w:val="18"/>
                <w:lang w:val="es-CO" w:eastAsia="es-CO"/>
              </w:rPr>
              <w:t>En esta actividad de acuerdo a la inspección realizada en los 215 Km recorridos, se encontró que en el 55.8% de los kilómetros recorridos, se observó que esta actividad se mantiene en un estado Bueno, un 34.9% en un estado Regular y un 9.3% en un estado Malo y 0% no se ha efectuado. Es importante aclarar que algunos de los tramos que se encontraban en mal estado están siendo atendidos por las cuadrillas de trabajo, según la programación establecida para cada sector.</w:t>
            </w:r>
          </w:p>
          <w:p w:rsidR="00EB3BC8" w:rsidRPr="00165651" w:rsidRDefault="00EB3BC8" w:rsidP="005E52E0">
            <w:pPr>
              <w:spacing w:line="276" w:lineRule="auto"/>
              <w:jc w:val="both"/>
              <w:rPr>
                <w:rFonts w:eastAsia="Times New Roman" w:cstheme="minorHAnsi"/>
                <w:sz w:val="18"/>
                <w:szCs w:val="18"/>
                <w:lang w:val="es-CO" w:eastAsia="es-CO"/>
              </w:rPr>
            </w:pPr>
          </w:p>
          <w:p w:rsidR="00EB3BC8" w:rsidRPr="00165651" w:rsidRDefault="00EB3BC8" w:rsidP="005E52E0">
            <w:pPr>
              <w:spacing w:line="276" w:lineRule="auto"/>
              <w:jc w:val="both"/>
              <w:rPr>
                <w:rFonts w:eastAsia="Times New Roman" w:cstheme="minorHAnsi"/>
                <w:sz w:val="18"/>
                <w:szCs w:val="18"/>
                <w:lang w:val="es-CO" w:eastAsia="es-CO"/>
              </w:rPr>
            </w:pPr>
          </w:p>
          <w:p w:rsidR="00EB3BC8" w:rsidRPr="00165651" w:rsidRDefault="00EB3BC8" w:rsidP="005E52E0">
            <w:pPr>
              <w:spacing w:line="276" w:lineRule="auto"/>
              <w:jc w:val="both"/>
              <w:rPr>
                <w:rFonts w:eastAsia="Times New Roman" w:cstheme="minorHAnsi"/>
                <w:sz w:val="18"/>
                <w:szCs w:val="18"/>
                <w:lang w:val="es-CO" w:eastAsia="es-CO"/>
              </w:rPr>
            </w:pPr>
          </w:p>
          <w:p w:rsidR="00EB3BC8" w:rsidRPr="00165651" w:rsidRDefault="00EB3BC8" w:rsidP="005E52E0">
            <w:pPr>
              <w:spacing w:line="276" w:lineRule="auto"/>
              <w:jc w:val="both"/>
              <w:rPr>
                <w:rFonts w:eastAsia="Times New Roman" w:cstheme="minorHAnsi"/>
                <w:sz w:val="18"/>
                <w:szCs w:val="18"/>
                <w:lang w:eastAsia="es-CO"/>
              </w:rPr>
            </w:pPr>
            <w:r w:rsidRPr="00165651">
              <w:rPr>
                <w:rFonts w:eastAsia="Times New Roman" w:cstheme="minorHAnsi"/>
                <w:b/>
                <w:bCs/>
                <w:sz w:val="18"/>
                <w:szCs w:val="18"/>
                <w:lang w:eastAsia="es-CO"/>
              </w:rPr>
              <w:lastRenderedPageBreak/>
              <w:t>Riego Químico -</w:t>
            </w:r>
            <w:r w:rsidRPr="00165651">
              <w:rPr>
                <w:rFonts w:eastAsia="Times New Roman" w:cstheme="minorHAnsi"/>
                <w:b/>
                <w:sz w:val="18"/>
                <w:szCs w:val="18"/>
                <w:lang w:val="es-CO" w:eastAsia="es-CO"/>
              </w:rPr>
              <w:t xml:space="preserve"> Descripción Actividad</w:t>
            </w:r>
          </w:p>
          <w:p w:rsidR="00EB3BC8" w:rsidRPr="00165651" w:rsidRDefault="00EB3BC8" w:rsidP="005E52E0">
            <w:pPr>
              <w:spacing w:line="276" w:lineRule="auto"/>
              <w:jc w:val="both"/>
              <w:rPr>
                <w:rFonts w:eastAsia="Times New Roman" w:cstheme="minorHAnsi"/>
                <w:sz w:val="18"/>
                <w:szCs w:val="18"/>
                <w:lang w:val="es-CO" w:eastAsia="es-CO"/>
              </w:rPr>
            </w:pPr>
            <w:r w:rsidRPr="00165651">
              <w:rPr>
                <w:rFonts w:eastAsia="Times New Roman" w:cstheme="minorHAnsi"/>
                <w:noProof/>
                <w:sz w:val="18"/>
                <w:szCs w:val="18"/>
              </w:rPr>
              <w:drawing>
                <wp:anchor distT="0" distB="0" distL="114300" distR="114300" simplePos="0" relativeHeight="251720704" behindDoc="0" locked="0" layoutInCell="1" allowOverlap="1" wp14:anchorId="497609F0" wp14:editId="5068258A">
                  <wp:simplePos x="0" y="0"/>
                  <wp:positionH relativeFrom="column">
                    <wp:posOffset>3006725</wp:posOffset>
                  </wp:positionH>
                  <wp:positionV relativeFrom="paragraph">
                    <wp:posOffset>12065</wp:posOffset>
                  </wp:positionV>
                  <wp:extent cx="2590800" cy="1876425"/>
                  <wp:effectExtent l="38100" t="0" r="38100" b="0"/>
                  <wp:wrapSquare wrapText="bothSides"/>
                  <wp:docPr id="97" name="Gráfico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14:sizeRelH relativeFrom="page">
                    <wp14:pctWidth>0</wp14:pctWidth>
                  </wp14:sizeRelH>
                  <wp14:sizeRelV relativeFrom="page">
                    <wp14:pctHeight>0</wp14:pctHeight>
                  </wp14:sizeRelV>
                </wp:anchor>
              </w:drawing>
            </w:r>
          </w:p>
          <w:p w:rsidR="00EB3BC8" w:rsidRPr="00165651" w:rsidRDefault="00EB3BC8" w:rsidP="005E52E0">
            <w:pPr>
              <w:spacing w:line="276" w:lineRule="auto"/>
              <w:jc w:val="both"/>
              <w:rPr>
                <w:rFonts w:eastAsia="Times New Roman" w:cstheme="minorHAnsi"/>
                <w:spacing w:val="-2"/>
                <w:sz w:val="18"/>
                <w:szCs w:val="18"/>
                <w:lang w:val="es-CO" w:eastAsia="es-CO"/>
              </w:rPr>
            </w:pPr>
            <w:r w:rsidRPr="00165651">
              <w:rPr>
                <w:rFonts w:eastAsia="Times New Roman" w:cstheme="minorHAnsi"/>
                <w:sz w:val="18"/>
                <w:szCs w:val="18"/>
                <w:lang w:val="es-CO" w:eastAsia="es-CO"/>
              </w:rPr>
              <w:t>En esta actividad de acuerdo a la inspección realizada en los 215 Km recorridos, se encontró que en el 55.8% de los kilómetros recorridos, se observó que esta actividad se mantiene en un estado Bueno, un 34.9% en un estado Regular y un 9.3%  en un estado Malo y 0% no se ha efectuado. Es importante aclarar que algunos de los tramos que se encontraban en mal estado están siendo atendidos por las cuadrillas de trabajo, según la programación establecida para cada sector. Después de esta actividad se iniciará con el riego químico respectivo</w:t>
            </w:r>
          </w:p>
          <w:p w:rsidR="00EB3BC8" w:rsidRPr="00165651" w:rsidRDefault="00EB3BC8" w:rsidP="005E52E0">
            <w:pPr>
              <w:spacing w:line="276" w:lineRule="auto"/>
              <w:jc w:val="center"/>
              <w:rPr>
                <w:rFonts w:eastAsia="Times New Roman" w:cstheme="minorHAnsi"/>
                <w:sz w:val="18"/>
                <w:szCs w:val="18"/>
                <w:lang w:val="es-CO" w:eastAsia="es-CO"/>
              </w:rPr>
            </w:pPr>
          </w:p>
          <w:p w:rsidR="00EB3BC8" w:rsidRPr="00165651" w:rsidRDefault="00EB3BC8" w:rsidP="005E52E0">
            <w:pPr>
              <w:spacing w:line="276" w:lineRule="auto"/>
              <w:ind w:left="49"/>
              <w:jc w:val="both"/>
              <w:rPr>
                <w:rFonts w:eastAsia="Times New Roman" w:cstheme="minorHAnsi"/>
                <w:b/>
                <w:sz w:val="18"/>
                <w:szCs w:val="18"/>
                <w:lang w:val="es-CO" w:eastAsia="es-CO"/>
              </w:rPr>
            </w:pPr>
          </w:p>
          <w:p w:rsidR="00EB3BC8" w:rsidRPr="00165651" w:rsidRDefault="00EB3BC8" w:rsidP="005E52E0">
            <w:pPr>
              <w:spacing w:line="276" w:lineRule="auto"/>
              <w:ind w:left="49"/>
              <w:jc w:val="both"/>
              <w:rPr>
                <w:rFonts w:eastAsia="Times New Roman" w:cstheme="minorHAnsi"/>
                <w:b/>
                <w:sz w:val="18"/>
                <w:szCs w:val="18"/>
                <w:lang w:val="es-CO" w:eastAsia="es-CO"/>
              </w:rPr>
            </w:pPr>
          </w:p>
          <w:p w:rsidR="00EB3BC8" w:rsidRPr="00165651" w:rsidRDefault="00EB3BC8" w:rsidP="005E52E0">
            <w:pPr>
              <w:spacing w:line="276" w:lineRule="auto"/>
              <w:jc w:val="both"/>
              <w:rPr>
                <w:rFonts w:eastAsia="Times New Roman" w:cstheme="minorHAnsi"/>
                <w:b/>
                <w:sz w:val="18"/>
                <w:szCs w:val="18"/>
                <w:lang w:val="es-CO" w:eastAsia="es-CO"/>
              </w:rPr>
            </w:pPr>
            <w:r w:rsidRPr="00165651">
              <w:rPr>
                <w:rFonts w:eastAsia="Times New Roman" w:cstheme="minorHAnsi"/>
                <w:noProof/>
                <w:sz w:val="18"/>
                <w:szCs w:val="18"/>
              </w:rPr>
              <w:drawing>
                <wp:anchor distT="0" distB="0" distL="114300" distR="114300" simplePos="0" relativeHeight="251721728" behindDoc="0" locked="0" layoutInCell="1" allowOverlap="1" wp14:anchorId="4674F873" wp14:editId="106C1B0A">
                  <wp:simplePos x="0" y="0"/>
                  <wp:positionH relativeFrom="column">
                    <wp:posOffset>2945765</wp:posOffset>
                  </wp:positionH>
                  <wp:positionV relativeFrom="paragraph">
                    <wp:posOffset>65405</wp:posOffset>
                  </wp:positionV>
                  <wp:extent cx="2591435" cy="1970405"/>
                  <wp:effectExtent l="0" t="0" r="37465" b="0"/>
                  <wp:wrapSquare wrapText="bothSides"/>
                  <wp:docPr id="70" name="Gráfico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14:sizeRelH relativeFrom="page">
                    <wp14:pctWidth>0</wp14:pctWidth>
                  </wp14:sizeRelH>
                  <wp14:sizeRelV relativeFrom="page">
                    <wp14:pctHeight>0</wp14:pctHeight>
                  </wp14:sizeRelV>
                </wp:anchor>
              </w:drawing>
            </w:r>
          </w:p>
          <w:p w:rsidR="00EB3BC8" w:rsidRPr="00165651" w:rsidRDefault="00EB3BC8" w:rsidP="005E52E0">
            <w:pPr>
              <w:spacing w:line="276" w:lineRule="auto"/>
              <w:ind w:left="49"/>
              <w:jc w:val="both"/>
              <w:rPr>
                <w:rFonts w:eastAsia="Times New Roman" w:cstheme="minorHAnsi"/>
                <w:b/>
                <w:sz w:val="18"/>
                <w:szCs w:val="18"/>
                <w:lang w:val="es-CO" w:eastAsia="es-CO"/>
              </w:rPr>
            </w:pPr>
          </w:p>
          <w:p w:rsidR="00EB3BC8" w:rsidRPr="00165651" w:rsidRDefault="00EB3BC8" w:rsidP="005E52E0">
            <w:pPr>
              <w:spacing w:line="276" w:lineRule="auto"/>
              <w:ind w:left="49"/>
              <w:jc w:val="both"/>
              <w:rPr>
                <w:rFonts w:eastAsia="Times New Roman" w:cstheme="minorHAnsi"/>
                <w:b/>
                <w:sz w:val="18"/>
                <w:szCs w:val="18"/>
                <w:lang w:val="es-CO" w:eastAsia="es-CO"/>
              </w:rPr>
            </w:pPr>
            <w:r w:rsidRPr="00165651">
              <w:rPr>
                <w:rFonts w:eastAsia="Times New Roman" w:cstheme="minorHAnsi"/>
                <w:b/>
                <w:sz w:val="18"/>
                <w:szCs w:val="18"/>
                <w:lang w:val="es-CO" w:eastAsia="es-CO"/>
              </w:rPr>
              <w:t>Limpieza de Cunetas -  Descripción Actividad</w:t>
            </w:r>
          </w:p>
          <w:p w:rsidR="00EB3BC8" w:rsidRPr="00165651" w:rsidRDefault="00EB3BC8" w:rsidP="005E52E0">
            <w:pPr>
              <w:spacing w:line="276" w:lineRule="auto"/>
              <w:jc w:val="both"/>
              <w:rPr>
                <w:rFonts w:eastAsia="Times New Roman" w:cstheme="minorHAnsi"/>
                <w:sz w:val="18"/>
                <w:szCs w:val="18"/>
                <w:lang w:val="es-CO" w:eastAsia="es-CO"/>
              </w:rPr>
            </w:pPr>
          </w:p>
          <w:p w:rsidR="00EB3BC8" w:rsidRPr="00165651" w:rsidRDefault="00EB3BC8" w:rsidP="005E52E0">
            <w:pPr>
              <w:spacing w:line="276" w:lineRule="auto"/>
              <w:jc w:val="center"/>
              <w:rPr>
                <w:rFonts w:eastAsia="Times New Roman" w:cstheme="minorHAnsi"/>
                <w:sz w:val="18"/>
                <w:szCs w:val="18"/>
                <w:lang w:val="es-CO" w:eastAsia="es-CO"/>
              </w:rPr>
            </w:pPr>
          </w:p>
          <w:p w:rsidR="00EB3BC8" w:rsidRPr="00165651" w:rsidRDefault="00EB3BC8" w:rsidP="005E52E0">
            <w:pPr>
              <w:spacing w:after="120" w:line="276" w:lineRule="auto"/>
              <w:ind w:left="49"/>
              <w:jc w:val="both"/>
              <w:rPr>
                <w:rFonts w:eastAsia="Times New Roman" w:cstheme="minorHAnsi"/>
                <w:sz w:val="18"/>
                <w:szCs w:val="18"/>
                <w:lang w:val="es-CO" w:eastAsia="es-CO"/>
              </w:rPr>
            </w:pPr>
            <w:r w:rsidRPr="00165651">
              <w:rPr>
                <w:rFonts w:eastAsia="Times New Roman" w:cstheme="minorHAnsi"/>
                <w:sz w:val="18"/>
                <w:szCs w:val="18"/>
                <w:lang w:val="es-CO" w:eastAsia="es-CO"/>
              </w:rPr>
              <w:t>En esta actividad de acuerdo a la inspección visual realizada en los  215 Km recorridos, se encontró que en el 65.1% de los kilómetros recorridos, se observó que esta actividad se mantiene en un estado Bueno, un 31.6% en un estado Regular, un 1.4% en estado malo y en un 1.9% no se ha efectuado.</w:t>
            </w:r>
          </w:p>
          <w:p w:rsidR="00EB3BC8" w:rsidRPr="00165651" w:rsidRDefault="00EB3BC8" w:rsidP="005E52E0">
            <w:pPr>
              <w:spacing w:after="120" w:line="276" w:lineRule="auto"/>
              <w:ind w:left="49"/>
              <w:jc w:val="both"/>
              <w:rPr>
                <w:rFonts w:eastAsia="Times New Roman" w:cstheme="minorHAnsi"/>
                <w:sz w:val="18"/>
                <w:szCs w:val="18"/>
                <w:lang w:val="es-CO" w:eastAsia="es-CO"/>
              </w:rPr>
            </w:pPr>
          </w:p>
          <w:p w:rsidR="00EB3BC8" w:rsidRPr="00165651" w:rsidRDefault="00EB3BC8" w:rsidP="005E52E0">
            <w:pPr>
              <w:tabs>
                <w:tab w:val="left" w:pos="993"/>
              </w:tabs>
              <w:spacing w:before="120" w:line="276" w:lineRule="auto"/>
              <w:jc w:val="both"/>
              <w:rPr>
                <w:rFonts w:eastAsia="Times New Roman" w:cstheme="minorHAnsi"/>
                <w:b/>
                <w:spacing w:val="-2"/>
                <w:sz w:val="18"/>
                <w:szCs w:val="18"/>
                <w:u w:val="single"/>
                <w:lang w:val="es-CO" w:eastAsia="es-CO"/>
              </w:rPr>
            </w:pPr>
          </w:p>
          <w:p w:rsidR="00EB3BC8" w:rsidRPr="00165651" w:rsidRDefault="00EB3BC8" w:rsidP="005E52E0">
            <w:pPr>
              <w:spacing w:before="120" w:line="276" w:lineRule="auto"/>
              <w:jc w:val="both"/>
              <w:rPr>
                <w:rFonts w:eastAsia="Times New Roman" w:cstheme="minorHAnsi"/>
                <w:b/>
                <w:color w:val="31849B" w:themeColor="accent5" w:themeShade="BF"/>
                <w:sz w:val="18"/>
                <w:szCs w:val="18"/>
                <w:lang w:val="es-CO" w:eastAsia="es-CO"/>
              </w:rPr>
            </w:pPr>
            <w:r w:rsidRPr="00165651">
              <w:rPr>
                <w:rFonts w:eastAsia="Times New Roman" w:cstheme="minorHAnsi"/>
                <w:b/>
                <w:color w:val="31849B" w:themeColor="accent5" w:themeShade="BF"/>
                <w:sz w:val="18"/>
                <w:szCs w:val="18"/>
                <w:lang w:val="es-CO" w:eastAsia="es-CO"/>
              </w:rPr>
              <w:t>Estado actual Mantenimiento (principales sectores) - Visita seguimiento Mayo de 2015</w:t>
            </w:r>
          </w:p>
          <w:p w:rsidR="00EB3BC8" w:rsidRPr="00165651" w:rsidRDefault="00EB3BC8" w:rsidP="005E52E0">
            <w:pPr>
              <w:spacing w:line="276" w:lineRule="auto"/>
              <w:jc w:val="both"/>
              <w:rPr>
                <w:rFonts w:eastAsia="Times New Roman" w:cstheme="minorHAnsi"/>
                <w:sz w:val="18"/>
                <w:szCs w:val="18"/>
                <w:lang w:val="es-CO" w:eastAsia="es-CO"/>
              </w:rPr>
            </w:pPr>
          </w:p>
          <w:tbl>
            <w:tblPr>
              <w:tblW w:w="8654" w:type="dxa"/>
              <w:tblLayout w:type="fixed"/>
              <w:tblLook w:val="04A0" w:firstRow="1" w:lastRow="0" w:firstColumn="1" w:lastColumn="0" w:noHBand="0" w:noVBand="1"/>
            </w:tblPr>
            <w:tblGrid>
              <w:gridCol w:w="4335"/>
              <w:gridCol w:w="4319"/>
            </w:tblGrid>
            <w:tr w:rsidR="00EB3BC8" w:rsidRPr="00165651" w:rsidTr="005E52E0">
              <w:trPr>
                <w:trHeight w:val="3128"/>
              </w:trPr>
              <w:tc>
                <w:tcPr>
                  <w:tcW w:w="4335" w:type="dxa"/>
                  <w:shd w:val="clear" w:color="auto" w:fill="auto"/>
                </w:tcPr>
                <w:p w:rsidR="00EB3BC8" w:rsidRPr="00165651" w:rsidRDefault="00EB3BC8" w:rsidP="0005003A">
                  <w:pPr>
                    <w:framePr w:hSpace="141" w:wrap="around" w:vAnchor="text" w:hAnchor="text" w:y="1"/>
                    <w:spacing w:before="240" w:after="120"/>
                    <w:suppressOverlap/>
                    <w:jc w:val="center"/>
                    <w:rPr>
                      <w:rFonts w:eastAsia="Times New Roman" w:cstheme="minorHAnsi"/>
                      <w:sz w:val="18"/>
                      <w:szCs w:val="18"/>
                    </w:rPr>
                  </w:pPr>
                  <w:r w:rsidRPr="00165651">
                    <w:rPr>
                      <w:rFonts w:eastAsia="Times New Roman" w:cstheme="minorHAnsi"/>
                      <w:noProof/>
                      <w:sz w:val="18"/>
                      <w:szCs w:val="18"/>
                    </w:rPr>
                    <w:drawing>
                      <wp:inline distT="0" distB="0" distL="0" distR="0" wp14:anchorId="1E55F825" wp14:editId="631D6F0B">
                        <wp:extent cx="2519680" cy="1799590"/>
                        <wp:effectExtent l="57150" t="57150" r="109220" b="105410"/>
                        <wp:docPr id="71" name="79 Imagen" descr="20150520_080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79 Imagen" descr="20150520_080946.jpg"/>
                                <pic:cNvPicPr>
                                  <a:picLocks noChangeAspect="1"/>
                                </pic:cNvPicPr>
                              </pic:nvPicPr>
                              <pic:blipFill>
                                <a:blip r:embed="rId157" cstate="print">
                                  <a:lum contrast="20000"/>
                                  <a:extLst>
                                    <a:ext uri="{28A0092B-C50C-407E-A947-70E740481C1C}">
                                      <a14:useLocalDpi xmlns:a14="http://schemas.microsoft.com/office/drawing/2010/main"/>
                                    </a:ext>
                                  </a:extLst>
                                </a:blip>
                                <a:srcRect/>
                                <a:stretch>
                                  <a:fillRect/>
                                </a:stretch>
                              </pic:blipFill>
                              <pic:spPr bwMode="auto">
                                <a:xfrm>
                                  <a:off x="0" y="0"/>
                                  <a:ext cx="2520256" cy="1800001"/>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a:extLst/>
                              </pic:spPr>
                            </pic:pic>
                          </a:graphicData>
                        </a:graphic>
                      </wp:inline>
                    </w:drawing>
                  </w:r>
                </w:p>
              </w:tc>
              <w:tc>
                <w:tcPr>
                  <w:tcW w:w="4319" w:type="dxa"/>
                  <w:shd w:val="clear" w:color="auto" w:fill="auto"/>
                </w:tcPr>
                <w:p w:rsidR="00EB3BC8" w:rsidRPr="00165651" w:rsidRDefault="00EB3BC8" w:rsidP="0005003A">
                  <w:pPr>
                    <w:framePr w:hSpace="141" w:wrap="around" w:vAnchor="text" w:hAnchor="text" w:y="1"/>
                    <w:spacing w:before="240" w:after="120"/>
                    <w:suppressOverlap/>
                    <w:jc w:val="center"/>
                    <w:rPr>
                      <w:rFonts w:eastAsia="Times New Roman" w:cstheme="minorHAnsi"/>
                      <w:sz w:val="18"/>
                      <w:szCs w:val="18"/>
                    </w:rPr>
                  </w:pPr>
                  <w:r w:rsidRPr="00165651">
                    <w:rPr>
                      <w:rFonts w:eastAsia="Times New Roman" w:cstheme="minorHAnsi"/>
                      <w:noProof/>
                      <w:sz w:val="18"/>
                      <w:szCs w:val="18"/>
                    </w:rPr>
                    <w:drawing>
                      <wp:inline distT="0" distB="0" distL="0" distR="0" wp14:anchorId="7B39DD66" wp14:editId="75EF7B2D">
                        <wp:extent cx="2519426" cy="1799590"/>
                        <wp:effectExtent l="57150" t="57150" r="109855" b="105410"/>
                        <wp:docPr id="72" name="Imagen 72" descr="F:\Recorrido abril 2015\IMG_9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F:\Recorrido abril 2015\IMG_9701.JPG"/>
                                <pic:cNvPicPr>
                                  <a:picLocks noChangeAspect="1" noChangeArrowheads="1"/>
                                </pic:cNvPicPr>
                              </pic:nvPicPr>
                              <pic:blipFill>
                                <a:blip r:embed="rId158" cstate="print">
                                  <a:lum contrast="20000"/>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tc>
            </w:tr>
            <w:tr w:rsidR="00EB3BC8" w:rsidRPr="00165651" w:rsidTr="005E52E0">
              <w:trPr>
                <w:trHeight w:val="331"/>
              </w:trPr>
              <w:tc>
                <w:tcPr>
                  <w:tcW w:w="4335" w:type="dxa"/>
                  <w:shd w:val="clear" w:color="auto" w:fill="auto"/>
                  <w:vAlign w:val="center"/>
                </w:tcPr>
                <w:p w:rsidR="00EB3BC8" w:rsidRPr="00165651" w:rsidRDefault="00EB3BC8" w:rsidP="0005003A">
                  <w:pPr>
                    <w:framePr w:hSpace="141" w:wrap="around" w:vAnchor="text" w:hAnchor="text" w:y="1"/>
                    <w:spacing w:before="240" w:after="120"/>
                    <w:suppressOverlap/>
                    <w:jc w:val="center"/>
                    <w:rPr>
                      <w:rFonts w:eastAsia="Times New Roman" w:cstheme="minorHAnsi"/>
                      <w:sz w:val="18"/>
                      <w:szCs w:val="18"/>
                    </w:rPr>
                  </w:pPr>
                  <w:r w:rsidRPr="00165651">
                    <w:rPr>
                      <w:rFonts w:eastAsia="Times New Roman" w:cstheme="minorHAnsi"/>
                      <w:noProof/>
                      <w:sz w:val="18"/>
                      <w:szCs w:val="18"/>
                    </w:rPr>
                    <w:lastRenderedPageBreak/>
                    <w:drawing>
                      <wp:inline distT="0" distB="0" distL="0" distR="0" wp14:anchorId="7F55678D" wp14:editId="0A729652">
                        <wp:extent cx="2552700" cy="1809476"/>
                        <wp:effectExtent l="57150" t="57150" r="114300" b="114935"/>
                        <wp:docPr id="73" name="Imagen 73" descr="F:\Recorrido abril 2015\IMG_97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F:\Recorrido abril 2015\IMG_9715.JPG"/>
                                <pic:cNvPicPr>
                                  <a:picLocks noChangeAspect="1" noChangeArrowheads="1"/>
                                </pic:cNvPicPr>
                              </pic:nvPicPr>
                              <pic:blipFill>
                                <a:blip r:embed="rId159" cstate="print">
                                  <a:lum contrast="20000"/>
                                  <a:extLst>
                                    <a:ext uri="{28A0092B-C50C-407E-A947-70E740481C1C}">
                                      <a14:useLocalDpi xmlns:a14="http://schemas.microsoft.com/office/drawing/2010/main" val="0"/>
                                    </a:ext>
                                  </a:extLst>
                                </a:blip>
                                <a:srcRect/>
                                <a:stretch>
                                  <a:fillRect/>
                                </a:stretch>
                              </pic:blipFill>
                              <pic:spPr bwMode="auto">
                                <a:xfrm>
                                  <a:off x="0" y="0"/>
                                  <a:ext cx="2563926" cy="1817434"/>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tc>
              <w:tc>
                <w:tcPr>
                  <w:tcW w:w="4319" w:type="dxa"/>
                  <w:shd w:val="clear" w:color="auto" w:fill="auto"/>
                </w:tcPr>
                <w:p w:rsidR="00EB3BC8" w:rsidRPr="00165651" w:rsidRDefault="00EB3BC8" w:rsidP="0005003A">
                  <w:pPr>
                    <w:framePr w:hSpace="141" w:wrap="around" w:vAnchor="text" w:hAnchor="text" w:y="1"/>
                    <w:spacing w:before="240" w:after="120"/>
                    <w:suppressOverlap/>
                    <w:jc w:val="center"/>
                    <w:rPr>
                      <w:rFonts w:eastAsia="Times New Roman" w:cstheme="minorHAnsi"/>
                      <w:sz w:val="18"/>
                      <w:szCs w:val="18"/>
                    </w:rPr>
                  </w:pPr>
                  <w:r w:rsidRPr="00165651">
                    <w:rPr>
                      <w:rFonts w:eastAsia="Times New Roman" w:cstheme="minorHAnsi"/>
                      <w:noProof/>
                      <w:sz w:val="18"/>
                      <w:szCs w:val="18"/>
                    </w:rPr>
                    <w:drawing>
                      <wp:inline distT="0" distB="0" distL="0" distR="0" wp14:anchorId="68FD7245" wp14:editId="5E15C0E4">
                        <wp:extent cx="2520000" cy="1800000"/>
                        <wp:effectExtent l="57150" t="57150" r="109220" b="105410"/>
                        <wp:docPr id="74" name="Imagen 74" descr="C:\Users\Consorcio.CIVF007\Documents\Juan Diego\Informes Ejecutivos\Informes de Comision\Enero - 2015\Fotos\Recorrido Ene-2015 2\IMG_67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Consorcio.CIVF007\Documents\Juan Diego\Informes Ejecutivos\Informes de Comision\Enero - 2015\Fotos\Recorrido Ene-2015 2\IMG_6722.JPG"/>
                                <pic:cNvPicPr>
                                  <a:picLocks noChangeAspect="1" noChangeArrowheads="1"/>
                                </pic:cNvPicPr>
                              </pic:nvPicPr>
                              <pic:blipFill>
                                <a:blip r:embed="rId160" cstate="print">
                                  <a:lum contrast="20000"/>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tc>
            </w:tr>
          </w:tbl>
          <w:p w:rsidR="00EB3BC8" w:rsidRPr="00165651" w:rsidRDefault="00EB3BC8" w:rsidP="005E52E0">
            <w:pPr>
              <w:spacing w:after="120" w:line="276" w:lineRule="auto"/>
              <w:jc w:val="both"/>
              <w:rPr>
                <w:rFonts w:eastAsia="Times New Roman" w:cstheme="minorHAnsi"/>
                <w:b/>
                <w:color w:val="000000" w:themeColor="text1"/>
                <w:sz w:val="18"/>
                <w:szCs w:val="18"/>
                <w:lang w:val="es-CO" w:eastAsia="es-CO"/>
              </w:rPr>
            </w:pPr>
          </w:p>
        </w:tc>
      </w:tr>
    </w:tbl>
    <w:p w:rsidR="00EB3BC8" w:rsidRPr="00165651" w:rsidRDefault="00EB3BC8" w:rsidP="00EB3BC8">
      <w:pPr>
        <w:spacing w:before="120" w:after="0" w:line="240" w:lineRule="auto"/>
        <w:jc w:val="both"/>
        <w:rPr>
          <w:rFonts w:eastAsia="Times New Roman" w:cstheme="minorHAnsi"/>
          <w:b/>
          <w:sz w:val="20"/>
          <w:szCs w:val="20"/>
        </w:rPr>
      </w:pPr>
    </w:p>
    <w:p w:rsidR="00EB3BC8" w:rsidRPr="00165651" w:rsidRDefault="00EB3BC8" w:rsidP="00EB3BC8">
      <w:pPr>
        <w:spacing w:before="120" w:after="0" w:line="240" w:lineRule="auto"/>
        <w:jc w:val="both"/>
        <w:rPr>
          <w:rFonts w:cstheme="minorHAnsi"/>
          <w:b/>
          <w:bCs/>
        </w:rPr>
      </w:pPr>
    </w:p>
    <w:p w:rsidR="00EB3BC8" w:rsidRPr="00165651" w:rsidRDefault="00EB3BC8" w:rsidP="00EB3BC8">
      <w:pPr>
        <w:spacing w:before="120" w:after="0" w:line="240" w:lineRule="auto"/>
        <w:ind w:left="360"/>
        <w:contextualSpacing/>
        <w:jc w:val="both"/>
        <w:rPr>
          <w:rFonts w:cstheme="minorHAnsi"/>
          <w:b/>
          <w:bCs/>
        </w:rPr>
      </w:pPr>
    </w:p>
    <w:p w:rsidR="00EB3BC8" w:rsidRPr="00165651" w:rsidRDefault="00EB3BC8" w:rsidP="000021B2">
      <w:pPr>
        <w:numPr>
          <w:ilvl w:val="1"/>
          <w:numId w:val="47"/>
        </w:numPr>
        <w:spacing w:before="120" w:after="0" w:line="240" w:lineRule="auto"/>
        <w:contextualSpacing/>
        <w:jc w:val="both"/>
        <w:rPr>
          <w:rFonts w:cstheme="minorHAnsi"/>
          <w:b/>
          <w:bCs/>
        </w:rPr>
      </w:pPr>
      <w:r w:rsidRPr="00165651">
        <w:rPr>
          <w:rFonts w:eastAsiaTheme="minorHAnsi" w:cstheme="minorHAnsi"/>
          <w:b/>
        </w:rPr>
        <w:t xml:space="preserve"> INFORME DE GESTION  CORREDOR FÈRREO CHIRIGUANA – SANTA MARTA </w:t>
      </w:r>
    </w:p>
    <w:p w:rsidR="00EB3BC8" w:rsidRPr="00165651" w:rsidRDefault="00EB3BC8" w:rsidP="00EB3BC8">
      <w:pPr>
        <w:spacing w:after="0" w:line="240" w:lineRule="auto"/>
        <w:jc w:val="both"/>
        <w:rPr>
          <w:rFonts w:eastAsia="Times New Roman" w:cstheme="minorHAnsi"/>
          <w:b/>
          <w:color w:val="31849B" w:themeColor="accent5" w:themeShade="BF"/>
          <w:sz w:val="20"/>
          <w:szCs w:val="20"/>
          <w:u w:val="single"/>
        </w:rPr>
      </w:pPr>
    </w:p>
    <w:tbl>
      <w:tblPr>
        <w:tblStyle w:val="Tablaconcuadrcula22"/>
        <w:tblpPr w:leftFromText="141" w:rightFromText="141" w:vertAnchor="text" w:tblpY="1"/>
        <w:tblOverlap w:val="neve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8"/>
        <w:gridCol w:w="3544"/>
        <w:gridCol w:w="3685"/>
      </w:tblGrid>
      <w:tr w:rsidR="00EB3BC8" w:rsidRPr="00165651" w:rsidTr="005E52E0">
        <w:trPr>
          <w:trHeight w:val="283"/>
        </w:trPr>
        <w:tc>
          <w:tcPr>
            <w:tcW w:w="1838" w:type="dxa"/>
            <w:shd w:val="clear" w:color="auto" w:fill="auto"/>
            <w:vAlign w:val="center"/>
          </w:tcPr>
          <w:p w:rsidR="00EB3BC8" w:rsidRPr="00165651" w:rsidRDefault="00EB3BC8" w:rsidP="005E52E0">
            <w:pPr>
              <w:spacing w:before="40" w:after="40" w:line="276" w:lineRule="auto"/>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Contrato de Concesión</w:t>
            </w:r>
          </w:p>
        </w:tc>
        <w:tc>
          <w:tcPr>
            <w:tcW w:w="7229" w:type="dxa"/>
            <w:gridSpan w:val="2"/>
            <w:shd w:val="clear" w:color="auto" w:fill="auto"/>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O-ATLA-00-99 de 1999</w:t>
            </w:r>
          </w:p>
        </w:tc>
      </w:tr>
      <w:tr w:rsidR="00EB3BC8" w:rsidRPr="00165651" w:rsidTr="005E52E0">
        <w:trPr>
          <w:trHeight w:val="1352"/>
        </w:trPr>
        <w:tc>
          <w:tcPr>
            <w:tcW w:w="1838" w:type="dxa"/>
            <w:vAlign w:val="center"/>
          </w:tcPr>
          <w:p w:rsidR="00EB3BC8" w:rsidRPr="00165651" w:rsidRDefault="00EB3BC8" w:rsidP="005E52E0">
            <w:pPr>
              <w:spacing w:before="40" w:after="40" w:line="276" w:lineRule="auto"/>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Objeto del Contrato</w:t>
            </w:r>
          </w:p>
        </w:tc>
        <w:tc>
          <w:tcPr>
            <w:tcW w:w="7229" w:type="dxa"/>
            <w:gridSpan w:val="2"/>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Otorgar en concesión para su construcción, rehabilitación - reconstrucción, conservación, operación y explotación, la infraestructura de transporte férreo de la red del Atlántico, para la prestación del servicio de transporte ferroviario de carga, infraestructura que está conformada por los tramos: Chiriguaná (PK 724) – Ciénaga (PK 934) – Santa Marta (PK969), Bogotá (Km 5) – Belencito (PK 262), La Caro (PK 34) – Lenguezaque (PK 110), Bogotá (km 5) – Dorada (PK 200) – Barrancabermeja (PK 444), Barrancabermeja (PK 444) – Chiriguaná (PK 724) y Puerto Berrio (PK 333) – Medellín (Bello) (PK 509) Chiriguaná (PK 724) – Ciénaga (PK 934), Ciénaga (PK 934) – Santa Marta (PK 969) incluyendo los bienes inmuebles, los bienes muebles y el material rodante consignados en los Anexos del pliego de condiciones que dio origen al presente.</w:t>
            </w:r>
          </w:p>
        </w:tc>
      </w:tr>
      <w:tr w:rsidR="00EB3BC8" w:rsidRPr="00165651" w:rsidTr="005E52E0">
        <w:trPr>
          <w:trHeight w:val="283"/>
        </w:trPr>
        <w:tc>
          <w:tcPr>
            <w:tcW w:w="1838" w:type="dxa"/>
            <w:vMerge w:val="restart"/>
            <w:vAlign w:val="center"/>
          </w:tcPr>
          <w:p w:rsidR="00EB3BC8" w:rsidRPr="00165651" w:rsidRDefault="00EB3BC8" w:rsidP="005E52E0">
            <w:pPr>
              <w:spacing w:before="40" w:after="40" w:line="276" w:lineRule="auto"/>
              <w:rPr>
                <w:rFonts w:eastAsia="Times New Roman" w:cstheme="minorHAnsi"/>
                <w:sz w:val="18"/>
                <w:szCs w:val="18"/>
                <w:lang w:val="es-CO" w:eastAsia="es-CO"/>
              </w:rPr>
            </w:pPr>
            <w:r w:rsidRPr="00165651">
              <w:rPr>
                <w:rFonts w:eastAsia="Times New Roman" w:cstheme="minorHAnsi"/>
                <w:b/>
                <w:color w:val="000000" w:themeColor="text1"/>
                <w:sz w:val="18"/>
                <w:szCs w:val="18"/>
                <w:lang w:val="es-CO" w:eastAsia="es-CO"/>
              </w:rPr>
              <w:t>Información General del Contrato de Concesión</w:t>
            </w:r>
          </w:p>
        </w:tc>
        <w:tc>
          <w:tcPr>
            <w:tcW w:w="3544" w:type="dxa"/>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Concesionario</w:t>
            </w:r>
          </w:p>
        </w:tc>
        <w:tc>
          <w:tcPr>
            <w:tcW w:w="3685" w:type="dxa"/>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Fenoco S.A.</w:t>
            </w:r>
          </w:p>
        </w:tc>
      </w:tr>
      <w:tr w:rsidR="00EB3BC8" w:rsidRPr="00165651" w:rsidTr="005E52E0">
        <w:trPr>
          <w:trHeight w:val="283"/>
        </w:trPr>
        <w:tc>
          <w:tcPr>
            <w:tcW w:w="1838" w:type="dxa"/>
            <w:vMerge/>
            <w:vAlign w:val="center"/>
          </w:tcPr>
          <w:p w:rsidR="00EB3BC8" w:rsidRPr="00165651" w:rsidRDefault="00EB3BC8" w:rsidP="005E52E0">
            <w:pPr>
              <w:spacing w:before="40" w:after="40" w:line="276" w:lineRule="auto"/>
              <w:jc w:val="both"/>
              <w:rPr>
                <w:rFonts w:eastAsia="Times New Roman" w:cstheme="minorHAnsi"/>
                <w:b/>
                <w:color w:val="000000" w:themeColor="text1"/>
                <w:sz w:val="18"/>
                <w:szCs w:val="18"/>
                <w:lang w:val="es-CO" w:eastAsia="es-CO"/>
              </w:rPr>
            </w:pPr>
          </w:p>
        </w:tc>
        <w:tc>
          <w:tcPr>
            <w:tcW w:w="3544" w:type="dxa"/>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Fecha suscripción del contrato</w:t>
            </w:r>
          </w:p>
        </w:tc>
        <w:tc>
          <w:tcPr>
            <w:tcW w:w="3685" w:type="dxa"/>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09 de septiembre de 1999</w:t>
            </w:r>
          </w:p>
        </w:tc>
      </w:tr>
      <w:tr w:rsidR="00EB3BC8" w:rsidRPr="00165651" w:rsidTr="005E52E0">
        <w:trPr>
          <w:trHeight w:val="283"/>
        </w:trPr>
        <w:tc>
          <w:tcPr>
            <w:tcW w:w="1838" w:type="dxa"/>
            <w:vMerge/>
            <w:vAlign w:val="center"/>
          </w:tcPr>
          <w:p w:rsidR="00EB3BC8" w:rsidRPr="00165651" w:rsidRDefault="00EB3BC8" w:rsidP="005E52E0">
            <w:pPr>
              <w:spacing w:before="40" w:after="40" w:line="276" w:lineRule="auto"/>
              <w:jc w:val="both"/>
              <w:rPr>
                <w:rFonts w:eastAsia="Times New Roman" w:cstheme="minorHAnsi"/>
                <w:b/>
                <w:color w:val="000000" w:themeColor="text1"/>
                <w:sz w:val="18"/>
                <w:szCs w:val="18"/>
                <w:lang w:val="es-CO" w:eastAsia="es-CO"/>
              </w:rPr>
            </w:pPr>
          </w:p>
        </w:tc>
        <w:tc>
          <w:tcPr>
            <w:tcW w:w="3544" w:type="dxa"/>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Fecha inicio de obra:</w:t>
            </w:r>
          </w:p>
        </w:tc>
        <w:tc>
          <w:tcPr>
            <w:tcW w:w="3685" w:type="dxa"/>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03 de marzo de 2000</w:t>
            </w:r>
          </w:p>
        </w:tc>
      </w:tr>
      <w:tr w:rsidR="00EB3BC8" w:rsidRPr="00165651" w:rsidTr="005E52E0">
        <w:trPr>
          <w:trHeight w:val="283"/>
        </w:trPr>
        <w:tc>
          <w:tcPr>
            <w:tcW w:w="1838" w:type="dxa"/>
            <w:vMerge/>
            <w:vAlign w:val="center"/>
          </w:tcPr>
          <w:p w:rsidR="00EB3BC8" w:rsidRPr="00165651" w:rsidRDefault="00EB3BC8" w:rsidP="005E52E0">
            <w:pPr>
              <w:spacing w:before="40" w:after="40" w:line="276" w:lineRule="auto"/>
              <w:jc w:val="both"/>
              <w:rPr>
                <w:rFonts w:eastAsia="Times New Roman" w:cstheme="minorHAnsi"/>
                <w:b/>
                <w:color w:val="000000" w:themeColor="text1"/>
                <w:sz w:val="18"/>
                <w:szCs w:val="18"/>
                <w:lang w:val="es-CO" w:eastAsia="es-CO"/>
              </w:rPr>
            </w:pPr>
          </w:p>
        </w:tc>
        <w:tc>
          <w:tcPr>
            <w:tcW w:w="3544" w:type="dxa"/>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Fecha finalización de obra línea actual (145,5 Km):</w:t>
            </w:r>
          </w:p>
        </w:tc>
        <w:tc>
          <w:tcPr>
            <w:tcW w:w="3685" w:type="dxa"/>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Diciembre de 2009</w:t>
            </w:r>
          </w:p>
        </w:tc>
      </w:tr>
      <w:tr w:rsidR="00EB3BC8" w:rsidRPr="00165651" w:rsidTr="005E52E0">
        <w:trPr>
          <w:trHeight w:val="283"/>
        </w:trPr>
        <w:tc>
          <w:tcPr>
            <w:tcW w:w="1838" w:type="dxa"/>
            <w:vMerge/>
            <w:vAlign w:val="center"/>
          </w:tcPr>
          <w:p w:rsidR="00EB3BC8" w:rsidRPr="00165651" w:rsidRDefault="00EB3BC8" w:rsidP="005E52E0">
            <w:pPr>
              <w:spacing w:before="40" w:after="40" w:line="276" w:lineRule="auto"/>
              <w:jc w:val="both"/>
              <w:rPr>
                <w:rFonts w:eastAsia="Times New Roman" w:cstheme="minorHAnsi"/>
                <w:b/>
                <w:color w:val="000000" w:themeColor="text1"/>
                <w:sz w:val="18"/>
                <w:szCs w:val="18"/>
                <w:lang w:val="es-CO" w:eastAsia="es-CO"/>
              </w:rPr>
            </w:pPr>
          </w:p>
        </w:tc>
        <w:tc>
          <w:tcPr>
            <w:tcW w:w="3544" w:type="dxa"/>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Fecha finalización de obra línea faltante: (45,6 Km)*</w:t>
            </w:r>
          </w:p>
        </w:tc>
        <w:tc>
          <w:tcPr>
            <w:tcW w:w="3685" w:type="dxa"/>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Diciembre de 2018</w:t>
            </w:r>
          </w:p>
        </w:tc>
      </w:tr>
      <w:tr w:rsidR="00EB3BC8" w:rsidRPr="00165651" w:rsidTr="005E52E0">
        <w:trPr>
          <w:trHeight w:val="283"/>
        </w:trPr>
        <w:tc>
          <w:tcPr>
            <w:tcW w:w="1838" w:type="dxa"/>
            <w:vMerge/>
            <w:vAlign w:val="center"/>
          </w:tcPr>
          <w:p w:rsidR="00EB3BC8" w:rsidRPr="00165651" w:rsidRDefault="00EB3BC8" w:rsidP="005E52E0">
            <w:pPr>
              <w:spacing w:before="40" w:after="40" w:line="276" w:lineRule="auto"/>
              <w:jc w:val="both"/>
              <w:rPr>
                <w:rFonts w:eastAsia="Times New Roman" w:cstheme="minorHAnsi"/>
                <w:b/>
                <w:color w:val="000000" w:themeColor="text1"/>
                <w:sz w:val="18"/>
                <w:szCs w:val="18"/>
                <w:lang w:val="es-CO" w:eastAsia="es-CO"/>
              </w:rPr>
            </w:pPr>
          </w:p>
        </w:tc>
        <w:tc>
          <w:tcPr>
            <w:tcW w:w="3544" w:type="dxa"/>
            <w:vAlign w:val="center"/>
          </w:tcPr>
          <w:p w:rsidR="00EB3BC8" w:rsidRPr="00165651" w:rsidRDefault="00EB3BC8" w:rsidP="005E52E0">
            <w:pPr>
              <w:spacing w:before="40" w:after="4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Fecha fin de la concesión:</w:t>
            </w:r>
          </w:p>
        </w:tc>
        <w:tc>
          <w:tcPr>
            <w:tcW w:w="3685" w:type="dxa"/>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02 de marzo de 2030</w:t>
            </w:r>
          </w:p>
        </w:tc>
      </w:tr>
      <w:tr w:rsidR="00EB3BC8" w:rsidRPr="00165651" w:rsidTr="005E52E0">
        <w:trPr>
          <w:trHeight w:val="6121"/>
        </w:trPr>
        <w:tc>
          <w:tcPr>
            <w:tcW w:w="1838" w:type="dxa"/>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lastRenderedPageBreak/>
              <w:t>Localización General Corredor Férreo</w:t>
            </w:r>
          </w:p>
        </w:tc>
        <w:tc>
          <w:tcPr>
            <w:tcW w:w="7229" w:type="dxa"/>
            <w:gridSpan w:val="2"/>
            <w:vAlign w:val="center"/>
          </w:tcPr>
          <w:p w:rsidR="00EB3BC8" w:rsidRPr="00165651" w:rsidRDefault="00EB3BC8" w:rsidP="005E52E0">
            <w:pPr>
              <w:tabs>
                <w:tab w:val="left" w:pos="993"/>
              </w:tabs>
              <w:spacing w:before="40" w:after="40"/>
              <w:rPr>
                <w:rFonts w:eastAsia="Times New Roman" w:cstheme="minorHAnsi"/>
                <w:color w:val="000000" w:themeColor="text1"/>
                <w:sz w:val="16"/>
                <w:szCs w:val="16"/>
                <w:lang w:val="es-CO" w:eastAsia="es-CO"/>
              </w:rPr>
            </w:pPr>
            <w:r w:rsidRPr="00165651">
              <w:rPr>
                <w:rFonts w:eastAsia="Times New Roman" w:cstheme="minorHAnsi"/>
                <w:noProof/>
                <w:color w:val="000000" w:themeColor="text1"/>
                <w:sz w:val="16"/>
                <w:szCs w:val="16"/>
              </w:rPr>
              <w:drawing>
                <wp:inline distT="0" distB="0" distL="0" distR="0" wp14:anchorId="0395E664" wp14:editId="28B42B99">
                  <wp:extent cx="4453255" cy="3707130"/>
                  <wp:effectExtent l="0" t="0" r="4445" b="7620"/>
                  <wp:docPr id="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61"/>
                          <a:stretch>
                            <a:fillRect/>
                          </a:stretch>
                        </pic:blipFill>
                        <pic:spPr>
                          <a:xfrm>
                            <a:off x="0" y="0"/>
                            <a:ext cx="4453255" cy="3707130"/>
                          </a:xfrm>
                          <a:prstGeom prst="rect">
                            <a:avLst/>
                          </a:prstGeom>
                        </pic:spPr>
                      </pic:pic>
                    </a:graphicData>
                  </a:graphic>
                </wp:inline>
              </w:drawing>
            </w:r>
          </w:p>
        </w:tc>
      </w:tr>
      <w:tr w:rsidR="00EB3BC8" w:rsidRPr="00165651" w:rsidTr="005E52E0">
        <w:trPr>
          <w:trHeight w:val="283"/>
        </w:trPr>
        <w:tc>
          <w:tcPr>
            <w:tcW w:w="5382"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Longitud concesionada:</w:t>
            </w:r>
          </w:p>
        </w:tc>
        <w:tc>
          <w:tcPr>
            <w:tcW w:w="3685" w:type="dxa"/>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245 Km</w:t>
            </w:r>
          </w:p>
        </w:tc>
      </w:tr>
      <w:tr w:rsidR="00EB3BC8" w:rsidRPr="00165651" w:rsidTr="005E52E0">
        <w:trPr>
          <w:trHeight w:val="283"/>
        </w:trPr>
        <w:tc>
          <w:tcPr>
            <w:tcW w:w="5382"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Km Construcción de segunda línea a 31 de diciembre de 2014</w:t>
            </w:r>
          </w:p>
        </w:tc>
        <w:tc>
          <w:tcPr>
            <w:tcW w:w="3685" w:type="dxa"/>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151 Km / 192 Km Contractual - (145,5 Km Operando)</w:t>
            </w:r>
          </w:p>
        </w:tc>
      </w:tr>
      <w:tr w:rsidR="00EB3BC8" w:rsidRPr="00165651" w:rsidTr="005E52E0">
        <w:trPr>
          <w:trHeight w:val="227"/>
        </w:trPr>
        <w:tc>
          <w:tcPr>
            <w:tcW w:w="5382"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Km rehabilitados</w:t>
            </w:r>
          </w:p>
        </w:tc>
        <w:tc>
          <w:tcPr>
            <w:tcW w:w="3685" w:type="dxa"/>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245 Km</w:t>
            </w:r>
          </w:p>
        </w:tc>
      </w:tr>
      <w:tr w:rsidR="00EB3BC8" w:rsidRPr="00165651" w:rsidTr="005E52E0">
        <w:trPr>
          <w:trHeight w:val="227"/>
        </w:trPr>
        <w:tc>
          <w:tcPr>
            <w:tcW w:w="5382"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Km en mantenimiento</w:t>
            </w:r>
          </w:p>
        </w:tc>
        <w:tc>
          <w:tcPr>
            <w:tcW w:w="3685" w:type="dxa"/>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245 Km</w:t>
            </w:r>
          </w:p>
        </w:tc>
      </w:tr>
      <w:tr w:rsidR="00EB3BC8" w:rsidRPr="00165651" w:rsidTr="005E52E0">
        <w:trPr>
          <w:trHeight w:val="227"/>
        </w:trPr>
        <w:tc>
          <w:tcPr>
            <w:tcW w:w="5382"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Km en operación</w:t>
            </w:r>
          </w:p>
        </w:tc>
        <w:tc>
          <w:tcPr>
            <w:tcW w:w="3685" w:type="dxa"/>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192 Km</w:t>
            </w:r>
          </w:p>
        </w:tc>
      </w:tr>
      <w:tr w:rsidR="00EB3BC8" w:rsidRPr="00165651" w:rsidTr="005E52E0">
        <w:trPr>
          <w:trHeight w:val="227"/>
        </w:trPr>
        <w:tc>
          <w:tcPr>
            <w:tcW w:w="5382"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No de estaciones:</w:t>
            </w:r>
          </w:p>
        </w:tc>
        <w:tc>
          <w:tcPr>
            <w:tcW w:w="3685" w:type="dxa"/>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16</w:t>
            </w:r>
          </w:p>
        </w:tc>
      </w:tr>
      <w:tr w:rsidR="00EB3BC8" w:rsidRPr="00165651" w:rsidTr="005E52E0">
        <w:trPr>
          <w:trHeight w:val="227"/>
        </w:trPr>
        <w:tc>
          <w:tcPr>
            <w:tcW w:w="5382"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No de Pasos a Nivel:</w:t>
            </w:r>
          </w:p>
        </w:tc>
        <w:tc>
          <w:tcPr>
            <w:tcW w:w="3685" w:type="dxa"/>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207</w:t>
            </w:r>
          </w:p>
        </w:tc>
      </w:tr>
      <w:tr w:rsidR="00EB3BC8" w:rsidRPr="00165651" w:rsidTr="005E52E0">
        <w:trPr>
          <w:trHeight w:val="227"/>
        </w:trPr>
        <w:tc>
          <w:tcPr>
            <w:tcW w:w="5382" w:type="dxa"/>
            <w:gridSpan w:val="2"/>
            <w:vAlign w:val="center"/>
          </w:tcPr>
          <w:p w:rsidR="00EB3BC8" w:rsidRPr="00165651" w:rsidRDefault="00EB3BC8" w:rsidP="005E52E0">
            <w:pPr>
              <w:spacing w:before="40" w:after="40"/>
              <w:jc w:val="both"/>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Valor del proyecto (millones $ dic/2013)</w:t>
            </w:r>
          </w:p>
        </w:tc>
        <w:tc>
          <w:tcPr>
            <w:tcW w:w="3685" w:type="dxa"/>
            <w:vAlign w:val="center"/>
          </w:tcPr>
          <w:p w:rsidR="00EB3BC8" w:rsidRPr="00165651" w:rsidRDefault="00EB3BC8" w:rsidP="005E52E0">
            <w:pPr>
              <w:tabs>
                <w:tab w:val="left" w:pos="993"/>
              </w:tabs>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$214.145</w:t>
            </w:r>
          </w:p>
        </w:tc>
      </w:tr>
      <w:tr w:rsidR="00EB3BC8" w:rsidRPr="00165651" w:rsidTr="005E52E0">
        <w:trPr>
          <w:trHeight w:val="227"/>
        </w:trPr>
        <w:tc>
          <w:tcPr>
            <w:tcW w:w="1838" w:type="dxa"/>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 xml:space="preserve">Estado avance de obras </w:t>
            </w:r>
          </w:p>
        </w:tc>
        <w:tc>
          <w:tcPr>
            <w:tcW w:w="7229" w:type="dxa"/>
            <w:gridSpan w:val="2"/>
            <w:vAlign w:val="center"/>
          </w:tcPr>
          <w:p w:rsidR="00EB3BC8" w:rsidRPr="00165651" w:rsidRDefault="00EB3BC8" w:rsidP="005E52E0">
            <w:pPr>
              <w:spacing w:before="40" w:after="40"/>
              <w:jc w:val="both"/>
              <w:rPr>
                <w:rFonts w:eastAsia="Times New Roman" w:cstheme="minorHAnsi"/>
                <w:color w:val="000000" w:themeColor="text1"/>
                <w:sz w:val="18"/>
                <w:szCs w:val="18"/>
                <w:lang w:eastAsia="es-CO"/>
              </w:rPr>
            </w:pPr>
            <w:r w:rsidRPr="00165651">
              <w:rPr>
                <w:rFonts w:eastAsia="Times New Roman" w:cstheme="minorHAnsi"/>
                <w:b/>
                <w:color w:val="000000" w:themeColor="text1"/>
                <w:sz w:val="18"/>
                <w:szCs w:val="18"/>
                <w:lang w:val="es-CO" w:eastAsia="es-CO"/>
              </w:rPr>
              <w:t xml:space="preserve">78.8 % </w:t>
            </w:r>
            <w:r w:rsidRPr="00165651">
              <w:rPr>
                <w:rFonts w:eastAsia="Times New Roman" w:cstheme="minorHAnsi"/>
                <w:color w:val="000000" w:themeColor="text1"/>
                <w:sz w:val="18"/>
                <w:szCs w:val="18"/>
                <w:lang w:val="es-CO" w:eastAsia="es-CO"/>
              </w:rPr>
              <w:t>de Avance físico de segunda Línea - incluye avance de obras en los sector Loma Colorada  y Algarrobo</w:t>
            </w:r>
          </w:p>
        </w:tc>
      </w:tr>
      <w:tr w:rsidR="00EB3BC8" w:rsidRPr="00165651" w:rsidTr="005E52E0">
        <w:trPr>
          <w:trHeight w:val="1402"/>
        </w:trPr>
        <w:tc>
          <w:tcPr>
            <w:tcW w:w="1838" w:type="dxa"/>
            <w:shd w:val="clear" w:color="auto" w:fill="auto"/>
            <w:vAlign w:val="center"/>
          </w:tcPr>
          <w:p w:rsidR="00EB3BC8" w:rsidRPr="00165651" w:rsidRDefault="00EB3BC8" w:rsidP="005E52E0">
            <w:pPr>
              <w:spacing w:before="40" w:after="40"/>
              <w:rPr>
                <w:rFonts w:eastAsia="Times New Roman" w:cstheme="minorHAnsi"/>
                <w:b/>
                <w:color w:val="000000" w:themeColor="text1"/>
                <w:sz w:val="18"/>
                <w:szCs w:val="18"/>
                <w:lang w:val="es-CO" w:eastAsia="es-CO"/>
              </w:rPr>
            </w:pPr>
            <w:r w:rsidRPr="00165651">
              <w:rPr>
                <w:rFonts w:eastAsia="Times New Roman" w:cstheme="minorHAnsi"/>
                <w:b/>
                <w:color w:val="000000" w:themeColor="text1"/>
                <w:sz w:val="18"/>
                <w:szCs w:val="18"/>
                <w:lang w:val="es-CO" w:eastAsia="es-CO"/>
              </w:rPr>
              <w:t>Status Segunda Línea con corte al 30 de Junio de 2015</w:t>
            </w:r>
          </w:p>
          <w:p w:rsidR="00EB3BC8" w:rsidRPr="00165651" w:rsidRDefault="00EB3BC8" w:rsidP="005E52E0">
            <w:pPr>
              <w:spacing w:before="40" w:after="40"/>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calculados sobre la segunda línea pendiente por construir)</w:t>
            </w:r>
          </w:p>
        </w:tc>
        <w:tc>
          <w:tcPr>
            <w:tcW w:w="7229" w:type="dxa"/>
            <w:gridSpan w:val="2"/>
            <w:shd w:val="clear" w:color="auto" w:fill="auto"/>
            <w:vAlign w:val="center"/>
          </w:tcPr>
          <w:p w:rsidR="00EB3BC8" w:rsidRPr="00165651" w:rsidRDefault="00EB3BC8" w:rsidP="005E52E0">
            <w:pPr>
              <w:spacing w:before="120"/>
              <w:rPr>
                <w:rFonts w:eastAsia="Times New Roman" w:cstheme="minorHAnsi"/>
                <w:b/>
                <w:bCs/>
                <w:color w:val="000000" w:themeColor="text1"/>
                <w:sz w:val="18"/>
                <w:szCs w:val="18"/>
                <w:lang w:val="es-CO" w:eastAsia="es-CO"/>
              </w:rPr>
            </w:pPr>
            <w:r w:rsidRPr="00165651">
              <w:rPr>
                <w:rFonts w:eastAsia="Times New Roman" w:cstheme="minorHAnsi"/>
                <w:b/>
                <w:bCs/>
                <w:color w:val="000000" w:themeColor="text1"/>
                <w:sz w:val="18"/>
                <w:szCs w:val="18"/>
                <w:lang w:val="es-CO" w:eastAsia="es-CO"/>
              </w:rPr>
              <w:t>Loma Colorada, Algarrobo y Lleras – (6,26 Km – 13,71%)</w:t>
            </w:r>
          </w:p>
          <w:p w:rsidR="00EB3BC8" w:rsidRPr="00165651" w:rsidRDefault="00EB3BC8" w:rsidP="005E52E0">
            <w:pPr>
              <w:spacing w:before="120"/>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 xml:space="preserve">Se terminan las actividades de construcción de segunda Línea en este sector estando pendiente la culminación de las actividades de obras completarías </w:t>
            </w:r>
          </w:p>
          <w:p w:rsidR="00EB3BC8" w:rsidRPr="00165651" w:rsidRDefault="00EB3BC8" w:rsidP="005E52E0">
            <w:pPr>
              <w:spacing w:before="40"/>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Se continúan las actividades de Implementación del Plan de Reasentamiento según lo planeado. Ver detalle de manera seguida</w:t>
            </w:r>
          </w:p>
          <w:p w:rsidR="00EB3BC8" w:rsidRPr="00165651" w:rsidRDefault="00EB3BC8" w:rsidP="005E52E0">
            <w:pPr>
              <w:spacing w:before="40"/>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Infraestructura</w:t>
            </w:r>
            <w:r w:rsidRPr="00165651">
              <w:rPr>
                <w:rFonts w:eastAsia="Times New Roman" w:cstheme="minorHAnsi"/>
                <w:color w:val="000000" w:themeColor="text1"/>
                <w:sz w:val="18"/>
                <w:szCs w:val="18"/>
                <w:lang w:val="es-CO" w:eastAsia="es-CO"/>
              </w:rPr>
              <w:t xml:space="preserve"> y superestructura férrea con avance del 100%</w:t>
            </w:r>
            <w:r w:rsidRPr="00165651">
              <w:rPr>
                <w:rFonts w:eastAsia="Times New Roman" w:cstheme="minorHAnsi"/>
                <w:b/>
                <w:color w:val="000000" w:themeColor="text1"/>
                <w:sz w:val="18"/>
                <w:szCs w:val="18"/>
                <w:lang w:val="es-CO" w:eastAsia="es-CO"/>
              </w:rPr>
              <w:t xml:space="preserve"> </w:t>
            </w:r>
          </w:p>
          <w:p w:rsidR="00EB3BC8" w:rsidRPr="00165651" w:rsidRDefault="00EB3BC8" w:rsidP="005E52E0">
            <w:pPr>
              <w:spacing w:before="40"/>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El 3 de marzo de 2015 se inició con la construcción de las pantallas difractarías y urbanismo en los centros poblados de  Loma Colorada, Algarrobo y Lleras</w:t>
            </w:r>
          </w:p>
          <w:p w:rsidR="00EB3BC8" w:rsidRPr="00165651" w:rsidRDefault="00EB3BC8" w:rsidP="005E52E0">
            <w:pPr>
              <w:spacing w:before="40"/>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A la fecha con restricción nocturna en el sector de Algarrobo según sentencia de Acción de Tutela No. 4520563 de 2015</w:t>
            </w:r>
          </w:p>
          <w:p w:rsidR="00EB3BC8" w:rsidRPr="00165651" w:rsidRDefault="00EB3BC8" w:rsidP="005E52E0">
            <w:pPr>
              <w:spacing w:before="120"/>
              <w:rPr>
                <w:rFonts w:eastAsia="Times New Roman" w:cstheme="minorHAnsi"/>
                <w:b/>
                <w:bCs/>
                <w:color w:val="000000" w:themeColor="text1"/>
                <w:sz w:val="18"/>
                <w:szCs w:val="18"/>
                <w:lang w:val="es-CO" w:eastAsia="es-CO"/>
              </w:rPr>
            </w:pPr>
            <w:r w:rsidRPr="00165651">
              <w:rPr>
                <w:rFonts w:eastAsia="Times New Roman" w:cstheme="minorHAnsi"/>
                <w:b/>
                <w:bCs/>
                <w:color w:val="000000" w:themeColor="text1"/>
                <w:sz w:val="18"/>
                <w:szCs w:val="18"/>
                <w:lang w:val="es-CO" w:eastAsia="es-CO"/>
              </w:rPr>
              <w:t>Guamachito, Varela - Rio Frio – (13,64 Km – 29,90%)</w:t>
            </w:r>
          </w:p>
          <w:p w:rsidR="00EB3BC8" w:rsidRPr="00165651" w:rsidRDefault="00EB3BC8" w:rsidP="005E52E0">
            <w:pPr>
              <w:spacing w:before="120" w:line="276" w:lineRule="auto"/>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Se cuenta con Licencia Ambiental en este sector</w:t>
            </w:r>
            <w:r w:rsidRPr="00165651">
              <w:rPr>
                <w:rFonts w:eastAsia="Times New Roman" w:cstheme="minorHAnsi"/>
                <w:color w:val="000000" w:themeColor="text1"/>
                <w:sz w:val="18"/>
                <w:szCs w:val="18"/>
                <w:lang w:val="es-CO" w:eastAsia="es-CO"/>
              </w:rPr>
              <w:t xml:space="preserve">, Fenoco se encuentra a la espera de la respuesta del recurso de reposición interpuesto para las resoluciones emitidas por el autoridad ambiental </w:t>
            </w:r>
            <w:r w:rsidRPr="00165651">
              <w:rPr>
                <w:rFonts w:eastAsia="Times New Roman" w:cstheme="minorHAnsi"/>
                <w:color w:val="000000" w:themeColor="text1"/>
                <w:sz w:val="18"/>
                <w:szCs w:val="18"/>
                <w:lang w:val="es-CO" w:eastAsia="es-CO"/>
              </w:rPr>
              <w:lastRenderedPageBreak/>
              <w:t>la No. 326 del sector Varela/Rio Frio radicado el 21 de abril de 2015 y 370 del sector de Guamachito radicado el 15  de abril</w:t>
            </w:r>
          </w:p>
          <w:p w:rsidR="00EB3BC8" w:rsidRPr="00165651" w:rsidRDefault="00EB3BC8" w:rsidP="005E52E0">
            <w:pPr>
              <w:spacing w:before="120" w:line="276" w:lineRule="auto"/>
              <w:jc w:val="both"/>
              <w:rPr>
                <w:rFonts w:eastAsia="Times New Roman" w:cstheme="minorHAnsi"/>
                <w:color w:val="000000" w:themeColor="text1"/>
                <w:sz w:val="18"/>
                <w:szCs w:val="18"/>
                <w:lang w:eastAsia="es-CO"/>
              </w:rPr>
            </w:pPr>
            <w:r w:rsidRPr="00165651">
              <w:rPr>
                <w:rFonts w:eastAsia="Times New Roman" w:cstheme="minorHAnsi"/>
                <w:b/>
                <w:bCs/>
                <w:color w:val="000000" w:themeColor="text1"/>
                <w:sz w:val="18"/>
                <w:szCs w:val="18"/>
                <w:lang w:val="es-CO" w:eastAsia="es-CO"/>
              </w:rPr>
              <w:t>Fundación (1.1 Km – 2,41%) y Orihueca (3.60 km – 7,89%)</w:t>
            </w:r>
          </w:p>
          <w:p w:rsidR="00EB3BC8" w:rsidRPr="00165651" w:rsidRDefault="00EB3BC8" w:rsidP="005E52E0">
            <w:pPr>
              <w:spacing w:before="120" w:line="276" w:lineRule="auto"/>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val="es-CO" w:eastAsia="es-CO"/>
              </w:rPr>
              <w:t xml:space="preserve">ANLA </w:t>
            </w:r>
            <w:r w:rsidRPr="00165651">
              <w:rPr>
                <w:rFonts w:eastAsia="Times New Roman" w:cstheme="minorHAnsi"/>
                <w:color w:val="000000" w:themeColor="text1"/>
                <w:sz w:val="18"/>
                <w:szCs w:val="18"/>
                <w:lang w:eastAsia="es-CO"/>
              </w:rPr>
              <w:t>se</w:t>
            </w:r>
            <w:r w:rsidRPr="00165651">
              <w:rPr>
                <w:rFonts w:eastAsia="Times New Roman" w:cstheme="minorHAnsi"/>
                <w:color w:val="000000" w:themeColor="text1"/>
                <w:sz w:val="18"/>
                <w:szCs w:val="18"/>
                <w:lang w:val="es-CO" w:eastAsia="es-CO"/>
              </w:rPr>
              <w:t xml:space="preserve"> </w:t>
            </w:r>
            <w:r w:rsidRPr="00165651">
              <w:rPr>
                <w:rFonts w:eastAsia="Times New Roman" w:cstheme="minorHAnsi"/>
                <w:color w:val="000000" w:themeColor="text1"/>
                <w:sz w:val="18"/>
                <w:szCs w:val="18"/>
                <w:lang w:eastAsia="es-CO"/>
              </w:rPr>
              <w:t>pronunció</w:t>
            </w:r>
            <w:r w:rsidRPr="00165651">
              <w:rPr>
                <w:rFonts w:eastAsia="Times New Roman" w:cstheme="minorHAnsi"/>
                <w:color w:val="000000" w:themeColor="text1"/>
                <w:sz w:val="18"/>
                <w:szCs w:val="18"/>
                <w:lang w:val="es-CO" w:eastAsia="es-CO"/>
              </w:rPr>
              <w:t xml:space="preserve"> el pasado 22 de septiembre de 2014 entregando los Términos de Referencia para la presentación del Estudio de Impacto Ambiental para la línea paralela para estos dos (2) sectores.</w:t>
            </w:r>
          </w:p>
          <w:p w:rsidR="00EB3BC8" w:rsidRPr="00165651" w:rsidRDefault="00EB3BC8" w:rsidP="005E52E0">
            <w:pPr>
              <w:spacing w:before="40" w:line="276" w:lineRule="auto"/>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 xml:space="preserve">Fenoco S.A., el 26 de mayo de 2015 dio inicio al contrato para la Elaboración del EIA en el sector de Fundación con plazo de ejecución 6 meses. </w:t>
            </w:r>
          </w:p>
          <w:p w:rsidR="00EB3BC8" w:rsidRPr="00165651" w:rsidRDefault="00EB3BC8" w:rsidP="005E52E0">
            <w:pPr>
              <w:spacing w:before="40" w:line="276" w:lineRule="auto"/>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Se espera que la ANI de aprobación a las diferentes propuestas para la contratación de la formulación del Plan de Reasentamiento -Tiempo de ejecución de los estudios: 6 meses.</w:t>
            </w:r>
          </w:p>
          <w:p w:rsidR="00EB3BC8" w:rsidRPr="00165651" w:rsidRDefault="00EB3BC8" w:rsidP="005E52E0">
            <w:pPr>
              <w:spacing w:before="40" w:line="276" w:lineRule="auto"/>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A la fecha con restricción nocturna en el sector de Fundación según sentencia de Acción de Tutela No. 4520563 de 2015</w:t>
            </w:r>
          </w:p>
          <w:p w:rsidR="00EB3BC8" w:rsidRPr="00165651" w:rsidRDefault="00EB3BC8" w:rsidP="005E52E0">
            <w:pPr>
              <w:spacing w:before="120" w:line="276" w:lineRule="auto"/>
              <w:jc w:val="both"/>
              <w:rPr>
                <w:rFonts w:eastAsia="Times New Roman" w:cstheme="minorHAnsi"/>
                <w:b/>
                <w:color w:val="000000" w:themeColor="text1"/>
                <w:sz w:val="18"/>
                <w:szCs w:val="18"/>
                <w:lang w:eastAsia="es-CO"/>
              </w:rPr>
            </w:pPr>
            <w:r w:rsidRPr="00165651">
              <w:rPr>
                <w:rFonts w:eastAsia="Times New Roman" w:cstheme="minorHAnsi"/>
                <w:b/>
                <w:bCs/>
                <w:color w:val="000000" w:themeColor="text1"/>
                <w:sz w:val="18"/>
                <w:szCs w:val="18"/>
                <w:lang w:val="es-CO" w:eastAsia="es-CO"/>
              </w:rPr>
              <w:t>Tucurinca, Guacamayal y Sevilla (9.45 km – 20,71 Km)</w:t>
            </w:r>
          </w:p>
          <w:p w:rsidR="00EB3BC8" w:rsidRPr="00165651" w:rsidRDefault="00EB3BC8" w:rsidP="005E52E0">
            <w:pPr>
              <w:spacing w:before="120" w:line="276" w:lineRule="auto"/>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eastAsia="es-CO"/>
              </w:rPr>
              <w:t>Sector</w:t>
            </w:r>
            <w:r w:rsidRPr="00165651">
              <w:rPr>
                <w:rFonts w:eastAsia="Times New Roman" w:cstheme="minorHAnsi"/>
                <w:color w:val="000000" w:themeColor="text1"/>
                <w:sz w:val="18"/>
                <w:szCs w:val="18"/>
                <w:lang w:val="es-CO" w:eastAsia="es-CO"/>
              </w:rPr>
              <w:t xml:space="preserve"> </w:t>
            </w:r>
            <w:r w:rsidRPr="00165651">
              <w:rPr>
                <w:rFonts w:eastAsia="Times New Roman" w:cstheme="minorHAnsi"/>
                <w:color w:val="000000" w:themeColor="text1"/>
                <w:sz w:val="18"/>
                <w:szCs w:val="18"/>
                <w:lang w:eastAsia="es-CO"/>
              </w:rPr>
              <w:t>afectado</w:t>
            </w:r>
            <w:r w:rsidRPr="00165651">
              <w:rPr>
                <w:rFonts w:eastAsia="Times New Roman" w:cstheme="minorHAnsi"/>
                <w:color w:val="000000" w:themeColor="text1"/>
                <w:sz w:val="18"/>
                <w:szCs w:val="18"/>
                <w:lang w:val="es-CO" w:eastAsia="es-CO"/>
              </w:rPr>
              <w:t xml:space="preserve"> por consultas previas. A la fecha en proceso de contratación consultor experto por parte de Fenoco S.A. para adelantar el proceso de Consulta Previa con estas comunidades. Se presentó solicitud de desistimiento respecto de la opción de variante y la emisión de términos de referencia para la elaboración del estudio de impacto ambiental, con el fin de poder adelantar la consulta previa. A la espera de pronunciamiento del ANLA</w:t>
            </w:r>
          </w:p>
          <w:p w:rsidR="00EB3BC8" w:rsidRPr="00165651" w:rsidRDefault="00EB3BC8" w:rsidP="005E52E0">
            <w:pPr>
              <w:spacing w:before="120" w:line="276" w:lineRule="auto"/>
              <w:jc w:val="both"/>
              <w:rPr>
                <w:rFonts w:eastAsia="Times New Roman" w:cstheme="minorHAnsi"/>
                <w:b/>
                <w:bCs/>
                <w:color w:val="000000" w:themeColor="text1"/>
                <w:sz w:val="18"/>
                <w:szCs w:val="18"/>
                <w:lang w:val="es-CO" w:eastAsia="es-CO"/>
              </w:rPr>
            </w:pPr>
            <w:r w:rsidRPr="00165651">
              <w:rPr>
                <w:rFonts w:eastAsia="Times New Roman" w:cstheme="minorHAnsi"/>
                <w:b/>
                <w:bCs/>
                <w:color w:val="000000" w:themeColor="text1"/>
                <w:sz w:val="18"/>
                <w:szCs w:val="18"/>
                <w:lang w:val="es-CO" w:eastAsia="es-CO"/>
              </w:rPr>
              <w:t>Bosconia (2.45 – 5,37%)</w:t>
            </w:r>
          </w:p>
          <w:p w:rsidR="00EB3BC8" w:rsidRPr="00165651" w:rsidRDefault="00EB3BC8" w:rsidP="005E52E0">
            <w:pPr>
              <w:spacing w:before="120" w:line="276" w:lineRule="auto"/>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val="es-CO" w:eastAsia="es-CO"/>
              </w:rPr>
              <w:t xml:space="preserve">En vista de la sentencia No. 672 de 2014, que restringe el tránsito de Trenes en el Municipio de Bosconia de 10:30 p.m. a 4:30 a.m., quedando el fallo en firme a partir del 14 de febrero de 2015, el tramite  del licenciamiento ambiental y el EIA por parte del Concesionario se encuentra suspendido, hasta que se tenga alguna claridad acerca de la variante al municipio o del cumplimiento de las medidas que dispuso la Corte para la disminución de ruido por el casco urbano del municipio. </w:t>
            </w:r>
          </w:p>
          <w:p w:rsidR="00EB3BC8" w:rsidRPr="00165651" w:rsidRDefault="00EB3BC8" w:rsidP="005E52E0">
            <w:pPr>
              <w:spacing w:before="120" w:line="276" w:lineRule="auto"/>
              <w:jc w:val="both"/>
              <w:rPr>
                <w:rFonts w:eastAsia="Times New Roman" w:cstheme="minorHAnsi"/>
                <w:color w:val="000000" w:themeColor="text1"/>
                <w:sz w:val="18"/>
                <w:szCs w:val="18"/>
                <w:lang w:eastAsia="es-CO"/>
              </w:rPr>
            </w:pPr>
            <w:r w:rsidRPr="00165651">
              <w:rPr>
                <w:rFonts w:eastAsia="Times New Roman" w:cstheme="minorHAnsi"/>
                <w:color w:val="000000" w:themeColor="text1"/>
                <w:sz w:val="18"/>
                <w:szCs w:val="18"/>
                <w:lang w:val="es-CO" w:eastAsia="es-CO"/>
              </w:rPr>
              <w:t>Fenoco S.A. ha culminado la construcción de 320 mt. de los 2.600 proyectados para los barrios El Carmen, San Francisco, Uribe Vélez y 28 de Febrero - Municipio de Bosconia.</w:t>
            </w:r>
          </w:p>
          <w:p w:rsidR="00EB3BC8" w:rsidRPr="00165651" w:rsidRDefault="00EB3BC8" w:rsidP="005E52E0">
            <w:pPr>
              <w:spacing w:before="120" w:line="276" w:lineRule="auto"/>
              <w:jc w:val="both"/>
              <w:rPr>
                <w:rFonts w:eastAsia="Times New Roman" w:cstheme="minorHAnsi"/>
                <w:color w:val="000000" w:themeColor="text1"/>
                <w:sz w:val="18"/>
                <w:szCs w:val="18"/>
                <w:lang w:eastAsia="es-CO"/>
              </w:rPr>
            </w:pPr>
            <w:r w:rsidRPr="00165651">
              <w:rPr>
                <w:rFonts w:eastAsia="Times New Roman" w:cstheme="minorHAnsi"/>
                <w:b/>
                <w:bCs/>
                <w:color w:val="000000" w:themeColor="text1"/>
                <w:sz w:val="18"/>
                <w:szCs w:val="18"/>
                <w:lang w:val="es-CO" w:eastAsia="es-CO"/>
              </w:rPr>
              <w:t>Aracataca (9.13 Km – 20,01%)</w:t>
            </w:r>
          </w:p>
          <w:p w:rsidR="00EB3BC8" w:rsidRPr="00165651" w:rsidRDefault="00EB3BC8" w:rsidP="005E52E0">
            <w:pPr>
              <w:spacing w:before="12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A la fecha la Comunidad de Aracataca se ha opuesto a la construcción de la segunda línea paralela.  </w:t>
            </w:r>
          </w:p>
          <w:p w:rsidR="00EB3BC8" w:rsidRPr="00165651" w:rsidRDefault="00EB3BC8" w:rsidP="005E52E0">
            <w:pPr>
              <w:spacing w:before="6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 xml:space="preserve">El día 27 de </w:t>
            </w:r>
            <w:r w:rsidRPr="00165651">
              <w:rPr>
                <w:rFonts w:eastAsia="Times New Roman" w:cstheme="minorHAnsi"/>
                <w:color w:val="000000" w:themeColor="text1"/>
                <w:sz w:val="18"/>
                <w:szCs w:val="18"/>
                <w:lang w:eastAsia="es-CO"/>
              </w:rPr>
              <w:t>noviembre</w:t>
            </w:r>
            <w:r w:rsidRPr="00165651">
              <w:rPr>
                <w:rFonts w:eastAsia="Times New Roman" w:cstheme="minorHAnsi"/>
                <w:color w:val="000000" w:themeColor="text1"/>
                <w:sz w:val="18"/>
                <w:szCs w:val="18"/>
                <w:lang w:val="es-CO" w:eastAsia="es-CO"/>
              </w:rPr>
              <w:t xml:space="preserve"> de 2014 se realizó Audiencia pública en el municipio de Aracataca, con el fin de dar a </w:t>
            </w:r>
            <w:r w:rsidRPr="00165651">
              <w:rPr>
                <w:rFonts w:eastAsia="Times New Roman" w:cstheme="minorHAnsi"/>
                <w:color w:val="000000" w:themeColor="text1"/>
                <w:sz w:val="18"/>
                <w:szCs w:val="18"/>
                <w:lang w:eastAsia="es-CO"/>
              </w:rPr>
              <w:t>conocer</w:t>
            </w:r>
            <w:r w:rsidRPr="00165651">
              <w:rPr>
                <w:rFonts w:eastAsia="Times New Roman" w:cstheme="minorHAnsi"/>
                <w:color w:val="000000" w:themeColor="text1"/>
                <w:sz w:val="18"/>
                <w:szCs w:val="18"/>
                <w:lang w:val="es-CO" w:eastAsia="es-CO"/>
              </w:rPr>
              <w:t xml:space="preserve"> la propuesta del proyecto segunda línea paralela en este municipio; se propuso realizar nuevas mesas de trabajo para tratar temas técnico.</w:t>
            </w:r>
          </w:p>
          <w:p w:rsidR="00EB3BC8" w:rsidRPr="00165651" w:rsidRDefault="00EB3BC8" w:rsidP="005E52E0">
            <w:pPr>
              <w:spacing w:before="60" w:after="120" w:line="276" w:lineRule="auto"/>
              <w:jc w:val="both"/>
              <w:rPr>
                <w:rFonts w:eastAsia="Times New Roman" w:cstheme="minorHAnsi"/>
                <w:color w:val="000000" w:themeColor="text1"/>
                <w:sz w:val="18"/>
                <w:szCs w:val="18"/>
                <w:lang w:val="es-CO" w:eastAsia="es-CO"/>
              </w:rPr>
            </w:pPr>
            <w:r w:rsidRPr="00165651">
              <w:rPr>
                <w:rFonts w:eastAsia="Times New Roman" w:cstheme="minorHAnsi"/>
                <w:color w:val="000000" w:themeColor="text1"/>
                <w:sz w:val="18"/>
                <w:szCs w:val="18"/>
                <w:lang w:val="es-CO" w:eastAsia="es-CO"/>
              </w:rPr>
              <w:t>Sin cambios significados en la gestión en este segundo trimestre</w:t>
            </w:r>
          </w:p>
        </w:tc>
      </w:tr>
      <w:tr w:rsidR="00EB3BC8" w:rsidRPr="00165651" w:rsidTr="005E52E0">
        <w:trPr>
          <w:trHeight w:val="2948"/>
        </w:trPr>
        <w:tc>
          <w:tcPr>
            <w:tcW w:w="1838" w:type="dxa"/>
            <w:shd w:val="clear" w:color="auto" w:fill="auto"/>
            <w:vAlign w:val="bottom"/>
          </w:tcPr>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8"/>
                <w:szCs w:val="16"/>
                <w:lang w:val="es-CO" w:eastAsia="es-CO"/>
              </w:rPr>
            </w:pPr>
            <w:r w:rsidRPr="00165651">
              <w:rPr>
                <w:rFonts w:eastAsia="Times New Roman" w:cstheme="minorHAnsi"/>
                <w:b/>
                <w:bCs/>
                <w:color w:val="000000" w:themeColor="text1"/>
                <w:sz w:val="18"/>
                <w:szCs w:val="16"/>
                <w:lang w:val="es-CO" w:eastAsia="es-CO"/>
              </w:rPr>
              <w:t>Restricciones Nocturnas actuales sobre el corredor</w:t>
            </w: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tc>
        <w:tc>
          <w:tcPr>
            <w:tcW w:w="7229" w:type="dxa"/>
            <w:gridSpan w:val="2"/>
            <w:shd w:val="clear" w:color="auto" w:fill="auto"/>
            <w:vAlign w:val="center"/>
          </w:tcPr>
          <w:p w:rsidR="00EB3BC8" w:rsidRPr="00165651" w:rsidRDefault="00EB3BC8" w:rsidP="005E52E0">
            <w:pPr>
              <w:spacing w:before="120" w:after="40" w:line="276" w:lineRule="auto"/>
              <w:jc w:val="both"/>
              <w:rPr>
                <w:rFonts w:eastAsia="Times New Roman" w:cstheme="minorHAnsi"/>
                <w:color w:val="000000" w:themeColor="text1"/>
                <w:sz w:val="18"/>
                <w:szCs w:val="16"/>
                <w:lang w:val="es-CO" w:eastAsia="es-CO"/>
              </w:rPr>
            </w:pPr>
            <w:r w:rsidRPr="00165651">
              <w:rPr>
                <w:rFonts w:eastAsia="Times New Roman" w:cstheme="minorHAnsi"/>
                <w:color w:val="000000" w:themeColor="text1"/>
                <w:sz w:val="18"/>
                <w:szCs w:val="16"/>
                <w:lang w:val="es-CO" w:eastAsia="es-CO"/>
              </w:rPr>
              <w:t>La operación Férrea de Fenoco S.A., a la fecha tiene tres (3) restricciones nocturnas. Dos (2) impuestas por la Corte Constitucional y una (1) impuesta por el entonces Ministerio de Ambiente, Vivienda y Desarrollo Territorial, a saber:</w:t>
            </w:r>
          </w:p>
          <w:p w:rsidR="00EB3BC8" w:rsidRPr="00165651" w:rsidRDefault="00EB3BC8" w:rsidP="005E52E0">
            <w:pPr>
              <w:spacing w:line="276" w:lineRule="auto"/>
              <w:jc w:val="both"/>
              <w:rPr>
                <w:rFonts w:eastAsia="Times New Roman" w:cstheme="minorHAnsi"/>
                <w:color w:val="000000" w:themeColor="text1"/>
                <w:sz w:val="18"/>
                <w:szCs w:val="16"/>
                <w:lang w:eastAsia="es-CO"/>
              </w:rPr>
            </w:pPr>
          </w:p>
          <w:p w:rsidR="00EB3BC8" w:rsidRPr="00165651" w:rsidRDefault="00EB3BC8" w:rsidP="005E52E0">
            <w:pPr>
              <w:spacing w:line="276" w:lineRule="auto"/>
              <w:jc w:val="both"/>
              <w:rPr>
                <w:rFonts w:eastAsia="Times New Roman" w:cstheme="minorHAnsi"/>
                <w:color w:val="000000" w:themeColor="text1"/>
                <w:sz w:val="18"/>
                <w:szCs w:val="16"/>
                <w:lang w:eastAsia="es-CO"/>
              </w:rPr>
            </w:pPr>
            <w:r w:rsidRPr="00165651">
              <w:rPr>
                <w:rFonts w:eastAsia="Times New Roman" w:cstheme="minorHAnsi"/>
                <w:b/>
                <w:bCs/>
                <w:color w:val="000000" w:themeColor="text1"/>
                <w:sz w:val="18"/>
                <w:szCs w:val="16"/>
                <w:lang w:val="es-CO" w:eastAsia="es-CO"/>
              </w:rPr>
              <w:t xml:space="preserve">Acción de Tutela No. 4520563 de 2015 – </w:t>
            </w:r>
            <w:r w:rsidRPr="00165651">
              <w:rPr>
                <w:rFonts w:eastAsia="Times New Roman" w:cstheme="minorHAnsi"/>
                <w:b/>
                <w:bCs/>
                <w:color w:val="000000" w:themeColor="text1"/>
                <w:sz w:val="18"/>
                <w:szCs w:val="16"/>
                <w:u w:val="single"/>
                <w:lang w:val="es-CO" w:eastAsia="es-CO"/>
              </w:rPr>
              <w:t>Restricción</w:t>
            </w:r>
            <w:r w:rsidRPr="00165651">
              <w:rPr>
                <w:rFonts w:eastAsia="Times New Roman" w:cstheme="minorHAnsi"/>
                <w:b/>
                <w:bCs/>
                <w:color w:val="000000" w:themeColor="text1"/>
                <w:sz w:val="18"/>
                <w:szCs w:val="16"/>
                <w:lang w:val="es-CO" w:eastAsia="es-CO"/>
              </w:rPr>
              <w:t xml:space="preserve">: </w:t>
            </w:r>
            <w:r w:rsidRPr="00165651">
              <w:rPr>
                <w:rFonts w:eastAsia="Times New Roman" w:cstheme="minorHAnsi"/>
                <w:color w:val="000000" w:themeColor="text1"/>
                <w:sz w:val="18"/>
                <w:szCs w:val="16"/>
                <w:lang w:val="es-CO" w:eastAsia="es-CO"/>
              </w:rPr>
              <w:t xml:space="preserve">Suspende por tres (3) meses la construcción de la segunda línea en todas las áreas de influencia de la vía férrea y se suspende por tres (3) meses el transporte férreo de carbón entre las 22:30 y las 04:30 de lunes a domingo en los municipios de Algarrobo, Zona Bananera y Fundación – </w:t>
            </w:r>
            <w:r w:rsidRPr="00165651">
              <w:rPr>
                <w:rFonts w:eastAsia="Times New Roman" w:cstheme="minorHAnsi"/>
                <w:b/>
                <w:bCs/>
                <w:color w:val="000000" w:themeColor="text1"/>
                <w:sz w:val="18"/>
                <w:szCs w:val="16"/>
                <w:lang w:val="es-CO" w:eastAsia="es-CO"/>
              </w:rPr>
              <w:t>Estado: Vigente</w:t>
            </w:r>
          </w:p>
          <w:p w:rsidR="00EB3BC8" w:rsidRPr="00165651" w:rsidRDefault="00EB3BC8" w:rsidP="005E52E0">
            <w:pPr>
              <w:spacing w:line="276" w:lineRule="auto"/>
              <w:jc w:val="both"/>
              <w:rPr>
                <w:rFonts w:eastAsia="Times New Roman" w:cstheme="minorHAnsi"/>
                <w:b/>
                <w:bCs/>
                <w:color w:val="000000" w:themeColor="text1"/>
                <w:sz w:val="18"/>
                <w:szCs w:val="16"/>
                <w:lang w:val="es-CO" w:eastAsia="es-CO"/>
              </w:rPr>
            </w:pPr>
          </w:p>
          <w:p w:rsidR="00EB3BC8" w:rsidRPr="00165651" w:rsidRDefault="00EB3BC8" w:rsidP="005E52E0">
            <w:pPr>
              <w:spacing w:line="276" w:lineRule="auto"/>
              <w:jc w:val="both"/>
              <w:rPr>
                <w:rFonts w:eastAsia="Times New Roman" w:cstheme="minorHAnsi"/>
                <w:color w:val="000000" w:themeColor="text1"/>
                <w:sz w:val="18"/>
                <w:szCs w:val="16"/>
                <w:lang w:eastAsia="es-CO"/>
              </w:rPr>
            </w:pPr>
            <w:r w:rsidRPr="00165651">
              <w:rPr>
                <w:rFonts w:eastAsia="Times New Roman" w:cstheme="minorHAnsi"/>
                <w:b/>
                <w:bCs/>
                <w:color w:val="000000" w:themeColor="text1"/>
                <w:sz w:val="18"/>
                <w:szCs w:val="16"/>
                <w:lang w:val="es-CO" w:eastAsia="es-CO"/>
              </w:rPr>
              <w:t>Status al segundo trimestre de 2015</w:t>
            </w:r>
          </w:p>
          <w:p w:rsidR="00EB3BC8" w:rsidRPr="00165651" w:rsidRDefault="00EB3BC8" w:rsidP="005E52E0">
            <w:pPr>
              <w:spacing w:line="276" w:lineRule="auto"/>
              <w:jc w:val="both"/>
              <w:rPr>
                <w:rFonts w:eastAsia="Times New Roman" w:cstheme="minorHAnsi"/>
                <w:color w:val="000000" w:themeColor="text1"/>
                <w:sz w:val="18"/>
                <w:szCs w:val="16"/>
                <w:lang w:eastAsia="es-CO"/>
              </w:rPr>
            </w:pP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 xml:space="preserve">Fenoco, el 05 de junio de 2015, presenta a la Corte Constitucional solicitud de levantamiento de las medidas provisionales impuestas </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eastAsia="es-CO"/>
              </w:rPr>
              <w:t>Fenoco S.A. desde el 06 de junio de 2015 a las 00:00 horas suspende totalmente el tránsito nocturno de trenes</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Fenoco S.A. el 25 de junio de 2015, da alcance a la solicitud de levantamiento de las medidas provisionales ante la Corte Constitucional basados en los siguientes argumentos:</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Incumplimiento con los requisitos mínimos para imponer las medidas provisionales.</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Fenoco S.A. solicitó al Min. Interior las respectivas certificaciones de presencia / no presencia de comunidades indígenas y afrodescendientes en estos sectores y realizará las Consultas Previas con las comunidades certificadas por dicha autoridad.</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Las obras complementarias y el reasentamiento poblacional beneficiarán a la comunidad y las medidas provisionales que sean requeridas negarán la oportunidad a la comunidad a ser reasentados en mejores condiciones a las actuales.</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No ha sido probado que las partículas de carbón estén asociadas a las enfermedades alegadas por algunas personas.</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Fenoco cumple con los niveles de ruido y no existe evidencia de que el ruido afecte los derechos fundamentales.</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Fenoco S.A. el 06 de julio de 2015 da segundo alcance al requerimiento y solicita nuevamente a la Corte Constitución levantamiento de las medidas provisionales impuestas teniendo como base los perjuicios que esta medida genera en el patrimonio de la Nación.</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bCs/>
                <w:color w:val="000000" w:themeColor="text1"/>
                <w:sz w:val="18"/>
                <w:szCs w:val="16"/>
                <w:lang w:val="es-CO" w:eastAsia="es-CO"/>
              </w:rPr>
              <w:t>La ANI no presentó ningún escrito de contestación ya que nunca fue notificada oficialmente de dicha tutela.</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p>
          <w:p w:rsidR="00EB3BC8" w:rsidRPr="00165651" w:rsidRDefault="00EB3BC8" w:rsidP="005E52E0">
            <w:pPr>
              <w:spacing w:after="40" w:line="276" w:lineRule="auto"/>
              <w:jc w:val="both"/>
              <w:rPr>
                <w:rFonts w:eastAsia="Times New Roman" w:cstheme="minorHAnsi"/>
                <w:color w:val="000000" w:themeColor="text1"/>
                <w:sz w:val="18"/>
                <w:szCs w:val="16"/>
                <w:lang w:eastAsia="es-CO"/>
              </w:rPr>
            </w:pPr>
            <w:r w:rsidRPr="00165651">
              <w:rPr>
                <w:rFonts w:eastAsia="Times New Roman" w:cstheme="minorHAnsi"/>
                <w:b/>
                <w:bCs/>
                <w:color w:val="000000" w:themeColor="text1"/>
                <w:sz w:val="18"/>
                <w:szCs w:val="16"/>
                <w:lang w:val="es-CO" w:eastAsia="es-CO"/>
              </w:rPr>
              <w:t xml:space="preserve">Sentencia de Tutela No. T-672 de 2014 – </w:t>
            </w:r>
            <w:r w:rsidRPr="00165651">
              <w:rPr>
                <w:rFonts w:eastAsia="Times New Roman" w:cstheme="minorHAnsi"/>
                <w:b/>
                <w:bCs/>
                <w:color w:val="000000" w:themeColor="text1"/>
                <w:sz w:val="18"/>
                <w:szCs w:val="16"/>
                <w:u w:val="single"/>
                <w:lang w:val="es-CO" w:eastAsia="es-CO"/>
              </w:rPr>
              <w:t>Restricción:</w:t>
            </w:r>
            <w:r w:rsidRPr="00165651">
              <w:rPr>
                <w:rFonts w:eastAsia="Times New Roman" w:cstheme="minorHAnsi"/>
                <w:b/>
                <w:bCs/>
                <w:color w:val="000000" w:themeColor="text1"/>
                <w:sz w:val="18"/>
                <w:szCs w:val="16"/>
                <w:lang w:val="es-CO" w:eastAsia="es-CO"/>
              </w:rPr>
              <w:t xml:space="preserve"> </w:t>
            </w:r>
            <w:r w:rsidRPr="00165651">
              <w:rPr>
                <w:rFonts w:eastAsia="Times New Roman" w:cstheme="minorHAnsi"/>
                <w:color w:val="000000" w:themeColor="text1"/>
                <w:sz w:val="18"/>
                <w:szCs w:val="16"/>
                <w:lang w:val="es-CO" w:eastAsia="es-CO"/>
              </w:rPr>
              <w:t xml:space="preserve">Suspende el tránsito de trenes carboneros </w:t>
            </w:r>
            <w:r w:rsidRPr="00165651">
              <w:rPr>
                <w:rFonts w:eastAsia="Times New Roman" w:cstheme="minorHAnsi"/>
                <w:color w:val="000000" w:themeColor="text1"/>
                <w:sz w:val="18"/>
                <w:szCs w:val="16"/>
                <w:lang w:val="es-ES" w:eastAsia="es-CO"/>
              </w:rPr>
              <w:t xml:space="preserve">entre las 22.30 y las 04:30 de lunes a domingo en el municipio de Bosconia y </w:t>
            </w:r>
            <w:r w:rsidRPr="00165651">
              <w:rPr>
                <w:rFonts w:eastAsia="Times New Roman" w:cstheme="minorHAnsi"/>
                <w:color w:val="000000" w:themeColor="text1"/>
                <w:sz w:val="18"/>
                <w:szCs w:val="16"/>
                <w:lang w:val="es-CO" w:eastAsia="es-CO"/>
              </w:rPr>
              <w:t xml:space="preserve">requiere a Fenoco para que en un término de máximo seis (6) meses incluya en su PMA medidas dirigidas a (i) reducir el coeficiente de rozamiento e (ii) implementar mecanismos de control que permitan la absorción de las ondas sonoras entre la fuente y los receptores - </w:t>
            </w:r>
            <w:r w:rsidRPr="00165651">
              <w:rPr>
                <w:rFonts w:eastAsia="Times New Roman" w:cstheme="minorHAnsi"/>
                <w:b/>
                <w:bCs/>
                <w:color w:val="000000" w:themeColor="text1"/>
                <w:sz w:val="18"/>
                <w:szCs w:val="16"/>
                <w:lang w:val="es-CO" w:eastAsia="es-CO"/>
              </w:rPr>
              <w:t>Estado: Vigente</w:t>
            </w:r>
          </w:p>
          <w:p w:rsidR="00EB3BC8" w:rsidRPr="00165651" w:rsidRDefault="00EB3BC8" w:rsidP="005E52E0">
            <w:pPr>
              <w:spacing w:line="276" w:lineRule="auto"/>
              <w:ind w:left="318"/>
              <w:jc w:val="both"/>
              <w:rPr>
                <w:rFonts w:eastAsia="Times New Roman" w:cstheme="minorHAnsi"/>
                <w:b/>
                <w:bCs/>
                <w:color w:val="000000" w:themeColor="text1"/>
                <w:sz w:val="18"/>
                <w:szCs w:val="16"/>
                <w:lang w:val="es-CO" w:eastAsia="es-CO"/>
              </w:rPr>
            </w:pPr>
          </w:p>
          <w:p w:rsidR="00EB3BC8" w:rsidRPr="00165651" w:rsidRDefault="00EB3BC8" w:rsidP="005E52E0">
            <w:pPr>
              <w:spacing w:line="276" w:lineRule="auto"/>
              <w:jc w:val="both"/>
              <w:rPr>
                <w:rFonts w:eastAsia="Times New Roman" w:cstheme="minorHAnsi"/>
                <w:color w:val="000000" w:themeColor="text1"/>
                <w:sz w:val="18"/>
                <w:szCs w:val="16"/>
                <w:lang w:eastAsia="es-CO"/>
              </w:rPr>
            </w:pPr>
            <w:r w:rsidRPr="00165651">
              <w:rPr>
                <w:rFonts w:eastAsia="Times New Roman" w:cstheme="minorHAnsi"/>
                <w:b/>
                <w:bCs/>
                <w:color w:val="000000" w:themeColor="text1"/>
                <w:sz w:val="18"/>
                <w:szCs w:val="16"/>
                <w:lang w:val="es-CO" w:eastAsia="es-CO"/>
              </w:rPr>
              <w:t>Status al segundo trimestre de 2015</w:t>
            </w:r>
          </w:p>
          <w:p w:rsidR="00EB3BC8" w:rsidRPr="00165651" w:rsidRDefault="00EB3BC8" w:rsidP="005E52E0">
            <w:pPr>
              <w:spacing w:before="12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eastAsia="es-CO"/>
              </w:rPr>
              <w:t xml:space="preserve">Fenoco S.A. desde el 13 de febrero de 2015 a las 00:00 horas suspende totalmente el tránsito nocturno de trenes en el sector de Bosconia. </w:t>
            </w:r>
          </w:p>
          <w:p w:rsidR="00EB3BC8" w:rsidRPr="00165651" w:rsidRDefault="00EB3BC8" w:rsidP="005E52E0">
            <w:pPr>
              <w:spacing w:before="12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eastAsia="es-CO"/>
              </w:rPr>
              <w:t>El 25 de febrero de 2015, el ANLA consideró viable autorizar medidas de manejo consistentes en perfilado y engrasado de rieles, esmerilado de riel, restricción en el uso del silbato y pito en zona urbana de Bosconia y minimizar las detenciones de trenes en dicho centro poblado.</w:t>
            </w:r>
          </w:p>
          <w:p w:rsidR="00EB3BC8" w:rsidRPr="00165651" w:rsidRDefault="00EB3BC8" w:rsidP="005E52E0">
            <w:pPr>
              <w:spacing w:before="12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eastAsia="es-CO"/>
              </w:rPr>
              <w:lastRenderedPageBreak/>
              <w:t>El 24 de marzo de 2015, Fenoco</w:t>
            </w:r>
            <w:r w:rsidRPr="00165651">
              <w:rPr>
                <w:rFonts w:eastAsia="Times New Roman" w:cstheme="minorHAnsi"/>
                <w:color w:val="000000" w:themeColor="text1"/>
                <w:sz w:val="18"/>
                <w:szCs w:val="16"/>
                <w:lang w:val="es-ES" w:eastAsia="es-CO"/>
              </w:rPr>
              <w:t xml:space="preserve"> presentó a ANLA la alternativa para mitigación de ruido en Bosconia a través de muros en Gaviones y bermas, aprobada por ANLA el 15 de abril de 2015</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CO" w:eastAsia="es-CO"/>
              </w:rPr>
              <w:t xml:space="preserve">Fenoco S.A. </w:t>
            </w:r>
            <w:r w:rsidRPr="00165651">
              <w:rPr>
                <w:rFonts w:eastAsia="Times New Roman" w:cstheme="minorHAnsi"/>
                <w:color w:val="000000" w:themeColor="text1"/>
                <w:sz w:val="18"/>
                <w:szCs w:val="16"/>
                <w:lang w:eastAsia="es-CO"/>
              </w:rPr>
              <w:t>ha</w:t>
            </w:r>
            <w:r w:rsidRPr="00165651">
              <w:rPr>
                <w:rFonts w:eastAsia="Times New Roman" w:cstheme="minorHAnsi"/>
                <w:color w:val="000000" w:themeColor="text1"/>
                <w:sz w:val="18"/>
                <w:szCs w:val="16"/>
                <w:lang w:val="es-CO" w:eastAsia="es-CO"/>
              </w:rPr>
              <w:t xml:space="preserve"> culminado la construcción de 320 mt. de los 2.600 proyectados para los barrios El Carmen, San Francisco, Uribe Vélez y 28 de Febrero - Municipio de Bosconia.</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val="es-ES" w:eastAsia="es-CO"/>
              </w:rPr>
              <w:t xml:space="preserve">El </w:t>
            </w:r>
            <w:r w:rsidRPr="00165651">
              <w:rPr>
                <w:rFonts w:eastAsia="Times New Roman" w:cstheme="minorHAnsi"/>
                <w:color w:val="000000" w:themeColor="text1"/>
                <w:sz w:val="18"/>
                <w:szCs w:val="16"/>
                <w:lang w:eastAsia="es-CO"/>
              </w:rPr>
              <w:t>Tribunal</w:t>
            </w:r>
            <w:r w:rsidRPr="00165651">
              <w:rPr>
                <w:rFonts w:eastAsia="Times New Roman" w:cstheme="minorHAnsi"/>
                <w:color w:val="000000" w:themeColor="text1"/>
                <w:sz w:val="18"/>
                <w:szCs w:val="16"/>
                <w:lang w:val="es-ES" w:eastAsia="es-CO"/>
              </w:rPr>
              <w:t xml:space="preserve"> </w:t>
            </w:r>
            <w:r w:rsidRPr="00165651">
              <w:rPr>
                <w:rFonts w:eastAsia="Times New Roman" w:cstheme="minorHAnsi"/>
                <w:color w:val="000000" w:themeColor="text1"/>
                <w:sz w:val="18"/>
                <w:szCs w:val="16"/>
                <w:lang w:eastAsia="es-CO"/>
              </w:rPr>
              <w:t>del</w:t>
            </w:r>
            <w:r w:rsidRPr="00165651">
              <w:rPr>
                <w:rFonts w:eastAsia="Times New Roman" w:cstheme="minorHAnsi"/>
                <w:color w:val="000000" w:themeColor="text1"/>
                <w:sz w:val="18"/>
                <w:szCs w:val="16"/>
                <w:lang w:val="es-ES" w:eastAsia="es-CO"/>
              </w:rPr>
              <w:t xml:space="preserve"> Cesar, </w:t>
            </w:r>
            <w:r w:rsidRPr="00165651">
              <w:rPr>
                <w:rFonts w:eastAsia="Times New Roman" w:cstheme="minorHAnsi"/>
                <w:color w:val="000000" w:themeColor="text1"/>
                <w:sz w:val="18"/>
                <w:szCs w:val="16"/>
                <w:lang w:val="es-CO" w:eastAsia="es-CO"/>
              </w:rPr>
              <w:t>en</w:t>
            </w:r>
            <w:r w:rsidRPr="00165651">
              <w:rPr>
                <w:rFonts w:eastAsia="Times New Roman" w:cstheme="minorHAnsi"/>
                <w:color w:val="000000" w:themeColor="text1"/>
                <w:sz w:val="18"/>
                <w:szCs w:val="16"/>
                <w:lang w:val="es-ES" w:eastAsia="es-CO"/>
              </w:rPr>
              <w:t xml:space="preserve"> una reciente decisión, resolvió que Fenoco S.A. ha venido cumpliendo el fallo de dicha sentencia y requirió al Concesionario a realizar todos los esfuerzos para finalizar la implementación de las barreras.</w:t>
            </w:r>
          </w:p>
          <w:p w:rsidR="00EB3BC8" w:rsidRPr="00165651" w:rsidRDefault="00EB3BC8" w:rsidP="005E52E0">
            <w:pPr>
              <w:spacing w:before="40" w:after="40" w:line="276" w:lineRule="auto"/>
              <w:jc w:val="both"/>
              <w:rPr>
                <w:rFonts w:eastAsia="Times New Roman" w:cstheme="minorHAnsi"/>
                <w:color w:val="000000" w:themeColor="text1"/>
                <w:sz w:val="18"/>
                <w:szCs w:val="16"/>
                <w:lang w:eastAsia="es-CO"/>
              </w:rPr>
            </w:pPr>
            <w:r w:rsidRPr="00165651">
              <w:rPr>
                <w:rFonts w:eastAsia="Times New Roman" w:cstheme="minorHAnsi"/>
                <w:color w:val="000000" w:themeColor="text1"/>
                <w:sz w:val="18"/>
                <w:szCs w:val="16"/>
                <w:lang w:eastAsia="es-CO"/>
              </w:rPr>
              <w:t>ANLA aprobó giro ordinario que permite instalación de barreras vegetales, actividades que iniciaron el 2 de julio y espera finalicen el día 17 de Julio de 2015</w:t>
            </w:r>
          </w:p>
          <w:tbl>
            <w:tblPr>
              <w:tblStyle w:val="Tablaconcuadrcula22"/>
              <w:tblW w:w="6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58"/>
              <w:gridCol w:w="3458"/>
            </w:tblGrid>
            <w:tr w:rsidR="00EB3BC8" w:rsidRPr="00165651" w:rsidTr="005E52E0">
              <w:tc>
                <w:tcPr>
                  <w:tcW w:w="3458" w:type="dxa"/>
                </w:tcPr>
                <w:p w:rsidR="00EB3BC8" w:rsidRPr="00165651" w:rsidRDefault="00EB3BC8" w:rsidP="0005003A">
                  <w:pPr>
                    <w:framePr w:hSpace="141" w:wrap="around" w:vAnchor="text" w:hAnchor="text" w:y="1"/>
                    <w:tabs>
                      <w:tab w:val="left" w:pos="1688"/>
                    </w:tabs>
                    <w:spacing w:after="40"/>
                    <w:suppressOverlap/>
                    <w:jc w:val="both"/>
                    <w:rPr>
                      <w:rFonts w:eastAsia="Times New Roman" w:cstheme="minorHAnsi"/>
                      <w:color w:val="000000" w:themeColor="text1"/>
                      <w:sz w:val="16"/>
                      <w:szCs w:val="16"/>
                      <w:lang w:eastAsia="es-CO"/>
                    </w:rPr>
                  </w:pPr>
                  <w:r w:rsidRPr="00165651">
                    <w:rPr>
                      <w:rFonts w:eastAsia="Times New Roman" w:cstheme="minorHAnsi"/>
                      <w:noProof/>
                      <w:color w:val="000000" w:themeColor="text1"/>
                      <w:sz w:val="16"/>
                      <w:szCs w:val="16"/>
                    </w:rPr>
                    <w:drawing>
                      <wp:inline distT="0" distB="0" distL="0" distR="0" wp14:anchorId="22F958F0" wp14:editId="52D5A62F">
                        <wp:extent cx="2016000" cy="1497982"/>
                        <wp:effectExtent l="57150" t="57150" r="118110" b="121285"/>
                        <wp:docPr id="9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rotWithShape="1">
                                <a:blip r:embed="rId162" cstate="print">
                                  <a:lum contrast="20000"/>
                                  <a:extLst>
                                    <a:ext uri="{28A0092B-C50C-407E-A947-70E740481C1C}">
                                      <a14:useLocalDpi xmlns:a14="http://schemas.microsoft.com/office/drawing/2010/main" val="0"/>
                                    </a:ext>
                                  </a:extLst>
                                </a:blip>
                                <a:srcRect l="20197" t="-399" b="11232"/>
                                <a:stretch/>
                              </pic:blipFill>
                              <pic:spPr>
                                <a:xfrm>
                                  <a:off x="0" y="0"/>
                                  <a:ext cx="2016000" cy="1497982"/>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pic:spPr>
                            </pic:pic>
                          </a:graphicData>
                        </a:graphic>
                      </wp:inline>
                    </w:drawing>
                  </w:r>
                </w:p>
              </w:tc>
              <w:tc>
                <w:tcPr>
                  <w:tcW w:w="3458" w:type="dxa"/>
                </w:tcPr>
                <w:p w:rsidR="00EB3BC8" w:rsidRPr="00165651" w:rsidRDefault="00EB3BC8" w:rsidP="0005003A">
                  <w:pPr>
                    <w:framePr w:hSpace="141" w:wrap="around" w:vAnchor="text" w:hAnchor="text" w:y="1"/>
                    <w:spacing w:after="40"/>
                    <w:suppressOverlap/>
                    <w:jc w:val="both"/>
                    <w:rPr>
                      <w:rFonts w:eastAsia="Times New Roman" w:cstheme="minorHAnsi"/>
                      <w:color w:val="000000" w:themeColor="text1"/>
                      <w:sz w:val="16"/>
                      <w:szCs w:val="16"/>
                      <w:lang w:eastAsia="es-CO"/>
                    </w:rPr>
                  </w:pPr>
                  <w:r w:rsidRPr="00165651">
                    <w:rPr>
                      <w:rFonts w:eastAsia="Times New Roman" w:cstheme="minorHAnsi"/>
                      <w:noProof/>
                      <w:color w:val="000000" w:themeColor="text1"/>
                      <w:sz w:val="16"/>
                      <w:szCs w:val="16"/>
                    </w:rPr>
                    <w:drawing>
                      <wp:inline distT="0" distB="0" distL="0" distR="0" wp14:anchorId="69553F59" wp14:editId="066C3737">
                        <wp:extent cx="2016000" cy="1518465"/>
                        <wp:effectExtent l="57150" t="57150" r="118110" b="120015"/>
                        <wp:docPr id="100" name="Picture 3" descr="100_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100_0259"/>
                                <pic:cNvPicPr>
                                  <a:picLocks noChangeAspect="1" noChangeArrowheads="1"/>
                                </pic:cNvPicPr>
                              </pic:nvPicPr>
                              <pic:blipFill>
                                <a:blip r:embed="rId163">
                                  <a:lum contrast="20000"/>
                                  <a:extLst>
                                    <a:ext uri="{28A0092B-C50C-407E-A947-70E740481C1C}">
                                      <a14:useLocalDpi xmlns:a14="http://schemas.microsoft.com/office/drawing/2010/main" val="0"/>
                                    </a:ext>
                                  </a:extLst>
                                </a:blip>
                                <a:srcRect/>
                                <a:stretch>
                                  <a:fillRect/>
                                </a:stretch>
                              </pic:blipFill>
                              <pic:spPr bwMode="auto">
                                <a:xfrm>
                                  <a:off x="0" y="0"/>
                                  <a:ext cx="2016000" cy="1518465"/>
                                </a:xfrm>
                                <a:prstGeom prst="rect">
                                  <a:avLst/>
                                </a:prstGeom>
                                <a:noFill/>
                                <a:ln>
                                  <a:solidFill>
                                    <a:sysClr val="window" lastClr="FFFFFF">
                                      <a:lumMod val="50000"/>
                                    </a:sysClr>
                                  </a:solidFill>
                                </a:ln>
                                <a:effectLst>
                                  <a:outerShdw blurRad="50800" dist="38100" dir="2700000" algn="tl" rotWithShape="0">
                                    <a:prstClr val="black">
                                      <a:alpha val="40000"/>
                                    </a:prstClr>
                                  </a:outerShdw>
                                </a:effectLst>
                                <a:extLst/>
                              </pic:spPr>
                            </pic:pic>
                          </a:graphicData>
                        </a:graphic>
                      </wp:inline>
                    </w:drawing>
                  </w:r>
                </w:p>
              </w:tc>
            </w:tr>
            <w:tr w:rsidR="00EB3BC8" w:rsidRPr="00165651" w:rsidTr="005E52E0">
              <w:tc>
                <w:tcPr>
                  <w:tcW w:w="3458" w:type="dxa"/>
                </w:tcPr>
                <w:p w:rsidR="00EB3BC8" w:rsidRPr="00165651" w:rsidRDefault="00EB3BC8" w:rsidP="0005003A">
                  <w:pPr>
                    <w:framePr w:hSpace="141" w:wrap="around" w:vAnchor="text" w:hAnchor="text" w:y="1"/>
                    <w:spacing w:after="40"/>
                    <w:suppressOverlap/>
                    <w:jc w:val="center"/>
                    <w:rPr>
                      <w:rFonts w:eastAsia="Times New Roman" w:cstheme="minorHAnsi"/>
                      <w:color w:val="000000" w:themeColor="text1"/>
                      <w:sz w:val="15"/>
                      <w:szCs w:val="15"/>
                      <w:lang w:eastAsia="es-CO"/>
                    </w:rPr>
                  </w:pPr>
                  <w:r w:rsidRPr="00165651">
                    <w:rPr>
                      <w:rFonts w:eastAsia="Times New Roman" w:cstheme="minorHAnsi"/>
                      <w:iCs/>
                      <w:color w:val="000000" w:themeColor="text1"/>
                      <w:sz w:val="15"/>
                      <w:szCs w:val="15"/>
                      <w:lang w:val="es-CO" w:eastAsia="es-CO"/>
                    </w:rPr>
                    <w:t>Gaviones - PK 802+102 al PK 802+222</w:t>
                  </w:r>
                </w:p>
              </w:tc>
              <w:tc>
                <w:tcPr>
                  <w:tcW w:w="3458" w:type="dxa"/>
                </w:tcPr>
                <w:p w:rsidR="00EB3BC8" w:rsidRPr="00165651" w:rsidRDefault="00EB3BC8" w:rsidP="0005003A">
                  <w:pPr>
                    <w:framePr w:hSpace="141" w:wrap="around" w:vAnchor="text" w:hAnchor="text" w:y="1"/>
                    <w:spacing w:after="40"/>
                    <w:suppressOverlap/>
                    <w:jc w:val="center"/>
                    <w:rPr>
                      <w:rFonts w:eastAsia="Times New Roman" w:cstheme="minorHAnsi"/>
                      <w:color w:val="000000" w:themeColor="text1"/>
                      <w:sz w:val="15"/>
                      <w:szCs w:val="15"/>
                      <w:lang w:eastAsia="es-CO"/>
                    </w:rPr>
                  </w:pPr>
                  <w:r w:rsidRPr="00165651">
                    <w:rPr>
                      <w:rFonts w:eastAsia="Times New Roman" w:cstheme="minorHAnsi"/>
                      <w:iCs/>
                      <w:color w:val="000000" w:themeColor="text1"/>
                      <w:sz w:val="15"/>
                      <w:szCs w:val="15"/>
                      <w:lang w:val="es-CO" w:eastAsia="es-CO"/>
                    </w:rPr>
                    <w:t>Esmerilado y lubricación de riel Patios Bosconia</w:t>
                  </w:r>
                </w:p>
              </w:tc>
            </w:tr>
          </w:tbl>
          <w:p w:rsidR="00EB3BC8" w:rsidRPr="00165651" w:rsidRDefault="00EB3BC8" w:rsidP="005E52E0">
            <w:pPr>
              <w:spacing w:before="240" w:after="40" w:line="276" w:lineRule="auto"/>
              <w:jc w:val="both"/>
              <w:rPr>
                <w:rFonts w:eastAsia="Times New Roman" w:cstheme="minorHAnsi"/>
                <w:color w:val="000000" w:themeColor="text1"/>
                <w:sz w:val="16"/>
                <w:szCs w:val="16"/>
                <w:lang w:eastAsia="es-CO"/>
              </w:rPr>
            </w:pPr>
            <w:r w:rsidRPr="00165651">
              <w:rPr>
                <w:rFonts w:eastAsia="Times New Roman" w:cstheme="minorHAnsi"/>
                <w:b/>
                <w:bCs/>
                <w:color w:val="000000" w:themeColor="text1"/>
                <w:sz w:val="18"/>
                <w:szCs w:val="16"/>
                <w:lang w:val="es-CO" w:eastAsia="es-CO"/>
              </w:rPr>
              <w:t xml:space="preserve">Resolución No. 2018 de 2007 – </w:t>
            </w:r>
            <w:r w:rsidRPr="00165651">
              <w:rPr>
                <w:rFonts w:eastAsia="Times New Roman" w:cstheme="minorHAnsi"/>
                <w:b/>
                <w:bCs/>
                <w:color w:val="000000" w:themeColor="text1"/>
                <w:sz w:val="18"/>
                <w:szCs w:val="16"/>
                <w:u w:val="single"/>
                <w:lang w:val="es-CO" w:eastAsia="es-CO"/>
              </w:rPr>
              <w:t>Restricción:</w:t>
            </w:r>
            <w:r w:rsidRPr="00165651">
              <w:rPr>
                <w:rFonts w:eastAsia="Times New Roman" w:cstheme="minorHAnsi"/>
                <w:b/>
                <w:bCs/>
                <w:color w:val="000000" w:themeColor="text1"/>
                <w:sz w:val="18"/>
                <w:szCs w:val="16"/>
                <w:lang w:val="es-CO" w:eastAsia="es-CO"/>
              </w:rPr>
              <w:t xml:space="preserve"> </w:t>
            </w:r>
            <w:r w:rsidRPr="00165651">
              <w:rPr>
                <w:rFonts w:eastAsia="Times New Roman" w:cstheme="minorHAnsi"/>
                <w:color w:val="000000" w:themeColor="text1"/>
                <w:sz w:val="18"/>
                <w:szCs w:val="16"/>
                <w:lang w:val="es-ES" w:eastAsia="es-CO"/>
              </w:rPr>
              <w:t xml:space="preserve">El entonces MAVDT, impuso restricción nocturna del transporte ferroviario en prohibiendo el tránsito de trenes entre las 23:00 y las 05:00 en el tramo comprendido entre Puerto Drummond a Puerto Prodeco - </w:t>
            </w:r>
            <w:r w:rsidRPr="00165651">
              <w:rPr>
                <w:rFonts w:eastAsia="Times New Roman" w:cstheme="minorHAnsi"/>
                <w:b/>
                <w:bCs/>
                <w:color w:val="000000" w:themeColor="text1"/>
                <w:sz w:val="18"/>
                <w:szCs w:val="16"/>
                <w:lang w:val="es-CO" w:eastAsia="es-CO"/>
              </w:rPr>
              <w:t>Estado: Vigente</w:t>
            </w:r>
          </w:p>
        </w:tc>
      </w:tr>
      <w:tr w:rsidR="00EB3BC8" w:rsidRPr="00165651" w:rsidTr="005E52E0">
        <w:tblPrEx>
          <w:tblCellMar>
            <w:left w:w="70" w:type="dxa"/>
            <w:right w:w="70" w:type="dxa"/>
          </w:tblCellMar>
        </w:tblPrEx>
        <w:trPr>
          <w:trHeight w:val="2948"/>
        </w:trPr>
        <w:tc>
          <w:tcPr>
            <w:tcW w:w="1838" w:type="dxa"/>
            <w:shd w:val="clear" w:color="auto" w:fill="auto"/>
            <w:vAlign w:val="center"/>
          </w:tcPr>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8"/>
                <w:szCs w:val="16"/>
                <w:lang w:val="es-CO" w:eastAsia="es-CO"/>
              </w:rPr>
            </w:pPr>
            <w:r w:rsidRPr="00165651">
              <w:rPr>
                <w:rFonts w:eastAsia="Times New Roman" w:cstheme="minorHAnsi"/>
                <w:b/>
                <w:color w:val="000000" w:themeColor="text1"/>
                <w:sz w:val="18"/>
                <w:szCs w:val="16"/>
                <w:lang w:val="es-CO" w:eastAsia="es-CO"/>
              </w:rPr>
              <w:t>Carga movilizada 2015</w:t>
            </w: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r w:rsidRPr="00165651">
              <w:rPr>
                <w:rFonts w:eastAsia="Times New Roman" w:cstheme="minorHAnsi"/>
                <w:b/>
                <w:color w:val="000000" w:themeColor="text1"/>
                <w:sz w:val="16"/>
                <w:szCs w:val="16"/>
                <w:lang w:val="es-CO" w:eastAsia="es-CO"/>
              </w:rPr>
              <w:t>Carga movilizada 2015</w:t>
            </w: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color w:val="000000" w:themeColor="text1"/>
                <w:sz w:val="16"/>
                <w:szCs w:val="16"/>
                <w:lang w:val="es-CO" w:eastAsia="es-CO"/>
              </w:rPr>
            </w:pPr>
          </w:p>
          <w:p w:rsidR="00EB3BC8" w:rsidRPr="00165651" w:rsidRDefault="00EB3BC8" w:rsidP="005E52E0">
            <w:pPr>
              <w:spacing w:before="40" w:after="40"/>
              <w:rPr>
                <w:rFonts w:eastAsia="Times New Roman" w:cstheme="minorHAnsi"/>
                <w:b/>
                <w:bCs/>
                <w:color w:val="000000"/>
                <w:sz w:val="20"/>
                <w:szCs w:val="20"/>
                <w:lang w:val="es" w:eastAsia="es-CO"/>
              </w:rPr>
            </w:pPr>
            <w:r w:rsidRPr="00165651">
              <w:rPr>
                <w:rFonts w:eastAsia="Times New Roman" w:cstheme="minorHAnsi"/>
                <w:b/>
                <w:color w:val="000000" w:themeColor="text1"/>
                <w:sz w:val="16"/>
                <w:szCs w:val="16"/>
                <w:lang w:val="es-CO" w:eastAsia="es-CO"/>
              </w:rPr>
              <w:t>Carga movilizada 2015</w:t>
            </w:r>
          </w:p>
        </w:tc>
        <w:tc>
          <w:tcPr>
            <w:tcW w:w="7229" w:type="dxa"/>
            <w:gridSpan w:val="2"/>
            <w:shd w:val="clear" w:color="auto" w:fill="auto"/>
            <w:vAlign w:val="center"/>
          </w:tcPr>
          <w:p w:rsidR="00EB3BC8" w:rsidRPr="00165651" w:rsidRDefault="00EB3BC8" w:rsidP="005E52E0">
            <w:pPr>
              <w:spacing w:before="120" w:line="276" w:lineRule="auto"/>
              <w:jc w:val="both"/>
              <w:rPr>
                <w:rFonts w:eastAsia="Times New Roman" w:cstheme="minorHAnsi"/>
                <w:sz w:val="18"/>
                <w:szCs w:val="18"/>
                <w:lang w:val="es-CO" w:eastAsia="es-CO"/>
              </w:rPr>
            </w:pPr>
            <w:r w:rsidRPr="00165651">
              <w:rPr>
                <w:rFonts w:eastAsia="Times New Roman" w:cstheme="minorHAnsi"/>
                <w:sz w:val="18"/>
                <w:szCs w:val="18"/>
                <w:lang w:val="es" w:eastAsia="es-CO"/>
              </w:rPr>
              <w:lastRenderedPageBreak/>
              <w:t>R</w:t>
            </w:r>
            <w:r w:rsidRPr="00165651">
              <w:rPr>
                <w:rFonts w:eastAsia="Times New Roman" w:cstheme="minorHAnsi"/>
                <w:sz w:val="18"/>
                <w:szCs w:val="18"/>
                <w:lang w:val="es-CO" w:eastAsia="es-CO"/>
              </w:rPr>
              <w:t xml:space="preserve">ealizados los análisis se observó que el comportamiento de movilización para el primer semestre de este año, corresponde al mayor valor histórico movilizado por el Concesionario desde el año 2002. A la fecha (30 de Junio de 2015), se movilizaron 22,26 Millones de Toneladas, ver tabla siguiente. Esto corresponde al 51,54 % de la proyección que tenemos para el año 2015 – 43.19 Mil Ton. </w:t>
            </w:r>
          </w:p>
          <w:p w:rsidR="00EB3BC8" w:rsidRPr="00165651" w:rsidRDefault="00EB3BC8" w:rsidP="005E52E0">
            <w:pPr>
              <w:spacing w:before="120" w:line="276" w:lineRule="auto"/>
              <w:jc w:val="both"/>
              <w:rPr>
                <w:rFonts w:eastAsia="Times New Roman" w:cstheme="minorHAnsi"/>
                <w:sz w:val="18"/>
                <w:szCs w:val="18"/>
                <w:lang w:val="es-CO" w:eastAsia="es-CO"/>
              </w:rPr>
            </w:pP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627"/>
              <w:gridCol w:w="1530"/>
              <w:gridCol w:w="1666"/>
            </w:tblGrid>
            <w:tr w:rsidR="00EB3BC8" w:rsidRPr="00165651" w:rsidTr="005E52E0">
              <w:trPr>
                <w:trHeight w:val="283"/>
                <w:jc w:val="center"/>
              </w:trPr>
              <w:tc>
                <w:tcPr>
                  <w:tcW w:w="3823" w:type="dxa"/>
                  <w:gridSpan w:val="3"/>
                  <w:shd w:val="clear" w:color="auto" w:fill="D9D9D9" w:themeFill="background1" w:themeFillShade="D9"/>
                  <w:noWrap/>
                  <w:vAlign w:val="center"/>
                  <w:hideMark/>
                </w:tcPr>
                <w:p w:rsidR="00EB3BC8" w:rsidRPr="00165651" w:rsidRDefault="00EB3BC8" w:rsidP="0005003A">
                  <w:pPr>
                    <w:framePr w:hSpace="141" w:wrap="around" w:vAnchor="text" w:hAnchor="text" w:y="1"/>
                    <w:spacing w:after="0"/>
                    <w:suppressOverlap/>
                    <w:rPr>
                      <w:rFonts w:eastAsia="Times New Roman" w:cstheme="minorHAnsi"/>
                      <w:b/>
                      <w:bCs/>
                      <w:sz w:val="16"/>
                      <w:szCs w:val="16"/>
                      <w:lang w:eastAsia="es-MX"/>
                    </w:rPr>
                  </w:pPr>
                  <w:r w:rsidRPr="00165651">
                    <w:rPr>
                      <w:rFonts w:eastAsia="Times New Roman" w:cstheme="minorHAnsi"/>
                      <w:b/>
                      <w:bCs/>
                      <w:sz w:val="16"/>
                      <w:szCs w:val="16"/>
                      <w:lang w:eastAsia="es-MX"/>
                    </w:rPr>
                    <w:t>PROYECCIONES DE CARGA ACUMULADO</w:t>
                  </w:r>
                </w:p>
              </w:tc>
            </w:tr>
            <w:tr w:rsidR="00EB3BC8" w:rsidRPr="00165651" w:rsidTr="005E52E0">
              <w:trPr>
                <w:trHeight w:val="283"/>
                <w:jc w:val="center"/>
              </w:trPr>
              <w:tc>
                <w:tcPr>
                  <w:tcW w:w="627" w:type="dxa"/>
                  <w:shd w:val="clear" w:color="auto" w:fill="D9D9D9" w:themeFill="background1" w:themeFillShade="D9"/>
                  <w:noWrap/>
                  <w:vAlign w:val="center"/>
                  <w:hideMark/>
                </w:tcPr>
                <w:p w:rsidR="00EB3BC8" w:rsidRPr="00165651" w:rsidRDefault="00EB3BC8" w:rsidP="0005003A">
                  <w:pPr>
                    <w:framePr w:hSpace="141" w:wrap="around" w:vAnchor="text" w:hAnchor="text" w:y="1"/>
                    <w:spacing w:after="0"/>
                    <w:suppressOverlap/>
                    <w:rPr>
                      <w:rFonts w:eastAsia="Times New Roman" w:cstheme="minorHAnsi"/>
                      <w:b/>
                      <w:sz w:val="16"/>
                      <w:szCs w:val="16"/>
                      <w:lang w:eastAsia="es-MX"/>
                    </w:rPr>
                  </w:pPr>
                  <w:r w:rsidRPr="00165651">
                    <w:rPr>
                      <w:rFonts w:eastAsia="Times New Roman" w:cstheme="minorHAnsi"/>
                      <w:b/>
                      <w:sz w:val="16"/>
                      <w:szCs w:val="16"/>
                      <w:lang w:eastAsia="es-MX"/>
                    </w:rPr>
                    <w:t>MES</w:t>
                  </w:r>
                </w:p>
              </w:tc>
              <w:tc>
                <w:tcPr>
                  <w:tcW w:w="1530" w:type="dxa"/>
                  <w:shd w:val="clear" w:color="auto" w:fill="D9D9D9" w:themeFill="background1" w:themeFillShade="D9"/>
                  <w:noWrap/>
                  <w:vAlign w:val="center"/>
                  <w:hideMark/>
                </w:tcPr>
                <w:p w:rsidR="00EB3BC8" w:rsidRPr="00165651" w:rsidRDefault="00EB3BC8" w:rsidP="0005003A">
                  <w:pPr>
                    <w:framePr w:hSpace="141" w:wrap="around" w:vAnchor="text" w:hAnchor="text" w:y="1"/>
                    <w:spacing w:after="0"/>
                    <w:suppressOverlap/>
                    <w:rPr>
                      <w:rFonts w:eastAsia="Times New Roman" w:cstheme="minorHAnsi"/>
                      <w:b/>
                      <w:sz w:val="16"/>
                      <w:szCs w:val="16"/>
                      <w:lang w:eastAsia="es-MX"/>
                    </w:rPr>
                  </w:pPr>
                  <w:r w:rsidRPr="00165651">
                    <w:rPr>
                      <w:rFonts w:eastAsia="Times New Roman" w:cstheme="minorHAnsi"/>
                      <w:b/>
                      <w:sz w:val="16"/>
                      <w:szCs w:val="16"/>
                      <w:lang w:eastAsia="es-MX"/>
                    </w:rPr>
                    <w:t>PROYECTADO-ACUM</w:t>
                  </w:r>
                </w:p>
              </w:tc>
              <w:tc>
                <w:tcPr>
                  <w:tcW w:w="1666" w:type="dxa"/>
                  <w:shd w:val="clear" w:color="auto" w:fill="D9D9D9" w:themeFill="background1" w:themeFillShade="D9"/>
                  <w:noWrap/>
                  <w:vAlign w:val="center"/>
                  <w:hideMark/>
                </w:tcPr>
                <w:p w:rsidR="00EB3BC8" w:rsidRPr="00165651" w:rsidRDefault="00EB3BC8" w:rsidP="0005003A">
                  <w:pPr>
                    <w:framePr w:hSpace="141" w:wrap="around" w:vAnchor="text" w:hAnchor="text" w:y="1"/>
                    <w:spacing w:after="0"/>
                    <w:suppressOverlap/>
                    <w:rPr>
                      <w:rFonts w:eastAsia="Times New Roman" w:cstheme="minorHAnsi"/>
                      <w:b/>
                      <w:sz w:val="16"/>
                      <w:szCs w:val="16"/>
                      <w:lang w:eastAsia="es-MX"/>
                    </w:rPr>
                  </w:pPr>
                  <w:r w:rsidRPr="00165651">
                    <w:rPr>
                      <w:rFonts w:eastAsia="Times New Roman" w:cstheme="minorHAnsi"/>
                      <w:b/>
                      <w:sz w:val="16"/>
                      <w:szCs w:val="16"/>
                      <w:lang w:eastAsia="es-MX"/>
                    </w:rPr>
                    <w:t>EJECUTADO-ACUM</w:t>
                  </w:r>
                </w:p>
              </w:tc>
            </w:tr>
            <w:tr w:rsidR="00EB3BC8" w:rsidRPr="00165651" w:rsidTr="005E52E0">
              <w:trPr>
                <w:trHeight w:val="283"/>
                <w:jc w:val="center"/>
              </w:trPr>
              <w:tc>
                <w:tcPr>
                  <w:tcW w:w="627" w:type="dxa"/>
                  <w:shd w:val="clear" w:color="auto" w:fill="auto"/>
                  <w:noWrap/>
                  <w:vAlign w:val="center"/>
                  <w:hideMark/>
                </w:tcPr>
                <w:p w:rsidR="00EB3BC8" w:rsidRPr="00165651" w:rsidRDefault="00EB3BC8" w:rsidP="0005003A">
                  <w:pPr>
                    <w:framePr w:hSpace="141" w:wrap="around" w:vAnchor="text" w:hAnchor="text" w:y="1"/>
                    <w:spacing w:after="0"/>
                    <w:ind w:firstLineChars="100" w:firstLine="16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Ene.</w:t>
                  </w:r>
                </w:p>
              </w:tc>
              <w:tc>
                <w:tcPr>
                  <w:tcW w:w="1530"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2,935,645</w:t>
                  </w:r>
                </w:p>
              </w:tc>
              <w:tc>
                <w:tcPr>
                  <w:tcW w:w="1666"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3,951,456</w:t>
                  </w:r>
                </w:p>
              </w:tc>
            </w:tr>
            <w:tr w:rsidR="00EB3BC8" w:rsidRPr="00165651" w:rsidTr="005E52E0">
              <w:trPr>
                <w:trHeight w:val="283"/>
                <w:jc w:val="center"/>
              </w:trPr>
              <w:tc>
                <w:tcPr>
                  <w:tcW w:w="627" w:type="dxa"/>
                  <w:shd w:val="clear" w:color="auto" w:fill="auto"/>
                  <w:noWrap/>
                  <w:vAlign w:val="center"/>
                  <w:hideMark/>
                </w:tcPr>
                <w:p w:rsidR="00EB3BC8" w:rsidRPr="00165651" w:rsidRDefault="00EB3BC8" w:rsidP="0005003A">
                  <w:pPr>
                    <w:framePr w:hSpace="141" w:wrap="around" w:vAnchor="text" w:hAnchor="text" w:y="1"/>
                    <w:spacing w:after="0"/>
                    <w:ind w:firstLineChars="100" w:firstLine="16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Feb.</w:t>
                  </w:r>
                </w:p>
              </w:tc>
              <w:tc>
                <w:tcPr>
                  <w:tcW w:w="1530"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6,290,200</w:t>
                  </w:r>
                </w:p>
              </w:tc>
              <w:tc>
                <w:tcPr>
                  <w:tcW w:w="1666"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7,652,906</w:t>
                  </w:r>
                </w:p>
              </w:tc>
            </w:tr>
            <w:tr w:rsidR="00EB3BC8" w:rsidRPr="00165651" w:rsidTr="005E52E0">
              <w:trPr>
                <w:trHeight w:val="283"/>
                <w:jc w:val="center"/>
              </w:trPr>
              <w:tc>
                <w:tcPr>
                  <w:tcW w:w="627" w:type="dxa"/>
                  <w:shd w:val="clear" w:color="auto" w:fill="auto"/>
                  <w:noWrap/>
                  <w:vAlign w:val="center"/>
                  <w:hideMark/>
                </w:tcPr>
                <w:p w:rsidR="00EB3BC8" w:rsidRPr="00165651" w:rsidRDefault="00EB3BC8" w:rsidP="0005003A">
                  <w:pPr>
                    <w:framePr w:hSpace="141" w:wrap="around" w:vAnchor="text" w:hAnchor="text" w:y="1"/>
                    <w:spacing w:after="0"/>
                    <w:ind w:firstLineChars="100" w:firstLine="16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Mar.</w:t>
                  </w:r>
                </w:p>
              </w:tc>
              <w:tc>
                <w:tcPr>
                  <w:tcW w:w="1530"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9,644,754</w:t>
                  </w:r>
                </w:p>
              </w:tc>
              <w:tc>
                <w:tcPr>
                  <w:tcW w:w="1666"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11,724,889</w:t>
                  </w:r>
                </w:p>
              </w:tc>
            </w:tr>
            <w:tr w:rsidR="00EB3BC8" w:rsidRPr="00165651" w:rsidTr="005E52E0">
              <w:trPr>
                <w:trHeight w:val="283"/>
                <w:jc w:val="center"/>
              </w:trPr>
              <w:tc>
                <w:tcPr>
                  <w:tcW w:w="627" w:type="dxa"/>
                  <w:shd w:val="clear" w:color="auto" w:fill="auto"/>
                  <w:noWrap/>
                  <w:vAlign w:val="center"/>
                  <w:hideMark/>
                </w:tcPr>
                <w:p w:rsidR="00EB3BC8" w:rsidRPr="00165651" w:rsidRDefault="00EB3BC8" w:rsidP="0005003A">
                  <w:pPr>
                    <w:framePr w:hSpace="141" w:wrap="around" w:vAnchor="text" w:hAnchor="text" w:y="1"/>
                    <w:spacing w:after="0"/>
                    <w:ind w:firstLineChars="100" w:firstLine="16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Abr.</w:t>
                  </w:r>
                </w:p>
              </w:tc>
              <w:tc>
                <w:tcPr>
                  <w:tcW w:w="1530"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12,999,308</w:t>
                  </w:r>
                </w:p>
              </w:tc>
              <w:tc>
                <w:tcPr>
                  <w:tcW w:w="1666"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15,301,724</w:t>
                  </w:r>
                </w:p>
              </w:tc>
            </w:tr>
            <w:tr w:rsidR="00EB3BC8" w:rsidRPr="00165651" w:rsidTr="005E52E0">
              <w:trPr>
                <w:trHeight w:val="283"/>
                <w:jc w:val="center"/>
              </w:trPr>
              <w:tc>
                <w:tcPr>
                  <w:tcW w:w="627" w:type="dxa"/>
                  <w:shd w:val="clear" w:color="auto" w:fill="auto"/>
                  <w:noWrap/>
                  <w:vAlign w:val="center"/>
                  <w:hideMark/>
                </w:tcPr>
                <w:p w:rsidR="00EB3BC8" w:rsidRPr="00165651" w:rsidRDefault="00EB3BC8" w:rsidP="0005003A">
                  <w:pPr>
                    <w:framePr w:hSpace="141" w:wrap="around" w:vAnchor="text" w:hAnchor="text" w:y="1"/>
                    <w:spacing w:after="0"/>
                    <w:ind w:firstLineChars="100" w:firstLine="16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May.</w:t>
                  </w:r>
                </w:p>
              </w:tc>
              <w:tc>
                <w:tcPr>
                  <w:tcW w:w="1530"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16,353,863</w:t>
                  </w:r>
                </w:p>
              </w:tc>
              <w:tc>
                <w:tcPr>
                  <w:tcW w:w="1666"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18,982,009</w:t>
                  </w:r>
                </w:p>
              </w:tc>
            </w:tr>
            <w:tr w:rsidR="00EB3BC8" w:rsidRPr="00165651" w:rsidTr="005E52E0">
              <w:trPr>
                <w:trHeight w:val="283"/>
                <w:jc w:val="center"/>
              </w:trPr>
              <w:tc>
                <w:tcPr>
                  <w:tcW w:w="627" w:type="dxa"/>
                  <w:shd w:val="clear" w:color="auto" w:fill="auto"/>
                  <w:noWrap/>
                  <w:vAlign w:val="center"/>
                  <w:hideMark/>
                </w:tcPr>
                <w:p w:rsidR="00EB3BC8" w:rsidRPr="00165651" w:rsidRDefault="00EB3BC8" w:rsidP="0005003A">
                  <w:pPr>
                    <w:framePr w:hSpace="141" w:wrap="around" w:vAnchor="text" w:hAnchor="text" w:y="1"/>
                    <w:spacing w:after="0"/>
                    <w:ind w:firstLineChars="100" w:firstLine="16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Jun.</w:t>
                  </w:r>
                </w:p>
              </w:tc>
              <w:tc>
                <w:tcPr>
                  <w:tcW w:w="1530"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20,120,540</w:t>
                  </w:r>
                </w:p>
              </w:tc>
              <w:tc>
                <w:tcPr>
                  <w:tcW w:w="1666" w:type="dxa"/>
                  <w:shd w:val="clear" w:color="auto" w:fill="auto"/>
                  <w:noWrap/>
                  <w:vAlign w:val="center"/>
                  <w:hideMark/>
                </w:tcPr>
                <w:p w:rsidR="00EB3BC8" w:rsidRPr="00165651" w:rsidRDefault="00EB3BC8" w:rsidP="0005003A">
                  <w:pPr>
                    <w:framePr w:hSpace="141" w:wrap="around" w:vAnchor="text" w:hAnchor="text" w:y="1"/>
                    <w:spacing w:after="0"/>
                    <w:suppressOverlap/>
                    <w:rPr>
                      <w:rFonts w:eastAsia="Times New Roman" w:cstheme="minorHAnsi"/>
                      <w:color w:val="000000"/>
                      <w:sz w:val="16"/>
                      <w:szCs w:val="16"/>
                      <w:lang w:eastAsia="es-MX"/>
                    </w:rPr>
                  </w:pPr>
                  <w:r w:rsidRPr="00165651">
                    <w:rPr>
                      <w:rFonts w:eastAsia="Times New Roman" w:cstheme="minorHAnsi"/>
                      <w:color w:val="000000"/>
                      <w:sz w:val="16"/>
                      <w:szCs w:val="16"/>
                      <w:lang w:eastAsia="es-MX"/>
                    </w:rPr>
                    <w:t>22,263,160</w:t>
                  </w:r>
                </w:p>
              </w:tc>
            </w:tr>
          </w:tbl>
          <w:p w:rsidR="00EB3BC8" w:rsidRPr="00165651" w:rsidRDefault="00EB3BC8" w:rsidP="005E52E0">
            <w:pPr>
              <w:spacing w:before="240" w:after="120" w:line="276" w:lineRule="auto"/>
              <w:jc w:val="both"/>
              <w:rPr>
                <w:rFonts w:eastAsia="Times New Roman" w:cstheme="minorHAnsi"/>
                <w:sz w:val="18"/>
                <w:szCs w:val="18"/>
                <w:lang w:val="es-CO" w:eastAsia="es-CO"/>
              </w:rPr>
            </w:pPr>
            <w:r w:rsidRPr="00165651">
              <w:rPr>
                <w:rFonts w:eastAsia="Times New Roman" w:cstheme="minorHAnsi"/>
                <w:sz w:val="18"/>
                <w:szCs w:val="18"/>
                <w:lang w:eastAsia="es-CO"/>
              </w:rPr>
              <w:t>A</w:t>
            </w:r>
            <w:r w:rsidRPr="00165651">
              <w:rPr>
                <w:rFonts w:eastAsia="Times New Roman" w:cstheme="minorHAnsi"/>
                <w:sz w:val="18"/>
                <w:szCs w:val="18"/>
                <w:lang w:val="es-CO" w:eastAsia="es-CO"/>
              </w:rPr>
              <w:t xml:space="preserve"> pesar de los buenos resultados obtenidos en el primer semestre del 2015 y los ajustes realizados por Fenoco al ciclo operativo de cada tren; la dificultad de operación en relación a la restricción nocturna en los municipios de Bosconia, como en la Zona Bananera, puede llegar a ser un problema para el cumplimiento de la meta de carga para el presente año, ya que antes de la restricción de Bosconia del 14 de febrero de 2015 Fenoco movilizaba 21 trenes/día, luego de la restricción Fenoco movilizo en promedio 19 trenes/día, pero después de la restricción de Zona Bananera del 8 de junio de 2015 Fenoco paso a movilizar en promedio 14 trenes/día.</w:t>
            </w:r>
          </w:p>
          <w:p w:rsidR="00EB3BC8" w:rsidRPr="00165651" w:rsidRDefault="00EB3BC8" w:rsidP="005E52E0">
            <w:pPr>
              <w:spacing w:before="120" w:line="276" w:lineRule="auto"/>
              <w:jc w:val="center"/>
              <w:rPr>
                <w:rFonts w:eastAsia="Times New Roman" w:cstheme="minorHAnsi"/>
                <w:color w:val="000000" w:themeColor="text1"/>
                <w:sz w:val="18"/>
                <w:szCs w:val="18"/>
                <w:lang w:val="es-CO" w:eastAsia="es-CO"/>
              </w:rPr>
            </w:pPr>
            <w:r w:rsidRPr="00165651">
              <w:rPr>
                <w:rFonts w:eastAsia="Times New Roman" w:cstheme="minorHAnsi"/>
                <w:noProof/>
                <w:sz w:val="18"/>
                <w:szCs w:val="18"/>
                <w:lang w:eastAsia="es-MX"/>
              </w:rPr>
              <w:lastRenderedPageBreak/>
              <w:t xml:space="preserve"> </w:t>
            </w:r>
            <w:r w:rsidRPr="00165651">
              <w:rPr>
                <w:rFonts w:eastAsia="Times New Roman" w:cstheme="minorHAnsi"/>
                <w:noProof/>
                <w:sz w:val="18"/>
                <w:szCs w:val="18"/>
              </w:rPr>
              <w:drawing>
                <wp:inline distT="0" distB="0" distL="0" distR="0" wp14:anchorId="008EF274" wp14:editId="06F80BD5">
                  <wp:extent cx="3857625" cy="2514600"/>
                  <wp:effectExtent l="0" t="0" r="0" b="0"/>
                  <wp:docPr id="101" name="Gráfico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rsidR="00EB3BC8" w:rsidRPr="00165651" w:rsidRDefault="00EB3BC8" w:rsidP="005E52E0">
            <w:pPr>
              <w:autoSpaceDE w:val="0"/>
              <w:autoSpaceDN w:val="0"/>
              <w:adjustRightInd w:val="0"/>
              <w:spacing w:before="120" w:line="276" w:lineRule="auto"/>
              <w:jc w:val="center"/>
              <w:rPr>
                <w:rFonts w:eastAsia="Times New Roman" w:cstheme="minorHAnsi"/>
                <w:sz w:val="18"/>
                <w:szCs w:val="18"/>
                <w:lang w:val="es" w:eastAsia="es-CO"/>
              </w:rPr>
            </w:pPr>
            <w:r w:rsidRPr="00165651">
              <w:rPr>
                <w:rFonts w:eastAsia="Times New Roman" w:cstheme="minorHAnsi"/>
                <w:noProof/>
                <w:sz w:val="18"/>
                <w:szCs w:val="18"/>
              </w:rPr>
              <w:drawing>
                <wp:inline distT="0" distB="0" distL="0" distR="0" wp14:anchorId="74EAACFD" wp14:editId="69FB5D9B">
                  <wp:extent cx="4295775" cy="3191159"/>
                  <wp:effectExtent l="0" t="0" r="0" b="0"/>
                  <wp:docPr id="102" name="Gráfico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rsidR="00EB3BC8" w:rsidRPr="00165651" w:rsidRDefault="00EB3BC8" w:rsidP="005E52E0">
            <w:pPr>
              <w:autoSpaceDE w:val="0"/>
              <w:autoSpaceDN w:val="0"/>
              <w:adjustRightInd w:val="0"/>
              <w:spacing w:before="120" w:line="276" w:lineRule="auto"/>
              <w:jc w:val="both"/>
              <w:rPr>
                <w:rFonts w:eastAsia="Times New Roman" w:cstheme="minorHAnsi"/>
                <w:sz w:val="18"/>
                <w:szCs w:val="18"/>
                <w:lang w:val="es" w:eastAsia="es-CO"/>
              </w:rPr>
            </w:pPr>
          </w:p>
          <w:p w:rsidR="00EB3BC8" w:rsidRPr="00165651" w:rsidRDefault="00EB3BC8" w:rsidP="005E52E0">
            <w:pPr>
              <w:autoSpaceDE w:val="0"/>
              <w:autoSpaceDN w:val="0"/>
              <w:adjustRightInd w:val="0"/>
              <w:spacing w:before="120" w:line="276" w:lineRule="auto"/>
              <w:jc w:val="both"/>
              <w:rPr>
                <w:rFonts w:eastAsia="Times New Roman" w:cstheme="minorHAnsi"/>
                <w:color w:val="000000" w:themeColor="text1"/>
                <w:sz w:val="18"/>
                <w:szCs w:val="18"/>
                <w:lang w:val="es-CO" w:eastAsia="es-CO"/>
              </w:rPr>
            </w:pPr>
            <w:r w:rsidRPr="00165651">
              <w:rPr>
                <w:rFonts w:eastAsia="Times New Roman" w:cstheme="minorHAnsi"/>
                <w:sz w:val="18"/>
                <w:szCs w:val="18"/>
                <w:lang w:val="es" w:eastAsia="es-CO"/>
              </w:rPr>
              <w:t>La grafica anterior, muestra la disfunción que se ha tenido en la carga movilizada en el segundo trimestre de 2015, a razón de la</w:t>
            </w:r>
            <w:r w:rsidRPr="00165651">
              <w:rPr>
                <w:rFonts w:eastAsia="Times New Roman" w:cstheme="minorHAnsi"/>
                <w:b/>
                <w:bCs/>
                <w:color w:val="000000" w:themeColor="text1"/>
                <w:sz w:val="18"/>
                <w:szCs w:val="18"/>
                <w:lang w:val="es-CO" w:eastAsia="es-CO"/>
              </w:rPr>
              <w:t xml:space="preserve"> Acción de Tutela No. 4520563 de 2015, </w:t>
            </w:r>
            <w:r w:rsidRPr="00165651">
              <w:rPr>
                <w:rFonts w:eastAsia="Times New Roman" w:cstheme="minorHAnsi"/>
                <w:color w:val="000000" w:themeColor="text1"/>
                <w:sz w:val="18"/>
                <w:szCs w:val="18"/>
                <w:lang w:val="es-CO" w:eastAsia="es-CO"/>
              </w:rPr>
              <w:t>la cual suspendió por tres (3) meses la construcción de la segunda línea en todas las áreas de influencia de la vía férrea y se suspendió igualmente por tres (3) meses el transporte férreo de carbón entre las 22:30 y las 04:30 de lunes a domingo en los municipios de Algarrobo, Zona Bananera y Fundación.</w:t>
            </w:r>
          </w:p>
          <w:p w:rsidR="00EB3BC8" w:rsidRPr="00165651" w:rsidRDefault="00EB3BC8" w:rsidP="005E52E0">
            <w:pPr>
              <w:autoSpaceDE w:val="0"/>
              <w:autoSpaceDN w:val="0"/>
              <w:adjustRightInd w:val="0"/>
              <w:spacing w:line="276" w:lineRule="auto"/>
              <w:jc w:val="both"/>
              <w:rPr>
                <w:rFonts w:eastAsia="Times New Roman" w:cstheme="minorHAnsi"/>
                <w:sz w:val="18"/>
                <w:szCs w:val="18"/>
                <w:lang w:val="es" w:eastAsia="es-CO"/>
              </w:rPr>
            </w:pPr>
          </w:p>
          <w:p w:rsidR="00EB3BC8" w:rsidRPr="00165651" w:rsidRDefault="00EB3BC8" w:rsidP="005E52E0">
            <w:pPr>
              <w:autoSpaceDE w:val="0"/>
              <w:autoSpaceDN w:val="0"/>
              <w:adjustRightInd w:val="0"/>
              <w:spacing w:line="276" w:lineRule="auto"/>
              <w:rPr>
                <w:rFonts w:eastAsia="Times New Roman" w:cstheme="minorHAnsi"/>
                <w:b/>
                <w:bCs/>
                <w:color w:val="000000"/>
                <w:sz w:val="18"/>
                <w:szCs w:val="18"/>
                <w:lang w:val="es-CO" w:eastAsia="es-CO"/>
              </w:rPr>
            </w:pPr>
          </w:p>
          <w:p w:rsidR="00EB3BC8" w:rsidRPr="00165651" w:rsidRDefault="00EB3BC8" w:rsidP="005E52E0">
            <w:pPr>
              <w:autoSpaceDE w:val="0"/>
              <w:autoSpaceDN w:val="0"/>
              <w:adjustRightInd w:val="0"/>
              <w:spacing w:line="276" w:lineRule="auto"/>
              <w:rPr>
                <w:rFonts w:eastAsia="Times New Roman" w:cstheme="minorHAnsi"/>
                <w:b/>
                <w:bCs/>
                <w:color w:val="000000"/>
                <w:sz w:val="18"/>
                <w:szCs w:val="18"/>
                <w:lang w:val="es-CO" w:eastAsia="es-CO"/>
              </w:rPr>
            </w:pPr>
            <w:r w:rsidRPr="00165651">
              <w:rPr>
                <w:rFonts w:eastAsia="Times New Roman" w:cstheme="minorHAnsi"/>
                <w:b/>
                <w:bCs/>
                <w:color w:val="000000"/>
                <w:sz w:val="18"/>
                <w:szCs w:val="18"/>
                <w:lang w:val="es-CO" w:eastAsia="es-CO"/>
              </w:rPr>
              <w:t>Impacto en Movilización de Carga</w:t>
            </w:r>
          </w:p>
          <w:p w:rsidR="00EB3BC8" w:rsidRPr="00165651" w:rsidRDefault="00EB3BC8" w:rsidP="005E52E0">
            <w:pPr>
              <w:autoSpaceDE w:val="0"/>
              <w:autoSpaceDN w:val="0"/>
              <w:adjustRightInd w:val="0"/>
              <w:spacing w:line="276" w:lineRule="auto"/>
              <w:rPr>
                <w:rFonts w:eastAsia="Times New Roman" w:cstheme="minorHAnsi"/>
                <w:b/>
                <w:bCs/>
                <w:color w:val="000000"/>
                <w:sz w:val="18"/>
                <w:szCs w:val="18"/>
                <w:lang w:val="es-CO" w:eastAsia="es-CO"/>
              </w:rPr>
            </w:pPr>
          </w:p>
          <w:tbl>
            <w:tblPr>
              <w:tblStyle w:val="Tablaconcuadrcula22"/>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EB3BC8" w:rsidRPr="00165651" w:rsidTr="005E52E0">
              <w:trPr>
                <w:trHeight w:val="373"/>
              </w:trPr>
              <w:tc>
                <w:tcPr>
                  <w:tcW w:w="7083" w:type="dxa"/>
                  <w:vMerge w:val="restart"/>
                </w:tcPr>
                <w:p w:rsidR="00EB3BC8" w:rsidRPr="00165651" w:rsidRDefault="00EB3BC8" w:rsidP="0005003A">
                  <w:pPr>
                    <w:framePr w:hSpace="141" w:wrap="around" w:vAnchor="text" w:hAnchor="text" w:y="1"/>
                    <w:autoSpaceDE w:val="0"/>
                    <w:autoSpaceDN w:val="0"/>
                    <w:adjustRightInd w:val="0"/>
                    <w:spacing w:line="276" w:lineRule="auto"/>
                    <w:suppressOverlap/>
                    <w:rPr>
                      <w:rFonts w:eastAsia="Times New Roman" w:cstheme="minorHAnsi"/>
                      <w:bCs/>
                      <w:color w:val="000000"/>
                      <w:sz w:val="18"/>
                      <w:szCs w:val="18"/>
                      <w:lang w:eastAsia="es-CO"/>
                    </w:rPr>
                  </w:pPr>
                  <w:r w:rsidRPr="00165651">
                    <w:rPr>
                      <w:rFonts w:eastAsia="Times New Roman" w:cstheme="minorHAnsi"/>
                      <w:b/>
                      <w:bCs/>
                      <w:color w:val="000000"/>
                      <w:sz w:val="18"/>
                      <w:szCs w:val="18"/>
                      <w:lang w:val="es-CO" w:eastAsia="es-CO"/>
                    </w:rPr>
                    <w:t>Disminución Capacidad Restricción Bosconia</w:t>
                  </w:r>
                  <w:r w:rsidRPr="00165651">
                    <w:rPr>
                      <w:rFonts w:eastAsia="Times New Roman" w:cstheme="minorHAnsi"/>
                      <w:bCs/>
                      <w:color w:val="000000"/>
                      <w:sz w:val="18"/>
                      <w:szCs w:val="18"/>
                      <w:lang w:val="es-CO" w:eastAsia="es-CO"/>
                    </w:rPr>
                    <w:t xml:space="preserve">: </w:t>
                  </w:r>
                </w:p>
                <w:p w:rsidR="00EB3BC8" w:rsidRPr="00165651" w:rsidRDefault="00EB3BC8" w:rsidP="0005003A">
                  <w:pPr>
                    <w:framePr w:hSpace="141" w:wrap="around" w:vAnchor="text" w:hAnchor="text" w:y="1"/>
                    <w:tabs>
                      <w:tab w:val="left" w:pos="2297"/>
                    </w:tabs>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bCs/>
                      <w:color w:val="000000"/>
                      <w:sz w:val="18"/>
                      <w:szCs w:val="18"/>
                      <w:lang w:val="es-CO" w:eastAsia="es-CO"/>
                    </w:rPr>
                    <w:t xml:space="preserve">Promedio trenes movilizados antes restricción: </w:t>
                  </w:r>
                  <w:r w:rsidRPr="00165651">
                    <w:rPr>
                      <w:rFonts w:eastAsia="Times New Roman" w:cstheme="minorHAnsi"/>
                      <w:b/>
                      <w:bCs/>
                      <w:color w:val="000000"/>
                      <w:sz w:val="18"/>
                      <w:szCs w:val="18"/>
                      <w:lang w:val="es-CO" w:eastAsia="es-CO"/>
                    </w:rPr>
                    <w:t>21 trenes/día</w:t>
                  </w:r>
                </w:p>
                <w:p w:rsidR="00EB3BC8" w:rsidRPr="00165651" w:rsidRDefault="00EB3BC8" w:rsidP="0005003A">
                  <w:pPr>
                    <w:framePr w:hSpace="141" w:wrap="around" w:vAnchor="text" w:hAnchor="text" w:y="1"/>
                    <w:tabs>
                      <w:tab w:val="left" w:pos="2297"/>
                    </w:tabs>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bCs/>
                      <w:color w:val="000000"/>
                      <w:sz w:val="18"/>
                      <w:szCs w:val="18"/>
                      <w:lang w:val="es-CO" w:eastAsia="es-CO"/>
                    </w:rPr>
                    <w:t xml:space="preserve">Promedio trenes movilizados después restricción: </w:t>
                  </w:r>
                  <w:r w:rsidRPr="00165651">
                    <w:rPr>
                      <w:rFonts w:eastAsia="Times New Roman" w:cstheme="minorHAnsi"/>
                      <w:b/>
                      <w:bCs/>
                      <w:color w:val="000000"/>
                      <w:sz w:val="18"/>
                      <w:szCs w:val="18"/>
                      <w:lang w:val="es-CO" w:eastAsia="es-CO"/>
                    </w:rPr>
                    <w:t>19 trenes/día</w:t>
                  </w:r>
                </w:p>
                <w:p w:rsidR="00EB3BC8" w:rsidRPr="00165651" w:rsidRDefault="00EB3BC8" w:rsidP="0005003A">
                  <w:pPr>
                    <w:framePr w:hSpace="141" w:wrap="around" w:vAnchor="text" w:hAnchor="text" w:y="1"/>
                    <w:autoSpaceDE w:val="0"/>
                    <w:autoSpaceDN w:val="0"/>
                    <w:adjustRightInd w:val="0"/>
                    <w:spacing w:before="120" w:line="276" w:lineRule="auto"/>
                    <w:suppressOverlap/>
                    <w:rPr>
                      <w:rFonts w:eastAsia="Times New Roman" w:cstheme="minorHAnsi"/>
                      <w:b/>
                      <w:bCs/>
                      <w:color w:val="000000"/>
                      <w:sz w:val="18"/>
                      <w:szCs w:val="18"/>
                      <w:lang w:eastAsia="es-CO"/>
                    </w:rPr>
                  </w:pPr>
                  <w:r w:rsidRPr="00165651">
                    <w:rPr>
                      <w:rFonts w:eastAsia="Times New Roman" w:cstheme="minorHAnsi"/>
                      <w:b/>
                      <w:bCs/>
                      <w:color w:val="000000"/>
                      <w:sz w:val="18"/>
                      <w:szCs w:val="18"/>
                      <w:lang w:val="es-CO" w:eastAsia="es-CO"/>
                    </w:rPr>
                    <w:lastRenderedPageBreak/>
                    <w:t>Disminución Capacidad Restricción</w:t>
                  </w:r>
                </w:p>
                <w:p w:rsidR="00EB3BC8" w:rsidRPr="00165651" w:rsidRDefault="00EB3BC8" w:rsidP="0005003A">
                  <w:pPr>
                    <w:framePr w:hSpace="141" w:wrap="around" w:vAnchor="text" w:hAnchor="text" w:y="1"/>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bCs/>
                      <w:color w:val="000000"/>
                      <w:sz w:val="18"/>
                      <w:szCs w:val="18"/>
                      <w:lang w:val="es-CO" w:eastAsia="es-CO"/>
                    </w:rPr>
                    <w:t>Bosconia, Algarrobo, Fundación y Zona Bananera</w:t>
                  </w:r>
                </w:p>
                <w:p w:rsidR="00EB3BC8" w:rsidRPr="00165651" w:rsidRDefault="00EB3BC8" w:rsidP="0005003A">
                  <w:pPr>
                    <w:framePr w:hSpace="141" w:wrap="around" w:vAnchor="text" w:hAnchor="text" w:y="1"/>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bCs/>
                      <w:color w:val="000000"/>
                      <w:sz w:val="18"/>
                      <w:szCs w:val="18"/>
                      <w:lang w:val="es-CO" w:eastAsia="es-CO"/>
                    </w:rPr>
                    <w:t xml:space="preserve"> Promedio trenes movilizados antes restricción: </w:t>
                  </w:r>
                  <w:r w:rsidRPr="00165651">
                    <w:rPr>
                      <w:rFonts w:eastAsia="Times New Roman" w:cstheme="minorHAnsi"/>
                      <w:b/>
                      <w:bCs/>
                      <w:color w:val="000000"/>
                      <w:sz w:val="18"/>
                      <w:szCs w:val="18"/>
                      <w:lang w:val="es-CO" w:eastAsia="es-CO"/>
                    </w:rPr>
                    <w:t>19 trenes/día</w:t>
                  </w:r>
                </w:p>
                <w:p w:rsidR="00EB3BC8" w:rsidRPr="00165651" w:rsidRDefault="00EB3BC8" w:rsidP="0005003A">
                  <w:pPr>
                    <w:framePr w:hSpace="141" w:wrap="around" w:vAnchor="text" w:hAnchor="text" w:y="1"/>
                    <w:tabs>
                      <w:tab w:val="left" w:pos="2297"/>
                    </w:tabs>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bCs/>
                      <w:color w:val="000000"/>
                      <w:sz w:val="18"/>
                      <w:szCs w:val="18"/>
                      <w:lang w:val="es-CO" w:eastAsia="es-CO"/>
                    </w:rPr>
                    <w:t xml:space="preserve">Promedio trenes movilizados después restricción: </w:t>
                  </w:r>
                  <w:r w:rsidRPr="00165651">
                    <w:rPr>
                      <w:rFonts w:eastAsia="Times New Roman" w:cstheme="minorHAnsi"/>
                      <w:b/>
                      <w:bCs/>
                      <w:color w:val="000000"/>
                      <w:sz w:val="18"/>
                      <w:szCs w:val="18"/>
                      <w:lang w:val="es-CO" w:eastAsia="es-CO"/>
                    </w:rPr>
                    <w:t>15 trenes/día</w:t>
                  </w:r>
                </w:p>
                <w:p w:rsidR="00EB3BC8" w:rsidRPr="00165651" w:rsidRDefault="00EB3BC8" w:rsidP="0005003A">
                  <w:pPr>
                    <w:framePr w:hSpace="141" w:wrap="around" w:vAnchor="text" w:hAnchor="text" w:y="1"/>
                    <w:tabs>
                      <w:tab w:val="left" w:pos="2297"/>
                    </w:tabs>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bCs/>
                      <w:color w:val="000000"/>
                      <w:sz w:val="18"/>
                      <w:szCs w:val="18"/>
                      <w:lang w:val="es-CO" w:eastAsia="es-CO"/>
                    </w:rPr>
                    <w:t xml:space="preserve">Proyección carga 2015 - Sin restricción.: </w:t>
                  </w:r>
                  <w:r w:rsidRPr="00165651">
                    <w:rPr>
                      <w:rFonts w:eastAsia="Times New Roman" w:cstheme="minorHAnsi"/>
                      <w:b/>
                      <w:bCs/>
                      <w:color w:val="000000"/>
                      <w:sz w:val="18"/>
                      <w:szCs w:val="18"/>
                      <w:lang w:eastAsia="es-CO"/>
                    </w:rPr>
                    <w:t>48.081.</w:t>
                  </w:r>
                  <w:r w:rsidRPr="00165651">
                    <w:rPr>
                      <w:rFonts w:eastAsia="Times New Roman" w:cstheme="minorHAnsi"/>
                      <w:b/>
                      <w:bCs/>
                      <w:color w:val="000000"/>
                      <w:sz w:val="18"/>
                      <w:szCs w:val="18"/>
                      <w:lang w:val="es-CO" w:eastAsia="es-CO"/>
                    </w:rPr>
                    <w:t>0</w:t>
                  </w:r>
                  <w:r w:rsidRPr="00165651">
                    <w:rPr>
                      <w:rFonts w:eastAsia="Times New Roman" w:cstheme="minorHAnsi"/>
                      <w:b/>
                      <w:bCs/>
                      <w:color w:val="000000"/>
                      <w:sz w:val="18"/>
                      <w:szCs w:val="18"/>
                      <w:lang w:eastAsia="es-CO"/>
                    </w:rPr>
                    <w:t xml:space="preserve">76 Ton </w:t>
                  </w:r>
                </w:p>
                <w:p w:rsidR="00EB3BC8" w:rsidRPr="00165651" w:rsidRDefault="00EB3BC8" w:rsidP="0005003A">
                  <w:pPr>
                    <w:framePr w:hSpace="141" w:wrap="around" w:vAnchor="text" w:hAnchor="text" w:y="1"/>
                    <w:tabs>
                      <w:tab w:val="left" w:pos="2297"/>
                    </w:tabs>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noProof/>
                      <w:sz w:val="18"/>
                      <w:szCs w:val="18"/>
                    </w:rPr>
                    <mc:AlternateContent>
                      <mc:Choice Requires="wps">
                        <w:drawing>
                          <wp:anchor distT="0" distB="0" distL="114300" distR="114300" simplePos="0" relativeHeight="251710464" behindDoc="0" locked="0" layoutInCell="1" allowOverlap="1" wp14:anchorId="6B42F6EC" wp14:editId="03079FFE">
                            <wp:simplePos x="0" y="0"/>
                            <wp:positionH relativeFrom="column">
                              <wp:posOffset>3287395</wp:posOffset>
                            </wp:positionH>
                            <wp:positionV relativeFrom="paragraph">
                              <wp:posOffset>15875</wp:posOffset>
                            </wp:positionV>
                            <wp:extent cx="180975" cy="228600"/>
                            <wp:effectExtent l="57150" t="38100" r="28575" b="76200"/>
                            <wp:wrapNone/>
                            <wp:docPr id="485" name="Flecha abajo 38"/>
                            <wp:cNvGraphicFramePr/>
                            <a:graphic xmlns:a="http://schemas.openxmlformats.org/drawingml/2006/main">
                              <a:graphicData uri="http://schemas.microsoft.com/office/word/2010/wordprocessingShape">
                                <wps:wsp>
                                  <wps:cNvSpPr/>
                                  <wps:spPr>
                                    <a:xfrm>
                                      <a:off x="0" y="0"/>
                                      <a:ext cx="180975" cy="228600"/>
                                    </a:xfrm>
                                    <a:prstGeom prst="downArrow">
                                      <a:avLst/>
                                    </a:prstGeom>
                                    <a:solidFill>
                                      <a:srgbClr val="FF0000"/>
                                    </a:solidFill>
                                    <a:ln>
                                      <a:noFill/>
                                    </a:ln>
                                    <a:effectLst>
                                      <a:outerShdw blurRad="57150" dist="19050" dir="5400000" algn="ctr" rotWithShape="0">
                                        <a:srgbClr val="000000">
                                          <a:alpha val="63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w:pict>
                          <v:shapetype w14:anchorId="4DE8AD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38" o:spid="_x0000_s1026" type="#_x0000_t67" style="position:absolute;margin-left:258.85pt;margin-top:1.25pt;width:14.25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" adj="13050" fillcolor="red" stroked="f">
                            <v:shadow on="t" color="black" opacity="41287f" offset="0,1.5pt"/>
                          </v:shape>
                        </w:pict>
                      </mc:Fallback>
                    </mc:AlternateContent>
                  </w:r>
                  <w:r w:rsidRPr="00165651">
                    <w:rPr>
                      <w:rFonts w:eastAsia="Times New Roman" w:cstheme="minorHAnsi"/>
                      <w:bCs/>
                      <w:color w:val="000000"/>
                      <w:sz w:val="18"/>
                      <w:szCs w:val="18"/>
                      <w:lang w:val="es-CO" w:eastAsia="es-CO"/>
                    </w:rPr>
                    <w:t xml:space="preserve">Proyección carga 2015 – Restricción. Bosconia: </w:t>
                  </w:r>
                  <w:r w:rsidRPr="00165651">
                    <w:rPr>
                      <w:rFonts w:eastAsia="Times New Roman" w:cstheme="minorHAnsi"/>
                      <w:b/>
                      <w:bCs/>
                      <w:color w:val="000000"/>
                      <w:sz w:val="18"/>
                      <w:szCs w:val="18"/>
                      <w:lang w:val="es-CO" w:eastAsia="es-CO"/>
                    </w:rPr>
                    <w:t>43.191.921 Ton. - 10,17%</w:t>
                  </w:r>
                </w:p>
                <w:p w:rsidR="00EB3BC8" w:rsidRPr="00165651" w:rsidRDefault="00EB3BC8" w:rsidP="0005003A">
                  <w:pPr>
                    <w:framePr w:hSpace="141" w:wrap="around" w:vAnchor="text" w:hAnchor="text" w:y="1"/>
                    <w:tabs>
                      <w:tab w:val="left" w:pos="2297"/>
                    </w:tabs>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noProof/>
                      <w:sz w:val="18"/>
                      <w:szCs w:val="18"/>
                    </w:rPr>
                    <mc:AlternateContent>
                      <mc:Choice Requires="wps">
                        <w:drawing>
                          <wp:anchor distT="0" distB="0" distL="114300" distR="114300" simplePos="0" relativeHeight="251708416" behindDoc="0" locked="0" layoutInCell="1" allowOverlap="1" wp14:anchorId="5691883F" wp14:editId="2824C2D7">
                            <wp:simplePos x="0" y="0"/>
                            <wp:positionH relativeFrom="column">
                              <wp:posOffset>3344545</wp:posOffset>
                            </wp:positionH>
                            <wp:positionV relativeFrom="paragraph">
                              <wp:posOffset>90170</wp:posOffset>
                            </wp:positionV>
                            <wp:extent cx="180975" cy="228600"/>
                            <wp:effectExtent l="57150" t="38100" r="28575" b="76200"/>
                            <wp:wrapNone/>
                            <wp:docPr id="487" name="Flecha abajo 38"/>
                            <wp:cNvGraphicFramePr/>
                            <a:graphic xmlns:a="http://schemas.openxmlformats.org/drawingml/2006/main">
                              <a:graphicData uri="http://schemas.microsoft.com/office/word/2010/wordprocessingShape">
                                <wps:wsp>
                                  <wps:cNvSpPr/>
                                  <wps:spPr>
                                    <a:xfrm>
                                      <a:off x="0" y="0"/>
                                      <a:ext cx="180975" cy="228600"/>
                                    </a:xfrm>
                                    <a:prstGeom prst="downArrow">
                                      <a:avLst/>
                                    </a:prstGeom>
                                    <a:solidFill>
                                      <a:srgbClr val="FF0000"/>
                                    </a:solidFill>
                                    <a:ln>
                                      <a:noFill/>
                                    </a:ln>
                                    <a:effectLst>
                                      <a:outerShdw blurRad="57150" dist="19050" dir="5400000" algn="ctr" rotWithShape="0">
                                        <a:srgbClr val="000000">
                                          <a:alpha val="63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77CCF9A" id="Flecha abajo 38" o:spid="_x0000_s1026" type="#_x0000_t67" style="position:absolute;margin-left:263.35pt;margin-top:7.1pt;width:14.25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" adj="13050" fillcolor="red" stroked="f">
                            <v:shadow on="t" color="black" opacity="41287f" offset="0,1.5pt"/>
                          </v:shape>
                        </w:pict>
                      </mc:Fallback>
                    </mc:AlternateContent>
                  </w:r>
                  <w:r w:rsidRPr="00165651">
                    <w:rPr>
                      <w:rFonts w:eastAsia="Times New Roman" w:cstheme="minorHAnsi"/>
                      <w:bCs/>
                      <w:color w:val="000000"/>
                      <w:sz w:val="18"/>
                      <w:szCs w:val="18"/>
                      <w:lang w:val="es-CO" w:eastAsia="es-CO"/>
                    </w:rPr>
                    <w:t xml:space="preserve">Proyección carga 2015 - Todas las Restricciones.: </w:t>
                  </w:r>
                  <w:r w:rsidRPr="00165651">
                    <w:rPr>
                      <w:rFonts w:eastAsia="Times New Roman" w:cstheme="minorHAnsi"/>
                      <w:b/>
                      <w:bCs/>
                      <w:color w:val="000000"/>
                      <w:sz w:val="18"/>
                      <w:szCs w:val="18"/>
                      <w:lang w:val="es-CO" w:eastAsia="es-CO"/>
                    </w:rPr>
                    <w:t>39.561.160 Ton   -   8,41%</w:t>
                  </w:r>
                </w:p>
                <w:p w:rsidR="00EB3BC8" w:rsidRPr="00165651" w:rsidRDefault="00EB3BC8" w:rsidP="0005003A">
                  <w:pPr>
                    <w:framePr w:hSpace="141" w:wrap="around" w:vAnchor="text" w:hAnchor="text" w:y="1"/>
                    <w:tabs>
                      <w:tab w:val="left" w:pos="2297"/>
                    </w:tabs>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noProof/>
                      <w:sz w:val="18"/>
                      <w:szCs w:val="18"/>
                    </w:rPr>
                    <mc:AlternateContent>
                      <mc:Choice Requires="wps">
                        <w:drawing>
                          <wp:anchor distT="0" distB="0" distL="114300" distR="114300" simplePos="0" relativeHeight="251709440" behindDoc="0" locked="0" layoutInCell="1" allowOverlap="1" wp14:anchorId="25537671" wp14:editId="0DF399B5">
                            <wp:simplePos x="0" y="0"/>
                            <wp:positionH relativeFrom="column">
                              <wp:posOffset>2620645</wp:posOffset>
                            </wp:positionH>
                            <wp:positionV relativeFrom="paragraph">
                              <wp:posOffset>24130</wp:posOffset>
                            </wp:positionV>
                            <wp:extent cx="180975" cy="228600"/>
                            <wp:effectExtent l="57150" t="38100" r="28575" b="76200"/>
                            <wp:wrapNone/>
                            <wp:docPr id="488" name="Flecha abajo 38"/>
                            <wp:cNvGraphicFramePr/>
                            <a:graphic xmlns:a="http://schemas.openxmlformats.org/drawingml/2006/main">
                              <a:graphicData uri="http://schemas.microsoft.com/office/word/2010/wordprocessingShape">
                                <wps:wsp>
                                  <wps:cNvSpPr/>
                                  <wps:spPr>
                                    <a:xfrm>
                                      <a:off x="0" y="0"/>
                                      <a:ext cx="180975" cy="228600"/>
                                    </a:xfrm>
                                    <a:prstGeom prst="downArrow">
                                      <a:avLst/>
                                    </a:prstGeom>
                                    <a:solidFill>
                                      <a:srgbClr val="FF0000"/>
                                    </a:solidFill>
                                    <a:ln>
                                      <a:noFill/>
                                    </a:ln>
                                    <a:effectLst>
                                      <a:outerShdw blurRad="57150" dist="19050" dir="5400000" algn="ctr" rotWithShape="0">
                                        <a:srgbClr val="000000">
                                          <a:alpha val="63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27142AE" id="Flecha abajo 38" o:spid="_x0000_s1026" type="#_x0000_t67" style="position:absolute;margin-left:206.35pt;margin-top:1.9pt;width:14.25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" adj="13050" fillcolor="red" stroked="f">
                            <v:shadow on="t" color="black" opacity="41287f" offset="0,1.5pt"/>
                          </v:shape>
                        </w:pict>
                      </mc:Fallback>
                    </mc:AlternateContent>
                  </w:r>
                  <w:r w:rsidRPr="00165651">
                    <w:rPr>
                      <w:rFonts w:eastAsia="Times New Roman" w:cstheme="minorHAnsi"/>
                      <w:bCs/>
                      <w:color w:val="000000"/>
                      <w:sz w:val="18"/>
                      <w:szCs w:val="18"/>
                      <w:lang w:val="es-CO" w:eastAsia="es-CO"/>
                    </w:rPr>
                    <w:t>Proyección carga dejada de movilizar 2015:</w:t>
                  </w:r>
                  <w:r w:rsidRPr="00165651">
                    <w:rPr>
                      <w:rFonts w:eastAsia="Times New Roman" w:cstheme="minorHAnsi"/>
                      <w:noProof/>
                      <w:sz w:val="18"/>
                      <w:szCs w:val="18"/>
                      <w:lang w:eastAsia="es-MX"/>
                    </w:rPr>
                    <w:t xml:space="preserve"> </w:t>
                  </w:r>
                  <w:r w:rsidRPr="00165651">
                    <w:rPr>
                      <w:rFonts w:eastAsia="Times New Roman" w:cstheme="minorHAnsi"/>
                      <w:b/>
                      <w:bCs/>
                      <w:color w:val="000000"/>
                      <w:sz w:val="18"/>
                      <w:szCs w:val="18"/>
                      <w:lang w:val="es-CO" w:eastAsia="es-CO"/>
                    </w:rPr>
                    <w:t>8.519.915 Ton</w:t>
                  </w:r>
                  <w:r w:rsidRPr="00165651">
                    <w:rPr>
                      <w:rFonts w:eastAsia="Times New Roman" w:cstheme="minorHAnsi"/>
                      <w:bCs/>
                      <w:color w:val="000000"/>
                      <w:sz w:val="18"/>
                      <w:szCs w:val="18"/>
                      <w:lang w:val="es-CO" w:eastAsia="es-CO"/>
                    </w:rPr>
                    <w:t>.</w:t>
                  </w:r>
                </w:p>
                <w:p w:rsidR="00EB3BC8" w:rsidRPr="00165651" w:rsidRDefault="00EB3BC8" w:rsidP="0005003A">
                  <w:pPr>
                    <w:framePr w:hSpace="141" w:wrap="around" w:vAnchor="text" w:hAnchor="text" w:y="1"/>
                    <w:tabs>
                      <w:tab w:val="left" w:pos="2297"/>
                    </w:tabs>
                    <w:autoSpaceDE w:val="0"/>
                    <w:autoSpaceDN w:val="0"/>
                    <w:adjustRightInd w:val="0"/>
                    <w:spacing w:before="120" w:line="276" w:lineRule="auto"/>
                    <w:suppressOverlap/>
                    <w:rPr>
                      <w:rFonts w:eastAsia="Times New Roman" w:cstheme="minorHAnsi"/>
                      <w:bCs/>
                      <w:color w:val="000000"/>
                      <w:sz w:val="18"/>
                      <w:szCs w:val="18"/>
                      <w:lang w:eastAsia="es-CO"/>
                    </w:rPr>
                  </w:pPr>
                  <w:r w:rsidRPr="00165651">
                    <w:rPr>
                      <w:rFonts w:eastAsia="Times New Roman" w:cstheme="minorHAnsi"/>
                      <w:bCs/>
                      <w:color w:val="000000"/>
                      <w:sz w:val="18"/>
                      <w:szCs w:val="18"/>
                      <w:lang w:val="es-CO" w:eastAsia="es-CO"/>
                    </w:rPr>
                    <w:t xml:space="preserve">Proyección. Recursos ANI dejados de percibir restricción- 2015. </w:t>
                  </w:r>
                  <w:r w:rsidRPr="00165651">
                    <w:rPr>
                      <w:rFonts w:eastAsia="Times New Roman" w:cstheme="minorHAnsi"/>
                      <w:b/>
                      <w:bCs/>
                      <w:color w:val="FF0000"/>
                      <w:sz w:val="18"/>
                      <w:szCs w:val="18"/>
                      <w:lang w:val="es-CO" w:eastAsia="es-CO"/>
                    </w:rPr>
                    <w:t xml:space="preserve">$USD 10.479.496 </w:t>
                  </w:r>
                </w:p>
                <w:p w:rsidR="00EB3BC8" w:rsidRPr="00165651" w:rsidRDefault="00EB3BC8" w:rsidP="0005003A">
                  <w:pPr>
                    <w:framePr w:hSpace="141" w:wrap="around" w:vAnchor="text" w:hAnchor="text" w:y="1"/>
                    <w:autoSpaceDE w:val="0"/>
                    <w:autoSpaceDN w:val="0"/>
                    <w:adjustRightInd w:val="0"/>
                    <w:spacing w:before="120" w:line="276" w:lineRule="auto"/>
                    <w:suppressOverlap/>
                    <w:rPr>
                      <w:rFonts w:eastAsia="Times New Roman" w:cstheme="minorHAnsi"/>
                      <w:bCs/>
                      <w:color w:val="000000"/>
                      <w:sz w:val="18"/>
                      <w:szCs w:val="18"/>
                      <w:lang w:eastAsia="es-CO"/>
                    </w:rPr>
                  </w:pPr>
                </w:p>
              </w:tc>
            </w:tr>
            <w:tr w:rsidR="00EB3BC8" w:rsidRPr="00165651" w:rsidTr="005E52E0">
              <w:trPr>
                <w:trHeight w:val="373"/>
              </w:trPr>
              <w:tc>
                <w:tcPr>
                  <w:tcW w:w="7083" w:type="dxa"/>
                  <w:vMerge/>
                </w:tcPr>
                <w:p w:rsidR="00EB3BC8" w:rsidRPr="00165651" w:rsidRDefault="00EB3BC8" w:rsidP="0005003A">
                  <w:pPr>
                    <w:framePr w:hSpace="141" w:wrap="around" w:vAnchor="text" w:hAnchor="text" w:y="1"/>
                    <w:autoSpaceDE w:val="0"/>
                    <w:autoSpaceDN w:val="0"/>
                    <w:adjustRightInd w:val="0"/>
                    <w:spacing w:before="120" w:line="276" w:lineRule="auto"/>
                    <w:suppressOverlap/>
                    <w:rPr>
                      <w:rFonts w:eastAsia="Times New Roman" w:cstheme="minorHAnsi"/>
                      <w:b/>
                      <w:bCs/>
                      <w:color w:val="000000"/>
                      <w:sz w:val="18"/>
                      <w:szCs w:val="18"/>
                      <w:lang w:eastAsia="es-CO"/>
                    </w:rPr>
                  </w:pPr>
                </w:p>
              </w:tc>
            </w:tr>
          </w:tbl>
          <w:p w:rsidR="00EB3BC8" w:rsidRPr="00165651" w:rsidRDefault="00EB3BC8" w:rsidP="005E52E0">
            <w:pPr>
              <w:autoSpaceDE w:val="0"/>
              <w:autoSpaceDN w:val="0"/>
              <w:adjustRightInd w:val="0"/>
              <w:spacing w:before="120" w:line="276" w:lineRule="auto"/>
              <w:jc w:val="center"/>
              <w:rPr>
                <w:rFonts w:eastAsia="Times New Roman" w:cstheme="minorHAnsi"/>
                <w:b/>
                <w:bCs/>
                <w:color w:val="000000"/>
                <w:sz w:val="18"/>
                <w:szCs w:val="18"/>
                <w:lang w:val="es" w:eastAsia="es-CO"/>
              </w:rPr>
            </w:pPr>
            <w:r w:rsidRPr="00165651">
              <w:rPr>
                <w:rFonts w:eastAsia="Times New Roman" w:cstheme="minorHAnsi"/>
                <w:b/>
                <w:bCs/>
                <w:noProof/>
                <w:color w:val="000000"/>
                <w:sz w:val="18"/>
                <w:szCs w:val="18"/>
              </w:rPr>
              <w:lastRenderedPageBreak/>
              <mc:AlternateContent>
                <mc:Choice Requires="wps">
                  <w:drawing>
                    <wp:anchor distT="0" distB="0" distL="114300" distR="114300" simplePos="0" relativeHeight="251712512" behindDoc="0" locked="0" layoutInCell="1" allowOverlap="1" wp14:anchorId="555C6143" wp14:editId="540C1D22">
                      <wp:simplePos x="0" y="0"/>
                      <wp:positionH relativeFrom="column">
                        <wp:posOffset>1659890</wp:posOffset>
                      </wp:positionH>
                      <wp:positionV relativeFrom="paragraph">
                        <wp:posOffset>837565</wp:posOffset>
                      </wp:positionV>
                      <wp:extent cx="2295525" cy="254000"/>
                      <wp:effectExtent l="0" t="0" r="66675" b="88900"/>
                      <wp:wrapNone/>
                      <wp:docPr id="489" name="Conector recto 18"/>
                      <wp:cNvGraphicFramePr/>
                      <a:graphic xmlns:a="http://schemas.openxmlformats.org/drawingml/2006/main">
                        <a:graphicData uri="http://schemas.microsoft.com/office/word/2010/wordprocessingShape">
                          <wps:wsp>
                            <wps:cNvCnPr/>
                            <wps:spPr>
                              <a:xfrm>
                                <a:off x="0" y="0"/>
                                <a:ext cx="2295525" cy="254000"/>
                              </a:xfrm>
                              <a:prstGeom prst="line">
                                <a:avLst/>
                              </a:prstGeom>
                              <a:noFill/>
                              <a:ln w="12700" cap="flat" cmpd="sng" algn="ctr">
                                <a:solidFill>
                                  <a:srgbClr val="FF0000"/>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E490DBE" id="Conector recto 1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7pt,65.95pt" to="311.45pt,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" strokecolor="red" strokeweight="1pt">
                      <v:stroke dashstyle="dash" endarrow="block" joinstyle="miter"/>
                    </v:line>
                  </w:pict>
                </mc:Fallback>
              </mc:AlternateContent>
            </w:r>
            <w:r w:rsidRPr="00165651">
              <w:rPr>
                <w:rFonts w:eastAsia="Times New Roman" w:cstheme="minorHAnsi"/>
                <w:b/>
                <w:bCs/>
                <w:noProof/>
                <w:color w:val="000000"/>
                <w:sz w:val="18"/>
                <w:szCs w:val="18"/>
              </w:rPr>
              <mc:AlternateContent>
                <mc:Choice Requires="wps">
                  <w:drawing>
                    <wp:anchor distT="0" distB="0" distL="114300" distR="114300" simplePos="0" relativeHeight="251711488" behindDoc="0" locked="0" layoutInCell="1" allowOverlap="1" wp14:anchorId="6FC67A5D" wp14:editId="2C5139E6">
                      <wp:simplePos x="0" y="0"/>
                      <wp:positionH relativeFrom="column">
                        <wp:posOffset>1790700</wp:posOffset>
                      </wp:positionH>
                      <wp:positionV relativeFrom="paragraph">
                        <wp:posOffset>2498090</wp:posOffset>
                      </wp:positionV>
                      <wp:extent cx="1342390" cy="184150"/>
                      <wp:effectExtent l="0" t="0" r="0" b="0"/>
                      <wp:wrapNone/>
                      <wp:docPr id="490" name="CuadroTexto 22"/>
                      <wp:cNvGraphicFramePr/>
                      <a:graphic xmlns:a="http://schemas.openxmlformats.org/drawingml/2006/main">
                        <a:graphicData uri="http://schemas.microsoft.com/office/word/2010/wordprocessingShape">
                          <wps:wsp>
                            <wps:cNvSpPr txBox="1"/>
                            <wps:spPr>
                              <a:xfrm>
                                <a:off x="0" y="0"/>
                                <a:ext cx="1342390" cy="184150"/>
                              </a:xfrm>
                              <a:prstGeom prst="rect">
                                <a:avLst/>
                              </a:prstGeom>
                              <a:noFill/>
                            </wps:spPr>
                            <wps:txbx>
                              <w:txbxContent>
                                <w:p w:rsidR="009D1EA7" w:rsidRPr="00C747B4" w:rsidRDefault="009D1EA7" w:rsidP="00EB3BC8">
                                  <w:pPr>
                                    <w:pStyle w:val="NormalWeb"/>
                                    <w:textAlignment w:val="baseline"/>
                                    <w:rPr>
                                      <w:rFonts w:ascii="Calibri" w:hAnsi="Calibri"/>
                                      <w:sz w:val="28"/>
                                    </w:rPr>
                                  </w:pPr>
                                  <w:r w:rsidRPr="00C747B4">
                                    <w:rPr>
                                      <w:rFonts w:ascii="Calibri" w:hAnsi="Calibri" w:cs="Arial"/>
                                      <w:color w:val="948A54" w:themeColor="background2" w:themeShade="80"/>
                                      <w:kern w:val="24"/>
                                      <w:sz w:val="14"/>
                                      <w:szCs w:val="12"/>
                                    </w:rPr>
                                    <w:t>Proyectado       Ejecutado</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6FC67A5D" id="_x0000_t202" coordsize="21600,21600" o:spt="202" path="m,l,21600r21600,l21600,xe">
                      <v:stroke joinstyle="miter"/>
                      <v:path gradientshapeok="t" o:connecttype="rect"/>
                    </v:shapetype>
                    <v:shape id="CuadroTexto 22" o:spid="_x0000_s1041" type="#_x0000_t202" style="position:absolute;left:0;text-align:left;margin-left:141pt;margin-top:196.7pt;width:105.7pt;height:1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" filled="f" stroked="f">
                      <v:textbox style="mso-fit-shape-to-text:t">
                        <w:txbxContent>
                          <w:p w:rsidR="009D1EA7" w:rsidRPr="00C747B4" w:rsidRDefault="009D1EA7" w:rsidP="00EB3BC8">
                            <w:pPr>
                              <w:pStyle w:val="NormalWeb"/>
                              <w:textAlignment w:val="baseline"/>
                              <w:rPr>
                                <w:rFonts w:ascii="Calibri" w:hAnsi="Calibri"/>
                                <w:sz w:val="28"/>
                              </w:rPr>
                            </w:pPr>
                            <w:r w:rsidRPr="00C747B4">
                              <w:rPr>
                                <w:rFonts w:ascii="Calibri" w:hAnsi="Calibri" w:cs="Arial"/>
                                <w:color w:val="948A54" w:themeColor="background2" w:themeShade="80"/>
                                <w:kern w:val="24"/>
                                <w:sz w:val="14"/>
                                <w:szCs w:val="12"/>
                              </w:rPr>
                              <w:t>Proyectado       Ejecutado</w:t>
                            </w:r>
                          </w:p>
                        </w:txbxContent>
                      </v:textbox>
                    </v:shape>
                  </w:pict>
                </mc:Fallback>
              </mc:AlternateContent>
            </w:r>
            <w:r w:rsidRPr="00165651">
              <w:rPr>
                <w:rFonts w:eastAsia="Times New Roman" w:cstheme="minorHAnsi"/>
                <w:b/>
                <w:bCs/>
                <w:noProof/>
                <w:color w:val="000000"/>
                <w:sz w:val="18"/>
                <w:szCs w:val="18"/>
              </w:rPr>
              <w:drawing>
                <wp:inline distT="0" distB="0" distL="0" distR="0" wp14:anchorId="4326E6A0" wp14:editId="466A5933">
                  <wp:extent cx="4319955" cy="2648422"/>
                  <wp:effectExtent l="0" t="0" r="0" b="0"/>
                  <wp:docPr id="103" name="Gráfico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rsidR="00EB3BC8" w:rsidRPr="00165651" w:rsidRDefault="00EB3BC8" w:rsidP="005E52E0">
            <w:pPr>
              <w:autoSpaceDE w:val="0"/>
              <w:autoSpaceDN w:val="0"/>
              <w:adjustRightInd w:val="0"/>
              <w:spacing w:before="120" w:line="276" w:lineRule="auto"/>
              <w:jc w:val="center"/>
              <w:rPr>
                <w:rFonts w:eastAsia="Times New Roman" w:cstheme="minorHAnsi"/>
                <w:b/>
                <w:bCs/>
                <w:color w:val="000000"/>
                <w:sz w:val="18"/>
                <w:szCs w:val="18"/>
                <w:lang w:val="es" w:eastAsia="es-CO"/>
              </w:rPr>
            </w:pPr>
          </w:p>
          <w:p w:rsidR="00EB3BC8" w:rsidRPr="00165651" w:rsidRDefault="00EB3BC8" w:rsidP="005E52E0">
            <w:pPr>
              <w:autoSpaceDE w:val="0"/>
              <w:autoSpaceDN w:val="0"/>
              <w:adjustRightInd w:val="0"/>
              <w:spacing w:before="120" w:line="276" w:lineRule="auto"/>
              <w:jc w:val="center"/>
              <w:rPr>
                <w:rFonts w:eastAsia="Times New Roman" w:cstheme="minorHAnsi"/>
                <w:b/>
                <w:bCs/>
                <w:color w:val="000000"/>
                <w:sz w:val="18"/>
                <w:szCs w:val="18"/>
                <w:lang w:val="es" w:eastAsia="es-CO"/>
              </w:rPr>
            </w:pPr>
            <w:r w:rsidRPr="00165651">
              <w:rPr>
                <w:rFonts w:eastAsia="Times New Roman" w:cstheme="minorHAnsi"/>
                <w:b/>
                <w:bCs/>
                <w:noProof/>
                <w:color w:val="000000"/>
                <w:sz w:val="18"/>
                <w:szCs w:val="18"/>
              </w:rPr>
              <mc:AlternateContent>
                <mc:Choice Requires="wps">
                  <w:drawing>
                    <wp:anchor distT="0" distB="0" distL="114300" distR="114300" simplePos="0" relativeHeight="251716608" behindDoc="0" locked="0" layoutInCell="1" allowOverlap="1" wp14:anchorId="78ECC188" wp14:editId="2DC96D9A">
                      <wp:simplePos x="0" y="0"/>
                      <wp:positionH relativeFrom="column">
                        <wp:posOffset>3550920</wp:posOffset>
                      </wp:positionH>
                      <wp:positionV relativeFrom="paragraph">
                        <wp:posOffset>779145</wp:posOffset>
                      </wp:positionV>
                      <wp:extent cx="1296035" cy="307340"/>
                      <wp:effectExtent l="0" t="0" r="0" b="0"/>
                      <wp:wrapNone/>
                      <wp:docPr id="491" name="CuadroTexto 29"/>
                      <wp:cNvGraphicFramePr/>
                      <a:graphic xmlns:a="http://schemas.openxmlformats.org/drawingml/2006/main">
                        <a:graphicData uri="http://schemas.microsoft.com/office/word/2010/wordprocessingShape">
                          <wps:wsp>
                            <wps:cNvSpPr txBox="1"/>
                            <wps:spPr>
                              <a:xfrm>
                                <a:off x="0" y="0"/>
                                <a:ext cx="1296035" cy="307340"/>
                              </a:xfrm>
                              <a:prstGeom prst="rect">
                                <a:avLst/>
                              </a:prstGeom>
                              <a:noFill/>
                            </wps:spPr>
                            <wps:txbx>
                              <w:txbxContent>
                                <w:p w:rsidR="009D1EA7" w:rsidRDefault="009D1EA7" w:rsidP="00EB3BC8">
                                  <w:pPr>
                                    <w:pStyle w:val="NormalWeb"/>
                                    <w:textAlignment w:val="baseline"/>
                                  </w:pPr>
                                  <w:r>
                                    <w:rPr>
                                      <w:rFonts w:asciiTheme="majorHAnsi" w:hAnsi="Calibri Light" w:cs="Arial"/>
                                      <w:color w:val="948A54" w:themeColor="background2" w:themeShade="80"/>
                                      <w:kern w:val="24"/>
                                      <w:sz w:val="14"/>
                                      <w:szCs w:val="14"/>
                                    </w:rPr>
                                    <w:t xml:space="preserve">Restric. Tut. 4520563 </w:t>
                                  </w:r>
                                </w:p>
                                <w:p w:rsidR="009D1EA7" w:rsidRDefault="009D1EA7" w:rsidP="00EB3BC8">
                                  <w:pPr>
                                    <w:pStyle w:val="NormalWeb"/>
                                    <w:textAlignment w:val="baseline"/>
                                  </w:pPr>
                                  <w:r>
                                    <w:rPr>
                                      <w:rFonts w:asciiTheme="majorHAnsi" w:hAnsi="Calibri Light" w:cs="Arial"/>
                                      <w:color w:val="948A54" w:themeColor="background2" w:themeShade="80"/>
                                      <w:kern w:val="24"/>
                                      <w:sz w:val="14"/>
                                      <w:szCs w:val="14"/>
                                    </w:rPr>
                                    <w:t>08-06-2015</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8ECC188" id="CuadroTexto 29" o:spid="_x0000_s1042" type="#_x0000_t202" style="position:absolute;left:0;text-align:left;margin-left:279.6pt;margin-top:61.35pt;width:102.05pt;height:24.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" filled="f" stroked="f">
                      <v:textbox style="mso-fit-shape-to-text:t">
                        <w:txbxContent>
                          <w:p w:rsidR="009D1EA7" w:rsidRDefault="009D1EA7" w:rsidP="00EB3BC8">
                            <w:pPr>
                              <w:pStyle w:val="NormalWeb"/>
                              <w:textAlignment w:val="baseline"/>
                            </w:pPr>
                            <w:r>
                              <w:rPr>
                                <w:rFonts w:asciiTheme="majorHAnsi" w:hAnsi="Calibri Light" w:cs="Arial"/>
                                <w:color w:val="948A54" w:themeColor="background2" w:themeShade="80"/>
                                <w:kern w:val="24"/>
                                <w:sz w:val="14"/>
                                <w:szCs w:val="14"/>
                              </w:rPr>
                              <w:t xml:space="preserve">Restric. Tut. 4520563 </w:t>
                            </w:r>
                          </w:p>
                          <w:p w:rsidR="009D1EA7" w:rsidRDefault="009D1EA7" w:rsidP="00EB3BC8">
                            <w:pPr>
                              <w:pStyle w:val="NormalWeb"/>
                              <w:textAlignment w:val="baseline"/>
                            </w:pPr>
                            <w:r>
                              <w:rPr>
                                <w:rFonts w:asciiTheme="majorHAnsi" w:hAnsi="Calibri Light" w:cs="Arial"/>
                                <w:color w:val="948A54" w:themeColor="background2" w:themeShade="80"/>
                                <w:kern w:val="24"/>
                                <w:sz w:val="14"/>
                                <w:szCs w:val="14"/>
                              </w:rPr>
                              <w:t>08-06-2015</w:t>
                            </w:r>
                          </w:p>
                        </w:txbxContent>
                      </v:textbox>
                    </v:shape>
                  </w:pict>
                </mc:Fallback>
              </mc:AlternateContent>
            </w:r>
            <w:r w:rsidRPr="00165651">
              <w:rPr>
                <w:rFonts w:eastAsia="Times New Roman" w:cstheme="minorHAnsi"/>
                <w:b/>
                <w:bCs/>
                <w:noProof/>
                <w:color w:val="000000"/>
                <w:sz w:val="18"/>
                <w:szCs w:val="18"/>
              </w:rPr>
              <mc:AlternateContent>
                <mc:Choice Requires="wpg">
                  <w:drawing>
                    <wp:anchor distT="0" distB="0" distL="114300" distR="114300" simplePos="0" relativeHeight="251717632" behindDoc="0" locked="0" layoutInCell="1" allowOverlap="1" wp14:anchorId="237E75B4" wp14:editId="45763C2D">
                      <wp:simplePos x="0" y="0"/>
                      <wp:positionH relativeFrom="column">
                        <wp:posOffset>3717290</wp:posOffset>
                      </wp:positionH>
                      <wp:positionV relativeFrom="paragraph">
                        <wp:posOffset>1074420</wp:posOffset>
                      </wp:positionV>
                      <wp:extent cx="523875" cy="209550"/>
                      <wp:effectExtent l="0" t="0" r="28575" b="19050"/>
                      <wp:wrapNone/>
                      <wp:docPr id="492" name="Grupo 31"/>
                      <wp:cNvGraphicFramePr/>
                      <a:graphic xmlns:a="http://schemas.openxmlformats.org/drawingml/2006/main">
                        <a:graphicData uri="http://schemas.microsoft.com/office/word/2010/wordprocessingGroup">
                          <wpg:wgp>
                            <wpg:cNvGrpSpPr/>
                            <wpg:grpSpPr>
                              <a:xfrm>
                                <a:off x="0" y="0"/>
                                <a:ext cx="523875" cy="209550"/>
                                <a:chOff x="2124805" y="629020"/>
                                <a:chExt cx="1001299" cy="118552"/>
                              </a:xfrm>
                            </wpg:grpSpPr>
                            <wps:wsp>
                              <wps:cNvPr id="493" name="Conector recto 493"/>
                              <wps:cNvCnPr/>
                              <wps:spPr>
                                <a:xfrm flipV="1">
                                  <a:off x="2124805" y="629020"/>
                                  <a:ext cx="93770" cy="118552"/>
                                </a:xfrm>
                                <a:prstGeom prst="line">
                                  <a:avLst/>
                                </a:prstGeom>
                                <a:noFill/>
                                <a:ln w="0" cap="flat" cmpd="sng" algn="ctr">
                                  <a:solidFill>
                                    <a:sysClr val="window" lastClr="FFFFFF">
                                      <a:lumMod val="65000"/>
                                    </a:sysClr>
                                  </a:solidFill>
                                  <a:prstDash val="solid"/>
                                  <a:miter lim="800000"/>
                                </a:ln>
                                <a:effectLst/>
                              </wps:spPr>
                              <wps:bodyPr/>
                            </wps:wsp>
                            <wps:wsp>
                              <wps:cNvPr id="494" name="Conector recto 494"/>
                              <wps:cNvCnPr/>
                              <wps:spPr>
                                <a:xfrm>
                                  <a:off x="2218575" y="629020"/>
                                  <a:ext cx="907529" cy="0"/>
                                </a:xfrm>
                                <a:prstGeom prst="line">
                                  <a:avLst/>
                                </a:prstGeom>
                                <a:noFill/>
                                <a:ln w="0" cap="flat" cmpd="sng" algn="ctr">
                                  <a:solidFill>
                                    <a:sysClr val="window" lastClr="FFFFFF">
                                      <a:lumMod val="65000"/>
                                    </a:sysClr>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88C5E97" id="Grupo 31" o:spid="_x0000_s1026" style="position:absolute;margin-left:292.7pt;margin-top:84.6pt;width:41.25pt;height:16.5pt;z-index:251717632;mso-width-relative:margin;mso-height-relative:margin" coordorigin="21248,6290" coordsize="10012,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">
                      <v:line id="Conector recto 493" o:spid="_x0000_s1027" style="position:absolute;flip:y;visibility:visible;mso-wrap-style:square" from="21248,6290" to="22185,7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rkMQAAADcAAAADwAAAGRycy9kb3ducmV2LnhtbESPW2sCMRSE3wv+h3AE32q23qhboyyF&#10;QrVPXgo+Hjanm62bkyVJdf33piD4OMzMN8xi1dlGnMmH2rGCl2EGgrh0uuZKwWH/8fwKIkRkjY1j&#10;UnClAKtl72mBuXYX3tJ5FyuRIBxyVGBibHMpQ2nIYhi6ljh5P85bjEn6SmqPlwS3jRxl2UxarDkt&#10;GGzp3VB52v1ZBf6rw/r7eBjZaWFo/Yub2anYKDXod8UbiEhdfITv7U+tYDIfw/+ZdAT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4uuQxAAAANwAAAAPAAAAAAAAAAAA&#10;AAAAAKECAABkcnMvZG93bnJldi54bWxQSwUGAAAAAAQABAD5AAAAkgMAAAAA&#10;" strokecolor="#a6a6a6" strokeweight="0">
                        <v:stroke joinstyle="miter"/>
                      </v:line>
                      <v:line id="Conector recto 494" o:spid="_x0000_s1028" style="position:absolute;visibility:visible;mso-wrap-style:square" from="22185,6290" to="31261,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RTFMQAAADcAAAADwAAAGRycy9kb3ducmV2LnhtbESPQWsCMRSE74L/ITyhN81WpNitUapS&#10;aA8iuqXn183bzdLNy5JE3f57Iwgeh5n5hlmsetuKM/nQOFbwPMlAEJdON1wr+C4+xnMQISJrbB2T&#10;gn8KsFoOBwvMtbvwgc7HWIsE4ZCjAhNjl0sZSkMWw8R1xMmrnLcYk/S11B4vCW5bOc2yF2mx4bRg&#10;sKONofLveLIKdl+/28N6Py0KP/8x1c5IDqFS6mnUv7+BiNTHR/je/tQKZq8zuJ1JR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lFMUxAAAANwAAAAPAAAAAAAAAAAA&#10;AAAAAKECAABkcnMvZG93bnJldi54bWxQSwUGAAAAAAQABAD5AAAAkgMAAAAA&#10;" strokecolor="#a6a6a6" strokeweight="0">
                        <v:stroke joinstyle="miter"/>
                      </v:line>
                    </v:group>
                  </w:pict>
                </mc:Fallback>
              </mc:AlternateContent>
            </w:r>
            <w:r w:rsidRPr="00165651">
              <w:rPr>
                <w:rFonts w:eastAsia="Times New Roman" w:cstheme="minorHAnsi"/>
                <w:b/>
                <w:bCs/>
                <w:noProof/>
                <w:color w:val="000000"/>
                <w:sz w:val="18"/>
                <w:szCs w:val="18"/>
              </w:rPr>
              <mc:AlternateContent>
                <mc:Choice Requires="wps">
                  <w:drawing>
                    <wp:anchor distT="0" distB="0" distL="114300" distR="114300" simplePos="0" relativeHeight="251715584" behindDoc="0" locked="0" layoutInCell="1" allowOverlap="1" wp14:anchorId="63EF769E" wp14:editId="74A6774B">
                      <wp:simplePos x="0" y="0"/>
                      <wp:positionH relativeFrom="column">
                        <wp:posOffset>1602740</wp:posOffset>
                      </wp:positionH>
                      <wp:positionV relativeFrom="paragraph">
                        <wp:posOffset>456565</wp:posOffset>
                      </wp:positionV>
                      <wp:extent cx="1229360" cy="307340"/>
                      <wp:effectExtent l="0" t="0" r="0" b="0"/>
                      <wp:wrapNone/>
                      <wp:docPr id="495" name="CuadroTexto 28"/>
                      <wp:cNvGraphicFramePr/>
                      <a:graphic xmlns:a="http://schemas.openxmlformats.org/drawingml/2006/main">
                        <a:graphicData uri="http://schemas.microsoft.com/office/word/2010/wordprocessingShape">
                          <wps:wsp>
                            <wps:cNvSpPr txBox="1"/>
                            <wps:spPr>
                              <a:xfrm>
                                <a:off x="0" y="0"/>
                                <a:ext cx="1229360" cy="307340"/>
                              </a:xfrm>
                              <a:prstGeom prst="rect">
                                <a:avLst/>
                              </a:prstGeom>
                              <a:noFill/>
                            </wps:spPr>
                            <wps:txbx>
                              <w:txbxContent>
                                <w:p w:rsidR="009D1EA7" w:rsidRDefault="009D1EA7" w:rsidP="00EB3BC8">
                                  <w:pPr>
                                    <w:pStyle w:val="NormalWeb"/>
                                    <w:textAlignment w:val="baseline"/>
                                  </w:pPr>
                                  <w:r>
                                    <w:rPr>
                                      <w:rFonts w:asciiTheme="majorHAnsi" w:hAnsi="Calibri Light" w:cs="Arial"/>
                                      <w:color w:val="948A54" w:themeColor="background2" w:themeShade="80"/>
                                      <w:kern w:val="24"/>
                                      <w:sz w:val="14"/>
                                      <w:szCs w:val="14"/>
                                    </w:rPr>
                                    <w:t xml:space="preserve">Restric. Sen. T-672 </w:t>
                                  </w:r>
                                </w:p>
                                <w:p w:rsidR="009D1EA7" w:rsidRDefault="009D1EA7" w:rsidP="00EB3BC8">
                                  <w:pPr>
                                    <w:pStyle w:val="NormalWeb"/>
                                    <w:textAlignment w:val="baseline"/>
                                  </w:pPr>
                                  <w:r>
                                    <w:rPr>
                                      <w:rFonts w:asciiTheme="majorHAnsi" w:hAnsi="Calibri Light" w:cs="Arial"/>
                                      <w:color w:val="948A54" w:themeColor="background2" w:themeShade="80"/>
                                      <w:kern w:val="24"/>
                                      <w:sz w:val="14"/>
                                      <w:szCs w:val="14"/>
                                    </w:rPr>
                                    <w:t>14-02-2015</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3EF769E" id="CuadroTexto 28" o:spid="_x0000_s1043" type="#_x0000_t202" style="position:absolute;left:0;text-align:left;margin-left:126.2pt;margin-top:35.95pt;width:96.8pt;height:24.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" filled="f" stroked="f">
                      <v:textbox style="mso-fit-shape-to-text:t">
                        <w:txbxContent>
                          <w:p w:rsidR="009D1EA7" w:rsidRDefault="009D1EA7" w:rsidP="00EB3BC8">
                            <w:pPr>
                              <w:pStyle w:val="NormalWeb"/>
                              <w:textAlignment w:val="baseline"/>
                            </w:pPr>
                            <w:r>
                              <w:rPr>
                                <w:rFonts w:asciiTheme="majorHAnsi" w:hAnsi="Calibri Light" w:cs="Arial"/>
                                <w:color w:val="948A54" w:themeColor="background2" w:themeShade="80"/>
                                <w:kern w:val="24"/>
                                <w:sz w:val="14"/>
                                <w:szCs w:val="14"/>
                              </w:rPr>
                              <w:t xml:space="preserve">Restric. Sen. T-672 </w:t>
                            </w:r>
                          </w:p>
                          <w:p w:rsidR="009D1EA7" w:rsidRDefault="009D1EA7" w:rsidP="00EB3BC8">
                            <w:pPr>
                              <w:pStyle w:val="NormalWeb"/>
                              <w:textAlignment w:val="baseline"/>
                            </w:pPr>
                            <w:r>
                              <w:rPr>
                                <w:rFonts w:asciiTheme="majorHAnsi" w:hAnsi="Calibri Light" w:cs="Arial"/>
                                <w:color w:val="948A54" w:themeColor="background2" w:themeShade="80"/>
                                <w:kern w:val="24"/>
                                <w:sz w:val="14"/>
                                <w:szCs w:val="14"/>
                              </w:rPr>
                              <w:t>14-02-2015</w:t>
                            </w:r>
                          </w:p>
                        </w:txbxContent>
                      </v:textbox>
                    </v:shape>
                  </w:pict>
                </mc:Fallback>
              </mc:AlternateContent>
            </w:r>
            <w:r w:rsidRPr="00165651">
              <w:rPr>
                <w:rFonts w:eastAsia="Times New Roman" w:cstheme="minorHAnsi"/>
                <w:b/>
                <w:bCs/>
                <w:noProof/>
                <w:color w:val="000000"/>
                <w:sz w:val="18"/>
                <w:szCs w:val="18"/>
              </w:rPr>
              <mc:AlternateContent>
                <mc:Choice Requires="wpg">
                  <w:drawing>
                    <wp:anchor distT="0" distB="0" distL="114300" distR="114300" simplePos="0" relativeHeight="251718656" behindDoc="0" locked="0" layoutInCell="1" allowOverlap="1" wp14:anchorId="313B67AA" wp14:editId="4F04C27E">
                      <wp:simplePos x="0" y="0"/>
                      <wp:positionH relativeFrom="column">
                        <wp:posOffset>1586230</wp:posOffset>
                      </wp:positionH>
                      <wp:positionV relativeFrom="paragraph">
                        <wp:posOffset>715010</wp:posOffset>
                      </wp:positionV>
                      <wp:extent cx="812165" cy="148590"/>
                      <wp:effectExtent l="0" t="0" r="26035" b="22860"/>
                      <wp:wrapNone/>
                      <wp:docPr id="496" name="Grupo 34"/>
                      <wp:cNvGraphicFramePr/>
                      <a:graphic xmlns:a="http://schemas.openxmlformats.org/drawingml/2006/main">
                        <a:graphicData uri="http://schemas.microsoft.com/office/word/2010/wordprocessingGroup">
                          <wpg:wgp>
                            <wpg:cNvGrpSpPr/>
                            <wpg:grpSpPr>
                              <a:xfrm>
                                <a:off x="0" y="0"/>
                                <a:ext cx="812165" cy="148590"/>
                                <a:chOff x="0" y="258638"/>
                                <a:chExt cx="1001299" cy="118552"/>
                              </a:xfrm>
                            </wpg:grpSpPr>
                            <wps:wsp>
                              <wps:cNvPr id="497" name="Conector recto 497"/>
                              <wps:cNvCnPr/>
                              <wps:spPr>
                                <a:xfrm flipV="1">
                                  <a:off x="0" y="258638"/>
                                  <a:ext cx="93770" cy="118552"/>
                                </a:xfrm>
                                <a:prstGeom prst="line">
                                  <a:avLst/>
                                </a:prstGeom>
                                <a:noFill/>
                                <a:ln w="0" cap="flat" cmpd="sng" algn="ctr">
                                  <a:solidFill>
                                    <a:sysClr val="window" lastClr="FFFFFF">
                                      <a:lumMod val="65000"/>
                                    </a:sysClr>
                                  </a:solidFill>
                                  <a:prstDash val="solid"/>
                                  <a:miter lim="800000"/>
                                </a:ln>
                                <a:effectLst/>
                              </wps:spPr>
                              <wps:bodyPr/>
                            </wps:wsp>
                            <wps:wsp>
                              <wps:cNvPr id="498" name="Conector recto 498"/>
                              <wps:cNvCnPr/>
                              <wps:spPr>
                                <a:xfrm>
                                  <a:off x="93770" y="258638"/>
                                  <a:ext cx="907529" cy="0"/>
                                </a:xfrm>
                                <a:prstGeom prst="line">
                                  <a:avLst/>
                                </a:prstGeom>
                                <a:noFill/>
                                <a:ln w="0" cap="flat" cmpd="sng" algn="ctr">
                                  <a:solidFill>
                                    <a:sysClr val="window" lastClr="FFFFFF">
                                      <a:lumMod val="65000"/>
                                    </a:sysClr>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31D2DA5" id="Grupo 34" o:spid="_x0000_s1026" style="position:absolute;margin-left:124.9pt;margin-top:56.3pt;width:63.95pt;height:11.7pt;z-index:251718656;mso-width-relative:margin;mso-height-relative:margin" coordorigin=",2586" coordsize="10012,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">
                      <v:line id="Conector recto 497" o:spid="_x0000_s1027" style="position:absolute;flip:y;visibility:visible;mso-wrap-style:square" from="0,2586" to="937,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ntk8UAAADcAAAADwAAAGRycy9kb3ducmV2LnhtbESPW2sCMRSE3wv+h3AE3zRb8VK3RlkK&#10;hWqfvBR8PGxON1s3J0uS6vrvTUHo4zAz3zDLdWcbcSEfascKnkcZCOLS6ZorBcfD+/AFRIjIGhvH&#10;pOBGAdar3tMSc+2uvKPLPlYiQTjkqMDE2OZShtKQxTByLXHyvp23GJP0ldQerwluGznOspm0WHNa&#10;MNjSm6HyvP+1Cvxnh/XX6Ti208LQ5ge3s3OxVWrQ74pXEJG6+B9+tD+0gsliDn9n0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ntk8UAAADcAAAADwAAAAAAAAAA&#10;AAAAAAChAgAAZHJzL2Rvd25yZXYueG1sUEsFBgAAAAAEAAQA+QAAAJMDAAAAAA==&#10;" strokecolor="#a6a6a6" strokeweight="0">
                        <v:stroke joinstyle="miter"/>
                      </v:line>
                      <v:line id="Conector recto 498" o:spid="_x0000_s1028" style="position:absolute;visibility:visible;mso-wrap-style:square" from="937,2586" to="10012,2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lZEcEAAADcAAAADwAAAGRycy9kb3ducmV2LnhtbERPz2vCMBS+C/4P4Qm7aWoZQ6tR5sbA&#10;HWRox87P5rUpa15KktX63y+HwY4f3+/tfrSdGMiH1rGC5SIDQVw53XKj4LN8m69AhIissXNMCu4U&#10;YL+bTrZYaHfjMw2X2IgUwqFABSbGvpAyVIYshoXriRNXO28xJugbqT3eUrjtZJ5lT9Jiy6nBYE8v&#10;hqrvy49VcHq/vp4PH3lZ+tWXqU9Gcgi1Ug+z8XkDItIY/8V/7qNW8LhOa9OZd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2VkRwQAAANwAAAAPAAAAAAAAAAAAAAAA&#10;AKECAABkcnMvZG93bnJldi54bWxQSwUGAAAAAAQABAD5AAAAjwMAAAAA&#10;" strokecolor="#a6a6a6" strokeweight="0">
                        <v:stroke joinstyle="miter"/>
                      </v:line>
                    </v:group>
                  </w:pict>
                </mc:Fallback>
              </mc:AlternateContent>
            </w:r>
            <w:r w:rsidRPr="00165651">
              <w:rPr>
                <w:rFonts w:eastAsia="Times New Roman" w:cstheme="minorHAnsi"/>
                <w:b/>
                <w:bCs/>
                <w:noProof/>
                <w:color w:val="000000"/>
                <w:sz w:val="18"/>
                <w:szCs w:val="18"/>
              </w:rPr>
              <mc:AlternateContent>
                <mc:Choice Requires="wps">
                  <w:drawing>
                    <wp:anchor distT="0" distB="0" distL="114300" distR="114300" simplePos="0" relativeHeight="251714560" behindDoc="0" locked="0" layoutInCell="1" allowOverlap="1" wp14:anchorId="04A63E88" wp14:editId="78B9AA50">
                      <wp:simplePos x="0" y="0"/>
                      <wp:positionH relativeFrom="column">
                        <wp:posOffset>3657600</wp:posOffset>
                      </wp:positionH>
                      <wp:positionV relativeFrom="paragraph">
                        <wp:posOffset>1282700</wp:posOffset>
                      </wp:positionV>
                      <wp:extent cx="71755" cy="71755"/>
                      <wp:effectExtent l="57150" t="38100" r="42545" b="80645"/>
                      <wp:wrapNone/>
                      <wp:docPr id="499" name="Elipse 15"/>
                      <wp:cNvGraphicFramePr/>
                      <a:graphic xmlns:a="http://schemas.openxmlformats.org/drawingml/2006/main">
                        <a:graphicData uri="http://schemas.microsoft.com/office/word/2010/wordprocessingShape">
                          <wps:wsp>
                            <wps:cNvSpPr/>
                            <wps:spPr>
                              <a:xfrm>
                                <a:off x="0" y="0"/>
                                <a:ext cx="71755" cy="71755"/>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3EC33CE8" id="Elipse 15" o:spid="_x0000_s1026" style="position:absolute;margin-left:4in;margin-top:101pt;width:5.65pt;height:5.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" fillcolor="#f18c55" stroked="f">
                      <v:fill color2="#e56b17" rotate="t" colors="0 #f18c55;.5 #f67b28;1 #e56b17" focus="100%" type="gradient">
                        <o:fill v:ext="view" type="gradientUnscaled"/>
                      </v:fill>
                      <v:shadow on="t" color="black" opacity="41287f" offset="0,1.5pt"/>
                    </v:oval>
                  </w:pict>
                </mc:Fallback>
              </mc:AlternateContent>
            </w:r>
            <w:r w:rsidRPr="00165651">
              <w:rPr>
                <w:rFonts w:eastAsia="Times New Roman" w:cstheme="minorHAnsi"/>
                <w:b/>
                <w:bCs/>
                <w:noProof/>
                <w:color w:val="000000"/>
                <w:sz w:val="18"/>
                <w:szCs w:val="18"/>
              </w:rPr>
              <mc:AlternateContent>
                <mc:Choice Requires="wps">
                  <w:drawing>
                    <wp:anchor distT="0" distB="0" distL="114300" distR="114300" simplePos="0" relativeHeight="251713536" behindDoc="0" locked="0" layoutInCell="1" allowOverlap="1" wp14:anchorId="05C7C723" wp14:editId="5C2F37CB">
                      <wp:simplePos x="0" y="0"/>
                      <wp:positionH relativeFrom="column">
                        <wp:posOffset>1514475</wp:posOffset>
                      </wp:positionH>
                      <wp:positionV relativeFrom="paragraph">
                        <wp:posOffset>923925</wp:posOffset>
                      </wp:positionV>
                      <wp:extent cx="71755" cy="71755"/>
                      <wp:effectExtent l="57150" t="38100" r="42545" b="80645"/>
                      <wp:wrapNone/>
                      <wp:docPr id="500" name="Elipse 15"/>
                      <wp:cNvGraphicFramePr/>
                      <a:graphic xmlns:a="http://schemas.openxmlformats.org/drawingml/2006/main">
                        <a:graphicData uri="http://schemas.microsoft.com/office/word/2010/wordprocessingShape">
                          <wps:wsp>
                            <wps:cNvSpPr/>
                            <wps:spPr>
                              <a:xfrm>
                                <a:off x="0" y="0"/>
                                <a:ext cx="71755" cy="71755"/>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4D3F64D0" id="Elipse 15" o:spid="_x0000_s1026" style="position:absolute;margin-left:119.25pt;margin-top:72.75pt;width:5.65pt;height:5.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" fillcolor="#f18c55" stroked="f">
                      <v:fill color2="#e56b17" rotate="t" colors="0 #f18c55;.5 #f67b28;1 #e56b17" focus="100%" type="gradient">
                        <o:fill v:ext="view" type="gradientUnscaled"/>
                      </v:fill>
                      <v:shadow on="t" color="black" opacity="41287f" offset="0,1.5pt"/>
                    </v:oval>
                  </w:pict>
                </mc:Fallback>
              </mc:AlternateContent>
            </w:r>
            <w:r w:rsidRPr="00165651">
              <w:rPr>
                <w:rFonts w:eastAsia="Times New Roman" w:cstheme="minorHAnsi"/>
                <w:b/>
                <w:bCs/>
                <w:noProof/>
                <w:color w:val="000000"/>
                <w:sz w:val="18"/>
                <w:szCs w:val="18"/>
              </w:rPr>
              <w:drawing>
                <wp:inline distT="0" distB="0" distL="0" distR="0" wp14:anchorId="1A7C5BC9" wp14:editId="2FD9FD38">
                  <wp:extent cx="4240842" cy="2569884"/>
                  <wp:effectExtent l="0" t="0" r="7620" b="1905"/>
                  <wp:docPr id="104" name="Gráfico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tc>
      </w:tr>
      <w:tr w:rsidR="00EB3BC8" w:rsidRPr="00165651" w:rsidTr="005E52E0">
        <w:trPr>
          <w:trHeight w:val="1022"/>
        </w:trPr>
        <w:tc>
          <w:tcPr>
            <w:tcW w:w="1838" w:type="dxa"/>
            <w:shd w:val="clear" w:color="auto" w:fill="auto"/>
            <w:vAlign w:val="center"/>
          </w:tcPr>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r w:rsidRPr="00165651">
              <w:rPr>
                <w:rFonts w:eastAsia="Times New Roman" w:cstheme="minorHAnsi"/>
                <w:b/>
                <w:bCs/>
                <w:color w:val="000000"/>
                <w:sz w:val="16"/>
                <w:szCs w:val="20"/>
                <w:lang w:val="es" w:eastAsia="es-CO"/>
              </w:rPr>
              <w:t>Sistema ITCS a 30 de junio de 2015</w:t>
            </w: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p w:rsidR="00EB3BC8" w:rsidRPr="00165651" w:rsidRDefault="00EB3BC8" w:rsidP="005E52E0">
            <w:pPr>
              <w:jc w:val="both"/>
              <w:rPr>
                <w:rFonts w:eastAsia="Times New Roman" w:cstheme="minorHAnsi"/>
                <w:b/>
                <w:bCs/>
                <w:color w:val="000000"/>
                <w:sz w:val="16"/>
                <w:szCs w:val="20"/>
                <w:lang w:val="es" w:eastAsia="es-CO"/>
              </w:rPr>
            </w:pPr>
          </w:p>
        </w:tc>
        <w:tc>
          <w:tcPr>
            <w:tcW w:w="7229" w:type="dxa"/>
            <w:gridSpan w:val="2"/>
            <w:shd w:val="clear" w:color="auto" w:fill="auto"/>
            <w:vAlign w:val="center"/>
          </w:tcPr>
          <w:p w:rsidR="00EB3BC8" w:rsidRPr="00165651" w:rsidRDefault="00EB3BC8" w:rsidP="005E52E0">
            <w:pPr>
              <w:autoSpaceDE w:val="0"/>
              <w:autoSpaceDN w:val="0"/>
              <w:adjustRightInd w:val="0"/>
              <w:spacing w:before="120" w:line="276" w:lineRule="auto"/>
              <w:jc w:val="both"/>
              <w:rPr>
                <w:rFonts w:eastAsia="Times New Roman" w:cstheme="minorHAnsi"/>
                <w:color w:val="000000"/>
                <w:sz w:val="18"/>
                <w:szCs w:val="20"/>
                <w:lang w:val="es" w:eastAsia="es-CO"/>
              </w:rPr>
            </w:pPr>
            <w:r w:rsidRPr="00165651">
              <w:rPr>
                <w:rFonts w:eastAsia="Times New Roman" w:cstheme="minorHAnsi"/>
                <w:color w:val="000000"/>
                <w:sz w:val="18"/>
                <w:szCs w:val="20"/>
                <w:lang w:val="es" w:eastAsia="es-CO"/>
              </w:rPr>
              <w:t>Cumplidos los tiempos para las fases de implementación y puesta en marcha del sistema, la ANI solicitó a la firma Interventora la presentación del cronograma de verificación y recibo del cumplimiento del Concesionario referida a esta obligación, el cual fue adelantado hasta finales del mes de marzo de 2015, según la programación de verificación aprobada por esta Agencia y según comunicaciones presentadas por la interventoría.</w:t>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r w:rsidRPr="00165651">
              <w:rPr>
                <w:rFonts w:eastAsia="Times New Roman" w:cstheme="minorHAnsi"/>
                <w:color w:val="000000"/>
                <w:sz w:val="18"/>
                <w:szCs w:val="20"/>
                <w:lang w:val="es" w:eastAsia="es-CO"/>
              </w:rPr>
              <w:t xml:space="preserve">Como resultado del  recorrido efectuado  conforme a la programación de verificación realizada, la Interventoría al Contrato de Concesión, en sus cuatro (4) primeros informes presentados a la Entidad, manifestó el cumplimiento por parte del Concesionario, a manera general de las actividades propias de implementación del sistema ITCS como es: cableado eléctrico, fibra óptica, instalación de casetas, máquinas de cambio M23, electro switches / cambiavías de candado, equipos ITCS en estaciones y locomotoras, equipos de telecomunicaciones y equipos de transmisión de voz y datos, quedando pendiente el cumplimiento de algunas observaciones a realizar por parte del concesionario Fenoco S.A.  </w:t>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r w:rsidRPr="00165651">
              <w:rPr>
                <w:rFonts w:eastAsia="Times New Roman" w:cstheme="minorHAnsi"/>
                <w:color w:val="000000"/>
                <w:sz w:val="18"/>
                <w:szCs w:val="20"/>
                <w:lang w:val="es" w:eastAsia="es-CO"/>
              </w:rPr>
              <w:t>En el informe presentado el 14 de mayo de 2015, la Interventoría manifiesto que a la fecha de presentación de este informe, Fenoco S.A., se encontraba incumpliendo las obligaciones relacionadas con la implementación y puesta en marcha del sistema ITCS, en la medida que dicho sistema, a pesar de encontrase instalado, no se encuentra en operación.</w:t>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r w:rsidRPr="00165651">
              <w:rPr>
                <w:rFonts w:eastAsia="Times New Roman" w:cstheme="minorHAnsi"/>
                <w:color w:val="000000"/>
                <w:sz w:val="18"/>
                <w:szCs w:val="20"/>
                <w:lang w:val="es" w:eastAsia="es-CO"/>
              </w:rPr>
              <w:t>En este sentido y aprovechado la visita de seguimiento y control adelantada los días 25 al 27 de mayo de 2015, se realizó por parte de la Agencia, seguimiento y verificación al reporte presentado por la firma Interventora donde se pudo constatar, en los trenes vistos en vía, en la instalaciones, equipo e infraestructura inspeccionada y a la verificación realizada en el Centro de Control de Operaciones, el funcionamiento de los trenes observados y operados bajo el sistema ITCS.</w:t>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r w:rsidRPr="00165651">
              <w:rPr>
                <w:rFonts w:eastAsia="Times New Roman" w:cstheme="minorHAnsi"/>
                <w:color w:val="000000"/>
                <w:sz w:val="18"/>
                <w:szCs w:val="20"/>
                <w:lang w:val="es" w:eastAsia="es-CO"/>
              </w:rPr>
              <w:t>Por lo anterior, y con base en dicho recorrido, se solicitó a la firma Interventora informar si a la fecha, el Concesionario Fenoco S.A. cumplió efectivamente con la obligación de la instalación y puesta en marcha del sistema; recibido este informe y de no contar con la aprobación por parte de la Interventoría, se dará impulso al proceso de incumplimiento de acuerdo con lo establecido en la  Cláusula 104 del Contrato de Concesión.</w:t>
            </w:r>
          </w:p>
          <w:p w:rsidR="00EB3BC8" w:rsidRPr="00165651" w:rsidRDefault="00EB3BC8" w:rsidP="005E52E0">
            <w:pPr>
              <w:autoSpaceDE w:val="0"/>
              <w:autoSpaceDN w:val="0"/>
              <w:adjustRightInd w:val="0"/>
              <w:spacing w:line="276" w:lineRule="auto"/>
              <w:jc w:val="both"/>
              <w:rPr>
                <w:rFonts w:eastAsia="Times New Roman" w:cstheme="minorHAnsi"/>
                <w:sz w:val="18"/>
                <w:szCs w:val="20"/>
                <w:lang w:val="es-CO" w:eastAsia="es-CO"/>
              </w:rPr>
            </w:pPr>
          </w:p>
        </w:tc>
      </w:tr>
      <w:tr w:rsidR="00EB3BC8" w:rsidRPr="00165651" w:rsidTr="005E52E0">
        <w:trPr>
          <w:trHeight w:val="835"/>
        </w:trPr>
        <w:tc>
          <w:tcPr>
            <w:tcW w:w="1838" w:type="dxa"/>
            <w:shd w:val="clear" w:color="auto" w:fill="auto"/>
            <w:vAlign w:val="center"/>
          </w:tcPr>
          <w:p w:rsidR="00EB3BC8" w:rsidRPr="00165651" w:rsidRDefault="00EB3BC8" w:rsidP="005E52E0">
            <w:pPr>
              <w:rPr>
                <w:rFonts w:eastAsia="Times New Roman" w:cstheme="minorHAnsi"/>
                <w:b/>
                <w:bCs/>
                <w:color w:val="000000"/>
                <w:sz w:val="16"/>
                <w:szCs w:val="20"/>
                <w:lang w:val="es" w:eastAsia="es-CO"/>
              </w:rPr>
            </w:pPr>
            <w:r w:rsidRPr="00165651">
              <w:rPr>
                <w:rFonts w:eastAsia="Times New Roman" w:cstheme="minorHAnsi"/>
                <w:b/>
                <w:bCs/>
                <w:color w:val="000000"/>
                <w:sz w:val="18"/>
                <w:szCs w:val="20"/>
                <w:lang w:val="es" w:eastAsia="es-CO"/>
              </w:rPr>
              <w:t>Reasentamientos Poblacional Loma Colorada y Algarrobo</w:t>
            </w:r>
          </w:p>
        </w:tc>
        <w:tc>
          <w:tcPr>
            <w:tcW w:w="7229" w:type="dxa"/>
            <w:gridSpan w:val="2"/>
            <w:shd w:val="clear" w:color="auto" w:fill="auto"/>
            <w:vAlign w:val="center"/>
          </w:tcPr>
          <w:p w:rsidR="00EB3BC8" w:rsidRPr="00165651" w:rsidRDefault="00EB3BC8" w:rsidP="005E52E0">
            <w:pPr>
              <w:autoSpaceDE w:val="0"/>
              <w:autoSpaceDN w:val="0"/>
              <w:adjustRightInd w:val="0"/>
              <w:spacing w:before="40" w:after="40" w:line="276" w:lineRule="auto"/>
              <w:jc w:val="both"/>
              <w:rPr>
                <w:rFonts w:eastAsia="Times New Roman" w:cstheme="minorHAnsi"/>
                <w:color w:val="000000"/>
                <w:sz w:val="18"/>
                <w:szCs w:val="20"/>
                <w:lang w:val="es" w:eastAsia="es-CO"/>
              </w:rPr>
            </w:pPr>
            <w:r w:rsidRPr="00165651">
              <w:rPr>
                <w:rFonts w:eastAsia="Times New Roman" w:cstheme="minorHAnsi"/>
                <w:color w:val="000000"/>
                <w:sz w:val="18"/>
                <w:szCs w:val="20"/>
                <w:lang w:val="es" w:eastAsia="es-CO"/>
              </w:rPr>
              <w:t>En relación a la implementación del plan de reasentamientos poblacional en las comunidades de Loma Colorada y Algarrobo, a continuación se muestra el avance del primer trimestre del año 2015, de los procesos de</w:t>
            </w:r>
            <w:r w:rsidRPr="00165651">
              <w:rPr>
                <w:rFonts w:eastAsia="Times New Roman" w:cstheme="minorHAnsi"/>
                <w:sz w:val="18"/>
                <w:szCs w:val="20"/>
                <w:lang w:val="es" w:eastAsia="es-CO"/>
              </w:rPr>
              <w:t xml:space="preserve"> </w:t>
            </w:r>
            <w:r w:rsidRPr="00165651">
              <w:rPr>
                <w:rFonts w:eastAsia="Times New Roman" w:cstheme="minorHAnsi"/>
                <w:color w:val="000000"/>
                <w:sz w:val="18"/>
                <w:szCs w:val="20"/>
                <w:lang w:val="es" w:eastAsia="es-CO"/>
              </w:rPr>
              <w:t xml:space="preserve">Reasentamiento en Otro Sitio (ROS), Reasentamiento en Sitio Propio (RSP) y por compensación económica. </w:t>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r w:rsidRPr="00165651">
              <w:rPr>
                <w:rFonts w:eastAsia="Times New Roman" w:cstheme="minorHAnsi"/>
                <w:color w:val="000000"/>
                <w:sz w:val="18"/>
                <w:szCs w:val="20"/>
                <w:lang w:val="es" w:eastAsia="es-CO"/>
              </w:rPr>
              <w:t>La siguiente tabla se presentan las familias que se acogieron al plan de Reasentamiento en Otro Sitio (ROS), en las poblaciones Loma Colorada - Bosconia, La Estación – Algarrobo.</w:t>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b/>
                <w:color w:val="000000"/>
                <w:sz w:val="18"/>
                <w:szCs w:val="20"/>
                <w:lang w:val="es" w:eastAsia="es-CO"/>
              </w:rPr>
            </w:pPr>
            <w:r w:rsidRPr="00165651">
              <w:rPr>
                <w:rFonts w:eastAsia="Times New Roman" w:cstheme="minorHAnsi"/>
                <w:b/>
                <w:color w:val="000000"/>
                <w:sz w:val="18"/>
                <w:szCs w:val="20"/>
                <w:lang w:val="es" w:eastAsia="es-CO"/>
              </w:rPr>
              <w:t>Avance con corte al 30 de junio de 2015</w:t>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r w:rsidRPr="00165651">
              <w:rPr>
                <w:rFonts w:eastAsia="Times New Roman" w:cstheme="minorHAnsi"/>
                <w:noProof/>
                <w:color w:val="000000"/>
                <w:sz w:val="18"/>
                <w:szCs w:val="20"/>
              </w:rPr>
              <w:lastRenderedPageBreak/>
              <w:drawing>
                <wp:inline distT="0" distB="0" distL="0" distR="0" wp14:anchorId="58D426F5" wp14:editId="5DE76822">
                  <wp:extent cx="4407535" cy="3088257"/>
                  <wp:effectExtent l="0" t="0" r="0" b="0"/>
                  <wp:docPr id="105" name="Gráfico 10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r w:rsidRPr="00165651">
              <w:rPr>
                <w:rFonts w:eastAsia="Times New Roman" w:cstheme="minorHAnsi"/>
                <w:noProof/>
                <w:sz w:val="18"/>
                <w:szCs w:val="20"/>
              </w:rPr>
              <w:drawing>
                <wp:inline distT="0" distB="0" distL="0" distR="0" wp14:anchorId="1192C61B" wp14:editId="46C6C6E9">
                  <wp:extent cx="4305899" cy="2519660"/>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a:srcRect l="15113" t="18596" r="19664" b="13557"/>
                          <a:stretch/>
                        </pic:blipFill>
                        <pic:spPr bwMode="auto">
                          <a:xfrm>
                            <a:off x="0" y="0"/>
                            <a:ext cx="4306480" cy="2520000"/>
                          </a:xfrm>
                          <a:prstGeom prst="rect">
                            <a:avLst/>
                          </a:prstGeom>
                          <a:ln>
                            <a:noFill/>
                          </a:ln>
                          <a:extLst>
                            <a:ext uri="{53640926-AAD7-44D8-BBD7-CCE9431645EC}">
                              <a14:shadowObscured xmlns:a14="http://schemas.microsoft.com/office/drawing/2010/main"/>
                            </a:ext>
                          </a:extLst>
                        </pic:spPr>
                      </pic:pic>
                    </a:graphicData>
                  </a:graphic>
                </wp:inline>
              </w:drawing>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r w:rsidRPr="00165651">
              <w:rPr>
                <w:rFonts w:eastAsia="Times New Roman" w:cstheme="minorHAnsi"/>
                <w:color w:val="000000"/>
                <w:sz w:val="18"/>
                <w:szCs w:val="20"/>
                <w:lang w:val="es" w:eastAsia="es-CO"/>
              </w:rPr>
              <w:br/>
            </w:r>
          </w:p>
          <w:p w:rsidR="00EB3BC8" w:rsidRPr="00165651" w:rsidRDefault="00EB3BC8" w:rsidP="005E52E0">
            <w:pPr>
              <w:autoSpaceDE w:val="0"/>
              <w:autoSpaceDN w:val="0"/>
              <w:adjustRightInd w:val="0"/>
              <w:spacing w:line="276" w:lineRule="auto"/>
              <w:jc w:val="center"/>
              <w:rPr>
                <w:rFonts w:eastAsia="Times New Roman" w:cstheme="minorHAnsi"/>
                <w:color w:val="000000"/>
                <w:sz w:val="18"/>
                <w:szCs w:val="20"/>
                <w:lang w:val="es" w:eastAsia="es-CO"/>
              </w:rPr>
            </w:pPr>
            <w:r w:rsidRPr="00165651">
              <w:rPr>
                <w:rFonts w:eastAsia="Times New Roman" w:cstheme="minorHAnsi"/>
                <w:noProof/>
                <w:sz w:val="18"/>
                <w:szCs w:val="20"/>
              </w:rPr>
              <w:lastRenderedPageBreak/>
              <w:drawing>
                <wp:inline distT="0" distB="0" distL="0" distR="0" wp14:anchorId="52C9AEF6" wp14:editId="1E49F6CD">
                  <wp:extent cx="4159398" cy="2988000"/>
                  <wp:effectExtent l="0" t="0" r="0" b="317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srcRect l="23060" t="20317" r="25967" b="14589"/>
                          <a:stretch/>
                        </pic:blipFill>
                        <pic:spPr bwMode="auto">
                          <a:xfrm>
                            <a:off x="0" y="0"/>
                            <a:ext cx="4159398" cy="2988000"/>
                          </a:xfrm>
                          <a:prstGeom prst="rect">
                            <a:avLst/>
                          </a:prstGeom>
                          <a:ln>
                            <a:noFill/>
                          </a:ln>
                          <a:extLst>
                            <a:ext uri="{53640926-AAD7-44D8-BBD7-CCE9431645EC}">
                              <a14:shadowObscured xmlns:a14="http://schemas.microsoft.com/office/drawing/2010/main"/>
                            </a:ext>
                          </a:extLst>
                        </pic:spPr>
                      </pic:pic>
                    </a:graphicData>
                  </a:graphic>
                </wp:inline>
              </w:drawing>
            </w:r>
          </w:p>
          <w:p w:rsidR="00EB3BC8" w:rsidRPr="00165651" w:rsidRDefault="00EB3BC8" w:rsidP="005E52E0">
            <w:pPr>
              <w:autoSpaceDE w:val="0"/>
              <w:autoSpaceDN w:val="0"/>
              <w:adjustRightInd w:val="0"/>
              <w:spacing w:line="276" w:lineRule="auto"/>
              <w:jc w:val="both"/>
              <w:rPr>
                <w:rFonts w:eastAsia="Times New Roman" w:cstheme="minorHAnsi"/>
                <w:color w:val="000000"/>
                <w:sz w:val="18"/>
                <w:szCs w:val="20"/>
                <w:lang w:val="es" w:eastAsia="es-CO"/>
              </w:rPr>
            </w:pPr>
          </w:p>
        </w:tc>
      </w:tr>
      <w:tr w:rsidR="00EB3BC8" w:rsidRPr="00165651" w:rsidTr="005E52E0">
        <w:trPr>
          <w:trHeight w:val="835"/>
        </w:trPr>
        <w:tc>
          <w:tcPr>
            <w:tcW w:w="1838" w:type="dxa"/>
            <w:shd w:val="clear" w:color="auto" w:fill="auto"/>
            <w:vAlign w:val="center"/>
          </w:tcPr>
          <w:p w:rsidR="00EB3BC8" w:rsidRPr="00165651" w:rsidRDefault="00EB3BC8" w:rsidP="005E52E0">
            <w:pPr>
              <w:spacing w:before="40" w:after="40" w:line="276" w:lineRule="auto"/>
              <w:rPr>
                <w:rFonts w:eastAsia="Times New Roman" w:cstheme="minorHAnsi"/>
                <w:b/>
                <w:color w:val="000000" w:themeColor="text1"/>
                <w:sz w:val="18"/>
                <w:szCs w:val="16"/>
                <w:lang w:val="es-CO" w:eastAsia="es-CO"/>
              </w:rPr>
            </w:pPr>
            <w:r w:rsidRPr="00165651">
              <w:rPr>
                <w:rFonts w:eastAsia="Times New Roman" w:cstheme="minorHAnsi"/>
                <w:b/>
                <w:color w:val="000000" w:themeColor="text1"/>
                <w:sz w:val="18"/>
                <w:szCs w:val="16"/>
                <w:lang w:val="es-CO" w:eastAsia="es-CO"/>
              </w:rPr>
              <w:lastRenderedPageBreak/>
              <w:t>Principales actividades ejecutadas al 30 de junio de 2015.</w:t>
            </w:r>
          </w:p>
        </w:tc>
        <w:tc>
          <w:tcPr>
            <w:tcW w:w="7229" w:type="dxa"/>
            <w:gridSpan w:val="2"/>
            <w:shd w:val="clear" w:color="auto" w:fill="auto"/>
            <w:vAlign w:val="center"/>
          </w:tcPr>
          <w:p w:rsidR="00EB3BC8" w:rsidRPr="00165651" w:rsidRDefault="00EB3BC8" w:rsidP="005E52E0">
            <w:pPr>
              <w:spacing w:before="120" w:line="276" w:lineRule="auto"/>
              <w:jc w:val="both"/>
              <w:rPr>
                <w:rFonts w:eastAsia="Times New Roman" w:cstheme="minorHAnsi"/>
                <w:spacing w:val="-4"/>
                <w:sz w:val="18"/>
                <w:szCs w:val="16"/>
                <w:lang w:eastAsia="es-CO"/>
              </w:rPr>
            </w:pPr>
            <w:r w:rsidRPr="00165651">
              <w:rPr>
                <w:rFonts w:eastAsia="Times New Roman" w:cstheme="minorHAnsi"/>
                <w:spacing w:val="-2"/>
                <w:sz w:val="18"/>
                <w:szCs w:val="16"/>
                <w:lang w:val="es-CO" w:eastAsia="es-CO"/>
              </w:rPr>
              <w:t xml:space="preserve">Se trabajó en la propuesta del tren de pasajeros </w:t>
            </w:r>
            <w:r w:rsidRPr="00165651">
              <w:rPr>
                <w:rFonts w:eastAsia="Times New Roman" w:cstheme="minorHAnsi"/>
                <w:spacing w:val="-4"/>
                <w:sz w:val="18"/>
                <w:szCs w:val="16"/>
                <w:lang w:eastAsia="es-CO"/>
              </w:rPr>
              <w:t xml:space="preserve">la cual fue presentada a Fencoco S.A. para comentarios finales </w:t>
            </w:r>
          </w:p>
          <w:p w:rsidR="00EB3BC8" w:rsidRPr="00165651" w:rsidRDefault="00EB3BC8" w:rsidP="005E52E0">
            <w:pPr>
              <w:spacing w:before="120" w:line="276" w:lineRule="auto"/>
              <w:jc w:val="both"/>
              <w:rPr>
                <w:rFonts w:eastAsia="Times New Roman" w:cstheme="minorHAnsi"/>
                <w:spacing w:val="-4"/>
                <w:sz w:val="18"/>
                <w:szCs w:val="16"/>
                <w:lang w:val="es-CO" w:eastAsia="es-CO"/>
              </w:rPr>
            </w:pPr>
            <w:r w:rsidRPr="00165651">
              <w:rPr>
                <w:rFonts w:eastAsia="Times New Roman" w:cstheme="minorHAnsi"/>
                <w:spacing w:val="-4"/>
                <w:sz w:val="18"/>
                <w:szCs w:val="16"/>
                <w:lang w:eastAsia="es-CO"/>
              </w:rPr>
              <w:t xml:space="preserve">Se </w:t>
            </w:r>
            <w:r w:rsidRPr="00165651">
              <w:rPr>
                <w:rFonts w:eastAsia="Times New Roman" w:cstheme="minorHAnsi"/>
                <w:spacing w:val="-4"/>
                <w:sz w:val="18"/>
                <w:szCs w:val="16"/>
                <w:lang w:val="es-CO" w:eastAsia="es-CO"/>
              </w:rPr>
              <w:t>realizó visita  de</w:t>
            </w:r>
            <w:r w:rsidRPr="00165651">
              <w:rPr>
                <w:rFonts w:eastAsia="Times New Roman" w:cstheme="minorHAnsi"/>
                <w:sz w:val="18"/>
                <w:szCs w:val="20"/>
                <w:lang w:val="es-CO" w:eastAsia="es-CO"/>
              </w:rPr>
              <w:t xml:space="preserve"> </w:t>
            </w:r>
            <w:r w:rsidRPr="00165651">
              <w:rPr>
                <w:rFonts w:eastAsia="Times New Roman" w:cstheme="minorHAnsi"/>
                <w:spacing w:val="-4"/>
                <w:sz w:val="18"/>
                <w:szCs w:val="16"/>
                <w:lang w:val="es-CO" w:eastAsia="es-CO"/>
              </w:rPr>
              <w:t>Acompañamiento al equipo de la Contraloría General de la Republica al proceso de Auditoría adelantado al proyecto de Concesión de la Red Férrea del Atlántico – Fenoco S.A. – Contrato de Concesión O-ATLA-00-99 del 9 de septiembre de 1.999</w:t>
            </w:r>
          </w:p>
          <w:p w:rsidR="00EB3BC8" w:rsidRPr="00165651" w:rsidRDefault="00EB3BC8" w:rsidP="005E52E0">
            <w:pPr>
              <w:spacing w:before="120" w:line="276" w:lineRule="auto"/>
              <w:jc w:val="both"/>
              <w:rPr>
                <w:rFonts w:eastAsia="Times New Roman" w:cstheme="minorHAnsi"/>
                <w:spacing w:val="-4"/>
                <w:sz w:val="18"/>
                <w:szCs w:val="16"/>
                <w:lang w:val="es-CO" w:eastAsia="es-CO"/>
              </w:rPr>
            </w:pPr>
            <w:r w:rsidRPr="00165651">
              <w:rPr>
                <w:rFonts w:eastAsia="Times New Roman" w:cstheme="minorHAnsi"/>
                <w:spacing w:val="-4"/>
                <w:sz w:val="18"/>
                <w:szCs w:val="16"/>
                <w:lang w:val="es-CO" w:eastAsia="es-CO"/>
              </w:rPr>
              <w:t>Se dio soporte al área de Defensa Judicial de la ANI a la respuesta a la Acción de Tutela No. 4520563 de 2015 la cual Suspende por tres (3) meses la construcción de la segunda línea en todas las áreas de influencia de la vía férrea y se suspende por tres (3) meses el transporte férreo de carbón entre las 22:30 y las 04:30 de lunes a domingo en los municipios de Algarrobo, Zona Bananera y Fundación</w:t>
            </w:r>
          </w:p>
          <w:p w:rsidR="00EB3BC8" w:rsidRPr="00165651" w:rsidRDefault="00EB3BC8" w:rsidP="005E52E0">
            <w:pPr>
              <w:spacing w:before="120" w:line="276" w:lineRule="auto"/>
              <w:jc w:val="both"/>
              <w:rPr>
                <w:rFonts w:eastAsia="Times New Roman" w:cstheme="minorHAnsi"/>
                <w:spacing w:val="-4"/>
                <w:sz w:val="18"/>
                <w:szCs w:val="16"/>
                <w:lang w:val="es-CO" w:eastAsia="es-CO"/>
              </w:rPr>
            </w:pPr>
            <w:r w:rsidRPr="00165651">
              <w:rPr>
                <w:rFonts w:eastAsia="Times New Roman" w:cstheme="minorHAnsi"/>
                <w:spacing w:val="-4"/>
                <w:sz w:val="18"/>
                <w:szCs w:val="16"/>
                <w:lang w:val="es-CO" w:eastAsia="es-CO"/>
              </w:rPr>
              <w:t>Se dio aprobación a los pagos de los mes de marzo a junio al contrato 001 de 2013 para la Implementación del Plan de Reasentamiento en Loma Colorada, Algarrobo y Lleras</w:t>
            </w:r>
          </w:p>
          <w:p w:rsidR="00EB3BC8" w:rsidRPr="00165651" w:rsidRDefault="00EB3BC8" w:rsidP="005E52E0">
            <w:pPr>
              <w:spacing w:before="120" w:line="276" w:lineRule="auto"/>
              <w:jc w:val="both"/>
              <w:rPr>
                <w:rFonts w:eastAsia="Times New Roman" w:cstheme="minorHAnsi"/>
                <w:spacing w:val="-4"/>
                <w:sz w:val="18"/>
                <w:szCs w:val="16"/>
                <w:lang w:val="es-CO" w:eastAsia="es-CO"/>
              </w:rPr>
            </w:pPr>
            <w:r w:rsidRPr="00165651">
              <w:rPr>
                <w:rFonts w:eastAsia="Times New Roman" w:cstheme="minorHAnsi"/>
                <w:spacing w:val="-4"/>
                <w:sz w:val="18"/>
                <w:szCs w:val="16"/>
                <w:lang w:val="es-CO" w:eastAsia="es-CO"/>
              </w:rPr>
              <w:t>Se realizó reunión de avance del estado actual del reasentamiento en Loma Colorada, Algarrobo y Lleras</w:t>
            </w:r>
          </w:p>
          <w:p w:rsidR="00EB3BC8" w:rsidRPr="00165651" w:rsidRDefault="00EB3BC8" w:rsidP="005E52E0">
            <w:pPr>
              <w:spacing w:before="120" w:after="120" w:line="276" w:lineRule="auto"/>
              <w:jc w:val="both"/>
              <w:rPr>
                <w:rFonts w:eastAsia="Times New Roman" w:cstheme="minorHAnsi"/>
                <w:spacing w:val="-2"/>
                <w:sz w:val="18"/>
                <w:szCs w:val="16"/>
                <w:lang w:val="es-CO" w:eastAsia="es-CO"/>
              </w:rPr>
            </w:pPr>
            <w:r w:rsidRPr="00165651">
              <w:rPr>
                <w:rFonts w:eastAsia="Times New Roman" w:cstheme="minorHAnsi"/>
                <w:spacing w:val="-2"/>
                <w:sz w:val="18"/>
                <w:szCs w:val="16"/>
                <w:lang w:val="es-CO" w:eastAsia="es-CO"/>
              </w:rPr>
              <w:t>Según matriz del Plan de Manejo Institucional PMI, todos los hallazgos de la concesión Férrea del Atlántico se encuentran al 100% por lo que mediante memorando interno a la Oficina de Control Interno se solicitó el cierre de los 17 hallazgos que hacen parte de la matriz PMI</w:t>
            </w:r>
          </w:p>
          <w:p w:rsidR="00EB3BC8" w:rsidRPr="00165651" w:rsidRDefault="00EB3BC8" w:rsidP="005E52E0">
            <w:pPr>
              <w:spacing w:before="120" w:after="120" w:line="276" w:lineRule="auto"/>
              <w:jc w:val="both"/>
              <w:rPr>
                <w:rFonts w:eastAsia="Times New Roman" w:cstheme="minorHAnsi"/>
                <w:spacing w:val="-2"/>
                <w:sz w:val="18"/>
                <w:szCs w:val="16"/>
                <w:lang w:val="es-CO" w:eastAsia="es-CO"/>
              </w:rPr>
            </w:pPr>
          </w:p>
        </w:tc>
      </w:tr>
      <w:tr w:rsidR="00EB3BC8" w:rsidRPr="00165651" w:rsidTr="005E52E0">
        <w:trPr>
          <w:trHeight w:val="342"/>
        </w:trPr>
        <w:tc>
          <w:tcPr>
            <w:tcW w:w="9067" w:type="dxa"/>
            <w:gridSpan w:val="3"/>
            <w:tcBorders>
              <w:bottom w:val="single" w:sz="4" w:space="0" w:color="BFBFBF" w:themeColor="background1" w:themeShade="BF"/>
            </w:tcBorders>
            <w:vAlign w:val="center"/>
          </w:tcPr>
          <w:p w:rsidR="00EB3BC8" w:rsidRPr="00165651" w:rsidRDefault="00EB3BC8" w:rsidP="005E52E0">
            <w:pPr>
              <w:spacing w:before="120" w:after="40" w:line="276" w:lineRule="auto"/>
              <w:rPr>
                <w:rFonts w:eastAsia="Times New Roman" w:cstheme="minorHAnsi"/>
                <w:b/>
                <w:color w:val="000000" w:themeColor="text1"/>
                <w:sz w:val="18"/>
                <w:szCs w:val="16"/>
                <w:lang w:val="es-CO" w:eastAsia="es-CO"/>
              </w:rPr>
            </w:pPr>
            <w:r w:rsidRPr="00165651">
              <w:rPr>
                <w:rFonts w:eastAsia="Times New Roman" w:cstheme="minorHAnsi"/>
                <w:b/>
                <w:color w:val="000000" w:themeColor="text1"/>
                <w:sz w:val="18"/>
                <w:szCs w:val="16"/>
                <w:lang w:val="es-CO" w:eastAsia="es-CO"/>
              </w:rPr>
              <w:t xml:space="preserve">Registro Fotográfico Proyecto a 30 de Junio de 2015 – </w:t>
            </w:r>
            <w:r w:rsidRPr="00165651">
              <w:rPr>
                <w:rFonts w:eastAsia="Times New Roman" w:cstheme="minorHAnsi"/>
                <w:color w:val="000000" w:themeColor="text1"/>
                <w:sz w:val="18"/>
                <w:szCs w:val="16"/>
                <w:lang w:val="es-CO" w:eastAsia="es-CO"/>
              </w:rPr>
              <w:t>Registro Fotográfico 25-28 de Mayo de 2015</w:t>
            </w:r>
          </w:p>
        </w:tc>
      </w:tr>
      <w:tr w:rsidR="00EB3BC8" w:rsidRPr="00165651" w:rsidTr="005E52E0">
        <w:trPr>
          <w:trHeight w:val="342"/>
        </w:trPr>
        <w:tc>
          <w:tcPr>
            <w:tcW w:w="9067" w:type="dxa"/>
            <w:gridSpan w:val="3"/>
            <w:tcBorders>
              <w:bottom w:val="single" w:sz="4" w:space="0" w:color="BFBFBF" w:themeColor="background1" w:themeShade="BF"/>
            </w:tcBorders>
            <w:vAlign w:val="center"/>
          </w:tcPr>
          <w:p w:rsidR="00EB3BC8" w:rsidRPr="00165651" w:rsidRDefault="00EB3BC8" w:rsidP="005E52E0">
            <w:pPr>
              <w:spacing w:before="120" w:after="40"/>
              <w:rPr>
                <w:rFonts w:eastAsia="Times New Roman" w:cstheme="minorHAnsi"/>
                <w:b/>
                <w:color w:val="000000" w:themeColor="text1"/>
                <w:sz w:val="6"/>
                <w:szCs w:val="16"/>
                <w:lang w:val="es-CO" w:eastAsia="es-CO"/>
              </w:rPr>
            </w:pPr>
          </w:p>
          <w:tbl>
            <w:tblPr>
              <w:tblStyle w:val="Tablaconcuadrcula22"/>
              <w:tblW w:w="8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46"/>
              <w:gridCol w:w="4446"/>
            </w:tblGrid>
            <w:tr w:rsidR="00EB3BC8" w:rsidRPr="00165651" w:rsidTr="005E52E0">
              <w:tc>
                <w:tcPr>
                  <w:tcW w:w="4446" w:type="dxa"/>
                </w:tcPr>
                <w:p w:rsidR="00EB3BC8" w:rsidRPr="00165651" w:rsidRDefault="00EB3BC8" w:rsidP="0005003A">
                  <w:pPr>
                    <w:framePr w:hSpace="141" w:wrap="around" w:vAnchor="text" w:hAnchor="text" w:y="1"/>
                    <w:spacing w:before="120" w:after="40"/>
                    <w:suppressOverlap/>
                    <w:rPr>
                      <w:rFonts w:eastAsia="Times New Roman" w:cstheme="minorHAnsi"/>
                      <w:b/>
                      <w:color w:val="000000" w:themeColor="text1"/>
                      <w:sz w:val="16"/>
                      <w:szCs w:val="16"/>
                      <w:lang w:val="es-CO" w:eastAsia="es-CO"/>
                    </w:rPr>
                  </w:pPr>
                  <w:r w:rsidRPr="00165651">
                    <w:rPr>
                      <w:rFonts w:eastAsia="Times New Roman" w:cstheme="minorHAnsi"/>
                      <w:noProof/>
                      <w:sz w:val="16"/>
                    </w:rPr>
                    <w:lastRenderedPageBreak/>
                    <w:drawing>
                      <wp:inline distT="0" distB="0" distL="0" distR="0" wp14:anchorId="168DCB60" wp14:editId="58BFDE7E">
                        <wp:extent cx="2520000" cy="1800000"/>
                        <wp:effectExtent l="57150" t="57150" r="109220" b="105410"/>
                        <wp:docPr id="108" name="Imagen 108" descr="C:\Supervisión FENOCO\Vigencia 2015\Informes de Comisión\Contraloria\IMG_117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upervisión FENOCO\Vigencia 2015\Informes de Comisión\Contraloria\IMG_1175.JPG"/>
                                <pic:cNvPicPr>
                                  <a:picLocks noChangeAspect="1" noChangeArrowheads="1"/>
                                </pic:cNvPicPr>
                              </pic:nvPicPr>
                              <pic:blipFill>
                                <a:blip r:embed="rId171" cstate="print">
                                  <a:lum contrast="20000"/>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w="3175">
                                  <a:solidFill>
                                    <a:sysClr val="window" lastClr="FFFFFF">
                                      <a:lumMod val="75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before="120" w:after="40"/>
                    <w:suppressOverlap/>
                    <w:jc w:val="center"/>
                    <w:rPr>
                      <w:rFonts w:eastAsia="Times New Roman" w:cstheme="minorHAnsi"/>
                      <w:b/>
                      <w:color w:val="000000" w:themeColor="text1"/>
                      <w:sz w:val="16"/>
                      <w:szCs w:val="16"/>
                      <w:lang w:val="es-CO" w:eastAsia="es-CO"/>
                    </w:rPr>
                  </w:pPr>
                  <w:r w:rsidRPr="00165651">
                    <w:rPr>
                      <w:rFonts w:eastAsia="Times New Roman" w:cstheme="minorHAnsi"/>
                      <w:sz w:val="16"/>
                      <w:szCs w:val="18"/>
                      <w:lang w:val="es-CO" w:eastAsia="es-CO"/>
                    </w:rPr>
                    <w:t>Estado traviesas puente PK725+500</w:t>
                  </w:r>
                </w:p>
              </w:tc>
              <w:tc>
                <w:tcPr>
                  <w:tcW w:w="4446" w:type="dxa"/>
                </w:tcPr>
                <w:p w:rsidR="00EB3BC8" w:rsidRPr="00165651" w:rsidRDefault="00EB3BC8" w:rsidP="0005003A">
                  <w:pPr>
                    <w:framePr w:hSpace="141" w:wrap="around" w:vAnchor="text" w:hAnchor="text" w:y="1"/>
                    <w:spacing w:before="120" w:after="40"/>
                    <w:suppressOverlap/>
                    <w:rPr>
                      <w:rFonts w:eastAsia="Times New Roman" w:cstheme="minorHAnsi"/>
                      <w:b/>
                      <w:color w:val="000000" w:themeColor="text1"/>
                      <w:sz w:val="16"/>
                      <w:szCs w:val="16"/>
                      <w:lang w:val="es-CO" w:eastAsia="es-CO"/>
                    </w:rPr>
                  </w:pPr>
                  <w:r w:rsidRPr="00165651">
                    <w:rPr>
                      <w:rFonts w:eastAsia="Times New Roman" w:cstheme="minorHAnsi"/>
                      <w:noProof/>
                      <w:sz w:val="16"/>
                    </w:rPr>
                    <w:drawing>
                      <wp:inline distT="0" distB="0" distL="0" distR="0" wp14:anchorId="53C75F97" wp14:editId="22AAF933">
                        <wp:extent cx="2520000" cy="1800000"/>
                        <wp:effectExtent l="57150" t="57150" r="109220" b="105410"/>
                        <wp:docPr id="109" name="Imagen 109" descr="C:\Supervisión FENOCO\Vigencia 2015\Informes de Comisión\Contraloria\IMG_11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Supervisión FENOCO\Vigencia 2015\Informes de Comisión\Contraloria\IMG_1188.JPG"/>
                                <pic:cNvPicPr>
                                  <a:picLocks noChangeAspect="1" noChangeArrowheads="1"/>
                                </pic:cNvPicPr>
                              </pic:nvPicPr>
                              <pic:blipFill>
                                <a:blip r:embed="rId172" cstate="print">
                                  <a:lum contrast="20000"/>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w="3175">
                                  <a:solidFill>
                                    <a:sysClr val="window" lastClr="FFFFFF">
                                      <a:lumMod val="75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before="120" w:after="40"/>
                    <w:suppressOverlap/>
                    <w:rPr>
                      <w:rFonts w:eastAsia="Times New Roman" w:cstheme="minorHAnsi"/>
                      <w:b/>
                      <w:color w:val="000000" w:themeColor="text1"/>
                      <w:sz w:val="16"/>
                      <w:szCs w:val="16"/>
                      <w:lang w:val="es-CO" w:eastAsia="es-CO"/>
                    </w:rPr>
                  </w:pPr>
                  <w:r w:rsidRPr="00165651">
                    <w:rPr>
                      <w:rFonts w:eastAsia="Times New Roman" w:cstheme="minorHAnsi"/>
                      <w:b/>
                      <w:color w:val="000000" w:themeColor="text1"/>
                      <w:sz w:val="16"/>
                      <w:szCs w:val="16"/>
                      <w:lang w:val="es-CO" w:eastAsia="es-CO"/>
                    </w:rPr>
                    <w:t xml:space="preserve">             Locomotora Drummont </w:t>
                  </w:r>
                  <w:r w:rsidRPr="00165651">
                    <w:rPr>
                      <w:rFonts w:eastAsia="Times New Roman" w:cstheme="minorHAnsi"/>
                      <w:sz w:val="16"/>
                      <w:szCs w:val="18"/>
                      <w:lang w:val="es-CO" w:eastAsia="es-CO"/>
                    </w:rPr>
                    <w:t>entrada al corredor</w:t>
                  </w:r>
                </w:p>
              </w:tc>
            </w:tr>
            <w:tr w:rsidR="00EB3BC8" w:rsidRPr="00165651" w:rsidTr="005E52E0">
              <w:tc>
                <w:tcPr>
                  <w:tcW w:w="4446" w:type="dxa"/>
                </w:tcPr>
                <w:p w:rsidR="00EB3BC8" w:rsidRPr="00165651" w:rsidRDefault="00EB3BC8" w:rsidP="0005003A">
                  <w:pPr>
                    <w:framePr w:hSpace="141" w:wrap="around" w:vAnchor="text" w:hAnchor="text" w:y="1"/>
                    <w:spacing w:before="120" w:after="40"/>
                    <w:suppressOverlap/>
                    <w:rPr>
                      <w:rFonts w:eastAsia="Times New Roman" w:cstheme="minorHAnsi"/>
                      <w:noProof/>
                      <w:sz w:val="16"/>
                      <w:lang w:eastAsia="es-MX"/>
                    </w:rPr>
                  </w:pPr>
                  <w:r w:rsidRPr="00165651">
                    <w:rPr>
                      <w:rFonts w:eastAsia="Times New Roman" w:cstheme="minorHAnsi"/>
                      <w:noProof/>
                      <w:sz w:val="16"/>
                    </w:rPr>
                    <w:drawing>
                      <wp:inline distT="0" distB="0" distL="0" distR="0" wp14:anchorId="1426EF19" wp14:editId="34AF5631">
                        <wp:extent cx="2519426" cy="1880558"/>
                        <wp:effectExtent l="57150" t="57150" r="109855" b="120015"/>
                        <wp:docPr id="110" name="Imagen 110" descr="C:\Supervisión FENOCO\Vigencia 2015\Informes de Comisión\Contraloria\IMG_122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Supervisión FENOCO\Vigencia 2015\Informes de Comisión\Contraloria\IMG_1223.JPG"/>
                                <pic:cNvPicPr>
                                  <a:picLocks noChangeAspect="1" noChangeArrowheads="1"/>
                                </pic:cNvPicPr>
                              </pic:nvPicPr>
                              <pic:blipFill>
                                <a:blip r:embed="rId173" cstate="print">
                                  <a:lum contrast="20000"/>
                                  <a:extLst>
                                    <a:ext uri="{28A0092B-C50C-407E-A947-70E740481C1C}">
                                      <a14:useLocalDpi xmlns:a14="http://schemas.microsoft.com/office/drawing/2010/main" val="0"/>
                                    </a:ext>
                                  </a:extLst>
                                </a:blip>
                                <a:srcRect/>
                                <a:stretch>
                                  <a:fillRect/>
                                </a:stretch>
                              </pic:blipFill>
                              <pic:spPr bwMode="auto">
                                <a:xfrm>
                                  <a:off x="0" y="0"/>
                                  <a:ext cx="2523529" cy="1883621"/>
                                </a:xfrm>
                                <a:prstGeom prst="rect">
                                  <a:avLst/>
                                </a:prstGeom>
                                <a:noFill/>
                                <a:ln w="3175">
                                  <a:solidFill>
                                    <a:sysClr val="window" lastClr="FFFFFF">
                                      <a:lumMod val="75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before="120" w:after="40"/>
                    <w:suppressOverlap/>
                    <w:jc w:val="center"/>
                    <w:rPr>
                      <w:rFonts w:eastAsia="Times New Roman" w:cstheme="minorHAnsi"/>
                      <w:noProof/>
                      <w:sz w:val="16"/>
                      <w:lang w:eastAsia="es-MX"/>
                    </w:rPr>
                  </w:pPr>
                  <w:r w:rsidRPr="00165651">
                    <w:rPr>
                      <w:rFonts w:eastAsia="Times New Roman" w:cstheme="minorHAnsi"/>
                      <w:sz w:val="16"/>
                      <w:szCs w:val="18"/>
                      <w:lang w:val="es-CO" w:eastAsia="es-CO"/>
                    </w:rPr>
                    <w:t>Construcción Gaviones Bosconia Cumplimiento Sentencia 672-14</w:t>
                  </w:r>
                </w:p>
              </w:tc>
              <w:tc>
                <w:tcPr>
                  <w:tcW w:w="4446" w:type="dxa"/>
                </w:tcPr>
                <w:p w:rsidR="00EB3BC8" w:rsidRPr="00165651" w:rsidRDefault="00EB3BC8" w:rsidP="0005003A">
                  <w:pPr>
                    <w:framePr w:hSpace="141" w:wrap="around" w:vAnchor="text" w:hAnchor="text" w:y="1"/>
                    <w:spacing w:before="120" w:after="40"/>
                    <w:suppressOverlap/>
                    <w:rPr>
                      <w:rFonts w:eastAsia="Times New Roman" w:cstheme="minorHAnsi"/>
                      <w:noProof/>
                      <w:sz w:val="16"/>
                      <w:lang w:eastAsia="es-MX"/>
                    </w:rPr>
                  </w:pPr>
                  <w:r w:rsidRPr="00165651">
                    <w:rPr>
                      <w:rFonts w:eastAsia="Times New Roman" w:cstheme="minorHAnsi"/>
                      <w:noProof/>
                      <w:sz w:val="16"/>
                    </w:rPr>
                    <w:drawing>
                      <wp:inline distT="0" distB="0" distL="0" distR="0" wp14:anchorId="458A73E9" wp14:editId="6B8D90E0">
                        <wp:extent cx="2519426" cy="1863306"/>
                        <wp:effectExtent l="57150" t="57150" r="109855" b="118110"/>
                        <wp:docPr id="111" name="Imagen 111" descr="C:\Supervisión FENOCO\Vigencia 2015\Informes de Comisión\Contraloria\IMG_118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Supervisión FENOCO\Vigencia 2015\Informes de Comisión\Contraloria\IMG_1186.JPG"/>
                                <pic:cNvPicPr>
                                  <a:picLocks noChangeAspect="1" noChangeArrowheads="1"/>
                                </pic:cNvPicPr>
                              </pic:nvPicPr>
                              <pic:blipFill>
                                <a:blip r:embed="rId174" cstate="print">
                                  <a:lum contrast="20000"/>
                                  <a:extLst>
                                    <a:ext uri="{28A0092B-C50C-407E-A947-70E740481C1C}">
                                      <a14:useLocalDpi xmlns:a14="http://schemas.microsoft.com/office/drawing/2010/main" val="0"/>
                                    </a:ext>
                                  </a:extLst>
                                </a:blip>
                                <a:srcRect/>
                                <a:stretch>
                                  <a:fillRect/>
                                </a:stretch>
                              </pic:blipFill>
                              <pic:spPr bwMode="auto">
                                <a:xfrm>
                                  <a:off x="0" y="0"/>
                                  <a:ext cx="2523049" cy="1865985"/>
                                </a:xfrm>
                                <a:prstGeom prst="rect">
                                  <a:avLst/>
                                </a:prstGeom>
                                <a:noFill/>
                                <a:ln w="3175">
                                  <a:solidFill>
                                    <a:sysClr val="window" lastClr="FFFFFF">
                                      <a:lumMod val="75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before="120" w:after="40"/>
                    <w:suppressOverlap/>
                    <w:jc w:val="center"/>
                    <w:rPr>
                      <w:rFonts w:eastAsia="Times New Roman" w:cstheme="minorHAnsi"/>
                      <w:sz w:val="16"/>
                      <w:szCs w:val="20"/>
                      <w:lang w:val="es-CO" w:eastAsia="es-CO"/>
                    </w:rPr>
                  </w:pPr>
                  <w:r w:rsidRPr="00165651">
                    <w:rPr>
                      <w:rFonts w:eastAsia="Times New Roman" w:cstheme="minorHAnsi"/>
                      <w:sz w:val="16"/>
                      <w:szCs w:val="18"/>
                      <w:lang w:val="es-CO" w:eastAsia="es-CO"/>
                    </w:rPr>
                    <w:t>Cambiavias M23 sistema ITCS  ramal La Loma – PK 745</w:t>
                  </w:r>
                </w:p>
              </w:tc>
            </w:tr>
            <w:tr w:rsidR="00EB3BC8" w:rsidRPr="00165651" w:rsidTr="005E52E0">
              <w:trPr>
                <w:trHeight w:val="3389"/>
              </w:trPr>
              <w:tc>
                <w:tcPr>
                  <w:tcW w:w="4446" w:type="dxa"/>
                </w:tcPr>
                <w:p w:rsidR="00EB3BC8" w:rsidRPr="00165651" w:rsidRDefault="00EB3BC8" w:rsidP="0005003A">
                  <w:pPr>
                    <w:framePr w:hSpace="141" w:wrap="around" w:vAnchor="text" w:hAnchor="text" w:y="1"/>
                    <w:spacing w:before="40" w:after="40"/>
                    <w:suppressOverlap/>
                    <w:rPr>
                      <w:rFonts w:eastAsia="Times New Roman" w:cstheme="minorHAnsi"/>
                      <w:noProof/>
                      <w:sz w:val="16"/>
                      <w:lang w:eastAsia="es-MX"/>
                    </w:rPr>
                  </w:pPr>
                  <w:r w:rsidRPr="00165651">
                    <w:rPr>
                      <w:rFonts w:eastAsia="Times New Roman" w:cstheme="minorHAnsi"/>
                      <w:noProof/>
                      <w:sz w:val="16"/>
                    </w:rPr>
                    <w:drawing>
                      <wp:inline distT="0" distB="0" distL="0" distR="0" wp14:anchorId="30FBDC69" wp14:editId="49436583">
                        <wp:extent cx="2520000" cy="1890000"/>
                        <wp:effectExtent l="57150" t="57150" r="109220" b="110490"/>
                        <wp:docPr id="112" name="Imagen 112" descr="C:\Supervisión FENOCO\Vigencia 2015\Informes de Comisión\Contraloria\IMG_1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upervisión FENOCO\Vigencia 2015\Informes de Comisión\Contraloria\IMG_1196.JPG"/>
                                <pic:cNvPicPr>
                                  <a:picLocks noChangeAspect="1" noChangeArrowheads="1"/>
                                </pic:cNvPicPr>
                              </pic:nvPicPr>
                              <pic:blipFill>
                                <a:blip r:embed="rId175" cstate="print">
                                  <a:lum contrast="20000"/>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w="3175">
                                  <a:solidFill>
                                    <a:sysClr val="window" lastClr="FFFFFF">
                                      <a:lumMod val="75000"/>
                                    </a:sysClr>
                                  </a:solidFill>
                                </a:ln>
                                <a:effectLst>
                                  <a:outerShdw blurRad="50800" dist="38100" dir="2700000" algn="tl" rotWithShape="0">
                                    <a:prstClr val="black">
                                      <a:alpha val="40000"/>
                                    </a:prstClr>
                                  </a:outerShdw>
                                </a:effectLst>
                              </pic:spPr>
                            </pic:pic>
                          </a:graphicData>
                        </a:graphic>
                      </wp:inline>
                    </w:drawing>
                  </w:r>
                </w:p>
              </w:tc>
              <w:tc>
                <w:tcPr>
                  <w:tcW w:w="4446" w:type="dxa"/>
                </w:tcPr>
                <w:p w:rsidR="00EB3BC8" w:rsidRPr="00165651" w:rsidRDefault="00EB3BC8" w:rsidP="0005003A">
                  <w:pPr>
                    <w:framePr w:hSpace="141" w:wrap="around" w:vAnchor="text" w:hAnchor="text" w:y="1"/>
                    <w:spacing w:before="40" w:after="40"/>
                    <w:suppressOverlap/>
                    <w:rPr>
                      <w:rFonts w:eastAsia="Times New Roman" w:cstheme="minorHAnsi"/>
                      <w:noProof/>
                      <w:sz w:val="16"/>
                      <w:lang w:eastAsia="es-MX"/>
                    </w:rPr>
                  </w:pPr>
                  <w:r w:rsidRPr="00165651">
                    <w:rPr>
                      <w:rFonts w:eastAsia="Times New Roman" w:cstheme="minorHAnsi"/>
                      <w:noProof/>
                      <w:sz w:val="16"/>
                    </w:rPr>
                    <w:drawing>
                      <wp:inline distT="0" distB="0" distL="0" distR="0" wp14:anchorId="399A235D" wp14:editId="694B7947">
                        <wp:extent cx="2520000" cy="1890000"/>
                        <wp:effectExtent l="57150" t="57150" r="109220" b="110490"/>
                        <wp:docPr id="113" name="Imagen 113" descr="C:\Supervisión FENOCO\Vigencia 2015\Informes de Comisión\Contraloria\IMG_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upervisión FENOCO\Vigencia 2015\Informes de Comisión\Contraloria\IMG_1201.JPG"/>
                                <pic:cNvPicPr>
                                  <a:picLocks noChangeAspect="1" noChangeArrowheads="1"/>
                                </pic:cNvPicPr>
                              </pic:nvPicPr>
                              <pic:blipFill>
                                <a:blip r:embed="rId176" cstate="print">
                                  <a:lum contrast="20000"/>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w="3175">
                                  <a:solidFill>
                                    <a:sysClr val="window" lastClr="FFFFFF">
                                      <a:lumMod val="75000"/>
                                    </a:sysClr>
                                  </a:solidFill>
                                </a:ln>
                                <a:effectLst>
                                  <a:outerShdw blurRad="50800" dist="38100" dir="2700000" algn="tl" rotWithShape="0">
                                    <a:prstClr val="black">
                                      <a:alpha val="40000"/>
                                    </a:prstClr>
                                  </a:outerShdw>
                                </a:effectLst>
                              </pic:spPr>
                            </pic:pic>
                          </a:graphicData>
                        </a:graphic>
                      </wp:inline>
                    </w:drawing>
                  </w:r>
                </w:p>
              </w:tc>
            </w:tr>
            <w:tr w:rsidR="00EB3BC8" w:rsidRPr="00165651" w:rsidTr="005E52E0">
              <w:tc>
                <w:tcPr>
                  <w:tcW w:w="4446" w:type="dxa"/>
                </w:tcPr>
                <w:p w:rsidR="00EB3BC8" w:rsidRPr="00165651" w:rsidRDefault="00EB3BC8" w:rsidP="0005003A">
                  <w:pPr>
                    <w:framePr w:hSpace="141" w:wrap="around" w:vAnchor="text" w:hAnchor="text" w:y="1"/>
                    <w:spacing w:before="120" w:after="40"/>
                    <w:suppressOverlap/>
                    <w:rPr>
                      <w:rFonts w:eastAsia="Times New Roman" w:cstheme="minorHAnsi"/>
                      <w:noProof/>
                      <w:sz w:val="16"/>
                      <w:lang w:eastAsia="es-MX"/>
                    </w:rPr>
                  </w:pPr>
                  <w:r w:rsidRPr="00165651">
                    <w:rPr>
                      <w:rFonts w:eastAsia="Times New Roman" w:cstheme="minorHAnsi"/>
                      <w:noProof/>
                      <w:sz w:val="16"/>
                      <w:lang w:val="es-CO" w:eastAsia="es-CO"/>
                    </w:rPr>
                    <w:t xml:space="preserve">             PN regularizado con tecnologìa ITCS PK 768+200</w:t>
                  </w:r>
                </w:p>
                <w:p w:rsidR="00EB3BC8" w:rsidRPr="00165651" w:rsidRDefault="00EB3BC8" w:rsidP="0005003A">
                  <w:pPr>
                    <w:framePr w:hSpace="141" w:wrap="around" w:vAnchor="text" w:hAnchor="text" w:y="1"/>
                    <w:spacing w:before="40" w:after="40"/>
                    <w:suppressOverlap/>
                    <w:rPr>
                      <w:rFonts w:eastAsia="Times New Roman" w:cstheme="minorHAnsi"/>
                      <w:noProof/>
                      <w:sz w:val="16"/>
                      <w:lang w:eastAsia="es-MX"/>
                    </w:rPr>
                  </w:pPr>
                </w:p>
              </w:tc>
              <w:tc>
                <w:tcPr>
                  <w:tcW w:w="4446" w:type="dxa"/>
                </w:tcPr>
                <w:p w:rsidR="00EB3BC8" w:rsidRPr="00165651" w:rsidRDefault="00EB3BC8" w:rsidP="0005003A">
                  <w:pPr>
                    <w:framePr w:hSpace="141" w:wrap="around" w:vAnchor="text" w:hAnchor="text" w:y="1"/>
                    <w:spacing w:before="120" w:after="40"/>
                    <w:suppressOverlap/>
                    <w:rPr>
                      <w:rFonts w:eastAsia="Times New Roman" w:cstheme="minorHAnsi"/>
                      <w:noProof/>
                      <w:sz w:val="16"/>
                      <w:lang w:eastAsia="es-MX"/>
                    </w:rPr>
                  </w:pPr>
                  <w:r w:rsidRPr="00165651">
                    <w:rPr>
                      <w:rFonts w:eastAsia="Times New Roman" w:cstheme="minorHAnsi"/>
                      <w:noProof/>
                      <w:sz w:val="16"/>
                      <w:lang w:eastAsia="es-MX"/>
                    </w:rPr>
                    <w:t xml:space="preserve">                             Estado corredor fèrreo PK 777+300</w:t>
                  </w:r>
                </w:p>
                <w:p w:rsidR="00EB3BC8" w:rsidRPr="00165651" w:rsidRDefault="00EB3BC8" w:rsidP="0005003A">
                  <w:pPr>
                    <w:framePr w:hSpace="141" w:wrap="around" w:vAnchor="text" w:hAnchor="text" w:y="1"/>
                    <w:spacing w:before="40" w:after="40"/>
                    <w:suppressOverlap/>
                    <w:jc w:val="center"/>
                    <w:rPr>
                      <w:rFonts w:eastAsia="Times New Roman" w:cstheme="minorHAnsi"/>
                      <w:noProof/>
                      <w:sz w:val="16"/>
                      <w:lang w:eastAsia="es-MX"/>
                    </w:rPr>
                  </w:pPr>
                </w:p>
              </w:tc>
            </w:tr>
            <w:tr w:rsidR="00EB3BC8" w:rsidRPr="00165651" w:rsidTr="005E52E0">
              <w:tc>
                <w:tcPr>
                  <w:tcW w:w="4446" w:type="dxa"/>
                </w:tcPr>
                <w:p w:rsidR="00EB3BC8" w:rsidRPr="00165651" w:rsidRDefault="00EB3BC8" w:rsidP="0005003A">
                  <w:pPr>
                    <w:framePr w:hSpace="141" w:wrap="around" w:vAnchor="text" w:hAnchor="text" w:y="1"/>
                    <w:spacing w:before="120" w:after="40"/>
                    <w:suppressOverlap/>
                    <w:rPr>
                      <w:rFonts w:eastAsia="Times New Roman" w:cstheme="minorHAnsi"/>
                      <w:noProof/>
                      <w:sz w:val="16"/>
                      <w:lang w:eastAsia="es-MX"/>
                    </w:rPr>
                  </w:pPr>
                  <w:r w:rsidRPr="00165651">
                    <w:rPr>
                      <w:rFonts w:eastAsia="Times New Roman" w:cstheme="minorHAnsi"/>
                      <w:noProof/>
                      <w:sz w:val="16"/>
                    </w:rPr>
                    <w:lastRenderedPageBreak/>
                    <w:drawing>
                      <wp:inline distT="0" distB="0" distL="0" distR="0" wp14:anchorId="0F789879" wp14:editId="207E2137">
                        <wp:extent cx="2520000" cy="1890000"/>
                        <wp:effectExtent l="57150" t="57150" r="109220" b="110490"/>
                        <wp:docPr id="114" name="Imagen 114" descr="C:\Supervisión FENOCO\Vigencia 2015\Informes de Comisión\Contraloria\IMG_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upervisión FENOCO\Vigencia 2015\Informes de Comisión\Contraloria\IMG_1207.JPG"/>
                                <pic:cNvPicPr>
                                  <a:picLocks noChangeAspect="1" noChangeArrowheads="1"/>
                                </pic:cNvPicPr>
                              </pic:nvPicPr>
                              <pic:blipFill>
                                <a:blip r:embed="rId177" cstate="print">
                                  <a:lum contrast="20000"/>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w="3175">
                                  <a:solidFill>
                                    <a:sysClr val="window" lastClr="FFFFFF">
                                      <a:lumMod val="75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before="40" w:after="80"/>
                    <w:suppressOverlap/>
                    <w:jc w:val="center"/>
                    <w:rPr>
                      <w:rFonts w:eastAsia="Times New Roman" w:cstheme="minorHAnsi"/>
                      <w:noProof/>
                      <w:sz w:val="16"/>
                      <w:lang w:eastAsia="es-MX"/>
                    </w:rPr>
                  </w:pPr>
                  <w:r w:rsidRPr="00165651">
                    <w:rPr>
                      <w:rFonts w:eastAsia="Times New Roman" w:cstheme="minorHAnsi"/>
                      <w:sz w:val="16"/>
                      <w:szCs w:val="18"/>
                      <w:lang w:val="es-CO" w:eastAsia="es-CO"/>
                    </w:rPr>
                    <w:t>Segunda Línea nueva en el sector Loma Colorada PK 791+200</w:t>
                  </w:r>
                </w:p>
              </w:tc>
              <w:tc>
                <w:tcPr>
                  <w:tcW w:w="4446" w:type="dxa"/>
                </w:tcPr>
                <w:p w:rsidR="00EB3BC8" w:rsidRPr="00165651" w:rsidRDefault="00EB3BC8" w:rsidP="0005003A">
                  <w:pPr>
                    <w:framePr w:hSpace="141" w:wrap="around" w:vAnchor="text" w:hAnchor="text" w:y="1"/>
                    <w:spacing w:before="120" w:after="40"/>
                    <w:suppressOverlap/>
                    <w:rPr>
                      <w:rFonts w:eastAsia="Times New Roman" w:cstheme="minorHAnsi"/>
                      <w:noProof/>
                      <w:sz w:val="16"/>
                      <w:lang w:eastAsia="es-MX"/>
                    </w:rPr>
                  </w:pPr>
                  <w:r w:rsidRPr="00165651">
                    <w:rPr>
                      <w:rFonts w:eastAsia="Times New Roman" w:cstheme="minorHAnsi"/>
                      <w:noProof/>
                      <w:sz w:val="16"/>
                    </w:rPr>
                    <w:drawing>
                      <wp:inline distT="0" distB="0" distL="0" distR="0" wp14:anchorId="21CD0ADB" wp14:editId="52263F29">
                        <wp:extent cx="2520000" cy="1890000"/>
                        <wp:effectExtent l="57150" t="57150" r="109220" b="110490"/>
                        <wp:docPr id="115" name="Imagen 115" descr="C:\Supervisión FENOCO\Vigencia 2015\Informes de Comisión\Contraloria\IMG_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upervisión FENOCO\Vigencia 2015\Informes de Comisión\Contraloria\IMG_1246.JPG"/>
                                <pic:cNvPicPr>
                                  <a:picLocks noChangeAspect="1" noChangeArrowheads="1"/>
                                </pic:cNvPicPr>
                              </pic:nvPicPr>
                              <pic:blipFill>
                                <a:blip r:embed="rId178" cstate="print">
                                  <a:lum contrast="20000"/>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w="3175">
                                  <a:solidFill>
                                    <a:sysClr val="window" lastClr="FFFFFF">
                                      <a:lumMod val="75000"/>
                                    </a:sysClr>
                                  </a:solidFill>
                                </a:ln>
                                <a:effectLst>
                                  <a:outerShdw blurRad="50800" dist="38100" dir="2700000" algn="tl" rotWithShape="0">
                                    <a:prstClr val="black">
                                      <a:alpha val="40000"/>
                                    </a:prstClr>
                                  </a:outerShdw>
                                </a:effectLst>
                              </pic:spPr>
                            </pic:pic>
                          </a:graphicData>
                        </a:graphic>
                      </wp:inline>
                    </w:drawing>
                  </w:r>
                </w:p>
                <w:p w:rsidR="00EB3BC8" w:rsidRPr="00165651" w:rsidRDefault="00EB3BC8" w:rsidP="0005003A">
                  <w:pPr>
                    <w:framePr w:hSpace="141" w:wrap="around" w:vAnchor="text" w:hAnchor="text" w:y="1"/>
                    <w:spacing w:before="40" w:after="80"/>
                    <w:suppressOverlap/>
                    <w:jc w:val="center"/>
                    <w:rPr>
                      <w:rFonts w:eastAsia="Times New Roman" w:cstheme="minorHAnsi"/>
                      <w:noProof/>
                      <w:sz w:val="16"/>
                      <w:lang w:eastAsia="es-MX"/>
                    </w:rPr>
                  </w:pPr>
                  <w:r w:rsidRPr="00165651">
                    <w:rPr>
                      <w:rFonts w:eastAsia="Times New Roman" w:cstheme="minorHAnsi"/>
                      <w:sz w:val="16"/>
                      <w:szCs w:val="18"/>
                      <w:lang w:val="es-CO" w:eastAsia="es-CO"/>
                    </w:rPr>
                    <w:t>Entrega resoluciones adjudicación títulos – Loma Colorada</w:t>
                  </w:r>
                </w:p>
              </w:tc>
            </w:tr>
          </w:tbl>
          <w:p w:rsidR="00EB3BC8" w:rsidRPr="00165651" w:rsidRDefault="00EB3BC8" w:rsidP="005E52E0">
            <w:pPr>
              <w:spacing w:before="120" w:after="40"/>
              <w:rPr>
                <w:rFonts w:eastAsia="Times New Roman" w:cstheme="minorHAnsi"/>
                <w:b/>
                <w:color w:val="000000" w:themeColor="text1"/>
                <w:sz w:val="16"/>
                <w:szCs w:val="16"/>
                <w:lang w:val="es-CO" w:eastAsia="es-CO"/>
              </w:rPr>
            </w:pPr>
          </w:p>
        </w:tc>
      </w:tr>
    </w:tbl>
    <w:p w:rsidR="00EB3BC8" w:rsidRPr="00165651" w:rsidRDefault="00EB3BC8" w:rsidP="00EB3BC8">
      <w:pPr>
        <w:spacing w:line="240" w:lineRule="auto"/>
        <w:jc w:val="both"/>
        <w:rPr>
          <w:rFonts w:cstheme="minorHAnsi"/>
          <w:b/>
          <w:bCs/>
        </w:rPr>
      </w:pPr>
    </w:p>
    <w:p w:rsidR="00EB3BC8" w:rsidRPr="00165651" w:rsidRDefault="00EB3BC8" w:rsidP="00EB3BC8">
      <w:pPr>
        <w:spacing w:line="240" w:lineRule="auto"/>
        <w:jc w:val="both"/>
        <w:rPr>
          <w:rFonts w:cstheme="minorHAnsi"/>
        </w:rPr>
      </w:pPr>
    </w:p>
    <w:p w:rsidR="00EB3BC8" w:rsidRPr="00165651" w:rsidRDefault="00EB3BC8" w:rsidP="000021B2">
      <w:pPr>
        <w:numPr>
          <w:ilvl w:val="1"/>
          <w:numId w:val="47"/>
        </w:numPr>
        <w:spacing w:before="120" w:after="0" w:line="240" w:lineRule="auto"/>
        <w:contextualSpacing/>
        <w:jc w:val="both"/>
        <w:rPr>
          <w:rFonts w:eastAsia="Times New Roman" w:cstheme="minorHAnsi"/>
          <w:b/>
          <w:sz w:val="20"/>
          <w:szCs w:val="20"/>
        </w:rPr>
      </w:pPr>
      <w:r w:rsidRPr="00165651">
        <w:rPr>
          <w:rFonts w:eastAsiaTheme="minorHAnsi" w:cstheme="minorHAnsi"/>
          <w:b/>
        </w:rPr>
        <w:t xml:space="preserve"> INFORME DE GESTION  CORREDOR FÈRREO BOGOTÀ-  BELENCITO </w:t>
      </w:r>
    </w:p>
    <w:p w:rsidR="00EB3BC8" w:rsidRPr="00165651" w:rsidRDefault="00EB3BC8" w:rsidP="00EB3BC8">
      <w:pPr>
        <w:spacing w:line="240" w:lineRule="auto"/>
        <w:jc w:val="both"/>
        <w:rPr>
          <w:rFonts w:cstheme="minorHAnsi"/>
          <w:noProof/>
          <w:lang w:eastAsia="es-MX"/>
        </w:rPr>
      </w:pPr>
    </w:p>
    <w:p w:rsidR="00EB3BC8" w:rsidRPr="00165651" w:rsidRDefault="00EB3BC8" w:rsidP="00EB3BC8">
      <w:pPr>
        <w:spacing w:line="240" w:lineRule="auto"/>
        <w:jc w:val="both"/>
        <w:rPr>
          <w:rFonts w:cstheme="minorHAnsi"/>
          <w:noProof/>
          <w:lang w:eastAsia="es-MX"/>
        </w:rPr>
      </w:pPr>
    </w:p>
    <w:tbl>
      <w:tblPr>
        <w:tblStyle w:val="Tablaconcuadrcula110"/>
        <w:tblpPr w:leftFromText="141" w:rightFromText="141" w:vertAnchor="text" w:tblpY="1"/>
        <w:tblOverlap w:val="neve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88"/>
        <w:gridCol w:w="422"/>
        <w:gridCol w:w="995"/>
        <w:gridCol w:w="1489"/>
        <w:gridCol w:w="2335"/>
        <w:gridCol w:w="996"/>
        <w:gridCol w:w="422"/>
        <w:gridCol w:w="1704"/>
      </w:tblGrid>
      <w:tr w:rsidR="00EB3BC8" w:rsidRPr="00165651" w:rsidTr="005E52E0">
        <w:trPr>
          <w:trHeight w:val="279"/>
        </w:trPr>
        <w:tc>
          <w:tcPr>
            <w:tcW w:w="2405" w:type="dxa"/>
            <w:gridSpan w:val="3"/>
            <w:shd w:val="clear" w:color="auto" w:fill="auto"/>
            <w:vAlign w:val="center"/>
          </w:tcPr>
          <w:p w:rsidR="00EB3BC8" w:rsidRPr="00165651" w:rsidRDefault="00EB3BC8" w:rsidP="005E52E0">
            <w:pPr>
              <w:spacing w:before="40" w:after="40" w:line="276" w:lineRule="auto"/>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Contrato de Obra</w:t>
            </w:r>
          </w:p>
        </w:tc>
        <w:tc>
          <w:tcPr>
            <w:tcW w:w="6946" w:type="dxa"/>
            <w:gridSpan w:val="5"/>
            <w:shd w:val="clear" w:color="auto" w:fill="auto"/>
            <w:vAlign w:val="center"/>
          </w:tcPr>
          <w:p w:rsidR="00EB3BC8" w:rsidRPr="00165651" w:rsidRDefault="00EB3BC8" w:rsidP="005E52E0">
            <w:pPr>
              <w:spacing w:before="40" w:after="40" w:line="276" w:lineRule="auto"/>
              <w:jc w:val="both"/>
              <w:rPr>
                <w:rFonts w:cstheme="minorHAnsi"/>
                <w:color w:val="000000" w:themeColor="text1"/>
                <w:sz w:val="18"/>
                <w:szCs w:val="16"/>
                <w:lang w:val="es-CO" w:eastAsia="es-CO"/>
              </w:rPr>
            </w:pPr>
            <w:r w:rsidRPr="00165651">
              <w:rPr>
                <w:rFonts w:cstheme="minorHAnsi"/>
                <w:sz w:val="18"/>
                <w:szCs w:val="16"/>
                <w:lang w:val="es-CO" w:eastAsia="es-CO"/>
              </w:rPr>
              <w:t>VJ-356 del 8 de octubre de 2013</w:t>
            </w:r>
          </w:p>
        </w:tc>
      </w:tr>
      <w:tr w:rsidR="00EB3BC8" w:rsidRPr="00165651" w:rsidTr="005E52E0">
        <w:trPr>
          <w:trHeight w:val="695"/>
        </w:trPr>
        <w:tc>
          <w:tcPr>
            <w:tcW w:w="2405" w:type="dxa"/>
            <w:gridSpan w:val="3"/>
            <w:vAlign w:val="center"/>
          </w:tcPr>
          <w:p w:rsidR="00EB3BC8" w:rsidRPr="00165651" w:rsidRDefault="00EB3BC8" w:rsidP="005E52E0">
            <w:pPr>
              <w:spacing w:before="40" w:after="40" w:line="276" w:lineRule="auto"/>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Objeto del Contrato</w:t>
            </w:r>
          </w:p>
        </w:tc>
        <w:tc>
          <w:tcPr>
            <w:tcW w:w="6946" w:type="dxa"/>
            <w:gridSpan w:val="5"/>
            <w:vAlign w:val="center"/>
          </w:tcPr>
          <w:p w:rsidR="00EB3BC8" w:rsidRPr="00165651" w:rsidRDefault="00EB3BC8" w:rsidP="005E52E0">
            <w:pPr>
              <w:spacing w:before="40" w:after="40" w:line="276" w:lineRule="auto"/>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w:t>
            </w:r>
            <w:r w:rsidRPr="00165651">
              <w:rPr>
                <w:rFonts w:cstheme="minorHAnsi"/>
                <w:sz w:val="18"/>
                <w:szCs w:val="16"/>
                <w:lang w:val="es-CO" w:eastAsia="es-CO"/>
              </w:rPr>
              <w:t>Reparación y Atención de puntos críticos que presenta la vía férrea en los tramos: Bogotá (PK 5) – Belencito (PK 262); La Caro  (PK 32+628) – Zipaquirá (PK 53); y Bogotá (PK 5) – Facatativá (PK 35+871), así como su Administración, Mejoramiento, Mantenimiento, Vigilancia y Control de Tráfico entre otras actividades complementarias por el tiempo de vigencia de este contrato”</w:t>
            </w:r>
          </w:p>
        </w:tc>
      </w:tr>
      <w:tr w:rsidR="00EB3BC8" w:rsidRPr="00165651" w:rsidTr="005E52E0">
        <w:trPr>
          <w:trHeight w:val="2649"/>
        </w:trPr>
        <w:tc>
          <w:tcPr>
            <w:tcW w:w="2405" w:type="dxa"/>
            <w:gridSpan w:val="3"/>
            <w:vAlign w:val="center"/>
          </w:tcPr>
          <w:p w:rsidR="00EB3BC8" w:rsidRPr="00165651" w:rsidRDefault="00EB3BC8" w:rsidP="005E52E0">
            <w:pPr>
              <w:spacing w:before="40" w:after="40" w:line="276" w:lineRule="auto"/>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Descripción General del proyecto</w:t>
            </w:r>
          </w:p>
        </w:tc>
        <w:tc>
          <w:tcPr>
            <w:tcW w:w="6946" w:type="dxa"/>
            <w:gridSpan w:val="5"/>
            <w:vAlign w:val="center"/>
          </w:tcPr>
          <w:p w:rsidR="00EB3BC8" w:rsidRPr="00165651" w:rsidRDefault="00EB3BC8" w:rsidP="005E52E0">
            <w:pPr>
              <w:autoSpaceDE w:val="0"/>
              <w:autoSpaceDN w:val="0"/>
              <w:adjustRightInd w:val="0"/>
              <w:spacing w:line="276" w:lineRule="auto"/>
              <w:jc w:val="both"/>
              <w:rPr>
                <w:rFonts w:cstheme="minorHAnsi"/>
                <w:color w:val="000000"/>
                <w:sz w:val="18"/>
                <w:lang w:val="es-CO"/>
              </w:rPr>
            </w:pPr>
          </w:p>
          <w:p w:rsidR="00EB3BC8" w:rsidRPr="00165651" w:rsidRDefault="00EB3BC8" w:rsidP="005E52E0">
            <w:pPr>
              <w:autoSpaceDE w:val="0"/>
              <w:autoSpaceDN w:val="0"/>
              <w:adjustRightInd w:val="0"/>
              <w:spacing w:line="276" w:lineRule="auto"/>
              <w:jc w:val="both"/>
              <w:rPr>
                <w:rFonts w:cstheme="minorHAnsi"/>
                <w:color w:val="000000"/>
                <w:sz w:val="18"/>
                <w:lang w:val="es-CO"/>
              </w:rPr>
            </w:pPr>
            <w:r w:rsidRPr="00165651">
              <w:rPr>
                <w:rFonts w:cstheme="minorHAnsi"/>
                <w:sz w:val="18"/>
                <w:szCs w:val="16"/>
                <w:lang w:val="es-CO" w:eastAsia="es-CO"/>
              </w:rPr>
              <w:t>El proyecto consiste en la “reparación y atención de puntos críticos que presenta la vía férrea en los tramos Bogotá (PK 5) – Belencito (PK 262); La Caro (PK 32+628) – Zipaquirá (PK 53); y Bogotá (Pk 5) – Facatativá (PK 35+871), así como su administración, mejoramiento, mantenimiento, vigilancia y control de tráfico entre otras actividades por el tiempo de vigencia de este contrato”, con el fin de reactivar la operación férrea que se ha visto interrumpida por daños en la vía, producto de las olas invernales del 2010, 2011 y 2012 respectivamente. Adicionalmente dentro de las actividades propias de este contrato se pretende realizar el mantenimiento de la infraestructura, el control de tráfico para el tráfico actual y futuro, vigilancia a la vía férrea y los inmuebles entregados, así como la administración, conservación y vigilancia del material rodante, durante todo el periodo de duración del contrato. Este corredor corresponde a una sola línea férrea que cruza o pasa por cercanía a los municipios de: Madrid, Mosquera, Funza, Bogotá, Chía, Cajicá, Zipaquirá, Tocancipá, Gachancipá, Sesquilé, Chocontá, Villapinzón, Ventaquemada, Tunja, Oicatá, Tuta, Paipa, Duitama, Sogamoso y Belencito.</w:t>
            </w:r>
          </w:p>
        </w:tc>
      </w:tr>
      <w:tr w:rsidR="00EB3BC8" w:rsidRPr="00165651" w:rsidTr="005E52E0">
        <w:trPr>
          <w:trHeight w:val="6354"/>
        </w:trPr>
        <w:tc>
          <w:tcPr>
            <w:tcW w:w="2405" w:type="dxa"/>
            <w:gridSpan w:val="3"/>
            <w:vAlign w:val="center"/>
          </w:tcPr>
          <w:p w:rsidR="00EB3BC8" w:rsidRPr="00165651" w:rsidRDefault="00EB3BC8" w:rsidP="005E52E0">
            <w:pPr>
              <w:spacing w:before="40" w:after="40"/>
              <w:rPr>
                <w:rFonts w:cstheme="minorHAnsi"/>
                <w:b/>
                <w:color w:val="000000" w:themeColor="text1"/>
                <w:sz w:val="16"/>
                <w:szCs w:val="16"/>
                <w:lang w:val="es-CO" w:eastAsia="es-CO"/>
              </w:rPr>
            </w:pPr>
            <w:r w:rsidRPr="00165651">
              <w:rPr>
                <w:rFonts w:cstheme="minorHAnsi"/>
                <w:b/>
                <w:color w:val="000000" w:themeColor="text1"/>
                <w:sz w:val="18"/>
                <w:szCs w:val="16"/>
                <w:lang w:val="es-CO" w:eastAsia="es-CO"/>
              </w:rPr>
              <w:lastRenderedPageBreak/>
              <w:t xml:space="preserve">Localización General Corredor Férreo </w:t>
            </w:r>
          </w:p>
        </w:tc>
        <w:tc>
          <w:tcPr>
            <w:tcW w:w="6946" w:type="dxa"/>
            <w:gridSpan w:val="5"/>
            <w:vAlign w:val="center"/>
          </w:tcPr>
          <w:p w:rsidR="00EB3BC8" w:rsidRPr="00165651" w:rsidRDefault="00EB3BC8" w:rsidP="005E52E0">
            <w:pPr>
              <w:spacing w:before="40" w:after="40"/>
              <w:jc w:val="center"/>
              <w:rPr>
                <w:rFonts w:cstheme="minorHAnsi"/>
                <w:color w:val="000000" w:themeColor="text1"/>
                <w:sz w:val="16"/>
                <w:szCs w:val="16"/>
                <w:lang w:val="es-CO" w:eastAsia="es-CO"/>
              </w:rPr>
            </w:pPr>
            <w:r w:rsidRPr="00165651">
              <w:rPr>
                <w:rFonts w:cstheme="minorHAnsi"/>
                <w:noProof/>
                <w:sz w:val="20"/>
                <w:szCs w:val="20"/>
              </w:rPr>
              <w:drawing>
                <wp:inline distT="0" distB="0" distL="0" distR="0" wp14:anchorId="2051EC4D" wp14:editId="01E308BD">
                  <wp:extent cx="4125348" cy="3496570"/>
                  <wp:effectExtent l="0" t="0" r="8890" b="889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9"/>
                          <a:srcRect l="21681" t="18546" r="19107" b="18723"/>
                          <a:stretch/>
                        </pic:blipFill>
                        <pic:spPr bwMode="auto">
                          <a:xfrm>
                            <a:off x="0" y="0"/>
                            <a:ext cx="4160578" cy="3526431"/>
                          </a:xfrm>
                          <a:prstGeom prst="rect">
                            <a:avLst/>
                          </a:prstGeom>
                          <a:ln>
                            <a:noFill/>
                          </a:ln>
                          <a:extLst>
                            <a:ext uri="{53640926-AAD7-44D8-BBD7-CCE9431645EC}">
                              <a14:shadowObscured xmlns:a14="http://schemas.microsoft.com/office/drawing/2010/main"/>
                            </a:ext>
                          </a:extLst>
                        </pic:spPr>
                      </pic:pic>
                    </a:graphicData>
                  </a:graphic>
                </wp:inline>
              </w:drawing>
            </w:r>
          </w:p>
        </w:tc>
      </w:tr>
      <w:tr w:rsidR="00EB3BC8" w:rsidRPr="00165651" w:rsidTr="005E52E0">
        <w:trPr>
          <w:trHeight w:val="268"/>
        </w:trPr>
        <w:tc>
          <w:tcPr>
            <w:tcW w:w="2405" w:type="dxa"/>
            <w:gridSpan w:val="3"/>
            <w:vAlign w:val="center"/>
          </w:tcPr>
          <w:p w:rsidR="00EB3BC8" w:rsidRPr="00165651" w:rsidRDefault="00EB3BC8" w:rsidP="005E52E0">
            <w:pPr>
              <w:spacing w:before="40" w:after="40"/>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Longitud del Corredor:</w:t>
            </w:r>
          </w:p>
        </w:tc>
        <w:tc>
          <w:tcPr>
            <w:tcW w:w="6946" w:type="dxa"/>
            <w:gridSpan w:val="5"/>
            <w:vAlign w:val="center"/>
          </w:tcPr>
          <w:p w:rsidR="00EB3BC8" w:rsidRPr="00165651" w:rsidRDefault="00EB3BC8" w:rsidP="005E52E0">
            <w:pPr>
              <w:spacing w:before="40" w:after="40"/>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Facatativá (PK 35+871) – Bogotá (PK 5) – Belencito (PK 262): 297,9 km</w:t>
            </w:r>
          </w:p>
          <w:p w:rsidR="00EB3BC8" w:rsidRPr="00165651" w:rsidRDefault="00EB3BC8" w:rsidP="005E52E0">
            <w:pPr>
              <w:spacing w:before="40" w:after="40"/>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La Caro (PK 32+628) - Zipaquirá (PK 53): 20,4 Km</w:t>
            </w:r>
          </w:p>
        </w:tc>
      </w:tr>
      <w:tr w:rsidR="00EB3BC8" w:rsidRPr="00165651" w:rsidTr="005E52E0">
        <w:trPr>
          <w:trHeight w:val="340"/>
        </w:trPr>
        <w:tc>
          <w:tcPr>
            <w:tcW w:w="2405" w:type="dxa"/>
            <w:gridSpan w:val="3"/>
            <w:vAlign w:val="center"/>
          </w:tcPr>
          <w:p w:rsidR="00EB3BC8" w:rsidRPr="00165651" w:rsidRDefault="00EB3BC8" w:rsidP="005E52E0">
            <w:pPr>
              <w:spacing w:before="40" w:after="40"/>
              <w:jc w:val="both"/>
              <w:rPr>
                <w:rFonts w:cstheme="minorHAnsi"/>
                <w:color w:val="000000" w:themeColor="text1"/>
                <w:sz w:val="18"/>
                <w:szCs w:val="16"/>
                <w:lang w:val="es-CO" w:eastAsia="es-CO"/>
              </w:rPr>
            </w:pPr>
            <w:r w:rsidRPr="00165651">
              <w:rPr>
                <w:rFonts w:cstheme="minorHAnsi"/>
                <w:b/>
                <w:color w:val="000000" w:themeColor="text1"/>
                <w:sz w:val="18"/>
                <w:szCs w:val="16"/>
                <w:lang w:val="es-CO" w:eastAsia="es-CO"/>
              </w:rPr>
              <w:t>Fecha adjudicación Contrato</w:t>
            </w:r>
          </w:p>
        </w:tc>
        <w:tc>
          <w:tcPr>
            <w:tcW w:w="6946" w:type="dxa"/>
            <w:gridSpan w:val="5"/>
            <w:vAlign w:val="center"/>
          </w:tcPr>
          <w:p w:rsidR="00EB3BC8" w:rsidRPr="00165651" w:rsidRDefault="00EB3BC8" w:rsidP="005E52E0">
            <w:pPr>
              <w:spacing w:before="40" w:after="40"/>
              <w:jc w:val="both"/>
              <w:rPr>
                <w:rFonts w:cstheme="minorHAnsi"/>
                <w:b/>
                <w:color w:val="000000" w:themeColor="text1"/>
                <w:sz w:val="18"/>
                <w:szCs w:val="16"/>
                <w:lang w:val="es-CO" w:eastAsia="es-CO"/>
              </w:rPr>
            </w:pPr>
            <w:r w:rsidRPr="00165651">
              <w:rPr>
                <w:rFonts w:cstheme="minorHAnsi"/>
                <w:color w:val="000000" w:themeColor="text1"/>
                <w:sz w:val="18"/>
                <w:szCs w:val="16"/>
                <w:lang w:val="es-CO" w:eastAsia="es-CO"/>
              </w:rPr>
              <w:t>25 de septiembre de 2013</w:t>
            </w:r>
          </w:p>
        </w:tc>
      </w:tr>
      <w:tr w:rsidR="00EB3BC8" w:rsidRPr="00165651" w:rsidTr="005E52E0">
        <w:trPr>
          <w:trHeight w:val="283"/>
        </w:trPr>
        <w:tc>
          <w:tcPr>
            <w:tcW w:w="988" w:type="dxa"/>
            <w:vMerge w:val="restart"/>
            <w:vAlign w:val="center"/>
          </w:tcPr>
          <w:p w:rsidR="00EB3BC8" w:rsidRPr="00165651" w:rsidRDefault="00EB3BC8" w:rsidP="005E52E0">
            <w:pPr>
              <w:spacing w:before="40" w:after="40"/>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Plazos</w:t>
            </w:r>
          </w:p>
        </w:tc>
        <w:tc>
          <w:tcPr>
            <w:tcW w:w="1417" w:type="dxa"/>
            <w:gridSpan w:val="2"/>
            <w:vAlign w:val="center"/>
          </w:tcPr>
          <w:p w:rsidR="00EB3BC8" w:rsidRPr="00165651" w:rsidRDefault="00EB3BC8" w:rsidP="005E52E0">
            <w:pPr>
              <w:spacing w:before="40" w:after="40"/>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Contrato Inicial</w:t>
            </w:r>
          </w:p>
        </w:tc>
        <w:tc>
          <w:tcPr>
            <w:tcW w:w="3824" w:type="dxa"/>
            <w:gridSpan w:val="2"/>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24 meses</w:t>
            </w:r>
          </w:p>
        </w:tc>
        <w:tc>
          <w:tcPr>
            <w:tcW w:w="1418" w:type="dxa"/>
            <w:gridSpan w:val="2"/>
            <w:vMerge w:val="restart"/>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Fecha de firma del Contrato</w:t>
            </w:r>
          </w:p>
        </w:tc>
        <w:tc>
          <w:tcPr>
            <w:tcW w:w="1704" w:type="dxa"/>
            <w:vMerge w:val="restart"/>
            <w:tcBorders>
              <w:left w:val="single" w:sz="4" w:space="0" w:color="9BBB59" w:themeColor="accent3"/>
            </w:tcBorders>
            <w:vAlign w:val="center"/>
          </w:tcPr>
          <w:p w:rsidR="00EB3BC8" w:rsidRPr="00165651" w:rsidRDefault="00EB3BC8" w:rsidP="005E52E0">
            <w:pPr>
              <w:tabs>
                <w:tab w:val="left" w:pos="993"/>
              </w:tabs>
              <w:spacing w:before="40" w:after="40"/>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8 de oct. de 2013</w:t>
            </w:r>
          </w:p>
        </w:tc>
      </w:tr>
      <w:tr w:rsidR="00EB3BC8" w:rsidRPr="00165651" w:rsidTr="005E52E0">
        <w:trPr>
          <w:trHeight w:val="283"/>
        </w:trPr>
        <w:tc>
          <w:tcPr>
            <w:tcW w:w="988" w:type="dxa"/>
            <w:vMerge/>
            <w:vAlign w:val="center"/>
          </w:tcPr>
          <w:p w:rsidR="00EB3BC8" w:rsidRPr="00165651" w:rsidRDefault="00EB3BC8" w:rsidP="005E52E0">
            <w:pPr>
              <w:spacing w:before="40" w:after="40"/>
              <w:jc w:val="both"/>
              <w:rPr>
                <w:rFonts w:cstheme="minorHAnsi"/>
                <w:b/>
                <w:color w:val="000000" w:themeColor="text1"/>
                <w:sz w:val="18"/>
                <w:szCs w:val="16"/>
                <w:lang w:val="es-CO" w:eastAsia="es-CO"/>
              </w:rPr>
            </w:pPr>
          </w:p>
        </w:tc>
        <w:tc>
          <w:tcPr>
            <w:tcW w:w="1417" w:type="dxa"/>
            <w:gridSpan w:val="2"/>
            <w:vAlign w:val="center"/>
          </w:tcPr>
          <w:p w:rsidR="00EB3BC8" w:rsidRPr="00165651" w:rsidRDefault="00EB3BC8" w:rsidP="005E52E0">
            <w:pPr>
              <w:spacing w:before="40" w:after="40"/>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Contrato Actual</w:t>
            </w:r>
          </w:p>
        </w:tc>
        <w:tc>
          <w:tcPr>
            <w:tcW w:w="3824" w:type="dxa"/>
            <w:gridSpan w:val="2"/>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26 meses</w:t>
            </w:r>
          </w:p>
        </w:tc>
        <w:tc>
          <w:tcPr>
            <w:tcW w:w="1418" w:type="dxa"/>
            <w:gridSpan w:val="2"/>
            <w:vMerge/>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cstheme="minorHAnsi"/>
                <w:b/>
                <w:color w:val="000000" w:themeColor="text1"/>
                <w:sz w:val="18"/>
                <w:szCs w:val="16"/>
                <w:lang w:val="es-CO" w:eastAsia="es-CO"/>
              </w:rPr>
            </w:pPr>
          </w:p>
        </w:tc>
        <w:tc>
          <w:tcPr>
            <w:tcW w:w="1704" w:type="dxa"/>
            <w:vMerge/>
            <w:tcBorders>
              <w:left w:val="single" w:sz="4" w:space="0" w:color="9BBB59" w:themeColor="accent3"/>
            </w:tcBorders>
            <w:vAlign w:val="center"/>
          </w:tcPr>
          <w:p w:rsidR="00EB3BC8" w:rsidRPr="00165651" w:rsidRDefault="00EB3BC8" w:rsidP="005E52E0">
            <w:pPr>
              <w:tabs>
                <w:tab w:val="left" w:pos="993"/>
              </w:tabs>
              <w:spacing w:before="40" w:after="40"/>
              <w:jc w:val="both"/>
              <w:rPr>
                <w:rFonts w:cstheme="minorHAnsi"/>
                <w:color w:val="000000" w:themeColor="text1"/>
                <w:sz w:val="18"/>
                <w:szCs w:val="16"/>
                <w:lang w:val="es-CO" w:eastAsia="es-CO"/>
              </w:rPr>
            </w:pPr>
          </w:p>
        </w:tc>
      </w:tr>
      <w:tr w:rsidR="00EB3BC8" w:rsidRPr="00165651" w:rsidTr="005E52E0">
        <w:trPr>
          <w:trHeight w:val="283"/>
        </w:trPr>
        <w:tc>
          <w:tcPr>
            <w:tcW w:w="988" w:type="dxa"/>
            <w:vMerge/>
            <w:vAlign w:val="center"/>
          </w:tcPr>
          <w:p w:rsidR="00EB3BC8" w:rsidRPr="00165651" w:rsidRDefault="00EB3BC8" w:rsidP="005E52E0">
            <w:pPr>
              <w:spacing w:before="40" w:after="40"/>
              <w:jc w:val="both"/>
              <w:rPr>
                <w:rFonts w:cstheme="minorHAnsi"/>
                <w:b/>
                <w:color w:val="000000" w:themeColor="text1"/>
                <w:sz w:val="18"/>
                <w:szCs w:val="16"/>
                <w:lang w:val="es-CO" w:eastAsia="es-CO"/>
              </w:rPr>
            </w:pPr>
          </w:p>
        </w:tc>
        <w:tc>
          <w:tcPr>
            <w:tcW w:w="1417" w:type="dxa"/>
            <w:gridSpan w:val="2"/>
            <w:vAlign w:val="center"/>
          </w:tcPr>
          <w:p w:rsidR="00EB3BC8" w:rsidRPr="00165651" w:rsidRDefault="00EB3BC8" w:rsidP="005E52E0">
            <w:pPr>
              <w:spacing w:before="40" w:after="40"/>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Obra Inicial</w:t>
            </w:r>
          </w:p>
        </w:tc>
        <w:tc>
          <w:tcPr>
            <w:tcW w:w="3824" w:type="dxa"/>
            <w:gridSpan w:val="2"/>
            <w:tcBorders>
              <w:right w:val="single" w:sz="4" w:space="0" w:color="BFBFBF" w:themeColor="background1" w:themeShade="BF"/>
            </w:tcBorders>
            <w:vAlign w:val="center"/>
          </w:tcPr>
          <w:p w:rsidR="00EB3BC8" w:rsidRPr="00165651" w:rsidRDefault="00EB3BC8" w:rsidP="005E52E0">
            <w:pPr>
              <w:tabs>
                <w:tab w:val="left" w:pos="993"/>
              </w:tabs>
              <w:spacing w:before="40" w:after="40"/>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14 meses a partir del inicio de obras</w:t>
            </w:r>
          </w:p>
        </w:tc>
        <w:tc>
          <w:tcPr>
            <w:tcW w:w="1418" w:type="dxa"/>
            <w:gridSpan w:val="2"/>
            <w:vMerge w:val="restart"/>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 xml:space="preserve">Fecha firma acta de Inicio </w:t>
            </w:r>
          </w:p>
        </w:tc>
        <w:tc>
          <w:tcPr>
            <w:tcW w:w="1704" w:type="dxa"/>
            <w:vMerge w:val="restart"/>
            <w:tcBorders>
              <w:left w:val="single" w:sz="4" w:space="0" w:color="9BBB59" w:themeColor="accent3"/>
            </w:tcBorders>
            <w:vAlign w:val="center"/>
          </w:tcPr>
          <w:p w:rsidR="00EB3BC8" w:rsidRPr="00165651" w:rsidRDefault="00EB3BC8" w:rsidP="005E52E0">
            <w:pPr>
              <w:tabs>
                <w:tab w:val="left" w:pos="993"/>
              </w:tabs>
              <w:spacing w:before="40" w:after="40"/>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1 de nov. de 2013</w:t>
            </w:r>
          </w:p>
        </w:tc>
      </w:tr>
      <w:tr w:rsidR="00EB3BC8" w:rsidRPr="00165651" w:rsidTr="005E52E0">
        <w:trPr>
          <w:trHeight w:val="283"/>
        </w:trPr>
        <w:tc>
          <w:tcPr>
            <w:tcW w:w="988" w:type="dxa"/>
            <w:vMerge/>
            <w:vAlign w:val="center"/>
          </w:tcPr>
          <w:p w:rsidR="00EB3BC8" w:rsidRPr="00165651" w:rsidRDefault="00EB3BC8" w:rsidP="005E52E0">
            <w:pPr>
              <w:spacing w:before="40" w:after="40"/>
              <w:jc w:val="both"/>
              <w:rPr>
                <w:rFonts w:cstheme="minorHAnsi"/>
                <w:b/>
                <w:color w:val="000000" w:themeColor="text1"/>
                <w:sz w:val="16"/>
                <w:szCs w:val="16"/>
                <w:lang w:val="es-CO" w:eastAsia="es-CO"/>
              </w:rPr>
            </w:pPr>
          </w:p>
        </w:tc>
        <w:tc>
          <w:tcPr>
            <w:tcW w:w="1417" w:type="dxa"/>
            <w:gridSpan w:val="2"/>
            <w:vAlign w:val="center"/>
          </w:tcPr>
          <w:p w:rsidR="00EB3BC8" w:rsidRPr="00165651" w:rsidRDefault="00EB3BC8" w:rsidP="005E52E0">
            <w:pPr>
              <w:spacing w:before="40" w:after="40" w:line="276" w:lineRule="auto"/>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Obra Actual</w:t>
            </w:r>
          </w:p>
        </w:tc>
        <w:tc>
          <w:tcPr>
            <w:tcW w:w="3824" w:type="dxa"/>
            <w:gridSpan w:val="2"/>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jc w:val="both"/>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20 meses y 19 días</w:t>
            </w:r>
          </w:p>
        </w:tc>
        <w:tc>
          <w:tcPr>
            <w:tcW w:w="1418" w:type="dxa"/>
            <w:gridSpan w:val="2"/>
            <w:vMerge/>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line="276" w:lineRule="auto"/>
              <w:rPr>
                <w:rFonts w:cstheme="minorHAnsi"/>
                <w:b/>
                <w:color w:val="000000" w:themeColor="text1"/>
                <w:sz w:val="16"/>
                <w:szCs w:val="16"/>
                <w:lang w:val="es-CO" w:eastAsia="es-CO"/>
              </w:rPr>
            </w:pPr>
          </w:p>
        </w:tc>
        <w:tc>
          <w:tcPr>
            <w:tcW w:w="1704" w:type="dxa"/>
            <w:vMerge/>
            <w:tcBorders>
              <w:left w:val="single" w:sz="4" w:space="0" w:color="9BBB59" w:themeColor="accent3"/>
            </w:tcBorders>
            <w:vAlign w:val="center"/>
          </w:tcPr>
          <w:p w:rsidR="00EB3BC8" w:rsidRPr="00165651" w:rsidRDefault="00EB3BC8" w:rsidP="005E52E0">
            <w:pPr>
              <w:tabs>
                <w:tab w:val="left" w:pos="993"/>
              </w:tabs>
              <w:spacing w:before="40" w:after="40" w:line="276" w:lineRule="auto"/>
              <w:jc w:val="both"/>
              <w:rPr>
                <w:rFonts w:cstheme="minorHAnsi"/>
                <w:color w:val="000000" w:themeColor="text1"/>
                <w:sz w:val="16"/>
                <w:szCs w:val="16"/>
                <w:lang w:val="es-CO" w:eastAsia="es-CO"/>
              </w:rPr>
            </w:pPr>
          </w:p>
        </w:tc>
      </w:tr>
      <w:tr w:rsidR="00EB3BC8" w:rsidRPr="00165651" w:rsidTr="005E52E0">
        <w:trPr>
          <w:trHeight w:val="576"/>
        </w:trPr>
        <w:tc>
          <w:tcPr>
            <w:tcW w:w="988" w:type="dxa"/>
            <w:vMerge w:val="restart"/>
            <w:vAlign w:val="center"/>
          </w:tcPr>
          <w:p w:rsidR="00EB3BC8" w:rsidRPr="00165651" w:rsidRDefault="00EB3BC8" w:rsidP="005E52E0">
            <w:pPr>
              <w:spacing w:before="40" w:after="40"/>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Valores</w:t>
            </w:r>
          </w:p>
        </w:tc>
        <w:tc>
          <w:tcPr>
            <w:tcW w:w="1417" w:type="dxa"/>
            <w:gridSpan w:val="2"/>
            <w:vAlign w:val="center"/>
          </w:tcPr>
          <w:p w:rsidR="00EB3BC8" w:rsidRPr="00165651" w:rsidRDefault="00EB3BC8" w:rsidP="005E52E0">
            <w:pPr>
              <w:spacing w:before="40" w:after="40" w:line="276" w:lineRule="auto"/>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Contrato Inicial</w:t>
            </w:r>
          </w:p>
        </w:tc>
        <w:tc>
          <w:tcPr>
            <w:tcW w:w="3824" w:type="dxa"/>
            <w:gridSpan w:val="2"/>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 xml:space="preserve">$COP </w:t>
            </w:r>
            <w:r w:rsidRPr="00165651">
              <w:rPr>
                <w:rFonts w:cstheme="minorHAnsi"/>
                <w:sz w:val="18"/>
                <w:szCs w:val="18"/>
                <w:lang w:val="es-CO" w:eastAsia="es-CO"/>
              </w:rPr>
              <w:t>86.418.715.187</w:t>
            </w:r>
          </w:p>
        </w:tc>
        <w:tc>
          <w:tcPr>
            <w:tcW w:w="1418" w:type="dxa"/>
            <w:gridSpan w:val="2"/>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Inicio actividades del contrato</w:t>
            </w:r>
          </w:p>
        </w:tc>
        <w:tc>
          <w:tcPr>
            <w:tcW w:w="1704" w:type="dxa"/>
            <w:tcBorders>
              <w:left w:val="single" w:sz="4" w:space="0" w:color="9BBB59" w:themeColor="accent3"/>
            </w:tcBorders>
            <w:vAlign w:val="center"/>
          </w:tcPr>
          <w:p w:rsidR="00EB3BC8" w:rsidRPr="00165651" w:rsidRDefault="00EB3BC8" w:rsidP="005E52E0">
            <w:pPr>
              <w:spacing w:before="40" w:after="40" w:line="276" w:lineRule="auto"/>
              <w:jc w:val="both"/>
              <w:rPr>
                <w:rFonts w:cstheme="minorHAnsi"/>
                <w:b/>
                <w:color w:val="000000" w:themeColor="text1"/>
                <w:sz w:val="18"/>
                <w:szCs w:val="18"/>
                <w:lang w:val="es-CO" w:eastAsia="es-CO"/>
              </w:rPr>
            </w:pPr>
            <w:r w:rsidRPr="00165651">
              <w:rPr>
                <w:rFonts w:cstheme="minorHAnsi"/>
                <w:color w:val="000000" w:themeColor="text1"/>
                <w:sz w:val="18"/>
                <w:szCs w:val="18"/>
                <w:lang w:val="es-CO" w:eastAsia="es-CO"/>
              </w:rPr>
              <w:t>31 de oct. de 2013 a las 18:00:01</w:t>
            </w:r>
          </w:p>
        </w:tc>
      </w:tr>
      <w:tr w:rsidR="00EB3BC8" w:rsidRPr="00165651" w:rsidTr="005E52E0">
        <w:trPr>
          <w:trHeight w:val="283"/>
        </w:trPr>
        <w:tc>
          <w:tcPr>
            <w:tcW w:w="988" w:type="dxa"/>
            <w:vMerge/>
            <w:vAlign w:val="center"/>
          </w:tcPr>
          <w:p w:rsidR="00EB3BC8" w:rsidRPr="00165651" w:rsidRDefault="00EB3BC8" w:rsidP="005E52E0">
            <w:pPr>
              <w:spacing w:before="40" w:after="40"/>
              <w:jc w:val="both"/>
              <w:rPr>
                <w:rFonts w:cstheme="minorHAnsi"/>
                <w:b/>
                <w:color w:val="000000" w:themeColor="text1"/>
                <w:sz w:val="18"/>
                <w:szCs w:val="18"/>
                <w:lang w:val="es-CO" w:eastAsia="es-CO"/>
              </w:rPr>
            </w:pPr>
          </w:p>
        </w:tc>
        <w:tc>
          <w:tcPr>
            <w:tcW w:w="1417" w:type="dxa"/>
            <w:gridSpan w:val="2"/>
            <w:vMerge w:val="restart"/>
            <w:vAlign w:val="center"/>
          </w:tcPr>
          <w:p w:rsidR="00EB3BC8" w:rsidRPr="00165651" w:rsidRDefault="00EB3BC8" w:rsidP="005E52E0">
            <w:pPr>
              <w:spacing w:before="40" w:after="40" w:line="276" w:lineRule="auto"/>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Contrato Actual</w:t>
            </w:r>
          </w:p>
        </w:tc>
        <w:tc>
          <w:tcPr>
            <w:tcW w:w="3824" w:type="dxa"/>
            <w:gridSpan w:val="2"/>
            <w:vMerge w:val="restart"/>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jc w:val="both"/>
              <w:rPr>
                <w:rFonts w:cstheme="minorHAnsi"/>
                <w:color w:val="000000" w:themeColor="text1"/>
                <w:sz w:val="18"/>
                <w:szCs w:val="18"/>
                <w:lang w:val="es-CO" w:eastAsia="es-CO"/>
              </w:rPr>
            </w:pPr>
            <w:r w:rsidRPr="00165651">
              <w:rPr>
                <w:rFonts w:cstheme="minorHAnsi"/>
                <w:b/>
                <w:color w:val="000000" w:themeColor="text1"/>
                <w:sz w:val="18"/>
                <w:szCs w:val="18"/>
                <w:lang w:val="es-CO" w:eastAsia="es-CO"/>
              </w:rPr>
              <w:t>$ 113.280.303.364</w:t>
            </w:r>
          </w:p>
        </w:tc>
        <w:tc>
          <w:tcPr>
            <w:tcW w:w="1418" w:type="dxa"/>
            <w:gridSpan w:val="2"/>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Fecha inicial fin del Contrato</w:t>
            </w:r>
          </w:p>
        </w:tc>
        <w:tc>
          <w:tcPr>
            <w:tcW w:w="1704" w:type="dxa"/>
            <w:tcBorders>
              <w:left w:val="single" w:sz="4" w:space="0" w:color="9BBB59" w:themeColor="accent3"/>
            </w:tcBorders>
            <w:vAlign w:val="center"/>
          </w:tcPr>
          <w:p w:rsidR="00EB3BC8" w:rsidRPr="00165651" w:rsidRDefault="00EB3BC8" w:rsidP="005E52E0">
            <w:pPr>
              <w:tabs>
                <w:tab w:val="left" w:pos="993"/>
              </w:tabs>
              <w:spacing w:before="40" w:after="40" w:line="276" w:lineRule="auto"/>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31 de Octubre de 2015</w:t>
            </w:r>
          </w:p>
        </w:tc>
      </w:tr>
      <w:tr w:rsidR="00EB3BC8" w:rsidRPr="00165651" w:rsidTr="005E52E0">
        <w:trPr>
          <w:trHeight w:val="518"/>
        </w:trPr>
        <w:tc>
          <w:tcPr>
            <w:tcW w:w="988" w:type="dxa"/>
            <w:vMerge/>
            <w:vAlign w:val="center"/>
          </w:tcPr>
          <w:p w:rsidR="00EB3BC8" w:rsidRPr="00165651" w:rsidRDefault="00EB3BC8" w:rsidP="005E52E0">
            <w:pPr>
              <w:spacing w:before="40" w:after="40"/>
              <w:jc w:val="both"/>
              <w:rPr>
                <w:rFonts w:cstheme="minorHAnsi"/>
                <w:b/>
                <w:color w:val="000000" w:themeColor="text1"/>
                <w:sz w:val="18"/>
                <w:szCs w:val="18"/>
                <w:lang w:val="es-CO" w:eastAsia="es-CO"/>
              </w:rPr>
            </w:pPr>
          </w:p>
        </w:tc>
        <w:tc>
          <w:tcPr>
            <w:tcW w:w="1417" w:type="dxa"/>
            <w:gridSpan w:val="2"/>
            <w:vMerge/>
            <w:vAlign w:val="center"/>
          </w:tcPr>
          <w:p w:rsidR="00EB3BC8" w:rsidRPr="00165651" w:rsidRDefault="00EB3BC8" w:rsidP="005E52E0">
            <w:pPr>
              <w:spacing w:before="40" w:after="40" w:line="276" w:lineRule="auto"/>
              <w:jc w:val="both"/>
              <w:rPr>
                <w:rFonts w:cstheme="minorHAnsi"/>
                <w:b/>
                <w:color w:val="000000" w:themeColor="text1"/>
                <w:sz w:val="18"/>
                <w:szCs w:val="18"/>
                <w:lang w:val="es-CO" w:eastAsia="es-CO"/>
              </w:rPr>
            </w:pPr>
          </w:p>
        </w:tc>
        <w:tc>
          <w:tcPr>
            <w:tcW w:w="3824" w:type="dxa"/>
            <w:gridSpan w:val="2"/>
            <w:vMerge/>
            <w:tcBorders>
              <w:right w:val="single" w:sz="4" w:space="0" w:color="BFBFBF" w:themeColor="background1" w:themeShade="BF"/>
            </w:tcBorders>
            <w:vAlign w:val="center"/>
          </w:tcPr>
          <w:p w:rsidR="00EB3BC8" w:rsidRPr="00165651" w:rsidRDefault="00EB3BC8" w:rsidP="005E52E0">
            <w:pPr>
              <w:tabs>
                <w:tab w:val="left" w:pos="993"/>
              </w:tabs>
              <w:spacing w:before="40" w:after="40" w:line="276" w:lineRule="auto"/>
              <w:jc w:val="both"/>
              <w:rPr>
                <w:rFonts w:cstheme="minorHAnsi"/>
                <w:b/>
                <w:color w:val="000000" w:themeColor="text1"/>
                <w:sz w:val="18"/>
                <w:szCs w:val="18"/>
                <w:lang w:val="es-CO" w:eastAsia="es-CO"/>
              </w:rPr>
            </w:pPr>
          </w:p>
        </w:tc>
        <w:tc>
          <w:tcPr>
            <w:tcW w:w="1418" w:type="dxa"/>
            <w:gridSpan w:val="2"/>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Fecha Actual Fin del Contrato</w:t>
            </w:r>
          </w:p>
        </w:tc>
        <w:tc>
          <w:tcPr>
            <w:tcW w:w="1704" w:type="dxa"/>
            <w:tcBorders>
              <w:left w:val="single" w:sz="4" w:space="0" w:color="9BBB59" w:themeColor="accent3"/>
            </w:tcBorders>
            <w:vAlign w:val="center"/>
          </w:tcPr>
          <w:p w:rsidR="00EB3BC8" w:rsidRPr="00165651" w:rsidRDefault="00EB3BC8" w:rsidP="005E52E0">
            <w:pPr>
              <w:tabs>
                <w:tab w:val="left" w:pos="993"/>
              </w:tabs>
              <w:spacing w:before="40" w:after="40" w:line="276" w:lineRule="auto"/>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31 de Diciembre de 2015</w:t>
            </w:r>
          </w:p>
        </w:tc>
      </w:tr>
      <w:tr w:rsidR="00EB3BC8" w:rsidRPr="00165651" w:rsidTr="005E52E0">
        <w:trPr>
          <w:trHeight w:val="326"/>
        </w:trPr>
        <w:tc>
          <w:tcPr>
            <w:tcW w:w="2405" w:type="dxa"/>
            <w:gridSpan w:val="3"/>
            <w:vAlign w:val="center"/>
          </w:tcPr>
          <w:p w:rsidR="00EB3BC8" w:rsidRPr="00165651" w:rsidRDefault="00EB3BC8" w:rsidP="005E52E0">
            <w:pPr>
              <w:spacing w:before="40" w:after="40" w:line="276" w:lineRule="auto"/>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Firma contratista</w:t>
            </w:r>
            <w:r w:rsidRPr="00165651">
              <w:rPr>
                <w:rFonts w:cstheme="minorHAnsi"/>
                <w:color w:val="000000" w:themeColor="text1"/>
                <w:sz w:val="18"/>
                <w:szCs w:val="18"/>
                <w:lang w:val="es-CO" w:eastAsia="es-CO"/>
              </w:rPr>
              <w:t xml:space="preserve"> </w:t>
            </w:r>
          </w:p>
        </w:tc>
        <w:tc>
          <w:tcPr>
            <w:tcW w:w="6946" w:type="dxa"/>
            <w:gridSpan w:val="5"/>
            <w:vAlign w:val="center"/>
          </w:tcPr>
          <w:p w:rsidR="00EB3BC8" w:rsidRPr="00165651" w:rsidRDefault="00EB3BC8" w:rsidP="005E52E0">
            <w:pPr>
              <w:tabs>
                <w:tab w:val="left" w:pos="993"/>
              </w:tabs>
              <w:spacing w:before="40" w:after="40" w:line="276" w:lineRule="auto"/>
              <w:jc w:val="center"/>
              <w:rPr>
                <w:rFonts w:cstheme="minorHAnsi"/>
                <w:b/>
                <w:color w:val="000000" w:themeColor="text1"/>
                <w:sz w:val="18"/>
                <w:szCs w:val="18"/>
                <w:lang w:val="es-CO" w:eastAsia="es-CO"/>
              </w:rPr>
            </w:pPr>
            <w:r w:rsidRPr="00165651">
              <w:rPr>
                <w:rFonts w:cstheme="minorHAnsi"/>
                <w:b/>
                <w:color w:val="000000" w:themeColor="text1"/>
                <w:sz w:val="18"/>
                <w:szCs w:val="18"/>
                <w:lang w:eastAsia="es-CO"/>
              </w:rPr>
              <w:t>Consorcio Dracol Líneas Férreas</w:t>
            </w:r>
          </w:p>
          <w:p w:rsidR="00EB3BC8" w:rsidRPr="00165651" w:rsidRDefault="00EB3BC8" w:rsidP="000021B2">
            <w:pPr>
              <w:numPr>
                <w:ilvl w:val="0"/>
                <w:numId w:val="88"/>
              </w:numPr>
              <w:spacing w:before="120" w:line="276" w:lineRule="auto"/>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 xml:space="preserve">Dragados IBE 35%                                                   </w:t>
            </w:r>
          </w:p>
          <w:p w:rsidR="00EB3BC8" w:rsidRPr="00165651" w:rsidRDefault="00EB3BC8" w:rsidP="000021B2">
            <w:pPr>
              <w:numPr>
                <w:ilvl w:val="0"/>
                <w:numId w:val="88"/>
              </w:numPr>
              <w:spacing w:before="120" w:line="276" w:lineRule="auto"/>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Vías y Construcciones 35%</w:t>
            </w:r>
          </w:p>
          <w:p w:rsidR="00EB3BC8" w:rsidRPr="00165651" w:rsidRDefault="00EB3BC8" w:rsidP="000021B2">
            <w:pPr>
              <w:numPr>
                <w:ilvl w:val="0"/>
                <w:numId w:val="87"/>
              </w:numPr>
              <w:tabs>
                <w:tab w:val="left" w:pos="993"/>
              </w:tabs>
              <w:spacing w:before="40" w:after="40" w:line="276" w:lineRule="auto"/>
              <w:jc w:val="both"/>
              <w:rPr>
                <w:rFonts w:cstheme="minorHAnsi"/>
                <w:b/>
                <w:color w:val="000000" w:themeColor="text1"/>
                <w:sz w:val="18"/>
                <w:szCs w:val="18"/>
                <w:lang w:val="es-CO" w:eastAsia="es-CO"/>
              </w:rPr>
            </w:pPr>
            <w:r w:rsidRPr="00165651">
              <w:rPr>
                <w:rFonts w:cstheme="minorHAnsi"/>
                <w:color w:val="000000" w:themeColor="text1"/>
                <w:sz w:val="18"/>
                <w:szCs w:val="18"/>
                <w:lang w:val="es-CO" w:eastAsia="es-CO"/>
              </w:rPr>
              <w:t>Constructora Colpatria 30%</w:t>
            </w:r>
          </w:p>
        </w:tc>
      </w:tr>
      <w:tr w:rsidR="00EB3BC8" w:rsidRPr="00165651" w:rsidTr="005E52E0">
        <w:trPr>
          <w:trHeight w:val="320"/>
        </w:trPr>
        <w:tc>
          <w:tcPr>
            <w:tcW w:w="988" w:type="dxa"/>
            <w:vMerge w:val="restart"/>
            <w:vAlign w:val="center"/>
          </w:tcPr>
          <w:p w:rsidR="00EB3BC8" w:rsidRPr="00165651" w:rsidRDefault="00EB3BC8" w:rsidP="005E52E0">
            <w:pPr>
              <w:spacing w:before="40" w:after="40"/>
              <w:jc w:val="both"/>
              <w:rPr>
                <w:rFonts w:cstheme="minorHAnsi"/>
                <w:b/>
                <w:color w:val="000000" w:themeColor="text1"/>
                <w:sz w:val="18"/>
                <w:szCs w:val="18"/>
                <w:lang w:val="es-CO" w:eastAsia="es-CO"/>
              </w:rPr>
            </w:pPr>
          </w:p>
          <w:p w:rsidR="00EB3BC8" w:rsidRPr="00165651" w:rsidRDefault="00EB3BC8" w:rsidP="005E52E0">
            <w:pPr>
              <w:spacing w:before="40" w:after="40"/>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Otrosíes</w:t>
            </w:r>
          </w:p>
        </w:tc>
        <w:tc>
          <w:tcPr>
            <w:tcW w:w="422" w:type="dxa"/>
            <w:vAlign w:val="center"/>
          </w:tcPr>
          <w:p w:rsidR="00EB3BC8" w:rsidRPr="00165651" w:rsidRDefault="00EB3BC8" w:rsidP="005E52E0">
            <w:pPr>
              <w:spacing w:before="40" w:after="40" w:line="276" w:lineRule="auto"/>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No</w:t>
            </w:r>
          </w:p>
        </w:tc>
        <w:tc>
          <w:tcPr>
            <w:tcW w:w="995" w:type="dxa"/>
            <w:vAlign w:val="center"/>
          </w:tcPr>
          <w:p w:rsidR="00EB3BC8" w:rsidRPr="00165651" w:rsidRDefault="00EB3BC8" w:rsidP="005E52E0">
            <w:pPr>
              <w:spacing w:before="40" w:after="40" w:line="276" w:lineRule="auto"/>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Fecha</w:t>
            </w:r>
          </w:p>
        </w:tc>
        <w:tc>
          <w:tcPr>
            <w:tcW w:w="3824" w:type="dxa"/>
            <w:gridSpan w:val="2"/>
            <w:tcBorders>
              <w:right w:val="single" w:sz="4" w:space="0" w:color="9BBB59" w:themeColor="accent3"/>
            </w:tcBorders>
            <w:vAlign w:val="center"/>
          </w:tcPr>
          <w:p w:rsidR="00EB3BC8" w:rsidRPr="00165651" w:rsidRDefault="00EB3BC8" w:rsidP="005E52E0">
            <w:pPr>
              <w:spacing w:before="40" w:after="40" w:line="276" w:lineRule="auto"/>
              <w:jc w:val="center"/>
              <w:rPr>
                <w:rFonts w:cstheme="minorHAnsi"/>
                <w:b/>
                <w:color w:val="000000" w:themeColor="text1"/>
                <w:sz w:val="18"/>
                <w:szCs w:val="18"/>
                <w:lang w:val="es-CO" w:eastAsia="es-CO"/>
              </w:rPr>
            </w:pPr>
            <w:r w:rsidRPr="00165651">
              <w:rPr>
                <w:rFonts w:cstheme="minorHAnsi"/>
                <w:b/>
                <w:color w:val="000000" w:themeColor="text1"/>
                <w:sz w:val="18"/>
                <w:szCs w:val="18"/>
                <w:lang w:eastAsia="es-CO"/>
              </w:rPr>
              <w:t>Alcance</w:t>
            </w:r>
          </w:p>
        </w:tc>
        <w:tc>
          <w:tcPr>
            <w:tcW w:w="1418" w:type="dxa"/>
            <w:gridSpan w:val="2"/>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line="276" w:lineRule="auto"/>
              <w:jc w:val="center"/>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Adición Plazo</w:t>
            </w:r>
          </w:p>
        </w:tc>
        <w:tc>
          <w:tcPr>
            <w:tcW w:w="1704" w:type="dxa"/>
            <w:tcBorders>
              <w:left w:val="single" w:sz="4" w:space="0" w:color="9BBB59" w:themeColor="accent3"/>
            </w:tcBorders>
            <w:vAlign w:val="center"/>
          </w:tcPr>
          <w:p w:rsidR="00EB3BC8" w:rsidRPr="00165651" w:rsidRDefault="00EB3BC8" w:rsidP="005E52E0">
            <w:pPr>
              <w:tabs>
                <w:tab w:val="left" w:pos="993"/>
              </w:tabs>
              <w:spacing w:before="40" w:after="40" w:line="276" w:lineRule="auto"/>
              <w:jc w:val="center"/>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Adición Valor</w:t>
            </w:r>
          </w:p>
        </w:tc>
      </w:tr>
      <w:tr w:rsidR="00EB3BC8" w:rsidRPr="00165651" w:rsidTr="005E52E0">
        <w:trPr>
          <w:trHeight w:val="619"/>
        </w:trPr>
        <w:tc>
          <w:tcPr>
            <w:tcW w:w="988" w:type="dxa"/>
            <w:vMerge/>
            <w:vAlign w:val="center"/>
          </w:tcPr>
          <w:p w:rsidR="00EB3BC8" w:rsidRPr="00165651" w:rsidRDefault="00EB3BC8" w:rsidP="005E52E0">
            <w:pPr>
              <w:spacing w:before="40" w:after="40"/>
              <w:jc w:val="both"/>
              <w:rPr>
                <w:rFonts w:cstheme="minorHAnsi"/>
                <w:b/>
                <w:color w:val="000000" w:themeColor="text1"/>
                <w:sz w:val="18"/>
                <w:szCs w:val="18"/>
                <w:lang w:val="es-CO" w:eastAsia="es-CO"/>
              </w:rPr>
            </w:pPr>
          </w:p>
        </w:tc>
        <w:tc>
          <w:tcPr>
            <w:tcW w:w="422" w:type="dxa"/>
            <w:vAlign w:val="center"/>
          </w:tcPr>
          <w:p w:rsidR="00EB3BC8" w:rsidRPr="00165651" w:rsidRDefault="00EB3BC8" w:rsidP="005E52E0">
            <w:pPr>
              <w:spacing w:before="40" w:after="40" w:line="276" w:lineRule="auto"/>
              <w:jc w:val="center"/>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01</w:t>
            </w:r>
          </w:p>
        </w:tc>
        <w:tc>
          <w:tcPr>
            <w:tcW w:w="995" w:type="dxa"/>
            <w:vAlign w:val="center"/>
          </w:tcPr>
          <w:p w:rsidR="00EB3BC8" w:rsidRPr="00165651" w:rsidRDefault="00EB3BC8" w:rsidP="005E52E0">
            <w:pPr>
              <w:spacing w:before="40" w:after="40" w:line="276" w:lineRule="auto"/>
              <w:jc w:val="center"/>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24  de Abril de 2015</w:t>
            </w:r>
          </w:p>
        </w:tc>
        <w:tc>
          <w:tcPr>
            <w:tcW w:w="3824" w:type="dxa"/>
            <w:gridSpan w:val="2"/>
            <w:tcBorders>
              <w:right w:val="single" w:sz="4" w:space="0" w:color="9BBB59" w:themeColor="accent3"/>
            </w:tcBorders>
            <w:vAlign w:val="center"/>
          </w:tcPr>
          <w:p w:rsidR="00EB3BC8" w:rsidRPr="00165651" w:rsidRDefault="00EB3BC8" w:rsidP="000021B2">
            <w:pPr>
              <w:numPr>
                <w:ilvl w:val="0"/>
                <w:numId w:val="87"/>
              </w:numPr>
              <w:spacing w:before="40" w:after="40" w:line="276" w:lineRule="auto"/>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Prórroga para ejecución de obras de 6 meses y 19 días hasta el 31 de diciembre de 2015</w:t>
            </w:r>
          </w:p>
          <w:p w:rsidR="00EB3BC8" w:rsidRPr="00165651" w:rsidRDefault="00EB3BC8" w:rsidP="000021B2">
            <w:pPr>
              <w:numPr>
                <w:ilvl w:val="0"/>
                <w:numId w:val="87"/>
              </w:numPr>
              <w:spacing w:before="40" w:after="40" w:line="276" w:lineRule="auto"/>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Prórroga para el plazo total del contrato de 2 meses para las actividades se Administración, hasta el 31 de diciembre de 2015</w:t>
            </w:r>
          </w:p>
          <w:p w:rsidR="00EB3BC8" w:rsidRPr="00165651" w:rsidRDefault="00EB3BC8" w:rsidP="000021B2">
            <w:pPr>
              <w:numPr>
                <w:ilvl w:val="0"/>
                <w:numId w:val="87"/>
              </w:numPr>
              <w:spacing w:before="40" w:after="40" w:line="276" w:lineRule="auto"/>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Adición del valor del contrato en $ 26.861.588.177, de los cuales $24.519.000.000 son para ejecución de Obras y $2.342.588.177 son para las Actividades de Administración.</w:t>
            </w:r>
          </w:p>
          <w:p w:rsidR="00EB3BC8" w:rsidRPr="00165651" w:rsidRDefault="00EB3BC8" w:rsidP="000021B2">
            <w:pPr>
              <w:numPr>
                <w:ilvl w:val="0"/>
                <w:numId w:val="87"/>
              </w:numPr>
              <w:spacing w:before="40" w:after="40" w:line="276" w:lineRule="auto"/>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Realizar rebalanceo de los recursos contractuales disponibles por la suma de $ 10.610.782.770 para la ejecución de las obras faltantes.</w:t>
            </w:r>
          </w:p>
          <w:p w:rsidR="00EB3BC8" w:rsidRPr="00165651" w:rsidRDefault="00EB3BC8" w:rsidP="000021B2">
            <w:pPr>
              <w:numPr>
                <w:ilvl w:val="0"/>
                <w:numId w:val="87"/>
              </w:numPr>
              <w:spacing w:before="40" w:after="40" w:line="276" w:lineRule="auto"/>
              <w:jc w:val="both"/>
              <w:rPr>
                <w:rFonts w:cstheme="minorHAnsi"/>
                <w:b/>
                <w:color w:val="000000" w:themeColor="text1"/>
                <w:sz w:val="18"/>
                <w:szCs w:val="18"/>
                <w:lang w:val="es-CO" w:eastAsia="es-CO"/>
              </w:rPr>
            </w:pPr>
            <w:r w:rsidRPr="00165651">
              <w:rPr>
                <w:rFonts w:cstheme="minorHAnsi"/>
                <w:color w:val="000000" w:themeColor="text1"/>
                <w:sz w:val="18"/>
                <w:szCs w:val="18"/>
                <w:lang w:val="es-CO" w:eastAsia="es-CO"/>
              </w:rPr>
              <w:t>Modificar el alcance de las 14 obras que se ejecutaran a diseño parcial.</w:t>
            </w:r>
          </w:p>
        </w:tc>
        <w:tc>
          <w:tcPr>
            <w:tcW w:w="1418" w:type="dxa"/>
            <w:gridSpan w:val="2"/>
            <w:tcBorders>
              <w:left w:val="single" w:sz="4" w:space="0" w:color="BFBFBF" w:themeColor="background1" w:themeShade="BF"/>
              <w:right w:val="single" w:sz="4" w:space="0" w:color="9BBB59" w:themeColor="accent3"/>
            </w:tcBorders>
            <w:vAlign w:val="center"/>
          </w:tcPr>
          <w:p w:rsidR="00EB3BC8" w:rsidRPr="00165651" w:rsidRDefault="00EB3BC8" w:rsidP="005E52E0">
            <w:pPr>
              <w:spacing w:before="40" w:after="40" w:line="276" w:lineRule="auto"/>
              <w:jc w:val="center"/>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2 meses</w:t>
            </w:r>
          </w:p>
        </w:tc>
        <w:tc>
          <w:tcPr>
            <w:tcW w:w="1704" w:type="dxa"/>
            <w:tcBorders>
              <w:left w:val="single" w:sz="4" w:space="0" w:color="9BBB59" w:themeColor="accent3"/>
            </w:tcBorders>
            <w:vAlign w:val="center"/>
          </w:tcPr>
          <w:p w:rsidR="00EB3BC8" w:rsidRPr="00165651" w:rsidRDefault="00EB3BC8" w:rsidP="005E52E0">
            <w:pPr>
              <w:spacing w:before="40" w:after="40" w:line="276" w:lineRule="auto"/>
              <w:jc w:val="center"/>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$ 26.861.588.177</w:t>
            </w:r>
          </w:p>
        </w:tc>
      </w:tr>
      <w:tr w:rsidR="00EB3BC8" w:rsidRPr="00165651" w:rsidTr="005E52E0">
        <w:trPr>
          <w:trHeight w:val="340"/>
        </w:trPr>
        <w:tc>
          <w:tcPr>
            <w:tcW w:w="2405" w:type="dxa"/>
            <w:gridSpan w:val="3"/>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 Avance financiero Contrato</w:t>
            </w:r>
          </w:p>
        </w:tc>
        <w:tc>
          <w:tcPr>
            <w:tcW w:w="6946" w:type="dxa"/>
            <w:gridSpan w:val="5"/>
            <w:vAlign w:val="center"/>
          </w:tcPr>
          <w:p w:rsidR="00EB3BC8" w:rsidRPr="00165651" w:rsidRDefault="00EB3BC8" w:rsidP="005E52E0">
            <w:pPr>
              <w:spacing w:before="40" w:after="40" w:line="276" w:lineRule="auto"/>
              <w:jc w:val="both"/>
              <w:rPr>
                <w:rFonts w:cstheme="minorHAnsi"/>
                <w:color w:val="000000" w:themeColor="text1"/>
                <w:sz w:val="18"/>
                <w:szCs w:val="18"/>
                <w:lang w:val="es-CO" w:eastAsia="es-CO"/>
              </w:rPr>
            </w:pPr>
            <w:r w:rsidRPr="00165651">
              <w:rPr>
                <w:rFonts w:cstheme="minorHAnsi"/>
                <w:b/>
                <w:color w:val="000000" w:themeColor="text1"/>
                <w:sz w:val="18"/>
                <w:szCs w:val="18"/>
                <w:lang w:val="es-CO" w:eastAsia="es-CO"/>
              </w:rPr>
              <w:t>55,97 %</w:t>
            </w:r>
            <w:r w:rsidRPr="00165651">
              <w:rPr>
                <w:rFonts w:cstheme="minorHAnsi"/>
                <w:color w:val="000000" w:themeColor="text1"/>
                <w:sz w:val="18"/>
                <w:szCs w:val="18"/>
                <w:lang w:val="es-CO" w:eastAsia="es-CO"/>
              </w:rPr>
              <w:t xml:space="preserve">   a 30 de junio  de 2015</w:t>
            </w:r>
          </w:p>
        </w:tc>
      </w:tr>
      <w:tr w:rsidR="00EB3BC8" w:rsidRPr="00165651" w:rsidTr="005E52E0">
        <w:trPr>
          <w:trHeight w:val="340"/>
        </w:trPr>
        <w:tc>
          <w:tcPr>
            <w:tcW w:w="2405" w:type="dxa"/>
            <w:gridSpan w:val="3"/>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 Avance financiero Obras</w:t>
            </w:r>
          </w:p>
        </w:tc>
        <w:tc>
          <w:tcPr>
            <w:tcW w:w="6946" w:type="dxa"/>
            <w:gridSpan w:val="5"/>
            <w:vAlign w:val="center"/>
          </w:tcPr>
          <w:p w:rsidR="00EB3BC8" w:rsidRPr="00165651" w:rsidRDefault="00EB3BC8" w:rsidP="005E52E0">
            <w:pPr>
              <w:spacing w:before="40" w:after="40" w:line="276" w:lineRule="auto"/>
              <w:jc w:val="both"/>
              <w:rPr>
                <w:rFonts w:cstheme="minorHAnsi"/>
                <w:b/>
                <w:color w:val="FF0000"/>
                <w:sz w:val="18"/>
                <w:szCs w:val="18"/>
                <w:lang w:val="es-CO" w:eastAsia="es-CO"/>
              </w:rPr>
            </w:pPr>
            <w:r w:rsidRPr="00165651">
              <w:rPr>
                <w:rFonts w:cstheme="minorHAnsi"/>
                <w:b/>
                <w:color w:val="000000" w:themeColor="text1"/>
                <w:sz w:val="18"/>
                <w:szCs w:val="18"/>
                <w:lang w:val="es-CO" w:eastAsia="es-CO"/>
              </w:rPr>
              <w:t xml:space="preserve">52,58 % </w:t>
            </w:r>
            <w:r w:rsidRPr="00165651">
              <w:rPr>
                <w:rFonts w:cstheme="minorHAnsi"/>
                <w:color w:val="000000" w:themeColor="text1"/>
                <w:sz w:val="18"/>
                <w:szCs w:val="18"/>
                <w:lang w:val="es-CO" w:eastAsia="es-CO"/>
              </w:rPr>
              <w:t xml:space="preserve">  a 30 de junio  de 2015  </w:t>
            </w:r>
          </w:p>
        </w:tc>
      </w:tr>
      <w:tr w:rsidR="00EB3BC8" w:rsidRPr="00165651" w:rsidTr="005E52E0">
        <w:trPr>
          <w:trHeight w:val="340"/>
        </w:trPr>
        <w:tc>
          <w:tcPr>
            <w:tcW w:w="2405" w:type="dxa"/>
            <w:gridSpan w:val="3"/>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 xml:space="preserve">% Avance físico Obras </w:t>
            </w:r>
          </w:p>
        </w:tc>
        <w:tc>
          <w:tcPr>
            <w:tcW w:w="6946" w:type="dxa"/>
            <w:gridSpan w:val="5"/>
            <w:vAlign w:val="center"/>
          </w:tcPr>
          <w:p w:rsidR="00EB3BC8" w:rsidRPr="00165651" w:rsidRDefault="00EB3BC8" w:rsidP="005E52E0">
            <w:pPr>
              <w:spacing w:before="40" w:after="40" w:line="276" w:lineRule="auto"/>
              <w:jc w:val="both"/>
              <w:rPr>
                <w:rFonts w:cstheme="minorHAnsi"/>
                <w:b/>
                <w:color w:val="FF0000"/>
                <w:sz w:val="18"/>
                <w:szCs w:val="18"/>
                <w:lang w:val="es-CO" w:eastAsia="es-CO"/>
              </w:rPr>
            </w:pPr>
            <w:r w:rsidRPr="00165651">
              <w:rPr>
                <w:rFonts w:cstheme="minorHAnsi"/>
                <w:b/>
                <w:sz w:val="18"/>
                <w:szCs w:val="18"/>
                <w:lang w:val="es-CO" w:eastAsia="es-CO"/>
              </w:rPr>
              <w:t xml:space="preserve">50,14 %  </w:t>
            </w:r>
            <w:r w:rsidRPr="00165651">
              <w:rPr>
                <w:rFonts w:cstheme="minorHAnsi"/>
                <w:sz w:val="18"/>
                <w:szCs w:val="18"/>
                <w:lang w:val="es-CO" w:eastAsia="es-CO"/>
              </w:rPr>
              <w:t xml:space="preserve">  </w:t>
            </w:r>
            <w:r w:rsidRPr="00165651">
              <w:rPr>
                <w:rFonts w:cstheme="minorHAnsi"/>
                <w:color w:val="000000" w:themeColor="text1"/>
                <w:sz w:val="18"/>
                <w:szCs w:val="18"/>
                <w:lang w:val="es-CO" w:eastAsia="es-CO"/>
              </w:rPr>
              <w:t xml:space="preserve">a 30 de junio de 2015  </w:t>
            </w:r>
          </w:p>
        </w:tc>
      </w:tr>
      <w:tr w:rsidR="00EB3BC8" w:rsidRPr="00165651" w:rsidTr="005E52E0">
        <w:trPr>
          <w:trHeight w:val="340"/>
        </w:trPr>
        <w:tc>
          <w:tcPr>
            <w:tcW w:w="2405" w:type="dxa"/>
            <w:gridSpan w:val="3"/>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Obras culminadas a la Fecha</w:t>
            </w:r>
          </w:p>
        </w:tc>
        <w:tc>
          <w:tcPr>
            <w:tcW w:w="6946" w:type="dxa"/>
            <w:gridSpan w:val="5"/>
            <w:vAlign w:val="center"/>
          </w:tcPr>
          <w:p w:rsidR="00EB3BC8" w:rsidRPr="00165651" w:rsidRDefault="00EB3BC8" w:rsidP="005E52E0">
            <w:pPr>
              <w:spacing w:before="40" w:after="40" w:line="276" w:lineRule="auto"/>
              <w:jc w:val="both"/>
              <w:rPr>
                <w:rFonts w:cstheme="minorHAnsi"/>
                <w:b/>
                <w:color w:val="FF0000"/>
                <w:sz w:val="18"/>
                <w:szCs w:val="18"/>
                <w:lang w:val="es-CO" w:eastAsia="es-CO"/>
              </w:rPr>
            </w:pPr>
            <w:r w:rsidRPr="00165651">
              <w:rPr>
                <w:rFonts w:cstheme="minorHAnsi"/>
                <w:b/>
                <w:color w:val="000000" w:themeColor="text1"/>
                <w:sz w:val="18"/>
                <w:szCs w:val="18"/>
                <w:lang w:val="es-CO" w:eastAsia="es-CO"/>
              </w:rPr>
              <w:t xml:space="preserve">35/72  </w:t>
            </w:r>
            <w:r w:rsidRPr="00165651">
              <w:rPr>
                <w:rFonts w:cstheme="minorHAnsi"/>
                <w:color w:val="000000" w:themeColor="text1"/>
                <w:sz w:val="18"/>
                <w:szCs w:val="18"/>
                <w:lang w:val="es-CO" w:eastAsia="es-CO"/>
              </w:rPr>
              <w:t xml:space="preserve">     a 30 de junio  de 2015  </w:t>
            </w:r>
          </w:p>
        </w:tc>
      </w:tr>
      <w:tr w:rsidR="00EB3BC8" w:rsidRPr="00165651" w:rsidTr="005E52E0">
        <w:trPr>
          <w:trHeight w:val="340"/>
        </w:trPr>
        <w:tc>
          <w:tcPr>
            <w:tcW w:w="2405" w:type="dxa"/>
            <w:gridSpan w:val="3"/>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 Avance en Tiempo Contrato</w:t>
            </w:r>
          </w:p>
        </w:tc>
        <w:tc>
          <w:tcPr>
            <w:tcW w:w="6946" w:type="dxa"/>
            <w:gridSpan w:val="5"/>
            <w:vAlign w:val="center"/>
          </w:tcPr>
          <w:p w:rsidR="00EB3BC8" w:rsidRPr="00165651" w:rsidRDefault="00EB3BC8" w:rsidP="005E52E0">
            <w:pPr>
              <w:spacing w:before="40" w:after="40" w:line="276" w:lineRule="auto"/>
              <w:jc w:val="both"/>
              <w:rPr>
                <w:rFonts w:cstheme="minorHAnsi"/>
                <w:b/>
                <w:color w:val="FF0000"/>
                <w:sz w:val="18"/>
                <w:szCs w:val="18"/>
                <w:lang w:val="es-CO" w:eastAsia="es-CO"/>
              </w:rPr>
            </w:pPr>
            <w:r w:rsidRPr="00165651">
              <w:rPr>
                <w:rFonts w:cstheme="minorHAnsi"/>
                <w:b/>
                <w:color w:val="000000" w:themeColor="text1"/>
                <w:sz w:val="18"/>
                <w:szCs w:val="18"/>
                <w:lang w:val="es-CO" w:eastAsia="es-CO"/>
              </w:rPr>
              <w:t xml:space="preserve">76,92  %   </w:t>
            </w:r>
            <w:r w:rsidRPr="00165651">
              <w:rPr>
                <w:rFonts w:cstheme="minorHAnsi"/>
                <w:color w:val="000000" w:themeColor="text1"/>
                <w:sz w:val="18"/>
                <w:szCs w:val="18"/>
                <w:lang w:val="es-CO" w:eastAsia="es-CO"/>
              </w:rPr>
              <w:t xml:space="preserve">a 30 de junio  de 2015  </w:t>
            </w:r>
          </w:p>
        </w:tc>
      </w:tr>
      <w:tr w:rsidR="00EB3BC8" w:rsidRPr="00165651" w:rsidTr="005E52E0">
        <w:trPr>
          <w:trHeight w:val="340"/>
        </w:trPr>
        <w:tc>
          <w:tcPr>
            <w:tcW w:w="2405" w:type="dxa"/>
            <w:gridSpan w:val="3"/>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 Avance en Tiempo Obras</w:t>
            </w:r>
          </w:p>
        </w:tc>
        <w:tc>
          <w:tcPr>
            <w:tcW w:w="6946" w:type="dxa"/>
            <w:gridSpan w:val="5"/>
            <w:vAlign w:val="center"/>
          </w:tcPr>
          <w:p w:rsidR="00EB3BC8" w:rsidRPr="00165651" w:rsidRDefault="00EB3BC8" w:rsidP="005E52E0">
            <w:pPr>
              <w:spacing w:before="40" w:after="40" w:line="276" w:lineRule="auto"/>
              <w:jc w:val="both"/>
              <w:rPr>
                <w:rFonts w:cstheme="minorHAnsi"/>
                <w:b/>
                <w:color w:val="FF0000"/>
                <w:sz w:val="18"/>
                <w:szCs w:val="18"/>
                <w:lang w:val="es-CO" w:eastAsia="es-CO"/>
              </w:rPr>
            </w:pPr>
            <w:r w:rsidRPr="00165651">
              <w:rPr>
                <w:rFonts w:cstheme="minorHAnsi"/>
                <w:b/>
                <w:color w:val="000000" w:themeColor="text1"/>
                <w:sz w:val="18"/>
                <w:szCs w:val="18"/>
                <w:lang w:val="es-CO" w:eastAsia="es-CO"/>
              </w:rPr>
              <w:t xml:space="preserve">70,00 % </w:t>
            </w:r>
            <w:r w:rsidRPr="00165651">
              <w:rPr>
                <w:rFonts w:cstheme="minorHAnsi"/>
                <w:color w:val="000000" w:themeColor="text1"/>
                <w:sz w:val="18"/>
                <w:szCs w:val="18"/>
                <w:lang w:val="es-CO" w:eastAsia="es-CO"/>
              </w:rPr>
              <w:t xml:space="preserve">   a  30 de junio  de 2015  </w:t>
            </w:r>
          </w:p>
        </w:tc>
      </w:tr>
      <w:tr w:rsidR="00EB3BC8" w:rsidRPr="00165651" w:rsidTr="005E52E0">
        <w:tblPrEx>
          <w:tblCellMar>
            <w:left w:w="70" w:type="dxa"/>
            <w:right w:w="70" w:type="dxa"/>
          </w:tblCellMar>
        </w:tblPrEx>
        <w:trPr>
          <w:trHeight w:val="397"/>
        </w:trPr>
        <w:tc>
          <w:tcPr>
            <w:tcW w:w="2405" w:type="dxa"/>
            <w:gridSpan w:val="3"/>
            <w:vAlign w:val="center"/>
          </w:tcPr>
          <w:p w:rsidR="00EB3BC8" w:rsidRPr="00165651" w:rsidRDefault="00EB3BC8" w:rsidP="005E52E0">
            <w:pPr>
              <w:spacing w:before="40" w:after="40" w:line="276" w:lineRule="auto"/>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Ejecución General del Contrato de Obra 356 de 2013 a 30 de junio de 2015</w:t>
            </w:r>
          </w:p>
        </w:tc>
        <w:tc>
          <w:tcPr>
            <w:tcW w:w="6946" w:type="dxa"/>
            <w:gridSpan w:val="5"/>
            <w:vAlign w:val="center"/>
          </w:tcPr>
          <w:p w:rsidR="00EB3BC8" w:rsidRPr="00165651" w:rsidRDefault="00EB3BC8" w:rsidP="005E52E0">
            <w:pPr>
              <w:spacing w:before="40" w:after="40" w:line="276" w:lineRule="auto"/>
              <w:jc w:val="both"/>
              <w:rPr>
                <w:rFonts w:cstheme="minorHAnsi"/>
                <w:noProof/>
                <w:color w:val="000000" w:themeColor="text1"/>
                <w:sz w:val="18"/>
                <w:szCs w:val="18"/>
                <w:lang w:val="es-CO" w:eastAsia="es-CO"/>
              </w:rPr>
            </w:pPr>
          </w:p>
          <w:p w:rsidR="00EB3BC8" w:rsidRPr="00165651" w:rsidRDefault="00EB3BC8" w:rsidP="005E52E0">
            <w:pPr>
              <w:spacing w:before="40" w:after="40" w:line="276" w:lineRule="auto"/>
              <w:jc w:val="center"/>
              <w:rPr>
                <w:rFonts w:cstheme="minorHAnsi"/>
                <w:color w:val="000000" w:themeColor="text1"/>
                <w:sz w:val="18"/>
                <w:szCs w:val="18"/>
                <w:lang w:val="es-CO" w:eastAsia="es-CO"/>
              </w:rPr>
            </w:pPr>
            <w:r w:rsidRPr="00165651">
              <w:rPr>
                <w:rFonts w:cstheme="minorHAnsi"/>
                <w:noProof/>
                <w:color w:val="000000" w:themeColor="text1"/>
                <w:sz w:val="18"/>
                <w:szCs w:val="18"/>
              </w:rPr>
              <w:drawing>
                <wp:inline distT="0" distB="0" distL="0" distR="0" wp14:anchorId="7DD2E810" wp14:editId="1F1DB0DE">
                  <wp:extent cx="4141470" cy="2800350"/>
                  <wp:effectExtent l="0" t="0" r="0" b="0"/>
                  <wp:docPr id="11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80"/>
                          <a:stretch>
                            <a:fillRect/>
                          </a:stretch>
                        </pic:blipFill>
                        <pic:spPr>
                          <a:xfrm>
                            <a:off x="0" y="0"/>
                            <a:ext cx="4141470" cy="2800350"/>
                          </a:xfrm>
                          <a:prstGeom prst="rect">
                            <a:avLst/>
                          </a:prstGeom>
                        </pic:spPr>
                      </pic:pic>
                    </a:graphicData>
                  </a:graphic>
                </wp:inline>
              </w:drawing>
            </w:r>
          </w:p>
          <w:p w:rsidR="00EB3BC8" w:rsidRPr="00165651" w:rsidRDefault="00EB3BC8" w:rsidP="005E52E0">
            <w:pPr>
              <w:spacing w:before="40" w:after="40" w:line="276" w:lineRule="auto"/>
              <w:jc w:val="both"/>
              <w:rPr>
                <w:rFonts w:cstheme="minorHAnsi"/>
                <w:noProof/>
                <w:sz w:val="18"/>
                <w:szCs w:val="18"/>
                <w:lang w:val="es-CO" w:eastAsia="es-CO"/>
              </w:rPr>
            </w:pPr>
          </w:p>
          <w:p w:rsidR="00EB3BC8" w:rsidRPr="00165651" w:rsidRDefault="00EB3BC8" w:rsidP="005E52E0">
            <w:pPr>
              <w:spacing w:before="40" w:after="40" w:line="276" w:lineRule="auto"/>
              <w:jc w:val="both"/>
              <w:rPr>
                <w:rFonts w:cstheme="minorHAnsi"/>
                <w:noProof/>
                <w:sz w:val="18"/>
                <w:szCs w:val="18"/>
                <w:lang w:val="es-CO" w:eastAsia="es-CO"/>
              </w:rPr>
            </w:pPr>
          </w:p>
        </w:tc>
      </w:tr>
      <w:tr w:rsidR="00EB3BC8" w:rsidRPr="00165651" w:rsidTr="005E52E0">
        <w:tblPrEx>
          <w:tblCellMar>
            <w:left w:w="70" w:type="dxa"/>
            <w:right w:w="70" w:type="dxa"/>
          </w:tblCellMar>
        </w:tblPrEx>
        <w:trPr>
          <w:trHeight w:val="5237"/>
        </w:trPr>
        <w:tc>
          <w:tcPr>
            <w:tcW w:w="9351" w:type="dxa"/>
            <w:gridSpan w:val="8"/>
            <w:vAlign w:val="center"/>
          </w:tcPr>
          <w:p w:rsidR="00EB3BC8" w:rsidRPr="00165651" w:rsidRDefault="00EB3BC8" w:rsidP="005E52E0">
            <w:pPr>
              <w:tabs>
                <w:tab w:val="left" w:pos="993"/>
              </w:tabs>
              <w:spacing w:before="120"/>
              <w:jc w:val="center"/>
              <w:rPr>
                <w:rFonts w:cstheme="minorHAnsi"/>
                <w:color w:val="000000" w:themeColor="text1"/>
                <w:sz w:val="16"/>
                <w:szCs w:val="16"/>
                <w:lang w:val="es-CO" w:eastAsia="es-CO"/>
              </w:rPr>
            </w:pPr>
            <w:r w:rsidRPr="00165651">
              <w:rPr>
                <w:rFonts w:cstheme="minorHAnsi"/>
                <w:noProof/>
                <w:sz w:val="18"/>
                <w:szCs w:val="20"/>
              </w:rPr>
              <w:lastRenderedPageBreak/>
              <w:drawing>
                <wp:inline distT="0" distB="0" distL="0" distR="0" wp14:anchorId="5116F336" wp14:editId="787D5227">
                  <wp:extent cx="4930775" cy="3248167"/>
                  <wp:effectExtent l="0" t="0" r="3175" b="9525"/>
                  <wp:docPr id="118" name="Gráfico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EB3BC8" w:rsidRPr="00165651" w:rsidRDefault="00EB3BC8" w:rsidP="005E52E0">
            <w:pPr>
              <w:jc w:val="both"/>
              <w:rPr>
                <w:rFonts w:cstheme="minorHAnsi"/>
                <w:sz w:val="16"/>
                <w:szCs w:val="16"/>
                <w:lang w:val="es-CO" w:eastAsia="es-CO"/>
              </w:rPr>
            </w:pPr>
          </w:p>
          <w:p w:rsidR="00EB3BC8" w:rsidRPr="00165651" w:rsidRDefault="00EB3BC8" w:rsidP="005E52E0">
            <w:pPr>
              <w:jc w:val="both"/>
              <w:rPr>
                <w:rFonts w:cstheme="minorHAnsi"/>
                <w:sz w:val="16"/>
                <w:szCs w:val="16"/>
                <w:lang w:val="es-CO" w:eastAsia="es-CO"/>
              </w:rPr>
            </w:pPr>
          </w:p>
          <w:p w:rsidR="00EB3BC8" w:rsidRPr="00165651" w:rsidRDefault="00EB3BC8" w:rsidP="005E52E0">
            <w:pPr>
              <w:jc w:val="both"/>
              <w:rPr>
                <w:rFonts w:cstheme="minorHAnsi"/>
                <w:sz w:val="16"/>
                <w:szCs w:val="16"/>
                <w:lang w:val="es-CO" w:eastAsia="es-CO"/>
              </w:rPr>
            </w:pPr>
          </w:p>
          <w:p w:rsidR="00EB3BC8" w:rsidRPr="00165651" w:rsidRDefault="00EB3BC8" w:rsidP="005E52E0">
            <w:pPr>
              <w:jc w:val="center"/>
              <w:rPr>
                <w:rFonts w:cstheme="minorHAnsi"/>
                <w:sz w:val="16"/>
                <w:szCs w:val="16"/>
                <w:lang w:val="es-CO" w:eastAsia="es-CO"/>
              </w:rPr>
            </w:pPr>
            <w:r w:rsidRPr="00165651">
              <w:rPr>
                <w:rFonts w:cstheme="minorHAnsi"/>
                <w:noProof/>
                <w:sz w:val="20"/>
                <w:szCs w:val="20"/>
              </w:rPr>
              <w:drawing>
                <wp:inline distT="0" distB="0" distL="0" distR="0" wp14:anchorId="7AC5A5D0" wp14:editId="0B772250">
                  <wp:extent cx="4951247" cy="3152140"/>
                  <wp:effectExtent l="0" t="0" r="1905" b="10160"/>
                  <wp:docPr id="119" name="Gráfico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rsidR="00EB3BC8" w:rsidRPr="00165651" w:rsidRDefault="00EB3BC8" w:rsidP="005E52E0">
            <w:pPr>
              <w:jc w:val="both"/>
              <w:rPr>
                <w:rFonts w:cstheme="minorHAnsi"/>
                <w:sz w:val="16"/>
                <w:szCs w:val="16"/>
                <w:lang w:val="es-CO" w:eastAsia="es-CO"/>
              </w:rPr>
            </w:pPr>
          </w:p>
          <w:p w:rsidR="00EB3BC8" w:rsidRPr="00165651" w:rsidRDefault="00EB3BC8" w:rsidP="005E52E0">
            <w:pPr>
              <w:jc w:val="center"/>
              <w:rPr>
                <w:rFonts w:cstheme="minorHAnsi"/>
                <w:sz w:val="16"/>
                <w:szCs w:val="16"/>
                <w:lang w:val="es-CO" w:eastAsia="es-CO"/>
              </w:rPr>
            </w:pPr>
            <w:r w:rsidRPr="00165651">
              <w:rPr>
                <w:rFonts w:cstheme="minorHAnsi"/>
                <w:noProof/>
                <w:sz w:val="16"/>
                <w:szCs w:val="16"/>
              </w:rPr>
              <w:lastRenderedPageBreak/>
              <w:drawing>
                <wp:inline distT="0" distB="0" distL="0" distR="0" wp14:anchorId="746C1360" wp14:editId="7130528B">
                  <wp:extent cx="4951835" cy="3338195"/>
                  <wp:effectExtent l="0" t="0" r="1270" b="14605"/>
                  <wp:docPr id="120" name="Gráfico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EB3BC8" w:rsidRPr="00165651" w:rsidRDefault="00EB3BC8" w:rsidP="005E52E0">
            <w:pPr>
              <w:jc w:val="both"/>
              <w:rPr>
                <w:rFonts w:cstheme="minorHAnsi"/>
                <w:sz w:val="16"/>
                <w:szCs w:val="16"/>
                <w:lang w:val="es-CO" w:eastAsia="es-CO"/>
              </w:rPr>
            </w:pPr>
          </w:p>
        </w:tc>
      </w:tr>
      <w:tr w:rsidR="00EB3BC8" w:rsidRPr="00165651" w:rsidTr="005E52E0">
        <w:trPr>
          <w:trHeight w:val="227"/>
        </w:trPr>
        <w:tc>
          <w:tcPr>
            <w:tcW w:w="2405" w:type="dxa"/>
            <w:gridSpan w:val="3"/>
            <w:vMerge w:val="restart"/>
            <w:tcBorders>
              <w:right w:val="single" w:sz="4" w:space="0" w:color="BFBFBF" w:themeColor="background1" w:themeShade="BF"/>
            </w:tcBorders>
            <w:vAlign w:val="center"/>
          </w:tcPr>
          <w:p w:rsidR="00EB3BC8" w:rsidRPr="00165651" w:rsidRDefault="00EB3BC8" w:rsidP="005E52E0">
            <w:pPr>
              <w:spacing w:before="40" w:after="40"/>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lastRenderedPageBreak/>
              <w:t>Cumplimiento metas Contrato a 30 de junio de 2015</w:t>
            </w:r>
          </w:p>
        </w:tc>
        <w:tc>
          <w:tcPr>
            <w:tcW w:w="694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rsidR="00EB3BC8" w:rsidRPr="00165651" w:rsidRDefault="00EB3BC8" w:rsidP="005E52E0">
            <w:pPr>
              <w:tabs>
                <w:tab w:val="left" w:pos="993"/>
              </w:tabs>
              <w:spacing w:before="120" w:after="120"/>
              <w:jc w:val="both"/>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Estado de ejecución de obras Puntos Críticos</w:t>
            </w:r>
          </w:p>
        </w:tc>
      </w:tr>
      <w:tr w:rsidR="00EB3BC8" w:rsidRPr="00165651" w:rsidTr="005E52E0">
        <w:trPr>
          <w:trHeight w:val="53"/>
        </w:trPr>
        <w:tc>
          <w:tcPr>
            <w:tcW w:w="2405" w:type="dxa"/>
            <w:gridSpan w:val="3"/>
            <w:vMerge/>
            <w:tcBorders>
              <w:right w:val="single" w:sz="4" w:space="0" w:color="BFBFBF" w:themeColor="background1" w:themeShade="BF"/>
            </w:tcBorders>
            <w:vAlign w:val="center"/>
          </w:tcPr>
          <w:p w:rsidR="00EB3BC8" w:rsidRPr="00165651" w:rsidRDefault="00EB3BC8" w:rsidP="005E52E0">
            <w:pPr>
              <w:spacing w:before="40" w:after="40"/>
              <w:rPr>
                <w:rFonts w:cstheme="minorHAnsi"/>
                <w:b/>
                <w:color w:val="000000" w:themeColor="text1"/>
                <w:sz w:val="18"/>
                <w:szCs w:val="18"/>
                <w:lang w:val="es-CO" w:eastAsia="es-CO"/>
              </w:rPr>
            </w:pPr>
          </w:p>
        </w:tc>
        <w:tc>
          <w:tcPr>
            <w:tcW w:w="6946" w:type="dxa"/>
            <w:gridSpan w:val="5"/>
            <w:tcBorders>
              <w:top w:val="nil"/>
              <w:left w:val="single" w:sz="4" w:space="0" w:color="BFBFBF" w:themeColor="background1" w:themeShade="BF"/>
              <w:right w:val="single" w:sz="4" w:space="0" w:color="BFBFBF" w:themeColor="background1" w:themeShade="BF"/>
            </w:tcBorders>
            <w:vAlign w:val="bottom"/>
          </w:tcPr>
          <w:p w:rsidR="00EB3BC8" w:rsidRPr="00165651" w:rsidRDefault="00EB3BC8" w:rsidP="005E52E0">
            <w:pPr>
              <w:jc w:val="center"/>
              <w:rPr>
                <w:rFonts w:cstheme="minorHAnsi"/>
                <w:b/>
                <w:bCs/>
                <w:color w:val="000000"/>
                <w:sz w:val="18"/>
                <w:szCs w:val="18"/>
                <w:lang w:val="es-CO" w:eastAsia="es-CO"/>
              </w:rPr>
            </w:pPr>
          </w:p>
        </w:tc>
      </w:tr>
      <w:tr w:rsidR="00EB3BC8" w:rsidRPr="00165651" w:rsidTr="005E52E0">
        <w:trPr>
          <w:trHeight w:val="197"/>
        </w:trPr>
        <w:tc>
          <w:tcPr>
            <w:tcW w:w="2405" w:type="dxa"/>
            <w:gridSpan w:val="3"/>
            <w:vMerge/>
            <w:tcBorders>
              <w:right w:val="single" w:sz="4" w:space="0" w:color="BFBFBF" w:themeColor="background1" w:themeShade="BF"/>
            </w:tcBorders>
            <w:vAlign w:val="center"/>
          </w:tcPr>
          <w:p w:rsidR="00EB3BC8" w:rsidRPr="00165651" w:rsidRDefault="00EB3BC8" w:rsidP="005E52E0">
            <w:pPr>
              <w:spacing w:before="40" w:after="40"/>
              <w:rPr>
                <w:rFonts w:cstheme="minorHAnsi"/>
                <w:b/>
                <w:color w:val="000000" w:themeColor="text1"/>
                <w:sz w:val="18"/>
                <w:szCs w:val="18"/>
                <w:lang w:val="es-CO" w:eastAsia="es-CO"/>
              </w:rPr>
            </w:pPr>
          </w:p>
        </w:tc>
        <w:tc>
          <w:tcPr>
            <w:tcW w:w="1489" w:type="dxa"/>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right"/>
              <w:rPr>
                <w:rFonts w:cstheme="minorHAnsi"/>
                <w:color w:val="000000"/>
                <w:sz w:val="18"/>
                <w:szCs w:val="18"/>
                <w:lang w:val="es-CO" w:eastAsia="es-CO"/>
              </w:rPr>
            </w:pPr>
            <w:r w:rsidRPr="00165651">
              <w:rPr>
                <w:rFonts w:cstheme="minorHAnsi"/>
                <w:color w:val="000000"/>
                <w:sz w:val="18"/>
                <w:szCs w:val="18"/>
                <w:lang w:val="es-CO" w:eastAsia="es-CO"/>
              </w:rPr>
              <w:t>Ejecutados:</w:t>
            </w:r>
          </w:p>
        </w:tc>
        <w:tc>
          <w:tcPr>
            <w:tcW w:w="3331" w:type="dxa"/>
            <w:gridSpan w:val="2"/>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center"/>
              <w:rPr>
                <w:rFonts w:cstheme="minorHAnsi"/>
                <w:color w:val="000000"/>
                <w:sz w:val="18"/>
                <w:szCs w:val="18"/>
                <w:lang w:val="es-CO" w:eastAsia="es-CO"/>
              </w:rPr>
            </w:pPr>
            <w:r w:rsidRPr="00165651">
              <w:rPr>
                <w:rFonts w:cstheme="minorHAnsi"/>
                <w:color w:val="000000"/>
                <w:sz w:val="18"/>
                <w:szCs w:val="18"/>
                <w:lang w:val="es-CO" w:eastAsia="es-CO"/>
              </w:rPr>
              <w:t>35</w:t>
            </w:r>
          </w:p>
        </w:tc>
        <w:tc>
          <w:tcPr>
            <w:tcW w:w="2126" w:type="dxa"/>
            <w:gridSpan w:val="2"/>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center"/>
              <w:rPr>
                <w:rFonts w:cstheme="minorHAnsi"/>
                <w:color w:val="000000"/>
                <w:sz w:val="18"/>
                <w:szCs w:val="18"/>
                <w:lang w:val="es-CO" w:eastAsia="es-CO"/>
              </w:rPr>
            </w:pPr>
            <w:r w:rsidRPr="00165651">
              <w:rPr>
                <w:rFonts w:cstheme="minorHAnsi"/>
                <w:color w:val="000000"/>
                <w:sz w:val="18"/>
                <w:szCs w:val="18"/>
                <w:lang w:val="es-CO" w:eastAsia="es-CO"/>
              </w:rPr>
              <w:t>49%</w:t>
            </w:r>
          </w:p>
        </w:tc>
      </w:tr>
      <w:tr w:rsidR="00EB3BC8" w:rsidRPr="00165651" w:rsidTr="005E52E0">
        <w:trPr>
          <w:trHeight w:val="197"/>
        </w:trPr>
        <w:tc>
          <w:tcPr>
            <w:tcW w:w="2405" w:type="dxa"/>
            <w:gridSpan w:val="3"/>
            <w:vMerge/>
            <w:tcBorders>
              <w:right w:val="single" w:sz="4" w:space="0" w:color="BFBFBF" w:themeColor="background1" w:themeShade="BF"/>
            </w:tcBorders>
            <w:vAlign w:val="center"/>
          </w:tcPr>
          <w:p w:rsidR="00EB3BC8" w:rsidRPr="00165651" w:rsidRDefault="00EB3BC8" w:rsidP="005E52E0">
            <w:pPr>
              <w:spacing w:before="40" w:after="40"/>
              <w:rPr>
                <w:rFonts w:cstheme="minorHAnsi"/>
                <w:b/>
                <w:color w:val="000000" w:themeColor="text1"/>
                <w:sz w:val="18"/>
                <w:szCs w:val="18"/>
                <w:lang w:val="es-CO" w:eastAsia="es-CO"/>
              </w:rPr>
            </w:pPr>
          </w:p>
        </w:tc>
        <w:tc>
          <w:tcPr>
            <w:tcW w:w="1489" w:type="dxa"/>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right"/>
              <w:rPr>
                <w:rFonts w:cstheme="minorHAnsi"/>
                <w:color w:val="000000"/>
                <w:sz w:val="18"/>
                <w:szCs w:val="18"/>
                <w:lang w:val="es-CO" w:eastAsia="es-CO"/>
              </w:rPr>
            </w:pPr>
            <w:r w:rsidRPr="00165651">
              <w:rPr>
                <w:rFonts w:cstheme="minorHAnsi"/>
                <w:color w:val="000000"/>
                <w:sz w:val="18"/>
                <w:szCs w:val="18"/>
                <w:lang w:val="es-CO" w:eastAsia="es-CO"/>
              </w:rPr>
              <w:t>En ejecución:</w:t>
            </w:r>
          </w:p>
        </w:tc>
        <w:tc>
          <w:tcPr>
            <w:tcW w:w="3331" w:type="dxa"/>
            <w:gridSpan w:val="2"/>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center"/>
              <w:rPr>
                <w:rFonts w:cstheme="minorHAnsi"/>
                <w:color w:val="000000"/>
                <w:sz w:val="18"/>
                <w:szCs w:val="18"/>
                <w:lang w:val="es-CO" w:eastAsia="es-CO"/>
              </w:rPr>
            </w:pPr>
            <w:r w:rsidRPr="00165651">
              <w:rPr>
                <w:rFonts w:cstheme="minorHAnsi"/>
                <w:color w:val="000000"/>
                <w:sz w:val="18"/>
                <w:szCs w:val="18"/>
                <w:lang w:val="es-CO" w:eastAsia="es-CO"/>
              </w:rPr>
              <w:t>7</w:t>
            </w:r>
          </w:p>
        </w:tc>
        <w:tc>
          <w:tcPr>
            <w:tcW w:w="2126" w:type="dxa"/>
            <w:gridSpan w:val="2"/>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center"/>
              <w:rPr>
                <w:rFonts w:cstheme="minorHAnsi"/>
                <w:color w:val="000000"/>
                <w:sz w:val="18"/>
                <w:szCs w:val="18"/>
                <w:lang w:val="es-CO" w:eastAsia="es-CO"/>
              </w:rPr>
            </w:pPr>
            <w:r w:rsidRPr="00165651">
              <w:rPr>
                <w:rFonts w:cstheme="minorHAnsi"/>
                <w:color w:val="000000"/>
                <w:sz w:val="18"/>
                <w:szCs w:val="18"/>
                <w:lang w:val="es-CO" w:eastAsia="es-CO"/>
              </w:rPr>
              <w:t>110%</w:t>
            </w:r>
          </w:p>
        </w:tc>
      </w:tr>
      <w:tr w:rsidR="00EB3BC8" w:rsidRPr="00165651" w:rsidTr="005E52E0">
        <w:trPr>
          <w:trHeight w:val="197"/>
        </w:trPr>
        <w:tc>
          <w:tcPr>
            <w:tcW w:w="2405" w:type="dxa"/>
            <w:gridSpan w:val="3"/>
            <w:vMerge/>
            <w:tcBorders>
              <w:right w:val="single" w:sz="4" w:space="0" w:color="BFBFBF" w:themeColor="background1" w:themeShade="BF"/>
            </w:tcBorders>
            <w:vAlign w:val="center"/>
          </w:tcPr>
          <w:p w:rsidR="00EB3BC8" w:rsidRPr="00165651" w:rsidRDefault="00EB3BC8" w:rsidP="005E52E0">
            <w:pPr>
              <w:spacing w:before="40" w:after="40"/>
              <w:rPr>
                <w:rFonts w:cstheme="minorHAnsi"/>
                <w:b/>
                <w:color w:val="000000" w:themeColor="text1"/>
                <w:sz w:val="18"/>
                <w:szCs w:val="18"/>
                <w:lang w:val="es-CO" w:eastAsia="es-CO"/>
              </w:rPr>
            </w:pPr>
          </w:p>
        </w:tc>
        <w:tc>
          <w:tcPr>
            <w:tcW w:w="1489" w:type="dxa"/>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right"/>
              <w:rPr>
                <w:rFonts w:cstheme="minorHAnsi"/>
                <w:color w:val="000000"/>
                <w:sz w:val="18"/>
                <w:szCs w:val="18"/>
                <w:lang w:val="es-CO" w:eastAsia="es-CO"/>
              </w:rPr>
            </w:pPr>
            <w:r w:rsidRPr="00165651">
              <w:rPr>
                <w:rFonts w:cstheme="minorHAnsi"/>
                <w:color w:val="000000"/>
                <w:sz w:val="18"/>
                <w:szCs w:val="18"/>
                <w:lang w:val="es-CO" w:eastAsia="es-CO"/>
              </w:rPr>
              <w:t>Por iniciar</w:t>
            </w:r>
          </w:p>
        </w:tc>
        <w:tc>
          <w:tcPr>
            <w:tcW w:w="3331" w:type="dxa"/>
            <w:gridSpan w:val="2"/>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center"/>
              <w:rPr>
                <w:rFonts w:cstheme="minorHAnsi"/>
                <w:color w:val="000000"/>
                <w:sz w:val="18"/>
                <w:szCs w:val="18"/>
                <w:lang w:val="es-CO" w:eastAsia="es-CO"/>
              </w:rPr>
            </w:pPr>
            <w:r w:rsidRPr="00165651">
              <w:rPr>
                <w:rFonts w:cstheme="minorHAnsi"/>
                <w:color w:val="000000"/>
                <w:sz w:val="18"/>
                <w:szCs w:val="18"/>
                <w:lang w:val="es-CO" w:eastAsia="es-CO"/>
              </w:rPr>
              <w:t>30</w:t>
            </w:r>
          </w:p>
        </w:tc>
        <w:tc>
          <w:tcPr>
            <w:tcW w:w="2126" w:type="dxa"/>
            <w:gridSpan w:val="2"/>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center"/>
              <w:rPr>
                <w:rFonts w:cstheme="minorHAnsi"/>
                <w:color w:val="000000"/>
                <w:sz w:val="18"/>
                <w:szCs w:val="18"/>
                <w:lang w:val="es-CO" w:eastAsia="es-CO"/>
              </w:rPr>
            </w:pPr>
            <w:r w:rsidRPr="00165651">
              <w:rPr>
                <w:rFonts w:cstheme="minorHAnsi"/>
                <w:color w:val="000000"/>
                <w:sz w:val="18"/>
                <w:szCs w:val="18"/>
                <w:lang w:val="es-CO" w:eastAsia="es-CO"/>
              </w:rPr>
              <w:t>42%</w:t>
            </w:r>
          </w:p>
        </w:tc>
      </w:tr>
      <w:tr w:rsidR="00EB3BC8" w:rsidRPr="00165651" w:rsidTr="005E52E0">
        <w:trPr>
          <w:trHeight w:val="197"/>
        </w:trPr>
        <w:tc>
          <w:tcPr>
            <w:tcW w:w="2405" w:type="dxa"/>
            <w:gridSpan w:val="3"/>
            <w:vMerge/>
            <w:tcBorders>
              <w:right w:val="single" w:sz="4" w:space="0" w:color="BFBFBF" w:themeColor="background1" w:themeShade="BF"/>
            </w:tcBorders>
            <w:vAlign w:val="center"/>
          </w:tcPr>
          <w:p w:rsidR="00EB3BC8" w:rsidRPr="00165651" w:rsidRDefault="00EB3BC8" w:rsidP="005E52E0">
            <w:pPr>
              <w:spacing w:before="40" w:after="40"/>
              <w:rPr>
                <w:rFonts w:cstheme="minorHAnsi"/>
                <w:b/>
                <w:color w:val="000000" w:themeColor="text1"/>
                <w:sz w:val="18"/>
                <w:szCs w:val="18"/>
                <w:lang w:val="es-CO" w:eastAsia="es-CO"/>
              </w:rPr>
            </w:pPr>
          </w:p>
        </w:tc>
        <w:tc>
          <w:tcPr>
            <w:tcW w:w="1489" w:type="dxa"/>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right"/>
              <w:rPr>
                <w:rFonts w:cstheme="minorHAnsi"/>
                <w:b/>
                <w:bCs/>
                <w:color w:val="000000"/>
                <w:sz w:val="18"/>
                <w:szCs w:val="18"/>
                <w:lang w:val="es-CO" w:eastAsia="es-CO"/>
              </w:rPr>
            </w:pPr>
            <w:r w:rsidRPr="00165651">
              <w:rPr>
                <w:rFonts w:cstheme="minorHAnsi"/>
                <w:b/>
                <w:bCs/>
                <w:color w:val="000000"/>
                <w:sz w:val="18"/>
                <w:szCs w:val="18"/>
                <w:lang w:val="es-CO" w:eastAsia="es-CO"/>
              </w:rPr>
              <w:t>Total 72 Obras</w:t>
            </w:r>
          </w:p>
        </w:tc>
        <w:tc>
          <w:tcPr>
            <w:tcW w:w="3331" w:type="dxa"/>
            <w:gridSpan w:val="2"/>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center"/>
              <w:rPr>
                <w:rFonts w:cstheme="minorHAnsi"/>
                <w:b/>
                <w:bCs/>
                <w:color w:val="000000"/>
                <w:sz w:val="18"/>
                <w:szCs w:val="18"/>
                <w:lang w:val="es-CO" w:eastAsia="es-CO"/>
              </w:rPr>
            </w:pPr>
            <w:r w:rsidRPr="00165651">
              <w:rPr>
                <w:rFonts w:cstheme="minorHAnsi"/>
                <w:b/>
                <w:bCs/>
                <w:color w:val="000000"/>
                <w:sz w:val="18"/>
                <w:szCs w:val="18"/>
                <w:lang w:val="es-CO" w:eastAsia="es-CO"/>
              </w:rPr>
              <w:t>72</w:t>
            </w:r>
          </w:p>
        </w:tc>
        <w:tc>
          <w:tcPr>
            <w:tcW w:w="2126" w:type="dxa"/>
            <w:gridSpan w:val="2"/>
            <w:tcBorders>
              <w:top w:val="nil"/>
              <w:left w:val="single" w:sz="4" w:space="0" w:color="BFBFBF" w:themeColor="background1" w:themeShade="BF"/>
              <w:right w:val="single" w:sz="4" w:space="0" w:color="BFBFBF" w:themeColor="background1" w:themeShade="BF"/>
            </w:tcBorders>
            <w:vAlign w:val="center"/>
          </w:tcPr>
          <w:p w:rsidR="00EB3BC8" w:rsidRPr="00165651" w:rsidRDefault="00EB3BC8" w:rsidP="005E52E0">
            <w:pPr>
              <w:jc w:val="center"/>
              <w:rPr>
                <w:rFonts w:cstheme="minorHAnsi"/>
                <w:color w:val="000000"/>
                <w:sz w:val="18"/>
                <w:szCs w:val="18"/>
                <w:lang w:val="es-CO" w:eastAsia="es-CO"/>
              </w:rPr>
            </w:pPr>
            <w:r w:rsidRPr="00165651">
              <w:rPr>
                <w:rFonts w:cstheme="minorHAnsi"/>
                <w:color w:val="000000"/>
                <w:sz w:val="18"/>
                <w:szCs w:val="18"/>
                <w:lang w:val="es-CO" w:eastAsia="es-CO"/>
              </w:rPr>
              <w:t>100%</w:t>
            </w:r>
          </w:p>
        </w:tc>
      </w:tr>
      <w:tr w:rsidR="00EB3BC8" w:rsidRPr="00165651" w:rsidTr="005E52E0">
        <w:trPr>
          <w:trHeight w:val="340"/>
        </w:trPr>
        <w:tc>
          <w:tcPr>
            <w:tcW w:w="2405" w:type="dxa"/>
            <w:gridSpan w:val="3"/>
            <w:vAlign w:val="center"/>
          </w:tcPr>
          <w:p w:rsidR="00EB3BC8" w:rsidRPr="00165651" w:rsidRDefault="00EB3BC8" w:rsidP="005E52E0">
            <w:pPr>
              <w:spacing w:before="40" w:after="40"/>
              <w:rPr>
                <w:rFonts w:cstheme="minorHAnsi"/>
                <w:b/>
                <w:color w:val="000000" w:themeColor="text1"/>
                <w:sz w:val="18"/>
                <w:szCs w:val="18"/>
                <w:lang w:val="es-CO" w:eastAsia="es-CO"/>
              </w:rPr>
            </w:pPr>
            <w:r w:rsidRPr="00165651">
              <w:rPr>
                <w:rFonts w:cstheme="minorHAnsi"/>
                <w:b/>
                <w:color w:val="000000" w:themeColor="text1"/>
                <w:sz w:val="18"/>
                <w:szCs w:val="18"/>
                <w:lang w:val="es-CO" w:eastAsia="es-CO"/>
              </w:rPr>
              <w:t>Principales gestiones realizadas a 30 de junio de 2015</w:t>
            </w:r>
          </w:p>
        </w:tc>
        <w:tc>
          <w:tcPr>
            <w:tcW w:w="6946" w:type="dxa"/>
            <w:gridSpan w:val="5"/>
            <w:tcBorders>
              <w:top w:val="single" w:sz="4" w:space="0" w:color="BFBFBF" w:themeColor="background1" w:themeShade="BF"/>
              <w:bottom w:val="single" w:sz="4" w:space="0" w:color="BFBFBF" w:themeColor="background1" w:themeShade="BF"/>
            </w:tcBorders>
            <w:vAlign w:val="center"/>
          </w:tcPr>
          <w:p w:rsidR="00EB3BC8" w:rsidRPr="00165651" w:rsidRDefault="00EB3BC8" w:rsidP="005E52E0">
            <w:pPr>
              <w:ind w:left="720"/>
              <w:jc w:val="both"/>
              <w:rPr>
                <w:rFonts w:cstheme="minorHAnsi"/>
                <w:color w:val="000000" w:themeColor="text1"/>
                <w:sz w:val="18"/>
                <w:szCs w:val="18"/>
                <w:lang w:val="es-CO" w:eastAsia="es-CO"/>
              </w:rPr>
            </w:pPr>
          </w:p>
          <w:p w:rsidR="00EB3BC8" w:rsidRPr="00165651" w:rsidRDefault="00EB3BC8" w:rsidP="000021B2">
            <w:pPr>
              <w:numPr>
                <w:ilvl w:val="0"/>
                <w:numId w:val="89"/>
              </w:num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Se firmó el Otrosí No 1  de Abril de 2015, que permitió la incorporación de recursos adicionales para culminar las obras faltantes y lograr el cumplimiento del Contrato.</w:t>
            </w:r>
          </w:p>
          <w:p w:rsidR="00EB3BC8" w:rsidRPr="00165651" w:rsidRDefault="00EB3BC8" w:rsidP="005E52E0">
            <w:pPr>
              <w:ind w:left="720"/>
              <w:jc w:val="both"/>
              <w:rPr>
                <w:rFonts w:cstheme="minorHAnsi"/>
                <w:color w:val="000000" w:themeColor="text1"/>
                <w:sz w:val="18"/>
                <w:szCs w:val="18"/>
                <w:lang w:val="es-CO" w:eastAsia="es-CO"/>
              </w:rPr>
            </w:pPr>
          </w:p>
          <w:p w:rsidR="00EB3BC8" w:rsidRPr="00165651" w:rsidRDefault="00EB3BC8" w:rsidP="000021B2">
            <w:pPr>
              <w:numPr>
                <w:ilvl w:val="0"/>
                <w:numId w:val="89"/>
              </w:num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Se  ha garantizado la movilización de pasajeros de acuerdo con la operación existente llevada a cabo por la empresa Turistren.</w:t>
            </w:r>
          </w:p>
          <w:p w:rsidR="00EB3BC8" w:rsidRPr="00165651" w:rsidRDefault="00EB3BC8" w:rsidP="005E52E0">
            <w:pPr>
              <w:jc w:val="both"/>
              <w:rPr>
                <w:rFonts w:cstheme="minorHAnsi"/>
                <w:color w:val="000000" w:themeColor="text1"/>
                <w:sz w:val="18"/>
                <w:szCs w:val="18"/>
                <w:lang w:val="es-CO" w:eastAsia="es-CO"/>
              </w:rPr>
            </w:pPr>
          </w:p>
          <w:p w:rsidR="00EB3BC8" w:rsidRPr="00165651" w:rsidRDefault="00EB3BC8" w:rsidP="000021B2">
            <w:pPr>
              <w:numPr>
                <w:ilvl w:val="0"/>
                <w:numId w:val="89"/>
              </w:num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Se ha garantizado de manera eficiente el control de la operación definida en los tramos donde existe movilización de trenes.</w:t>
            </w:r>
          </w:p>
          <w:p w:rsidR="00EB3BC8" w:rsidRPr="00165651" w:rsidRDefault="00EB3BC8" w:rsidP="005E52E0">
            <w:pPr>
              <w:jc w:val="both"/>
              <w:rPr>
                <w:rFonts w:cstheme="minorHAnsi"/>
                <w:color w:val="000000" w:themeColor="text1"/>
                <w:sz w:val="18"/>
                <w:szCs w:val="18"/>
                <w:lang w:val="es-CO" w:eastAsia="es-CO"/>
              </w:rPr>
            </w:pPr>
          </w:p>
          <w:p w:rsidR="00EB3BC8" w:rsidRPr="00165651" w:rsidRDefault="00EB3BC8" w:rsidP="000021B2">
            <w:pPr>
              <w:numPr>
                <w:ilvl w:val="0"/>
                <w:numId w:val="89"/>
              </w:num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Se ha programado el mantenimiento y conservación de la vía conforme a los indicadores propuestos.</w:t>
            </w:r>
          </w:p>
          <w:p w:rsidR="00EB3BC8" w:rsidRPr="00165651" w:rsidRDefault="00EB3BC8" w:rsidP="005E52E0">
            <w:pPr>
              <w:jc w:val="both"/>
              <w:rPr>
                <w:rFonts w:cstheme="minorHAnsi"/>
                <w:color w:val="000000" w:themeColor="text1"/>
                <w:sz w:val="18"/>
                <w:szCs w:val="18"/>
                <w:lang w:val="es-CO" w:eastAsia="es-CO"/>
              </w:rPr>
            </w:pPr>
          </w:p>
          <w:p w:rsidR="00EB3BC8" w:rsidRPr="00165651" w:rsidRDefault="00EB3BC8" w:rsidP="000021B2">
            <w:pPr>
              <w:numPr>
                <w:ilvl w:val="0"/>
                <w:numId w:val="89"/>
              </w:num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Teniendo en cuenta el otrosí No.1, el cronograma contractual definido para la culminación de puntos críticos tuvo la siguientes modificación:</w:t>
            </w:r>
          </w:p>
          <w:p w:rsidR="00EB3BC8" w:rsidRPr="00165651" w:rsidRDefault="00EB3BC8" w:rsidP="005E52E0">
            <w:pPr>
              <w:ind w:left="720"/>
              <w:contextualSpacing/>
              <w:rPr>
                <w:rFonts w:cstheme="minorHAnsi"/>
                <w:color w:val="000000" w:themeColor="text1"/>
                <w:sz w:val="18"/>
                <w:szCs w:val="18"/>
                <w:lang w:val="es-CO" w:eastAsia="es-CO"/>
              </w:rPr>
            </w:pPr>
          </w:p>
          <w:p w:rsidR="00EB3BC8" w:rsidRPr="00165651" w:rsidRDefault="00EB3BC8" w:rsidP="005E52E0">
            <w:p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 xml:space="preserve">              Finalización primera etapa que consta de 39 obras priorizadas: 30 de</w:t>
            </w:r>
          </w:p>
          <w:p w:rsidR="00EB3BC8" w:rsidRPr="00165651" w:rsidRDefault="00EB3BC8" w:rsidP="005E52E0">
            <w:p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 xml:space="preserve">              julio de 2015 (No siendo esta la fecha contractual)</w:t>
            </w:r>
          </w:p>
          <w:p w:rsidR="00EB3BC8" w:rsidRPr="00165651" w:rsidRDefault="00EB3BC8" w:rsidP="005E52E0">
            <w:pPr>
              <w:ind w:left="720"/>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Finalización de la segunda etapa, las 33 obras restantes:  31 de diciembre de 2015</w:t>
            </w:r>
          </w:p>
          <w:p w:rsidR="00EB3BC8" w:rsidRPr="00165651" w:rsidRDefault="00EB3BC8" w:rsidP="005E52E0">
            <w:pPr>
              <w:jc w:val="both"/>
              <w:rPr>
                <w:rFonts w:cstheme="minorHAnsi"/>
                <w:color w:val="000000" w:themeColor="text1"/>
                <w:sz w:val="18"/>
                <w:szCs w:val="18"/>
                <w:lang w:val="es-CO" w:eastAsia="es-CO"/>
              </w:rPr>
            </w:pPr>
          </w:p>
          <w:p w:rsidR="00EB3BC8" w:rsidRPr="00165651" w:rsidRDefault="00EB3BC8" w:rsidP="000021B2">
            <w:pPr>
              <w:numPr>
                <w:ilvl w:val="0"/>
                <w:numId w:val="89"/>
              </w:num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Cumplimiento de las obligaciones sociales, ambientales y jurídicas en desarrollo de los establecidos en el Contrato.</w:t>
            </w:r>
          </w:p>
          <w:p w:rsidR="00EB3BC8" w:rsidRPr="00165651" w:rsidRDefault="00EB3BC8" w:rsidP="005E52E0">
            <w:pPr>
              <w:ind w:left="720"/>
              <w:jc w:val="both"/>
              <w:rPr>
                <w:rFonts w:cstheme="minorHAnsi"/>
                <w:color w:val="000000" w:themeColor="text1"/>
                <w:sz w:val="18"/>
                <w:szCs w:val="18"/>
                <w:lang w:val="es-CO" w:eastAsia="es-CO"/>
              </w:rPr>
            </w:pPr>
          </w:p>
          <w:p w:rsidR="00EB3BC8" w:rsidRPr="00165651" w:rsidRDefault="00EB3BC8" w:rsidP="000021B2">
            <w:pPr>
              <w:numPr>
                <w:ilvl w:val="0"/>
                <w:numId w:val="89"/>
              </w:numPr>
              <w:jc w:val="both"/>
              <w:rPr>
                <w:rFonts w:cstheme="minorHAnsi"/>
                <w:color w:val="000000" w:themeColor="text1"/>
                <w:sz w:val="18"/>
                <w:szCs w:val="18"/>
                <w:lang w:val="es-CO" w:eastAsia="es-CO"/>
              </w:rPr>
            </w:pPr>
            <w:r w:rsidRPr="00165651">
              <w:rPr>
                <w:rFonts w:cstheme="minorHAnsi"/>
                <w:color w:val="000000" w:themeColor="text1"/>
                <w:sz w:val="18"/>
                <w:szCs w:val="18"/>
                <w:lang w:val="es-CO" w:eastAsia="es-CO"/>
              </w:rPr>
              <w:t>Con la culminación de la primera fase de terminación de obras, se espera que a partir del 1 de agosto de 2015, se tenga el tramo operativo entre Tunja- Sogamoso.</w:t>
            </w:r>
          </w:p>
          <w:p w:rsidR="00EB3BC8" w:rsidRPr="00165651" w:rsidRDefault="00EB3BC8" w:rsidP="005E52E0">
            <w:pPr>
              <w:jc w:val="both"/>
              <w:rPr>
                <w:rFonts w:cstheme="minorHAnsi"/>
                <w:color w:val="000000" w:themeColor="text1"/>
                <w:sz w:val="18"/>
                <w:szCs w:val="18"/>
                <w:lang w:val="es-CO" w:eastAsia="es-CO"/>
              </w:rPr>
            </w:pPr>
          </w:p>
          <w:p w:rsidR="00EB3BC8" w:rsidRPr="00165651" w:rsidRDefault="00EB3BC8" w:rsidP="005E52E0">
            <w:pPr>
              <w:jc w:val="both"/>
              <w:rPr>
                <w:rFonts w:cstheme="minorHAnsi"/>
                <w:color w:val="000000" w:themeColor="text1"/>
                <w:sz w:val="18"/>
                <w:szCs w:val="18"/>
                <w:lang w:val="es-CO" w:eastAsia="es-CO"/>
              </w:rPr>
            </w:pPr>
          </w:p>
        </w:tc>
      </w:tr>
      <w:tr w:rsidR="00EB3BC8" w:rsidRPr="00165651" w:rsidTr="005E52E0">
        <w:trPr>
          <w:trHeight w:val="340"/>
        </w:trPr>
        <w:tc>
          <w:tcPr>
            <w:tcW w:w="9351" w:type="dxa"/>
            <w:gridSpan w:val="8"/>
            <w:vAlign w:val="center"/>
          </w:tcPr>
          <w:p w:rsidR="00EB3BC8" w:rsidRPr="00165651" w:rsidRDefault="00EB3BC8" w:rsidP="005E52E0">
            <w:pPr>
              <w:spacing w:before="120" w:after="40"/>
              <w:rPr>
                <w:rFonts w:cstheme="minorHAnsi"/>
                <w:b/>
                <w:color w:val="000000" w:themeColor="text1"/>
                <w:sz w:val="16"/>
                <w:szCs w:val="16"/>
                <w:lang w:val="es-CO" w:eastAsia="es-CO"/>
              </w:rPr>
            </w:pPr>
            <w:r w:rsidRPr="00165651">
              <w:rPr>
                <w:rFonts w:cstheme="minorHAnsi"/>
                <w:b/>
                <w:color w:val="000000" w:themeColor="text1"/>
                <w:sz w:val="16"/>
                <w:szCs w:val="16"/>
                <w:lang w:val="es-CO" w:eastAsia="es-CO"/>
              </w:rPr>
              <w:lastRenderedPageBreak/>
              <w:t xml:space="preserve"> </w:t>
            </w:r>
          </w:p>
          <w:tbl>
            <w:tblPr>
              <w:tblStyle w:val="Tablaconcuadrcula110"/>
              <w:tblpPr w:leftFromText="141" w:rightFromText="141" w:vertAnchor="text" w:tblpY="1"/>
              <w:tblOverlap w:val="neve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62"/>
            </w:tblGrid>
            <w:tr w:rsidR="00EB3BC8" w:rsidRPr="00165651" w:rsidTr="005E52E0">
              <w:trPr>
                <w:trHeight w:val="340"/>
              </w:trPr>
              <w:tc>
                <w:tcPr>
                  <w:tcW w:w="2405" w:type="dxa"/>
                  <w:vAlign w:val="center"/>
                </w:tcPr>
                <w:p w:rsidR="00EB3BC8" w:rsidRPr="00165651" w:rsidRDefault="00EB3BC8" w:rsidP="005E52E0">
                  <w:pPr>
                    <w:spacing w:before="40" w:after="40" w:line="276" w:lineRule="auto"/>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Principales dificultades a 30 de junio de 2015</w:t>
                  </w:r>
                </w:p>
              </w:tc>
              <w:tc>
                <w:tcPr>
                  <w:tcW w:w="6662" w:type="dxa"/>
                  <w:tcBorders>
                    <w:top w:val="single" w:sz="4" w:space="0" w:color="BFBFBF" w:themeColor="background1" w:themeShade="BF"/>
                    <w:bottom w:val="single" w:sz="4" w:space="0" w:color="BFBFBF" w:themeColor="background1" w:themeShade="BF"/>
                  </w:tcBorders>
                  <w:vAlign w:val="center"/>
                </w:tcPr>
                <w:p w:rsidR="00EB3BC8" w:rsidRPr="00165651" w:rsidRDefault="00EB3BC8" w:rsidP="000021B2">
                  <w:pPr>
                    <w:numPr>
                      <w:ilvl w:val="0"/>
                      <w:numId w:val="90"/>
                    </w:numPr>
                    <w:spacing w:line="276" w:lineRule="auto"/>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No aprobación de la póliza descrita como Todo Riesgo Daños Materiales exigida en virtud del Contrato de Obra No 356 de Octubre de 2013, que obliga a iniciar un proceso de incumplimiento por no tener expedido este seguro por parte del Contratista, en los términos que se enmarca en el Contrato de Obra.</w:t>
                  </w:r>
                </w:p>
                <w:p w:rsidR="00EB3BC8" w:rsidRPr="00165651" w:rsidRDefault="00EB3BC8" w:rsidP="005E52E0">
                  <w:pPr>
                    <w:spacing w:line="276" w:lineRule="auto"/>
                    <w:jc w:val="both"/>
                    <w:rPr>
                      <w:rFonts w:cstheme="minorHAnsi"/>
                      <w:color w:val="000000" w:themeColor="text1"/>
                      <w:sz w:val="18"/>
                      <w:szCs w:val="16"/>
                      <w:lang w:val="es-CO" w:eastAsia="es-CO"/>
                    </w:rPr>
                  </w:pPr>
                </w:p>
                <w:p w:rsidR="00EB3BC8" w:rsidRPr="00165651" w:rsidRDefault="00EB3BC8" w:rsidP="000021B2">
                  <w:pPr>
                    <w:numPr>
                      <w:ilvl w:val="0"/>
                      <w:numId w:val="90"/>
                    </w:numPr>
                    <w:spacing w:line="276" w:lineRule="auto"/>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Lo anterior, dificulta el trámite que se adelanta por parte de la Gerencia Férrea, teniendo en cuenta la posible adición que se viene trabajando para este Contrato, que iniciaría a partir del 1 de enero de 2016.</w:t>
                  </w:r>
                </w:p>
                <w:p w:rsidR="00EB3BC8" w:rsidRPr="00165651" w:rsidRDefault="00EB3BC8" w:rsidP="005E52E0">
                  <w:pPr>
                    <w:spacing w:line="276" w:lineRule="auto"/>
                    <w:ind w:left="720"/>
                    <w:jc w:val="both"/>
                    <w:rPr>
                      <w:rFonts w:cstheme="minorHAnsi"/>
                      <w:color w:val="000000" w:themeColor="text1"/>
                      <w:sz w:val="18"/>
                      <w:szCs w:val="16"/>
                      <w:lang w:val="es-CO" w:eastAsia="es-CO"/>
                    </w:rPr>
                  </w:pPr>
                </w:p>
                <w:p w:rsidR="00EB3BC8" w:rsidRPr="00165651" w:rsidRDefault="00EB3BC8" w:rsidP="000021B2">
                  <w:pPr>
                    <w:numPr>
                      <w:ilvl w:val="0"/>
                      <w:numId w:val="90"/>
                    </w:numPr>
                    <w:spacing w:line="276" w:lineRule="auto"/>
                    <w:jc w:val="both"/>
                    <w:rPr>
                      <w:rFonts w:cstheme="minorHAnsi"/>
                      <w:color w:val="000000" w:themeColor="text1"/>
                      <w:sz w:val="18"/>
                      <w:szCs w:val="16"/>
                      <w:lang w:val="es-CO" w:eastAsia="es-CO"/>
                    </w:rPr>
                  </w:pPr>
                  <w:r w:rsidRPr="00165651">
                    <w:rPr>
                      <w:rFonts w:cstheme="minorHAnsi"/>
                      <w:color w:val="000000" w:themeColor="text1"/>
                      <w:sz w:val="18"/>
                      <w:szCs w:val="16"/>
                      <w:lang w:val="es-CO" w:eastAsia="es-CO"/>
                    </w:rPr>
                    <w:t>Dificultad durante los meses de mayo y junio de 2015 en el avance de las obras, teniendo en cuenta el invierno que se ha presentado en los Departamentos de Cundinamarca y Boyacá, situación que podría dificultar la entrega de las obras establecidas en el plazo contractual que tiene por fecha 31 de Diciembre de 2015</w:t>
                  </w:r>
                </w:p>
                <w:p w:rsidR="00EB3BC8" w:rsidRPr="00165651" w:rsidRDefault="00EB3BC8" w:rsidP="005E52E0">
                  <w:pPr>
                    <w:spacing w:line="276" w:lineRule="auto"/>
                    <w:jc w:val="both"/>
                    <w:rPr>
                      <w:rFonts w:cstheme="minorHAnsi"/>
                      <w:color w:val="000000" w:themeColor="text1"/>
                      <w:sz w:val="18"/>
                      <w:szCs w:val="16"/>
                      <w:lang w:val="es-CO" w:eastAsia="es-CO"/>
                    </w:rPr>
                  </w:pPr>
                </w:p>
              </w:tc>
            </w:tr>
          </w:tbl>
          <w:p w:rsidR="00EB3BC8" w:rsidRPr="00165651" w:rsidRDefault="00EB3BC8" w:rsidP="005E52E0">
            <w:pPr>
              <w:spacing w:before="120" w:after="40" w:line="276" w:lineRule="auto"/>
              <w:rPr>
                <w:rFonts w:cstheme="minorHAnsi"/>
                <w:b/>
                <w:color w:val="000000" w:themeColor="text1"/>
                <w:sz w:val="18"/>
                <w:szCs w:val="16"/>
                <w:lang w:val="es-CO" w:eastAsia="es-CO"/>
              </w:rPr>
            </w:pPr>
          </w:p>
          <w:p w:rsidR="00EB3BC8" w:rsidRPr="00165651" w:rsidRDefault="00EB3BC8" w:rsidP="005E52E0">
            <w:pPr>
              <w:spacing w:before="120" w:after="40" w:line="276" w:lineRule="auto"/>
              <w:rPr>
                <w:rFonts w:cstheme="minorHAnsi"/>
                <w:b/>
                <w:color w:val="000000" w:themeColor="text1"/>
                <w:sz w:val="18"/>
                <w:szCs w:val="16"/>
                <w:lang w:val="es-CO" w:eastAsia="es-CO"/>
              </w:rPr>
            </w:pPr>
            <w:r w:rsidRPr="00165651">
              <w:rPr>
                <w:rFonts w:cstheme="minorHAnsi"/>
                <w:b/>
                <w:color w:val="000000" w:themeColor="text1"/>
                <w:sz w:val="18"/>
                <w:szCs w:val="16"/>
                <w:lang w:val="es-CO" w:eastAsia="es-CO"/>
              </w:rPr>
              <w:t>Cronograma actual de Ejecución de obras</w:t>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w:drawing>
                <wp:inline distT="0" distB="0" distL="0" distR="0" wp14:anchorId="65DB8452" wp14:editId="3170384C">
                  <wp:extent cx="5620385" cy="2861945"/>
                  <wp:effectExtent l="0" t="0" r="0" b="0"/>
                  <wp:docPr id="1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184"/>
                          <a:srcRect t="9188" r="14854"/>
                          <a:stretch/>
                        </pic:blipFill>
                        <pic:spPr>
                          <a:xfrm>
                            <a:off x="0" y="0"/>
                            <a:ext cx="5620385" cy="2861945"/>
                          </a:xfrm>
                          <a:prstGeom prst="rect">
                            <a:avLst/>
                          </a:prstGeom>
                        </pic:spPr>
                      </pic:pic>
                    </a:graphicData>
                  </a:graphic>
                </wp:inline>
              </w:drawing>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20"/>
                <w:szCs w:val="16"/>
                <w:lang w:val="es-CO" w:eastAsia="es-CO"/>
              </w:rPr>
            </w:pPr>
          </w:p>
          <w:p w:rsidR="00EB3BC8" w:rsidRPr="00165651" w:rsidRDefault="00EB3BC8" w:rsidP="005E52E0">
            <w:pPr>
              <w:rPr>
                <w:rFonts w:cstheme="minorHAnsi"/>
                <w:b/>
                <w:color w:val="000000" w:themeColor="text1"/>
                <w:szCs w:val="18"/>
                <w:lang w:val="es-CO" w:eastAsia="es-CO"/>
              </w:rPr>
            </w:pPr>
            <w:r w:rsidRPr="00165651">
              <w:rPr>
                <w:rFonts w:cstheme="minorHAnsi"/>
                <w:b/>
                <w:color w:val="000000" w:themeColor="text1"/>
                <w:szCs w:val="18"/>
                <w:lang w:val="es-CO" w:eastAsia="es-CO"/>
              </w:rPr>
              <w:t>Registró Fotográfico Principales obras en ejecución a 30 de junio de 2015</w:t>
            </w: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r w:rsidRPr="00165651">
              <w:rPr>
                <w:rFonts w:cstheme="minorHAnsi"/>
                <w:noProof/>
                <w:color w:val="000000" w:themeColor="text1"/>
                <w:sz w:val="18"/>
                <w:szCs w:val="18"/>
              </w:rPr>
              <mc:AlternateContent>
                <mc:Choice Requires="wps">
                  <w:drawing>
                    <wp:anchor distT="0" distB="0" distL="114300" distR="114300" simplePos="0" relativeHeight="251722752" behindDoc="0" locked="0" layoutInCell="1" allowOverlap="1" wp14:anchorId="392C94C6" wp14:editId="7E544F9C">
                      <wp:simplePos x="0" y="0"/>
                      <wp:positionH relativeFrom="column">
                        <wp:posOffset>1719580</wp:posOffset>
                      </wp:positionH>
                      <wp:positionV relativeFrom="paragraph">
                        <wp:posOffset>52070</wp:posOffset>
                      </wp:positionV>
                      <wp:extent cx="3514725" cy="400050"/>
                      <wp:effectExtent l="0" t="0" r="0" b="0"/>
                      <wp:wrapNone/>
                      <wp:docPr id="271" name="Rectángulo 2"/>
                      <wp:cNvGraphicFramePr/>
                      <a:graphic xmlns:a="http://schemas.openxmlformats.org/drawingml/2006/main">
                        <a:graphicData uri="http://schemas.microsoft.com/office/word/2010/wordprocessingShape">
                          <wps:wsp>
                            <wps:cNvSpPr/>
                            <wps:spPr>
                              <a:xfrm>
                                <a:off x="0" y="0"/>
                                <a:ext cx="351472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 xml:space="preserve">Punto crítico No </w:t>
                                  </w:r>
                                  <w:r>
                                    <w:rPr>
                                      <w:rFonts w:ascii="Arial" w:hAnsi="Arial" w:cs="Arial"/>
                                      <w:b/>
                                      <w:bCs/>
                                      <w:color w:val="000000" w:themeColor="text1"/>
                                      <w:kern w:val="24"/>
                                      <w:lang w:val="es-ES"/>
                                    </w:rPr>
                                    <w:t>38 PK 140 + 280</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392C94C6" id="Rectángulo 2" o:spid="_x0000_s1044" style="position:absolute;margin-left:135.4pt;margin-top:4.1pt;width:276.75pt;height:31.5pt;z-index:25172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 xml:space="preserve">Punto crítico No </w:t>
                            </w:r>
                            <w:r>
                              <w:rPr>
                                <w:rFonts w:ascii="Arial" w:hAnsi="Arial" w:cs="Arial"/>
                                <w:b/>
                                <w:bCs/>
                                <w:color w:val="000000" w:themeColor="text1"/>
                                <w:kern w:val="24"/>
                                <w:lang w:val="es-ES"/>
                              </w:rPr>
                              <w:t>38 PK 140 + 280</w:t>
                            </w:r>
                          </w:p>
                        </w:txbxContent>
                      </v:textbox>
                    </v:rect>
                  </w:pict>
                </mc:Fallback>
              </mc:AlternateContent>
            </w: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23776" behindDoc="0" locked="0" layoutInCell="1" allowOverlap="1" wp14:anchorId="037F1228" wp14:editId="3CE82D06">
                      <wp:simplePos x="0" y="0"/>
                      <wp:positionH relativeFrom="column">
                        <wp:posOffset>146050</wp:posOffset>
                      </wp:positionH>
                      <wp:positionV relativeFrom="paragraph">
                        <wp:posOffset>50800</wp:posOffset>
                      </wp:positionV>
                      <wp:extent cx="728980" cy="400050"/>
                      <wp:effectExtent l="0" t="0" r="0" b="0"/>
                      <wp:wrapNone/>
                      <wp:docPr id="272" name="Rectángulo 35"/>
                      <wp:cNvGraphicFramePr/>
                      <a:graphic xmlns:a="http://schemas.openxmlformats.org/drawingml/2006/main">
                        <a:graphicData uri="http://schemas.microsoft.com/office/word/2010/wordprocessingShape">
                          <wps:wsp>
                            <wps:cNvSpPr/>
                            <wps:spPr>
                              <a:xfrm>
                                <a:off x="0" y="0"/>
                                <a:ext cx="728980"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037F1228" id="Rectángulo 35" o:spid="_x0000_s1045" style="position:absolute;margin-left:11.5pt;margin-top:4pt;width:57.4pt;height:31.5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v:textbox>
                    </v:rect>
                  </w:pict>
                </mc:Fallback>
              </mc:AlternateContent>
            </w:r>
            <w:r w:rsidRPr="00165651">
              <w:rPr>
                <w:rFonts w:cstheme="minorHAnsi"/>
                <w:noProof/>
                <w:color w:val="000000" w:themeColor="text1"/>
                <w:sz w:val="16"/>
                <w:szCs w:val="16"/>
              </w:rPr>
              <mc:AlternateContent>
                <mc:Choice Requires="wps">
                  <w:drawing>
                    <wp:anchor distT="0" distB="0" distL="114300" distR="114300" simplePos="0" relativeHeight="251724800" behindDoc="0" locked="0" layoutInCell="1" allowOverlap="1" wp14:anchorId="32140444" wp14:editId="44F46A50">
                      <wp:simplePos x="0" y="0"/>
                      <wp:positionH relativeFrom="column">
                        <wp:posOffset>3477260</wp:posOffset>
                      </wp:positionH>
                      <wp:positionV relativeFrom="paragraph">
                        <wp:posOffset>50165</wp:posOffset>
                      </wp:positionV>
                      <wp:extent cx="761365" cy="400050"/>
                      <wp:effectExtent l="0" t="0" r="0" b="0"/>
                      <wp:wrapNone/>
                      <wp:docPr id="273" name="Rectángulo 36"/>
                      <wp:cNvGraphicFramePr/>
                      <a:graphic xmlns:a="http://schemas.openxmlformats.org/drawingml/2006/main">
                        <a:graphicData uri="http://schemas.microsoft.com/office/word/2010/wordprocessingShape">
                          <wps:wsp>
                            <wps:cNvSpPr/>
                            <wps:spPr>
                              <a:xfrm>
                                <a:off x="0" y="0"/>
                                <a:ext cx="76136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32140444" id="Rectángulo 36" o:spid="_x0000_s1046" style="position:absolute;margin-left:273.8pt;margin-top:3.95pt;width:59.95pt;height:31.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v:textbox>
                    </v:rect>
                  </w:pict>
                </mc:Fallback>
              </mc:AlternateContent>
            </w: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r w:rsidRPr="00165651">
              <w:rPr>
                <w:rFonts w:cstheme="minorHAnsi"/>
                <w:noProof/>
                <w:color w:val="000000" w:themeColor="text1"/>
                <w:sz w:val="16"/>
                <w:szCs w:val="16"/>
              </w:rPr>
              <w:drawing>
                <wp:anchor distT="0" distB="0" distL="114300" distR="114300" simplePos="0" relativeHeight="251726848" behindDoc="0" locked="0" layoutInCell="1" allowOverlap="1" wp14:anchorId="6F9F4F15" wp14:editId="4DA9D888">
                  <wp:simplePos x="0" y="0"/>
                  <wp:positionH relativeFrom="column">
                    <wp:posOffset>2921000</wp:posOffset>
                  </wp:positionH>
                  <wp:positionV relativeFrom="paragraph">
                    <wp:posOffset>84455</wp:posOffset>
                  </wp:positionV>
                  <wp:extent cx="2729230" cy="2024380"/>
                  <wp:effectExtent l="57150" t="57150" r="109220" b="109220"/>
                  <wp:wrapNone/>
                  <wp:docPr id="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85" cstate="print">
                            <a:lum contrast="20000"/>
                            <a:extLst>
                              <a:ext uri="{28A0092B-C50C-407E-A947-70E740481C1C}">
                                <a14:useLocalDpi xmlns:a14="http://schemas.microsoft.com/office/drawing/2010/main" val="0"/>
                              </a:ext>
                            </a:extLst>
                          </a:blip>
                          <a:stretch>
                            <a:fillRect/>
                          </a:stretch>
                        </pic:blipFill>
                        <pic:spPr>
                          <a:xfrm>
                            <a:off x="0" y="0"/>
                            <a:ext cx="2729230" cy="2024380"/>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165651">
              <w:rPr>
                <w:rFonts w:cstheme="minorHAnsi"/>
                <w:noProof/>
                <w:color w:val="000000" w:themeColor="text1"/>
                <w:sz w:val="16"/>
                <w:szCs w:val="16"/>
              </w:rPr>
              <w:drawing>
                <wp:anchor distT="0" distB="0" distL="114300" distR="114300" simplePos="0" relativeHeight="251725824" behindDoc="0" locked="0" layoutInCell="1" allowOverlap="1" wp14:anchorId="07E4B5A6" wp14:editId="6C19456B">
                  <wp:simplePos x="0" y="0"/>
                  <wp:positionH relativeFrom="column">
                    <wp:posOffset>-13335</wp:posOffset>
                  </wp:positionH>
                  <wp:positionV relativeFrom="paragraph">
                    <wp:posOffset>74930</wp:posOffset>
                  </wp:positionV>
                  <wp:extent cx="2729230" cy="2009775"/>
                  <wp:effectExtent l="57150" t="57150" r="109220" b="123825"/>
                  <wp:wrapNone/>
                  <wp:docPr id="123" name="Imagen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Imagen 472"/>
                          <pic:cNvPicPr>
                            <a:picLocks noChangeAspect="1" noChangeArrowheads="1"/>
                          </pic:cNvPicPr>
                        </pic:nvPicPr>
                        <pic:blipFill>
                          <a:blip r:embed="rId186">
                            <a:lum contrast="20000"/>
                            <a:extLst>
                              <a:ext uri="{28A0092B-C50C-407E-A947-70E740481C1C}">
                                <a14:useLocalDpi xmlns:a14="http://schemas.microsoft.com/office/drawing/2010/main" val="0"/>
                              </a:ext>
                            </a:extLst>
                          </a:blip>
                          <a:srcRect/>
                          <a:stretch>
                            <a:fillRect/>
                          </a:stretch>
                        </pic:blipFill>
                        <pic:spPr bwMode="auto">
                          <a:xfrm>
                            <a:off x="0" y="0"/>
                            <a:ext cx="2729230" cy="200977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27872" behindDoc="0" locked="0" layoutInCell="1" allowOverlap="1" wp14:anchorId="208908D8" wp14:editId="4424FA65">
                      <wp:simplePos x="0" y="0"/>
                      <wp:positionH relativeFrom="column">
                        <wp:posOffset>1818005</wp:posOffset>
                      </wp:positionH>
                      <wp:positionV relativeFrom="paragraph">
                        <wp:posOffset>120015</wp:posOffset>
                      </wp:positionV>
                      <wp:extent cx="3642995" cy="400050"/>
                      <wp:effectExtent l="0" t="0" r="0" b="0"/>
                      <wp:wrapNone/>
                      <wp:docPr id="276" name="Rectángulo 2"/>
                      <wp:cNvGraphicFramePr/>
                      <a:graphic xmlns:a="http://schemas.openxmlformats.org/drawingml/2006/main">
                        <a:graphicData uri="http://schemas.microsoft.com/office/word/2010/wordprocessingShape">
                          <wps:wsp>
                            <wps:cNvSpPr/>
                            <wps:spPr>
                              <a:xfrm>
                                <a:off x="0" y="0"/>
                                <a:ext cx="364299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 xml:space="preserve">Punto crítico No </w:t>
                                  </w:r>
                                  <w:r>
                                    <w:rPr>
                                      <w:rFonts w:ascii="Arial" w:hAnsi="Arial" w:cs="Arial"/>
                                      <w:b/>
                                      <w:bCs/>
                                      <w:color w:val="000000" w:themeColor="text1"/>
                                      <w:kern w:val="24"/>
                                      <w:lang w:val="es-ES"/>
                                    </w:rPr>
                                    <w:t>39 PK 0140 + 435</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208908D8" id="_x0000_s1047" style="position:absolute;margin-left:143.15pt;margin-top:9.45pt;width:286.85pt;height:31.5pt;z-index:25172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 xml:space="preserve">Punto crítico No </w:t>
                            </w:r>
                            <w:r>
                              <w:rPr>
                                <w:rFonts w:ascii="Arial" w:hAnsi="Arial" w:cs="Arial"/>
                                <w:b/>
                                <w:bCs/>
                                <w:color w:val="000000" w:themeColor="text1"/>
                                <w:kern w:val="24"/>
                                <w:lang w:val="es-ES"/>
                              </w:rPr>
                              <w:t>39 PK 0140 + 435</w:t>
                            </w:r>
                          </w:p>
                        </w:txbxContent>
                      </v:textbox>
                    </v:rect>
                  </w:pict>
                </mc:Fallback>
              </mc:AlternateContent>
            </w: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29920" behindDoc="0" locked="0" layoutInCell="1" allowOverlap="1" wp14:anchorId="59A6C9CF" wp14:editId="6E98F139">
                      <wp:simplePos x="0" y="0"/>
                      <wp:positionH relativeFrom="column">
                        <wp:posOffset>3655695</wp:posOffset>
                      </wp:positionH>
                      <wp:positionV relativeFrom="paragraph">
                        <wp:posOffset>64135</wp:posOffset>
                      </wp:positionV>
                      <wp:extent cx="761365" cy="400050"/>
                      <wp:effectExtent l="0" t="0" r="0" b="0"/>
                      <wp:wrapNone/>
                      <wp:docPr id="278" name="Rectángulo 36"/>
                      <wp:cNvGraphicFramePr/>
                      <a:graphic xmlns:a="http://schemas.openxmlformats.org/drawingml/2006/main">
                        <a:graphicData uri="http://schemas.microsoft.com/office/word/2010/wordprocessingShape">
                          <wps:wsp>
                            <wps:cNvSpPr/>
                            <wps:spPr>
                              <a:xfrm>
                                <a:off x="0" y="0"/>
                                <a:ext cx="76136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59A6C9CF" id="_x0000_s1048" style="position:absolute;margin-left:287.85pt;margin-top:5.05pt;width:59.95pt;height:31.5pt;z-index:25172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v:textbox>
                    </v:rect>
                  </w:pict>
                </mc:Fallback>
              </mc:AlternateContent>
            </w:r>
            <w:r w:rsidRPr="00165651">
              <w:rPr>
                <w:rFonts w:cstheme="minorHAnsi"/>
                <w:noProof/>
                <w:color w:val="000000" w:themeColor="text1"/>
                <w:sz w:val="16"/>
                <w:szCs w:val="16"/>
              </w:rPr>
              <mc:AlternateContent>
                <mc:Choice Requires="wps">
                  <w:drawing>
                    <wp:anchor distT="0" distB="0" distL="114300" distR="114300" simplePos="0" relativeHeight="251728896" behindDoc="0" locked="0" layoutInCell="1" allowOverlap="1" wp14:anchorId="7C6B0E8A" wp14:editId="3219C7A2">
                      <wp:simplePos x="0" y="0"/>
                      <wp:positionH relativeFrom="column">
                        <wp:posOffset>739140</wp:posOffset>
                      </wp:positionH>
                      <wp:positionV relativeFrom="paragraph">
                        <wp:posOffset>97155</wp:posOffset>
                      </wp:positionV>
                      <wp:extent cx="728980" cy="400050"/>
                      <wp:effectExtent l="0" t="0" r="0" b="0"/>
                      <wp:wrapNone/>
                      <wp:docPr id="277" name="Rectángulo 35"/>
                      <wp:cNvGraphicFramePr/>
                      <a:graphic xmlns:a="http://schemas.openxmlformats.org/drawingml/2006/main">
                        <a:graphicData uri="http://schemas.microsoft.com/office/word/2010/wordprocessingShape">
                          <wps:wsp>
                            <wps:cNvSpPr/>
                            <wps:spPr>
                              <a:xfrm>
                                <a:off x="0" y="0"/>
                                <a:ext cx="728980"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7C6B0E8A" id="_x0000_s1049" style="position:absolute;margin-left:58.2pt;margin-top:7.65pt;width:57.4pt;height:31.5pt;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v:textbox>
                    </v:rect>
                  </w:pict>
                </mc:Fallback>
              </mc:AlternateContent>
            </w: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r w:rsidRPr="00165651">
              <w:rPr>
                <w:rFonts w:cstheme="minorHAnsi"/>
                <w:noProof/>
                <w:color w:val="000000" w:themeColor="text1"/>
                <w:sz w:val="16"/>
                <w:szCs w:val="16"/>
              </w:rPr>
              <w:drawing>
                <wp:anchor distT="0" distB="0" distL="114300" distR="114300" simplePos="0" relativeHeight="251731968" behindDoc="0" locked="0" layoutInCell="1" allowOverlap="1" wp14:anchorId="220C634D" wp14:editId="504A4575">
                  <wp:simplePos x="0" y="0"/>
                  <wp:positionH relativeFrom="column">
                    <wp:posOffset>2888615</wp:posOffset>
                  </wp:positionH>
                  <wp:positionV relativeFrom="paragraph">
                    <wp:posOffset>116840</wp:posOffset>
                  </wp:positionV>
                  <wp:extent cx="2767965" cy="2056765"/>
                  <wp:effectExtent l="57150" t="57150" r="108585" b="114935"/>
                  <wp:wrapNone/>
                  <wp:docPr id="1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87" cstate="print">
                            <a:lum contrast="20000"/>
                            <a:extLst>
                              <a:ext uri="{28A0092B-C50C-407E-A947-70E740481C1C}">
                                <a14:useLocalDpi xmlns:a14="http://schemas.microsoft.com/office/drawing/2010/main" val="0"/>
                              </a:ext>
                            </a:extLst>
                          </a:blip>
                          <a:stretch>
                            <a:fillRect/>
                          </a:stretch>
                        </pic:blipFill>
                        <pic:spPr>
                          <a:xfrm>
                            <a:off x="0" y="0"/>
                            <a:ext cx="2767965" cy="205676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EB3BC8" w:rsidRPr="00165651" w:rsidRDefault="00EB3BC8" w:rsidP="005E52E0">
            <w:pPr>
              <w:rPr>
                <w:rFonts w:cstheme="minorHAnsi"/>
                <w:color w:val="000000" w:themeColor="text1"/>
                <w:sz w:val="16"/>
                <w:szCs w:val="16"/>
                <w:lang w:val="es-CO" w:eastAsia="es-CO"/>
              </w:rPr>
            </w:pPr>
            <w:r w:rsidRPr="00165651">
              <w:rPr>
                <w:rFonts w:cstheme="minorHAnsi"/>
                <w:noProof/>
                <w:color w:val="000000" w:themeColor="text1"/>
                <w:sz w:val="16"/>
                <w:szCs w:val="16"/>
              </w:rPr>
              <w:drawing>
                <wp:anchor distT="0" distB="0" distL="114300" distR="114300" simplePos="0" relativeHeight="251730944" behindDoc="0" locked="0" layoutInCell="1" allowOverlap="1" wp14:anchorId="4C577417" wp14:editId="520D8759">
                  <wp:simplePos x="0" y="0"/>
                  <wp:positionH relativeFrom="column">
                    <wp:posOffset>1905</wp:posOffset>
                  </wp:positionH>
                  <wp:positionV relativeFrom="paragraph">
                    <wp:posOffset>24130</wp:posOffset>
                  </wp:positionV>
                  <wp:extent cx="2767965" cy="2056765"/>
                  <wp:effectExtent l="57150" t="57150" r="108585" b="114935"/>
                  <wp:wrapNone/>
                  <wp:docPr id="125" name="Imagen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Imagen 473"/>
                          <pic:cNvPicPr>
                            <a:picLocks noChangeAspect="1" noChangeArrowheads="1"/>
                          </pic:cNvPicPr>
                        </pic:nvPicPr>
                        <pic:blipFill>
                          <a:blip r:embed="rId188">
                            <a:lum contrast="20000"/>
                            <a:extLst>
                              <a:ext uri="{28A0092B-C50C-407E-A947-70E740481C1C}">
                                <a14:useLocalDpi xmlns:a14="http://schemas.microsoft.com/office/drawing/2010/main" val="0"/>
                              </a:ext>
                            </a:extLst>
                          </a:blip>
                          <a:srcRect/>
                          <a:stretch>
                            <a:fillRect/>
                          </a:stretch>
                        </pic:blipFill>
                        <pic:spPr bwMode="auto">
                          <a:xfrm>
                            <a:off x="0" y="0"/>
                            <a:ext cx="2767965" cy="205676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b/>
                <w:sz w:val="16"/>
                <w:szCs w:val="16"/>
                <w:lang w:val="es-CO" w:eastAsia="es-CO"/>
              </w:rPr>
            </w:pPr>
          </w:p>
          <w:p w:rsidR="00EB3BC8" w:rsidRPr="00165651" w:rsidRDefault="00EB3BC8" w:rsidP="005E52E0">
            <w:pPr>
              <w:rPr>
                <w:rFonts w:cstheme="minorHAnsi"/>
                <w:b/>
                <w:sz w:val="16"/>
                <w:szCs w:val="16"/>
                <w:lang w:val="es-CO" w:eastAsia="es-CO"/>
              </w:rPr>
            </w:pPr>
          </w:p>
          <w:p w:rsidR="00EB3BC8" w:rsidRPr="00165651" w:rsidRDefault="00EB3BC8" w:rsidP="005E52E0">
            <w:pPr>
              <w:rPr>
                <w:rFonts w:cstheme="minorHAnsi"/>
                <w:b/>
                <w:sz w:val="16"/>
                <w:szCs w:val="16"/>
                <w:lang w:val="es-CO" w:eastAsia="es-CO"/>
              </w:rPr>
            </w:pPr>
          </w:p>
          <w:p w:rsidR="00EB3BC8" w:rsidRPr="00165651" w:rsidRDefault="00EB3BC8" w:rsidP="005E52E0">
            <w:pPr>
              <w:rPr>
                <w:rFonts w:cstheme="minorHAnsi"/>
                <w:b/>
                <w:sz w:val="16"/>
                <w:szCs w:val="16"/>
                <w:lang w:val="es-CO" w:eastAsia="es-CO"/>
              </w:rPr>
            </w:pPr>
          </w:p>
          <w:p w:rsidR="00EB3BC8" w:rsidRPr="00165651" w:rsidRDefault="00EB3BC8" w:rsidP="005E52E0">
            <w:pPr>
              <w:rPr>
                <w:rFonts w:cstheme="minorHAnsi"/>
                <w:b/>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r w:rsidRPr="00165651">
              <w:rPr>
                <w:rFonts w:cstheme="minorHAnsi"/>
                <w:b/>
                <w:noProof/>
                <w:sz w:val="16"/>
                <w:szCs w:val="16"/>
              </w:rPr>
              <mc:AlternateContent>
                <mc:Choice Requires="wps">
                  <w:drawing>
                    <wp:anchor distT="0" distB="0" distL="114300" distR="114300" simplePos="0" relativeHeight="251735040" behindDoc="0" locked="0" layoutInCell="1" allowOverlap="1" wp14:anchorId="6C0E37DF" wp14:editId="78825E58">
                      <wp:simplePos x="0" y="0"/>
                      <wp:positionH relativeFrom="column">
                        <wp:posOffset>3822065</wp:posOffset>
                      </wp:positionH>
                      <wp:positionV relativeFrom="paragraph">
                        <wp:posOffset>33655</wp:posOffset>
                      </wp:positionV>
                      <wp:extent cx="761365" cy="400050"/>
                      <wp:effectExtent l="0" t="0" r="0" b="0"/>
                      <wp:wrapNone/>
                      <wp:docPr id="225" name="Rectángulo 36"/>
                      <wp:cNvGraphicFramePr/>
                      <a:graphic xmlns:a="http://schemas.openxmlformats.org/drawingml/2006/main">
                        <a:graphicData uri="http://schemas.microsoft.com/office/word/2010/wordprocessingShape">
                          <wps:wsp>
                            <wps:cNvSpPr/>
                            <wps:spPr>
                              <a:xfrm>
                                <a:off x="0" y="0"/>
                                <a:ext cx="76136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6C0E37DF" id="_x0000_s1050" style="position:absolute;margin-left:300.95pt;margin-top:2.65pt;width:59.95pt;height:31.5pt;z-index:25173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v:textbox>
                    </v:rect>
                  </w:pict>
                </mc:Fallback>
              </mc:AlternateContent>
            </w:r>
            <w:r w:rsidRPr="00165651">
              <w:rPr>
                <w:rFonts w:cstheme="minorHAnsi"/>
                <w:b/>
                <w:noProof/>
                <w:sz w:val="16"/>
                <w:szCs w:val="16"/>
              </w:rPr>
              <mc:AlternateContent>
                <mc:Choice Requires="wps">
                  <w:drawing>
                    <wp:anchor distT="0" distB="0" distL="114300" distR="114300" simplePos="0" relativeHeight="251734016" behindDoc="0" locked="0" layoutInCell="1" allowOverlap="1" wp14:anchorId="3C6A4B62" wp14:editId="54DABA5A">
                      <wp:simplePos x="0" y="0"/>
                      <wp:positionH relativeFrom="column">
                        <wp:posOffset>771525</wp:posOffset>
                      </wp:positionH>
                      <wp:positionV relativeFrom="paragraph">
                        <wp:posOffset>97155</wp:posOffset>
                      </wp:positionV>
                      <wp:extent cx="728980" cy="400050"/>
                      <wp:effectExtent l="0" t="0" r="0" b="0"/>
                      <wp:wrapNone/>
                      <wp:docPr id="224" name="Rectángulo 35"/>
                      <wp:cNvGraphicFramePr/>
                      <a:graphic xmlns:a="http://schemas.openxmlformats.org/drawingml/2006/main">
                        <a:graphicData uri="http://schemas.microsoft.com/office/word/2010/wordprocessingShape">
                          <wps:wsp>
                            <wps:cNvSpPr/>
                            <wps:spPr>
                              <a:xfrm>
                                <a:off x="0" y="0"/>
                                <a:ext cx="728980"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3C6A4B62" id="_x0000_s1051" style="position:absolute;margin-left:60.75pt;margin-top:7.65pt;width:57.4pt;height:31.5pt;z-index:2517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v:textbox>
                    </v:rect>
                  </w:pict>
                </mc:Fallback>
              </mc:AlternateContent>
            </w:r>
          </w:p>
          <w:p w:rsidR="00EB3BC8" w:rsidRPr="00165651" w:rsidRDefault="00EB3BC8" w:rsidP="005E52E0">
            <w:pPr>
              <w:rPr>
                <w:rFonts w:cstheme="minorHAnsi"/>
                <w:color w:val="000000" w:themeColor="text1"/>
                <w:sz w:val="16"/>
                <w:szCs w:val="16"/>
                <w:lang w:val="es-CO" w:eastAsia="es-CO"/>
              </w:rPr>
            </w:pPr>
          </w:p>
          <w:p w:rsidR="00EB3BC8" w:rsidRPr="00165651" w:rsidRDefault="0016774A" w:rsidP="005E52E0">
            <w:pPr>
              <w:rPr>
                <w:rFonts w:cstheme="minorHAnsi"/>
                <w:color w:val="000000" w:themeColor="text1"/>
                <w:sz w:val="16"/>
                <w:szCs w:val="16"/>
                <w:lang w:val="es-CO" w:eastAsia="es-CO"/>
              </w:rPr>
            </w:pPr>
            <w:r w:rsidRPr="00165651">
              <w:rPr>
                <w:rFonts w:cstheme="minorHAnsi"/>
                <w:b/>
                <w:noProof/>
                <w:sz w:val="16"/>
                <w:szCs w:val="16"/>
              </w:rPr>
              <w:drawing>
                <wp:anchor distT="0" distB="0" distL="114300" distR="114300" simplePos="0" relativeHeight="251738112" behindDoc="0" locked="0" layoutInCell="1" allowOverlap="1" wp14:anchorId="662C0109" wp14:editId="41309727">
                  <wp:simplePos x="0" y="0"/>
                  <wp:positionH relativeFrom="column">
                    <wp:posOffset>4186555</wp:posOffset>
                  </wp:positionH>
                  <wp:positionV relativeFrom="paragraph">
                    <wp:posOffset>107315</wp:posOffset>
                  </wp:positionV>
                  <wp:extent cx="1250315" cy="1863725"/>
                  <wp:effectExtent l="57150" t="57150" r="121285" b="117475"/>
                  <wp:wrapNone/>
                  <wp:docPr id="1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89" cstate="print">
                            <a:lum contrast="20000"/>
                            <a:extLst>
                              <a:ext uri="{28A0092B-C50C-407E-A947-70E740481C1C}">
                                <a14:useLocalDpi xmlns:a14="http://schemas.microsoft.com/office/drawing/2010/main" val="0"/>
                              </a:ext>
                            </a:extLst>
                          </a:blip>
                          <a:stretch>
                            <a:fillRect/>
                          </a:stretch>
                        </pic:blipFill>
                        <pic:spPr>
                          <a:xfrm>
                            <a:off x="0" y="0"/>
                            <a:ext cx="1250315" cy="186372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B3BC8" w:rsidRPr="00165651">
              <w:rPr>
                <w:rFonts w:cstheme="minorHAnsi"/>
                <w:b/>
                <w:noProof/>
                <w:sz w:val="16"/>
                <w:szCs w:val="16"/>
              </w:rPr>
              <w:drawing>
                <wp:anchor distT="0" distB="0" distL="114300" distR="114300" simplePos="0" relativeHeight="251737088" behindDoc="0" locked="0" layoutInCell="1" allowOverlap="1" wp14:anchorId="002387B1" wp14:editId="6E194094">
                  <wp:simplePos x="0" y="0"/>
                  <wp:positionH relativeFrom="column">
                    <wp:posOffset>2895600</wp:posOffset>
                  </wp:positionH>
                  <wp:positionV relativeFrom="paragraph">
                    <wp:posOffset>83820</wp:posOffset>
                  </wp:positionV>
                  <wp:extent cx="1275715" cy="1905000"/>
                  <wp:effectExtent l="57150" t="57150" r="114935" b="114300"/>
                  <wp:wrapNone/>
                  <wp:docPr id="1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90" cstate="print">
                            <a:lum contrast="20000"/>
                            <a:extLst>
                              <a:ext uri="{28A0092B-C50C-407E-A947-70E740481C1C}">
                                <a14:useLocalDpi xmlns:a14="http://schemas.microsoft.com/office/drawing/2010/main" val="0"/>
                              </a:ext>
                            </a:extLst>
                          </a:blip>
                          <a:stretch>
                            <a:fillRect/>
                          </a:stretch>
                        </pic:blipFill>
                        <pic:spPr>
                          <a:xfrm>
                            <a:off x="0" y="0"/>
                            <a:ext cx="1275715" cy="1905000"/>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B3BC8" w:rsidRPr="00165651">
              <w:rPr>
                <w:rFonts w:cstheme="minorHAnsi"/>
                <w:b/>
                <w:noProof/>
                <w:sz w:val="16"/>
                <w:szCs w:val="16"/>
              </w:rPr>
              <w:drawing>
                <wp:anchor distT="0" distB="0" distL="114300" distR="114300" simplePos="0" relativeHeight="251736064" behindDoc="0" locked="0" layoutInCell="1" allowOverlap="1" wp14:anchorId="59CF5F35" wp14:editId="03845CA2">
                  <wp:simplePos x="0" y="0"/>
                  <wp:positionH relativeFrom="column">
                    <wp:posOffset>-11430</wp:posOffset>
                  </wp:positionH>
                  <wp:positionV relativeFrom="paragraph">
                    <wp:posOffset>112395</wp:posOffset>
                  </wp:positionV>
                  <wp:extent cx="2708910" cy="1887855"/>
                  <wp:effectExtent l="57150" t="57150" r="110490" b="112395"/>
                  <wp:wrapNone/>
                  <wp:docPr id="456"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Imagen 477"/>
                          <pic:cNvPicPr>
                            <a:picLocks noChangeAspect="1" noChangeArrowheads="1"/>
                          </pic:cNvPicPr>
                        </pic:nvPicPr>
                        <pic:blipFill>
                          <a:blip r:embed="rId191">
                            <a:lum contrast="20000"/>
                            <a:extLst>
                              <a:ext uri="{28A0092B-C50C-407E-A947-70E740481C1C}">
                                <a14:useLocalDpi xmlns:a14="http://schemas.microsoft.com/office/drawing/2010/main" val="0"/>
                              </a:ext>
                            </a:extLst>
                          </a:blip>
                          <a:srcRect/>
                          <a:stretch>
                            <a:fillRect/>
                          </a:stretch>
                        </pic:blipFill>
                        <pic:spPr bwMode="auto">
                          <a:xfrm>
                            <a:off x="0" y="0"/>
                            <a:ext cx="2708910" cy="188785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r w:rsidR="00EB3BC8" w:rsidRPr="00165651">
              <w:rPr>
                <w:rFonts w:cstheme="minorHAnsi"/>
                <w:color w:val="000000" w:themeColor="text1"/>
                <w:sz w:val="16"/>
                <w:szCs w:val="16"/>
                <w:lang w:val="es-CO" w:eastAsia="es-CO"/>
              </w:rPr>
              <w:t xml:space="preserve"> </w:t>
            </w: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rPr>
                <w:rFonts w:cstheme="minorHAnsi"/>
                <w:color w:val="000000" w:themeColor="text1"/>
                <w:sz w:val="16"/>
                <w:szCs w:val="16"/>
                <w:lang w:val="es-CO" w:eastAsia="es-CO"/>
              </w:rPr>
            </w:pPr>
          </w:p>
          <w:p w:rsidR="00EB3BC8" w:rsidRPr="00165651" w:rsidRDefault="00EB3BC8" w:rsidP="005E52E0">
            <w:pPr>
              <w:jc w:val="both"/>
              <w:rPr>
                <w:rFonts w:cstheme="minorHAnsi"/>
                <w:sz w:val="20"/>
                <w:szCs w:val="20"/>
                <w:lang w:val="es-CO" w:eastAsia="es-CO"/>
              </w:rPr>
            </w:pPr>
          </w:p>
          <w:p w:rsidR="00EB3BC8" w:rsidRPr="00165651" w:rsidRDefault="00EB3BC8" w:rsidP="005E52E0">
            <w:pPr>
              <w:jc w:val="both"/>
              <w:rPr>
                <w:rFonts w:cstheme="minorHAnsi"/>
                <w:sz w:val="20"/>
                <w:szCs w:val="20"/>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39136" behindDoc="0" locked="0" layoutInCell="1" allowOverlap="1" wp14:anchorId="07E2674E" wp14:editId="13A1D482">
                      <wp:simplePos x="0" y="0"/>
                      <wp:positionH relativeFrom="column">
                        <wp:posOffset>1682115</wp:posOffset>
                      </wp:positionH>
                      <wp:positionV relativeFrom="paragraph">
                        <wp:posOffset>50800</wp:posOffset>
                      </wp:positionV>
                      <wp:extent cx="3460115" cy="400050"/>
                      <wp:effectExtent l="0" t="0" r="0" b="0"/>
                      <wp:wrapNone/>
                      <wp:docPr id="227" name="Rectángulo 2"/>
                      <wp:cNvGraphicFramePr/>
                      <a:graphic xmlns:a="http://schemas.openxmlformats.org/drawingml/2006/main">
                        <a:graphicData uri="http://schemas.microsoft.com/office/word/2010/wordprocessingShape">
                          <wps:wsp>
                            <wps:cNvSpPr/>
                            <wps:spPr>
                              <a:xfrm>
                                <a:off x="0" y="0"/>
                                <a:ext cx="346011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Punto crítico No 58  PK 0188 + 250</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07E2674E" id="_x0000_s1052" style="position:absolute;left:0;text-align:left;margin-left:132.45pt;margin-top:4pt;width:272.45pt;height:31.5pt;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Punto crítico No 58  PK 0188 + 250</w:t>
                            </w:r>
                          </w:p>
                        </w:txbxContent>
                      </v:textbox>
                    </v:rect>
                  </w:pict>
                </mc:Fallback>
              </mc:AlternateContent>
            </w: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43232" behindDoc="0" locked="0" layoutInCell="1" allowOverlap="1" wp14:anchorId="42624968" wp14:editId="4FA6EDE0">
                      <wp:simplePos x="0" y="0"/>
                      <wp:positionH relativeFrom="column">
                        <wp:posOffset>3883660</wp:posOffset>
                      </wp:positionH>
                      <wp:positionV relativeFrom="paragraph">
                        <wp:posOffset>86995</wp:posOffset>
                      </wp:positionV>
                      <wp:extent cx="761365" cy="400050"/>
                      <wp:effectExtent l="0" t="0" r="0" b="0"/>
                      <wp:wrapNone/>
                      <wp:docPr id="229" name="Rectángulo 36"/>
                      <wp:cNvGraphicFramePr/>
                      <a:graphic xmlns:a="http://schemas.openxmlformats.org/drawingml/2006/main">
                        <a:graphicData uri="http://schemas.microsoft.com/office/word/2010/wordprocessingShape">
                          <wps:wsp>
                            <wps:cNvSpPr/>
                            <wps:spPr>
                              <a:xfrm>
                                <a:off x="0" y="0"/>
                                <a:ext cx="76136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42624968" id="_x0000_s1053" style="position:absolute;left:0;text-align:left;margin-left:305.8pt;margin-top:6.85pt;width:59.95pt;height:31.5pt;z-index:25174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v:textbox>
                    </v:rect>
                  </w:pict>
                </mc:Fallback>
              </mc:AlternateContent>
            </w:r>
            <w:r w:rsidRPr="00165651">
              <w:rPr>
                <w:rFonts w:cstheme="minorHAnsi"/>
                <w:noProof/>
                <w:color w:val="000000" w:themeColor="text1"/>
                <w:sz w:val="16"/>
                <w:szCs w:val="16"/>
              </w:rPr>
              <mc:AlternateContent>
                <mc:Choice Requires="wps">
                  <w:drawing>
                    <wp:anchor distT="0" distB="0" distL="114300" distR="114300" simplePos="0" relativeHeight="251742208" behindDoc="0" locked="0" layoutInCell="1" allowOverlap="1" wp14:anchorId="52009512" wp14:editId="7B63C68D">
                      <wp:simplePos x="0" y="0"/>
                      <wp:positionH relativeFrom="column">
                        <wp:posOffset>902335</wp:posOffset>
                      </wp:positionH>
                      <wp:positionV relativeFrom="paragraph">
                        <wp:posOffset>92710</wp:posOffset>
                      </wp:positionV>
                      <wp:extent cx="728980" cy="400050"/>
                      <wp:effectExtent l="0" t="0" r="0" b="0"/>
                      <wp:wrapNone/>
                      <wp:docPr id="228" name="Rectángulo 35"/>
                      <wp:cNvGraphicFramePr/>
                      <a:graphic xmlns:a="http://schemas.openxmlformats.org/drawingml/2006/main">
                        <a:graphicData uri="http://schemas.microsoft.com/office/word/2010/wordprocessingShape">
                          <wps:wsp>
                            <wps:cNvSpPr/>
                            <wps:spPr>
                              <a:xfrm>
                                <a:off x="0" y="0"/>
                                <a:ext cx="728980"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52009512" id="_x0000_s1054" style="position:absolute;left:0;text-align:left;margin-left:71.05pt;margin-top:7.3pt;width:57.4pt;height:31.5pt;z-index:25174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v:textbox>
                    </v:rect>
                  </w:pict>
                </mc:Fallback>
              </mc:AlternateContent>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w:drawing>
                <wp:anchor distT="0" distB="0" distL="114300" distR="114300" simplePos="0" relativeHeight="251740160" behindDoc="0" locked="0" layoutInCell="1" allowOverlap="1" wp14:anchorId="3DC50875" wp14:editId="4AE24672">
                  <wp:simplePos x="0" y="0"/>
                  <wp:positionH relativeFrom="column">
                    <wp:posOffset>54610</wp:posOffset>
                  </wp:positionH>
                  <wp:positionV relativeFrom="paragraph">
                    <wp:posOffset>90805</wp:posOffset>
                  </wp:positionV>
                  <wp:extent cx="2495550" cy="1849755"/>
                  <wp:effectExtent l="57150" t="57150" r="114300" b="112395"/>
                  <wp:wrapNone/>
                  <wp:docPr id="464" name="Imagen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Imagen 486"/>
                          <pic:cNvPicPr>
                            <a:picLocks noChangeAspect="1" noChangeArrowheads="1"/>
                          </pic:cNvPicPr>
                        </pic:nvPicPr>
                        <pic:blipFill>
                          <a:blip r:embed="rId192">
                            <a:lum contrast="20000"/>
                            <a:extLst>
                              <a:ext uri="{28A0092B-C50C-407E-A947-70E740481C1C}">
                                <a14:useLocalDpi xmlns:a14="http://schemas.microsoft.com/office/drawing/2010/main" val="0"/>
                              </a:ext>
                            </a:extLst>
                          </a:blip>
                          <a:srcRect/>
                          <a:stretch>
                            <a:fillRect/>
                          </a:stretch>
                        </pic:blipFill>
                        <pic:spPr bwMode="auto">
                          <a:xfrm>
                            <a:off x="0" y="0"/>
                            <a:ext cx="2495550" cy="184975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r w:rsidRPr="00165651">
              <w:rPr>
                <w:rFonts w:cstheme="minorHAnsi"/>
                <w:noProof/>
                <w:color w:val="000000" w:themeColor="text1"/>
                <w:sz w:val="16"/>
                <w:szCs w:val="16"/>
              </w:rPr>
              <w:drawing>
                <wp:anchor distT="0" distB="0" distL="114300" distR="114300" simplePos="0" relativeHeight="251741184" behindDoc="0" locked="0" layoutInCell="1" allowOverlap="1" wp14:anchorId="65B56A5D" wp14:editId="7BBE61A6">
                  <wp:simplePos x="0" y="0"/>
                  <wp:positionH relativeFrom="column">
                    <wp:posOffset>2807335</wp:posOffset>
                  </wp:positionH>
                  <wp:positionV relativeFrom="paragraph">
                    <wp:posOffset>113665</wp:posOffset>
                  </wp:positionV>
                  <wp:extent cx="2619375" cy="1854835"/>
                  <wp:effectExtent l="57150" t="57150" r="123825" b="107315"/>
                  <wp:wrapNone/>
                  <wp:docPr id="15360" name="Imagen 34" descr="C:\Users\Administrador\Desktop\FOTOS DE RECORRIDOS DIARIOS\FOTOS 2015\ABRIL 2015\SEMANA 78\27ABR2015\OLYMPUS\P4276729.JPG"/>
                  <wp:cNvGraphicFramePr/>
                  <a:graphic xmlns:a="http://schemas.openxmlformats.org/drawingml/2006/main">
                    <a:graphicData uri="http://schemas.openxmlformats.org/drawingml/2006/picture">
                      <pic:pic xmlns:pic="http://schemas.openxmlformats.org/drawingml/2006/picture">
                        <pic:nvPicPr>
                          <pic:cNvPr id="35" name="Imagen 34" descr="C:\Users\Administrador\Desktop\FOTOS DE RECORRIDOS DIARIOS\FOTOS 2015\ABRIL 2015\SEMANA 78\27ABR2015\OLYMPUS\P4276729.JPG"/>
                          <pic:cNvPicPr/>
                        </pic:nvPicPr>
                        <pic:blipFill rotWithShape="1">
                          <a:blip r:embed="rId193" cstate="print">
                            <a:lum contrast="20000"/>
                            <a:extLst>
                              <a:ext uri="{28A0092B-C50C-407E-A947-70E740481C1C}">
                                <a14:useLocalDpi xmlns:a14="http://schemas.microsoft.com/office/drawing/2010/main" val="0"/>
                              </a:ext>
                            </a:extLst>
                          </a:blip>
                          <a:srcRect b="12195"/>
                          <a:stretch/>
                        </pic:blipFill>
                        <pic:spPr bwMode="auto">
                          <a:xfrm>
                            <a:off x="0" y="0"/>
                            <a:ext cx="2619375" cy="185483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44256" behindDoc="0" locked="0" layoutInCell="1" allowOverlap="1" wp14:anchorId="51B524C6" wp14:editId="2D50A95B">
                      <wp:simplePos x="0" y="0"/>
                      <wp:positionH relativeFrom="column">
                        <wp:posOffset>1555750</wp:posOffset>
                      </wp:positionH>
                      <wp:positionV relativeFrom="paragraph">
                        <wp:posOffset>113030</wp:posOffset>
                      </wp:positionV>
                      <wp:extent cx="3245485" cy="368935"/>
                      <wp:effectExtent l="0" t="0" r="0" b="0"/>
                      <wp:wrapNone/>
                      <wp:docPr id="230" name="Rectángulo 2"/>
                      <wp:cNvGraphicFramePr/>
                      <a:graphic xmlns:a="http://schemas.openxmlformats.org/drawingml/2006/main">
                        <a:graphicData uri="http://schemas.microsoft.com/office/word/2010/wordprocessingShape">
                          <wps:wsp>
                            <wps:cNvSpPr/>
                            <wps:spPr>
                              <a:xfrm>
                                <a:off x="0" y="0"/>
                                <a:ext cx="3245485" cy="368935"/>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 xml:space="preserve">Punto crítico No. </w:t>
                                  </w:r>
                                  <w:r>
                                    <w:rPr>
                                      <w:rFonts w:ascii="Calibri" w:hAnsi="Calibri" w:cs="Arial"/>
                                      <w:b/>
                                      <w:bCs/>
                                      <w:color w:val="000000" w:themeColor="text1"/>
                                      <w:kern w:val="24"/>
                                    </w:rPr>
                                    <w:t>59 PK 188+353</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51B524C6" id="_x0000_s1055" style="position:absolute;left:0;text-align:left;margin-left:122.5pt;margin-top:8.9pt;width:255.55pt;height:29.05pt;z-index:2517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 xml:space="preserve">Punto crítico No. </w:t>
                            </w:r>
                            <w:r>
                              <w:rPr>
                                <w:rFonts w:ascii="Calibri" w:hAnsi="Calibri" w:cs="Arial"/>
                                <w:b/>
                                <w:bCs/>
                                <w:color w:val="000000" w:themeColor="text1"/>
                                <w:kern w:val="24"/>
                              </w:rPr>
                              <w:t>59 PK 188+353</w:t>
                            </w:r>
                          </w:p>
                        </w:txbxContent>
                      </v:textbox>
                    </v:rect>
                  </w:pict>
                </mc:Fallback>
              </mc:AlternateContent>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45280" behindDoc="0" locked="0" layoutInCell="1" allowOverlap="1" wp14:anchorId="0A7DD158" wp14:editId="17D4C2CF">
                      <wp:simplePos x="0" y="0"/>
                      <wp:positionH relativeFrom="column">
                        <wp:posOffset>1021715</wp:posOffset>
                      </wp:positionH>
                      <wp:positionV relativeFrom="paragraph">
                        <wp:posOffset>66040</wp:posOffset>
                      </wp:positionV>
                      <wp:extent cx="728980" cy="400050"/>
                      <wp:effectExtent l="0" t="0" r="0" b="0"/>
                      <wp:wrapNone/>
                      <wp:docPr id="231" name="Rectángulo 35"/>
                      <wp:cNvGraphicFramePr/>
                      <a:graphic xmlns:a="http://schemas.openxmlformats.org/drawingml/2006/main">
                        <a:graphicData uri="http://schemas.microsoft.com/office/word/2010/wordprocessingShape">
                          <wps:wsp>
                            <wps:cNvSpPr/>
                            <wps:spPr>
                              <a:xfrm>
                                <a:off x="0" y="0"/>
                                <a:ext cx="728980"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0A7DD158" id="_x0000_s1056" style="position:absolute;left:0;text-align:left;margin-left:80.45pt;margin-top:5.2pt;width:57.4pt;height:31.5pt;z-index:25174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v:textbox>
                    </v:rect>
                  </w:pict>
                </mc:Fallback>
              </mc:AlternateContent>
            </w:r>
            <w:r w:rsidRPr="00165651">
              <w:rPr>
                <w:rFonts w:cstheme="minorHAnsi"/>
                <w:noProof/>
                <w:color w:val="000000" w:themeColor="text1"/>
                <w:sz w:val="16"/>
                <w:szCs w:val="16"/>
              </w:rPr>
              <mc:AlternateContent>
                <mc:Choice Requires="wps">
                  <w:drawing>
                    <wp:anchor distT="0" distB="0" distL="114300" distR="114300" simplePos="0" relativeHeight="251746304" behindDoc="0" locked="0" layoutInCell="1" allowOverlap="1" wp14:anchorId="58424E9F" wp14:editId="02CF1849">
                      <wp:simplePos x="0" y="0"/>
                      <wp:positionH relativeFrom="column">
                        <wp:posOffset>3815080</wp:posOffset>
                      </wp:positionH>
                      <wp:positionV relativeFrom="paragraph">
                        <wp:posOffset>111760</wp:posOffset>
                      </wp:positionV>
                      <wp:extent cx="761365" cy="400050"/>
                      <wp:effectExtent l="0" t="0" r="0" b="0"/>
                      <wp:wrapNone/>
                      <wp:docPr id="232" name="Rectángulo 36"/>
                      <wp:cNvGraphicFramePr/>
                      <a:graphic xmlns:a="http://schemas.openxmlformats.org/drawingml/2006/main">
                        <a:graphicData uri="http://schemas.microsoft.com/office/word/2010/wordprocessingShape">
                          <wps:wsp>
                            <wps:cNvSpPr/>
                            <wps:spPr>
                              <a:xfrm>
                                <a:off x="0" y="0"/>
                                <a:ext cx="76136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58424E9F" id="_x0000_s1057" style="position:absolute;left:0;text-align:left;margin-left:300.4pt;margin-top:8.8pt;width:59.95pt;height:31.5pt;z-index:25174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v:textbox>
                    </v:rect>
                  </w:pict>
                </mc:Fallback>
              </mc:AlternateContent>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w:drawing>
                <wp:anchor distT="0" distB="0" distL="114300" distR="114300" simplePos="0" relativeHeight="251747328" behindDoc="0" locked="0" layoutInCell="1" allowOverlap="1" wp14:anchorId="5DE358EC" wp14:editId="75D73C9C">
                  <wp:simplePos x="0" y="0"/>
                  <wp:positionH relativeFrom="column">
                    <wp:posOffset>-2540</wp:posOffset>
                  </wp:positionH>
                  <wp:positionV relativeFrom="paragraph">
                    <wp:posOffset>109220</wp:posOffset>
                  </wp:positionV>
                  <wp:extent cx="2552700" cy="1870710"/>
                  <wp:effectExtent l="57150" t="57150" r="114300" b="110490"/>
                  <wp:wrapNone/>
                  <wp:docPr id="15361" name="Imagen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Imagen 487"/>
                          <pic:cNvPicPr>
                            <a:picLocks noChangeAspect="1" noChangeArrowheads="1"/>
                          </pic:cNvPicPr>
                        </pic:nvPicPr>
                        <pic:blipFill>
                          <a:blip r:embed="rId194">
                            <a:lum contrast="20000"/>
                            <a:extLst>
                              <a:ext uri="{28A0092B-C50C-407E-A947-70E740481C1C}">
                                <a14:useLocalDpi xmlns:a14="http://schemas.microsoft.com/office/drawing/2010/main" val="0"/>
                              </a:ext>
                            </a:extLst>
                          </a:blip>
                          <a:srcRect/>
                          <a:stretch>
                            <a:fillRect/>
                          </a:stretch>
                        </pic:blipFill>
                        <pic:spPr bwMode="auto">
                          <a:xfrm>
                            <a:off x="0" y="0"/>
                            <a:ext cx="2552700" cy="1870710"/>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r w:rsidRPr="00165651">
              <w:rPr>
                <w:rFonts w:cstheme="minorHAnsi"/>
                <w:noProof/>
                <w:color w:val="000000" w:themeColor="text1"/>
                <w:sz w:val="16"/>
                <w:szCs w:val="16"/>
              </w:rPr>
              <w:drawing>
                <wp:anchor distT="0" distB="0" distL="114300" distR="114300" simplePos="0" relativeHeight="251748352" behindDoc="0" locked="0" layoutInCell="1" allowOverlap="1" wp14:anchorId="5D3D2C93" wp14:editId="0EE3DFA4">
                  <wp:simplePos x="0" y="0"/>
                  <wp:positionH relativeFrom="column">
                    <wp:posOffset>2874010</wp:posOffset>
                  </wp:positionH>
                  <wp:positionV relativeFrom="paragraph">
                    <wp:posOffset>109220</wp:posOffset>
                  </wp:positionV>
                  <wp:extent cx="2593340" cy="1905635"/>
                  <wp:effectExtent l="57150" t="57150" r="111760" b="113665"/>
                  <wp:wrapNone/>
                  <wp:docPr id="15362" name="Picture 3" descr="CAMARA 2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descr="CAMARA 2 1127"/>
                          <pic:cNvPicPr>
                            <a:picLocks noChangeAspect="1" noChangeArrowheads="1"/>
                          </pic:cNvPicPr>
                        </pic:nvPicPr>
                        <pic:blipFill>
                          <a:blip r:embed="rId195" cstate="print">
                            <a:lum contrast="20000"/>
                            <a:extLst>
                              <a:ext uri="{28A0092B-C50C-407E-A947-70E740481C1C}">
                                <a14:useLocalDpi xmlns:a14="http://schemas.microsoft.com/office/drawing/2010/main" val="0"/>
                              </a:ext>
                            </a:extLst>
                          </a:blip>
                          <a:srcRect/>
                          <a:stretch>
                            <a:fillRect/>
                          </a:stretch>
                        </pic:blipFill>
                        <pic:spPr bwMode="auto">
                          <a:xfrm>
                            <a:off x="0" y="0"/>
                            <a:ext cx="2593340" cy="190563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49376" behindDoc="0" locked="0" layoutInCell="1" allowOverlap="1" wp14:anchorId="5707610E" wp14:editId="5123450E">
                      <wp:simplePos x="0" y="0"/>
                      <wp:positionH relativeFrom="column">
                        <wp:posOffset>1668780</wp:posOffset>
                      </wp:positionH>
                      <wp:positionV relativeFrom="paragraph">
                        <wp:posOffset>11430</wp:posOffset>
                      </wp:positionV>
                      <wp:extent cx="3832225" cy="368935"/>
                      <wp:effectExtent l="0" t="0" r="0" b="0"/>
                      <wp:wrapNone/>
                      <wp:docPr id="233" name="Rectángulo 2"/>
                      <wp:cNvGraphicFramePr/>
                      <a:graphic xmlns:a="http://schemas.openxmlformats.org/drawingml/2006/main">
                        <a:graphicData uri="http://schemas.microsoft.com/office/word/2010/wordprocessingShape">
                          <wps:wsp>
                            <wps:cNvSpPr/>
                            <wps:spPr>
                              <a:xfrm>
                                <a:off x="0" y="0"/>
                                <a:ext cx="3832225" cy="368935"/>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 xml:space="preserve">Punto crítico No. </w:t>
                                  </w:r>
                                  <w:r>
                                    <w:rPr>
                                      <w:rFonts w:ascii="Arial" w:hAnsi="Arial" w:cs="Arial"/>
                                      <w:b/>
                                      <w:bCs/>
                                      <w:color w:val="000000" w:themeColor="text1"/>
                                      <w:kern w:val="24"/>
                                      <w:lang w:val="es-ES"/>
                                    </w:rPr>
                                    <w:t>60  PK 0188 + 600</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5707610E" id="_x0000_s1058" style="position:absolute;left:0;text-align:left;margin-left:131.4pt;margin-top:.9pt;width:301.75pt;height:29.05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 xml:space="preserve">Punto crítico No. </w:t>
                            </w:r>
                            <w:r>
                              <w:rPr>
                                <w:rFonts w:ascii="Arial" w:hAnsi="Arial" w:cs="Arial"/>
                                <w:b/>
                                <w:bCs/>
                                <w:color w:val="000000" w:themeColor="text1"/>
                                <w:kern w:val="24"/>
                                <w:lang w:val="es-ES"/>
                              </w:rPr>
                              <w:t>60  PK 0188 + 600</w:t>
                            </w:r>
                          </w:p>
                        </w:txbxContent>
                      </v:textbox>
                    </v:rect>
                  </w:pict>
                </mc:Fallback>
              </mc:AlternateContent>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mc:AlternateContent>
                <mc:Choice Requires="wps">
                  <w:drawing>
                    <wp:anchor distT="0" distB="0" distL="114300" distR="114300" simplePos="0" relativeHeight="251751424" behindDoc="0" locked="0" layoutInCell="1" allowOverlap="1" wp14:anchorId="511D044D" wp14:editId="613ACC1F">
                      <wp:simplePos x="0" y="0"/>
                      <wp:positionH relativeFrom="column">
                        <wp:posOffset>3837305</wp:posOffset>
                      </wp:positionH>
                      <wp:positionV relativeFrom="paragraph">
                        <wp:posOffset>31115</wp:posOffset>
                      </wp:positionV>
                      <wp:extent cx="761365" cy="400050"/>
                      <wp:effectExtent l="0" t="0" r="0" b="0"/>
                      <wp:wrapNone/>
                      <wp:docPr id="235" name="Rectángulo 36"/>
                      <wp:cNvGraphicFramePr/>
                      <a:graphic xmlns:a="http://schemas.openxmlformats.org/drawingml/2006/main">
                        <a:graphicData uri="http://schemas.microsoft.com/office/word/2010/wordprocessingShape">
                          <wps:wsp>
                            <wps:cNvSpPr/>
                            <wps:spPr>
                              <a:xfrm>
                                <a:off x="0" y="0"/>
                                <a:ext cx="761365"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511D044D" id="_x0000_s1059" style="position:absolute;left:0;text-align:left;margin-left:302.15pt;margin-top:2.45pt;width:59.95pt;height:31.5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Ahora</w:t>
                            </w:r>
                          </w:p>
                        </w:txbxContent>
                      </v:textbox>
                    </v:rect>
                  </w:pict>
                </mc:Fallback>
              </mc:AlternateContent>
            </w:r>
            <w:r w:rsidRPr="00165651">
              <w:rPr>
                <w:rFonts w:cstheme="minorHAnsi"/>
                <w:noProof/>
                <w:color w:val="000000" w:themeColor="text1"/>
                <w:sz w:val="16"/>
                <w:szCs w:val="16"/>
              </w:rPr>
              <mc:AlternateContent>
                <mc:Choice Requires="wps">
                  <w:drawing>
                    <wp:anchor distT="0" distB="0" distL="114300" distR="114300" simplePos="0" relativeHeight="251750400" behindDoc="0" locked="0" layoutInCell="1" allowOverlap="1" wp14:anchorId="27B5AC69" wp14:editId="7FA4083D">
                      <wp:simplePos x="0" y="0"/>
                      <wp:positionH relativeFrom="column">
                        <wp:posOffset>925830</wp:posOffset>
                      </wp:positionH>
                      <wp:positionV relativeFrom="paragraph">
                        <wp:posOffset>82550</wp:posOffset>
                      </wp:positionV>
                      <wp:extent cx="728980" cy="400050"/>
                      <wp:effectExtent l="0" t="0" r="0" b="0"/>
                      <wp:wrapNone/>
                      <wp:docPr id="234" name="Rectángulo 35"/>
                      <wp:cNvGraphicFramePr/>
                      <a:graphic xmlns:a="http://schemas.openxmlformats.org/drawingml/2006/main">
                        <a:graphicData uri="http://schemas.microsoft.com/office/word/2010/wordprocessingShape">
                          <wps:wsp>
                            <wps:cNvSpPr/>
                            <wps:spPr>
                              <a:xfrm>
                                <a:off x="0" y="0"/>
                                <a:ext cx="728980" cy="400050"/>
                              </a:xfrm>
                              <a:prstGeom prst="rect">
                                <a:avLst/>
                              </a:prstGeom>
                            </wps:spPr>
                            <wps:txbx>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w14:anchorId="27B5AC69" id="_x0000_s1060" style="position:absolute;left:0;text-align:left;margin-left:72.9pt;margin-top:6.5pt;width:57.4pt;height:31.5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" filled="f" stroked="f">
                      <v:textbox style="mso-fit-shape-to-text:t">
                        <w:txbxContent>
                          <w:p w:rsidR="009D1EA7" w:rsidRDefault="009D1EA7" w:rsidP="00EB3BC8">
                            <w:pPr>
                              <w:pStyle w:val="NormalWeb"/>
                              <w:textAlignment w:val="baseline"/>
                            </w:pPr>
                            <w:r>
                              <w:rPr>
                                <w:rFonts w:ascii="Calibri" w:hAnsi="Calibri" w:cs="Arial"/>
                                <w:b/>
                                <w:bCs/>
                                <w:color w:val="000000" w:themeColor="text1"/>
                                <w:kern w:val="24"/>
                                <w:lang w:val="es-ES"/>
                              </w:rPr>
                              <w:t>Antes</w:t>
                            </w:r>
                          </w:p>
                        </w:txbxContent>
                      </v:textbox>
                    </v:rect>
                  </w:pict>
                </mc:Fallback>
              </mc:AlternateContent>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w:drawing>
                <wp:anchor distT="0" distB="0" distL="114300" distR="114300" simplePos="0" relativeHeight="251752448" behindDoc="0" locked="0" layoutInCell="1" allowOverlap="1" wp14:anchorId="52DD1308" wp14:editId="062FF1F3">
                  <wp:simplePos x="0" y="0"/>
                  <wp:positionH relativeFrom="column">
                    <wp:posOffset>-9525</wp:posOffset>
                  </wp:positionH>
                  <wp:positionV relativeFrom="paragraph">
                    <wp:posOffset>137795</wp:posOffset>
                  </wp:positionV>
                  <wp:extent cx="2716530" cy="1996440"/>
                  <wp:effectExtent l="57150" t="57150" r="121920" b="118110"/>
                  <wp:wrapNone/>
                  <wp:docPr id="15363" name="Imagen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Imagen 488"/>
                          <pic:cNvPicPr>
                            <a:picLocks noChangeAspect="1" noChangeArrowheads="1"/>
                          </pic:cNvPicPr>
                        </pic:nvPicPr>
                        <pic:blipFill>
                          <a:blip r:embed="rId196">
                            <a:lum contrast="20000"/>
                            <a:extLst>
                              <a:ext uri="{28A0092B-C50C-407E-A947-70E740481C1C}">
                                <a14:useLocalDpi xmlns:a14="http://schemas.microsoft.com/office/drawing/2010/main" val="0"/>
                              </a:ext>
                            </a:extLst>
                          </a:blip>
                          <a:srcRect/>
                          <a:stretch>
                            <a:fillRect/>
                          </a:stretch>
                        </pic:blipFill>
                        <pic:spPr bwMode="auto">
                          <a:xfrm>
                            <a:off x="0" y="0"/>
                            <a:ext cx="2716530" cy="1996440"/>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p>
          <w:p w:rsidR="00EB3BC8" w:rsidRPr="00165651" w:rsidRDefault="00EB3BC8" w:rsidP="005E52E0">
            <w:pPr>
              <w:jc w:val="both"/>
              <w:rPr>
                <w:rFonts w:cstheme="minorHAnsi"/>
                <w:color w:val="000000" w:themeColor="text1"/>
                <w:sz w:val="16"/>
                <w:szCs w:val="16"/>
                <w:lang w:val="es-CO" w:eastAsia="es-CO"/>
              </w:rPr>
            </w:pPr>
            <w:r w:rsidRPr="00165651">
              <w:rPr>
                <w:rFonts w:cstheme="minorHAnsi"/>
                <w:noProof/>
                <w:color w:val="000000" w:themeColor="text1"/>
                <w:sz w:val="16"/>
                <w:szCs w:val="16"/>
              </w:rPr>
              <w:drawing>
                <wp:anchor distT="0" distB="0" distL="114300" distR="114300" simplePos="0" relativeHeight="251753472" behindDoc="0" locked="0" layoutInCell="1" allowOverlap="1" wp14:anchorId="7861BB29" wp14:editId="58560376">
                  <wp:simplePos x="0" y="0"/>
                  <wp:positionH relativeFrom="column">
                    <wp:posOffset>2881630</wp:posOffset>
                  </wp:positionH>
                  <wp:positionV relativeFrom="paragraph">
                    <wp:posOffset>32385</wp:posOffset>
                  </wp:positionV>
                  <wp:extent cx="2701290" cy="1971675"/>
                  <wp:effectExtent l="57150" t="57150" r="118110" b="123825"/>
                  <wp:wrapNone/>
                  <wp:docPr id="15366" name="Imagen 13" descr="C:\Users\Administrador\Desktop\FOTOS DE RECORRIDOS DIARIOS\FOTOS 2015\MARZO 2015\SEMANA 73\25MAR2015\ING ELIZABETH\P1080482.JPG"/>
                  <wp:cNvGraphicFramePr/>
                  <a:graphic xmlns:a="http://schemas.openxmlformats.org/drawingml/2006/main">
                    <a:graphicData uri="http://schemas.openxmlformats.org/drawingml/2006/picture">
                      <pic:pic xmlns:pic="http://schemas.openxmlformats.org/drawingml/2006/picture">
                        <pic:nvPicPr>
                          <pic:cNvPr id="14" name="Imagen 13" descr="C:\Users\Administrador\Desktop\FOTOS DE RECORRIDOS DIARIOS\FOTOS 2015\MARZO 2015\SEMANA 73\25MAR2015\ING ELIZABETH\P1080482.JPG"/>
                          <pic:cNvPicPr/>
                        </pic:nvPicPr>
                        <pic:blipFill rotWithShape="1">
                          <a:blip r:embed="rId197" cstate="print">
                            <a:lum contrast="20000"/>
                            <a:extLst>
                              <a:ext uri="{28A0092B-C50C-407E-A947-70E740481C1C}">
                                <a14:useLocalDpi xmlns:a14="http://schemas.microsoft.com/office/drawing/2010/main" val="0"/>
                              </a:ext>
                            </a:extLst>
                          </a:blip>
                          <a:srcRect l="-6"/>
                          <a:stretch/>
                        </pic:blipFill>
                        <pic:spPr bwMode="auto">
                          <a:xfrm>
                            <a:off x="0" y="0"/>
                            <a:ext cx="2701290" cy="1971675"/>
                          </a:xfrm>
                          <a:prstGeom prst="rect">
                            <a:avLst/>
                          </a:prstGeom>
                          <a:noFill/>
                          <a:ln w="9525" cap="flat" cmpd="sng" algn="ctr">
                            <a:solidFill>
                              <a:sysClr val="window" lastClr="FFFFFF">
                                <a:lumMod val="50000"/>
                              </a:sys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p w:rsidR="00EB3BC8" w:rsidRPr="00165651" w:rsidRDefault="00EB3BC8" w:rsidP="005E52E0">
            <w:pPr>
              <w:jc w:val="both"/>
              <w:rPr>
                <w:rFonts w:cstheme="minorHAnsi"/>
                <w:color w:val="000000" w:themeColor="text1"/>
                <w:sz w:val="16"/>
                <w:szCs w:val="16"/>
                <w:lang w:val="es-CO" w:eastAsia="es-CO"/>
              </w:rPr>
            </w:pPr>
          </w:p>
        </w:tc>
      </w:tr>
    </w:tbl>
    <w:p w:rsidR="00EB3BC8" w:rsidRPr="00165651" w:rsidRDefault="00EB3BC8" w:rsidP="00EB3BC8">
      <w:pPr>
        <w:spacing w:before="120" w:after="0" w:line="240" w:lineRule="auto"/>
        <w:jc w:val="both"/>
        <w:rPr>
          <w:rFonts w:eastAsia="Times New Roman" w:cstheme="minorHAnsi"/>
          <w:b/>
          <w:color w:val="31849B" w:themeColor="accent5" w:themeShade="BF"/>
          <w:sz w:val="28"/>
          <w:szCs w:val="20"/>
          <w14:shadow w14:blurRad="50800" w14:dist="38100" w14:dir="2700000" w14:sx="100000" w14:sy="100000" w14:kx="0" w14:ky="0" w14:algn="tl">
            <w14:srgbClr w14:val="000000">
              <w14:alpha w14:val="60000"/>
            </w14:srgbClr>
          </w14:shadow>
          <w14:textOutline w14:w="3175" w14:cap="rnd" w14:cmpd="sng" w14:algn="ctr">
            <w14:solidFill>
              <w14:schemeClr w14:val="accent2">
                <w14:alpha w14:val="60000"/>
                <w14:lumMod w14:val="75000"/>
              </w14:schemeClr>
            </w14:solidFill>
            <w14:prstDash w14:val="solid"/>
            <w14:bevel/>
          </w14:textOutline>
          <w14:props3d w14:extrusionH="0" w14:contourW="0" w14:prstMaterial="warmMatte">
            <w14:bevelT w14:w="165100" w14:h="0" w14:prst="circle"/>
          </w14:props3d>
        </w:rPr>
      </w:pPr>
    </w:p>
    <w:p w:rsidR="00EB3BC8" w:rsidRPr="00165651" w:rsidRDefault="00EB3BC8" w:rsidP="00EB3BC8">
      <w:pPr>
        <w:spacing w:line="240" w:lineRule="auto"/>
        <w:jc w:val="both"/>
        <w:rPr>
          <w:rFonts w:cstheme="minorHAnsi"/>
          <w:noProof/>
          <w:lang w:eastAsia="es-MX"/>
        </w:rPr>
      </w:pPr>
    </w:p>
    <w:p w:rsidR="00EB3BC8" w:rsidRPr="00165651" w:rsidRDefault="00EB3BC8" w:rsidP="00EB3BC8">
      <w:pPr>
        <w:spacing w:line="240" w:lineRule="auto"/>
        <w:jc w:val="both"/>
        <w:rPr>
          <w:rFonts w:cstheme="minorHAnsi"/>
          <w:noProof/>
          <w:lang w:eastAsia="es-MX"/>
        </w:rPr>
      </w:pPr>
    </w:p>
    <w:p w:rsidR="00EB3BC8" w:rsidRPr="00165651" w:rsidRDefault="00EB3BC8" w:rsidP="00EB3BC8">
      <w:pPr>
        <w:spacing w:line="240" w:lineRule="auto"/>
        <w:rPr>
          <w:rFonts w:eastAsia="Times New Roman" w:cstheme="minorHAnsi"/>
          <w:sz w:val="20"/>
          <w:szCs w:val="20"/>
        </w:rPr>
      </w:pPr>
    </w:p>
    <w:p w:rsidR="00EB3BC8" w:rsidRPr="00165651" w:rsidRDefault="00EB3BC8" w:rsidP="00EB3BC8">
      <w:pPr>
        <w:spacing w:line="240" w:lineRule="auto"/>
        <w:rPr>
          <w:rFonts w:eastAsia="Times New Roman" w:cstheme="minorHAnsi"/>
          <w:sz w:val="20"/>
          <w:szCs w:val="20"/>
        </w:rPr>
      </w:pPr>
    </w:p>
    <w:p w:rsidR="00EB3BC8" w:rsidRPr="00165651" w:rsidRDefault="00EB3BC8" w:rsidP="00EB3BC8">
      <w:pPr>
        <w:spacing w:line="240" w:lineRule="auto"/>
        <w:rPr>
          <w:rFonts w:eastAsiaTheme="minorHAnsi" w:cstheme="minorHAnsi"/>
          <w:b/>
          <w:bCs/>
          <w:smallCaps/>
          <w:color w:val="595959" w:themeColor="text1" w:themeTint="A6"/>
        </w:rPr>
      </w:pPr>
    </w:p>
    <w:p w:rsidR="00EB3BC8" w:rsidRPr="00165651" w:rsidRDefault="00EB3BC8" w:rsidP="00EB3BC8">
      <w:pPr>
        <w:rPr>
          <w:rFonts w:cstheme="minorHAnsi"/>
        </w:rPr>
      </w:pPr>
    </w:p>
    <w:p w:rsidR="00861A50" w:rsidRDefault="00861A50" w:rsidP="00861A50">
      <w:pPr>
        <w:jc w:val="both"/>
      </w:pPr>
    </w:p>
    <w:p w:rsidR="0016774A" w:rsidRPr="00EB3BC8" w:rsidRDefault="0016774A" w:rsidP="0016774A">
      <w:pPr>
        <w:jc w:val="center"/>
        <w:rPr>
          <w:b/>
          <w:color w:val="00B0F0"/>
          <w:sz w:val="32"/>
          <w:szCs w:val="26"/>
        </w:rPr>
      </w:pPr>
      <w:r w:rsidRPr="00EB3BC8">
        <w:rPr>
          <w:b/>
          <w:color w:val="00B0F0"/>
          <w:sz w:val="32"/>
          <w:szCs w:val="26"/>
        </w:rPr>
        <w:lastRenderedPageBreak/>
        <w:t xml:space="preserve">AVANCES VICEPRESIDENCIA </w:t>
      </w:r>
      <w:r>
        <w:rPr>
          <w:b/>
          <w:color w:val="00B0F0"/>
          <w:sz w:val="32"/>
          <w:szCs w:val="26"/>
        </w:rPr>
        <w:t>EJECUTIVA</w:t>
      </w:r>
    </w:p>
    <w:p w:rsidR="00340FB6" w:rsidRPr="0028625C" w:rsidRDefault="0028625C" w:rsidP="0028625C">
      <w:pPr>
        <w:spacing w:line="240" w:lineRule="auto"/>
        <w:jc w:val="both"/>
        <w:rPr>
          <w:rFonts w:eastAsia="Times New Roman" w:cs="Calibri"/>
          <w:b/>
          <w:color w:val="000000"/>
          <w:u w:val="single"/>
        </w:rPr>
      </w:pPr>
      <w:r>
        <w:rPr>
          <w:rFonts w:eastAsia="Times New Roman" w:cs="Calibri"/>
          <w:b/>
          <w:color w:val="000000"/>
          <w:u w:val="single"/>
        </w:rPr>
        <w:t>1. P</w:t>
      </w:r>
      <w:r w:rsidR="00340FB6" w:rsidRPr="0028625C">
        <w:rPr>
          <w:rFonts w:eastAsia="Times New Roman" w:cs="Calibri"/>
          <w:b/>
          <w:color w:val="000000"/>
          <w:u w:val="single"/>
        </w:rPr>
        <w:t>ROYECTO RUTA DEL SOL SECTOR 3</w:t>
      </w:r>
    </w:p>
    <w:p w:rsidR="00340FB6" w:rsidRPr="002C5180" w:rsidRDefault="00340FB6" w:rsidP="00340FB6">
      <w:pPr>
        <w:spacing w:after="160" w:line="259" w:lineRule="auto"/>
        <w:jc w:val="center"/>
        <w:rPr>
          <w:rFonts w:ascii="Calibri" w:eastAsia="Calibri" w:hAnsi="Calibri"/>
          <w:b/>
          <w:lang w:val="es-MX" w:eastAsia="en-US"/>
        </w:rPr>
      </w:pPr>
    </w:p>
    <w:p w:rsidR="00340FB6" w:rsidRPr="009353DC" w:rsidRDefault="00340FB6" w:rsidP="00340FB6">
      <w:pPr>
        <w:spacing w:after="160" w:line="259" w:lineRule="auto"/>
        <w:jc w:val="both"/>
        <w:rPr>
          <w:rFonts w:eastAsia="Calibri" w:cstheme="minorHAnsi"/>
          <w:b/>
          <w:lang w:val="es-MX" w:eastAsia="en-US"/>
        </w:rPr>
      </w:pPr>
      <w:r w:rsidRPr="009353DC">
        <w:rPr>
          <w:rFonts w:eastAsia="Calibri" w:cstheme="minorHAnsi"/>
          <w:b/>
          <w:lang w:val="es-MX" w:eastAsia="en-US"/>
        </w:rPr>
        <w:t>Mejoramiento y construcción</w:t>
      </w:r>
    </w:p>
    <w:p w:rsidR="00340FB6" w:rsidRPr="009353DC" w:rsidRDefault="00340FB6" w:rsidP="00340FB6">
      <w:pPr>
        <w:spacing w:after="160" w:line="259" w:lineRule="auto"/>
        <w:jc w:val="both"/>
        <w:rPr>
          <w:rFonts w:eastAsia="Calibri" w:cstheme="minorHAnsi"/>
          <w:lang w:val="es-MX" w:eastAsia="en-US"/>
        </w:rPr>
      </w:pPr>
      <w:r w:rsidRPr="009353DC">
        <w:rPr>
          <w:rFonts w:eastAsia="Calibri" w:cstheme="minorHAnsi"/>
          <w:lang w:val="es-MX" w:eastAsia="en-US"/>
        </w:rPr>
        <w:t>A partir de la suscripción del Otrosí No.04 del 17 de abril de 2015, en firme el 5 de mayo de 2015 del Contrato 007 de 2010, la programación y el reporte de metas, control y seguimiento avance y medidas de apremio se encuentran en segunda capa y se podrán realizarse en cualquiera de los hitos del proyecto.</w:t>
      </w:r>
    </w:p>
    <w:p w:rsidR="00340FB6" w:rsidRPr="009353DC" w:rsidRDefault="00340FB6" w:rsidP="00340FB6">
      <w:pPr>
        <w:spacing w:after="160" w:line="259" w:lineRule="auto"/>
        <w:jc w:val="both"/>
        <w:rPr>
          <w:rFonts w:eastAsia="Calibri" w:cstheme="minorHAnsi"/>
          <w:lang w:val="es-MX" w:eastAsia="en-US"/>
        </w:rPr>
      </w:pPr>
      <w:r w:rsidRPr="009353DC">
        <w:rPr>
          <w:rFonts w:eastAsia="Calibri" w:cstheme="minorHAnsi"/>
          <w:lang w:val="es-MX" w:eastAsia="en-US"/>
        </w:rPr>
        <w:t>Por lo anterior, se unificaron todos los reportes en segunda capa o capa de rodadura terminada.</w:t>
      </w:r>
    </w:p>
    <w:p w:rsidR="00340FB6" w:rsidRPr="009353DC" w:rsidRDefault="00340FB6" w:rsidP="00340FB6">
      <w:pPr>
        <w:spacing w:after="160" w:line="259" w:lineRule="auto"/>
        <w:jc w:val="both"/>
        <w:rPr>
          <w:rFonts w:eastAsia="Calibri" w:cstheme="minorHAnsi"/>
          <w:lang w:val="es-MX" w:eastAsia="en-US"/>
        </w:rPr>
      </w:pPr>
      <w:r w:rsidRPr="009353DC">
        <w:rPr>
          <w:rFonts w:eastAsia="Calibri" w:cstheme="minorHAnsi"/>
          <w:lang w:val="es-MX" w:eastAsia="en-US"/>
        </w:rPr>
        <w:t>Para el año 2014, se tiene para construcción en segunda capa un acumulado de 15,02 km y para mejoramiento un acumulado de 114,59 km</w:t>
      </w:r>
    </w:p>
    <w:p w:rsidR="00340FB6" w:rsidRPr="009353DC" w:rsidRDefault="00340FB6" w:rsidP="00340FB6">
      <w:pPr>
        <w:spacing w:after="160" w:line="259" w:lineRule="auto"/>
        <w:jc w:val="both"/>
        <w:rPr>
          <w:rFonts w:eastAsia="Calibri" w:cstheme="minorHAnsi"/>
          <w:lang w:val="es-MX" w:eastAsia="en-US"/>
        </w:rPr>
      </w:pPr>
      <w:r w:rsidRPr="009353DC">
        <w:rPr>
          <w:rFonts w:eastAsia="Calibri" w:cstheme="minorHAnsi"/>
          <w:lang w:val="es-MX" w:eastAsia="en-US"/>
        </w:rPr>
        <w:t>Para el año 2015, a junio 30 se tiene un acumulado de construcción en segunda capa de 63,60 km y de mejoramiento de 6,04 km.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985"/>
        <w:gridCol w:w="1843"/>
        <w:gridCol w:w="1603"/>
      </w:tblGrid>
      <w:tr w:rsidR="00340FB6" w:rsidRPr="009353DC" w:rsidTr="00340FB6">
        <w:trPr>
          <w:jc w:val="center"/>
        </w:trPr>
        <w:tc>
          <w:tcPr>
            <w:tcW w:w="3397" w:type="dxa"/>
            <w:shd w:val="clear" w:color="auto" w:fill="auto"/>
            <w:vAlign w:val="center"/>
          </w:tcPr>
          <w:p w:rsidR="00340FB6" w:rsidRPr="009353DC" w:rsidRDefault="00340FB6" w:rsidP="00340FB6">
            <w:pPr>
              <w:jc w:val="center"/>
              <w:rPr>
                <w:rFonts w:eastAsia="Calibri" w:cstheme="minorHAnsi"/>
                <w:b/>
                <w:lang w:val="es-MX" w:eastAsia="en-US"/>
              </w:rPr>
            </w:pPr>
            <w:r w:rsidRPr="009353DC">
              <w:rPr>
                <w:rFonts w:eastAsia="Calibri" w:cstheme="minorHAnsi"/>
                <w:b/>
                <w:lang w:val="es-MX" w:eastAsia="en-US"/>
              </w:rPr>
              <w:t>Actividad</w:t>
            </w:r>
          </w:p>
        </w:tc>
        <w:tc>
          <w:tcPr>
            <w:tcW w:w="1985" w:type="dxa"/>
            <w:shd w:val="clear" w:color="auto" w:fill="auto"/>
            <w:vAlign w:val="center"/>
          </w:tcPr>
          <w:p w:rsidR="00340FB6" w:rsidRPr="009353DC" w:rsidRDefault="00340FB6" w:rsidP="00340FB6">
            <w:pPr>
              <w:jc w:val="center"/>
              <w:rPr>
                <w:rFonts w:eastAsia="Calibri" w:cstheme="minorHAnsi"/>
                <w:b/>
                <w:lang w:val="es-MX" w:eastAsia="en-US"/>
              </w:rPr>
            </w:pPr>
            <w:r w:rsidRPr="009353DC">
              <w:rPr>
                <w:rFonts w:eastAsia="Calibri" w:cstheme="minorHAnsi"/>
                <w:b/>
                <w:lang w:val="es-MX" w:eastAsia="en-US"/>
              </w:rPr>
              <w:t>2014</w:t>
            </w:r>
          </w:p>
        </w:tc>
        <w:tc>
          <w:tcPr>
            <w:tcW w:w="1843" w:type="dxa"/>
            <w:shd w:val="clear" w:color="auto" w:fill="auto"/>
            <w:vAlign w:val="center"/>
          </w:tcPr>
          <w:p w:rsidR="00340FB6" w:rsidRPr="009353DC" w:rsidRDefault="00340FB6" w:rsidP="00340FB6">
            <w:pPr>
              <w:jc w:val="center"/>
              <w:rPr>
                <w:rFonts w:eastAsia="Calibri" w:cstheme="minorHAnsi"/>
                <w:b/>
                <w:lang w:val="es-MX" w:eastAsia="en-US"/>
              </w:rPr>
            </w:pPr>
            <w:r w:rsidRPr="009353DC">
              <w:rPr>
                <w:rFonts w:eastAsia="Calibri" w:cstheme="minorHAnsi"/>
                <w:b/>
                <w:lang w:val="es-MX" w:eastAsia="en-US"/>
              </w:rPr>
              <w:t>2015</w:t>
            </w:r>
          </w:p>
        </w:tc>
        <w:tc>
          <w:tcPr>
            <w:tcW w:w="1603" w:type="dxa"/>
            <w:shd w:val="clear" w:color="auto" w:fill="auto"/>
            <w:vAlign w:val="center"/>
          </w:tcPr>
          <w:p w:rsidR="00340FB6" w:rsidRPr="009353DC" w:rsidRDefault="00340FB6" w:rsidP="00340FB6">
            <w:pPr>
              <w:jc w:val="center"/>
              <w:rPr>
                <w:rFonts w:eastAsia="Calibri" w:cstheme="minorHAnsi"/>
                <w:b/>
                <w:lang w:val="es-MX" w:eastAsia="en-US"/>
              </w:rPr>
            </w:pPr>
            <w:r w:rsidRPr="009353DC">
              <w:rPr>
                <w:rFonts w:eastAsia="Calibri" w:cstheme="minorHAnsi"/>
                <w:b/>
                <w:lang w:val="es-MX" w:eastAsia="en-US"/>
              </w:rPr>
              <w:t>Total</w:t>
            </w:r>
          </w:p>
        </w:tc>
      </w:tr>
      <w:tr w:rsidR="00340FB6" w:rsidRPr="009353DC" w:rsidTr="00340FB6">
        <w:trPr>
          <w:trHeight w:val="586"/>
          <w:jc w:val="center"/>
        </w:trPr>
        <w:tc>
          <w:tcPr>
            <w:tcW w:w="3397" w:type="dxa"/>
            <w:shd w:val="clear" w:color="auto" w:fill="5B9BD5"/>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Meta Construcción Segunda Calzada Otrosí 4</w:t>
            </w:r>
          </w:p>
        </w:tc>
        <w:tc>
          <w:tcPr>
            <w:tcW w:w="1985" w:type="dxa"/>
            <w:shd w:val="clear" w:color="auto" w:fill="5B9BD5"/>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15,02</w:t>
            </w:r>
          </w:p>
        </w:tc>
        <w:tc>
          <w:tcPr>
            <w:tcW w:w="1843" w:type="dxa"/>
            <w:shd w:val="clear" w:color="auto" w:fill="5B9BD5"/>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145,37</w:t>
            </w:r>
          </w:p>
        </w:tc>
        <w:tc>
          <w:tcPr>
            <w:tcW w:w="1603" w:type="dxa"/>
            <w:shd w:val="clear" w:color="auto" w:fill="5B9BD5"/>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160,39</w:t>
            </w:r>
          </w:p>
        </w:tc>
      </w:tr>
      <w:tr w:rsidR="00340FB6" w:rsidRPr="009353DC" w:rsidTr="00340FB6">
        <w:trPr>
          <w:trHeight w:val="586"/>
          <w:jc w:val="center"/>
        </w:trPr>
        <w:tc>
          <w:tcPr>
            <w:tcW w:w="3397" w:type="dxa"/>
            <w:shd w:val="clear" w:color="auto" w:fill="E2EFD9"/>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Avance Construcción Segunda Calzada</w:t>
            </w:r>
          </w:p>
        </w:tc>
        <w:tc>
          <w:tcPr>
            <w:tcW w:w="1985" w:type="dxa"/>
            <w:shd w:val="clear" w:color="auto" w:fill="E2EFD9"/>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15,02</w:t>
            </w:r>
          </w:p>
        </w:tc>
        <w:tc>
          <w:tcPr>
            <w:tcW w:w="1843" w:type="dxa"/>
            <w:shd w:val="clear" w:color="auto" w:fill="E2EFD9"/>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63,60</w:t>
            </w:r>
          </w:p>
        </w:tc>
        <w:tc>
          <w:tcPr>
            <w:tcW w:w="1603" w:type="dxa"/>
            <w:shd w:val="clear" w:color="auto" w:fill="E2EFD9"/>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78,62</w:t>
            </w:r>
          </w:p>
        </w:tc>
      </w:tr>
      <w:tr w:rsidR="00340FB6" w:rsidRPr="009353DC" w:rsidTr="00340FB6">
        <w:trPr>
          <w:trHeight w:val="586"/>
          <w:jc w:val="center"/>
        </w:trPr>
        <w:tc>
          <w:tcPr>
            <w:tcW w:w="3397" w:type="dxa"/>
            <w:shd w:val="clear" w:color="auto" w:fill="5B9BD5"/>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Meta Mejoramiento Otrosí 4</w:t>
            </w:r>
          </w:p>
        </w:tc>
        <w:tc>
          <w:tcPr>
            <w:tcW w:w="1985" w:type="dxa"/>
            <w:shd w:val="clear" w:color="auto" w:fill="5B9BD5"/>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114,59</w:t>
            </w:r>
          </w:p>
        </w:tc>
        <w:tc>
          <w:tcPr>
            <w:tcW w:w="1843" w:type="dxa"/>
            <w:shd w:val="clear" w:color="auto" w:fill="5B9BD5"/>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26,84</w:t>
            </w:r>
          </w:p>
        </w:tc>
        <w:tc>
          <w:tcPr>
            <w:tcW w:w="1603" w:type="dxa"/>
            <w:shd w:val="clear" w:color="auto" w:fill="5B9BD5"/>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141,43</w:t>
            </w:r>
          </w:p>
        </w:tc>
      </w:tr>
      <w:tr w:rsidR="00340FB6" w:rsidRPr="009353DC" w:rsidTr="00340FB6">
        <w:trPr>
          <w:trHeight w:val="586"/>
          <w:jc w:val="center"/>
        </w:trPr>
        <w:tc>
          <w:tcPr>
            <w:tcW w:w="3397" w:type="dxa"/>
            <w:shd w:val="clear" w:color="auto" w:fill="E2EFD9"/>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Avance Mejoramiento</w:t>
            </w:r>
          </w:p>
        </w:tc>
        <w:tc>
          <w:tcPr>
            <w:tcW w:w="1985" w:type="dxa"/>
            <w:shd w:val="clear" w:color="auto" w:fill="E2EFD9"/>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114,59</w:t>
            </w:r>
          </w:p>
        </w:tc>
        <w:tc>
          <w:tcPr>
            <w:tcW w:w="1843" w:type="dxa"/>
            <w:shd w:val="clear" w:color="auto" w:fill="E2EFD9"/>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6,04</w:t>
            </w:r>
          </w:p>
        </w:tc>
        <w:tc>
          <w:tcPr>
            <w:tcW w:w="1603" w:type="dxa"/>
            <w:shd w:val="clear" w:color="auto" w:fill="E2EFD9"/>
            <w:vAlign w:val="center"/>
          </w:tcPr>
          <w:p w:rsidR="00340FB6" w:rsidRPr="009353DC" w:rsidRDefault="00340FB6" w:rsidP="00340FB6">
            <w:pPr>
              <w:jc w:val="center"/>
              <w:rPr>
                <w:rFonts w:eastAsia="Calibri" w:cstheme="minorHAnsi"/>
                <w:lang w:val="es-MX" w:eastAsia="en-US"/>
              </w:rPr>
            </w:pPr>
            <w:r w:rsidRPr="009353DC">
              <w:rPr>
                <w:rFonts w:eastAsia="Calibri" w:cstheme="minorHAnsi"/>
                <w:lang w:val="es-MX" w:eastAsia="en-US"/>
              </w:rPr>
              <w:t>120,63</w:t>
            </w:r>
          </w:p>
        </w:tc>
      </w:tr>
    </w:tbl>
    <w:p w:rsidR="00340FB6" w:rsidRPr="009353DC" w:rsidRDefault="00340FB6" w:rsidP="00340FB6">
      <w:pPr>
        <w:spacing w:after="160" w:line="259" w:lineRule="auto"/>
        <w:jc w:val="both"/>
        <w:rPr>
          <w:rFonts w:eastAsia="Calibri" w:cstheme="minorHAnsi"/>
          <w:lang w:val="es-MX" w:eastAsia="en-US"/>
        </w:rPr>
      </w:pPr>
    </w:p>
    <w:p w:rsidR="00340FB6" w:rsidRPr="009353DC" w:rsidRDefault="00340FB6" w:rsidP="00340FB6">
      <w:pPr>
        <w:spacing w:after="160" w:line="259" w:lineRule="auto"/>
        <w:jc w:val="both"/>
        <w:rPr>
          <w:rFonts w:eastAsia="Calibri" w:cstheme="minorHAnsi"/>
          <w:b/>
          <w:lang w:val="es-MX" w:eastAsia="en-US"/>
        </w:rPr>
      </w:pPr>
      <w:r w:rsidRPr="009353DC">
        <w:rPr>
          <w:rFonts w:eastAsia="Calibri" w:cstheme="minorHAnsi"/>
          <w:b/>
          <w:lang w:val="es-MX" w:eastAsia="en-US"/>
        </w:rPr>
        <w:t>Mantenimiento Rutinario</w:t>
      </w:r>
    </w:p>
    <w:p w:rsidR="00340FB6" w:rsidRPr="009353DC" w:rsidRDefault="00340FB6" w:rsidP="00340FB6">
      <w:pPr>
        <w:spacing w:after="160" w:line="259" w:lineRule="auto"/>
        <w:jc w:val="both"/>
        <w:rPr>
          <w:rFonts w:eastAsia="Calibri" w:cstheme="minorHAnsi"/>
          <w:lang w:val="es-MX" w:eastAsia="en-US"/>
        </w:rPr>
      </w:pPr>
      <w:r w:rsidRPr="009353DC">
        <w:rPr>
          <w:rFonts w:eastAsia="Calibri" w:cstheme="minorHAnsi"/>
          <w:lang w:val="es-MX" w:eastAsia="en-US"/>
        </w:rPr>
        <w:t>Yuma Concesionaria S.A, según lo reportado por la interventoría ha venido adelantando tareas de mantenimiento y operación de todo el sector, las cuales se evalúan periódicamente a través de indicadores.</w:t>
      </w:r>
    </w:p>
    <w:p w:rsidR="00340FB6" w:rsidRPr="009353DC" w:rsidRDefault="00340FB6" w:rsidP="00340FB6">
      <w:pPr>
        <w:spacing w:after="160" w:line="259" w:lineRule="auto"/>
        <w:jc w:val="both"/>
        <w:rPr>
          <w:rFonts w:eastAsia="Calibri" w:cstheme="minorHAnsi"/>
          <w:b/>
          <w:lang w:val="es-MX" w:eastAsia="en-US"/>
        </w:rPr>
      </w:pPr>
      <w:r w:rsidRPr="009353DC">
        <w:rPr>
          <w:rFonts w:eastAsia="Calibri" w:cstheme="minorHAnsi"/>
          <w:b/>
          <w:lang w:val="es-MX" w:eastAsia="en-US"/>
        </w:rPr>
        <w:t>Comités de Seguimiento</w:t>
      </w:r>
    </w:p>
    <w:p w:rsidR="00340FB6" w:rsidRPr="009353DC" w:rsidRDefault="00340FB6" w:rsidP="00340FB6">
      <w:pPr>
        <w:spacing w:after="160" w:line="259" w:lineRule="auto"/>
        <w:jc w:val="both"/>
        <w:rPr>
          <w:rFonts w:eastAsia="Calibri" w:cstheme="minorHAnsi"/>
          <w:b/>
          <w:lang w:val="es-MX" w:eastAsia="en-US"/>
        </w:rPr>
      </w:pPr>
      <w:r w:rsidRPr="009353DC">
        <w:rPr>
          <w:rFonts w:eastAsia="Calibri" w:cstheme="minorHAnsi"/>
          <w:lang w:val="es-MX" w:eastAsia="en-US"/>
        </w:rPr>
        <w:t>El equipo de supervisión de Ruta del Sol sector tres, tiene programada sus reuniones para los días martes a las 11:00 a.m, lo cuales algunos se deben suspender debido a programación de recorridos por parte de los entes de control o debido a reuniones programadas por la Alta Gerencia, en todo caso a 30 de junio de 2015 se lleva el 62% del cumplimiento de la meta.</w:t>
      </w:r>
    </w:p>
    <w:p w:rsidR="00340FB6" w:rsidRPr="002C5180" w:rsidRDefault="00340FB6" w:rsidP="00340FB6">
      <w:pPr>
        <w:rPr>
          <w:rFonts w:ascii="Calibri" w:hAnsi="Calibri"/>
          <w:bCs/>
          <w:spacing w:val="-3"/>
        </w:rPr>
      </w:pPr>
      <w:r w:rsidRPr="002C5180">
        <w:rPr>
          <w:rFonts w:ascii="Calibri" w:hAnsi="Calibri"/>
          <w:bCs/>
          <w:spacing w:val="-3"/>
        </w:rPr>
        <w:br w:type="page"/>
      </w:r>
    </w:p>
    <w:p w:rsidR="00340FB6" w:rsidRPr="002C5180" w:rsidRDefault="00340FB6" w:rsidP="00340FB6">
      <w:pPr>
        <w:rPr>
          <w:rFonts w:ascii="Calibri" w:hAnsi="Calibri"/>
          <w:bCs/>
          <w:spacing w:val="-3"/>
        </w:rPr>
      </w:pPr>
    </w:p>
    <w:p w:rsidR="00340FB6" w:rsidRPr="0028625C" w:rsidRDefault="0028625C" w:rsidP="0028625C">
      <w:pPr>
        <w:spacing w:line="240" w:lineRule="auto"/>
        <w:jc w:val="both"/>
        <w:rPr>
          <w:rFonts w:eastAsia="Times New Roman" w:cs="Calibri"/>
          <w:b/>
          <w:color w:val="000000"/>
          <w:u w:val="single"/>
        </w:rPr>
      </w:pPr>
      <w:r w:rsidRPr="0028625C">
        <w:rPr>
          <w:rFonts w:eastAsia="Times New Roman" w:cs="Calibri"/>
          <w:b/>
          <w:color w:val="000000"/>
          <w:u w:val="single"/>
        </w:rPr>
        <w:t>2.</w:t>
      </w:r>
      <w:r w:rsidR="00140337">
        <w:rPr>
          <w:rFonts w:eastAsia="Times New Roman" w:cs="Calibri"/>
          <w:b/>
          <w:color w:val="000000"/>
          <w:u w:val="single"/>
        </w:rPr>
        <w:t xml:space="preserve"> </w:t>
      </w:r>
      <w:r w:rsidRPr="0028625C">
        <w:rPr>
          <w:rFonts w:eastAsia="Times New Roman" w:cs="Calibri"/>
          <w:b/>
          <w:color w:val="000000"/>
          <w:u w:val="single"/>
        </w:rPr>
        <w:t>P</w:t>
      </w:r>
      <w:r w:rsidR="00340FB6" w:rsidRPr="0028625C">
        <w:rPr>
          <w:rFonts w:eastAsia="Times New Roman" w:cs="Calibri"/>
          <w:b/>
          <w:color w:val="000000"/>
          <w:u w:val="single"/>
        </w:rPr>
        <w:t xml:space="preserve">ROYECTO MALLA VIAL DEL </w:t>
      </w:r>
      <w:r w:rsidR="009353DC" w:rsidRPr="0028625C">
        <w:rPr>
          <w:rFonts w:eastAsia="Times New Roman" w:cs="Calibri"/>
          <w:b/>
          <w:color w:val="000000"/>
          <w:u w:val="single"/>
        </w:rPr>
        <w:t>VALLE DEL CAUCA Y CAUCA – MVVCC</w:t>
      </w:r>
    </w:p>
    <w:p w:rsidR="00340FB6" w:rsidRPr="009353DC" w:rsidRDefault="00340FB6" w:rsidP="00340FB6">
      <w:pPr>
        <w:spacing w:after="160"/>
        <w:jc w:val="both"/>
        <w:rPr>
          <w:rFonts w:eastAsia="Calibri" w:cstheme="minorHAnsi"/>
          <w:lang w:eastAsia="en-US"/>
        </w:rPr>
      </w:pPr>
      <w:r w:rsidRPr="009353DC">
        <w:rPr>
          <w:rFonts w:eastAsia="Calibri" w:cstheme="minorHAnsi"/>
          <w:lang w:eastAsia="en-US"/>
        </w:rPr>
        <w:t>El proyecto MVVCC reporta seis (6) tramos en operación y mantenimiento y un (1) tramo en construcción de segunda calzada, correspondiente al Tramo 7 Mediacanoa – Loboguerrero, subdividido en tres sectores, de los cuales los sectores 2 y 3 se encuentran terminados, tal y como se observa en el gráfico No. 1</w:t>
      </w:r>
    </w:p>
    <w:p w:rsidR="00340FB6" w:rsidRPr="009353DC" w:rsidRDefault="00340FB6" w:rsidP="00340FB6">
      <w:pPr>
        <w:jc w:val="center"/>
        <w:rPr>
          <w:rFonts w:eastAsia="Calibri" w:cstheme="minorHAnsi"/>
          <w:b/>
          <w:i/>
          <w:lang w:eastAsia="en-US"/>
        </w:rPr>
      </w:pPr>
      <w:r w:rsidRPr="009353DC">
        <w:rPr>
          <w:rFonts w:eastAsia="Calibri" w:cstheme="minorHAnsi"/>
          <w:b/>
          <w:i/>
          <w:lang w:eastAsia="en-US"/>
        </w:rPr>
        <w:t>Gráfico No. 1 Tramo 7 Mediacanoa - Loboguerrero</w:t>
      </w:r>
    </w:p>
    <w:p w:rsidR="00340FB6" w:rsidRPr="009353DC" w:rsidRDefault="00340FB6" w:rsidP="00340FB6">
      <w:pPr>
        <w:jc w:val="both"/>
        <w:rPr>
          <w:rFonts w:eastAsia="Calibri" w:cstheme="minorHAnsi"/>
          <w:lang w:eastAsia="en-US"/>
        </w:rPr>
      </w:pPr>
      <w:r w:rsidRPr="009353DC">
        <w:rPr>
          <w:rFonts w:eastAsia="Calibri" w:cstheme="minorHAnsi"/>
          <w:noProof/>
        </w:rPr>
        <w:drawing>
          <wp:inline distT="0" distB="0" distL="0" distR="0" wp14:anchorId="76CFB189" wp14:editId="18DAD5A6">
            <wp:extent cx="5400040" cy="3787140"/>
            <wp:effectExtent l="19050" t="19050" r="10160" b="22860"/>
            <wp:docPr id="15380" name="Imagen 1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00040" cy="3787140"/>
                    </a:xfrm>
                    <a:prstGeom prst="rect">
                      <a:avLst/>
                    </a:prstGeom>
                    <a:noFill/>
                    <a:ln w="25400" cmpd="sng">
                      <a:solidFill>
                        <a:srgbClr val="5B9BD5"/>
                      </a:solidFill>
                      <a:miter lim="800000"/>
                      <a:headEnd/>
                      <a:tailEnd/>
                    </a:ln>
                    <a:effectLst/>
                  </pic:spPr>
                </pic:pic>
              </a:graphicData>
            </a:graphic>
          </wp:inline>
        </w:drawing>
      </w:r>
    </w:p>
    <w:p w:rsidR="00340FB6" w:rsidRPr="009353DC" w:rsidRDefault="00340FB6" w:rsidP="00340FB6">
      <w:pPr>
        <w:jc w:val="both"/>
        <w:rPr>
          <w:rFonts w:eastAsia="Calibri" w:cstheme="minorHAnsi"/>
          <w:lang w:eastAsia="en-US"/>
        </w:rPr>
      </w:pPr>
    </w:p>
    <w:p w:rsidR="00340FB6" w:rsidRPr="009353DC" w:rsidRDefault="00340FB6" w:rsidP="00340FB6">
      <w:pPr>
        <w:jc w:val="both"/>
        <w:rPr>
          <w:rFonts w:eastAsia="Calibri" w:cstheme="minorHAnsi"/>
          <w:lang w:eastAsia="en-US"/>
        </w:rPr>
      </w:pPr>
      <w:r w:rsidRPr="009353DC">
        <w:rPr>
          <w:rFonts w:eastAsia="Calibri" w:cstheme="minorHAnsi"/>
          <w:lang w:eastAsia="en-US"/>
        </w:rPr>
        <w:t>Con relación al sector 1, comprendido entre el Km64 al Km81 de la vía Buenaventura – Buga y para efectos de la construcción de segunda calzada, el Concesionario Unión temporal Desarrollo Vial del Valle del Cauca y Cauca - UTDVVCC, solicitó del Instituto Nacional de Vías – INVIAS (previo aval de la interventoría Consorcio INTERCOL SP y la ANI), autorización para el cierre total de la vía para el tránsito automotor en jornadas diarias de doce (12) horas, que se implementarán a partir del mes de Julio.</w:t>
      </w:r>
    </w:p>
    <w:p w:rsidR="00340FB6" w:rsidRPr="009353DC" w:rsidRDefault="00340FB6" w:rsidP="00340FB6">
      <w:pPr>
        <w:spacing w:after="160"/>
        <w:jc w:val="both"/>
        <w:rPr>
          <w:rFonts w:eastAsia="Calibri" w:cstheme="minorHAnsi"/>
          <w:lang w:eastAsia="en-US"/>
        </w:rPr>
      </w:pPr>
    </w:p>
    <w:p w:rsidR="00340FB6" w:rsidRPr="009353DC" w:rsidRDefault="00340FB6" w:rsidP="00340FB6">
      <w:pPr>
        <w:spacing w:after="160"/>
        <w:jc w:val="both"/>
        <w:rPr>
          <w:rFonts w:eastAsia="Calibri" w:cstheme="minorHAnsi"/>
          <w:lang w:eastAsia="en-US"/>
        </w:rPr>
      </w:pPr>
      <w:r w:rsidRPr="009353DC">
        <w:rPr>
          <w:rFonts w:eastAsia="Calibri" w:cstheme="minorHAnsi"/>
          <w:lang w:eastAsia="en-US"/>
        </w:rPr>
        <w:t>Las principales actividades realizadas en el trimestre en materia de construcción corresponden al subsector “La Guaira”, donde se realizaron las siguientes actividades:</w:t>
      </w:r>
    </w:p>
    <w:p w:rsidR="00340FB6" w:rsidRPr="009353DC" w:rsidRDefault="00340FB6" w:rsidP="000021B2">
      <w:pPr>
        <w:numPr>
          <w:ilvl w:val="0"/>
          <w:numId w:val="91"/>
        </w:numPr>
        <w:spacing w:after="160" w:line="259" w:lineRule="auto"/>
        <w:contextualSpacing/>
        <w:jc w:val="both"/>
        <w:rPr>
          <w:rFonts w:eastAsia="Calibri" w:cstheme="minorHAnsi"/>
          <w:lang w:eastAsia="en-US"/>
        </w:rPr>
      </w:pPr>
      <w:r w:rsidRPr="009353DC">
        <w:rPr>
          <w:rFonts w:eastAsia="Calibri" w:cstheme="minorHAnsi"/>
          <w:lang w:eastAsia="en-US"/>
        </w:rPr>
        <w:lastRenderedPageBreak/>
        <w:t>Corte de taludes en material común</w:t>
      </w:r>
    </w:p>
    <w:p w:rsidR="00340FB6" w:rsidRPr="009353DC" w:rsidRDefault="00340FB6" w:rsidP="000021B2">
      <w:pPr>
        <w:numPr>
          <w:ilvl w:val="0"/>
          <w:numId w:val="91"/>
        </w:numPr>
        <w:spacing w:after="160" w:line="259" w:lineRule="auto"/>
        <w:contextualSpacing/>
        <w:jc w:val="both"/>
        <w:rPr>
          <w:rFonts w:eastAsia="Calibri" w:cstheme="minorHAnsi"/>
          <w:lang w:eastAsia="en-US"/>
        </w:rPr>
      </w:pPr>
      <w:r w:rsidRPr="009353DC">
        <w:rPr>
          <w:rFonts w:eastAsia="Calibri" w:cstheme="minorHAnsi"/>
          <w:lang w:eastAsia="en-US"/>
        </w:rPr>
        <w:t>Construcción de obras de arte (alcantarillas y pontones)</w:t>
      </w:r>
    </w:p>
    <w:p w:rsidR="00340FB6" w:rsidRPr="009353DC" w:rsidRDefault="00340FB6" w:rsidP="000021B2">
      <w:pPr>
        <w:numPr>
          <w:ilvl w:val="0"/>
          <w:numId w:val="91"/>
        </w:numPr>
        <w:spacing w:after="160" w:line="259" w:lineRule="auto"/>
        <w:contextualSpacing/>
        <w:jc w:val="both"/>
        <w:rPr>
          <w:rFonts w:eastAsia="Calibri" w:cstheme="minorHAnsi"/>
          <w:lang w:eastAsia="en-US"/>
        </w:rPr>
      </w:pPr>
      <w:r w:rsidRPr="009353DC">
        <w:rPr>
          <w:rFonts w:eastAsia="Calibri" w:cstheme="minorHAnsi"/>
          <w:lang w:eastAsia="en-US"/>
        </w:rPr>
        <w:t>Empradización de taludes</w:t>
      </w:r>
    </w:p>
    <w:p w:rsidR="00340FB6" w:rsidRPr="009353DC" w:rsidRDefault="00340FB6" w:rsidP="000021B2">
      <w:pPr>
        <w:numPr>
          <w:ilvl w:val="0"/>
          <w:numId w:val="91"/>
        </w:numPr>
        <w:spacing w:after="160" w:line="259" w:lineRule="auto"/>
        <w:contextualSpacing/>
        <w:jc w:val="both"/>
        <w:rPr>
          <w:rFonts w:eastAsia="Calibri" w:cstheme="minorHAnsi"/>
          <w:lang w:eastAsia="en-US"/>
        </w:rPr>
      </w:pPr>
      <w:r w:rsidRPr="009353DC">
        <w:rPr>
          <w:rFonts w:eastAsia="Calibri" w:cstheme="minorHAnsi"/>
          <w:lang w:eastAsia="en-US"/>
        </w:rPr>
        <w:t>Conformación y compactación de capas granulares del pavimento</w:t>
      </w:r>
    </w:p>
    <w:p w:rsidR="00340FB6" w:rsidRPr="009353DC" w:rsidRDefault="00340FB6" w:rsidP="000021B2">
      <w:pPr>
        <w:numPr>
          <w:ilvl w:val="0"/>
          <w:numId w:val="91"/>
        </w:numPr>
        <w:spacing w:after="160" w:line="259" w:lineRule="auto"/>
        <w:contextualSpacing/>
        <w:jc w:val="both"/>
        <w:rPr>
          <w:rFonts w:eastAsia="Calibri" w:cstheme="minorHAnsi"/>
          <w:lang w:eastAsia="en-US"/>
        </w:rPr>
      </w:pPr>
      <w:r w:rsidRPr="009353DC">
        <w:rPr>
          <w:rFonts w:eastAsia="Calibri" w:cstheme="minorHAnsi"/>
          <w:lang w:eastAsia="en-US"/>
        </w:rPr>
        <w:t>Conformación de zonas de depósito</w:t>
      </w:r>
    </w:p>
    <w:p w:rsidR="00340FB6" w:rsidRPr="009353DC" w:rsidRDefault="00340FB6" w:rsidP="00340FB6">
      <w:pPr>
        <w:jc w:val="center"/>
        <w:rPr>
          <w:rFonts w:eastAsia="Calibri" w:cstheme="minorHAnsi"/>
          <w:b/>
          <w:i/>
          <w:lang w:eastAsia="en-US"/>
        </w:rPr>
      </w:pPr>
      <w:r w:rsidRPr="009353DC">
        <w:rPr>
          <w:rFonts w:eastAsia="Calibri" w:cstheme="minorHAnsi"/>
          <w:b/>
          <w:i/>
          <w:lang w:eastAsia="en-US"/>
        </w:rPr>
        <w:t>Registro Fotográfico</w:t>
      </w:r>
    </w:p>
    <w:tbl>
      <w:tblPr>
        <w:tblW w:w="0" w:type="auto"/>
        <w:jc w:val="center"/>
        <w:tblCellMar>
          <w:left w:w="70" w:type="dxa"/>
          <w:right w:w="70" w:type="dxa"/>
        </w:tblCellMar>
        <w:tblLook w:val="04A0" w:firstRow="1" w:lastRow="0" w:firstColumn="1" w:lastColumn="0" w:noHBand="0" w:noVBand="1"/>
      </w:tblPr>
      <w:tblGrid>
        <w:gridCol w:w="4475"/>
        <w:gridCol w:w="4353"/>
      </w:tblGrid>
      <w:tr w:rsidR="00340FB6" w:rsidRPr="009353DC" w:rsidTr="00340FB6">
        <w:trPr>
          <w:jc w:val="center"/>
        </w:trPr>
        <w:tc>
          <w:tcPr>
            <w:tcW w:w="4475" w:type="dxa"/>
            <w:shd w:val="clear" w:color="auto" w:fill="auto"/>
          </w:tcPr>
          <w:p w:rsidR="00340FB6" w:rsidRPr="009353DC" w:rsidRDefault="00340FB6" w:rsidP="00340FB6">
            <w:pPr>
              <w:jc w:val="both"/>
              <w:rPr>
                <w:rFonts w:eastAsia="Calibri" w:cstheme="minorHAnsi"/>
                <w:lang w:eastAsia="en-US"/>
              </w:rPr>
            </w:pPr>
            <w:r w:rsidRPr="009353DC">
              <w:rPr>
                <w:rFonts w:eastAsia="Calibri" w:cstheme="minorHAnsi"/>
                <w:noProof/>
              </w:rPr>
              <w:drawing>
                <wp:inline distT="0" distB="0" distL="0" distR="0" wp14:anchorId="1E4304F8" wp14:editId="0C225266">
                  <wp:extent cx="2622550" cy="1975485"/>
                  <wp:effectExtent l="0" t="0" r="6350" b="5715"/>
                  <wp:docPr id="15379" name="Imagen 15379" descr="Foto0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6" descr="Foto0548"/>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622550" cy="1975485"/>
                          </a:xfrm>
                          <a:prstGeom prst="rect">
                            <a:avLst/>
                          </a:prstGeom>
                          <a:noFill/>
                          <a:ln>
                            <a:noFill/>
                          </a:ln>
                        </pic:spPr>
                      </pic:pic>
                    </a:graphicData>
                  </a:graphic>
                </wp:inline>
              </w:drawing>
            </w:r>
          </w:p>
        </w:tc>
        <w:tc>
          <w:tcPr>
            <w:tcW w:w="4353" w:type="dxa"/>
            <w:shd w:val="clear" w:color="auto" w:fill="auto"/>
          </w:tcPr>
          <w:p w:rsidR="00340FB6" w:rsidRPr="009353DC" w:rsidRDefault="00340FB6" w:rsidP="00340FB6">
            <w:pPr>
              <w:jc w:val="both"/>
              <w:rPr>
                <w:rFonts w:eastAsia="Calibri" w:cstheme="minorHAnsi"/>
                <w:lang w:eastAsia="en-US"/>
              </w:rPr>
            </w:pPr>
            <w:r w:rsidRPr="009353DC">
              <w:rPr>
                <w:rFonts w:eastAsia="Calibri" w:cstheme="minorHAnsi"/>
                <w:noProof/>
              </w:rPr>
              <w:drawing>
                <wp:inline distT="0" distB="0" distL="0" distR="0" wp14:anchorId="1BBFBE4A" wp14:editId="25F3EF4E">
                  <wp:extent cx="2613660" cy="1958340"/>
                  <wp:effectExtent l="0" t="0" r="0" b="3810"/>
                  <wp:docPr id="15378" name="Imagen 15378" descr="Foto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8" descr="Foto030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613660" cy="1958340"/>
                          </a:xfrm>
                          <a:prstGeom prst="rect">
                            <a:avLst/>
                          </a:prstGeom>
                          <a:noFill/>
                          <a:ln>
                            <a:noFill/>
                          </a:ln>
                        </pic:spPr>
                      </pic:pic>
                    </a:graphicData>
                  </a:graphic>
                </wp:inline>
              </w:drawing>
            </w:r>
          </w:p>
        </w:tc>
      </w:tr>
      <w:tr w:rsidR="00340FB6" w:rsidRPr="009353DC" w:rsidTr="00340FB6">
        <w:tblPrEx>
          <w:tblCellMar>
            <w:left w:w="108" w:type="dxa"/>
            <w:right w:w="108" w:type="dxa"/>
          </w:tblCellMar>
        </w:tblPrEx>
        <w:trPr>
          <w:jc w:val="center"/>
        </w:trPr>
        <w:tc>
          <w:tcPr>
            <w:tcW w:w="4475" w:type="dxa"/>
            <w:shd w:val="clear" w:color="auto" w:fill="auto"/>
          </w:tcPr>
          <w:p w:rsidR="00340FB6" w:rsidRPr="009353DC" w:rsidRDefault="00340FB6" w:rsidP="00340FB6">
            <w:pPr>
              <w:jc w:val="center"/>
              <w:rPr>
                <w:rFonts w:eastAsia="Calibri" w:cstheme="minorHAnsi"/>
                <w:lang w:eastAsia="en-US"/>
              </w:rPr>
            </w:pPr>
            <w:r w:rsidRPr="009353DC">
              <w:rPr>
                <w:rFonts w:eastAsia="Calibri" w:cstheme="minorHAnsi"/>
                <w:lang w:eastAsia="en-US"/>
              </w:rPr>
              <w:t>Corte de Taludes</w:t>
            </w:r>
          </w:p>
        </w:tc>
        <w:tc>
          <w:tcPr>
            <w:tcW w:w="4353" w:type="dxa"/>
            <w:shd w:val="clear" w:color="auto" w:fill="auto"/>
          </w:tcPr>
          <w:p w:rsidR="00340FB6" w:rsidRPr="009353DC" w:rsidRDefault="00340FB6" w:rsidP="00340FB6">
            <w:pPr>
              <w:jc w:val="center"/>
              <w:rPr>
                <w:rFonts w:eastAsia="Calibri" w:cstheme="minorHAnsi"/>
                <w:lang w:eastAsia="en-US"/>
              </w:rPr>
            </w:pPr>
            <w:r w:rsidRPr="009353DC">
              <w:rPr>
                <w:rFonts w:eastAsia="Calibri" w:cstheme="minorHAnsi"/>
                <w:lang w:eastAsia="en-US"/>
              </w:rPr>
              <w:t>Construcción Puente “La Lora”</w:t>
            </w:r>
          </w:p>
        </w:tc>
      </w:tr>
      <w:tr w:rsidR="00340FB6" w:rsidRPr="009353DC" w:rsidTr="00340FB6">
        <w:trPr>
          <w:jc w:val="center"/>
        </w:trPr>
        <w:tc>
          <w:tcPr>
            <w:tcW w:w="4475" w:type="dxa"/>
            <w:shd w:val="clear" w:color="auto" w:fill="auto"/>
          </w:tcPr>
          <w:p w:rsidR="00340FB6" w:rsidRPr="009353DC" w:rsidRDefault="00340FB6" w:rsidP="00340FB6">
            <w:pPr>
              <w:jc w:val="both"/>
              <w:rPr>
                <w:rFonts w:eastAsia="Calibri" w:cstheme="minorHAnsi"/>
                <w:lang w:eastAsia="en-US"/>
              </w:rPr>
            </w:pPr>
            <w:r w:rsidRPr="009353DC">
              <w:rPr>
                <w:rFonts w:eastAsia="Calibri" w:cstheme="minorHAnsi"/>
                <w:noProof/>
              </w:rPr>
              <w:drawing>
                <wp:inline distT="0" distB="0" distL="0" distR="0" wp14:anchorId="1A3055AF" wp14:editId="4B53E5F4">
                  <wp:extent cx="2648585" cy="1992630"/>
                  <wp:effectExtent l="0" t="0" r="0" b="7620"/>
                  <wp:docPr id="15377" name="Imagen 15377" descr="Foto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 descr="Foto045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648585" cy="1992630"/>
                          </a:xfrm>
                          <a:prstGeom prst="rect">
                            <a:avLst/>
                          </a:prstGeom>
                          <a:noFill/>
                          <a:ln>
                            <a:noFill/>
                          </a:ln>
                        </pic:spPr>
                      </pic:pic>
                    </a:graphicData>
                  </a:graphic>
                </wp:inline>
              </w:drawing>
            </w:r>
          </w:p>
        </w:tc>
        <w:tc>
          <w:tcPr>
            <w:tcW w:w="4353" w:type="dxa"/>
            <w:shd w:val="clear" w:color="auto" w:fill="auto"/>
          </w:tcPr>
          <w:p w:rsidR="00340FB6" w:rsidRPr="009353DC" w:rsidRDefault="00340FB6" w:rsidP="00340FB6">
            <w:pPr>
              <w:jc w:val="both"/>
              <w:rPr>
                <w:rFonts w:eastAsia="Calibri" w:cstheme="minorHAnsi"/>
                <w:lang w:eastAsia="en-US"/>
              </w:rPr>
            </w:pPr>
            <w:r w:rsidRPr="009353DC">
              <w:rPr>
                <w:rFonts w:eastAsia="Calibri" w:cstheme="minorHAnsi"/>
                <w:noProof/>
              </w:rPr>
              <w:drawing>
                <wp:inline distT="0" distB="0" distL="0" distR="0" wp14:anchorId="6CA99123" wp14:editId="4031E134">
                  <wp:extent cx="2639695" cy="1984375"/>
                  <wp:effectExtent l="0" t="0" r="8255" b="0"/>
                  <wp:docPr id="15376" name="Imagen 15376" descr="Foto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 descr="Foto051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639695" cy="1984375"/>
                          </a:xfrm>
                          <a:prstGeom prst="rect">
                            <a:avLst/>
                          </a:prstGeom>
                          <a:noFill/>
                          <a:ln>
                            <a:noFill/>
                          </a:ln>
                        </pic:spPr>
                      </pic:pic>
                    </a:graphicData>
                  </a:graphic>
                </wp:inline>
              </w:drawing>
            </w:r>
          </w:p>
        </w:tc>
      </w:tr>
      <w:tr w:rsidR="00340FB6" w:rsidRPr="009353DC" w:rsidTr="00340FB6">
        <w:tblPrEx>
          <w:tblCellMar>
            <w:left w:w="108" w:type="dxa"/>
            <w:right w:w="108" w:type="dxa"/>
          </w:tblCellMar>
        </w:tblPrEx>
        <w:trPr>
          <w:jc w:val="center"/>
        </w:trPr>
        <w:tc>
          <w:tcPr>
            <w:tcW w:w="4475" w:type="dxa"/>
            <w:shd w:val="clear" w:color="auto" w:fill="auto"/>
          </w:tcPr>
          <w:p w:rsidR="00340FB6" w:rsidRPr="009353DC" w:rsidRDefault="00340FB6" w:rsidP="00340FB6">
            <w:pPr>
              <w:jc w:val="center"/>
              <w:rPr>
                <w:rFonts w:eastAsia="Calibri" w:cstheme="minorHAnsi"/>
                <w:lang w:eastAsia="en-US"/>
              </w:rPr>
            </w:pPr>
            <w:r w:rsidRPr="009353DC">
              <w:rPr>
                <w:rFonts w:eastAsia="Calibri" w:cstheme="minorHAnsi"/>
                <w:lang w:eastAsia="en-US"/>
              </w:rPr>
              <w:t>Empradización de taludes</w:t>
            </w:r>
          </w:p>
        </w:tc>
        <w:tc>
          <w:tcPr>
            <w:tcW w:w="4353" w:type="dxa"/>
            <w:shd w:val="clear" w:color="auto" w:fill="auto"/>
          </w:tcPr>
          <w:p w:rsidR="00340FB6" w:rsidRPr="009353DC" w:rsidRDefault="00340FB6" w:rsidP="00340FB6">
            <w:pPr>
              <w:jc w:val="center"/>
              <w:rPr>
                <w:rFonts w:eastAsia="Calibri" w:cstheme="minorHAnsi"/>
                <w:lang w:eastAsia="en-US"/>
              </w:rPr>
            </w:pPr>
            <w:r w:rsidRPr="009353DC">
              <w:rPr>
                <w:rFonts w:eastAsia="Calibri" w:cstheme="minorHAnsi"/>
                <w:lang w:eastAsia="en-US"/>
              </w:rPr>
              <w:t>Conformación de depósitos</w:t>
            </w:r>
          </w:p>
        </w:tc>
      </w:tr>
    </w:tbl>
    <w:p w:rsidR="00340FB6" w:rsidRPr="009353DC" w:rsidRDefault="00340FB6" w:rsidP="00340FB6">
      <w:pPr>
        <w:spacing w:after="160"/>
        <w:jc w:val="both"/>
        <w:rPr>
          <w:rFonts w:eastAsia="Calibri" w:cstheme="minorHAnsi"/>
          <w:lang w:eastAsia="en-US"/>
        </w:rPr>
      </w:pPr>
    </w:p>
    <w:p w:rsidR="00340FB6" w:rsidRPr="009353DC" w:rsidRDefault="00340FB6" w:rsidP="00340FB6">
      <w:pPr>
        <w:spacing w:after="160"/>
        <w:jc w:val="both"/>
        <w:rPr>
          <w:rFonts w:eastAsia="Calibri" w:cstheme="minorHAnsi"/>
          <w:lang w:eastAsia="en-US"/>
        </w:rPr>
      </w:pPr>
      <w:r w:rsidRPr="009353DC">
        <w:rPr>
          <w:rFonts w:eastAsia="Calibri" w:cstheme="minorHAnsi"/>
          <w:lang w:eastAsia="en-US"/>
        </w:rPr>
        <w:t>De otra parte, el Concesionario continua la gestión predial necesaria para la terminación de segunda calzada y de manera mancomunada con la interventoría y la ANI, gestiona la adjudicación entre entidades de derecho público, de los baldíos a cargo del INCODER, formulando para tal efecto el “Plan de Reasentamiento Involuntario”, de las familias ocupantes de estos predios.</w:t>
      </w:r>
    </w:p>
    <w:p w:rsidR="00340FB6" w:rsidRPr="002C5180" w:rsidRDefault="00340FB6" w:rsidP="00340FB6">
      <w:pPr>
        <w:spacing w:after="160"/>
        <w:jc w:val="both"/>
        <w:rPr>
          <w:rFonts w:ascii="Calibri" w:eastAsia="Calibri" w:hAnsi="Calibri"/>
          <w:lang w:eastAsia="en-US"/>
        </w:rPr>
      </w:pPr>
    </w:p>
    <w:p w:rsidR="00340FB6" w:rsidRPr="002C5180" w:rsidRDefault="00340FB6" w:rsidP="00340FB6">
      <w:pPr>
        <w:jc w:val="both"/>
        <w:rPr>
          <w:rFonts w:ascii="Calibri" w:eastAsia="Calibri" w:hAnsi="Calibri"/>
          <w:lang w:eastAsia="en-US"/>
        </w:rPr>
      </w:pPr>
    </w:p>
    <w:p w:rsidR="00340FB6" w:rsidRPr="002C5180" w:rsidRDefault="00340FB6" w:rsidP="00340FB6">
      <w:pPr>
        <w:rPr>
          <w:rFonts w:ascii="Calibri" w:hAnsi="Calibri"/>
          <w:bCs/>
          <w:spacing w:val="-3"/>
        </w:rPr>
      </w:pPr>
      <w:r w:rsidRPr="002C5180">
        <w:rPr>
          <w:rFonts w:ascii="Calibri" w:hAnsi="Calibri"/>
          <w:bCs/>
          <w:spacing w:val="-3"/>
        </w:rPr>
        <w:br w:type="page"/>
      </w:r>
    </w:p>
    <w:p w:rsidR="00340FB6" w:rsidRPr="008E3630" w:rsidRDefault="00140337" w:rsidP="008E3630">
      <w:pPr>
        <w:spacing w:line="240" w:lineRule="auto"/>
        <w:jc w:val="both"/>
        <w:rPr>
          <w:rFonts w:eastAsia="Times New Roman" w:cs="Calibri"/>
          <w:b/>
          <w:color w:val="000000"/>
          <w:u w:val="single"/>
        </w:rPr>
      </w:pPr>
      <w:r>
        <w:rPr>
          <w:rFonts w:eastAsia="Times New Roman" w:cs="Calibri"/>
          <w:b/>
          <w:color w:val="000000"/>
          <w:u w:val="single"/>
        </w:rPr>
        <w:lastRenderedPageBreak/>
        <w:t>3</w:t>
      </w:r>
      <w:r w:rsidR="008E3630">
        <w:rPr>
          <w:rFonts w:eastAsia="Times New Roman" w:cs="Calibri"/>
          <w:b/>
          <w:color w:val="000000"/>
          <w:u w:val="single"/>
        </w:rPr>
        <w:t>. P</w:t>
      </w:r>
      <w:r w:rsidR="00340FB6" w:rsidRPr="008E3630">
        <w:rPr>
          <w:rFonts w:eastAsia="Times New Roman" w:cs="Calibri"/>
          <w:b/>
          <w:color w:val="000000"/>
          <w:u w:val="single"/>
        </w:rPr>
        <w:t>ROYECTO ZONA METROPOLITANA DE BUCARAMANGA</w:t>
      </w:r>
    </w:p>
    <w:p w:rsidR="00340FB6" w:rsidRPr="002C5180" w:rsidRDefault="00340FB6" w:rsidP="00340FB6">
      <w:pPr>
        <w:spacing w:after="160" w:line="259" w:lineRule="auto"/>
        <w:jc w:val="center"/>
        <w:rPr>
          <w:rFonts w:ascii="Calibri" w:eastAsia="Calibri" w:hAnsi="Calibri"/>
          <w:b/>
          <w:lang w:eastAsia="en-US"/>
        </w:rPr>
      </w:pPr>
    </w:p>
    <w:p w:rsidR="00340FB6" w:rsidRPr="009353DC" w:rsidRDefault="00340FB6" w:rsidP="00340FB6">
      <w:pPr>
        <w:spacing w:after="160" w:line="259" w:lineRule="auto"/>
        <w:jc w:val="both"/>
        <w:rPr>
          <w:rFonts w:eastAsia="Calibri" w:cstheme="minorHAnsi"/>
          <w:lang w:eastAsia="en-US"/>
        </w:rPr>
      </w:pPr>
      <w:r w:rsidRPr="009353DC">
        <w:rPr>
          <w:rFonts w:eastAsia="Calibri" w:cstheme="minorHAnsi"/>
          <w:lang w:eastAsia="en-US"/>
        </w:rPr>
        <w:t>De conformidad con lo reportado por la interventoría en los informes semanales e informe  mensual se reporta el siguiente avance:</w:t>
      </w:r>
    </w:p>
    <w:tbl>
      <w:tblPr>
        <w:tblW w:w="6380" w:type="dxa"/>
        <w:jc w:val="center"/>
        <w:tblCellMar>
          <w:left w:w="0" w:type="dxa"/>
          <w:right w:w="0" w:type="dxa"/>
        </w:tblCellMar>
        <w:tblLook w:val="04A0" w:firstRow="1" w:lastRow="0" w:firstColumn="1" w:lastColumn="0" w:noHBand="0" w:noVBand="1"/>
      </w:tblPr>
      <w:tblGrid>
        <w:gridCol w:w="3400"/>
        <w:gridCol w:w="1442"/>
        <w:gridCol w:w="1538"/>
      </w:tblGrid>
      <w:tr w:rsidR="00340FB6" w:rsidRPr="009353DC" w:rsidTr="00340FB6">
        <w:trPr>
          <w:trHeight w:val="510"/>
          <w:jc w:val="center"/>
        </w:trPr>
        <w:tc>
          <w:tcPr>
            <w:tcW w:w="3400" w:type="dxa"/>
            <w:tcBorders>
              <w:top w:val="single" w:sz="8" w:space="0" w:color="auto"/>
              <w:left w:val="single" w:sz="8" w:space="0" w:color="auto"/>
              <w:bottom w:val="single" w:sz="8" w:space="0" w:color="auto"/>
              <w:right w:val="single" w:sz="8" w:space="0" w:color="auto"/>
            </w:tcBorders>
            <w:shd w:val="clear" w:color="auto" w:fill="9BC2E6"/>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SEGUNDA CALZADA (km)</w:t>
            </w:r>
          </w:p>
        </w:tc>
        <w:tc>
          <w:tcPr>
            <w:tcW w:w="1480" w:type="dxa"/>
            <w:tcBorders>
              <w:top w:val="single" w:sz="8" w:space="0" w:color="auto"/>
              <w:left w:val="nil"/>
              <w:bottom w:val="single" w:sz="8" w:space="0" w:color="auto"/>
              <w:right w:val="single" w:sz="8" w:space="0" w:color="auto"/>
            </w:tcBorders>
            <w:shd w:val="clear" w:color="auto" w:fill="9BC2E6"/>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 xml:space="preserve">2015 </w:t>
            </w:r>
            <w:r w:rsidRPr="009353DC">
              <w:rPr>
                <w:rFonts w:eastAsia="Calibri" w:cstheme="minorHAnsi"/>
                <w:b/>
                <w:bCs/>
                <w:color w:val="000000"/>
              </w:rPr>
              <w:br/>
              <w:t>contractual</w:t>
            </w:r>
          </w:p>
        </w:tc>
        <w:tc>
          <w:tcPr>
            <w:tcW w:w="1500" w:type="dxa"/>
            <w:tcBorders>
              <w:top w:val="single" w:sz="8" w:space="0" w:color="auto"/>
              <w:left w:val="nil"/>
              <w:bottom w:val="single" w:sz="8" w:space="0" w:color="auto"/>
              <w:right w:val="single" w:sz="8" w:space="0" w:color="auto"/>
            </w:tcBorders>
            <w:shd w:val="clear" w:color="auto" w:fill="C9C9C9"/>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LONG PAVIMENTADA</w:t>
            </w:r>
          </w:p>
        </w:tc>
      </w:tr>
      <w:tr w:rsidR="00340FB6" w:rsidRPr="009353DC" w:rsidTr="00340FB6">
        <w:trPr>
          <w:trHeight w:val="300"/>
          <w:jc w:val="center"/>
        </w:trPr>
        <w:tc>
          <w:tcPr>
            <w:tcW w:w="34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340FB6" w:rsidRPr="009353DC" w:rsidRDefault="00340FB6" w:rsidP="00340FB6">
            <w:pPr>
              <w:spacing w:after="160" w:line="259" w:lineRule="auto"/>
              <w:rPr>
                <w:rFonts w:eastAsia="Calibri" w:cstheme="minorHAnsi"/>
                <w:color w:val="000000"/>
              </w:rPr>
            </w:pPr>
            <w:r w:rsidRPr="009353DC">
              <w:rPr>
                <w:rFonts w:eastAsia="Calibri" w:cstheme="minorHAnsi"/>
                <w:color w:val="000000"/>
              </w:rPr>
              <w:t>Tramo 2</w:t>
            </w:r>
          </w:p>
        </w:tc>
        <w:tc>
          <w:tcPr>
            <w:tcW w:w="14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0,18</w:t>
            </w:r>
          </w:p>
        </w:tc>
        <w:tc>
          <w:tcPr>
            <w:tcW w:w="15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0,00</w:t>
            </w:r>
          </w:p>
        </w:tc>
      </w:tr>
      <w:tr w:rsidR="00340FB6" w:rsidRPr="009353DC" w:rsidTr="00340FB6">
        <w:trPr>
          <w:trHeight w:val="300"/>
          <w:jc w:val="center"/>
        </w:trPr>
        <w:tc>
          <w:tcPr>
            <w:tcW w:w="34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340FB6" w:rsidRPr="009353DC" w:rsidRDefault="00340FB6" w:rsidP="00340FB6">
            <w:pPr>
              <w:spacing w:after="160" w:line="259" w:lineRule="auto"/>
              <w:rPr>
                <w:rFonts w:eastAsia="Calibri" w:cstheme="minorHAnsi"/>
                <w:color w:val="000000"/>
              </w:rPr>
            </w:pPr>
            <w:r w:rsidRPr="009353DC">
              <w:rPr>
                <w:rFonts w:eastAsia="Calibri" w:cstheme="minorHAnsi"/>
                <w:color w:val="000000"/>
              </w:rPr>
              <w:t>Tramo 6</w:t>
            </w:r>
          </w:p>
        </w:tc>
        <w:tc>
          <w:tcPr>
            <w:tcW w:w="14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4,3</w:t>
            </w:r>
          </w:p>
        </w:tc>
        <w:tc>
          <w:tcPr>
            <w:tcW w:w="15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0,56</w:t>
            </w:r>
          </w:p>
        </w:tc>
      </w:tr>
      <w:tr w:rsidR="00340FB6" w:rsidRPr="009353DC" w:rsidTr="00340FB6">
        <w:trPr>
          <w:trHeight w:val="300"/>
          <w:jc w:val="center"/>
        </w:trPr>
        <w:tc>
          <w:tcPr>
            <w:tcW w:w="34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340FB6" w:rsidRPr="009353DC" w:rsidRDefault="00340FB6" w:rsidP="00340FB6">
            <w:pPr>
              <w:spacing w:after="160" w:line="259" w:lineRule="auto"/>
              <w:rPr>
                <w:rFonts w:eastAsia="Calibri" w:cstheme="minorHAnsi"/>
                <w:color w:val="000000"/>
              </w:rPr>
            </w:pPr>
            <w:r w:rsidRPr="009353DC">
              <w:rPr>
                <w:rFonts w:eastAsia="Calibri" w:cstheme="minorHAnsi"/>
                <w:color w:val="000000"/>
              </w:rPr>
              <w:t>Tramo 7 (Par vial)</w:t>
            </w:r>
          </w:p>
        </w:tc>
        <w:tc>
          <w:tcPr>
            <w:tcW w:w="14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5,6</w:t>
            </w:r>
          </w:p>
        </w:tc>
        <w:tc>
          <w:tcPr>
            <w:tcW w:w="15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0,00</w:t>
            </w:r>
          </w:p>
        </w:tc>
      </w:tr>
      <w:tr w:rsidR="00340FB6" w:rsidRPr="009353DC" w:rsidTr="00340FB6">
        <w:trPr>
          <w:trHeight w:val="300"/>
          <w:jc w:val="center"/>
        </w:trPr>
        <w:tc>
          <w:tcPr>
            <w:tcW w:w="3400" w:type="dxa"/>
            <w:tcBorders>
              <w:top w:val="nil"/>
              <w:left w:val="single" w:sz="8" w:space="0" w:color="auto"/>
              <w:bottom w:val="single" w:sz="8" w:space="0" w:color="auto"/>
              <w:right w:val="single" w:sz="8" w:space="0" w:color="auto"/>
            </w:tcBorders>
            <w:shd w:val="clear" w:color="auto" w:fill="9BC2E6"/>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TOTALES</w:t>
            </w:r>
          </w:p>
        </w:tc>
        <w:tc>
          <w:tcPr>
            <w:tcW w:w="1480" w:type="dxa"/>
            <w:tcBorders>
              <w:top w:val="nil"/>
              <w:left w:val="nil"/>
              <w:bottom w:val="single" w:sz="8" w:space="0" w:color="auto"/>
              <w:right w:val="single" w:sz="8" w:space="0" w:color="auto"/>
            </w:tcBorders>
            <w:shd w:val="clear" w:color="auto" w:fill="9BC2E6"/>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10,08</w:t>
            </w:r>
          </w:p>
        </w:tc>
        <w:tc>
          <w:tcPr>
            <w:tcW w:w="1500" w:type="dxa"/>
            <w:tcBorders>
              <w:top w:val="nil"/>
              <w:left w:val="nil"/>
              <w:bottom w:val="single" w:sz="8" w:space="0" w:color="auto"/>
              <w:right w:val="single" w:sz="8" w:space="0" w:color="auto"/>
            </w:tcBorders>
            <w:shd w:val="clear" w:color="auto" w:fill="C9C9C9"/>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0,56</w:t>
            </w:r>
          </w:p>
        </w:tc>
      </w:tr>
      <w:tr w:rsidR="00340FB6" w:rsidRPr="009353DC" w:rsidTr="00340FB6">
        <w:trPr>
          <w:trHeight w:val="510"/>
          <w:jc w:val="center"/>
        </w:trPr>
        <w:tc>
          <w:tcPr>
            <w:tcW w:w="3400" w:type="dxa"/>
            <w:tcBorders>
              <w:top w:val="nil"/>
              <w:left w:val="single" w:sz="8" w:space="0" w:color="auto"/>
              <w:bottom w:val="single" w:sz="8" w:space="0" w:color="auto"/>
              <w:right w:val="single" w:sz="8" w:space="0" w:color="auto"/>
            </w:tcBorders>
            <w:shd w:val="clear" w:color="auto" w:fill="A9D08E"/>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REHABILITACIÓN (km)</w:t>
            </w:r>
          </w:p>
        </w:tc>
        <w:tc>
          <w:tcPr>
            <w:tcW w:w="1480" w:type="dxa"/>
            <w:tcBorders>
              <w:top w:val="nil"/>
              <w:left w:val="nil"/>
              <w:bottom w:val="single" w:sz="8" w:space="0" w:color="auto"/>
              <w:right w:val="single" w:sz="8" w:space="0" w:color="auto"/>
            </w:tcBorders>
            <w:shd w:val="clear" w:color="auto" w:fill="A9D08E"/>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 xml:space="preserve">2015 </w:t>
            </w:r>
            <w:r w:rsidRPr="009353DC">
              <w:rPr>
                <w:rFonts w:eastAsia="Calibri" w:cstheme="minorHAnsi"/>
                <w:b/>
                <w:bCs/>
                <w:color w:val="000000"/>
              </w:rPr>
              <w:br/>
              <w:t>contractual</w:t>
            </w:r>
          </w:p>
        </w:tc>
        <w:tc>
          <w:tcPr>
            <w:tcW w:w="1500" w:type="dxa"/>
            <w:tcBorders>
              <w:top w:val="nil"/>
              <w:left w:val="nil"/>
              <w:bottom w:val="single" w:sz="8" w:space="0" w:color="auto"/>
              <w:right w:val="single" w:sz="8" w:space="0" w:color="auto"/>
            </w:tcBorders>
            <w:shd w:val="clear" w:color="auto" w:fill="C9C9C9"/>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 </w:t>
            </w:r>
          </w:p>
        </w:tc>
      </w:tr>
      <w:tr w:rsidR="00340FB6" w:rsidRPr="009353DC" w:rsidTr="00340FB6">
        <w:trPr>
          <w:trHeight w:val="300"/>
          <w:jc w:val="center"/>
        </w:trPr>
        <w:tc>
          <w:tcPr>
            <w:tcW w:w="34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rPr>
                <w:rFonts w:eastAsia="Calibri" w:cstheme="minorHAnsi"/>
                <w:color w:val="000000"/>
              </w:rPr>
            </w:pPr>
            <w:r w:rsidRPr="009353DC">
              <w:rPr>
                <w:rFonts w:eastAsia="Calibri" w:cstheme="minorHAnsi"/>
                <w:color w:val="000000"/>
              </w:rPr>
              <w:t>Tramo 2</w:t>
            </w:r>
          </w:p>
        </w:tc>
        <w:tc>
          <w:tcPr>
            <w:tcW w:w="14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0,18</w:t>
            </w:r>
          </w:p>
        </w:tc>
        <w:tc>
          <w:tcPr>
            <w:tcW w:w="15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0,00</w:t>
            </w:r>
          </w:p>
        </w:tc>
      </w:tr>
      <w:tr w:rsidR="00340FB6" w:rsidRPr="009353DC" w:rsidTr="00340FB6">
        <w:trPr>
          <w:trHeight w:val="300"/>
          <w:jc w:val="center"/>
        </w:trPr>
        <w:tc>
          <w:tcPr>
            <w:tcW w:w="34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rPr>
                <w:rFonts w:eastAsia="Calibri" w:cstheme="minorHAnsi"/>
                <w:color w:val="000000"/>
              </w:rPr>
            </w:pPr>
            <w:r w:rsidRPr="009353DC">
              <w:rPr>
                <w:rFonts w:eastAsia="Calibri" w:cstheme="minorHAnsi"/>
                <w:color w:val="000000"/>
              </w:rPr>
              <w:t>Tramo 6</w:t>
            </w:r>
          </w:p>
        </w:tc>
        <w:tc>
          <w:tcPr>
            <w:tcW w:w="14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4,3</w:t>
            </w:r>
          </w:p>
        </w:tc>
        <w:tc>
          <w:tcPr>
            <w:tcW w:w="15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2,12</w:t>
            </w:r>
          </w:p>
        </w:tc>
      </w:tr>
      <w:tr w:rsidR="00340FB6" w:rsidRPr="009353DC" w:rsidTr="00340FB6">
        <w:trPr>
          <w:trHeight w:val="300"/>
          <w:jc w:val="center"/>
        </w:trPr>
        <w:tc>
          <w:tcPr>
            <w:tcW w:w="34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rPr>
                <w:rFonts w:eastAsia="Calibri" w:cstheme="minorHAnsi"/>
                <w:color w:val="000000"/>
              </w:rPr>
            </w:pPr>
            <w:r w:rsidRPr="009353DC">
              <w:rPr>
                <w:rFonts w:eastAsia="Calibri" w:cstheme="minorHAnsi"/>
                <w:color w:val="000000"/>
              </w:rPr>
              <w:t>Tramo 7</w:t>
            </w:r>
          </w:p>
        </w:tc>
        <w:tc>
          <w:tcPr>
            <w:tcW w:w="14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0,26</w:t>
            </w:r>
          </w:p>
        </w:tc>
        <w:tc>
          <w:tcPr>
            <w:tcW w:w="15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340FB6" w:rsidRPr="009353DC" w:rsidRDefault="00340FB6" w:rsidP="00340FB6">
            <w:pPr>
              <w:spacing w:after="160" w:line="259" w:lineRule="auto"/>
              <w:jc w:val="center"/>
              <w:rPr>
                <w:rFonts w:eastAsia="Calibri" w:cstheme="minorHAnsi"/>
                <w:color w:val="000000"/>
              </w:rPr>
            </w:pPr>
            <w:r w:rsidRPr="009353DC">
              <w:rPr>
                <w:rFonts w:eastAsia="Calibri" w:cstheme="minorHAnsi"/>
                <w:color w:val="000000"/>
              </w:rPr>
              <w:t>0,00</w:t>
            </w:r>
          </w:p>
        </w:tc>
      </w:tr>
      <w:tr w:rsidR="00340FB6" w:rsidRPr="009353DC" w:rsidTr="00340FB6">
        <w:trPr>
          <w:trHeight w:val="300"/>
          <w:jc w:val="center"/>
        </w:trPr>
        <w:tc>
          <w:tcPr>
            <w:tcW w:w="3400" w:type="dxa"/>
            <w:tcBorders>
              <w:top w:val="nil"/>
              <w:left w:val="single" w:sz="8" w:space="0" w:color="auto"/>
              <w:bottom w:val="single" w:sz="8" w:space="0" w:color="auto"/>
              <w:right w:val="single" w:sz="8" w:space="0" w:color="auto"/>
            </w:tcBorders>
            <w:shd w:val="clear" w:color="auto" w:fill="A9D08E"/>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TOTALES</w:t>
            </w:r>
          </w:p>
        </w:tc>
        <w:tc>
          <w:tcPr>
            <w:tcW w:w="1480" w:type="dxa"/>
            <w:tcBorders>
              <w:top w:val="nil"/>
              <w:left w:val="nil"/>
              <w:bottom w:val="single" w:sz="8" w:space="0" w:color="auto"/>
              <w:right w:val="single" w:sz="8" w:space="0" w:color="auto"/>
            </w:tcBorders>
            <w:shd w:val="clear" w:color="auto" w:fill="A9D08E"/>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4,74</w:t>
            </w:r>
          </w:p>
        </w:tc>
        <w:tc>
          <w:tcPr>
            <w:tcW w:w="1500" w:type="dxa"/>
            <w:tcBorders>
              <w:top w:val="nil"/>
              <w:left w:val="nil"/>
              <w:bottom w:val="single" w:sz="8" w:space="0" w:color="auto"/>
              <w:right w:val="single" w:sz="8" w:space="0" w:color="auto"/>
            </w:tcBorders>
            <w:shd w:val="clear" w:color="auto" w:fill="C9C9C9"/>
            <w:tcMar>
              <w:top w:w="0" w:type="dxa"/>
              <w:left w:w="70" w:type="dxa"/>
              <w:bottom w:w="0" w:type="dxa"/>
              <w:right w:w="70" w:type="dxa"/>
            </w:tcMar>
            <w:vAlign w:val="center"/>
            <w:hideMark/>
          </w:tcPr>
          <w:p w:rsidR="00340FB6" w:rsidRPr="009353DC" w:rsidRDefault="00340FB6" w:rsidP="00340FB6">
            <w:pPr>
              <w:spacing w:after="160" w:line="259" w:lineRule="auto"/>
              <w:jc w:val="center"/>
              <w:rPr>
                <w:rFonts w:eastAsia="Calibri" w:cstheme="minorHAnsi"/>
                <w:b/>
                <w:bCs/>
                <w:color w:val="000000"/>
              </w:rPr>
            </w:pPr>
            <w:r w:rsidRPr="009353DC">
              <w:rPr>
                <w:rFonts w:eastAsia="Calibri" w:cstheme="minorHAnsi"/>
                <w:b/>
                <w:bCs/>
                <w:color w:val="000000"/>
              </w:rPr>
              <w:t>2,12</w:t>
            </w:r>
          </w:p>
        </w:tc>
      </w:tr>
    </w:tbl>
    <w:p w:rsidR="00340FB6" w:rsidRPr="009353DC" w:rsidRDefault="00340FB6" w:rsidP="00340FB6">
      <w:pPr>
        <w:spacing w:after="160" w:line="259" w:lineRule="auto"/>
        <w:jc w:val="both"/>
        <w:rPr>
          <w:rFonts w:eastAsia="Calibri" w:cstheme="minorHAnsi"/>
          <w:lang w:eastAsia="en-US"/>
        </w:rPr>
      </w:pPr>
    </w:p>
    <w:p w:rsidR="00340FB6" w:rsidRPr="009353DC" w:rsidRDefault="00340FB6" w:rsidP="00340FB6">
      <w:pPr>
        <w:spacing w:after="160" w:line="259" w:lineRule="auto"/>
        <w:jc w:val="both"/>
        <w:rPr>
          <w:rFonts w:eastAsia="Calibri" w:cstheme="minorHAnsi"/>
          <w:spacing w:val="-3"/>
          <w:lang w:eastAsia="en-US"/>
        </w:rPr>
      </w:pPr>
      <w:r w:rsidRPr="009353DC">
        <w:rPr>
          <w:rFonts w:eastAsia="Calibri" w:cstheme="minorHAnsi"/>
          <w:spacing w:val="-3"/>
          <w:lang w:eastAsia="en-US"/>
        </w:rPr>
        <w:t>El día 27 de mayo se radica ante la Entidad el informe rendido por la Interventoría Jorge Piddo Sucursal Colombia, a través de la comunicación JPD-OP-0526-169-2015 con radicado ANI No. 2015-409-030957-2, en el cual evidencian un incumplimiento por parte del Concesionario que afecta de manera grave y directa la ejecución del contrato y puede conducir a su paralización, y en consecuencia se recomienda el inicio del procedimiento de declaratoria de caducidad del contrato.</w:t>
      </w:r>
    </w:p>
    <w:p w:rsidR="00340FB6" w:rsidRPr="009353DC" w:rsidRDefault="00340FB6" w:rsidP="00340FB6">
      <w:pPr>
        <w:spacing w:after="160" w:line="259" w:lineRule="auto"/>
        <w:jc w:val="both"/>
        <w:rPr>
          <w:rFonts w:eastAsia="Calibri" w:cstheme="minorHAnsi"/>
          <w:lang w:eastAsia="en-US"/>
        </w:rPr>
      </w:pPr>
      <w:r w:rsidRPr="009353DC">
        <w:rPr>
          <w:rFonts w:eastAsia="Calibri" w:cstheme="minorHAnsi"/>
          <w:lang w:eastAsia="en-US"/>
        </w:rPr>
        <w:t xml:space="preserve">El día 10 de junio la Entidad mediante radicado 2015-500-012415-1 envía el informe de la interventoría al Concesionario, con el fin de que se pronuncie dentro de los cinco (5) días hábiles siguientes contados a partir de la recepción de dicha comunicación. </w:t>
      </w:r>
    </w:p>
    <w:p w:rsidR="00340FB6" w:rsidRPr="009353DC" w:rsidRDefault="00340FB6" w:rsidP="00340FB6">
      <w:pPr>
        <w:spacing w:after="160" w:line="259" w:lineRule="auto"/>
        <w:jc w:val="both"/>
        <w:rPr>
          <w:rFonts w:eastAsia="Calibri" w:cstheme="minorHAnsi"/>
          <w:lang w:eastAsia="en-US"/>
        </w:rPr>
      </w:pPr>
      <w:r w:rsidRPr="009353DC">
        <w:rPr>
          <w:rFonts w:eastAsia="Calibri" w:cstheme="minorHAnsi"/>
          <w:lang w:eastAsia="en-US"/>
        </w:rPr>
        <w:t>El 18 de junio mediante radicado 2015-409-036024-2, el Concesionario se pronunció sobre el informe de interventoría y este pronunciamiento fue remitido a la Interventoría para su revisión mediante radicado 2015-500-013367-1 del 19 de junio de 2015.</w:t>
      </w:r>
    </w:p>
    <w:p w:rsidR="00340FB6" w:rsidRPr="009353DC" w:rsidRDefault="00340FB6" w:rsidP="00340FB6">
      <w:pPr>
        <w:spacing w:after="160" w:line="259" w:lineRule="auto"/>
        <w:jc w:val="both"/>
        <w:rPr>
          <w:rFonts w:eastAsia="Calibri" w:cstheme="minorHAnsi"/>
          <w:lang w:eastAsia="en-US"/>
        </w:rPr>
      </w:pPr>
    </w:p>
    <w:p w:rsidR="00340FB6" w:rsidRPr="009353DC" w:rsidRDefault="00340FB6" w:rsidP="00340FB6">
      <w:pPr>
        <w:spacing w:after="160" w:line="259" w:lineRule="auto"/>
        <w:jc w:val="both"/>
        <w:rPr>
          <w:rFonts w:eastAsia="Calibri" w:cstheme="minorHAnsi"/>
          <w:lang w:eastAsia="en-US"/>
        </w:rPr>
      </w:pPr>
    </w:p>
    <w:p w:rsidR="00340FB6" w:rsidRPr="009353DC" w:rsidRDefault="00340FB6" w:rsidP="00340FB6">
      <w:pPr>
        <w:spacing w:after="160" w:line="259" w:lineRule="auto"/>
        <w:jc w:val="both"/>
        <w:rPr>
          <w:rFonts w:eastAsia="Calibri" w:cstheme="minorHAnsi"/>
          <w:lang w:eastAsia="en-US"/>
        </w:rPr>
      </w:pPr>
      <w:r w:rsidRPr="009353DC">
        <w:rPr>
          <w:rFonts w:eastAsia="Calibri" w:cstheme="minorHAnsi"/>
          <w:lang w:eastAsia="en-US"/>
        </w:rPr>
        <w:t>El 26 de junio la interventoría mediante comunicación</w:t>
      </w:r>
      <w:r w:rsidRPr="009353DC">
        <w:rPr>
          <w:rFonts w:eastAsia="Calibri" w:cstheme="minorHAnsi"/>
          <w:spacing w:val="-3"/>
          <w:lang w:eastAsia="en-US"/>
        </w:rPr>
        <w:t xml:space="preserve"> JPD-OP-0526-193-2015 </w:t>
      </w:r>
      <w:r w:rsidRPr="009353DC">
        <w:rPr>
          <w:rFonts w:eastAsia="Calibri" w:cstheme="minorHAnsi"/>
          <w:lang w:eastAsia="en-US"/>
        </w:rPr>
        <w:t xml:space="preserve"> con radicado 2015-409-038199-2 remite informe con respuesta al pronunciamiento del Concesionario, confirmando los presuntos incumplimientos; es por ello que el mismo día, mediante memorando interno 2015-</w:t>
      </w:r>
      <w:r w:rsidRPr="009353DC">
        <w:rPr>
          <w:rFonts w:eastAsia="Calibri" w:cstheme="minorHAnsi"/>
          <w:lang w:eastAsia="en-US"/>
        </w:rPr>
        <w:lastRenderedPageBreak/>
        <w:t>500-007498-3 dirigido a la Gerencia de Defensa Judicial, se solicita dar inicio al proceso sancionatorio establecido en el contrato de concesión 002 de 2006.</w:t>
      </w:r>
    </w:p>
    <w:p w:rsidR="00340FB6" w:rsidRPr="002C5180" w:rsidRDefault="00340FB6" w:rsidP="00340FB6">
      <w:pPr>
        <w:rPr>
          <w:rFonts w:ascii="Calibri" w:hAnsi="Calibri"/>
          <w:bCs/>
          <w:spacing w:val="-3"/>
        </w:rPr>
      </w:pPr>
    </w:p>
    <w:p w:rsidR="00340FB6" w:rsidRPr="009353DC" w:rsidRDefault="008E3630" w:rsidP="009353DC">
      <w:pPr>
        <w:spacing w:line="240" w:lineRule="auto"/>
        <w:jc w:val="both"/>
        <w:rPr>
          <w:rFonts w:eastAsia="Times New Roman" w:cs="Calibri"/>
          <w:b/>
          <w:color w:val="000000"/>
          <w:u w:val="single"/>
        </w:rPr>
      </w:pPr>
      <w:r>
        <w:rPr>
          <w:rFonts w:eastAsia="Times New Roman" w:cs="Calibri"/>
          <w:b/>
          <w:color w:val="000000"/>
          <w:u w:val="single"/>
        </w:rPr>
        <w:t>4. P</w:t>
      </w:r>
      <w:r w:rsidR="00340FB6" w:rsidRPr="009353DC">
        <w:rPr>
          <w:rFonts w:eastAsia="Times New Roman" w:cs="Calibri"/>
          <w:b/>
          <w:color w:val="000000"/>
          <w:u w:val="single"/>
        </w:rPr>
        <w:t>ROYECTO RUTA CARIBE</w:t>
      </w:r>
    </w:p>
    <w:p w:rsidR="00340FB6" w:rsidRPr="009353DC" w:rsidRDefault="00340FB6" w:rsidP="00340FB6">
      <w:pPr>
        <w:spacing w:after="160" w:line="259" w:lineRule="auto"/>
        <w:jc w:val="both"/>
        <w:rPr>
          <w:rFonts w:eastAsia="Calibri" w:cstheme="minorHAnsi"/>
          <w:lang w:eastAsia="en-US"/>
        </w:rPr>
      </w:pPr>
      <w:r w:rsidRPr="009353DC">
        <w:rPr>
          <w:rFonts w:eastAsia="Calibri" w:cstheme="minorHAnsi"/>
          <w:lang w:eastAsia="en-US"/>
        </w:rPr>
        <w:t>De conformidad con lo reportado por la interventoría en los informes semanales e informe  mensual se reporta el siguiente avance:</w:t>
      </w:r>
    </w:p>
    <w:p w:rsidR="00340FB6" w:rsidRPr="009353DC" w:rsidRDefault="00340FB6" w:rsidP="000021B2">
      <w:pPr>
        <w:numPr>
          <w:ilvl w:val="0"/>
          <w:numId w:val="92"/>
        </w:numPr>
        <w:spacing w:after="160" w:line="259" w:lineRule="auto"/>
        <w:contextualSpacing/>
        <w:jc w:val="both"/>
        <w:rPr>
          <w:rFonts w:eastAsia="Calibri" w:cstheme="minorHAnsi"/>
          <w:lang w:eastAsia="en-US"/>
        </w:rPr>
      </w:pPr>
      <w:r w:rsidRPr="009353DC">
        <w:rPr>
          <w:rFonts w:eastAsia="Calibri" w:cstheme="minorHAnsi"/>
          <w:lang w:eastAsia="en-US"/>
        </w:rPr>
        <w:t>Construcción Segunda Calzada Cartagena-Turbaco – Arjona presenta un avance de 0.29 km</w:t>
      </w:r>
    </w:p>
    <w:p w:rsidR="00340FB6" w:rsidRPr="009353DC" w:rsidRDefault="00340FB6" w:rsidP="000021B2">
      <w:pPr>
        <w:numPr>
          <w:ilvl w:val="0"/>
          <w:numId w:val="92"/>
        </w:numPr>
        <w:spacing w:after="160" w:line="259" w:lineRule="auto"/>
        <w:contextualSpacing/>
        <w:jc w:val="both"/>
        <w:rPr>
          <w:rFonts w:eastAsia="Calibri" w:cstheme="minorHAnsi"/>
          <w:lang w:eastAsia="en-US"/>
        </w:rPr>
      </w:pPr>
      <w:r w:rsidRPr="009353DC">
        <w:rPr>
          <w:rFonts w:eastAsia="Calibri" w:cstheme="minorHAnsi"/>
          <w:lang w:eastAsia="en-US"/>
        </w:rPr>
        <w:t>Construcción segunda calzada en  el tramo  Gambote-Variante Mamonal ( Incluye retornos), presenta un avance de 9.23 km, superando la meta establecida la cual es de 6.6 km</w:t>
      </w:r>
    </w:p>
    <w:p w:rsidR="00340FB6" w:rsidRPr="009353DC" w:rsidRDefault="00340FB6" w:rsidP="000021B2">
      <w:pPr>
        <w:numPr>
          <w:ilvl w:val="0"/>
          <w:numId w:val="92"/>
        </w:numPr>
        <w:spacing w:after="160" w:line="259" w:lineRule="auto"/>
        <w:contextualSpacing/>
        <w:jc w:val="both"/>
        <w:rPr>
          <w:rFonts w:eastAsia="Calibri" w:cstheme="minorHAnsi"/>
          <w:lang w:eastAsia="en-US"/>
        </w:rPr>
      </w:pPr>
      <w:r w:rsidRPr="009353DC">
        <w:rPr>
          <w:rFonts w:eastAsia="Calibri" w:cstheme="minorHAnsi"/>
          <w:lang w:eastAsia="en-US"/>
        </w:rPr>
        <w:t>Construcción Variante Cartagena (Incluye Retornos) Accesos al puente el Rodeo y Orejas Puente Rodeo, presenta un avance de 0.6 km. La meta se encuentra cumplida</w:t>
      </w:r>
    </w:p>
    <w:p w:rsidR="00340FB6" w:rsidRPr="009353DC" w:rsidRDefault="00340FB6" w:rsidP="000021B2">
      <w:pPr>
        <w:numPr>
          <w:ilvl w:val="0"/>
          <w:numId w:val="92"/>
        </w:numPr>
        <w:spacing w:after="160" w:line="259" w:lineRule="auto"/>
        <w:contextualSpacing/>
        <w:rPr>
          <w:rFonts w:eastAsia="Calibri" w:cstheme="minorHAnsi"/>
          <w:lang w:eastAsia="en-US"/>
        </w:rPr>
      </w:pPr>
      <w:r w:rsidRPr="009353DC">
        <w:rPr>
          <w:rFonts w:eastAsia="Calibri" w:cstheme="minorHAnsi"/>
          <w:lang w:eastAsia="en-US"/>
        </w:rPr>
        <w:t xml:space="preserve">Construcción Variante Sabanagrande- Palmar de Varela, presenta un avance de 1.43 km </w:t>
      </w:r>
    </w:p>
    <w:p w:rsidR="00340FB6" w:rsidRPr="009353DC" w:rsidRDefault="00340FB6" w:rsidP="000021B2">
      <w:pPr>
        <w:numPr>
          <w:ilvl w:val="0"/>
          <w:numId w:val="92"/>
        </w:numPr>
        <w:spacing w:after="160" w:line="259" w:lineRule="auto"/>
        <w:contextualSpacing/>
        <w:rPr>
          <w:rFonts w:eastAsia="Calibri" w:cstheme="minorHAnsi"/>
          <w:lang w:eastAsia="en-US"/>
        </w:rPr>
      </w:pPr>
      <w:r w:rsidRPr="009353DC">
        <w:rPr>
          <w:rFonts w:eastAsia="Calibri" w:cstheme="minorHAnsi"/>
          <w:lang w:eastAsia="en-US"/>
        </w:rPr>
        <w:t>Realizar Adquisición Predios Trayecto 1. En el mes de junio se liberaron6 predios. Quedan pendientes por liberar 15 predios, discriminados así:</w:t>
      </w:r>
    </w:p>
    <w:p w:rsidR="00340FB6" w:rsidRPr="009353DC" w:rsidRDefault="00340FB6" w:rsidP="000021B2">
      <w:pPr>
        <w:numPr>
          <w:ilvl w:val="1"/>
          <w:numId w:val="92"/>
        </w:numPr>
        <w:spacing w:after="160" w:line="259" w:lineRule="auto"/>
        <w:contextualSpacing/>
        <w:rPr>
          <w:rFonts w:eastAsia="Calibri" w:cstheme="minorHAnsi"/>
          <w:lang w:eastAsia="en-US"/>
        </w:rPr>
      </w:pPr>
      <w:r w:rsidRPr="009353DC">
        <w:rPr>
          <w:rFonts w:eastAsia="Calibri" w:cstheme="minorHAnsi"/>
          <w:lang w:eastAsia="en-US"/>
        </w:rPr>
        <w:t>1 adquirido y pendiente por trasladar al arrendatario</w:t>
      </w:r>
    </w:p>
    <w:p w:rsidR="00340FB6" w:rsidRPr="009353DC" w:rsidRDefault="00340FB6" w:rsidP="000021B2">
      <w:pPr>
        <w:numPr>
          <w:ilvl w:val="1"/>
          <w:numId w:val="92"/>
        </w:numPr>
        <w:spacing w:after="160" w:line="259" w:lineRule="auto"/>
        <w:contextualSpacing/>
        <w:rPr>
          <w:rFonts w:eastAsia="Calibri" w:cstheme="minorHAnsi"/>
          <w:lang w:eastAsia="en-US"/>
        </w:rPr>
      </w:pPr>
      <w:r w:rsidRPr="009353DC">
        <w:rPr>
          <w:rFonts w:eastAsia="Calibri" w:cstheme="minorHAnsi"/>
          <w:lang w:eastAsia="en-US"/>
        </w:rPr>
        <w:t>3 predios con problemas de titularidad</w:t>
      </w:r>
    </w:p>
    <w:p w:rsidR="00340FB6" w:rsidRPr="009353DC" w:rsidRDefault="00340FB6" w:rsidP="000021B2">
      <w:pPr>
        <w:numPr>
          <w:ilvl w:val="1"/>
          <w:numId w:val="92"/>
        </w:numPr>
        <w:spacing w:after="160" w:line="259" w:lineRule="auto"/>
        <w:contextualSpacing/>
        <w:rPr>
          <w:rFonts w:eastAsia="Calibri" w:cstheme="minorHAnsi"/>
          <w:lang w:eastAsia="en-US"/>
        </w:rPr>
      </w:pPr>
      <w:r w:rsidRPr="009353DC">
        <w:rPr>
          <w:rFonts w:eastAsia="Calibri" w:cstheme="minorHAnsi"/>
          <w:lang w:eastAsia="en-US"/>
        </w:rPr>
        <w:t>2 predios en trámite de avalúo</w:t>
      </w:r>
    </w:p>
    <w:p w:rsidR="00340FB6" w:rsidRPr="009353DC" w:rsidRDefault="00340FB6" w:rsidP="000021B2">
      <w:pPr>
        <w:numPr>
          <w:ilvl w:val="1"/>
          <w:numId w:val="92"/>
        </w:numPr>
        <w:spacing w:after="160" w:line="259" w:lineRule="auto"/>
        <w:contextualSpacing/>
        <w:rPr>
          <w:rFonts w:eastAsia="Calibri" w:cstheme="minorHAnsi"/>
          <w:lang w:eastAsia="en-US"/>
        </w:rPr>
      </w:pPr>
      <w:r w:rsidRPr="009353DC">
        <w:rPr>
          <w:rFonts w:eastAsia="Calibri" w:cstheme="minorHAnsi"/>
          <w:lang w:eastAsia="en-US"/>
        </w:rPr>
        <w:t>7 predios en proceso de expropiación</w:t>
      </w:r>
    </w:p>
    <w:p w:rsidR="00340FB6" w:rsidRPr="009353DC" w:rsidRDefault="00340FB6" w:rsidP="000021B2">
      <w:pPr>
        <w:numPr>
          <w:ilvl w:val="1"/>
          <w:numId w:val="92"/>
        </w:numPr>
        <w:spacing w:after="160" w:line="259" w:lineRule="auto"/>
        <w:contextualSpacing/>
        <w:rPr>
          <w:rFonts w:eastAsia="Calibri" w:cstheme="minorHAnsi"/>
          <w:lang w:eastAsia="en-US"/>
        </w:rPr>
      </w:pPr>
      <w:r w:rsidRPr="009353DC">
        <w:rPr>
          <w:rFonts w:eastAsia="Calibri" w:cstheme="minorHAnsi"/>
          <w:lang w:eastAsia="en-US"/>
        </w:rPr>
        <w:t xml:space="preserve">2 predios en trámite notarial </w:t>
      </w:r>
    </w:p>
    <w:p w:rsidR="00340FB6" w:rsidRPr="009353DC" w:rsidRDefault="00340FB6" w:rsidP="000021B2">
      <w:pPr>
        <w:numPr>
          <w:ilvl w:val="0"/>
          <w:numId w:val="92"/>
        </w:numPr>
        <w:spacing w:after="160" w:line="259" w:lineRule="auto"/>
        <w:contextualSpacing/>
        <w:jc w:val="both"/>
        <w:rPr>
          <w:rFonts w:eastAsia="Calibri" w:cstheme="minorHAnsi"/>
          <w:lang w:eastAsia="en-US"/>
        </w:rPr>
      </w:pPr>
      <w:r w:rsidRPr="009353DC">
        <w:rPr>
          <w:rFonts w:eastAsia="Calibri" w:cstheme="minorHAnsi"/>
          <w:lang w:eastAsia="en-US"/>
        </w:rPr>
        <w:t>Construcción Puente vehicular Arroyo Canafistola Variante Palmar-Sabangrande. La construcción de estos puentes está sujeta a la aprobación por parte de la ANLA de la modificación de la licencia ambiental.</w:t>
      </w:r>
    </w:p>
    <w:p w:rsidR="00340FB6" w:rsidRPr="009353DC" w:rsidRDefault="00340FB6" w:rsidP="000021B2">
      <w:pPr>
        <w:numPr>
          <w:ilvl w:val="0"/>
          <w:numId w:val="92"/>
        </w:numPr>
        <w:spacing w:after="160" w:line="259" w:lineRule="auto"/>
        <w:contextualSpacing/>
        <w:jc w:val="both"/>
        <w:rPr>
          <w:rFonts w:eastAsia="Calibri" w:cstheme="minorHAnsi"/>
          <w:lang w:eastAsia="en-US"/>
        </w:rPr>
      </w:pPr>
      <w:r w:rsidRPr="009353DC">
        <w:rPr>
          <w:rFonts w:eastAsia="Calibri" w:cstheme="minorHAnsi"/>
          <w:lang w:eastAsia="en-US"/>
        </w:rPr>
        <w:t>Construcción Puentes peatonales La India, Villa Olimpica y PIMSA:</w:t>
      </w:r>
    </w:p>
    <w:p w:rsidR="00340FB6" w:rsidRPr="009353DC" w:rsidRDefault="00340FB6" w:rsidP="000021B2">
      <w:pPr>
        <w:numPr>
          <w:ilvl w:val="1"/>
          <w:numId w:val="93"/>
        </w:numPr>
        <w:spacing w:after="160" w:line="259" w:lineRule="auto"/>
        <w:contextualSpacing/>
        <w:rPr>
          <w:rFonts w:eastAsia="Calibri" w:cstheme="minorHAnsi"/>
          <w:lang w:eastAsia="en-US"/>
        </w:rPr>
      </w:pPr>
      <w:r w:rsidRPr="009353DC">
        <w:rPr>
          <w:rFonts w:eastAsia="Calibri" w:cstheme="minorHAnsi"/>
          <w:lang w:eastAsia="en-US"/>
        </w:rPr>
        <w:t>Puente la india, ubicado en el K0+600, tiene un avance del 70%</w:t>
      </w:r>
    </w:p>
    <w:p w:rsidR="00340FB6" w:rsidRPr="009353DC" w:rsidRDefault="00340FB6" w:rsidP="000021B2">
      <w:pPr>
        <w:numPr>
          <w:ilvl w:val="1"/>
          <w:numId w:val="93"/>
        </w:numPr>
        <w:spacing w:after="160" w:line="259" w:lineRule="auto"/>
        <w:contextualSpacing/>
        <w:rPr>
          <w:rFonts w:eastAsia="Calibri" w:cstheme="minorHAnsi"/>
          <w:lang w:eastAsia="en-US"/>
        </w:rPr>
      </w:pPr>
      <w:r w:rsidRPr="009353DC">
        <w:rPr>
          <w:rFonts w:eastAsia="Calibri" w:cstheme="minorHAnsi"/>
          <w:lang w:eastAsia="en-US"/>
        </w:rPr>
        <w:t>Puente Villa Olímpica: presenta un avance de 56%.</w:t>
      </w:r>
    </w:p>
    <w:p w:rsidR="00340FB6" w:rsidRPr="009353DC" w:rsidRDefault="00340FB6" w:rsidP="000021B2">
      <w:pPr>
        <w:numPr>
          <w:ilvl w:val="1"/>
          <w:numId w:val="93"/>
        </w:numPr>
        <w:spacing w:after="160" w:line="259" w:lineRule="auto"/>
        <w:contextualSpacing/>
        <w:rPr>
          <w:rFonts w:eastAsia="Calibri" w:cstheme="minorHAnsi"/>
          <w:lang w:eastAsia="en-US"/>
        </w:rPr>
      </w:pPr>
      <w:r w:rsidRPr="009353DC">
        <w:rPr>
          <w:rFonts w:eastAsia="Calibri" w:cstheme="minorHAnsi"/>
          <w:lang w:eastAsia="en-US"/>
        </w:rPr>
        <w:t>Puente Peatonal PIMSA K89+150 presenta un avance del 15%</w:t>
      </w:r>
    </w:p>
    <w:p w:rsidR="00340FB6" w:rsidRPr="009353DC" w:rsidRDefault="00340FB6" w:rsidP="000021B2">
      <w:pPr>
        <w:numPr>
          <w:ilvl w:val="0"/>
          <w:numId w:val="92"/>
        </w:numPr>
        <w:spacing w:after="160" w:line="259" w:lineRule="auto"/>
        <w:contextualSpacing/>
        <w:jc w:val="both"/>
        <w:rPr>
          <w:rFonts w:eastAsia="Calibri" w:cstheme="minorHAnsi"/>
          <w:lang w:eastAsia="en-US"/>
        </w:rPr>
      </w:pPr>
      <w:r w:rsidRPr="009353DC">
        <w:rPr>
          <w:rFonts w:eastAsia="Calibri" w:cstheme="minorHAnsi"/>
          <w:lang w:eastAsia="en-US"/>
        </w:rPr>
        <w:t>Construcción Puente vehicular Arroyo Cana Trayecto 8: Se cumplió la meta física.</w:t>
      </w:r>
    </w:p>
    <w:p w:rsidR="00340FB6" w:rsidRPr="009353DC" w:rsidRDefault="00340FB6" w:rsidP="000021B2">
      <w:pPr>
        <w:numPr>
          <w:ilvl w:val="0"/>
          <w:numId w:val="92"/>
        </w:numPr>
        <w:spacing w:after="160" w:line="259" w:lineRule="auto"/>
        <w:contextualSpacing/>
        <w:jc w:val="both"/>
        <w:rPr>
          <w:rFonts w:eastAsia="Calibri" w:cstheme="minorHAnsi"/>
          <w:lang w:eastAsia="en-US"/>
        </w:rPr>
      </w:pPr>
      <w:r w:rsidRPr="009353DC">
        <w:rPr>
          <w:rFonts w:eastAsia="Calibri" w:cstheme="minorHAnsi"/>
          <w:lang w:eastAsia="en-US"/>
        </w:rPr>
        <w:t>Construcción Puente vehicular El Rodeo Variante Cartagena: Se cumplió la meta física.</w:t>
      </w:r>
    </w:p>
    <w:p w:rsidR="00340FB6" w:rsidRPr="009353DC" w:rsidRDefault="00340FB6" w:rsidP="009353DC">
      <w:pPr>
        <w:spacing w:line="240" w:lineRule="auto"/>
        <w:jc w:val="both"/>
        <w:rPr>
          <w:rFonts w:eastAsia="Times New Roman" w:cs="Calibri"/>
          <w:b/>
          <w:color w:val="000000"/>
          <w:u w:val="single"/>
        </w:rPr>
      </w:pPr>
      <w:r w:rsidRPr="002C5180">
        <w:rPr>
          <w:rFonts w:ascii="Calibri" w:hAnsi="Calibri"/>
          <w:bCs/>
          <w:spacing w:val="-3"/>
        </w:rPr>
        <w:br w:type="page"/>
      </w:r>
      <w:r w:rsidR="00140337">
        <w:rPr>
          <w:rFonts w:eastAsia="Times New Roman" w:cs="Calibri"/>
          <w:b/>
          <w:color w:val="000000"/>
          <w:u w:val="single"/>
        </w:rPr>
        <w:lastRenderedPageBreak/>
        <w:t>5. P</w:t>
      </w:r>
      <w:r w:rsidRPr="009353DC">
        <w:rPr>
          <w:rFonts w:eastAsia="Times New Roman" w:cs="Calibri"/>
          <w:b/>
          <w:color w:val="000000"/>
          <w:u w:val="single"/>
        </w:rPr>
        <w:t>ROYECTO RUMICHACA PASTO CHACHAGÜÍ</w:t>
      </w:r>
    </w:p>
    <w:p w:rsidR="00340FB6" w:rsidRPr="002C5180" w:rsidRDefault="00340FB6" w:rsidP="00340FB6">
      <w:pPr>
        <w:rPr>
          <w:rFonts w:ascii="Calibri" w:hAnsi="Calibri"/>
          <w:lang w:val="es-MX" w:eastAsia="en-US"/>
        </w:rPr>
      </w:pPr>
      <w:r w:rsidRPr="002C5180">
        <w:rPr>
          <w:rFonts w:ascii="Calibri" w:hAnsi="Calibri"/>
        </w:rPr>
        <w:t>Principales actividades desarrolladas RPCHA:</w:t>
      </w:r>
    </w:p>
    <w:p w:rsidR="00340FB6" w:rsidRPr="002C5180" w:rsidRDefault="00340FB6" w:rsidP="00340FB6">
      <w:pPr>
        <w:rPr>
          <w:rFonts w:ascii="Calibri" w:hAnsi="Calibri"/>
        </w:rPr>
      </w:pPr>
    </w:p>
    <w:p w:rsidR="00340FB6" w:rsidRPr="002C5180" w:rsidRDefault="00340FB6" w:rsidP="000021B2">
      <w:pPr>
        <w:pStyle w:val="Prrafodelista"/>
        <w:numPr>
          <w:ilvl w:val="0"/>
          <w:numId w:val="94"/>
        </w:numPr>
        <w:spacing w:after="0" w:line="240" w:lineRule="auto"/>
        <w:contextualSpacing w:val="0"/>
      </w:pPr>
      <w:r w:rsidRPr="002C5180">
        <w:t>Terminación anticipada el contrato de concesión – 30 de abril de 2015</w:t>
      </w:r>
    </w:p>
    <w:p w:rsidR="00340FB6" w:rsidRPr="002C5180" w:rsidRDefault="00340FB6" w:rsidP="000021B2">
      <w:pPr>
        <w:pStyle w:val="Prrafodelista"/>
        <w:numPr>
          <w:ilvl w:val="0"/>
          <w:numId w:val="94"/>
        </w:numPr>
        <w:spacing w:after="0" w:line="240" w:lineRule="auto"/>
        <w:contextualSpacing w:val="0"/>
      </w:pPr>
      <w:r w:rsidRPr="002C5180">
        <w:t>Reversión y entrega al INVIAS del corredor vial – 4 de mayo de 2015</w:t>
      </w:r>
    </w:p>
    <w:p w:rsidR="00340FB6" w:rsidRPr="002C5180" w:rsidRDefault="00340FB6" w:rsidP="000021B2">
      <w:pPr>
        <w:pStyle w:val="Prrafodelista"/>
        <w:numPr>
          <w:ilvl w:val="0"/>
          <w:numId w:val="94"/>
        </w:numPr>
        <w:spacing w:after="0" w:line="240" w:lineRule="auto"/>
        <w:contextualSpacing w:val="0"/>
      </w:pPr>
      <w:r w:rsidRPr="002C5180">
        <w:t>Firma Otro Si No.1 del Contrato de Interventoría – 19 de mayo de 2015</w:t>
      </w:r>
    </w:p>
    <w:p w:rsidR="00340FB6" w:rsidRPr="002C5180" w:rsidRDefault="00340FB6" w:rsidP="00340FB6">
      <w:pPr>
        <w:rPr>
          <w:rFonts w:ascii="Calibri" w:hAnsi="Calibri"/>
          <w:color w:val="1F497D"/>
        </w:rPr>
      </w:pPr>
    </w:p>
    <w:p w:rsidR="00340FB6" w:rsidRPr="002C5180" w:rsidRDefault="00340FB6" w:rsidP="00340FB6">
      <w:pPr>
        <w:rPr>
          <w:rFonts w:ascii="Calibri" w:hAnsi="Calibri"/>
          <w:bCs/>
          <w:spacing w:val="-3"/>
        </w:rPr>
      </w:pPr>
    </w:p>
    <w:p w:rsidR="00340FB6" w:rsidRPr="009353DC" w:rsidRDefault="00140337" w:rsidP="009353DC">
      <w:pPr>
        <w:spacing w:line="240" w:lineRule="auto"/>
        <w:jc w:val="both"/>
        <w:rPr>
          <w:rFonts w:eastAsia="Times New Roman" w:cs="Calibri"/>
          <w:b/>
          <w:color w:val="000000"/>
          <w:u w:val="single"/>
        </w:rPr>
      </w:pPr>
      <w:r>
        <w:rPr>
          <w:rFonts w:eastAsia="Times New Roman" w:cs="Calibri"/>
          <w:b/>
          <w:color w:val="000000"/>
          <w:u w:val="single"/>
        </w:rPr>
        <w:t>6. P</w:t>
      </w:r>
      <w:r w:rsidR="00340FB6" w:rsidRPr="009353DC">
        <w:rPr>
          <w:rFonts w:eastAsia="Times New Roman" w:cs="Calibri"/>
          <w:b/>
          <w:color w:val="000000"/>
          <w:u w:val="single"/>
        </w:rPr>
        <w:t>ROYECTO RUTA DEL SOL SECTOR 1</w:t>
      </w:r>
    </w:p>
    <w:p w:rsidR="009353DC" w:rsidRDefault="009353DC" w:rsidP="00340FB6">
      <w:pPr>
        <w:autoSpaceDE w:val="0"/>
        <w:autoSpaceDN w:val="0"/>
        <w:adjustRightInd w:val="0"/>
        <w:jc w:val="both"/>
        <w:rPr>
          <w:rFonts w:ascii="Calibri" w:hAnsi="Calibri" w:cs="Arial"/>
          <w:b/>
          <w:bCs/>
          <w:i/>
        </w:rPr>
      </w:pPr>
    </w:p>
    <w:p w:rsidR="00340FB6" w:rsidRPr="002C5180" w:rsidRDefault="00140337" w:rsidP="00340FB6">
      <w:pPr>
        <w:autoSpaceDE w:val="0"/>
        <w:autoSpaceDN w:val="0"/>
        <w:adjustRightInd w:val="0"/>
        <w:jc w:val="both"/>
        <w:rPr>
          <w:rFonts w:ascii="Calibri" w:hAnsi="Calibri" w:cs="Arial"/>
          <w:b/>
          <w:bCs/>
          <w:i/>
        </w:rPr>
      </w:pPr>
      <w:r w:rsidRPr="002C5180">
        <w:rPr>
          <w:rFonts w:ascii="Calibri" w:hAnsi="Calibri" w:cs="Arial"/>
          <w:b/>
          <w:bCs/>
          <w:i/>
        </w:rPr>
        <w:t>Aspectos Técnicos</w:t>
      </w:r>
    </w:p>
    <w:p w:rsidR="00340FB6" w:rsidRPr="002C5180" w:rsidRDefault="00340FB6" w:rsidP="00340FB6">
      <w:pPr>
        <w:jc w:val="both"/>
        <w:rPr>
          <w:rFonts w:ascii="Calibri" w:hAnsi="Calibri" w:cs="Arial"/>
        </w:rPr>
      </w:pPr>
      <w:r w:rsidRPr="002C5180">
        <w:rPr>
          <w:rFonts w:ascii="Calibri" w:hAnsi="Calibri" w:cs="Arial"/>
        </w:rPr>
        <w:t>A continuación se presenta un análisis global respecto del avance del proyecto, el cual indica el estado del plan de obra contractual. El comparativo con el cual se hace el análisis corresponde a la obra totalmente ejecutada (incluida y no incluida en los pagos) a junio 30 de 2015, con base en el Índice Físico Global de Obra, establecido en el Contrato de Concesión.</w:t>
      </w:r>
    </w:p>
    <w:p w:rsidR="00340FB6" w:rsidRPr="002C5180" w:rsidRDefault="00340FB6" w:rsidP="00340FB6">
      <w:pPr>
        <w:autoSpaceDE w:val="0"/>
        <w:autoSpaceDN w:val="0"/>
        <w:adjustRightInd w:val="0"/>
        <w:jc w:val="center"/>
        <w:rPr>
          <w:rFonts w:ascii="Calibri" w:hAnsi="Calibri" w:cs="Arial"/>
          <w:b/>
          <w:bCs/>
        </w:rPr>
      </w:pPr>
    </w:p>
    <w:p w:rsidR="00340FB6" w:rsidRPr="002C5180" w:rsidRDefault="00340FB6" w:rsidP="00340FB6">
      <w:pPr>
        <w:autoSpaceDE w:val="0"/>
        <w:autoSpaceDN w:val="0"/>
        <w:adjustRightInd w:val="0"/>
        <w:jc w:val="center"/>
        <w:rPr>
          <w:rFonts w:ascii="Calibri" w:hAnsi="Calibri" w:cs="Arial"/>
          <w:b/>
          <w:bCs/>
        </w:rPr>
      </w:pPr>
    </w:p>
    <w:p w:rsidR="00340FB6" w:rsidRPr="002C5180" w:rsidRDefault="00340FB6" w:rsidP="00340FB6">
      <w:pPr>
        <w:autoSpaceDE w:val="0"/>
        <w:autoSpaceDN w:val="0"/>
        <w:adjustRightInd w:val="0"/>
        <w:jc w:val="center"/>
        <w:rPr>
          <w:rFonts w:ascii="Calibri" w:hAnsi="Calibri" w:cs="Arial"/>
          <w:bCs/>
        </w:rPr>
      </w:pPr>
      <w:r w:rsidRPr="002C5180">
        <w:rPr>
          <w:rFonts w:ascii="Calibri" w:hAnsi="Calibri" w:cs="Arial"/>
          <w:b/>
          <w:bCs/>
        </w:rPr>
        <w:t xml:space="preserve">Grafica No. 1 </w:t>
      </w:r>
      <w:r w:rsidRPr="002C5180">
        <w:rPr>
          <w:rFonts w:ascii="Calibri" w:hAnsi="Calibri" w:cs="Arial"/>
          <w:bCs/>
        </w:rPr>
        <w:t>Avance General del Proyecto</w:t>
      </w:r>
    </w:p>
    <w:p w:rsidR="00340FB6" w:rsidRPr="002C5180" w:rsidRDefault="00340FB6" w:rsidP="00340FB6">
      <w:pPr>
        <w:jc w:val="center"/>
        <w:rPr>
          <w:rFonts w:ascii="Calibri" w:hAnsi="Calibri"/>
        </w:rPr>
      </w:pPr>
      <w:r w:rsidRPr="002C5180">
        <w:rPr>
          <w:rFonts w:ascii="Calibri" w:hAnsi="Calibri"/>
          <w:noProof/>
        </w:rPr>
        <w:drawing>
          <wp:inline distT="0" distB="0" distL="0" distR="0" wp14:anchorId="54995A89" wp14:editId="1A332106">
            <wp:extent cx="4138930" cy="2135505"/>
            <wp:effectExtent l="0" t="0" r="13970" b="17145"/>
            <wp:docPr id="15375" name="Gráfico 153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rsidR="00340FB6" w:rsidRPr="002C5180" w:rsidRDefault="00340FB6" w:rsidP="00340FB6">
      <w:pPr>
        <w:jc w:val="center"/>
        <w:rPr>
          <w:rFonts w:ascii="Calibri" w:hAnsi="Calibri"/>
        </w:rPr>
      </w:pPr>
    </w:p>
    <w:tbl>
      <w:tblPr>
        <w:tblW w:w="6364"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2120"/>
        <w:gridCol w:w="1200"/>
        <w:gridCol w:w="1321"/>
        <w:gridCol w:w="1723"/>
      </w:tblGrid>
      <w:tr w:rsidR="00340FB6" w:rsidRPr="002C5180" w:rsidTr="00340FB6">
        <w:trPr>
          <w:trHeight w:val="315"/>
          <w:jc w:val="center"/>
        </w:trPr>
        <w:tc>
          <w:tcPr>
            <w:tcW w:w="2120" w:type="dxa"/>
            <w:vMerge w:val="restart"/>
            <w:tcBorders>
              <w:bottom w:val="single" w:sz="12" w:space="0" w:color="A8D08D"/>
            </w:tcBorders>
            <w:shd w:val="clear" w:color="auto" w:fill="auto"/>
            <w:noWrap/>
            <w:hideMark/>
          </w:tcPr>
          <w:p w:rsidR="00340FB6" w:rsidRPr="002C5180" w:rsidRDefault="00340FB6" w:rsidP="00340FB6">
            <w:pPr>
              <w:jc w:val="center"/>
              <w:rPr>
                <w:rFonts w:ascii="Calibri" w:eastAsia="Calibri" w:hAnsi="Calibri"/>
                <w:b/>
                <w:bCs/>
                <w:color w:val="000000"/>
              </w:rPr>
            </w:pPr>
            <w:r w:rsidRPr="002C5180">
              <w:rPr>
                <w:rFonts w:ascii="Calibri" w:eastAsia="Calibri" w:hAnsi="Calibri"/>
                <w:color w:val="000000"/>
              </w:rPr>
              <w:t>Ruta del Sol - Sector 1 incluyendo Tramo 1</w:t>
            </w:r>
          </w:p>
        </w:tc>
        <w:tc>
          <w:tcPr>
            <w:tcW w:w="1200" w:type="dxa"/>
            <w:tcBorders>
              <w:bottom w:val="single" w:sz="12" w:space="0" w:color="A8D08D"/>
            </w:tcBorders>
            <w:shd w:val="clear" w:color="auto" w:fill="auto"/>
            <w:noWrap/>
            <w:hideMark/>
          </w:tcPr>
          <w:p w:rsidR="00340FB6" w:rsidRPr="002C5180" w:rsidRDefault="00340FB6" w:rsidP="00340FB6">
            <w:pPr>
              <w:jc w:val="center"/>
              <w:rPr>
                <w:rFonts w:ascii="Calibri" w:eastAsia="Calibri" w:hAnsi="Calibri"/>
                <w:b/>
                <w:bCs/>
                <w:color w:val="000000"/>
              </w:rPr>
            </w:pPr>
            <w:r w:rsidRPr="002C5180">
              <w:rPr>
                <w:rFonts w:ascii="Calibri" w:eastAsia="Calibri" w:hAnsi="Calibri"/>
                <w:color w:val="000000"/>
              </w:rPr>
              <w:t>Ejecutado %</w:t>
            </w:r>
          </w:p>
        </w:tc>
        <w:tc>
          <w:tcPr>
            <w:tcW w:w="1321" w:type="dxa"/>
            <w:tcBorders>
              <w:bottom w:val="single" w:sz="12" w:space="0" w:color="A8D08D"/>
            </w:tcBorders>
            <w:shd w:val="clear" w:color="auto" w:fill="auto"/>
            <w:noWrap/>
            <w:hideMark/>
          </w:tcPr>
          <w:p w:rsidR="00340FB6" w:rsidRPr="002C5180" w:rsidRDefault="00340FB6" w:rsidP="00340FB6">
            <w:pPr>
              <w:jc w:val="center"/>
              <w:rPr>
                <w:rFonts w:ascii="Calibri" w:eastAsia="Calibri" w:hAnsi="Calibri"/>
                <w:b/>
                <w:bCs/>
                <w:color w:val="000000"/>
              </w:rPr>
            </w:pPr>
            <w:r w:rsidRPr="002C5180">
              <w:rPr>
                <w:rFonts w:ascii="Calibri" w:eastAsia="Calibri" w:hAnsi="Calibri"/>
                <w:color w:val="000000"/>
              </w:rPr>
              <w:t>Programado %</w:t>
            </w:r>
          </w:p>
        </w:tc>
        <w:tc>
          <w:tcPr>
            <w:tcW w:w="1723" w:type="dxa"/>
            <w:tcBorders>
              <w:bottom w:val="single" w:sz="12" w:space="0" w:color="A8D08D"/>
            </w:tcBorders>
            <w:shd w:val="clear" w:color="auto" w:fill="auto"/>
            <w:noWrap/>
            <w:hideMark/>
          </w:tcPr>
          <w:p w:rsidR="00340FB6" w:rsidRPr="002C5180" w:rsidRDefault="00340FB6" w:rsidP="00340FB6">
            <w:pPr>
              <w:rPr>
                <w:rFonts w:ascii="Calibri" w:eastAsia="Calibri" w:hAnsi="Calibri"/>
                <w:b/>
                <w:bCs/>
                <w:color w:val="000000"/>
              </w:rPr>
            </w:pPr>
            <w:r w:rsidRPr="002C5180">
              <w:rPr>
                <w:rFonts w:ascii="Calibri" w:eastAsia="Calibri" w:hAnsi="Calibri"/>
                <w:color w:val="000000"/>
              </w:rPr>
              <w:t>(+) % Atraso/         (-) % Adelanto</w:t>
            </w:r>
          </w:p>
        </w:tc>
      </w:tr>
      <w:tr w:rsidR="00340FB6" w:rsidRPr="002C5180" w:rsidTr="00340FB6">
        <w:trPr>
          <w:trHeight w:val="315"/>
          <w:jc w:val="center"/>
        </w:trPr>
        <w:tc>
          <w:tcPr>
            <w:tcW w:w="2120" w:type="dxa"/>
            <w:vMerge/>
            <w:shd w:val="clear" w:color="auto" w:fill="auto"/>
            <w:hideMark/>
          </w:tcPr>
          <w:p w:rsidR="00340FB6" w:rsidRPr="002C5180" w:rsidRDefault="00340FB6" w:rsidP="00340FB6">
            <w:pPr>
              <w:rPr>
                <w:rFonts w:ascii="Calibri" w:eastAsia="Calibri" w:hAnsi="Calibri"/>
                <w:b/>
                <w:bCs/>
                <w:color w:val="000000"/>
              </w:rPr>
            </w:pPr>
          </w:p>
        </w:tc>
        <w:tc>
          <w:tcPr>
            <w:tcW w:w="1200" w:type="dxa"/>
            <w:shd w:val="clear" w:color="auto" w:fill="auto"/>
            <w:noWrap/>
            <w:hideMark/>
          </w:tcPr>
          <w:p w:rsidR="00340FB6" w:rsidRPr="002C5180" w:rsidRDefault="00340FB6" w:rsidP="00340FB6">
            <w:pPr>
              <w:jc w:val="center"/>
              <w:rPr>
                <w:rFonts w:ascii="Calibri" w:eastAsia="Calibri" w:hAnsi="Calibri"/>
                <w:color w:val="000000"/>
              </w:rPr>
            </w:pPr>
            <w:r w:rsidRPr="002C5180">
              <w:rPr>
                <w:rFonts w:ascii="Calibri" w:eastAsia="Calibri" w:hAnsi="Calibri"/>
                <w:color w:val="000000"/>
              </w:rPr>
              <w:t>48.23</w:t>
            </w:r>
          </w:p>
        </w:tc>
        <w:tc>
          <w:tcPr>
            <w:tcW w:w="1321" w:type="dxa"/>
            <w:shd w:val="clear" w:color="auto" w:fill="auto"/>
            <w:noWrap/>
            <w:hideMark/>
          </w:tcPr>
          <w:p w:rsidR="00340FB6" w:rsidRPr="002C5180" w:rsidRDefault="00340FB6" w:rsidP="00340FB6">
            <w:pPr>
              <w:jc w:val="center"/>
              <w:rPr>
                <w:rFonts w:ascii="Calibri" w:eastAsia="Calibri" w:hAnsi="Calibri"/>
                <w:color w:val="000000"/>
              </w:rPr>
            </w:pPr>
            <w:r w:rsidRPr="002C5180">
              <w:rPr>
                <w:rFonts w:ascii="Calibri" w:eastAsia="Calibri" w:hAnsi="Calibri"/>
                <w:color w:val="000000"/>
              </w:rPr>
              <w:t>95.00</w:t>
            </w:r>
          </w:p>
        </w:tc>
        <w:tc>
          <w:tcPr>
            <w:tcW w:w="1723" w:type="dxa"/>
            <w:shd w:val="clear" w:color="auto" w:fill="auto"/>
            <w:noWrap/>
            <w:hideMark/>
          </w:tcPr>
          <w:p w:rsidR="00340FB6" w:rsidRPr="002C5180" w:rsidRDefault="00340FB6" w:rsidP="00340FB6">
            <w:pPr>
              <w:jc w:val="center"/>
              <w:rPr>
                <w:rFonts w:ascii="Calibri" w:eastAsia="Calibri" w:hAnsi="Calibri"/>
                <w:color w:val="000000"/>
              </w:rPr>
            </w:pPr>
            <w:r w:rsidRPr="002C5180">
              <w:rPr>
                <w:rFonts w:ascii="Calibri" w:eastAsia="Calibri" w:hAnsi="Calibri"/>
                <w:color w:val="000000"/>
              </w:rPr>
              <w:t>(+)46,77</w:t>
            </w:r>
          </w:p>
        </w:tc>
      </w:tr>
    </w:tbl>
    <w:p w:rsidR="00340FB6" w:rsidRPr="002C5180" w:rsidRDefault="00340FB6" w:rsidP="00340FB6">
      <w:pPr>
        <w:jc w:val="both"/>
        <w:rPr>
          <w:rFonts w:ascii="Calibri" w:hAnsi="Calibri" w:cs="Arial"/>
        </w:rPr>
      </w:pPr>
    </w:p>
    <w:p w:rsidR="00340FB6" w:rsidRPr="002C5180" w:rsidRDefault="00340FB6" w:rsidP="00340FB6">
      <w:pPr>
        <w:autoSpaceDE w:val="0"/>
        <w:autoSpaceDN w:val="0"/>
        <w:adjustRightInd w:val="0"/>
        <w:jc w:val="center"/>
        <w:rPr>
          <w:rFonts w:ascii="Calibri" w:hAnsi="Calibri" w:cs="Arial"/>
          <w:bCs/>
          <w:i/>
        </w:rPr>
      </w:pPr>
      <w:r w:rsidRPr="002C5180">
        <w:rPr>
          <w:rFonts w:ascii="Calibri" w:hAnsi="Calibri" w:cs="Arial"/>
          <w:b/>
          <w:bCs/>
        </w:rPr>
        <w:t xml:space="preserve">Grafica No. 2 </w:t>
      </w:r>
      <w:r w:rsidRPr="002C5180">
        <w:rPr>
          <w:rFonts w:ascii="Calibri" w:hAnsi="Calibri" w:cs="Arial"/>
          <w:bCs/>
        </w:rPr>
        <w:t>Avance del Proyecto (Sin incluir tramo 1)</w:t>
      </w:r>
    </w:p>
    <w:p w:rsidR="00340FB6" w:rsidRPr="002C5180" w:rsidRDefault="00340FB6" w:rsidP="00340FB6">
      <w:pPr>
        <w:jc w:val="center"/>
        <w:rPr>
          <w:rFonts w:ascii="Calibri" w:hAnsi="Calibri"/>
        </w:rPr>
      </w:pPr>
      <w:r w:rsidRPr="002C5180">
        <w:rPr>
          <w:rFonts w:ascii="Calibri" w:hAnsi="Calibri"/>
          <w:noProof/>
        </w:rPr>
        <w:drawing>
          <wp:inline distT="0" distB="0" distL="0" distR="0" wp14:anchorId="3686A232" wp14:editId="660928C9">
            <wp:extent cx="4078605" cy="1870710"/>
            <wp:effectExtent l="0" t="0" r="17145" b="15240"/>
            <wp:docPr id="15374" name="Gráfico 153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rsidR="00340FB6" w:rsidRPr="002C5180" w:rsidRDefault="00340FB6" w:rsidP="00340FB6">
      <w:pPr>
        <w:jc w:val="center"/>
        <w:rPr>
          <w:rFonts w:ascii="Calibri" w:hAnsi="Calibri"/>
        </w:rPr>
      </w:pPr>
    </w:p>
    <w:tbl>
      <w:tblPr>
        <w:tblW w:w="6364"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2120"/>
        <w:gridCol w:w="1200"/>
        <w:gridCol w:w="1321"/>
        <w:gridCol w:w="1723"/>
      </w:tblGrid>
      <w:tr w:rsidR="00340FB6" w:rsidRPr="002C5180" w:rsidTr="00340FB6">
        <w:trPr>
          <w:trHeight w:val="315"/>
          <w:jc w:val="center"/>
        </w:trPr>
        <w:tc>
          <w:tcPr>
            <w:tcW w:w="2120" w:type="dxa"/>
            <w:vMerge w:val="restart"/>
            <w:tcBorders>
              <w:bottom w:val="single" w:sz="12" w:space="0" w:color="A8D08D"/>
            </w:tcBorders>
            <w:shd w:val="clear" w:color="auto" w:fill="auto"/>
            <w:noWrap/>
            <w:hideMark/>
          </w:tcPr>
          <w:p w:rsidR="00340FB6" w:rsidRPr="002C5180" w:rsidRDefault="00340FB6" w:rsidP="00340FB6">
            <w:pPr>
              <w:jc w:val="center"/>
              <w:rPr>
                <w:rFonts w:ascii="Calibri" w:eastAsia="Calibri" w:hAnsi="Calibri"/>
                <w:b/>
                <w:bCs/>
                <w:color w:val="000000"/>
              </w:rPr>
            </w:pPr>
            <w:r w:rsidRPr="002C5180">
              <w:rPr>
                <w:rFonts w:ascii="Calibri" w:eastAsia="Calibri" w:hAnsi="Calibri"/>
                <w:color w:val="000000"/>
              </w:rPr>
              <w:t>Ruta del Sol - Sector 1 sin incluir Tramo 1</w:t>
            </w:r>
          </w:p>
        </w:tc>
        <w:tc>
          <w:tcPr>
            <w:tcW w:w="1200" w:type="dxa"/>
            <w:tcBorders>
              <w:bottom w:val="single" w:sz="12" w:space="0" w:color="A8D08D"/>
            </w:tcBorders>
            <w:shd w:val="clear" w:color="auto" w:fill="auto"/>
            <w:noWrap/>
            <w:hideMark/>
          </w:tcPr>
          <w:p w:rsidR="00340FB6" w:rsidRPr="002C5180" w:rsidRDefault="00340FB6" w:rsidP="00340FB6">
            <w:pPr>
              <w:jc w:val="center"/>
              <w:rPr>
                <w:rFonts w:ascii="Calibri" w:eastAsia="Calibri" w:hAnsi="Calibri"/>
                <w:b/>
                <w:bCs/>
                <w:color w:val="000000"/>
              </w:rPr>
            </w:pPr>
            <w:r w:rsidRPr="002C5180">
              <w:rPr>
                <w:rFonts w:ascii="Calibri" w:eastAsia="Calibri" w:hAnsi="Calibri"/>
                <w:color w:val="000000"/>
              </w:rPr>
              <w:t>Ejecutado %</w:t>
            </w:r>
          </w:p>
        </w:tc>
        <w:tc>
          <w:tcPr>
            <w:tcW w:w="1321" w:type="dxa"/>
            <w:tcBorders>
              <w:bottom w:val="single" w:sz="12" w:space="0" w:color="A8D08D"/>
            </w:tcBorders>
            <w:shd w:val="clear" w:color="auto" w:fill="auto"/>
            <w:noWrap/>
            <w:hideMark/>
          </w:tcPr>
          <w:p w:rsidR="00340FB6" w:rsidRPr="002C5180" w:rsidRDefault="00340FB6" w:rsidP="00340FB6">
            <w:pPr>
              <w:jc w:val="center"/>
              <w:rPr>
                <w:rFonts w:ascii="Calibri" w:eastAsia="Calibri" w:hAnsi="Calibri"/>
                <w:b/>
                <w:bCs/>
                <w:color w:val="000000"/>
              </w:rPr>
            </w:pPr>
            <w:r w:rsidRPr="002C5180">
              <w:rPr>
                <w:rFonts w:ascii="Calibri" w:eastAsia="Calibri" w:hAnsi="Calibri"/>
                <w:color w:val="000000"/>
              </w:rPr>
              <w:t>Programado %</w:t>
            </w:r>
          </w:p>
        </w:tc>
        <w:tc>
          <w:tcPr>
            <w:tcW w:w="1723" w:type="dxa"/>
            <w:tcBorders>
              <w:bottom w:val="single" w:sz="12" w:space="0" w:color="A8D08D"/>
            </w:tcBorders>
            <w:shd w:val="clear" w:color="auto" w:fill="auto"/>
            <w:noWrap/>
            <w:hideMark/>
          </w:tcPr>
          <w:p w:rsidR="00340FB6" w:rsidRPr="002C5180" w:rsidRDefault="00340FB6" w:rsidP="00340FB6">
            <w:pPr>
              <w:rPr>
                <w:rFonts w:ascii="Calibri" w:eastAsia="Calibri" w:hAnsi="Calibri"/>
                <w:b/>
                <w:bCs/>
                <w:color w:val="000000"/>
              </w:rPr>
            </w:pPr>
            <w:r w:rsidRPr="002C5180">
              <w:rPr>
                <w:rFonts w:ascii="Calibri" w:eastAsia="Calibri" w:hAnsi="Calibri"/>
                <w:color w:val="000000"/>
              </w:rPr>
              <w:t>(+) % Atraso/       (-) % Adelanto</w:t>
            </w:r>
          </w:p>
        </w:tc>
      </w:tr>
      <w:tr w:rsidR="00340FB6" w:rsidRPr="002C5180" w:rsidTr="00340FB6">
        <w:trPr>
          <w:trHeight w:val="315"/>
          <w:jc w:val="center"/>
        </w:trPr>
        <w:tc>
          <w:tcPr>
            <w:tcW w:w="2120" w:type="dxa"/>
            <w:vMerge/>
            <w:shd w:val="clear" w:color="auto" w:fill="auto"/>
            <w:hideMark/>
          </w:tcPr>
          <w:p w:rsidR="00340FB6" w:rsidRPr="002C5180" w:rsidRDefault="00340FB6" w:rsidP="00340FB6">
            <w:pPr>
              <w:rPr>
                <w:rFonts w:ascii="Calibri" w:eastAsia="Calibri" w:hAnsi="Calibri"/>
                <w:b/>
                <w:bCs/>
                <w:color w:val="000000"/>
              </w:rPr>
            </w:pPr>
          </w:p>
        </w:tc>
        <w:tc>
          <w:tcPr>
            <w:tcW w:w="1200" w:type="dxa"/>
            <w:shd w:val="clear" w:color="auto" w:fill="auto"/>
            <w:noWrap/>
            <w:hideMark/>
          </w:tcPr>
          <w:p w:rsidR="00340FB6" w:rsidRPr="002C5180" w:rsidRDefault="00340FB6" w:rsidP="00340FB6">
            <w:pPr>
              <w:jc w:val="center"/>
              <w:rPr>
                <w:rFonts w:ascii="Calibri" w:eastAsia="Calibri" w:hAnsi="Calibri"/>
                <w:color w:val="000000"/>
              </w:rPr>
            </w:pPr>
            <w:r w:rsidRPr="002C5180">
              <w:rPr>
                <w:rFonts w:ascii="Calibri" w:eastAsia="Calibri" w:hAnsi="Calibri"/>
                <w:color w:val="000000"/>
              </w:rPr>
              <w:t>48.23</w:t>
            </w:r>
          </w:p>
        </w:tc>
        <w:tc>
          <w:tcPr>
            <w:tcW w:w="1321" w:type="dxa"/>
            <w:shd w:val="clear" w:color="auto" w:fill="auto"/>
            <w:noWrap/>
            <w:hideMark/>
          </w:tcPr>
          <w:p w:rsidR="00340FB6" w:rsidRPr="002C5180" w:rsidRDefault="00340FB6" w:rsidP="00340FB6">
            <w:pPr>
              <w:jc w:val="center"/>
              <w:rPr>
                <w:rFonts w:ascii="Calibri" w:eastAsia="Calibri" w:hAnsi="Calibri"/>
                <w:color w:val="000000"/>
              </w:rPr>
            </w:pPr>
            <w:r w:rsidRPr="002C5180">
              <w:rPr>
                <w:rFonts w:ascii="Calibri" w:eastAsia="Calibri" w:hAnsi="Calibri"/>
                <w:color w:val="000000"/>
              </w:rPr>
              <w:t>48.24</w:t>
            </w:r>
          </w:p>
        </w:tc>
        <w:tc>
          <w:tcPr>
            <w:tcW w:w="1723" w:type="dxa"/>
            <w:shd w:val="clear" w:color="auto" w:fill="auto"/>
            <w:noWrap/>
            <w:hideMark/>
          </w:tcPr>
          <w:p w:rsidR="00340FB6" w:rsidRPr="002C5180" w:rsidRDefault="00340FB6" w:rsidP="00340FB6">
            <w:pPr>
              <w:jc w:val="center"/>
              <w:rPr>
                <w:rFonts w:ascii="Calibri" w:eastAsia="Calibri" w:hAnsi="Calibri"/>
                <w:color w:val="000000"/>
              </w:rPr>
            </w:pPr>
            <w:r w:rsidRPr="002C5180">
              <w:rPr>
                <w:rFonts w:ascii="Calibri" w:eastAsia="Calibri" w:hAnsi="Calibri"/>
                <w:color w:val="000000"/>
              </w:rPr>
              <w:t>(+) 0,1</w:t>
            </w:r>
          </w:p>
        </w:tc>
      </w:tr>
    </w:tbl>
    <w:p w:rsidR="00340FB6" w:rsidRPr="002C5180" w:rsidRDefault="00340FB6" w:rsidP="00340FB6">
      <w:pPr>
        <w:autoSpaceDE w:val="0"/>
        <w:autoSpaceDN w:val="0"/>
        <w:adjustRightInd w:val="0"/>
        <w:jc w:val="both"/>
        <w:rPr>
          <w:rFonts w:ascii="Calibri" w:hAnsi="Calibri"/>
        </w:rPr>
      </w:pPr>
    </w:p>
    <w:p w:rsidR="00340FB6" w:rsidRPr="002C5180" w:rsidRDefault="00340FB6" w:rsidP="00340FB6">
      <w:pPr>
        <w:autoSpaceDE w:val="0"/>
        <w:autoSpaceDN w:val="0"/>
        <w:adjustRightInd w:val="0"/>
        <w:jc w:val="both"/>
        <w:rPr>
          <w:rFonts w:ascii="Calibri" w:hAnsi="Calibri" w:cs="Arial"/>
          <w:bCs/>
          <w:u w:val="single"/>
        </w:rPr>
      </w:pPr>
      <w:r w:rsidRPr="002C5180">
        <w:rPr>
          <w:rFonts w:ascii="Calibri" w:hAnsi="Calibri" w:cs="Arial"/>
          <w:bCs/>
          <w:u w:val="single"/>
        </w:rPr>
        <w:t xml:space="preserve">Avance Doble Calzada </w:t>
      </w:r>
    </w:p>
    <w:p w:rsidR="00340FB6" w:rsidRPr="002C5180" w:rsidRDefault="00340FB6" w:rsidP="00340FB6">
      <w:pPr>
        <w:autoSpaceDE w:val="0"/>
        <w:autoSpaceDN w:val="0"/>
        <w:adjustRightInd w:val="0"/>
        <w:jc w:val="both"/>
        <w:rPr>
          <w:rFonts w:ascii="Calibri" w:hAnsi="Calibri" w:cs="Arial"/>
          <w:bCs/>
          <w:u w:val="single"/>
        </w:rPr>
      </w:pPr>
      <w:r w:rsidRPr="002C5180">
        <w:rPr>
          <w:rFonts w:ascii="Calibri" w:hAnsi="Calibri" w:cs="Arial"/>
          <w:bCs/>
          <w:u w:val="single"/>
        </w:rPr>
        <w:t xml:space="preserve"> </w:t>
      </w:r>
    </w:p>
    <w:p w:rsidR="00340FB6" w:rsidRPr="002C5180" w:rsidRDefault="00340FB6" w:rsidP="00340FB6">
      <w:pPr>
        <w:widowControl w:val="0"/>
        <w:autoSpaceDE w:val="0"/>
        <w:autoSpaceDN w:val="0"/>
        <w:adjustRightInd w:val="0"/>
        <w:ind w:right="20"/>
        <w:rPr>
          <w:rFonts w:ascii="Calibri" w:hAnsi="Calibri" w:cs="Arial"/>
          <w:b/>
        </w:rPr>
      </w:pPr>
    </w:p>
    <w:tbl>
      <w:tblPr>
        <w:tblW w:w="7337"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ook w:val="04A0" w:firstRow="1" w:lastRow="0" w:firstColumn="1" w:lastColumn="0" w:noHBand="0" w:noVBand="1"/>
      </w:tblPr>
      <w:tblGrid>
        <w:gridCol w:w="3737"/>
        <w:gridCol w:w="1200"/>
        <w:gridCol w:w="1200"/>
        <w:gridCol w:w="1200"/>
      </w:tblGrid>
      <w:tr w:rsidR="00340FB6" w:rsidRPr="002C5180" w:rsidTr="00340FB6">
        <w:trPr>
          <w:trHeight w:val="315"/>
          <w:jc w:val="center"/>
        </w:trPr>
        <w:tc>
          <w:tcPr>
            <w:tcW w:w="3737" w:type="dxa"/>
            <w:tcBorders>
              <w:bottom w:val="single" w:sz="12" w:space="0" w:color="A8D08D"/>
            </w:tcBorders>
            <w:shd w:val="clear" w:color="auto" w:fill="D9D9D9"/>
            <w:noWrap/>
            <w:vAlign w:val="center"/>
            <w:hideMark/>
          </w:tcPr>
          <w:p w:rsidR="00340FB6" w:rsidRPr="002C5180" w:rsidRDefault="00340FB6" w:rsidP="00340FB6">
            <w:pPr>
              <w:jc w:val="center"/>
              <w:rPr>
                <w:rFonts w:ascii="Calibri" w:hAnsi="Calibri" w:cs="Calibri"/>
                <w:b/>
                <w:bCs/>
                <w:color w:val="000000"/>
              </w:rPr>
            </w:pPr>
            <w:r w:rsidRPr="002C5180">
              <w:rPr>
                <w:rFonts w:ascii="Calibri" w:hAnsi="Calibri" w:cs="Calibri"/>
                <w:color w:val="000000"/>
              </w:rPr>
              <w:t>AVANCE CONSOLIDADO RDS1</w:t>
            </w:r>
          </w:p>
        </w:tc>
        <w:tc>
          <w:tcPr>
            <w:tcW w:w="1200" w:type="dxa"/>
            <w:tcBorders>
              <w:bottom w:val="single" w:sz="12" w:space="0" w:color="A8D08D"/>
            </w:tcBorders>
            <w:shd w:val="clear" w:color="auto" w:fill="D9D9D9"/>
            <w:noWrap/>
            <w:vAlign w:val="center"/>
            <w:hideMark/>
          </w:tcPr>
          <w:p w:rsidR="00340FB6" w:rsidRPr="002C5180" w:rsidRDefault="00340FB6" w:rsidP="00340FB6">
            <w:pPr>
              <w:jc w:val="center"/>
              <w:rPr>
                <w:rFonts w:ascii="Calibri" w:hAnsi="Calibri" w:cs="Calibri"/>
                <w:b/>
                <w:bCs/>
                <w:color w:val="000000"/>
              </w:rPr>
            </w:pPr>
            <w:r w:rsidRPr="002C5180">
              <w:rPr>
                <w:rFonts w:ascii="Calibri" w:hAnsi="Calibri" w:cs="Calibri"/>
                <w:bCs/>
                <w:color w:val="000000"/>
              </w:rPr>
              <w:t>TRAMO 2A</w:t>
            </w:r>
          </w:p>
        </w:tc>
        <w:tc>
          <w:tcPr>
            <w:tcW w:w="1200" w:type="dxa"/>
            <w:tcBorders>
              <w:bottom w:val="single" w:sz="12" w:space="0" w:color="A8D08D"/>
            </w:tcBorders>
            <w:shd w:val="clear" w:color="auto" w:fill="D9D9D9"/>
            <w:noWrap/>
            <w:vAlign w:val="center"/>
            <w:hideMark/>
          </w:tcPr>
          <w:p w:rsidR="00340FB6" w:rsidRPr="002C5180" w:rsidRDefault="00340FB6" w:rsidP="00340FB6">
            <w:pPr>
              <w:jc w:val="center"/>
              <w:rPr>
                <w:rFonts w:ascii="Calibri" w:hAnsi="Calibri" w:cs="Calibri"/>
                <w:b/>
                <w:bCs/>
                <w:color w:val="000000"/>
              </w:rPr>
            </w:pPr>
            <w:r w:rsidRPr="002C5180">
              <w:rPr>
                <w:rFonts w:ascii="Calibri" w:hAnsi="Calibri" w:cs="Calibri"/>
                <w:bCs/>
                <w:color w:val="000000"/>
              </w:rPr>
              <w:t>TRAMO 2B</w:t>
            </w:r>
          </w:p>
        </w:tc>
        <w:tc>
          <w:tcPr>
            <w:tcW w:w="1200" w:type="dxa"/>
            <w:tcBorders>
              <w:bottom w:val="single" w:sz="12" w:space="0" w:color="A8D08D"/>
            </w:tcBorders>
            <w:shd w:val="clear" w:color="auto" w:fill="D9D9D9"/>
            <w:noWrap/>
            <w:vAlign w:val="center"/>
            <w:hideMark/>
          </w:tcPr>
          <w:p w:rsidR="00340FB6" w:rsidRPr="002C5180" w:rsidRDefault="00340FB6" w:rsidP="00340FB6">
            <w:pPr>
              <w:jc w:val="center"/>
              <w:rPr>
                <w:rFonts w:ascii="Calibri" w:hAnsi="Calibri" w:cs="Calibri"/>
                <w:b/>
                <w:bCs/>
                <w:color w:val="000000"/>
              </w:rPr>
            </w:pPr>
            <w:r w:rsidRPr="002C5180">
              <w:rPr>
                <w:rFonts w:ascii="Calibri" w:hAnsi="Calibri" w:cs="Calibri"/>
                <w:bCs/>
                <w:color w:val="000000"/>
              </w:rPr>
              <w:t>TOTALES</w:t>
            </w:r>
          </w:p>
        </w:tc>
      </w:tr>
      <w:tr w:rsidR="00340FB6" w:rsidRPr="002C5180" w:rsidTr="00340FB6">
        <w:trPr>
          <w:trHeight w:val="315"/>
          <w:jc w:val="center"/>
        </w:trPr>
        <w:tc>
          <w:tcPr>
            <w:tcW w:w="3737" w:type="dxa"/>
            <w:shd w:val="clear" w:color="auto" w:fill="auto"/>
            <w:noWrap/>
            <w:hideMark/>
          </w:tcPr>
          <w:p w:rsidR="00340FB6" w:rsidRPr="002C5180" w:rsidRDefault="00340FB6" w:rsidP="00340FB6">
            <w:pPr>
              <w:jc w:val="center"/>
              <w:rPr>
                <w:rFonts w:ascii="Calibri" w:hAnsi="Calibri" w:cs="Calibri"/>
                <w:b/>
                <w:bCs/>
                <w:color w:val="000000"/>
              </w:rPr>
            </w:pPr>
            <w:r w:rsidRPr="002C5180">
              <w:rPr>
                <w:rFonts w:ascii="Calibri" w:hAnsi="Calibri" w:cs="Calibri"/>
                <w:bCs/>
                <w:color w:val="000000"/>
              </w:rPr>
              <w:t>Base Asfáltica</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27.00</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29.03</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56,03</w:t>
            </w:r>
          </w:p>
        </w:tc>
      </w:tr>
      <w:tr w:rsidR="00340FB6" w:rsidRPr="002C5180" w:rsidTr="00340FB6">
        <w:trPr>
          <w:trHeight w:val="315"/>
          <w:jc w:val="center"/>
        </w:trPr>
        <w:tc>
          <w:tcPr>
            <w:tcW w:w="3737" w:type="dxa"/>
            <w:shd w:val="clear" w:color="auto" w:fill="auto"/>
            <w:noWrap/>
            <w:hideMark/>
          </w:tcPr>
          <w:p w:rsidR="00340FB6" w:rsidRPr="002C5180" w:rsidRDefault="00340FB6" w:rsidP="00340FB6">
            <w:pPr>
              <w:jc w:val="center"/>
              <w:rPr>
                <w:rFonts w:ascii="Calibri" w:hAnsi="Calibri" w:cs="Calibri"/>
                <w:b/>
                <w:bCs/>
                <w:color w:val="000000"/>
              </w:rPr>
            </w:pPr>
            <w:r w:rsidRPr="002C5180">
              <w:rPr>
                <w:rFonts w:ascii="Calibri" w:hAnsi="Calibri" w:cs="Calibri"/>
                <w:bCs/>
                <w:color w:val="000000"/>
              </w:rPr>
              <w:t>Rodadura Primera Capa</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25.52</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25.54</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51.06</w:t>
            </w:r>
          </w:p>
        </w:tc>
      </w:tr>
      <w:tr w:rsidR="00340FB6" w:rsidRPr="002C5180" w:rsidTr="00340FB6">
        <w:trPr>
          <w:trHeight w:val="315"/>
          <w:jc w:val="center"/>
        </w:trPr>
        <w:tc>
          <w:tcPr>
            <w:tcW w:w="3737" w:type="dxa"/>
            <w:shd w:val="clear" w:color="auto" w:fill="auto"/>
            <w:noWrap/>
            <w:hideMark/>
          </w:tcPr>
          <w:p w:rsidR="00340FB6" w:rsidRPr="002C5180" w:rsidRDefault="00340FB6" w:rsidP="00340FB6">
            <w:pPr>
              <w:jc w:val="center"/>
              <w:rPr>
                <w:rFonts w:ascii="Calibri" w:hAnsi="Calibri" w:cs="Calibri"/>
                <w:b/>
                <w:bCs/>
                <w:color w:val="000000"/>
              </w:rPr>
            </w:pPr>
            <w:r w:rsidRPr="002C5180">
              <w:rPr>
                <w:rFonts w:ascii="Calibri" w:hAnsi="Calibri" w:cs="Calibri"/>
                <w:bCs/>
                <w:color w:val="000000"/>
              </w:rPr>
              <w:t>Rodadura Segunda Y Última Capa</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24.17</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27.62</w:t>
            </w:r>
          </w:p>
        </w:tc>
        <w:tc>
          <w:tcPr>
            <w:tcW w:w="1200" w:type="dxa"/>
            <w:shd w:val="clear" w:color="auto" w:fill="auto"/>
            <w:noWrap/>
            <w:hideMark/>
          </w:tcPr>
          <w:p w:rsidR="00340FB6" w:rsidRPr="002C5180" w:rsidRDefault="00340FB6" w:rsidP="00340FB6">
            <w:pPr>
              <w:jc w:val="center"/>
              <w:rPr>
                <w:rFonts w:ascii="Calibri" w:hAnsi="Calibri" w:cs="Calibri"/>
                <w:color w:val="000000"/>
              </w:rPr>
            </w:pPr>
            <w:r w:rsidRPr="002C5180">
              <w:rPr>
                <w:rFonts w:ascii="Calibri" w:hAnsi="Calibri" w:cs="Calibri"/>
                <w:color w:val="000000"/>
              </w:rPr>
              <w:t>51.79</w:t>
            </w:r>
          </w:p>
        </w:tc>
      </w:tr>
    </w:tbl>
    <w:p w:rsidR="00340FB6" w:rsidRPr="002C5180" w:rsidRDefault="00340FB6" w:rsidP="00340FB6">
      <w:pPr>
        <w:autoSpaceDE w:val="0"/>
        <w:autoSpaceDN w:val="0"/>
        <w:adjustRightInd w:val="0"/>
        <w:jc w:val="both"/>
        <w:rPr>
          <w:rFonts w:ascii="Calibri" w:hAnsi="Calibri" w:cs="Arial"/>
          <w:b/>
        </w:rPr>
      </w:pPr>
    </w:p>
    <w:p w:rsidR="00340FB6" w:rsidRPr="002C5180" w:rsidRDefault="00340FB6" w:rsidP="00340FB6">
      <w:pPr>
        <w:autoSpaceDE w:val="0"/>
        <w:autoSpaceDN w:val="0"/>
        <w:adjustRightInd w:val="0"/>
        <w:jc w:val="both"/>
        <w:rPr>
          <w:rFonts w:ascii="Calibri" w:hAnsi="Calibri" w:cs="Arial"/>
          <w:bCs/>
          <w:u w:val="single"/>
        </w:rPr>
      </w:pPr>
      <w:r w:rsidRPr="002C5180">
        <w:rPr>
          <w:rFonts w:ascii="Calibri" w:hAnsi="Calibri" w:cs="Arial"/>
          <w:bCs/>
          <w:u w:val="single"/>
        </w:rPr>
        <w:t>Longitud De Vía Construida</w:t>
      </w:r>
    </w:p>
    <w:p w:rsidR="00340FB6" w:rsidRPr="002C5180" w:rsidRDefault="00340FB6" w:rsidP="00340FB6">
      <w:pPr>
        <w:autoSpaceDE w:val="0"/>
        <w:autoSpaceDN w:val="0"/>
        <w:adjustRightInd w:val="0"/>
        <w:ind w:left="1134"/>
        <w:jc w:val="both"/>
        <w:rPr>
          <w:rFonts w:ascii="Calibri" w:hAnsi="Calibri" w:cs="Arial"/>
          <w:bCs/>
        </w:rPr>
      </w:pPr>
      <w:r w:rsidRPr="002C5180">
        <w:rPr>
          <w:rFonts w:ascii="Calibri" w:hAnsi="Calibri" w:cs="Arial"/>
          <w:bCs/>
        </w:rPr>
        <w:t>59.6 Km de doble calzada.</w:t>
      </w:r>
    </w:p>
    <w:p w:rsidR="00340FB6" w:rsidRPr="002C5180" w:rsidRDefault="00340FB6" w:rsidP="00340FB6">
      <w:pPr>
        <w:autoSpaceDE w:val="0"/>
        <w:autoSpaceDN w:val="0"/>
        <w:adjustRightInd w:val="0"/>
        <w:jc w:val="both"/>
        <w:rPr>
          <w:rFonts w:ascii="Calibri" w:hAnsi="Calibri" w:cs="Arial"/>
          <w:bCs/>
        </w:rPr>
      </w:pPr>
    </w:p>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Cs/>
        </w:rPr>
        <w:t>Esta longitud de vía se encuentra en fase de operación y mantenimiento desde el 9 de noviembre de 2014, fecha en que se inició la operación del peaje ‘’El Koran’’.</w:t>
      </w:r>
    </w:p>
    <w:p w:rsidR="00340FB6" w:rsidRPr="002C5180" w:rsidRDefault="00340FB6" w:rsidP="00340FB6">
      <w:pPr>
        <w:autoSpaceDE w:val="0"/>
        <w:autoSpaceDN w:val="0"/>
        <w:adjustRightInd w:val="0"/>
        <w:jc w:val="both"/>
        <w:rPr>
          <w:rFonts w:ascii="Calibri" w:hAnsi="Calibri" w:cs="Arial"/>
          <w:b/>
          <w:bCs/>
          <w:i/>
        </w:rPr>
      </w:pPr>
    </w:p>
    <w:p w:rsidR="00340FB6" w:rsidRPr="002C5180" w:rsidRDefault="00140337" w:rsidP="00340FB6">
      <w:pPr>
        <w:autoSpaceDE w:val="0"/>
        <w:autoSpaceDN w:val="0"/>
        <w:adjustRightInd w:val="0"/>
        <w:jc w:val="both"/>
        <w:rPr>
          <w:rFonts w:ascii="Calibri" w:hAnsi="Calibri" w:cs="Arial"/>
          <w:b/>
          <w:bCs/>
          <w:i/>
        </w:rPr>
      </w:pPr>
      <w:r w:rsidRPr="002C5180">
        <w:rPr>
          <w:rFonts w:ascii="Calibri" w:hAnsi="Calibri" w:cs="Arial"/>
          <w:b/>
          <w:bCs/>
          <w:i/>
        </w:rPr>
        <w:t>Aspectos Financieros</w:t>
      </w:r>
    </w:p>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Cs/>
        </w:rPr>
        <w:t>A la fecha los pagos realizados al concesionario son:</w:t>
      </w:r>
    </w:p>
    <w:p w:rsidR="00340FB6" w:rsidRPr="002C5180" w:rsidRDefault="00340FB6" w:rsidP="00340FB6">
      <w:pPr>
        <w:autoSpaceDE w:val="0"/>
        <w:autoSpaceDN w:val="0"/>
        <w:adjustRightInd w:val="0"/>
        <w:ind w:left="1134"/>
        <w:jc w:val="both"/>
        <w:rPr>
          <w:rFonts w:ascii="Calibri" w:hAnsi="Calibri"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979"/>
        <w:gridCol w:w="1914"/>
        <w:gridCol w:w="1517"/>
      </w:tblGrid>
      <w:tr w:rsidR="00340FB6" w:rsidRPr="002C5180" w:rsidTr="00340FB6">
        <w:trPr>
          <w:trHeight w:val="183"/>
          <w:jc w:val="center"/>
        </w:trPr>
        <w:tc>
          <w:tcPr>
            <w:tcW w:w="2979" w:type="dxa"/>
            <w:shd w:val="clear" w:color="auto" w:fill="D9D9D9"/>
            <w:tcMar>
              <w:top w:w="72" w:type="dxa"/>
              <w:left w:w="144" w:type="dxa"/>
              <w:bottom w:w="72" w:type="dxa"/>
              <w:right w:w="144" w:type="dxa"/>
            </w:tcMar>
            <w:hideMark/>
          </w:tcPr>
          <w:p w:rsidR="00340FB6" w:rsidRPr="002C5180" w:rsidRDefault="00340FB6" w:rsidP="00340FB6">
            <w:pPr>
              <w:autoSpaceDE w:val="0"/>
              <w:autoSpaceDN w:val="0"/>
              <w:adjustRightInd w:val="0"/>
              <w:jc w:val="center"/>
              <w:rPr>
                <w:rFonts w:ascii="Calibri" w:hAnsi="Calibri" w:cs="Arial"/>
                <w:bCs/>
              </w:rPr>
            </w:pPr>
            <w:r w:rsidRPr="002C5180">
              <w:rPr>
                <w:rFonts w:ascii="Calibri" w:hAnsi="Calibri" w:cs="Arial"/>
                <w:b/>
                <w:bCs/>
              </w:rPr>
              <w:t>CONCEPTO DE PAGO</w:t>
            </w:r>
          </w:p>
        </w:tc>
        <w:tc>
          <w:tcPr>
            <w:tcW w:w="1876" w:type="dxa"/>
            <w:shd w:val="clear" w:color="auto" w:fill="D9D9D9"/>
            <w:tcMar>
              <w:top w:w="72" w:type="dxa"/>
              <w:left w:w="144" w:type="dxa"/>
              <w:bottom w:w="72" w:type="dxa"/>
              <w:right w:w="144" w:type="dxa"/>
            </w:tcMar>
            <w:hideMark/>
          </w:tcPr>
          <w:p w:rsidR="00340FB6" w:rsidRPr="002C5180" w:rsidRDefault="00340FB6" w:rsidP="00340FB6">
            <w:pPr>
              <w:autoSpaceDE w:val="0"/>
              <w:autoSpaceDN w:val="0"/>
              <w:adjustRightInd w:val="0"/>
              <w:jc w:val="center"/>
              <w:rPr>
                <w:rFonts w:ascii="Calibri" w:hAnsi="Calibri" w:cs="Arial"/>
                <w:b/>
                <w:bCs/>
              </w:rPr>
            </w:pPr>
            <w:r w:rsidRPr="002C5180">
              <w:rPr>
                <w:rFonts w:ascii="Calibri" w:hAnsi="Calibri" w:cs="Arial"/>
                <w:b/>
                <w:bCs/>
              </w:rPr>
              <w:t>VALOR TOTAL</w:t>
            </w:r>
          </w:p>
          <w:p w:rsidR="00340FB6" w:rsidRPr="002C5180" w:rsidRDefault="00340FB6" w:rsidP="00340FB6">
            <w:pPr>
              <w:autoSpaceDE w:val="0"/>
              <w:autoSpaceDN w:val="0"/>
              <w:adjustRightInd w:val="0"/>
              <w:jc w:val="center"/>
              <w:rPr>
                <w:rFonts w:ascii="Calibri" w:hAnsi="Calibri" w:cs="Arial"/>
                <w:bCs/>
              </w:rPr>
            </w:pPr>
            <w:r w:rsidRPr="002C5180">
              <w:rPr>
                <w:rFonts w:ascii="Calibri" w:hAnsi="Calibri" w:cs="Arial"/>
                <w:b/>
                <w:bCs/>
              </w:rPr>
              <w:t xml:space="preserve">(Corrientes) </w:t>
            </w:r>
          </w:p>
        </w:tc>
        <w:tc>
          <w:tcPr>
            <w:tcW w:w="1517" w:type="dxa"/>
            <w:shd w:val="clear" w:color="auto" w:fill="D9D9D9"/>
            <w:tcMar>
              <w:top w:w="72" w:type="dxa"/>
              <w:left w:w="144" w:type="dxa"/>
              <w:bottom w:w="72" w:type="dxa"/>
              <w:right w:w="144" w:type="dxa"/>
            </w:tcMar>
            <w:hideMark/>
          </w:tcPr>
          <w:p w:rsidR="00340FB6" w:rsidRPr="002C5180" w:rsidRDefault="00340FB6" w:rsidP="00340FB6">
            <w:pPr>
              <w:autoSpaceDE w:val="0"/>
              <w:autoSpaceDN w:val="0"/>
              <w:adjustRightInd w:val="0"/>
              <w:jc w:val="center"/>
              <w:rPr>
                <w:rFonts w:ascii="Calibri" w:hAnsi="Calibri" w:cs="Arial"/>
                <w:bCs/>
              </w:rPr>
            </w:pPr>
            <w:r w:rsidRPr="002C5180">
              <w:rPr>
                <w:rFonts w:ascii="Calibri" w:hAnsi="Calibri" w:cs="Arial"/>
                <w:b/>
                <w:bCs/>
              </w:rPr>
              <w:t>Fecha pago</w:t>
            </w:r>
          </w:p>
        </w:tc>
      </w:tr>
      <w:tr w:rsidR="00340FB6" w:rsidRPr="002C5180" w:rsidTr="00340FB6">
        <w:trPr>
          <w:trHeight w:val="175"/>
          <w:jc w:val="center"/>
        </w:trPr>
        <w:tc>
          <w:tcPr>
            <w:tcW w:w="2979"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Cs/>
              </w:rPr>
              <w:t>Hitos (27)</w:t>
            </w:r>
          </w:p>
        </w:tc>
        <w:tc>
          <w:tcPr>
            <w:tcW w:w="1876"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right"/>
              <w:rPr>
                <w:rFonts w:ascii="Calibri" w:hAnsi="Calibri" w:cs="Arial"/>
                <w:bCs/>
              </w:rPr>
            </w:pPr>
            <w:r w:rsidRPr="002C5180">
              <w:rPr>
                <w:rFonts w:ascii="Calibri" w:hAnsi="Calibri" w:cs="Arial"/>
                <w:bCs/>
              </w:rPr>
              <w:t>$619.368.854.200</w:t>
            </w:r>
          </w:p>
        </w:tc>
        <w:tc>
          <w:tcPr>
            <w:tcW w:w="1517"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Cs/>
              </w:rPr>
              <w:t>03/12/2014</w:t>
            </w:r>
          </w:p>
        </w:tc>
      </w:tr>
      <w:tr w:rsidR="00340FB6" w:rsidRPr="002C5180" w:rsidTr="00340FB6">
        <w:trPr>
          <w:trHeight w:val="181"/>
          <w:jc w:val="center"/>
        </w:trPr>
        <w:tc>
          <w:tcPr>
            <w:tcW w:w="2979"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Cs/>
              </w:rPr>
              <w:t>Por terminación parcial 5%</w:t>
            </w:r>
          </w:p>
        </w:tc>
        <w:tc>
          <w:tcPr>
            <w:tcW w:w="1876"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right"/>
              <w:rPr>
                <w:rFonts w:ascii="Calibri" w:hAnsi="Calibri" w:cs="Arial"/>
                <w:bCs/>
              </w:rPr>
            </w:pPr>
            <w:r w:rsidRPr="002C5180">
              <w:rPr>
                <w:rFonts w:ascii="Calibri" w:hAnsi="Calibri" w:cs="Arial"/>
                <w:bCs/>
              </w:rPr>
              <w:t>$23.028.900.538</w:t>
            </w:r>
          </w:p>
        </w:tc>
        <w:tc>
          <w:tcPr>
            <w:tcW w:w="1517"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Cs/>
              </w:rPr>
              <w:t>17/12/2014</w:t>
            </w:r>
          </w:p>
        </w:tc>
      </w:tr>
      <w:tr w:rsidR="00340FB6" w:rsidRPr="002C5180" w:rsidTr="00340FB6">
        <w:trPr>
          <w:trHeight w:val="173"/>
          <w:jc w:val="center"/>
        </w:trPr>
        <w:tc>
          <w:tcPr>
            <w:tcW w:w="2979"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Cs/>
              </w:rPr>
              <w:t>Por puesta en servicio tramo 2</w:t>
            </w:r>
          </w:p>
        </w:tc>
        <w:tc>
          <w:tcPr>
            <w:tcW w:w="1876"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right"/>
              <w:rPr>
                <w:rFonts w:ascii="Calibri" w:hAnsi="Calibri" w:cs="Arial"/>
                <w:bCs/>
              </w:rPr>
            </w:pPr>
            <w:r w:rsidRPr="002C5180">
              <w:rPr>
                <w:rFonts w:ascii="Calibri" w:hAnsi="Calibri" w:cs="Arial"/>
                <w:bCs/>
              </w:rPr>
              <w:t>$209.569.276.526</w:t>
            </w:r>
          </w:p>
        </w:tc>
        <w:tc>
          <w:tcPr>
            <w:tcW w:w="1517"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Cs/>
              </w:rPr>
              <w:t>23/12/2014</w:t>
            </w:r>
          </w:p>
        </w:tc>
      </w:tr>
      <w:tr w:rsidR="00340FB6" w:rsidRPr="002C5180" w:rsidTr="00340FB6">
        <w:trPr>
          <w:trHeight w:val="166"/>
          <w:jc w:val="center"/>
        </w:trPr>
        <w:tc>
          <w:tcPr>
            <w:tcW w:w="2979"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both"/>
              <w:rPr>
                <w:rFonts w:ascii="Calibri" w:hAnsi="Calibri" w:cs="Arial"/>
                <w:bCs/>
              </w:rPr>
            </w:pPr>
            <w:r w:rsidRPr="002C5180">
              <w:rPr>
                <w:rFonts w:ascii="Calibri" w:hAnsi="Calibri" w:cs="Arial"/>
                <w:b/>
                <w:bCs/>
              </w:rPr>
              <w:t>Total</w:t>
            </w:r>
          </w:p>
        </w:tc>
        <w:tc>
          <w:tcPr>
            <w:tcW w:w="1876"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jc w:val="right"/>
              <w:rPr>
                <w:rFonts w:ascii="Calibri" w:hAnsi="Calibri" w:cs="Arial"/>
                <w:bCs/>
              </w:rPr>
            </w:pPr>
            <w:r w:rsidRPr="002C5180">
              <w:rPr>
                <w:rFonts w:ascii="Calibri" w:hAnsi="Calibri" w:cs="Arial"/>
                <w:b/>
                <w:bCs/>
              </w:rPr>
              <w:t>$851.967.031.264</w:t>
            </w:r>
          </w:p>
        </w:tc>
        <w:tc>
          <w:tcPr>
            <w:tcW w:w="1517" w:type="dxa"/>
            <w:shd w:val="clear" w:color="auto" w:fill="auto"/>
            <w:tcMar>
              <w:top w:w="72" w:type="dxa"/>
              <w:left w:w="144" w:type="dxa"/>
              <w:bottom w:w="72" w:type="dxa"/>
              <w:right w:w="144" w:type="dxa"/>
            </w:tcMar>
            <w:hideMark/>
          </w:tcPr>
          <w:p w:rsidR="00340FB6" w:rsidRPr="002C5180" w:rsidRDefault="00340FB6" w:rsidP="00340FB6">
            <w:pPr>
              <w:autoSpaceDE w:val="0"/>
              <w:autoSpaceDN w:val="0"/>
              <w:adjustRightInd w:val="0"/>
              <w:ind w:left="1134"/>
              <w:jc w:val="both"/>
              <w:rPr>
                <w:rFonts w:ascii="Calibri" w:hAnsi="Calibri" w:cs="Arial"/>
                <w:bCs/>
              </w:rPr>
            </w:pPr>
          </w:p>
        </w:tc>
      </w:tr>
    </w:tbl>
    <w:p w:rsidR="00340FB6" w:rsidRPr="002C5180" w:rsidRDefault="00340FB6" w:rsidP="00340FB6">
      <w:pPr>
        <w:widowControl w:val="0"/>
        <w:autoSpaceDE w:val="0"/>
        <w:autoSpaceDN w:val="0"/>
        <w:adjustRightInd w:val="0"/>
        <w:ind w:right="20"/>
        <w:jc w:val="both"/>
        <w:rPr>
          <w:rFonts w:ascii="Calibri" w:hAnsi="Calibri" w:cs="Arial"/>
          <w:bCs/>
        </w:rPr>
      </w:pPr>
    </w:p>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Total Disponible para la ejecución del tramo 1:</w:t>
      </w:r>
    </w:p>
    <w:p w:rsidR="00340FB6" w:rsidRPr="002C5180" w:rsidRDefault="00340FB6" w:rsidP="00340FB6">
      <w:pPr>
        <w:widowControl w:val="0"/>
        <w:autoSpaceDE w:val="0"/>
        <w:autoSpaceDN w:val="0"/>
        <w:adjustRightInd w:val="0"/>
        <w:ind w:right="20"/>
        <w:jc w:val="both"/>
        <w:rPr>
          <w:rFonts w:ascii="Calibri" w:hAnsi="Calibri" w:cs="Arial"/>
          <w:bCs/>
        </w:rPr>
      </w:pPr>
    </w:p>
    <w:tbl>
      <w:tblPr>
        <w:tblW w:w="8122"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331"/>
        <w:gridCol w:w="1846"/>
        <w:gridCol w:w="1945"/>
      </w:tblGrid>
      <w:tr w:rsidR="00340FB6" w:rsidRPr="002C5180" w:rsidTr="009353DC">
        <w:trPr>
          <w:tblHeader/>
        </w:trPr>
        <w:tc>
          <w:tcPr>
            <w:tcW w:w="4331" w:type="dxa"/>
            <w:shd w:val="clear" w:color="auto" w:fill="D9D9D9"/>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center"/>
              <w:rPr>
                <w:rFonts w:ascii="Calibri" w:hAnsi="Calibri" w:cs="Arial"/>
                <w:bCs/>
              </w:rPr>
            </w:pPr>
            <w:r w:rsidRPr="002C5180">
              <w:rPr>
                <w:rFonts w:ascii="Calibri" w:hAnsi="Calibri" w:cs="Arial"/>
                <w:b/>
                <w:bCs/>
              </w:rPr>
              <w:t>Concepto</w:t>
            </w:r>
          </w:p>
        </w:tc>
        <w:tc>
          <w:tcPr>
            <w:tcW w:w="1846" w:type="dxa"/>
            <w:shd w:val="clear" w:color="auto" w:fill="D9D9D9"/>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center"/>
              <w:rPr>
                <w:rFonts w:ascii="Calibri" w:hAnsi="Calibri" w:cs="Arial"/>
                <w:bCs/>
              </w:rPr>
            </w:pPr>
            <w:r w:rsidRPr="002C5180">
              <w:rPr>
                <w:rFonts w:ascii="Calibri" w:hAnsi="Calibri" w:cs="Arial"/>
                <w:b/>
                <w:bCs/>
              </w:rPr>
              <w:t>Pesos 2008</w:t>
            </w:r>
          </w:p>
        </w:tc>
        <w:tc>
          <w:tcPr>
            <w:tcW w:w="1945" w:type="dxa"/>
            <w:shd w:val="clear" w:color="auto" w:fill="D9D9D9"/>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center"/>
              <w:rPr>
                <w:rFonts w:ascii="Calibri" w:hAnsi="Calibri" w:cs="Arial"/>
                <w:bCs/>
              </w:rPr>
            </w:pPr>
            <w:r w:rsidRPr="002C5180">
              <w:rPr>
                <w:rFonts w:ascii="Calibri" w:hAnsi="Calibri" w:cs="Arial"/>
                <w:b/>
                <w:bCs/>
              </w:rPr>
              <w:t>Pesos corrientes</w:t>
            </w:r>
          </w:p>
        </w:tc>
      </w:tr>
      <w:tr w:rsidR="00340FB6" w:rsidRPr="002C5180" w:rsidTr="009353DC">
        <w:trPr>
          <w:trHeight w:val="162"/>
        </w:trPr>
        <w:tc>
          <w:tcPr>
            <w:tcW w:w="4331"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Saldo disponible en fiducia feb/2015</w:t>
            </w:r>
          </w:p>
        </w:tc>
        <w:tc>
          <w:tcPr>
            <w:tcW w:w="1846"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w:t>
            </w:r>
          </w:p>
        </w:tc>
        <w:tc>
          <w:tcPr>
            <w:tcW w:w="1945"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$514.942.548.368</w:t>
            </w:r>
          </w:p>
        </w:tc>
      </w:tr>
      <w:tr w:rsidR="00340FB6" w:rsidRPr="002C5180" w:rsidTr="009353DC">
        <w:trPr>
          <w:trHeight w:val="308"/>
        </w:trPr>
        <w:tc>
          <w:tcPr>
            <w:tcW w:w="4331"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Cronograma de aportes etapa de operación y mantenimiento (2008) </w:t>
            </w:r>
          </w:p>
        </w:tc>
        <w:tc>
          <w:tcPr>
            <w:tcW w:w="1846"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p>
        </w:tc>
        <w:tc>
          <w:tcPr>
            <w:tcW w:w="1945"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p>
        </w:tc>
      </w:tr>
      <w:tr w:rsidR="00340FB6" w:rsidRPr="002C5180" w:rsidTr="009353DC">
        <w:trPr>
          <w:trHeight w:val="93"/>
        </w:trPr>
        <w:tc>
          <w:tcPr>
            <w:tcW w:w="4331" w:type="dxa"/>
            <w:shd w:val="clear" w:color="auto" w:fill="auto"/>
            <w:tcMar>
              <w:top w:w="15" w:type="dxa"/>
              <w:left w:w="15" w:type="dxa"/>
              <w:bottom w:w="0" w:type="dxa"/>
              <w:right w:w="15"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2014</w:t>
            </w:r>
          </w:p>
        </w:tc>
        <w:tc>
          <w:tcPr>
            <w:tcW w:w="1846" w:type="dxa"/>
            <w:shd w:val="clear" w:color="auto" w:fill="auto"/>
            <w:tcMar>
              <w:top w:w="15" w:type="dxa"/>
              <w:left w:w="15" w:type="dxa"/>
              <w:bottom w:w="0" w:type="dxa"/>
              <w:right w:w="15"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$24.880.000.000</w:t>
            </w:r>
          </w:p>
        </w:tc>
        <w:tc>
          <w:tcPr>
            <w:tcW w:w="1945" w:type="dxa"/>
            <w:shd w:val="clear" w:color="auto" w:fill="auto"/>
            <w:tcMar>
              <w:top w:w="15" w:type="dxa"/>
              <w:left w:w="70" w:type="dxa"/>
              <w:bottom w:w="0" w:type="dxa"/>
              <w:right w:w="70"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$29.318.592.000</w:t>
            </w:r>
          </w:p>
        </w:tc>
      </w:tr>
      <w:tr w:rsidR="00340FB6" w:rsidRPr="002C5180" w:rsidTr="009353DC">
        <w:trPr>
          <w:trHeight w:val="68"/>
        </w:trPr>
        <w:tc>
          <w:tcPr>
            <w:tcW w:w="4331" w:type="dxa"/>
            <w:shd w:val="clear" w:color="auto" w:fill="auto"/>
            <w:tcMar>
              <w:top w:w="15" w:type="dxa"/>
              <w:left w:w="15" w:type="dxa"/>
              <w:bottom w:w="0" w:type="dxa"/>
              <w:right w:w="15"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2015</w:t>
            </w:r>
          </w:p>
        </w:tc>
        <w:tc>
          <w:tcPr>
            <w:tcW w:w="1846" w:type="dxa"/>
            <w:shd w:val="clear" w:color="auto" w:fill="auto"/>
            <w:tcMar>
              <w:top w:w="15" w:type="dxa"/>
              <w:left w:w="15" w:type="dxa"/>
              <w:bottom w:w="0" w:type="dxa"/>
              <w:right w:w="15"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$17.499.000.000 </w:t>
            </w:r>
          </w:p>
        </w:tc>
        <w:tc>
          <w:tcPr>
            <w:tcW w:w="1945" w:type="dxa"/>
            <w:shd w:val="clear" w:color="auto" w:fill="auto"/>
            <w:tcMar>
              <w:top w:w="15" w:type="dxa"/>
              <w:left w:w="70" w:type="dxa"/>
              <w:bottom w:w="0" w:type="dxa"/>
              <w:right w:w="70"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$21.519.618.560 </w:t>
            </w:r>
          </w:p>
        </w:tc>
      </w:tr>
      <w:tr w:rsidR="00340FB6" w:rsidRPr="002C5180" w:rsidTr="009353DC">
        <w:trPr>
          <w:trHeight w:val="55"/>
        </w:trPr>
        <w:tc>
          <w:tcPr>
            <w:tcW w:w="4331" w:type="dxa"/>
            <w:shd w:val="clear" w:color="auto" w:fill="auto"/>
            <w:tcMar>
              <w:top w:w="15" w:type="dxa"/>
              <w:left w:w="15" w:type="dxa"/>
              <w:bottom w:w="0" w:type="dxa"/>
              <w:right w:w="15"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2016</w:t>
            </w:r>
          </w:p>
        </w:tc>
        <w:tc>
          <w:tcPr>
            <w:tcW w:w="1846" w:type="dxa"/>
            <w:shd w:val="clear" w:color="auto" w:fill="auto"/>
            <w:tcMar>
              <w:top w:w="15" w:type="dxa"/>
              <w:left w:w="15" w:type="dxa"/>
              <w:bottom w:w="0" w:type="dxa"/>
              <w:right w:w="15"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$307.842.000.000 </w:t>
            </w:r>
          </w:p>
        </w:tc>
        <w:tc>
          <w:tcPr>
            <w:tcW w:w="1945" w:type="dxa"/>
            <w:shd w:val="clear" w:color="auto" w:fill="auto"/>
            <w:tcMar>
              <w:top w:w="15" w:type="dxa"/>
              <w:left w:w="70" w:type="dxa"/>
              <w:bottom w:w="0" w:type="dxa"/>
              <w:right w:w="70"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$389.929.806.812 </w:t>
            </w:r>
          </w:p>
        </w:tc>
      </w:tr>
      <w:tr w:rsidR="00340FB6" w:rsidRPr="002C5180" w:rsidTr="009353DC">
        <w:trPr>
          <w:trHeight w:val="114"/>
        </w:trPr>
        <w:tc>
          <w:tcPr>
            <w:tcW w:w="4331" w:type="dxa"/>
            <w:shd w:val="clear" w:color="auto" w:fill="auto"/>
            <w:tcMar>
              <w:top w:w="15" w:type="dxa"/>
              <w:left w:w="70" w:type="dxa"/>
              <w:bottom w:w="0" w:type="dxa"/>
              <w:right w:w="70"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
                <w:bCs/>
              </w:rPr>
              <w:lastRenderedPageBreak/>
              <w:t xml:space="preserve"> Subtotal Fuentes</w:t>
            </w:r>
          </w:p>
        </w:tc>
        <w:tc>
          <w:tcPr>
            <w:tcW w:w="1846" w:type="dxa"/>
            <w:shd w:val="clear" w:color="auto" w:fill="auto"/>
            <w:tcMar>
              <w:top w:w="15" w:type="dxa"/>
              <w:left w:w="70" w:type="dxa"/>
              <w:bottom w:w="0" w:type="dxa"/>
              <w:right w:w="70"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
                <w:bCs/>
              </w:rPr>
              <w:t>  </w:t>
            </w:r>
          </w:p>
        </w:tc>
        <w:tc>
          <w:tcPr>
            <w:tcW w:w="1945"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
                <w:bCs/>
              </w:rPr>
              <w:t xml:space="preserve">$955.710.565.740 </w:t>
            </w:r>
          </w:p>
        </w:tc>
      </w:tr>
      <w:tr w:rsidR="00340FB6" w:rsidRPr="002C5180" w:rsidTr="009353DC">
        <w:trPr>
          <w:trHeight w:val="256"/>
        </w:trPr>
        <w:tc>
          <w:tcPr>
            <w:tcW w:w="4331"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Pagos pendientes concesionario</w:t>
            </w:r>
          </w:p>
        </w:tc>
        <w:tc>
          <w:tcPr>
            <w:tcW w:w="1846"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$26.305.880.107</w:t>
            </w:r>
          </w:p>
        </w:tc>
        <w:tc>
          <w:tcPr>
            <w:tcW w:w="1945"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$31.640.712.593</w:t>
            </w:r>
          </w:p>
        </w:tc>
      </w:tr>
      <w:tr w:rsidR="00340FB6" w:rsidRPr="002C5180" w:rsidTr="009353DC">
        <w:trPr>
          <w:trHeight w:val="106"/>
        </w:trPr>
        <w:tc>
          <w:tcPr>
            <w:tcW w:w="4331" w:type="dxa"/>
            <w:shd w:val="clear" w:color="auto" w:fill="auto"/>
            <w:tcMar>
              <w:top w:w="15" w:type="dxa"/>
              <w:left w:w="70" w:type="dxa"/>
              <w:bottom w:w="0" w:type="dxa"/>
              <w:right w:w="70"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xml:space="preserve"> Saldo a favor de la Agencia por adelanto Vigencias (otrosí 6)</w:t>
            </w:r>
          </w:p>
        </w:tc>
        <w:tc>
          <w:tcPr>
            <w:tcW w:w="1846" w:type="dxa"/>
            <w:shd w:val="clear" w:color="auto" w:fill="auto"/>
            <w:tcMar>
              <w:top w:w="15" w:type="dxa"/>
              <w:left w:w="70" w:type="dxa"/>
              <w:bottom w:w="0" w:type="dxa"/>
              <w:right w:w="70"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w:t>
            </w:r>
          </w:p>
        </w:tc>
        <w:tc>
          <w:tcPr>
            <w:tcW w:w="1945"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  $19.842.282.711</w:t>
            </w:r>
          </w:p>
        </w:tc>
      </w:tr>
      <w:tr w:rsidR="00340FB6" w:rsidRPr="002C5180" w:rsidTr="009353DC">
        <w:trPr>
          <w:trHeight w:val="527"/>
        </w:trPr>
        <w:tc>
          <w:tcPr>
            <w:tcW w:w="4331"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Saldo a favor del Concesionario (Cumplimiento compromisos Acta de Terminación de la Fase de Construcción)</w:t>
            </w:r>
          </w:p>
        </w:tc>
        <w:tc>
          <w:tcPr>
            <w:tcW w:w="1846"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p>
        </w:tc>
        <w:tc>
          <w:tcPr>
            <w:tcW w:w="1945"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Cs/>
              </w:rPr>
              <w:t>$11.798.429.882</w:t>
            </w:r>
          </w:p>
        </w:tc>
      </w:tr>
      <w:tr w:rsidR="00340FB6" w:rsidRPr="002C5180" w:rsidTr="009353DC">
        <w:tc>
          <w:tcPr>
            <w:tcW w:w="4331"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
                <w:bCs/>
              </w:rPr>
              <w:t>Saldo di</w:t>
            </w:r>
            <w:r w:rsidR="009353DC">
              <w:rPr>
                <w:rFonts w:ascii="Calibri" w:hAnsi="Calibri" w:cs="Arial"/>
                <w:b/>
                <w:bCs/>
              </w:rPr>
              <w:t>sponible para tram</w:t>
            </w:r>
            <w:r w:rsidRPr="002C5180">
              <w:rPr>
                <w:rFonts w:ascii="Calibri" w:hAnsi="Calibri" w:cs="Arial"/>
                <w:b/>
                <w:bCs/>
              </w:rPr>
              <w:t>o 1</w:t>
            </w:r>
          </w:p>
        </w:tc>
        <w:tc>
          <w:tcPr>
            <w:tcW w:w="1846"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p>
        </w:tc>
        <w:tc>
          <w:tcPr>
            <w:tcW w:w="1945" w:type="dxa"/>
            <w:shd w:val="clear" w:color="auto" w:fill="auto"/>
            <w:tcMar>
              <w:top w:w="72" w:type="dxa"/>
              <w:left w:w="144" w:type="dxa"/>
              <w:bottom w:w="72" w:type="dxa"/>
              <w:right w:w="144" w:type="dxa"/>
            </w:tcMar>
            <w:vAlign w:val="center"/>
            <w:hideMark/>
          </w:tcPr>
          <w:p w:rsidR="00340FB6" w:rsidRPr="002C5180" w:rsidRDefault="00340FB6" w:rsidP="00340FB6">
            <w:pPr>
              <w:widowControl w:val="0"/>
              <w:autoSpaceDE w:val="0"/>
              <w:autoSpaceDN w:val="0"/>
              <w:adjustRightInd w:val="0"/>
              <w:ind w:right="20"/>
              <w:jc w:val="both"/>
              <w:rPr>
                <w:rFonts w:ascii="Calibri" w:hAnsi="Calibri" w:cs="Arial"/>
                <w:bCs/>
              </w:rPr>
            </w:pPr>
            <w:r w:rsidRPr="002C5180">
              <w:rPr>
                <w:rFonts w:ascii="Calibri" w:hAnsi="Calibri" w:cs="Arial"/>
                <w:b/>
                <w:bCs/>
              </w:rPr>
              <w:t>$943.912.135.858</w:t>
            </w:r>
          </w:p>
        </w:tc>
      </w:tr>
    </w:tbl>
    <w:p w:rsidR="00340FB6" w:rsidRPr="002C5180" w:rsidRDefault="00340FB6" w:rsidP="00340FB6">
      <w:pPr>
        <w:autoSpaceDE w:val="0"/>
        <w:autoSpaceDN w:val="0"/>
        <w:adjustRightInd w:val="0"/>
        <w:jc w:val="both"/>
        <w:rPr>
          <w:rFonts w:ascii="Calibri" w:hAnsi="Calibri" w:cs="Arial"/>
          <w:b/>
          <w:bCs/>
          <w:i/>
        </w:rPr>
      </w:pPr>
    </w:p>
    <w:p w:rsidR="00340FB6" w:rsidRPr="002C5180" w:rsidRDefault="00140337" w:rsidP="00340FB6">
      <w:pPr>
        <w:autoSpaceDE w:val="0"/>
        <w:autoSpaceDN w:val="0"/>
        <w:adjustRightInd w:val="0"/>
        <w:jc w:val="both"/>
        <w:rPr>
          <w:rFonts w:ascii="Calibri" w:hAnsi="Calibri" w:cs="Arial"/>
          <w:b/>
          <w:bCs/>
          <w:i/>
        </w:rPr>
      </w:pPr>
      <w:r w:rsidRPr="002C5180">
        <w:rPr>
          <w:rFonts w:ascii="Calibri" w:hAnsi="Calibri" w:cs="Arial"/>
          <w:b/>
          <w:bCs/>
          <w:i/>
        </w:rPr>
        <w:t xml:space="preserve">Aspectos Jurídicos </w:t>
      </w:r>
    </w:p>
    <w:p w:rsidR="00340FB6" w:rsidRPr="002C5180" w:rsidRDefault="00340FB6" w:rsidP="00340FB6">
      <w:pPr>
        <w:jc w:val="both"/>
        <w:rPr>
          <w:rFonts w:ascii="Calibri" w:hAnsi="Calibri"/>
          <w:color w:val="1F497D"/>
          <w:lang w:val="es-MX"/>
        </w:rPr>
      </w:pPr>
      <w:r w:rsidRPr="002C5180">
        <w:rPr>
          <w:rFonts w:ascii="Calibri" w:hAnsi="Calibri" w:cs="Arial"/>
          <w:bCs/>
        </w:rPr>
        <w:t>El pasado 8 de mayo de 2015 el Consorcio Vial Helios instauró demanda contra la Agencia Nacional de Infraestructura por el Proyecto Ruta del Sol Sector 1, esta fue remitida formalmente a la Entidad por parte de la Cámara de Comercio a fecha 27 de mayo de 2015.</w:t>
      </w:r>
      <w:r w:rsidRPr="002C5180">
        <w:rPr>
          <w:rFonts w:ascii="Calibri" w:hAnsi="Calibri"/>
          <w:color w:val="1F497D"/>
          <w:lang w:val="es-MX"/>
        </w:rPr>
        <w:t xml:space="preserve"> </w:t>
      </w:r>
    </w:p>
    <w:p w:rsidR="00340FB6" w:rsidRPr="002C5180" w:rsidRDefault="00340FB6" w:rsidP="00340FB6">
      <w:pPr>
        <w:jc w:val="both"/>
        <w:rPr>
          <w:rFonts w:ascii="Calibri" w:hAnsi="Calibri" w:cs="Arial"/>
          <w:bCs/>
        </w:rPr>
      </w:pPr>
      <w:r w:rsidRPr="002C5180">
        <w:rPr>
          <w:rFonts w:ascii="Calibri" w:hAnsi="Calibri" w:cs="Arial"/>
          <w:bCs/>
        </w:rPr>
        <w:t>El proceso de demanda estima una cuantía de $271.290.628.323 a precios de 2008, y la pretensión se fundamenta en la Cláusula Cuarta del otrosí No. 5 al Contrato de Concesión No. 002 de 2010, donde fija el valor piso de $487.824.260.298 pesos de 2008, como el valor del tramo 1 y por consiguiente el valor restante equivaldría al valor total de las obras del tramo 2 (2A y 2B), con este proceso inician el primero de los cuatro tribunales de arbitramento propuestos por el Concesionario.</w:t>
      </w:r>
    </w:p>
    <w:p w:rsidR="00340FB6" w:rsidRPr="002C5180" w:rsidRDefault="00340FB6" w:rsidP="00340FB6">
      <w:pPr>
        <w:jc w:val="both"/>
        <w:rPr>
          <w:rFonts w:ascii="Calibri" w:hAnsi="Calibri" w:cs="Arial"/>
          <w:bCs/>
        </w:rPr>
      </w:pPr>
      <w:r w:rsidRPr="002C5180">
        <w:rPr>
          <w:rFonts w:ascii="Calibri" w:hAnsi="Calibri" w:cs="Arial"/>
          <w:bCs/>
        </w:rPr>
        <w:t>Se realizaran mesas de trabajo con la interventoría con el fin de evaluar las pretensiones del concesionario y analizar todos los temas de la demanda.</w:t>
      </w:r>
    </w:p>
    <w:p w:rsidR="00340FB6" w:rsidRPr="002C5180" w:rsidRDefault="00340FB6" w:rsidP="00340FB6">
      <w:pPr>
        <w:jc w:val="both"/>
        <w:rPr>
          <w:rFonts w:ascii="Calibri" w:hAnsi="Calibri" w:cs="Arial"/>
          <w:bCs/>
        </w:rPr>
      </w:pPr>
      <w:r w:rsidRPr="002C5180">
        <w:rPr>
          <w:rFonts w:ascii="Calibri" w:hAnsi="Calibri" w:cs="Arial"/>
          <w:bCs/>
        </w:rPr>
        <w:t>Se han revisado aspectos jurídicos del otrosí No. 5 al Contrato de Concesión No. 002 de 2010 e implicaciones financieras a la toma de decisión.</w:t>
      </w:r>
    </w:p>
    <w:p w:rsidR="00340FB6" w:rsidRPr="002C5180" w:rsidRDefault="00340FB6" w:rsidP="00340FB6">
      <w:pPr>
        <w:widowControl w:val="0"/>
        <w:autoSpaceDE w:val="0"/>
        <w:autoSpaceDN w:val="0"/>
        <w:adjustRightInd w:val="0"/>
        <w:ind w:right="20"/>
        <w:jc w:val="both"/>
        <w:rPr>
          <w:rFonts w:ascii="Calibri" w:hAnsi="Calibri" w:cs="Arial"/>
          <w:b/>
          <w:bCs/>
        </w:rPr>
      </w:pPr>
    </w:p>
    <w:p w:rsidR="00340FB6" w:rsidRPr="002C5180" w:rsidRDefault="00140337" w:rsidP="00340FB6">
      <w:pPr>
        <w:widowControl w:val="0"/>
        <w:autoSpaceDE w:val="0"/>
        <w:autoSpaceDN w:val="0"/>
        <w:adjustRightInd w:val="0"/>
        <w:ind w:right="20"/>
        <w:jc w:val="both"/>
        <w:rPr>
          <w:rFonts w:ascii="Calibri" w:hAnsi="Calibri" w:cs="Arial"/>
        </w:rPr>
      </w:pPr>
      <w:r>
        <w:rPr>
          <w:rFonts w:ascii="Calibri" w:hAnsi="Calibri" w:cs="Arial"/>
          <w:b/>
          <w:bCs/>
        </w:rPr>
        <w:t>Situació</w:t>
      </w:r>
      <w:r w:rsidRPr="002C5180">
        <w:rPr>
          <w:rFonts w:ascii="Calibri" w:hAnsi="Calibri" w:cs="Arial"/>
          <w:b/>
          <w:bCs/>
        </w:rPr>
        <w:t>n Actual Del Tramo 1</w:t>
      </w:r>
    </w:p>
    <w:p w:rsidR="00340FB6" w:rsidRPr="002C5180" w:rsidRDefault="00340FB6" w:rsidP="00340FB6">
      <w:pPr>
        <w:spacing w:after="160" w:line="259" w:lineRule="auto"/>
        <w:jc w:val="both"/>
        <w:rPr>
          <w:rFonts w:ascii="Calibri" w:eastAsia="Calibri" w:hAnsi="Calibri"/>
          <w:lang w:eastAsia="en-US"/>
        </w:rPr>
      </w:pPr>
      <w:r w:rsidRPr="002C5180">
        <w:rPr>
          <w:rFonts w:ascii="Calibri" w:eastAsia="Calibri" w:hAnsi="Calibri"/>
          <w:lang w:eastAsia="en-US"/>
        </w:rPr>
        <w:t xml:space="preserve">A fecha 3 de diciembre de 2014, se firmó acta de terminación de la fase de construcción del Contrato de Concesión No. 002 de 2010, Proyecto vial Ruta del Sol – Sector 1 y se dio inicio a la etapa de operación y mantenimiento de las obras de construcción, de 59.6 Km. en doble calzada del Tramo 2 (Guaduas, Intersección San Miguel – Puerto Salgar, Hacienda El Korán), así como los 3.3 kilómetros </w:t>
      </w:r>
      <w:r w:rsidRPr="002C5180">
        <w:rPr>
          <w:rFonts w:ascii="Calibri" w:eastAsia="Calibri" w:hAnsi="Calibri"/>
          <w:lang w:eastAsia="en-US"/>
        </w:rPr>
        <w:lastRenderedPageBreak/>
        <w:t>en calzada sencilla de la Variante Guaduas (que va desde la Intersección San Miguel a la Carretera actual 5008), que cuenta con 72 puentes, 329 obras de drenaje transversal, 700 metros de túnel.</w:t>
      </w:r>
    </w:p>
    <w:p w:rsidR="00340FB6" w:rsidRPr="002C5180" w:rsidRDefault="00340FB6" w:rsidP="00340FB6">
      <w:pPr>
        <w:spacing w:after="160" w:line="259" w:lineRule="auto"/>
        <w:rPr>
          <w:rFonts w:ascii="Calibri" w:eastAsia="Calibri" w:hAnsi="Calibri"/>
          <w:lang w:eastAsia="en-US"/>
        </w:rPr>
      </w:pPr>
      <w:r w:rsidRPr="002C5180">
        <w:rPr>
          <w:rFonts w:ascii="Calibri" w:eastAsia="Calibri" w:hAnsi="Calibri"/>
          <w:lang w:eastAsia="en-US"/>
        </w:rPr>
        <w:t xml:space="preserve">Mediante el Articulo 4 del Otrosí No. 5 al Contrato 002 de 2010, se definió: </w:t>
      </w:r>
    </w:p>
    <w:p w:rsidR="00340FB6" w:rsidRPr="002C5180" w:rsidRDefault="00340FB6" w:rsidP="00340FB6">
      <w:pPr>
        <w:spacing w:after="160" w:line="259" w:lineRule="auto"/>
        <w:ind w:left="708" w:right="758"/>
        <w:jc w:val="both"/>
        <w:rPr>
          <w:rFonts w:ascii="Calibri" w:eastAsia="Calibri" w:hAnsi="Calibri" w:cs="Calibri"/>
          <w:i/>
          <w:lang w:eastAsia="en-US"/>
        </w:rPr>
      </w:pPr>
      <w:r w:rsidRPr="002C5180">
        <w:rPr>
          <w:rFonts w:ascii="Calibri" w:eastAsia="Calibri" w:hAnsi="Calibri" w:cs="Calibri"/>
          <w:i/>
          <w:lang w:eastAsia="en-US"/>
        </w:rPr>
        <w:t xml:space="preserve">"(…) </w:t>
      </w:r>
      <w:r w:rsidRPr="002C5180">
        <w:rPr>
          <w:rFonts w:ascii="Calibri" w:eastAsia="Calibri" w:hAnsi="Calibri"/>
          <w:i/>
          <w:lang w:eastAsia="en-US"/>
        </w:rPr>
        <w:t xml:space="preserve">Las características del nuevo Trazado correspondiente al Tramo I, serán definidas por la Agencia con base en el informe final que rendirá la Sociedad Colombiana de Ingenieros (SCI), en desarrollo del Acuerdo Específico derivado del Convenio Marco C-013 de 2013, suscrito entre ellas. Trazado que será estructurado por la Agencia y de acuerdo con el resultado, se adoptará el mecanismo adecuado para su ejecución </w:t>
      </w:r>
      <w:r w:rsidRPr="002C5180">
        <w:rPr>
          <w:rFonts w:ascii="Calibri" w:eastAsia="Calibri" w:hAnsi="Calibri" w:cs="Calibri"/>
          <w:i/>
          <w:lang w:eastAsia="en-US"/>
        </w:rPr>
        <w:t>(…)".</w:t>
      </w:r>
    </w:p>
    <w:p w:rsidR="00340FB6" w:rsidRPr="002C5180" w:rsidRDefault="00340FB6" w:rsidP="00340FB6">
      <w:pPr>
        <w:spacing w:after="160" w:line="259" w:lineRule="auto"/>
        <w:ind w:right="-93"/>
        <w:jc w:val="both"/>
        <w:rPr>
          <w:rFonts w:ascii="Calibri" w:eastAsia="Calibri" w:hAnsi="Calibri" w:cs="Calibri"/>
          <w:lang w:eastAsia="en-US"/>
        </w:rPr>
      </w:pPr>
      <w:r w:rsidRPr="002C5180">
        <w:rPr>
          <w:rFonts w:ascii="Calibri" w:eastAsia="Calibri" w:hAnsi="Calibri" w:cs="Calibri"/>
          <w:lang w:eastAsia="en-US"/>
        </w:rPr>
        <w:t xml:space="preserve">Por lo anterior, posterior a la entrega del documento final por parte de la SCI, la Agencia definió y estructuró el </w:t>
      </w:r>
      <w:r w:rsidRPr="002C5180">
        <w:rPr>
          <w:rFonts w:ascii="Calibri" w:eastAsia="Calibri" w:hAnsi="Calibri" w:cs="Calibri"/>
          <w:i/>
          <w:lang w:eastAsia="en-US"/>
        </w:rPr>
        <w:t>"trazado Palermo"</w:t>
      </w:r>
      <w:r w:rsidRPr="002C5180">
        <w:rPr>
          <w:rFonts w:ascii="Calibri" w:eastAsia="Calibri" w:hAnsi="Calibri" w:cs="Calibri"/>
          <w:lang w:eastAsia="en-US"/>
        </w:rPr>
        <w:t xml:space="preserve">, y se suscribieron los otrosíes Nos. 6 y 7, con el primero se definió que </w:t>
      </w:r>
      <w:r w:rsidRPr="002C5180">
        <w:rPr>
          <w:rFonts w:ascii="Calibri" w:eastAsia="Calibri" w:hAnsi="Calibri"/>
          <w:lang w:eastAsia="en-US"/>
        </w:rPr>
        <w:t xml:space="preserve">los gastos correspondientes a la adquisición, contratación y ejecución de los Estudios y Diseños para este tramo, serán cubiertos mediante el traslado de $15.000 millones de la cuenta Aportes INCO a la Subcuenta de Soporte Contractual y con el segundo se modificaron los Acuerdos 1 y 2 del otrosí No. 6 delegando al Concesionario la adquisición de los estudios y diseños en fase I y contratación de los estudios y diseños en fase III, del nuevo trazado para el tramo 1 definido por la ANI. (Anexo copia de </w:t>
      </w:r>
      <w:r w:rsidRPr="002C5180">
        <w:rPr>
          <w:rFonts w:ascii="Calibri" w:eastAsia="Calibri" w:hAnsi="Calibri" w:cs="Calibri"/>
          <w:lang w:eastAsia="en-US"/>
        </w:rPr>
        <w:t>otrosíes Nos. 6 y 7).</w:t>
      </w:r>
    </w:p>
    <w:p w:rsidR="00340FB6" w:rsidRPr="002C5180" w:rsidRDefault="00340FB6" w:rsidP="00340FB6">
      <w:pPr>
        <w:spacing w:after="160" w:line="259" w:lineRule="auto"/>
        <w:ind w:right="-93"/>
        <w:jc w:val="both"/>
        <w:rPr>
          <w:rFonts w:ascii="Calibri" w:eastAsia="Calibri" w:hAnsi="Calibri" w:cs="Calibri"/>
          <w:lang w:eastAsia="en-US"/>
        </w:rPr>
      </w:pPr>
      <w:r w:rsidRPr="002C5180">
        <w:rPr>
          <w:rFonts w:ascii="Calibri" w:eastAsia="Calibri" w:hAnsi="Calibri" w:cs="Calibri"/>
          <w:lang w:eastAsia="en-US"/>
        </w:rPr>
        <w:t xml:space="preserve">Respecto al cronograma del proyecto actualmente no se encuentra definido, no obstante según el documento final entregado por la SCI, se definió que la construcción del </w:t>
      </w:r>
      <w:r w:rsidRPr="002C5180">
        <w:rPr>
          <w:rFonts w:ascii="Calibri" w:eastAsia="Calibri" w:hAnsi="Calibri" w:cs="Calibri"/>
          <w:i/>
          <w:lang w:eastAsia="en-US"/>
        </w:rPr>
        <w:t>"trazado Palermo"</w:t>
      </w:r>
      <w:r w:rsidRPr="002C5180">
        <w:rPr>
          <w:rFonts w:ascii="Calibri" w:eastAsia="Calibri" w:hAnsi="Calibri" w:cs="Calibri"/>
          <w:lang w:eastAsia="en-US"/>
        </w:rPr>
        <w:t xml:space="preserve"> tendría un plazo de ejecución de 4 años, sin embargo hasta no tener definidos los estudios y diseños en fase III, no se podría definir anticipadamente los tiempos de construcción. Teniendo en cuenta que a fecha 5 de enero se iniciaron los estudios y diseños en fase III, se tiene previsto que la compañía que esté realizando entregas parciales con el fin de avanzar en la gestión ambiental y socio-predial de la zona la avanzar en los trámites correspondientes, se espera a finales de junio, tener estos estudios en fase II con el fin de poder avanzar en las obras que no requieren modificaciones a la licencia ambiental existente.</w:t>
      </w:r>
    </w:p>
    <w:p w:rsidR="00340FB6" w:rsidRPr="002C5180" w:rsidRDefault="00340FB6" w:rsidP="00340FB6">
      <w:pPr>
        <w:spacing w:after="160" w:line="259" w:lineRule="auto"/>
        <w:ind w:right="-93"/>
        <w:jc w:val="both"/>
        <w:rPr>
          <w:rFonts w:ascii="Calibri" w:hAnsi="Calibri" w:cs="Arial"/>
          <w:bCs/>
        </w:rPr>
      </w:pPr>
      <w:r w:rsidRPr="002C5180">
        <w:rPr>
          <w:rFonts w:ascii="Calibri" w:eastAsia="Calibri" w:hAnsi="Calibri" w:cs="Calibri"/>
          <w:lang w:eastAsia="en-US"/>
        </w:rPr>
        <w:t xml:space="preserve">Desde el inicio de ejecución del contrato de consultoría, se están realizando reuniones quincenales de seguimiento con la participación del concesionario, la interventoría y la Agencia, con el fin de revisar avance en la etapa de diseño e ir aprobando las entregas para acelerar el proceso, a fecha 10 de marzo se subió al programa ALFRESCO (sitio de gestión documental) la primera versión del primer entregable del tramo 1, el cual </w:t>
      </w:r>
      <w:r w:rsidRPr="002C5180">
        <w:rPr>
          <w:rFonts w:ascii="Calibri" w:hAnsi="Calibri" w:cs="Arial"/>
          <w:bCs/>
        </w:rPr>
        <w:t>corresponde a la etapa de planeación, recopilación y análisis de información (vuelo LIDAR), topografía, geotecnia y geología y diseño geométrico de la vía congelado, el cual se encuentra en trámite de revisión y aprobación por parte de la interventoría.</w:t>
      </w:r>
    </w:p>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Actualmente las reuniones se están adelantado entre los especialistas de la interventoría, la empresa consultora Concol y la Agencia.</w:t>
      </w:r>
    </w:p>
    <w:p w:rsidR="00813381" w:rsidRDefault="00813381" w:rsidP="00340FB6">
      <w:pPr>
        <w:spacing w:after="160" w:line="259" w:lineRule="auto"/>
        <w:ind w:right="-93"/>
        <w:jc w:val="both"/>
        <w:rPr>
          <w:rFonts w:ascii="Calibri" w:eastAsia="Calibri" w:hAnsi="Calibri" w:cs="Calibri"/>
          <w:i/>
          <w:lang w:eastAsia="en-US"/>
        </w:rPr>
      </w:pPr>
    </w:p>
    <w:p w:rsidR="00340FB6" w:rsidRPr="002C5180" w:rsidRDefault="00340FB6" w:rsidP="00340FB6">
      <w:pPr>
        <w:spacing w:after="160" w:line="259" w:lineRule="auto"/>
        <w:ind w:right="-93"/>
        <w:jc w:val="both"/>
        <w:rPr>
          <w:rFonts w:ascii="Calibri" w:eastAsia="Calibri" w:hAnsi="Calibri" w:cs="Calibri"/>
          <w:i/>
          <w:lang w:eastAsia="en-US"/>
        </w:rPr>
      </w:pPr>
      <w:r w:rsidRPr="002C5180">
        <w:rPr>
          <w:rFonts w:ascii="Calibri" w:eastAsia="Calibri" w:hAnsi="Calibri" w:cs="Calibri"/>
          <w:i/>
          <w:lang w:eastAsia="en-US"/>
        </w:rPr>
        <w:t xml:space="preserve">Resumen de entregables CONCOL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612"/>
        <w:gridCol w:w="1449"/>
        <w:gridCol w:w="1640"/>
        <w:gridCol w:w="2924"/>
      </w:tblGrid>
      <w:tr w:rsidR="00340FB6" w:rsidRPr="002C5180" w:rsidTr="00340FB6">
        <w:trPr>
          <w:trHeight w:val="696"/>
          <w:tblHeader/>
          <w:jc w:val="center"/>
        </w:trPr>
        <w:tc>
          <w:tcPr>
            <w:tcW w:w="1062" w:type="dxa"/>
            <w:shd w:val="clear" w:color="auto" w:fill="BFBFBF"/>
            <w:vAlign w:val="center"/>
          </w:tcPr>
          <w:p w:rsidR="00340FB6" w:rsidRPr="002C5180" w:rsidRDefault="00340FB6" w:rsidP="00340FB6">
            <w:pPr>
              <w:spacing w:after="160" w:line="259" w:lineRule="auto"/>
              <w:ind w:right="-93"/>
              <w:jc w:val="center"/>
              <w:rPr>
                <w:rFonts w:ascii="Calibri" w:hAnsi="Calibri" w:cs="Arial"/>
                <w:b/>
                <w:bCs/>
              </w:rPr>
            </w:pPr>
            <w:r w:rsidRPr="002C5180">
              <w:rPr>
                <w:rFonts w:ascii="Calibri" w:hAnsi="Calibri" w:cs="Arial"/>
                <w:b/>
                <w:bCs/>
              </w:rPr>
              <w:lastRenderedPageBreak/>
              <w:t>Entregable</w:t>
            </w:r>
          </w:p>
        </w:tc>
        <w:tc>
          <w:tcPr>
            <w:tcW w:w="1765" w:type="dxa"/>
            <w:shd w:val="clear" w:color="auto" w:fill="BFBFBF"/>
            <w:vAlign w:val="center"/>
          </w:tcPr>
          <w:p w:rsidR="00340FB6" w:rsidRPr="002C5180" w:rsidRDefault="00340FB6" w:rsidP="00340FB6">
            <w:pPr>
              <w:spacing w:after="160" w:line="259" w:lineRule="auto"/>
              <w:ind w:right="-93"/>
              <w:jc w:val="center"/>
              <w:rPr>
                <w:rFonts w:ascii="Calibri" w:hAnsi="Calibri" w:cs="Arial"/>
                <w:b/>
                <w:bCs/>
              </w:rPr>
            </w:pPr>
            <w:r w:rsidRPr="002C5180">
              <w:rPr>
                <w:rFonts w:ascii="Calibri" w:hAnsi="Calibri" w:cs="Arial"/>
                <w:b/>
                <w:bCs/>
              </w:rPr>
              <w:t>fecha</w:t>
            </w:r>
          </w:p>
        </w:tc>
        <w:tc>
          <w:tcPr>
            <w:tcW w:w="1478" w:type="dxa"/>
            <w:shd w:val="clear" w:color="auto" w:fill="BFBFBF"/>
            <w:vAlign w:val="center"/>
          </w:tcPr>
          <w:p w:rsidR="00340FB6" w:rsidRPr="002C5180" w:rsidRDefault="00340FB6" w:rsidP="00340FB6">
            <w:pPr>
              <w:spacing w:after="160" w:line="259" w:lineRule="auto"/>
              <w:ind w:right="-93"/>
              <w:jc w:val="center"/>
              <w:rPr>
                <w:rFonts w:ascii="Calibri" w:hAnsi="Calibri" w:cs="Arial"/>
                <w:b/>
                <w:bCs/>
              </w:rPr>
            </w:pPr>
            <w:r w:rsidRPr="002C5180">
              <w:rPr>
                <w:rFonts w:ascii="Calibri" w:hAnsi="Calibri" w:cs="Arial"/>
                <w:b/>
                <w:bCs/>
              </w:rPr>
              <w:t>Oficio Concol</w:t>
            </w:r>
          </w:p>
        </w:tc>
        <w:tc>
          <w:tcPr>
            <w:tcW w:w="1701" w:type="dxa"/>
            <w:shd w:val="clear" w:color="auto" w:fill="BFBFBF"/>
            <w:vAlign w:val="center"/>
          </w:tcPr>
          <w:p w:rsidR="00340FB6" w:rsidRPr="002C5180" w:rsidRDefault="00340FB6" w:rsidP="00340FB6">
            <w:pPr>
              <w:spacing w:after="160" w:line="259" w:lineRule="auto"/>
              <w:ind w:right="-93"/>
              <w:jc w:val="center"/>
              <w:rPr>
                <w:rFonts w:ascii="Calibri" w:hAnsi="Calibri" w:cs="Arial"/>
                <w:b/>
                <w:bCs/>
              </w:rPr>
            </w:pPr>
            <w:r w:rsidRPr="002C5180">
              <w:rPr>
                <w:rFonts w:ascii="Calibri" w:hAnsi="Calibri" w:cs="Arial"/>
                <w:b/>
                <w:bCs/>
              </w:rPr>
              <w:t>Radicado ANI</w:t>
            </w:r>
          </w:p>
        </w:tc>
        <w:tc>
          <w:tcPr>
            <w:tcW w:w="3118" w:type="dxa"/>
            <w:shd w:val="clear" w:color="auto" w:fill="BFBFBF"/>
            <w:vAlign w:val="center"/>
          </w:tcPr>
          <w:p w:rsidR="00340FB6" w:rsidRPr="002C5180" w:rsidRDefault="00340FB6" w:rsidP="00340FB6">
            <w:pPr>
              <w:spacing w:after="160" w:line="259" w:lineRule="auto"/>
              <w:ind w:right="-93"/>
              <w:jc w:val="center"/>
              <w:rPr>
                <w:rFonts w:ascii="Calibri" w:hAnsi="Calibri" w:cs="Arial"/>
                <w:b/>
                <w:bCs/>
              </w:rPr>
            </w:pPr>
            <w:r w:rsidRPr="002C5180">
              <w:rPr>
                <w:rFonts w:ascii="Calibri" w:hAnsi="Calibri" w:cs="Arial"/>
                <w:b/>
                <w:bCs/>
              </w:rPr>
              <w:t>Observaciones</w:t>
            </w:r>
          </w:p>
        </w:tc>
      </w:tr>
      <w:tr w:rsidR="00340FB6" w:rsidRPr="002C5180" w:rsidTr="00340FB6">
        <w:trPr>
          <w:jc w:val="center"/>
        </w:trPr>
        <w:tc>
          <w:tcPr>
            <w:tcW w:w="1062" w:type="dxa"/>
            <w:shd w:val="clear" w:color="auto" w:fill="auto"/>
            <w:vAlign w:val="center"/>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Primero</w:t>
            </w:r>
          </w:p>
        </w:tc>
        <w:tc>
          <w:tcPr>
            <w:tcW w:w="1765" w:type="dxa"/>
            <w:shd w:val="clear" w:color="auto" w:fill="auto"/>
            <w:vAlign w:val="center"/>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10 de abril de 2015</w:t>
            </w:r>
          </w:p>
        </w:tc>
        <w:tc>
          <w:tcPr>
            <w:tcW w:w="1478" w:type="dxa"/>
            <w:shd w:val="clear" w:color="auto" w:fill="auto"/>
            <w:vAlign w:val="center"/>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01-4281-2015 del 10/04/2015</w:t>
            </w:r>
          </w:p>
        </w:tc>
        <w:tc>
          <w:tcPr>
            <w:tcW w:w="1701" w:type="dxa"/>
            <w:shd w:val="clear" w:color="auto" w:fill="auto"/>
            <w:vAlign w:val="center"/>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2015-409-020308-2 del 10/04/2015</w:t>
            </w:r>
          </w:p>
        </w:tc>
        <w:tc>
          <w:tcPr>
            <w:tcW w:w="3118" w:type="dxa"/>
            <w:shd w:val="clear" w:color="auto" w:fill="auto"/>
            <w:vAlign w:val="center"/>
          </w:tcPr>
          <w:p w:rsidR="00340FB6" w:rsidRPr="002C5180" w:rsidRDefault="00340FB6" w:rsidP="00340FB6">
            <w:pPr>
              <w:ind w:right="-91"/>
              <w:jc w:val="both"/>
              <w:rPr>
                <w:rFonts w:ascii="Calibri" w:hAnsi="Calibri" w:cs="Arial"/>
                <w:bCs/>
              </w:rPr>
            </w:pPr>
            <w:r w:rsidRPr="002C5180">
              <w:rPr>
                <w:rFonts w:ascii="Calibri" w:hAnsi="Calibri" w:cs="Arial"/>
                <w:bCs/>
              </w:rPr>
              <w:t>1.- Estudio de tránsito, capacidad y Niveles de servicio.</w:t>
            </w:r>
          </w:p>
          <w:p w:rsidR="00340FB6" w:rsidRPr="002C5180" w:rsidRDefault="00340FB6" w:rsidP="00340FB6">
            <w:pPr>
              <w:ind w:right="-91"/>
              <w:jc w:val="both"/>
              <w:rPr>
                <w:rFonts w:ascii="Calibri" w:hAnsi="Calibri" w:cs="Arial"/>
                <w:bCs/>
              </w:rPr>
            </w:pPr>
            <w:r w:rsidRPr="002C5180">
              <w:rPr>
                <w:rFonts w:ascii="Calibri" w:hAnsi="Calibri" w:cs="Arial"/>
                <w:bCs/>
              </w:rPr>
              <w:t xml:space="preserve">2.-Estudio de trazado de diseño geométrico. </w:t>
            </w:r>
          </w:p>
          <w:p w:rsidR="00340FB6" w:rsidRPr="002C5180" w:rsidRDefault="00340FB6" w:rsidP="00340FB6">
            <w:pPr>
              <w:ind w:right="-91"/>
              <w:jc w:val="both"/>
              <w:rPr>
                <w:rFonts w:ascii="Calibri" w:hAnsi="Calibri" w:cs="Arial"/>
                <w:bCs/>
              </w:rPr>
            </w:pPr>
            <w:r w:rsidRPr="002C5180">
              <w:rPr>
                <w:rFonts w:ascii="Calibri" w:hAnsi="Calibri" w:cs="Arial"/>
                <w:bCs/>
              </w:rPr>
              <w:t>3.- Estudio de topografía.</w:t>
            </w:r>
          </w:p>
          <w:p w:rsidR="00340FB6" w:rsidRPr="002C5180" w:rsidRDefault="00340FB6" w:rsidP="00340FB6">
            <w:pPr>
              <w:ind w:right="-91"/>
              <w:jc w:val="both"/>
              <w:rPr>
                <w:rFonts w:ascii="Calibri" w:hAnsi="Calibri" w:cs="Arial"/>
                <w:bCs/>
              </w:rPr>
            </w:pPr>
            <w:r w:rsidRPr="002C5180">
              <w:rPr>
                <w:rFonts w:ascii="Calibri" w:hAnsi="Calibri" w:cs="Arial"/>
                <w:bCs/>
              </w:rPr>
              <w:t>4.- Estudio de Zodmes</w:t>
            </w:r>
          </w:p>
          <w:p w:rsidR="00340FB6" w:rsidRPr="002C5180" w:rsidRDefault="00340FB6" w:rsidP="00340FB6">
            <w:pPr>
              <w:ind w:right="-91"/>
              <w:jc w:val="both"/>
              <w:rPr>
                <w:rFonts w:ascii="Calibri" w:hAnsi="Calibri" w:cs="Arial"/>
                <w:bCs/>
              </w:rPr>
            </w:pPr>
            <w:r w:rsidRPr="002C5180">
              <w:rPr>
                <w:rFonts w:ascii="Calibri" w:hAnsi="Calibri" w:cs="Arial"/>
                <w:bCs/>
              </w:rPr>
              <w:t xml:space="preserve">5.- Estudio de fuentes de materiales. </w:t>
            </w:r>
          </w:p>
        </w:tc>
      </w:tr>
      <w:tr w:rsidR="00340FB6" w:rsidRPr="002C5180" w:rsidTr="00340FB6">
        <w:trPr>
          <w:jc w:val="center"/>
        </w:trPr>
        <w:tc>
          <w:tcPr>
            <w:tcW w:w="1062" w:type="dxa"/>
            <w:shd w:val="clear" w:color="auto" w:fill="auto"/>
            <w:vAlign w:val="center"/>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Segundo</w:t>
            </w:r>
          </w:p>
        </w:tc>
        <w:tc>
          <w:tcPr>
            <w:tcW w:w="1765" w:type="dxa"/>
            <w:shd w:val="clear" w:color="auto" w:fill="auto"/>
            <w:vAlign w:val="center"/>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30 de abril de 2015</w:t>
            </w:r>
          </w:p>
        </w:tc>
        <w:tc>
          <w:tcPr>
            <w:tcW w:w="1478" w:type="dxa"/>
            <w:shd w:val="clear" w:color="auto" w:fill="auto"/>
            <w:vAlign w:val="center"/>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01-6030-2015 del  20/05/2015</w:t>
            </w:r>
          </w:p>
        </w:tc>
        <w:tc>
          <w:tcPr>
            <w:tcW w:w="1701" w:type="dxa"/>
            <w:shd w:val="clear" w:color="auto" w:fill="auto"/>
            <w:vAlign w:val="center"/>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2015-409-029329-2 del 21/05/2015</w:t>
            </w:r>
          </w:p>
        </w:tc>
        <w:tc>
          <w:tcPr>
            <w:tcW w:w="3118" w:type="dxa"/>
            <w:shd w:val="clear" w:color="auto" w:fill="auto"/>
            <w:vAlign w:val="center"/>
          </w:tcPr>
          <w:p w:rsidR="00340FB6" w:rsidRPr="002C5180" w:rsidRDefault="00340FB6" w:rsidP="00340FB6">
            <w:pPr>
              <w:ind w:right="-91"/>
              <w:jc w:val="both"/>
              <w:rPr>
                <w:rFonts w:ascii="Calibri" w:hAnsi="Calibri" w:cs="Arial"/>
                <w:bCs/>
              </w:rPr>
            </w:pPr>
            <w:r w:rsidRPr="002C5180">
              <w:rPr>
                <w:rFonts w:ascii="Calibri" w:hAnsi="Calibri" w:cs="Arial"/>
                <w:bCs/>
              </w:rPr>
              <w:t>1.- Estudio de tránsito, capacidad y niveles de servicio.</w:t>
            </w:r>
          </w:p>
          <w:p w:rsidR="00340FB6" w:rsidRPr="002C5180" w:rsidRDefault="00340FB6" w:rsidP="00340FB6">
            <w:pPr>
              <w:ind w:right="-91"/>
              <w:jc w:val="both"/>
              <w:rPr>
                <w:rFonts w:ascii="Calibri" w:hAnsi="Calibri" w:cs="Arial"/>
                <w:bCs/>
              </w:rPr>
            </w:pPr>
            <w:r w:rsidRPr="002C5180">
              <w:rPr>
                <w:rFonts w:ascii="Calibri" w:hAnsi="Calibri" w:cs="Arial"/>
                <w:bCs/>
              </w:rPr>
              <w:t>2.- Estudio trazado y diseño geométrico.</w:t>
            </w:r>
          </w:p>
          <w:p w:rsidR="00340FB6" w:rsidRPr="002C5180" w:rsidRDefault="00340FB6" w:rsidP="00340FB6">
            <w:pPr>
              <w:ind w:right="-91"/>
              <w:jc w:val="both"/>
              <w:rPr>
                <w:rFonts w:ascii="Calibri" w:hAnsi="Calibri" w:cs="Arial"/>
                <w:bCs/>
              </w:rPr>
            </w:pPr>
            <w:r w:rsidRPr="002C5180">
              <w:rPr>
                <w:rFonts w:ascii="Calibri" w:hAnsi="Calibri" w:cs="Arial"/>
                <w:bCs/>
              </w:rPr>
              <w:t>3.- Estudios de geología y geotecnia.</w:t>
            </w:r>
          </w:p>
          <w:p w:rsidR="00340FB6" w:rsidRPr="002C5180" w:rsidRDefault="00340FB6" w:rsidP="00340FB6">
            <w:pPr>
              <w:ind w:right="-91"/>
              <w:jc w:val="both"/>
              <w:rPr>
                <w:rFonts w:ascii="Calibri" w:hAnsi="Calibri" w:cs="Arial"/>
                <w:bCs/>
              </w:rPr>
            </w:pPr>
            <w:r w:rsidRPr="002C5180">
              <w:rPr>
                <w:rFonts w:ascii="Calibri" w:hAnsi="Calibri" w:cs="Arial"/>
                <w:bCs/>
              </w:rPr>
              <w:t xml:space="preserve">4.- Estudio de Topografía. </w:t>
            </w:r>
          </w:p>
          <w:p w:rsidR="00340FB6" w:rsidRPr="002C5180" w:rsidRDefault="00340FB6" w:rsidP="00340FB6">
            <w:pPr>
              <w:ind w:right="-91"/>
              <w:jc w:val="both"/>
              <w:rPr>
                <w:rFonts w:ascii="Calibri" w:hAnsi="Calibri" w:cs="Arial"/>
                <w:bCs/>
              </w:rPr>
            </w:pPr>
            <w:r w:rsidRPr="002C5180">
              <w:rPr>
                <w:rFonts w:ascii="Calibri" w:hAnsi="Calibri" w:cs="Arial"/>
                <w:bCs/>
              </w:rPr>
              <w:t>5.- Estudio de Hidrología, Hidráulica y Socavación.</w:t>
            </w:r>
          </w:p>
          <w:p w:rsidR="00340FB6" w:rsidRPr="002C5180" w:rsidRDefault="00340FB6" w:rsidP="00340FB6">
            <w:pPr>
              <w:ind w:right="-91"/>
              <w:jc w:val="both"/>
              <w:rPr>
                <w:rFonts w:ascii="Calibri" w:hAnsi="Calibri" w:cs="Arial"/>
                <w:bCs/>
              </w:rPr>
            </w:pPr>
            <w:r w:rsidRPr="002C5180">
              <w:rPr>
                <w:rFonts w:ascii="Calibri" w:hAnsi="Calibri" w:cs="Arial"/>
                <w:bCs/>
              </w:rPr>
              <w:t>6.- Estudio Estructural para diseño de puentes.</w:t>
            </w:r>
          </w:p>
          <w:p w:rsidR="00340FB6" w:rsidRPr="002C5180" w:rsidRDefault="00340FB6" w:rsidP="00340FB6">
            <w:pPr>
              <w:ind w:right="-91"/>
              <w:jc w:val="both"/>
              <w:rPr>
                <w:rFonts w:ascii="Calibri" w:hAnsi="Calibri" w:cs="Arial"/>
                <w:bCs/>
              </w:rPr>
            </w:pPr>
            <w:r w:rsidRPr="002C5180">
              <w:rPr>
                <w:rFonts w:ascii="Calibri" w:hAnsi="Calibri" w:cs="Arial"/>
                <w:bCs/>
              </w:rPr>
              <w:t>7.- Estudio y diseño de Túneles.</w:t>
            </w:r>
          </w:p>
          <w:p w:rsidR="00340FB6" w:rsidRPr="002C5180" w:rsidRDefault="00340FB6" w:rsidP="00340FB6">
            <w:pPr>
              <w:ind w:right="-91"/>
              <w:jc w:val="both"/>
              <w:rPr>
                <w:rFonts w:ascii="Calibri" w:hAnsi="Calibri" w:cs="Arial"/>
                <w:bCs/>
              </w:rPr>
            </w:pPr>
            <w:r w:rsidRPr="002C5180">
              <w:rPr>
                <w:rFonts w:ascii="Calibri" w:hAnsi="Calibri" w:cs="Arial"/>
                <w:bCs/>
              </w:rPr>
              <w:t>8.- Estudio Social y Ambiental.</w:t>
            </w:r>
          </w:p>
          <w:p w:rsidR="00340FB6" w:rsidRPr="002C5180" w:rsidRDefault="00340FB6" w:rsidP="00340FB6">
            <w:pPr>
              <w:ind w:right="-91"/>
              <w:jc w:val="both"/>
              <w:rPr>
                <w:rFonts w:ascii="Calibri" w:hAnsi="Calibri" w:cs="Arial"/>
                <w:bCs/>
              </w:rPr>
            </w:pPr>
            <w:r w:rsidRPr="002C5180">
              <w:rPr>
                <w:rFonts w:ascii="Calibri" w:hAnsi="Calibri" w:cs="Arial"/>
                <w:bCs/>
              </w:rPr>
              <w:t>9.- Estudio Gestión Predial.</w:t>
            </w:r>
          </w:p>
          <w:p w:rsidR="00340FB6" w:rsidRPr="002C5180" w:rsidRDefault="00340FB6" w:rsidP="00340FB6">
            <w:pPr>
              <w:ind w:right="-91"/>
              <w:jc w:val="both"/>
              <w:rPr>
                <w:rFonts w:ascii="Calibri" w:hAnsi="Calibri" w:cs="Arial"/>
                <w:bCs/>
              </w:rPr>
            </w:pPr>
            <w:r w:rsidRPr="002C5180">
              <w:rPr>
                <w:rFonts w:ascii="Calibri" w:hAnsi="Calibri" w:cs="Arial"/>
                <w:bCs/>
              </w:rPr>
              <w:t xml:space="preserve">10.- Estudios y diseños de las instalaciones Electromecánicas de los túneles, centros de control y edificios auxiliares </w:t>
            </w:r>
          </w:p>
          <w:p w:rsidR="00340FB6" w:rsidRPr="002C5180" w:rsidRDefault="00340FB6" w:rsidP="00340FB6">
            <w:pPr>
              <w:ind w:right="-91"/>
              <w:jc w:val="both"/>
              <w:rPr>
                <w:rFonts w:ascii="Calibri" w:hAnsi="Calibri" w:cs="Arial"/>
                <w:bCs/>
              </w:rPr>
            </w:pPr>
            <w:r w:rsidRPr="002C5180">
              <w:rPr>
                <w:rFonts w:ascii="Calibri" w:hAnsi="Calibri" w:cs="Arial"/>
                <w:bCs/>
              </w:rPr>
              <w:t>Los tomos socio-ambiental y predial fueron remitidos para revisión a las Vicepresidencias con memorandos 2015-500-</w:t>
            </w:r>
            <w:r w:rsidRPr="002C5180">
              <w:rPr>
                <w:rFonts w:ascii="Calibri" w:hAnsi="Calibri" w:cs="Arial"/>
                <w:bCs/>
              </w:rPr>
              <w:lastRenderedPageBreak/>
              <w:t xml:space="preserve">005857-3 y 2015-500-005856-3 respectivamente. </w:t>
            </w:r>
          </w:p>
        </w:tc>
      </w:tr>
      <w:tr w:rsidR="00340FB6" w:rsidRPr="002C5180" w:rsidTr="00340FB6">
        <w:trPr>
          <w:jc w:val="center"/>
        </w:trPr>
        <w:tc>
          <w:tcPr>
            <w:tcW w:w="1062" w:type="dxa"/>
            <w:shd w:val="clear" w:color="auto" w:fill="auto"/>
            <w:vAlign w:val="center"/>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lastRenderedPageBreak/>
              <w:t>Tercero</w:t>
            </w:r>
          </w:p>
        </w:tc>
        <w:tc>
          <w:tcPr>
            <w:tcW w:w="1765" w:type="dxa"/>
            <w:shd w:val="clear" w:color="auto" w:fill="auto"/>
            <w:vAlign w:val="center"/>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19 de junio de 2015</w:t>
            </w:r>
          </w:p>
        </w:tc>
        <w:tc>
          <w:tcPr>
            <w:tcW w:w="1478" w:type="dxa"/>
            <w:shd w:val="clear" w:color="auto" w:fill="auto"/>
            <w:vAlign w:val="center"/>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01-7327-2015 del 19/06/2015</w:t>
            </w:r>
          </w:p>
        </w:tc>
        <w:tc>
          <w:tcPr>
            <w:tcW w:w="1701" w:type="dxa"/>
            <w:shd w:val="clear" w:color="auto" w:fill="auto"/>
            <w:vAlign w:val="center"/>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2015-409-036663-2 del 22/06/2015</w:t>
            </w:r>
          </w:p>
        </w:tc>
        <w:tc>
          <w:tcPr>
            <w:tcW w:w="3118" w:type="dxa"/>
            <w:shd w:val="clear" w:color="auto" w:fill="auto"/>
            <w:vAlign w:val="center"/>
          </w:tcPr>
          <w:p w:rsidR="00340FB6" w:rsidRPr="002C5180" w:rsidRDefault="00340FB6" w:rsidP="00340FB6">
            <w:pPr>
              <w:ind w:right="-91"/>
              <w:jc w:val="both"/>
              <w:rPr>
                <w:rFonts w:ascii="Calibri" w:hAnsi="Calibri" w:cs="Arial"/>
                <w:bCs/>
              </w:rPr>
            </w:pPr>
            <w:r w:rsidRPr="002C5180">
              <w:rPr>
                <w:rFonts w:ascii="Calibri" w:hAnsi="Calibri" w:cs="Arial"/>
                <w:bCs/>
              </w:rPr>
              <w:t>1.- Estudio de Estructuras para diseño de Puentes fase II</w:t>
            </w:r>
          </w:p>
          <w:p w:rsidR="00340FB6" w:rsidRPr="002C5180" w:rsidRDefault="00340FB6" w:rsidP="00340FB6">
            <w:pPr>
              <w:ind w:right="-91"/>
              <w:jc w:val="both"/>
              <w:rPr>
                <w:rFonts w:ascii="Calibri" w:hAnsi="Calibri" w:cs="Arial"/>
                <w:bCs/>
              </w:rPr>
            </w:pPr>
            <w:r w:rsidRPr="002C5180">
              <w:rPr>
                <w:rFonts w:ascii="Calibri" w:hAnsi="Calibri" w:cs="Arial"/>
                <w:bCs/>
              </w:rPr>
              <w:t>2.- Estudio y diseño de Túneles fase II</w:t>
            </w:r>
          </w:p>
          <w:p w:rsidR="00340FB6" w:rsidRPr="002C5180" w:rsidRDefault="00340FB6" w:rsidP="00340FB6">
            <w:pPr>
              <w:ind w:right="-91"/>
              <w:jc w:val="both"/>
              <w:rPr>
                <w:rFonts w:ascii="Calibri" w:hAnsi="Calibri" w:cs="Arial"/>
                <w:bCs/>
              </w:rPr>
            </w:pPr>
            <w:r w:rsidRPr="002C5180">
              <w:rPr>
                <w:rFonts w:ascii="Calibri" w:hAnsi="Calibri" w:cs="Arial"/>
                <w:bCs/>
              </w:rPr>
              <w:t>3.- Cantidades de obra, análisis de precios unitarios y presupuesto fase II</w:t>
            </w:r>
          </w:p>
          <w:p w:rsidR="00340FB6" w:rsidRPr="002C5180" w:rsidRDefault="00340FB6" w:rsidP="00340FB6">
            <w:pPr>
              <w:ind w:right="-91"/>
              <w:jc w:val="both"/>
              <w:rPr>
                <w:rFonts w:ascii="Calibri" w:hAnsi="Calibri" w:cs="Arial"/>
                <w:bCs/>
              </w:rPr>
            </w:pPr>
            <w:r w:rsidRPr="002C5180">
              <w:rPr>
                <w:rFonts w:ascii="Calibri" w:hAnsi="Calibri" w:cs="Arial"/>
                <w:bCs/>
              </w:rPr>
              <w:t>4.- Estudio Geología para ingeniería y Geotecnia Final.</w:t>
            </w:r>
          </w:p>
          <w:p w:rsidR="00340FB6" w:rsidRPr="002C5180" w:rsidRDefault="00340FB6" w:rsidP="00340FB6">
            <w:pPr>
              <w:ind w:right="-91"/>
              <w:jc w:val="both"/>
              <w:rPr>
                <w:rFonts w:ascii="Calibri" w:hAnsi="Calibri" w:cs="Arial"/>
                <w:bCs/>
              </w:rPr>
            </w:pPr>
            <w:r w:rsidRPr="002C5180">
              <w:rPr>
                <w:rFonts w:ascii="Calibri" w:hAnsi="Calibri" w:cs="Arial"/>
                <w:bCs/>
              </w:rPr>
              <w:t>5.- Estudio de señalización final.</w:t>
            </w:r>
          </w:p>
          <w:p w:rsidR="00340FB6" w:rsidRPr="002C5180" w:rsidRDefault="00340FB6" w:rsidP="00340FB6">
            <w:pPr>
              <w:ind w:right="-91"/>
              <w:jc w:val="both"/>
              <w:rPr>
                <w:rFonts w:ascii="Calibri" w:hAnsi="Calibri" w:cs="Arial"/>
                <w:bCs/>
              </w:rPr>
            </w:pPr>
            <w:r w:rsidRPr="002C5180">
              <w:rPr>
                <w:rFonts w:ascii="Calibri" w:hAnsi="Calibri" w:cs="Arial"/>
                <w:bCs/>
              </w:rPr>
              <w:t>6.- Estudio de interferencia de redes secas final</w:t>
            </w:r>
          </w:p>
        </w:tc>
      </w:tr>
    </w:tbl>
    <w:p w:rsidR="00340FB6" w:rsidRPr="002C5180" w:rsidRDefault="00340FB6" w:rsidP="00340FB6">
      <w:pPr>
        <w:spacing w:after="160" w:line="259" w:lineRule="auto"/>
        <w:ind w:right="-93"/>
        <w:jc w:val="both"/>
        <w:rPr>
          <w:rFonts w:ascii="Calibri" w:hAnsi="Calibri" w:cs="Arial"/>
          <w:bCs/>
        </w:rPr>
      </w:pPr>
    </w:p>
    <w:p w:rsidR="00340FB6" w:rsidRPr="002C5180" w:rsidRDefault="00340FB6" w:rsidP="00340FB6">
      <w:pPr>
        <w:spacing w:after="160" w:line="259" w:lineRule="auto"/>
        <w:ind w:right="-93"/>
        <w:jc w:val="both"/>
        <w:rPr>
          <w:rFonts w:ascii="Calibri" w:eastAsia="Calibri" w:hAnsi="Calibri" w:cs="Calibri"/>
          <w:lang w:eastAsia="en-US"/>
        </w:rPr>
      </w:pPr>
      <w:r w:rsidRPr="002C5180">
        <w:rPr>
          <w:rFonts w:ascii="Calibri" w:hAnsi="Calibri" w:cs="Arial"/>
          <w:bCs/>
        </w:rPr>
        <w:t xml:space="preserve">Se encuentra pendiente la </w:t>
      </w:r>
      <w:r w:rsidRPr="002C5180">
        <w:rPr>
          <w:rFonts w:ascii="Calibri" w:eastAsia="Calibri" w:hAnsi="Calibri" w:cs="Calibri"/>
          <w:lang w:eastAsia="en-US"/>
        </w:rPr>
        <w:t xml:space="preserve">cuarta y última entrega que corresponde a diseño geométrico en fase III, geotecnia y geología, hidráulica e hidrología, estructuras mayores y menores, urbanismo y paisajismo, redes de servicios, presupuesto y cantidades de obra y gestión predial social y ambiental y que incluye evaluación socio-económica del proyecto e informe final ejecutivo estaba programado para ser entregado a fecha </w:t>
      </w:r>
      <w:r w:rsidRPr="002C5180">
        <w:rPr>
          <w:rFonts w:ascii="Calibri" w:eastAsia="Calibri" w:hAnsi="Calibri" w:cs="Calibri"/>
          <w:b/>
          <w:lang w:eastAsia="en-US"/>
        </w:rPr>
        <w:t>16 de julio de 2015</w:t>
      </w:r>
      <w:r w:rsidRPr="002C5180">
        <w:rPr>
          <w:rFonts w:ascii="Calibri" w:eastAsia="Calibri" w:hAnsi="Calibri" w:cs="Calibri"/>
          <w:lang w:eastAsia="en-US"/>
        </w:rPr>
        <w:t>.</w:t>
      </w:r>
    </w:p>
    <w:p w:rsidR="00340FB6" w:rsidRPr="002C5180" w:rsidRDefault="00340FB6" w:rsidP="00340FB6">
      <w:pPr>
        <w:spacing w:after="160" w:line="259" w:lineRule="auto"/>
        <w:ind w:right="-93"/>
        <w:jc w:val="both"/>
        <w:rPr>
          <w:rFonts w:ascii="Calibri" w:hAnsi="Calibri"/>
        </w:rPr>
      </w:pPr>
      <w:r w:rsidRPr="002C5180">
        <w:rPr>
          <w:rFonts w:ascii="Calibri" w:hAnsi="Calibri" w:cs="Arial"/>
          <w:bCs/>
        </w:rPr>
        <w:t xml:space="preserve">Sin embargo la empresa consultora Concol ha sido reiterativa con la solicitud de adicionar el plazo del Contrato en 45 días, modificando la fecha de entrega final de 16 de julio a 31 de agosto de 2015, esta solicitud fue viabilizada por la interventoría, pero la Vicepresidencia Ejecutiva solo autorizó ampliar hasta el 15 de julio y obtener el producto final revisado y avalado por la interventoría el próximo </w:t>
      </w:r>
      <w:r w:rsidRPr="002C5180">
        <w:rPr>
          <w:rFonts w:ascii="Calibri" w:hAnsi="Calibri" w:cs="Arial"/>
          <w:b/>
          <w:bCs/>
        </w:rPr>
        <w:t>31 de agosto de 2015</w:t>
      </w:r>
      <w:r w:rsidRPr="002C5180">
        <w:rPr>
          <w:rFonts w:ascii="Calibri" w:hAnsi="Calibri" w:cs="Arial"/>
          <w:bCs/>
        </w:rPr>
        <w:t xml:space="preserve">. </w:t>
      </w:r>
    </w:p>
    <w:p w:rsidR="00340FB6" w:rsidRPr="002C5180" w:rsidRDefault="00340FB6" w:rsidP="00340FB6">
      <w:pPr>
        <w:spacing w:after="160" w:line="259" w:lineRule="auto"/>
        <w:ind w:right="-93"/>
        <w:jc w:val="both"/>
        <w:rPr>
          <w:rFonts w:ascii="Calibri" w:eastAsia="Calibri" w:hAnsi="Calibri" w:cs="Calibri"/>
          <w:i/>
          <w:lang w:eastAsia="en-US"/>
        </w:rPr>
      </w:pPr>
      <w:r w:rsidRPr="002C5180">
        <w:rPr>
          <w:rFonts w:ascii="Calibri" w:eastAsia="Calibri" w:hAnsi="Calibri" w:cs="Calibri"/>
          <w:i/>
          <w:lang w:eastAsia="en-US"/>
        </w:rPr>
        <w:t xml:space="preserve">Resumen tramite de pagos Concol: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474"/>
        <w:gridCol w:w="1417"/>
        <w:gridCol w:w="1888"/>
        <w:gridCol w:w="1778"/>
        <w:gridCol w:w="1278"/>
      </w:tblGrid>
      <w:tr w:rsidR="00340FB6" w:rsidRPr="002C5180" w:rsidTr="00340FB6">
        <w:trPr>
          <w:jc w:val="center"/>
        </w:trPr>
        <w:tc>
          <w:tcPr>
            <w:tcW w:w="919" w:type="dxa"/>
            <w:shd w:val="clear" w:color="auto" w:fill="BFBFBF"/>
            <w:vAlign w:val="center"/>
          </w:tcPr>
          <w:p w:rsidR="00340FB6" w:rsidRPr="002C5180" w:rsidRDefault="00340FB6" w:rsidP="00340FB6">
            <w:pPr>
              <w:ind w:right="-91"/>
              <w:rPr>
                <w:rFonts w:ascii="Calibri" w:hAnsi="Calibri" w:cs="Arial"/>
                <w:b/>
                <w:bCs/>
              </w:rPr>
            </w:pPr>
            <w:r w:rsidRPr="002C5180">
              <w:rPr>
                <w:rFonts w:ascii="Calibri" w:hAnsi="Calibri" w:cs="Arial"/>
                <w:b/>
                <w:bCs/>
              </w:rPr>
              <w:t>No. Pago</w:t>
            </w:r>
          </w:p>
        </w:tc>
        <w:tc>
          <w:tcPr>
            <w:tcW w:w="1736" w:type="dxa"/>
            <w:shd w:val="clear" w:color="auto" w:fill="BFBFBF"/>
            <w:vAlign w:val="center"/>
          </w:tcPr>
          <w:p w:rsidR="00340FB6" w:rsidRPr="002C5180" w:rsidRDefault="00340FB6" w:rsidP="00340FB6">
            <w:pPr>
              <w:ind w:right="-91"/>
              <w:jc w:val="center"/>
              <w:rPr>
                <w:rFonts w:ascii="Calibri" w:hAnsi="Calibri" w:cs="Arial"/>
                <w:b/>
                <w:bCs/>
              </w:rPr>
            </w:pPr>
            <w:r w:rsidRPr="002C5180">
              <w:rPr>
                <w:rFonts w:ascii="Calibri" w:hAnsi="Calibri" w:cs="Arial"/>
                <w:b/>
                <w:bCs/>
              </w:rPr>
              <w:t>Porcentaje</w:t>
            </w:r>
          </w:p>
        </w:tc>
        <w:tc>
          <w:tcPr>
            <w:tcW w:w="1641" w:type="dxa"/>
            <w:shd w:val="clear" w:color="auto" w:fill="BFBFBF"/>
            <w:vAlign w:val="center"/>
          </w:tcPr>
          <w:p w:rsidR="00340FB6" w:rsidRPr="002C5180" w:rsidRDefault="00340FB6" w:rsidP="00340FB6">
            <w:pPr>
              <w:ind w:right="-91"/>
              <w:jc w:val="center"/>
              <w:rPr>
                <w:rFonts w:ascii="Calibri" w:hAnsi="Calibri" w:cs="Arial"/>
                <w:b/>
                <w:bCs/>
              </w:rPr>
            </w:pPr>
            <w:r w:rsidRPr="002C5180">
              <w:rPr>
                <w:rFonts w:ascii="Calibri" w:hAnsi="Calibri" w:cs="Arial"/>
                <w:b/>
                <w:bCs/>
              </w:rPr>
              <w:t>Concepto</w:t>
            </w:r>
          </w:p>
        </w:tc>
        <w:tc>
          <w:tcPr>
            <w:tcW w:w="1694" w:type="dxa"/>
            <w:shd w:val="clear" w:color="auto" w:fill="BFBFBF"/>
            <w:vAlign w:val="center"/>
          </w:tcPr>
          <w:p w:rsidR="00340FB6" w:rsidRPr="002C5180" w:rsidRDefault="00340FB6" w:rsidP="00340FB6">
            <w:pPr>
              <w:ind w:right="-91"/>
              <w:jc w:val="center"/>
              <w:rPr>
                <w:rFonts w:ascii="Calibri" w:hAnsi="Calibri" w:cs="Arial"/>
                <w:b/>
                <w:bCs/>
              </w:rPr>
            </w:pPr>
            <w:r w:rsidRPr="002C5180">
              <w:rPr>
                <w:rFonts w:ascii="Calibri" w:hAnsi="Calibri" w:cs="Arial"/>
                <w:b/>
                <w:bCs/>
              </w:rPr>
              <w:t>Valor</w:t>
            </w:r>
          </w:p>
        </w:tc>
        <w:tc>
          <w:tcPr>
            <w:tcW w:w="1733" w:type="dxa"/>
            <w:shd w:val="clear" w:color="auto" w:fill="BFBFBF"/>
            <w:vAlign w:val="center"/>
          </w:tcPr>
          <w:p w:rsidR="00340FB6" w:rsidRPr="002C5180" w:rsidRDefault="00340FB6" w:rsidP="00340FB6">
            <w:pPr>
              <w:ind w:right="-93"/>
              <w:jc w:val="center"/>
              <w:rPr>
                <w:rFonts w:ascii="Calibri" w:hAnsi="Calibri" w:cs="Arial"/>
                <w:b/>
                <w:bCs/>
              </w:rPr>
            </w:pPr>
            <w:r w:rsidRPr="002C5180">
              <w:rPr>
                <w:rFonts w:ascii="Calibri" w:hAnsi="Calibri" w:cs="Arial"/>
                <w:b/>
                <w:bCs/>
              </w:rPr>
              <w:t>Trámite</w:t>
            </w:r>
          </w:p>
          <w:p w:rsidR="00340FB6" w:rsidRPr="002C5180" w:rsidRDefault="00340FB6" w:rsidP="00340FB6">
            <w:pPr>
              <w:ind w:right="-93"/>
              <w:jc w:val="center"/>
              <w:rPr>
                <w:rFonts w:ascii="Calibri" w:hAnsi="Calibri" w:cs="Arial"/>
                <w:b/>
                <w:bCs/>
              </w:rPr>
            </w:pPr>
            <w:r w:rsidRPr="002C5180">
              <w:rPr>
                <w:rFonts w:ascii="Calibri" w:hAnsi="Calibri" w:cs="Arial"/>
                <w:b/>
                <w:bCs/>
              </w:rPr>
              <w:t>Radicado ANI No.</w:t>
            </w:r>
          </w:p>
        </w:tc>
        <w:tc>
          <w:tcPr>
            <w:tcW w:w="1199" w:type="dxa"/>
            <w:shd w:val="clear" w:color="auto" w:fill="BFBFBF"/>
            <w:vAlign w:val="center"/>
          </w:tcPr>
          <w:p w:rsidR="00340FB6" w:rsidRPr="002C5180" w:rsidRDefault="00340FB6" w:rsidP="00340FB6">
            <w:pPr>
              <w:ind w:right="-93"/>
              <w:jc w:val="center"/>
              <w:rPr>
                <w:rFonts w:ascii="Calibri" w:hAnsi="Calibri" w:cs="Arial"/>
                <w:b/>
                <w:bCs/>
              </w:rPr>
            </w:pPr>
            <w:r w:rsidRPr="002C5180">
              <w:rPr>
                <w:rFonts w:ascii="Calibri" w:hAnsi="Calibri" w:cs="Arial"/>
                <w:b/>
                <w:bCs/>
              </w:rPr>
              <w:t>Fecha salida</w:t>
            </w:r>
          </w:p>
        </w:tc>
      </w:tr>
      <w:tr w:rsidR="00340FB6" w:rsidRPr="002C5180" w:rsidTr="00340FB6">
        <w:trPr>
          <w:jc w:val="center"/>
        </w:trPr>
        <w:tc>
          <w:tcPr>
            <w:tcW w:w="919" w:type="dxa"/>
            <w:shd w:val="clear" w:color="auto" w:fill="auto"/>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Primer</w:t>
            </w:r>
          </w:p>
        </w:tc>
        <w:tc>
          <w:tcPr>
            <w:tcW w:w="1736"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30%</w:t>
            </w:r>
          </w:p>
        </w:tc>
        <w:tc>
          <w:tcPr>
            <w:tcW w:w="1641"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Anticipo</w:t>
            </w:r>
          </w:p>
        </w:tc>
        <w:tc>
          <w:tcPr>
            <w:tcW w:w="1694" w:type="dxa"/>
            <w:shd w:val="clear" w:color="auto" w:fill="auto"/>
          </w:tcPr>
          <w:p w:rsidR="00340FB6" w:rsidRPr="002C5180" w:rsidRDefault="00340FB6" w:rsidP="00340FB6">
            <w:pPr>
              <w:spacing w:after="160" w:line="259" w:lineRule="auto"/>
              <w:ind w:right="-93"/>
              <w:jc w:val="right"/>
              <w:rPr>
                <w:rFonts w:ascii="Calibri" w:hAnsi="Calibri" w:cs="Arial"/>
                <w:bCs/>
              </w:rPr>
            </w:pPr>
            <w:r w:rsidRPr="002C5180">
              <w:rPr>
                <w:rFonts w:ascii="Calibri" w:hAnsi="Calibri" w:cs="Arial"/>
                <w:bCs/>
              </w:rPr>
              <w:t>$2.997.260.211,30</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rsidR="00340FB6" w:rsidRPr="002C5180" w:rsidRDefault="009D1EA7" w:rsidP="00340FB6">
            <w:pPr>
              <w:spacing w:after="160" w:line="259" w:lineRule="auto"/>
              <w:ind w:right="-93"/>
              <w:jc w:val="center"/>
              <w:rPr>
                <w:rFonts w:ascii="Calibri" w:hAnsi="Calibri" w:cs="Arial"/>
                <w:bCs/>
              </w:rPr>
            </w:pPr>
            <w:hyperlink r:id="rId205" w:history="1">
              <w:r w:rsidR="00340FB6" w:rsidRPr="002C5180">
                <w:rPr>
                  <w:rFonts w:ascii="Calibri" w:hAnsi="Calibri" w:cs="Arial"/>
                  <w:bCs/>
                </w:rPr>
                <w:t>20155000038961</w:t>
              </w:r>
            </w:hyperlink>
          </w:p>
        </w:tc>
        <w:tc>
          <w:tcPr>
            <w:tcW w:w="1199" w:type="dxa"/>
            <w:tcBorders>
              <w:top w:val="single" w:sz="4" w:space="0" w:color="auto"/>
              <w:left w:val="single" w:sz="4" w:space="0" w:color="auto"/>
              <w:bottom w:val="single" w:sz="4" w:space="0" w:color="auto"/>
              <w:right w:val="single" w:sz="4" w:space="0" w:color="auto"/>
            </w:tcBorders>
            <w:shd w:val="clear" w:color="auto" w:fill="auto"/>
            <w:vAlign w:val="bottom"/>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25/02/2015</w:t>
            </w:r>
          </w:p>
        </w:tc>
      </w:tr>
      <w:tr w:rsidR="00340FB6" w:rsidRPr="002C5180" w:rsidTr="00340FB6">
        <w:trPr>
          <w:jc w:val="center"/>
        </w:trPr>
        <w:tc>
          <w:tcPr>
            <w:tcW w:w="919" w:type="dxa"/>
            <w:shd w:val="clear" w:color="auto" w:fill="auto"/>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lastRenderedPageBreak/>
              <w:t>Segundo</w:t>
            </w:r>
          </w:p>
        </w:tc>
        <w:tc>
          <w:tcPr>
            <w:tcW w:w="1736"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10%</w:t>
            </w:r>
          </w:p>
        </w:tc>
        <w:tc>
          <w:tcPr>
            <w:tcW w:w="1641"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 xml:space="preserve">Primer entregable </w:t>
            </w:r>
          </w:p>
        </w:tc>
        <w:tc>
          <w:tcPr>
            <w:tcW w:w="1694" w:type="dxa"/>
            <w:shd w:val="clear" w:color="auto" w:fill="auto"/>
          </w:tcPr>
          <w:p w:rsidR="00340FB6" w:rsidRPr="002C5180" w:rsidRDefault="00340FB6" w:rsidP="00340FB6">
            <w:pPr>
              <w:spacing w:after="160" w:line="259" w:lineRule="auto"/>
              <w:ind w:right="-93"/>
              <w:jc w:val="right"/>
              <w:rPr>
                <w:rFonts w:ascii="Calibri" w:hAnsi="Calibri" w:cs="Arial"/>
                <w:bCs/>
              </w:rPr>
            </w:pPr>
            <w:r w:rsidRPr="002C5180">
              <w:rPr>
                <w:rFonts w:ascii="Calibri" w:hAnsi="Calibri" w:cs="Arial"/>
                <w:bCs/>
              </w:rPr>
              <w:t>$999.086.737,10</w:t>
            </w:r>
          </w:p>
        </w:tc>
        <w:tc>
          <w:tcPr>
            <w:tcW w:w="1733" w:type="dxa"/>
            <w:tcBorders>
              <w:top w:val="nil"/>
              <w:left w:val="single" w:sz="4" w:space="0" w:color="auto"/>
              <w:bottom w:val="single" w:sz="4" w:space="0" w:color="auto"/>
              <w:right w:val="single" w:sz="4" w:space="0" w:color="auto"/>
            </w:tcBorders>
            <w:shd w:val="clear" w:color="auto" w:fill="auto"/>
            <w:vAlign w:val="center"/>
          </w:tcPr>
          <w:p w:rsidR="00340FB6" w:rsidRPr="002C5180" w:rsidRDefault="009D1EA7" w:rsidP="00340FB6">
            <w:pPr>
              <w:spacing w:after="160" w:line="259" w:lineRule="auto"/>
              <w:ind w:right="-93"/>
              <w:jc w:val="center"/>
              <w:rPr>
                <w:rFonts w:ascii="Calibri" w:hAnsi="Calibri" w:cs="Arial"/>
                <w:bCs/>
              </w:rPr>
            </w:pPr>
            <w:hyperlink r:id="rId206" w:history="1">
              <w:r w:rsidR="00340FB6" w:rsidRPr="002C5180">
                <w:rPr>
                  <w:rFonts w:ascii="Calibri" w:hAnsi="Calibri" w:cs="Arial"/>
                  <w:bCs/>
                </w:rPr>
                <w:t>20155000079601</w:t>
              </w:r>
            </w:hyperlink>
          </w:p>
        </w:tc>
        <w:tc>
          <w:tcPr>
            <w:tcW w:w="1199" w:type="dxa"/>
            <w:tcBorders>
              <w:top w:val="nil"/>
              <w:left w:val="single" w:sz="4" w:space="0" w:color="auto"/>
              <w:bottom w:val="single" w:sz="4" w:space="0" w:color="auto"/>
              <w:right w:val="single" w:sz="4" w:space="0" w:color="auto"/>
            </w:tcBorders>
            <w:shd w:val="clear" w:color="auto" w:fill="auto"/>
            <w:vAlign w:val="bottom"/>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16/04/2015</w:t>
            </w:r>
          </w:p>
        </w:tc>
      </w:tr>
      <w:tr w:rsidR="00340FB6" w:rsidRPr="002C5180" w:rsidTr="00340FB6">
        <w:trPr>
          <w:jc w:val="center"/>
        </w:trPr>
        <w:tc>
          <w:tcPr>
            <w:tcW w:w="919" w:type="dxa"/>
            <w:shd w:val="clear" w:color="auto" w:fill="auto"/>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Tercero</w:t>
            </w:r>
          </w:p>
        </w:tc>
        <w:tc>
          <w:tcPr>
            <w:tcW w:w="1736"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20%</w:t>
            </w:r>
          </w:p>
        </w:tc>
        <w:tc>
          <w:tcPr>
            <w:tcW w:w="1641"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Segundo entregable</w:t>
            </w:r>
          </w:p>
        </w:tc>
        <w:tc>
          <w:tcPr>
            <w:tcW w:w="1694" w:type="dxa"/>
            <w:shd w:val="clear" w:color="auto" w:fill="auto"/>
          </w:tcPr>
          <w:p w:rsidR="00340FB6" w:rsidRPr="002C5180" w:rsidRDefault="00340FB6" w:rsidP="00340FB6">
            <w:pPr>
              <w:spacing w:after="160" w:line="259" w:lineRule="auto"/>
              <w:ind w:right="-93"/>
              <w:jc w:val="right"/>
              <w:rPr>
                <w:rFonts w:ascii="Calibri" w:hAnsi="Calibri" w:cs="Arial"/>
                <w:bCs/>
              </w:rPr>
            </w:pPr>
            <w:r w:rsidRPr="002C5180">
              <w:rPr>
                <w:rFonts w:ascii="Calibri" w:hAnsi="Calibri" w:cs="Arial"/>
                <w:bCs/>
              </w:rPr>
              <w:t>$1.998.173.474,20</w:t>
            </w:r>
          </w:p>
        </w:tc>
        <w:tc>
          <w:tcPr>
            <w:tcW w:w="1733" w:type="dxa"/>
            <w:tcBorders>
              <w:top w:val="nil"/>
              <w:left w:val="single" w:sz="4" w:space="0" w:color="auto"/>
              <w:bottom w:val="single" w:sz="4" w:space="0" w:color="auto"/>
              <w:right w:val="single" w:sz="4" w:space="0" w:color="auto"/>
            </w:tcBorders>
            <w:shd w:val="clear" w:color="auto" w:fill="auto"/>
            <w:vAlign w:val="center"/>
          </w:tcPr>
          <w:p w:rsidR="00340FB6" w:rsidRPr="002C5180" w:rsidRDefault="009D1EA7" w:rsidP="00340FB6">
            <w:pPr>
              <w:spacing w:after="160" w:line="259" w:lineRule="auto"/>
              <w:ind w:right="-93"/>
              <w:jc w:val="center"/>
              <w:rPr>
                <w:rFonts w:ascii="Calibri" w:hAnsi="Calibri" w:cs="Arial"/>
                <w:bCs/>
              </w:rPr>
            </w:pPr>
            <w:hyperlink r:id="rId207" w:history="1">
              <w:r w:rsidR="00340FB6" w:rsidRPr="002C5180">
                <w:rPr>
                  <w:rFonts w:ascii="Calibri" w:hAnsi="Calibri" w:cs="Arial"/>
                  <w:bCs/>
                </w:rPr>
                <w:t>20155000121721</w:t>
              </w:r>
            </w:hyperlink>
          </w:p>
        </w:tc>
        <w:tc>
          <w:tcPr>
            <w:tcW w:w="1199" w:type="dxa"/>
            <w:tcBorders>
              <w:top w:val="nil"/>
              <w:left w:val="single" w:sz="4" w:space="0" w:color="auto"/>
              <w:bottom w:val="single" w:sz="4" w:space="0" w:color="auto"/>
              <w:right w:val="single" w:sz="4" w:space="0" w:color="auto"/>
            </w:tcBorders>
            <w:shd w:val="clear" w:color="auto" w:fill="auto"/>
            <w:vAlign w:val="bottom"/>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04/06/2015</w:t>
            </w:r>
          </w:p>
        </w:tc>
      </w:tr>
      <w:tr w:rsidR="00340FB6" w:rsidRPr="002C5180" w:rsidTr="00340FB6">
        <w:trPr>
          <w:jc w:val="center"/>
        </w:trPr>
        <w:tc>
          <w:tcPr>
            <w:tcW w:w="919" w:type="dxa"/>
            <w:shd w:val="clear" w:color="auto" w:fill="auto"/>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Cuarto</w:t>
            </w:r>
          </w:p>
        </w:tc>
        <w:tc>
          <w:tcPr>
            <w:tcW w:w="1736"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20%</w:t>
            </w:r>
          </w:p>
        </w:tc>
        <w:tc>
          <w:tcPr>
            <w:tcW w:w="1641"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Tercer entregable</w:t>
            </w:r>
          </w:p>
        </w:tc>
        <w:tc>
          <w:tcPr>
            <w:tcW w:w="1694" w:type="dxa"/>
            <w:shd w:val="clear" w:color="auto" w:fill="auto"/>
          </w:tcPr>
          <w:p w:rsidR="00340FB6" w:rsidRPr="002C5180" w:rsidRDefault="00340FB6" w:rsidP="00340FB6">
            <w:pPr>
              <w:spacing w:after="160" w:line="259" w:lineRule="auto"/>
              <w:ind w:right="-93"/>
              <w:jc w:val="right"/>
              <w:rPr>
                <w:rFonts w:ascii="Calibri" w:hAnsi="Calibri" w:cs="Arial"/>
                <w:bCs/>
              </w:rPr>
            </w:pPr>
            <w:r w:rsidRPr="002C5180">
              <w:rPr>
                <w:rFonts w:ascii="Calibri" w:hAnsi="Calibri" w:cs="Arial"/>
                <w:bCs/>
              </w:rPr>
              <w:t>$1.998.173.474,20</w:t>
            </w:r>
          </w:p>
        </w:tc>
        <w:tc>
          <w:tcPr>
            <w:tcW w:w="1733"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w:t>
            </w:r>
          </w:p>
        </w:tc>
        <w:tc>
          <w:tcPr>
            <w:tcW w:w="1199"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w:t>
            </w:r>
          </w:p>
        </w:tc>
      </w:tr>
      <w:tr w:rsidR="00340FB6" w:rsidRPr="002C5180" w:rsidTr="00340FB6">
        <w:trPr>
          <w:jc w:val="center"/>
        </w:trPr>
        <w:tc>
          <w:tcPr>
            <w:tcW w:w="919" w:type="dxa"/>
            <w:shd w:val="clear" w:color="auto" w:fill="auto"/>
          </w:tcPr>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Quinto</w:t>
            </w:r>
          </w:p>
        </w:tc>
        <w:tc>
          <w:tcPr>
            <w:tcW w:w="1736"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20%</w:t>
            </w:r>
          </w:p>
        </w:tc>
        <w:tc>
          <w:tcPr>
            <w:tcW w:w="1641"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Cuarto entregable</w:t>
            </w:r>
          </w:p>
        </w:tc>
        <w:tc>
          <w:tcPr>
            <w:tcW w:w="1694" w:type="dxa"/>
            <w:shd w:val="clear" w:color="auto" w:fill="auto"/>
          </w:tcPr>
          <w:p w:rsidR="00340FB6" w:rsidRPr="002C5180" w:rsidRDefault="00340FB6" w:rsidP="00340FB6">
            <w:pPr>
              <w:spacing w:after="160" w:line="259" w:lineRule="auto"/>
              <w:ind w:right="-93"/>
              <w:jc w:val="right"/>
              <w:rPr>
                <w:rFonts w:ascii="Calibri" w:hAnsi="Calibri" w:cs="Arial"/>
                <w:bCs/>
              </w:rPr>
            </w:pPr>
            <w:r w:rsidRPr="002C5180">
              <w:rPr>
                <w:rFonts w:ascii="Calibri" w:hAnsi="Calibri" w:cs="Arial"/>
                <w:bCs/>
              </w:rPr>
              <w:t>$1.998.173.474,20</w:t>
            </w:r>
          </w:p>
        </w:tc>
        <w:tc>
          <w:tcPr>
            <w:tcW w:w="1733"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w:t>
            </w:r>
          </w:p>
        </w:tc>
        <w:tc>
          <w:tcPr>
            <w:tcW w:w="1199" w:type="dxa"/>
            <w:shd w:val="clear" w:color="auto" w:fill="auto"/>
          </w:tcPr>
          <w:p w:rsidR="00340FB6" w:rsidRPr="002C5180" w:rsidRDefault="00340FB6" w:rsidP="00340FB6">
            <w:pPr>
              <w:spacing w:after="160" w:line="259" w:lineRule="auto"/>
              <w:ind w:right="-93"/>
              <w:jc w:val="center"/>
              <w:rPr>
                <w:rFonts w:ascii="Calibri" w:hAnsi="Calibri" w:cs="Arial"/>
                <w:bCs/>
              </w:rPr>
            </w:pPr>
            <w:r w:rsidRPr="002C5180">
              <w:rPr>
                <w:rFonts w:ascii="Calibri" w:hAnsi="Calibri" w:cs="Arial"/>
                <w:bCs/>
              </w:rPr>
              <w:t>-</w:t>
            </w:r>
          </w:p>
        </w:tc>
      </w:tr>
      <w:tr w:rsidR="00340FB6" w:rsidRPr="002C5180" w:rsidTr="00340FB6">
        <w:trPr>
          <w:jc w:val="center"/>
        </w:trPr>
        <w:tc>
          <w:tcPr>
            <w:tcW w:w="919" w:type="dxa"/>
            <w:shd w:val="clear" w:color="auto" w:fill="auto"/>
          </w:tcPr>
          <w:p w:rsidR="00340FB6" w:rsidRPr="002C5180" w:rsidRDefault="00340FB6" w:rsidP="00340FB6">
            <w:pPr>
              <w:spacing w:after="160" w:line="259" w:lineRule="auto"/>
              <w:ind w:right="-93"/>
              <w:jc w:val="both"/>
              <w:rPr>
                <w:rFonts w:ascii="Calibri" w:hAnsi="Calibri" w:cs="Arial"/>
                <w:b/>
                <w:bCs/>
              </w:rPr>
            </w:pPr>
            <w:r w:rsidRPr="002C5180">
              <w:rPr>
                <w:rFonts w:ascii="Calibri" w:hAnsi="Calibri" w:cs="Arial"/>
                <w:b/>
                <w:bCs/>
              </w:rPr>
              <w:t>Total</w:t>
            </w:r>
          </w:p>
        </w:tc>
        <w:tc>
          <w:tcPr>
            <w:tcW w:w="1736" w:type="dxa"/>
            <w:shd w:val="clear" w:color="auto" w:fill="auto"/>
          </w:tcPr>
          <w:p w:rsidR="00340FB6" w:rsidRPr="002C5180" w:rsidRDefault="00340FB6" w:rsidP="00340FB6">
            <w:pPr>
              <w:spacing w:after="160" w:line="259" w:lineRule="auto"/>
              <w:ind w:right="-93"/>
              <w:jc w:val="center"/>
              <w:rPr>
                <w:rFonts w:ascii="Calibri" w:hAnsi="Calibri" w:cs="Arial"/>
                <w:b/>
                <w:bCs/>
              </w:rPr>
            </w:pPr>
            <w:r w:rsidRPr="002C5180">
              <w:rPr>
                <w:rFonts w:ascii="Calibri" w:hAnsi="Calibri" w:cs="Arial"/>
                <w:b/>
                <w:bCs/>
              </w:rPr>
              <w:t>100%</w:t>
            </w:r>
          </w:p>
        </w:tc>
        <w:tc>
          <w:tcPr>
            <w:tcW w:w="1641" w:type="dxa"/>
            <w:shd w:val="clear" w:color="auto" w:fill="auto"/>
          </w:tcPr>
          <w:p w:rsidR="00340FB6" w:rsidRPr="002C5180" w:rsidRDefault="00340FB6" w:rsidP="00340FB6">
            <w:pPr>
              <w:spacing w:after="160" w:line="259" w:lineRule="auto"/>
              <w:ind w:right="-93"/>
              <w:jc w:val="center"/>
              <w:rPr>
                <w:rFonts w:ascii="Calibri" w:hAnsi="Calibri" w:cs="Arial"/>
                <w:b/>
                <w:bCs/>
              </w:rPr>
            </w:pPr>
            <w:r w:rsidRPr="002C5180">
              <w:rPr>
                <w:rFonts w:ascii="Calibri" w:hAnsi="Calibri" w:cs="Arial"/>
                <w:b/>
                <w:bCs/>
              </w:rPr>
              <w:t>Valor Contrato</w:t>
            </w:r>
          </w:p>
        </w:tc>
        <w:tc>
          <w:tcPr>
            <w:tcW w:w="1694" w:type="dxa"/>
            <w:shd w:val="clear" w:color="auto" w:fill="auto"/>
          </w:tcPr>
          <w:p w:rsidR="00340FB6" w:rsidRPr="002C5180" w:rsidRDefault="00340FB6" w:rsidP="00340FB6">
            <w:pPr>
              <w:spacing w:after="160" w:line="259" w:lineRule="auto"/>
              <w:ind w:right="-93"/>
              <w:jc w:val="right"/>
              <w:rPr>
                <w:rFonts w:ascii="Calibri" w:hAnsi="Calibri" w:cs="Arial"/>
                <w:b/>
                <w:bCs/>
              </w:rPr>
            </w:pPr>
            <w:r w:rsidRPr="002C5180">
              <w:rPr>
                <w:rFonts w:ascii="Calibri" w:hAnsi="Calibri" w:cs="Arial"/>
                <w:b/>
                <w:bCs/>
              </w:rPr>
              <w:t>$ 9.990.867.371,00</w:t>
            </w:r>
          </w:p>
        </w:tc>
        <w:tc>
          <w:tcPr>
            <w:tcW w:w="1733" w:type="dxa"/>
            <w:shd w:val="clear" w:color="auto" w:fill="auto"/>
          </w:tcPr>
          <w:p w:rsidR="00340FB6" w:rsidRPr="002C5180" w:rsidRDefault="00340FB6" w:rsidP="00340FB6">
            <w:pPr>
              <w:spacing w:after="160" w:line="259" w:lineRule="auto"/>
              <w:ind w:right="-93"/>
              <w:jc w:val="center"/>
              <w:rPr>
                <w:rFonts w:ascii="Calibri" w:hAnsi="Calibri" w:cs="Arial"/>
                <w:b/>
                <w:bCs/>
              </w:rPr>
            </w:pPr>
          </w:p>
        </w:tc>
        <w:tc>
          <w:tcPr>
            <w:tcW w:w="1199" w:type="dxa"/>
            <w:shd w:val="clear" w:color="auto" w:fill="auto"/>
          </w:tcPr>
          <w:p w:rsidR="00340FB6" w:rsidRPr="002C5180" w:rsidRDefault="00340FB6" w:rsidP="00340FB6">
            <w:pPr>
              <w:spacing w:after="160" w:line="259" w:lineRule="auto"/>
              <w:ind w:right="-93"/>
              <w:jc w:val="center"/>
              <w:rPr>
                <w:rFonts w:ascii="Calibri" w:hAnsi="Calibri" w:cs="Arial"/>
                <w:b/>
                <w:bCs/>
              </w:rPr>
            </w:pPr>
          </w:p>
        </w:tc>
      </w:tr>
    </w:tbl>
    <w:p w:rsidR="00340FB6" w:rsidRPr="002C5180" w:rsidRDefault="00340FB6" w:rsidP="00340FB6">
      <w:pPr>
        <w:spacing w:after="160" w:line="259" w:lineRule="auto"/>
        <w:ind w:right="-93"/>
        <w:jc w:val="both"/>
        <w:rPr>
          <w:rFonts w:ascii="Calibri" w:hAnsi="Calibri" w:cs="Arial"/>
          <w:bCs/>
        </w:rPr>
      </w:pPr>
    </w:p>
    <w:p w:rsidR="00340FB6" w:rsidRPr="002C5180" w:rsidRDefault="00340FB6" w:rsidP="00340FB6">
      <w:pPr>
        <w:spacing w:after="160" w:line="259" w:lineRule="auto"/>
        <w:ind w:right="-93"/>
        <w:jc w:val="both"/>
        <w:rPr>
          <w:rFonts w:ascii="Calibri" w:hAnsi="Calibri" w:cs="Arial"/>
          <w:bCs/>
        </w:rPr>
      </w:pPr>
      <w:r w:rsidRPr="002C5180">
        <w:rPr>
          <w:rFonts w:ascii="Calibri" w:hAnsi="Calibri" w:cs="Arial"/>
          <w:bCs/>
        </w:rPr>
        <w:t xml:space="preserve">El trámite del cuarto pago, estipulado en el numeral 4 de la Cláusula Sexta del Contrato No. CVH-330-2015, no se ha tramitado, teniendo en cuenta que la interventoría no autorizó el pago correspondiente y mediante oficio No. ZMV-1-283-0559-15 radicado ANI No. </w:t>
      </w:r>
      <w:r w:rsidRPr="002C5180">
        <w:rPr>
          <w:rFonts w:ascii="Calibri" w:eastAsia="Calibri" w:hAnsi="Calibri" w:cs="Calibri"/>
          <w:lang w:eastAsia="en-US"/>
        </w:rPr>
        <w:t>2015-409-041417-2, allí expuso las razones para no dar aval de pago</w:t>
      </w:r>
      <w:r w:rsidRPr="002C5180">
        <w:rPr>
          <w:rFonts w:ascii="Calibri" w:hAnsi="Calibri" w:cs="Arial"/>
          <w:bCs/>
        </w:rPr>
        <w:t>, por lo que se devolvió sin trámite la factura correspondiente mediante oficio 2015-500-015743-1, se está a la espera de la aprobación para viabilizar la gestión.</w:t>
      </w:r>
    </w:p>
    <w:p w:rsidR="00340FB6" w:rsidRPr="00813381" w:rsidRDefault="00340FB6" w:rsidP="00813381">
      <w:pPr>
        <w:spacing w:line="240" w:lineRule="auto"/>
        <w:jc w:val="both"/>
        <w:rPr>
          <w:rFonts w:eastAsia="Times New Roman" w:cs="Calibri"/>
          <w:b/>
          <w:color w:val="000000"/>
          <w:u w:val="single"/>
        </w:rPr>
      </w:pPr>
    </w:p>
    <w:p w:rsidR="00340FB6" w:rsidRPr="00813381" w:rsidRDefault="00140337" w:rsidP="00813381">
      <w:pPr>
        <w:spacing w:line="240" w:lineRule="auto"/>
        <w:jc w:val="both"/>
        <w:rPr>
          <w:rFonts w:eastAsia="Times New Roman" w:cs="Calibri"/>
          <w:b/>
          <w:color w:val="000000"/>
          <w:u w:val="single"/>
        </w:rPr>
      </w:pPr>
      <w:r>
        <w:rPr>
          <w:rFonts w:eastAsia="Times New Roman" w:cs="Calibri"/>
          <w:b/>
          <w:color w:val="000000"/>
          <w:u w:val="single"/>
        </w:rPr>
        <w:t>7. P</w:t>
      </w:r>
      <w:r w:rsidR="00340FB6" w:rsidRPr="00813381">
        <w:rPr>
          <w:rFonts w:eastAsia="Times New Roman" w:cs="Calibri"/>
          <w:b/>
          <w:color w:val="000000"/>
          <w:u w:val="single"/>
        </w:rPr>
        <w:t>ROYECTO BOSA GRANADA GIRARDOT</w:t>
      </w:r>
    </w:p>
    <w:p w:rsidR="00340FB6" w:rsidRPr="00813381" w:rsidRDefault="00340FB6" w:rsidP="00340FB6">
      <w:pPr>
        <w:widowControl w:val="0"/>
        <w:jc w:val="both"/>
        <w:rPr>
          <w:rFonts w:ascii="Calibri" w:hAnsi="Calibri"/>
          <w:b/>
        </w:rPr>
      </w:pPr>
      <w:r w:rsidRPr="00813381">
        <w:rPr>
          <w:rFonts w:ascii="Calibri" w:hAnsi="Calibri"/>
          <w:b/>
        </w:rPr>
        <w:t>Trayecto 1:</w:t>
      </w:r>
    </w:p>
    <w:p w:rsidR="00340FB6" w:rsidRPr="002C5180" w:rsidRDefault="00340FB6" w:rsidP="000021B2">
      <w:pPr>
        <w:widowControl w:val="0"/>
        <w:numPr>
          <w:ilvl w:val="0"/>
          <w:numId w:val="95"/>
        </w:numPr>
        <w:spacing w:after="0" w:line="240" w:lineRule="auto"/>
        <w:contextualSpacing/>
        <w:jc w:val="both"/>
        <w:rPr>
          <w:rFonts w:ascii="Calibri" w:eastAsia="Calibri" w:hAnsi="Calibri"/>
          <w:b/>
        </w:rPr>
      </w:pPr>
      <w:r w:rsidRPr="002C5180">
        <w:rPr>
          <w:rFonts w:ascii="Calibri" w:eastAsia="Calibri" w:hAnsi="Calibri"/>
          <w:b/>
        </w:rPr>
        <w:t xml:space="preserve">Puente Peatonal San Mateo – Subtrayecto 1F. </w:t>
      </w:r>
      <w:r w:rsidRPr="002C5180">
        <w:rPr>
          <w:rFonts w:ascii="Calibri" w:eastAsia="Calibri" w:hAnsi="Calibri"/>
        </w:rPr>
        <w:t>(PR 119+700): El día 22 de noviembre de 2014 se finalizaron las labores constructivas y se dio al servicio este puente peatonal. El día 28 de mayo se realizó la prueba de carga en esta estructura, para un avance total del 100%.</w:t>
      </w:r>
    </w:p>
    <w:p w:rsidR="00340FB6" w:rsidRPr="002C5180" w:rsidRDefault="00340FB6" w:rsidP="00340FB6">
      <w:pPr>
        <w:ind w:left="360"/>
        <w:contextualSpacing/>
        <w:jc w:val="both"/>
        <w:rPr>
          <w:rFonts w:ascii="Calibri" w:eastAsia="Calibri" w:hAnsi="Calibri"/>
          <w:b/>
        </w:rPr>
      </w:pPr>
    </w:p>
    <w:p w:rsidR="00340FB6" w:rsidRPr="002C5180" w:rsidRDefault="00340FB6" w:rsidP="000021B2">
      <w:pPr>
        <w:widowControl w:val="0"/>
        <w:numPr>
          <w:ilvl w:val="0"/>
          <w:numId w:val="95"/>
        </w:numPr>
        <w:spacing w:after="0" w:line="240" w:lineRule="auto"/>
        <w:contextualSpacing/>
        <w:jc w:val="both"/>
        <w:rPr>
          <w:rFonts w:ascii="Calibri" w:eastAsia="Calibri" w:hAnsi="Calibri"/>
          <w:b/>
        </w:rPr>
      </w:pPr>
      <w:bookmarkStart w:id="419" w:name="_Toc418604065"/>
      <w:bookmarkStart w:id="420" w:name="_Toc418603365"/>
      <w:bookmarkStart w:id="421" w:name="_Toc416871395"/>
      <w:bookmarkStart w:id="422" w:name="_Toc422302702"/>
      <w:r w:rsidRPr="002C5180">
        <w:rPr>
          <w:rFonts w:ascii="Calibri" w:eastAsia="Calibri" w:hAnsi="Calibri"/>
          <w:b/>
        </w:rPr>
        <w:t>Puente Peatonal Carrera Séptima – Subtrayecto 1G.</w:t>
      </w:r>
      <w:bookmarkEnd w:id="419"/>
      <w:bookmarkEnd w:id="420"/>
      <w:bookmarkEnd w:id="421"/>
      <w:bookmarkEnd w:id="422"/>
      <w:r w:rsidRPr="002C5180">
        <w:rPr>
          <w:rFonts w:ascii="Calibri" w:eastAsia="Calibri" w:hAnsi="Calibri"/>
        </w:rPr>
        <w:t xml:space="preserve"> 119+125:</w:t>
      </w:r>
      <w:r w:rsidRPr="002C5180">
        <w:rPr>
          <w:rFonts w:ascii="Calibri" w:eastAsia="Calibri" w:hAnsi="Calibri"/>
          <w:b/>
        </w:rPr>
        <w:t xml:space="preserve"> </w:t>
      </w:r>
      <w:r w:rsidRPr="002C5180">
        <w:rPr>
          <w:rFonts w:ascii="Calibri" w:eastAsia="Calibri" w:hAnsi="Calibri"/>
        </w:rPr>
        <w:t>puente, dado al servicio el día 23 de Diciembre de 2014. El día 3 de junio de 2015, se realizó la prueba de carga, por lo cual su avance es del  100,00 %.</w:t>
      </w:r>
    </w:p>
    <w:p w:rsidR="00340FB6" w:rsidRPr="002C5180" w:rsidRDefault="00340FB6" w:rsidP="00340FB6">
      <w:pPr>
        <w:ind w:left="720"/>
        <w:contextualSpacing/>
        <w:rPr>
          <w:rFonts w:ascii="Calibri" w:eastAsia="Calibri" w:hAnsi="Calibri"/>
          <w:b/>
        </w:rPr>
      </w:pPr>
    </w:p>
    <w:p w:rsidR="00340FB6" w:rsidRPr="002C5180" w:rsidRDefault="00340FB6" w:rsidP="000021B2">
      <w:pPr>
        <w:widowControl w:val="0"/>
        <w:numPr>
          <w:ilvl w:val="0"/>
          <w:numId w:val="95"/>
        </w:numPr>
        <w:spacing w:after="0" w:line="240" w:lineRule="auto"/>
        <w:contextualSpacing/>
        <w:jc w:val="both"/>
        <w:rPr>
          <w:rFonts w:ascii="Calibri" w:eastAsia="Calibri" w:hAnsi="Calibri"/>
          <w:b/>
        </w:rPr>
      </w:pPr>
      <w:r w:rsidRPr="002C5180">
        <w:rPr>
          <w:rFonts w:ascii="Calibri" w:eastAsia="Calibri" w:hAnsi="Calibri"/>
          <w:b/>
        </w:rPr>
        <w:t>Redes:</w:t>
      </w:r>
      <w:r w:rsidRPr="002C5180">
        <w:rPr>
          <w:rFonts w:ascii="Calibri" w:eastAsia="Calibri" w:hAnsi="Calibri"/>
        </w:rPr>
        <w:t xml:space="preserve"> Revisión de preacta No. 23, verificación de cantidades de obra en los siguientes sectores: Intersección San Mateo costado sur, redes de codensa y ETB, Intersección Terreros norte y sur redes de codensa y la Alameda norte a la altura de la cr. 11 redes de codensa.</w:t>
      </w:r>
    </w:p>
    <w:p w:rsidR="00340FB6" w:rsidRPr="002C5180" w:rsidRDefault="00340FB6" w:rsidP="00340FB6">
      <w:pPr>
        <w:ind w:left="720"/>
        <w:contextualSpacing/>
        <w:rPr>
          <w:rFonts w:ascii="Calibri" w:eastAsia="Calibri" w:hAnsi="Calibri"/>
          <w:b/>
        </w:rPr>
      </w:pPr>
    </w:p>
    <w:p w:rsidR="00340FB6" w:rsidRPr="002C5180" w:rsidRDefault="00340FB6" w:rsidP="000021B2">
      <w:pPr>
        <w:widowControl w:val="0"/>
        <w:numPr>
          <w:ilvl w:val="0"/>
          <w:numId w:val="95"/>
        </w:numPr>
        <w:spacing w:after="0" w:line="240" w:lineRule="auto"/>
        <w:contextualSpacing/>
        <w:jc w:val="both"/>
        <w:rPr>
          <w:rFonts w:ascii="Calibri" w:eastAsia="Calibri" w:hAnsi="Calibri"/>
          <w:b/>
        </w:rPr>
      </w:pPr>
      <w:r w:rsidRPr="002C5180">
        <w:rPr>
          <w:rFonts w:ascii="Calibri" w:eastAsia="Calibri" w:hAnsi="Calibri"/>
          <w:b/>
        </w:rPr>
        <w:t>Rehabilitación Paralela Autosur Soacha: Otrosí No. 23.</w:t>
      </w:r>
      <w:r w:rsidRPr="002C5180">
        <w:rPr>
          <w:rFonts w:ascii="Calibri" w:eastAsia="Calibri" w:hAnsi="Calibri"/>
          <w:b/>
          <w:u w:val="single"/>
        </w:rPr>
        <w:t xml:space="preserve"> </w:t>
      </w:r>
      <w:r w:rsidRPr="002C5180">
        <w:rPr>
          <w:rFonts w:ascii="Calibri" w:eastAsia="Calibri" w:hAnsi="Calibri"/>
        </w:rPr>
        <w:t>Se reiniciaron trabajos de rehabilitación a partir del día 3 de junio de 2015. A la fecha se han realizado los siguientes trabajos:</w:t>
      </w:r>
    </w:p>
    <w:p w:rsidR="00340FB6" w:rsidRPr="002C5180" w:rsidRDefault="00340FB6" w:rsidP="00340FB6">
      <w:pPr>
        <w:widowControl w:val="0"/>
        <w:jc w:val="both"/>
        <w:rPr>
          <w:rFonts w:ascii="Calibri" w:hAnsi="Calibri"/>
          <w:b/>
          <w:u w:val="single"/>
        </w:rPr>
      </w:pPr>
    </w:p>
    <w:p w:rsidR="00340FB6" w:rsidRPr="002C5180" w:rsidRDefault="00340FB6" w:rsidP="000021B2">
      <w:pPr>
        <w:widowControl w:val="0"/>
        <w:numPr>
          <w:ilvl w:val="0"/>
          <w:numId w:val="96"/>
        </w:numPr>
        <w:spacing w:after="0" w:line="240" w:lineRule="auto"/>
        <w:contextualSpacing/>
        <w:jc w:val="both"/>
        <w:rPr>
          <w:rFonts w:ascii="Calibri" w:hAnsi="Calibri"/>
        </w:rPr>
      </w:pPr>
      <w:r w:rsidRPr="002C5180">
        <w:rPr>
          <w:rFonts w:ascii="Calibri" w:hAnsi="Calibri"/>
        </w:rPr>
        <w:t>Retiro de la carpeta asfáltica existente entre el K3+410 al K3+590</w:t>
      </w:r>
    </w:p>
    <w:p w:rsidR="00340FB6" w:rsidRPr="002C5180" w:rsidRDefault="00340FB6" w:rsidP="000021B2">
      <w:pPr>
        <w:widowControl w:val="0"/>
        <w:numPr>
          <w:ilvl w:val="0"/>
          <w:numId w:val="96"/>
        </w:numPr>
        <w:spacing w:after="0" w:line="240" w:lineRule="auto"/>
        <w:contextualSpacing/>
        <w:jc w:val="both"/>
        <w:rPr>
          <w:rFonts w:ascii="Calibri" w:hAnsi="Calibri"/>
        </w:rPr>
      </w:pPr>
      <w:r w:rsidRPr="002C5180">
        <w:rPr>
          <w:rFonts w:ascii="Calibri" w:hAnsi="Calibri"/>
        </w:rPr>
        <w:t>Excavación y conformación de caja para construcción de estructura de pavimento de acuerdo a diseño establecido entre el K3+410 al K3+590.</w:t>
      </w:r>
    </w:p>
    <w:p w:rsidR="00340FB6" w:rsidRPr="002C5180" w:rsidRDefault="00340FB6" w:rsidP="000021B2">
      <w:pPr>
        <w:widowControl w:val="0"/>
        <w:numPr>
          <w:ilvl w:val="0"/>
          <w:numId w:val="96"/>
        </w:numPr>
        <w:spacing w:after="0" w:line="240" w:lineRule="auto"/>
        <w:contextualSpacing/>
        <w:jc w:val="both"/>
        <w:rPr>
          <w:rFonts w:ascii="Calibri" w:hAnsi="Calibri"/>
        </w:rPr>
      </w:pPr>
      <w:r w:rsidRPr="002C5180">
        <w:rPr>
          <w:rFonts w:ascii="Calibri" w:hAnsi="Calibri"/>
        </w:rPr>
        <w:lastRenderedPageBreak/>
        <w:t>Mejoramiento de subrasante, extensión y compactación de capa de subbase granular entre el K3+410 al K3+560.</w:t>
      </w:r>
    </w:p>
    <w:p w:rsidR="00340FB6" w:rsidRPr="002C5180" w:rsidRDefault="00340FB6" w:rsidP="000021B2">
      <w:pPr>
        <w:widowControl w:val="0"/>
        <w:numPr>
          <w:ilvl w:val="0"/>
          <w:numId w:val="96"/>
        </w:numPr>
        <w:spacing w:after="0" w:line="240" w:lineRule="auto"/>
        <w:contextualSpacing/>
        <w:jc w:val="both"/>
        <w:rPr>
          <w:rFonts w:ascii="Calibri" w:eastAsia="Calibri" w:hAnsi="Calibri"/>
        </w:rPr>
      </w:pPr>
      <w:r w:rsidRPr="002C5180">
        <w:rPr>
          <w:rFonts w:ascii="Calibri" w:eastAsia="Calibri" w:hAnsi="Calibri"/>
        </w:rPr>
        <w:t>En la tabla No. xx, se observa el avance total a la fecha de la rehabilitación, el cual es del 33%.</w:t>
      </w:r>
    </w:p>
    <w:p w:rsidR="00340FB6" w:rsidRPr="002C5180" w:rsidRDefault="00340FB6" w:rsidP="00340FB6">
      <w:pPr>
        <w:widowControl w:val="0"/>
        <w:jc w:val="both"/>
        <w:rPr>
          <w:rFonts w:ascii="Calibri" w:hAnsi="Calibri"/>
        </w:rPr>
      </w:pPr>
    </w:p>
    <w:p w:rsidR="00340FB6" w:rsidRPr="00813381" w:rsidRDefault="00340FB6" w:rsidP="00340FB6">
      <w:pPr>
        <w:widowControl w:val="0"/>
        <w:jc w:val="both"/>
        <w:rPr>
          <w:rFonts w:ascii="Calibri" w:hAnsi="Calibri"/>
          <w:b/>
        </w:rPr>
      </w:pPr>
      <w:r w:rsidRPr="00813381">
        <w:rPr>
          <w:rFonts w:ascii="Calibri" w:hAnsi="Calibri"/>
          <w:b/>
        </w:rPr>
        <w:t>Trayecto 2:</w:t>
      </w:r>
    </w:p>
    <w:p w:rsidR="00340FB6" w:rsidRPr="002C5180" w:rsidRDefault="00340FB6" w:rsidP="000021B2">
      <w:pPr>
        <w:widowControl w:val="0"/>
        <w:numPr>
          <w:ilvl w:val="0"/>
          <w:numId w:val="97"/>
        </w:numPr>
        <w:spacing w:after="0" w:line="240" w:lineRule="auto"/>
        <w:contextualSpacing/>
        <w:jc w:val="both"/>
        <w:rPr>
          <w:rFonts w:ascii="Calibri" w:eastAsia="Calibri" w:hAnsi="Calibri"/>
        </w:rPr>
      </w:pPr>
      <w:r w:rsidRPr="002C5180">
        <w:rPr>
          <w:rFonts w:ascii="Calibri" w:eastAsia="Calibri" w:hAnsi="Calibri"/>
        </w:rPr>
        <w:t>Actividades de mantenimiento rutinario: Limpieza de zonas laterales y rocería en separadores.</w:t>
      </w:r>
    </w:p>
    <w:p w:rsidR="00340FB6" w:rsidRPr="002C5180" w:rsidRDefault="00340FB6" w:rsidP="00340FB6">
      <w:pPr>
        <w:widowControl w:val="0"/>
        <w:jc w:val="both"/>
        <w:rPr>
          <w:rFonts w:ascii="Calibri" w:hAnsi="Calibri"/>
        </w:rPr>
      </w:pPr>
    </w:p>
    <w:p w:rsidR="00340FB6" w:rsidRPr="00813381" w:rsidRDefault="00340FB6" w:rsidP="00340FB6">
      <w:pPr>
        <w:widowControl w:val="0"/>
        <w:jc w:val="both"/>
        <w:rPr>
          <w:rFonts w:ascii="Calibri" w:hAnsi="Calibri"/>
          <w:b/>
        </w:rPr>
      </w:pPr>
      <w:r w:rsidRPr="00813381">
        <w:rPr>
          <w:rFonts w:ascii="Calibri" w:hAnsi="Calibri"/>
          <w:b/>
        </w:rPr>
        <w:t>Trayecto 3:</w:t>
      </w:r>
    </w:p>
    <w:p w:rsidR="00340FB6" w:rsidRPr="002C5180" w:rsidRDefault="00340FB6" w:rsidP="000021B2">
      <w:pPr>
        <w:widowControl w:val="0"/>
        <w:numPr>
          <w:ilvl w:val="0"/>
          <w:numId w:val="99"/>
        </w:numPr>
        <w:spacing w:after="0" w:line="240" w:lineRule="auto"/>
        <w:contextualSpacing/>
        <w:jc w:val="both"/>
        <w:rPr>
          <w:rFonts w:ascii="Calibri" w:eastAsia="Calibri" w:hAnsi="Calibri"/>
        </w:rPr>
      </w:pPr>
      <w:r w:rsidRPr="002C5180">
        <w:rPr>
          <w:rFonts w:ascii="Calibri" w:eastAsia="Calibri" w:hAnsi="Calibri"/>
        </w:rPr>
        <w:t>Actividades de mantenimiento rutinario: limpieza de sumideros y rocería en separadores y de zona laterales.</w:t>
      </w:r>
    </w:p>
    <w:p w:rsidR="00340FB6" w:rsidRPr="002C5180" w:rsidRDefault="00340FB6" w:rsidP="00340FB6">
      <w:pPr>
        <w:ind w:left="360"/>
        <w:contextualSpacing/>
        <w:jc w:val="both"/>
        <w:rPr>
          <w:rFonts w:ascii="Calibri" w:eastAsia="Calibri" w:hAnsi="Calibri"/>
        </w:rPr>
      </w:pPr>
    </w:p>
    <w:p w:rsidR="00340FB6" w:rsidRPr="002C5180" w:rsidRDefault="00340FB6" w:rsidP="000021B2">
      <w:pPr>
        <w:widowControl w:val="0"/>
        <w:numPr>
          <w:ilvl w:val="0"/>
          <w:numId w:val="99"/>
        </w:numPr>
        <w:spacing w:after="0" w:line="240" w:lineRule="auto"/>
        <w:contextualSpacing/>
        <w:jc w:val="both"/>
        <w:rPr>
          <w:rFonts w:ascii="Calibri" w:eastAsia="Calibri" w:hAnsi="Calibri"/>
        </w:rPr>
      </w:pPr>
      <w:r w:rsidRPr="002C5180">
        <w:rPr>
          <w:rFonts w:ascii="Calibri" w:eastAsia="Calibri" w:hAnsi="Calibri"/>
        </w:rPr>
        <w:t>Repinte de señalización horizontal.</w:t>
      </w:r>
    </w:p>
    <w:p w:rsidR="00340FB6" w:rsidRPr="002C5180" w:rsidRDefault="00340FB6" w:rsidP="00340FB6">
      <w:pPr>
        <w:widowControl w:val="0"/>
        <w:jc w:val="both"/>
        <w:rPr>
          <w:rFonts w:ascii="Calibri" w:hAnsi="Calibri"/>
        </w:rPr>
      </w:pPr>
    </w:p>
    <w:p w:rsidR="00340FB6" w:rsidRPr="00813381" w:rsidRDefault="00340FB6" w:rsidP="00340FB6">
      <w:pPr>
        <w:widowControl w:val="0"/>
        <w:jc w:val="both"/>
        <w:rPr>
          <w:rFonts w:ascii="Calibri" w:hAnsi="Calibri"/>
          <w:b/>
        </w:rPr>
      </w:pPr>
      <w:r w:rsidRPr="00813381">
        <w:rPr>
          <w:rFonts w:ascii="Calibri" w:hAnsi="Calibri"/>
          <w:b/>
        </w:rPr>
        <w:t>Trayecto 4:</w:t>
      </w:r>
    </w:p>
    <w:p w:rsidR="00340FB6" w:rsidRPr="002C5180" w:rsidRDefault="00340FB6" w:rsidP="000021B2">
      <w:pPr>
        <w:widowControl w:val="0"/>
        <w:numPr>
          <w:ilvl w:val="0"/>
          <w:numId w:val="98"/>
        </w:numPr>
        <w:spacing w:after="0" w:line="240" w:lineRule="auto"/>
        <w:contextualSpacing/>
        <w:jc w:val="both"/>
        <w:rPr>
          <w:rFonts w:ascii="Calibri" w:eastAsia="Calibri" w:hAnsi="Calibri"/>
        </w:rPr>
      </w:pPr>
      <w:r w:rsidRPr="002C5180">
        <w:rPr>
          <w:rFonts w:ascii="Calibri" w:eastAsia="Calibri" w:hAnsi="Calibri"/>
          <w:b/>
        </w:rPr>
        <w:t xml:space="preserve">Construcción segundas calzadas con separador tipo new jersey entre el PR111+750 y el PR104+250: </w:t>
      </w:r>
      <w:r w:rsidRPr="002C5180">
        <w:rPr>
          <w:rFonts w:ascii="Calibri" w:eastAsia="Calibri" w:hAnsi="Calibri"/>
          <w:lang w:eastAsia="en-US"/>
        </w:rPr>
        <w:t>Entre el mes de noviembre de 2014 y mayo de 2015, el concesionario realizó la construcción del separador central propuesto, consistente de dos bordillos de 0,3 m de alto y una franja interna compuesta de material granular con recubrimiento vegetal.</w:t>
      </w:r>
    </w:p>
    <w:p w:rsidR="00340FB6" w:rsidRPr="002C5180" w:rsidRDefault="00340FB6" w:rsidP="00340FB6">
      <w:pPr>
        <w:ind w:left="360"/>
        <w:contextualSpacing/>
        <w:jc w:val="both"/>
        <w:rPr>
          <w:rFonts w:ascii="Calibri" w:eastAsia="Calibri" w:hAnsi="Calibri"/>
        </w:rPr>
      </w:pPr>
    </w:p>
    <w:p w:rsidR="00340FB6" w:rsidRPr="002C5180" w:rsidRDefault="00340FB6" w:rsidP="000021B2">
      <w:pPr>
        <w:widowControl w:val="0"/>
        <w:numPr>
          <w:ilvl w:val="0"/>
          <w:numId w:val="98"/>
        </w:numPr>
        <w:spacing w:after="0" w:line="240" w:lineRule="auto"/>
        <w:contextualSpacing/>
        <w:jc w:val="both"/>
        <w:rPr>
          <w:rFonts w:ascii="Calibri" w:eastAsia="Calibri" w:hAnsi="Calibri"/>
        </w:rPr>
      </w:pPr>
      <w:r w:rsidRPr="002C5180">
        <w:rPr>
          <w:rFonts w:ascii="Calibri" w:eastAsia="Calibri" w:hAnsi="Calibri"/>
          <w:b/>
        </w:rPr>
        <w:t>Actividades de mantenimiento rutinario:</w:t>
      </w:r>
      <w:r w:rsidRPr="002C5180">
        <w:rPr>
          <w:rFonts w:ascii="Calibri" w:eastAsia="Calibri" w:hAnsi="Calibri"/>
        </w:rPr>
        <w:t xml:space="preserve"> limpieza de sumideros y rocería en separadores y de zona laterales.</w:t>
      </w:r>
    </w:p>
    <w:p w:rsidR="00340FB6" w:rsidRPr="002C5180" w:rsidRDefault="00340FB6" w:rsidP="00340FB6">
      <w:pPr>
        <w:ind w:left="720"/>
        <w:contextualSpacing/>
        <w:rPr>
          <w:rFonts w:ascii="Calibri" w:eastAsia="Calibri" w:hAnsi="Calibri"/>
        </w:rPr>
      </w:pPr>
    </w:p>
    <w:p w:rsidR="00340FB6" w:rsidRPr="002C5180" w:rsidRDefault="00340FB6" w:rsidP="000021B2">
      <w:pPr>
        <w:widowControl w:val="0"/>
        <w:numPr>
          <w:ilvl w:val="0"/>
          <w:numId w:val="98"/>
        </w:numPr>
        <w:spacing w:after="0" w:line="240" w:lineRule="auto"/>
        <w:contextualSpacing/>
        <w:jc w:val="both"/>
        <w:rPr>
          <w:rFonts w:ascii="Calibri" w:eastAsia="Calibri" w:hAnsi="Calibri"/>
        </w:rPr>
      </w:pPr>
      <w:r w:rsidRPr="002C5180">
        <w:rPr>
          <w:rFonts w:ascii="Calibri" w:eastAsia="Calibri" w:hAnsi="Calibri"/>
        </w:rPr>
        <w:t>Repinte en algunas zonas de señalización horizontal.</w:t>
      </w:r>
    </w:p>
    <w:p w:rsidR="00340FB6" w:rsidRPr="002C5180" w:rsidRDefault="00340FB6" w:rsidP="00340FB6">
      <w:pPr>
        <w:ind w:left="360"/>
        <w:contextualSpacing/>
        <w:jc w:val="both"/>
        <w:rPr>
          <w:rFonts w:ascii="Calibri" w:eastAsia="Calibri" w:hAnsi="Calibri"/>
        </w:rPr>
      </w:pPr>
    </w:p>
    <w:p w:rsidR="00340FB6" w:rsidRPr="00813381" w:rsidRDefault="00340FB6" w:rsidP="00340FB6">
      <w:pPr>
        <w:widowControl w:val="0"/>
        <w:jc w:val="both"/>
        <w:rPr>
          <w:rFonts w:ascii="Calibri" w:hAnsi="Calibri"/>
          <w:b/>
        </w:rPr>
      </w:pPr>
      <w:r w:rsidRPr="00813381">
        <w:rPr>
          <w:rFonts w:ascii="Calibri" w:hAnsi="Calibri"/>
          <w:b/>
        </w:rPr>
        <w:t>Trayecto 5:</w:t>
      </w: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Puente peatonal Balcones del Bosque – Subtrayecto 5N. (</w:t>
      </w:r>
      <w:r w:rsidRPr="002C5180">
        <w:rPr>
          <w:rFonts w:ascii="Calibri" w:eastAsia="Calibri" w:hAnsi="Calibri"/>
        </w:rPr>
        <w:t>PR 79+330). Este puente se terminó de construir la última semana de abril del 2015 y fue puesto al servicio después de la prueba de carga. Los días 7 y 13 del mes de mayo del presente año, se realizó la prueba de carga en esta estructura, presenta un avance total del 99,95%, falta que la Concesión realice la entrega del informe de la prueba de carga e iluminación. La Concesión no ha iniciado con la construcción de los dos paraderos anexos a este puente.</w:t>
      </w:r>
    </w:p>
    <w:p w:rsidR="00340FB6" w:rsidRPr="002C5180" w:rsidRDefault="00340FB6" w:rsidP="00340FB6">
      <w:pPr>
        <w:widowControl w:val="0"/>
        <w:jc w:val="both"/>
        <w:rPr>
          <w:rFonts w:ascii="Calibri" w:hAnsi="Calibri"/>
          <w:b/>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rPr>
      </w:pPr>
      <w:r w:rsidRPr="002C5180">
        <w:rPr>
          <w:rFonts w:ascii="Calibri" w:eastAsia="Calibri" w:hAnsi="Calibri"/>
          <w:b/>
        </w:rPr>
        <w:t xml:space="preserve">Puente peatonal Granada o Templo Krishna – Subtrayecto 5H. </w:t>
      </w:r>
      <w:r w:rsidRPr="002C5180">
        <w:rPr>
          <w:rFonts w:ascii="Calibri" w:eastAsia="Calibri" w:hAnsi="Calibri"/>
        </w:rPr>
        <w:t xml:space="preserve">(PR 96+930). Este puente se terminó de construir  la última semana del mes de abril de 2015 y fue puesto al servicio después de la prueba de carga realizada el 5 de mayo del presente año, presenta un avance total del 99.95%. Falta que la Concesión realice la entrega del informe de la prueba de carga. </w:t>
      </w:r>
    </w:p>
    <w:p w:rsidR="00340FB6" w:rsidRPr="002C5180" w:rsidRDefault="00340FB6" w:rsidP="00340FB6">
      <w:pPr>
        <w:ind w:left="720"/>
        <w:contextualSpacing/>
        <w:rPr>
          <w:rFonts w:ascii="Calibri" w:eastAsia="Calibri" w:hAnsi="Calibri"/>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rPr>
      </w:pPr>
      <w:r w:rsidRPr="002C5180">
        <w:rPr>
          <w:rFonts w:ascii="Calibri" w:eastAsia="Calibri" w:hAnsi="Calibri"/>
          <w:b/>
        </w:rPr>
        <w:t xml:space="preserve">Puente peatonal San Raimundo – Subtrayecto 5I. </w:t>
      </w:r>
      <w:r w:rsidRPr="002C5180">
        <w:rPr>
          <w:rFonts w:ascii="Calibri" w:eastAsia="Calibri" w:hAnsi="Calibri"/>
        </w:rPr>
        <w:t xml:space="preserve">(PR 93+000). Este puente se terminó de construir la última semana de abril del 2015, pero no se ha dado al servicio. Presenta un avance </w:t>
      </w:r>
      <w:r w:rsidRPr="002C5180">
        <w:rPr>
          <w:rFonts w:ascii="Calibri" w:eastAsia="Calibri" w:hAnsi="Calibri"/>
        </w:rPr>
        <w:lastRenderedPageBreak/>
        <w:t xml:space="preserve">del 97,45%. Se realizó prueba de carga el 6 de mayo de 2015, durante su ejecución, la viga de apoyo de la pasarela en costado Girardot - Bogotá presento abertura de las grietas durante la prueba de carga, por lo que se suspendió la prueba. Actualmente la Concesión adelanta la reparación de la viga. </w:t>
      </w:r>
    </w:p>
    <w:p w:rsidR="00340FB6" w:rsidRPr="002C5180" w:rsidRDefault="00340FB6" w:rsidP="00340FB6">
      <w:pPr>
        <w:ind w:left="720"/>
        <w:contextualSpacing/>
        <w:rPr>
          <w:rFonts w:ascii="Calibri" w:eastAsia="Calibri" w:hAnsi="Calibri"/>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rPr>
      </w:pPr>
      <w:r w:rsidRPr="002C5180">
        <w:rPr>
          <w:rFonts w:ascii="Calibri" w:eastAsia="Calibri" w:hAnsi="Calibri"/>
          <w:b/>
        </w:rPr>
        <w:t xml:space="preserve">Puente peatonal El Vergel – Subtrayecto 5K. </w:t>
      </w:r>
      <w:r w:rsidRPr="002C5180">
        <w:rPr>
          <w:rFonts w:ascii="Calibri" w:eastAsia="Calibri" w:hAnsi="Calibri"/>
        </w:rPr>
        <w:t xml:space="preserve">(PR 86+910). Este puente se encuentra en etapa de construcción. Presenta un avance del 87.58%. En el costado Girardot-Bogotá se realizó la construcción de caissons  como cimentación para las rampas de acceso y se elevó la viga principal para la pasarela. </w:t>
      </w:r>
    </w:p>
    <w:p w:rsidR="00340FB6" w:rsidRPr="002C5180" w:rsidRDefault="00340FB6" w:rsidP="00340FB6">
      <w:pPr>
        <w:ind w:left="720"/>
        <w:contextualSpacing/>
        <w:rPr>
          <w:rFonts w:ascii="Calibri" w:eastAsia="Calibri" w:hAnsi="Calibri"/>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Puente peatonal Azafranal – Subtrayecto 5L. </w:t>
      </w:r>
      <w:r w:rsidRPr="002C5180">
        <w:rPr>
          <w:rFonts w:ascii="Calibri" w:eastAsia="Calibri" w:hAnsi="Calibri"/>
        </w:rPr>
        <w:t xml:space="preserve">(PR85+300). Este puente se terminó de construir el 29 de mayo de 2015, presenta un avance del 94.95%. Falta remates, conformación de entorno,  prueba de carga e iluminación.  Se programó prueba de carga para el 16 de julio de 2015.  </w:t>
      </w:r>
    </w:p>
    <w:p w:rsidR="00340FB6" w:rsidRPr="002C5180" w:rsidRDefault="00340FB6" w:rsidP="00340FB6">
      <w:pPr>
        <w:ind w:left="720"/>
        <w:contextualSpacing/>
        <w:rPr>
          <w:rFonts w:ascii="Calibri" w:eastAsia="Calibri" w:hAnsi="Calibri"/>
          <w:b/>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Puente peatonal Yayatá – Subtrayecto 5M. </w:t>
      </w:r>
      <w:r w:rsidRPr="002C5180">
        <w:rPr>
          <w:rFonts w:ascii="Calibri" w:eastAsia="Calibri" w:hAnsi="Calibri"/>
        </w:rPr>
        <w:t xml:space="preserve">(PR80+860). Se encuentra inactivo desde el 17 de abril de 2015, presenta un avance del 86,25%. Se fundieron las rampas de los dos costados, falta por realizar el izaje de la viga pasarela, barandas, prueba de carga e iluminación. </w:t>
      </w:r>
    </w:p>
    <w:p w:rsidR="00340FB6" w:rsidRPr="002C5180" w:rsidRDefault="00340FB6" w:rsidP="00340FB6">
      <w:pPr>
        <w:ind w:left="720"/>
        <w:contextualSpacing/>
        <w:rPr>
          <w:rFonts w:ascii="Calibri" w:eastAsia="Calibri" w:hAnsi="Calibri"/>
          <w:b/>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Paso deprimido mixto San Raimundo – Subtrayecto 5S. </w:t>
      </w:r>
      <w:r w:rsidRPr="002C5180">
        <w:rPr>
          <w:rFonts w:ascii="Calibri" w:eastAsia="Calibri" w:hAnsi="Calibri"/>
        </w:rPr>
        <w:t>(PR93+570). En construcción, presenta un avance del 97,5%. Se avanza en la construcción de los  accesos, estos presentan diferentes deficiencias constructivas, como: filtraciones de agua al interior de la estructura que están deteriorando la estructura metálica y los concretos, asimetrías en los concretos que representan obstáculo para el tránsito de peatones y riesgos en la seguridad vial.</w:t>
      </w:r>
    </w:p>
    <w:p w:rsidR="00340FB6" w:rsidRPr="002C5180" w:rsidRDefault="00340FB6" w:rsidP="00340FB6">
      <w:pPr>
        <w:ind w:left="360"/>
        <w:contextualSpacing/>
        <w:jc w:val="both"/>
        <w:rPr>
          <w:rFonts w:ascii="Calibri" w:eastAsia="Calibri" w:hAnsi="Calibri"/>
          <w:b/>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Paso deprimido mixto Quebrada Honda – Subtrayecto 5V. </w:t>
      </w:r>
      <w:r w:rsidRPr="002C5180">
        <w:rPr>
          <w:rFonts w:ascii="Calibri" w:eastAsia="Calibri" w:hAnsi="Calibri"/>
        </w:rPr>
        <w:t>(PR83+215). En construcción, presenta un avance del 92%. Se avanza en la construcción de los accesos, estos presentan deficiencias como el fallo del muro del acceso en el costado Girardot – Bogotá y en los terminados de los concretos.</w:t>
      </w:r>
    </w:p>
    <w:p w:rsidR="00340FB6" w:rsidRPr="002C5180" w:rsidRDefault="00340FB6" w:rsidP="00340FB6">
      <w:pPr>
        <w:ind w:left="720"/>
        <w:contextualSpacing/>
        <w:rPr>
          <w:rFonts w:ascii="Calibri" w:eastAsia="Calibri" w:hAnsi="Calibri"/>
          <w:b/>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Retorno operacional K33 – </w:t>
      </w:r>
      <w:r w:rsidRPr="002C5180">
        <w:rPr>
          <w:rFonts w:ascii="Calibri" w:eastAsia="Calibri" w:hAnsi="Calibri"/>
        </w:rPr>
        <w:t>(PR94+500). En construcción, la semana del 25 de mayo de 2015 se reinició la actividad de excavaciones, instalación de granulares y mezcla asfáltica. Presenta un avance del 70%.</w:t>
      </w:r>
    </w:p>
    <w:p w:rsidR="00340FB6" w:rsidRPr="002C5180" w:rsidRDefault="00340FB6" w:rsidP="00340FB6">
      <w:pPr>
        <w:ind w:left="720"/>
        <w:contextualSpacing/>
        <w:rPr>
          <w:rFonts w:ascii="Calibri" w:eastAsia="Calibri" w:hAnsi="Calibri"/>
          <w:b/>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Retorno Molino Rojo. </w:t>
      </w:r>
      <w:r w:rsidRPr="002C5180">
        <w:rPr>
          <w:rFonts w:ascii="Calibri" w:eastAsia="Calibri" w:hAnsi="Calibri"/>
        </w:rPr>
        <w:t>(PR79+810). En construcción, se realizó excavación durante la primera semana de abril y en la última semana de junio. Presenta un avance del 9,2%.</w:t>
      </w:r>
    </w:p>
    <w:p w:rsidR="00340FB6" w:rsidRPr="002C5180" w:rsidRDefault="00340FB6" w:rsidP="00340FB6">
      <w:pPr>
        <w:widowControl w:val="0"/>
        <w:jc w:val="both"/>
        <w:rPr>
          <w:rFonts w:ascii="Calibri" w:hAnsi="Calibri"/>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Puente peatonal La 22.</w:t>
      </w:r>
      <w:r w:rsidRPr="002C5180">
        <w:rPr>
          <w:rFonts w:ascii="Calibri" w:eastAsia="Calibri" w:hAnsi="Calibri"/>
        </w:rPr>
        <w:t xml:space="preserve"> (PR95+600). En construcción, presenta un avance del 50,67%. A finales de mayo de 2015 se retomó la construcción de la pila del costado Bogotá – Girardot y en la siguiente semana se izó la viga principal para la pasarela, por lo general permanece inactivo.</w:t>
      </w:r>
    </w:p>
    <w:p w:rsidR="00340FB6" w:rsidRPr="002C5180" w:rsidRDefault="00340FB6" w:rsidP="00340FB6">
      <w:pPr>
        <w:ind w:left="720"/>
        <w:contextualSpacing/>
        <w:rPr>
          <w:rFonts w:ascii="Calibri" w:eastAsia="Calibri" w:hAnsi="Calibri"/>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Puente peatonal Santa Lucia. </w:t>
      </w:r>
      <w:r w:rsidRPr="002C5180">
        <w:rPr>
          <w:rFonts w:ascii="Calibri" w:eastAsia="Calibri" w:hAnsi="Calibri"/>
        </w:rPr>
        <w:t>(PR98+400). En construcción, presenta un avance del 62.72%. se retomaron actividades el 18 de mayo. En el costado Girardot – Bogotá se construyeron caissons y un muro para contención del talud sobre el cual se fundaron las zapatas, de la estructura de las rampas de acceso. En el costado Bogotá – Girardot se avanza en la construcción de rampas de acceso.</w:t>
      </w:r>
    </w:p>
    <w:p w:rsidR="00340FB6" w:rsidRPr="002C5180" w:rsidRDefault="00340FB6" w:rsidP="00340FB6">
      <w:pPr>
        <w:widowControl w:val="0"/>
        <w:jc w:val="both"/>
        <w:rPr>
          <w:rFonts w:ascii="Calibri" w:hAnsi="Calibri"/>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Mantenimiento periódico Trayecto 5.</w:t>
      </w:r>
      <w:r w:rsidRPr="002C5180">
        <w:rPr>
          <w:rFonts w:ascii="Calibri" w:eastAsia="Calibri" w:hAnsi="Calibri"/>
        </w:rPr>
        <w:t xml:space="preserve"> Se inició el mantenimiento periódico el 26 de mayo de 2015, entre el PR82+000 – PR87+600, se presentaron diferentes deficiencias en los aspectos constructivos tales como: carencia de tratamiento de las fallas estructurales del pavimento como fisuras y hundimientos, desplazamiento de la sobre capa de rodadura instalada, deficiencia en el control de espesores, desprendimiento de la mezcla asfáltica. </w:t>
      </w:r>
    </w:p>
    <w:p w:rsidR="00340FB6" w:rsidRPr="002C5180" w:rsidRDefault="00340FB6" w:rsidP="00340FB6">
      <w:pPr>
        <w:ind w:left="720"/>
        <w:contextualSpacing/>
        <w:rPr>
          <w:rFonts w:ascii="Calibri" w:eastAsia="Calibri" w:hAnsi="Calibri"/>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Remates. </w:t>
      </w:r>
      <w:r w:rsidRPr="002C5180">
        <w:rPr>
          <w:rFonts w:ascii="Calibri" w:eastAsia="Calibri" w:hAnsi="Calibri"/>
        </w:rPr>
        <w:t>Durante el mes de junio se realizó: la instalación de separador tipo New Yersey en el PR 102+760 y la construcción de gaviones en el acceso veredal ubicado en el PR83+215 sentido de la vía Bogotá – Girardot costado derecho.</w:t>
      </w:r>
    </w:p>
    <w:p w:rsidR="00340FB6" w:rsidRPr="002C5180" w:rsidRDefault="00340FB6" w:rsidP="00340FB6">
      <w:pPr>
        <w:ind w:left="360"/>
        <w:contextualSpacing/>
        <w:jc w:val="both"/>
        <w:rPr>
          <w:rFonts w:ascii="Calibri" w:eastAsia="Calibri" w:hAnsi="Calibri"/>
        </w:rPr>
      </w:pPr>
    </w:p>
    <w:p w:rsidR="00340FB6" w:rsidRPr="002C5180" w:rsidRDefault="00340FB6" w:rsidP="00340FB6">
      <w:pPr>
        <w:ind w:left="360"/>
        <w:contextualSpacing/>
        <w:jc w:val="both"/>
        <w:rPr>
          <w:rFonts w:ascii="Calibri" w:eastAsia="Calibri" w:hAnsi="Calibri"/>
        </w:rPr>
      </w:pPr>
    </w:p>
    <w:p w:rsidR="00340FB6" w:rsidRPr="00813381" w:rsidRDefault="00340FB6" w:rsidP="00340FB6">
      <w:pPr>
        <w:widowControl w:val="0"/>
        <w:jc w:val="both"/>
        <w:rPr>
          <w:rFonts w:ascii="Calibri" w:hAnsi="Calibri"/>
          <w:b/>
        </w:rPr>
      </w:pPr>
      <w:r w:rsidRPr="00813381">
        <w:rPr>
          <w:rFonts w:ascii="Calibri" w:hAnsi="Calibri"/>
          <w:b/>
        </w:rPr>
        <w:t>Trayecto 7</w:t>
      </w: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Puente peatonal Cutucumay – Subtrayecto 7D:</w:t>
      </w:r>
      <w:r w:rsidRPr="002C5180">
        <w:rPr>
          <w:rFonts w:ascii="Calibri" w:eastAsia="Calibri" w:hAnsi="Calibri"/>
        </w:rPr>
        <w:t xml:space="preserve"> se realizó la instalación parcial de tapas sobre el cárcamo para la protección de la tubería de acueducto de 12” bajo el puente.</w:t>
      </w:r>
    </w:p>
    <w:p w:rsidR="00340FB6" w:rsidRPr="002C5180" w:rsidRDefault="00340FB6" w:rsidP="00340FB6">
      <w:pPr>
        <w:ind w:left="360"/>
        <w:contextualSpacing/>
        <w:jc w:val="both"/>
        <w:rPr>
          <w:rFonts w:ascii="Calibri" w:eastAsia="Calibri" w:hAnsi="Calibri"/>
          <w:b/>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Puente peatonal Divino Niño – Subtrayecto 7E:</w:t>
      </w:r>
      <w:r w:rsidRPr="002C5180">
        <w:rPr>
          <w:rFonts w:ascii="Calibri" w:eastAsia="Calibri" w:hAnsi="Calibri"/>
        </w:rPr>
        <w:t xml:space="preserve"> se efectuó instalación de barandas y puntura de las mismas, al igual que la prueba de carga de la estructura.</w:t>
      </w:r>
    </w:p>
    <w:p w:rsidR="00340FB6" w:rsidRPr="002C5180" w:rsidRDefault="00340FB6" w:rsidP="00340FB6">
      <w:pPr>
        <w:ind w:left="720"/>
        <w:contextualSpacing/>
        <w:jc w:val="both"/>
        <w:rPr>
          <w:rFonts w:ascii="Calibri" w:eastAsia="Calibri" w:hAnsi="Calibri"/>
          <w:b/>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Puente peatonal Luis Carlos Galán – Subtrayecto 7F:</w:t>
      </w:r>
      <w:r w:rsidRPr="002C5180">
        <w:rPr>
          <w:rFonts w:ascii="Calibri" w:eastAsia="Calibri" w:hAnsi="Calibri"/>
        </w:rPr>
        <w:t xml:space="preserve"> se llevó a cabo la instalación de barandas en las rampas del costado Girardot – Bogotá y la pasarela central faltantes; se demolió el predio requerido para la construcción de las rampas del costado Bogotá Girardot e inició la excavación para la cimentación. </w:t>
      </w:r>
    </w:p>
    <w:p w:rsidR="00340FB6" w:rsidRPr="002C5180" w:rsidRDefault="00340FB6" w:rsidP="00340FB6">
      <w:pPr>
        <w:ind w:left="720"/>
        <w:contextualSpacing/>
        <w:jc w:val="both"/>
        <w:rPr>
          <w:rFonts w:ascii="Calibri" w:eastAsia="Calibri" w:hAnsi="Calibri"/>
          <w:b/>
        </w:rPr>
      </w:pPr>
    </w:p>
    <w:p w:rsidR="00340FB6" w:rsidRPr="00813381" w:rsidRDefault="00340FB6" w:rsidP="00340FB6">
      <w:pPr>
        <w:widowControl w:val="0"/>
        <w:jc w:val="both"/>
        <w:rPr>
          <w:rFonts w:ascii="Calibri" w:hAnsi="Calibri"/>
          <w:b/>
        </w:rPr>
      </w:pPr>
      <w:r w:rsidRPr="00813381">
        <w:rPr>
          <w:rFonts w:ascii="Calibri" w:hAnsi="Calibri"/>
          <w:b/>
        </w:rPr>
        <w:t>Trayecto 8</w:t>
      </w:r>
    </w:p>
    <w:p w:rsidR="00340FB6" w:rsidRPr="002C5180" w:rsidRDefault="00340FB6" w:rsidP="000021B2">
      <w:pPr>
        <w:widowControl w:val="0"/>
        <w:numPr>
          <w:ilvl w:val="0"/>
          <w:numId w:val="101"/>
        </w:numPr>
        <w:spacing w:after="0" w:line="240" w:lineRule="auto"/>
        <w:contextualSpacing/>
        <w:jc w:val="both"/>
        <w:rPr>
          <w:rFonts w:ascii="Calibri" w:eastAsia="Calibri" w:hAnsi="Calibri"/>
        </w:rPr>
      </w:pPr>
      <w:r w:rsidRPr="002C5180">
        <w:rPr>
          <w:rFonts w:ascii="Calibri" w:eastAsia="Calibri" w:hAnsi="Calibri"/>
          <w:b/>
        </w:rPr>
        <w:t xml:space="preserve">Subtrayecto 8 C: </w:t>
      </w:r>
      <w:r w:rsidRPr="002C5180">
        <w:rPr>
          <w:rFonts w:ascii="Calibri" w:eastAsia="Calibri" w:hAnsi="Calibri"/>
        </w:rPr>
        <w:t>se adelantaron las siguientes actividades:</w:t>
      </w:r>
    </w:p>
    <w:p w:rsidR="00340FB6" w:rsidRPr="002C5180" w:rsidRDefault="00340FB6" w:rsidP="00340FB6">
      <w:pPr>
        <w:ind w:left="720"/>
        <w:contextualSpacing/>
        <w:jc w:val="both"/>
        <w:rPr>
          <w:rFonts w:ascii="Calibri" w:eastAsia="Calibri" w:hAnsi="Calibri"/>
        </w:rPr>
      </w:pPr>
    </w:p>
    <w:p w:rsidR="00340FB6" w:rsidRPr="002C5180" w:rsidRDefault="00340FB6" w:rsidP="000021B2">
      <w:pPr>
        <w:widowControl w:val="0"/>
        <w:numPr>
          <w:ilvl w:val="0"/>
          <w:numId w:val="100"/>
        </w:numPr>
        <w:spacing w:after="0" w:line="240" w:lineRule="auto"/>
        <w:contextualSpacing/>
        <w:jc w:val="both"/>
        <w:rPr>
          <w:rFonts w:ascii="Calibri" w:eastAsia="Calibri" w:hAnsi="Calibri"/>
        </w:rPr>
      </w:pPr>
      <w:r w:rsidRPr="002C5180">
        <w:rPr>
          <w:rFonts w:ascii="Calibri" w:eastAsia="Calibri" w:hAnsi="Calibri"/>
        </w:rPr>
        <w:t>Reconformación de muro en tierra armada de la calzada Girardot – Bogotá a la altura del PR 46+300, instalación de tubería petrolera de 5” en la pata del muro, construcción de muros en gaviones en este mismo nivel.</w:t>
      </w:r>
    </w:p>
    <w:p w:rsidR="00813381" w:rsidRPr="00813381" w:rsidRDefault="00813381" w:rsidP="00813381">
      <w:pPr>
        <w:widowControl w:val="0"/>
        <w:spacing w:after="0" w:line="240" w:lineRule="auto"/>
        <w:ind w:left="360"/>
        <w:contextualSpacing/>
        <w:jc w:val="both"/>
        <w:rPr>
          <w:rFonts w:ascii="Calibri" w:eastAsia="Calibri" w:hAnsi="Calibri"/>
        </w:rPr>
      </w:pPr>
    </w:p>
    <w:p w:rsidR="00340FB6" w:rsidRPr="002C5180" w:rsidRDefault="00340FB6" w:rsidP="000021B2">
      <w:pPr>
        <w:widowControl w:val="0"/>
        <w:numPr>
          <w:ilvl w:val="0"/>
          <w:numId w:val="101"/>
        </w:numPr>
        <w:spacing w:after="0" w:line="240" w:lineRule="auto"/>
        <w:contextualSpacing/>
        <w:jc w:val="both"/>
        <w:rPr>
          <w:rFonts w:ascii="Calibri" w:eastAsia="Calibri" w:hAnsi="Calibri"/>
        </w:rPr>
      </w:pPr>
      <w:r w:rsidRPr="002C5180">
        <w:rPr>
          <w:rFonts w:ascii="Calibri" w:eastAsia="Calibri" w:hAnsi="Calibri"/>
          <w:b/>
        </w:rPr>
        <w:t xml:space="preserve">Subtrayecto 8 D: </w:t>
      </w:r>
      <w:r w:rsidRPr="002C5180">
        <w:rPr>
          <w:rFonts w:ascii="Calibri" w:eastAsia="Calibri" w:hAnsi="Calibri"/>
        </w:rPr>
        <w:t>se adelantaron las siguientes actividades:</w:t>
      </w:r>
    </w:p>
    <w:p w:rsidR="00340FB6" w:rsidRPr="002C5180" w:rsidRDefault="00340FB6" w:rsidP="00340FB6">
      <w:pPr>
        <w:widowControl w:val="0"/>
        <w:ind w:left="360"/>
        <w:jc w:val="both"/>
        <w:rPr>
          <w:rFonts w:ascii="Calibri" w:hAnsi="Calibri"/>
        </w:rPr>
      </w:pPr>
    </w:p>
    <w:p w:rsidR="00340FB6" w:rsidRPr="002C5180" w:rsidRDefault="00340FB6" w:rsidP="000021B2">
      <w:pPr>
        <w:widowControl w:val="0"/>
        <w:numPr>
          <w:ilvl w:val="0"/>
          <w:numId w:val="100"/>
        </w:numPr>
        <w:spacing w:after="0" w:line="240" w:lineRule="auto"/>
        <w:contextualSpacing/>
        <w:jc w:val="both"/>
        <w:rPr>
          <w:rFonts w:ascii="Calibri" w:eastAsia="Calibri" w:hAnsi="Calibri"/>
        </w:rPr>
      </w:pPr>
      <w:r w:rsidRPr="002C5180">
        <w:rPr>
          <w:rFonts w:ascii="Calibri" w:eastAsia="Calibri" w:hAnsi="Calibri"/>
        </w:rPr>
        <w:t>Construcción de módulo de 10m de muro en concreto reforzado en el PR 44+350, junto con la excavación de los caissons 6,7,8 y 9; se realizó así mismo el vaciado en concreto del caissons 5.</w:t>
      </w:r>
    </w:p>
    <w:p w:rsidR="00340FB6" w:rsidRPr="002C5180" w:rsidRDefault="00340FB6" w:rsidP="00340FB6">
      <w:pPr>
        <w:ind w:left="720"/>
        <w:contextualSpacing/>
        <w:jc w:val="both"/>
        <w:rPr>
          <w:rFonts w:ascii="Calibri" w:eastAsia="Calibri" w:hAnsi="Calibri"/>
        </w:rPr>
      </w:pPr>
    </w:p>
    <w:p w:rsidR="00340FB6" w:rsidRPr="002C304B" w:rsidRDefault="00340FB6" w:rsidP="00340FB6">
      <w:pPr>
        <w:widowControl w:val="0"/>
        <w:jc w:val="both"/>
        <w:rPr>
          <w:rFonts w:ascii="Calibri" w:hAnsi="Calibri"/>
          <w:b/>
        </w:rPr>
      </w:pPr>
      <w:r w:rsidRPr="002C304B">
        <w:rPr>
          <w:rFonts w:ascii="Calibri" w:hAnsi="Calibri"/>
          <w:b/>
        </w:rPr>
        <w:t>Trayecto 9</w:t>
      </w: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Variante de Melgar: </w:t>
      </w:r>
      <w:r w:rsidRPr="002C5180">
        <w:rPr>
          <w:rFonts w:ascii="Calibri" w:eastAsia="Calibri" w:hAnsi="Calibri"/>
        </w:rPr>
        <w:t>se realizaron las siguientes actividades:</w:t>
      </w:r>
    </w:p>
    <w:p w:rsidR="00340FB6" w:rsidRPr="002C5180" w:rsidRDefault="00340FB6" w:rsidP="00340FB6">
      <w:pPr>
        <w:widowControl w:val="0"/>
        <w:jc w:val="both"/>
        <w:rPr>
          <w:rFonts w:ascii="Calibri" w:hAnsi="Calibri"/>
          <w:b/>
        </w:rPr>
      </w:pPr>
    </w:p>
    <w:p w:rsidR="00340FB6" w:rsidRPr="002C5180" w:rsidRDefault="00340FB6" w:rsidP="000021B2">
      <w:pPr>
        <w:widowControl w:val="0"/>
        <w:numPr>
          <w:ilvl w:val="0"/>
          <w:numId w:val="100"/>
        </w:numPr>
        <w:spacing w:after="0" w:line="240" w:lineRule="auto"/>
        <w:contextualSpacing/>
        <w:jc w:val="both"/>
        <w:rPr>
          <w:rFonts w:ascii="Calibri" w:eastAsia="Calibri" w:hAnsi="Calibri"/>
        </w:rPr>
      </w:pPr>
      <w:r w:rsidRPr="002C5180">
        <w:rPr>
          <w:rFonts w:ascii="Calibri" w:eastAsia="Calibri" w:hAnsi="Calibri"/>
        </w:rPr>
        <w:t xml:space="preserve">En la roca del Lancero se llevó a cabo la limpieza y remoción de derrumbes, pernado de </w:t>
      </w:r>
      <w:r w:rsidRPr="002C5180">
        <w:rPr>
          <w:rFonts w:ascii="Calibri" w:eastAsia="Calibri" w:hAnsi="Calibri"/>
        </w:rPr>
        <w:lastRenderedPageBreak/>
        <w:t>bloques de areniscas diaclasados, construcción de canales de drenaje en terrazas intermedias; excavación e inicio de construcción de zanjas de coronación en el talud superior.</w:t>
      </w:r>
    </w:p>
    <w:p w:rsidR="00340FB6" w:rsidRPr="002C5180" w:rsidRDefault="00340FB6" w:rsidP="00340FB6">
      <w:pPr>
        <w:widowControl w:val="0"/>
        <w:ind w:left="360"/>
        <w:jc w:val="both"/>
        <w:rPr>
          <w:rFonts w:ascii="Calibri" w:hAnsi="Calibri"/>
        </w:rPr>
      </w:pPr>
    </w:p>
    <w:p w:rsidR="00340FB6" w:rsidRPr="002C5180" w:rsidRDefault="00340FB6" w:rsidP="000021B2">
      <w:pPr>
        <w:widowControl w:val="0"/>
        <w:numPr>
          <w:ilvl w:val="0"/>
          <w:numId w:val="100"/>
        </w:numPr>
        <w:spacing w:after="0" w:line="240" w:lineRule="auto"/>
        <w:contextualSpacing/>
        <w:jc w:val="both"/>
        <w:rPr>
          <w:rFonts w:ascii="Calibri" w:eastAsia="Calibri" w:hAnsi="Calibri"/>
        </w:rPr>
      </w:pPr>
      <w:r w:rsidRPr="002C5180">
        <w:rPr>
          <w:rFonts w:ascii="Calibri" w:eastAsia="Calibri" w:hAnsi="Calibri"/>
        </w:rPr>
        <w:t xml:space="preserve">En el PR 0+860 a la altura del predio el Cántaro el Concesionario adelantó la construcción de una zanja para la conducción de las aguas de una alcantarilla a otra ubicadas en la zona de derecho de vía aledaña al inmueble, así como la construcción de un muro en gaviones para la reconformación de la calzada en este punto. </w:t>
      </w:r>
    </w:p>
    <w:p w:rsidR="00340FB6" w:rsidRPr="002C5180" w:rsidRDefault="00340FB6" w:rsidP="00340FB6">
      <w:pPr>
        <w:widowControl w:val="0"/>
        <w:jc w:val="both"/>
        <w:rPr>
          <w:rFonts w:ascii="Calibri" w:hAnsi="Calibri"/>
        </w:rPr>
      </w:pPr>
    </w:p>
    <w:p w:rsidR="00340FB6" w:rsidRPr="002C304B" w:rsidRDefault="00340FB6" w:rsidP="00340FB6">
      <w:pPr>
        <w:widowControl w:val="0"/>
        <w:jc w:val="both"/>
        <w:rPr>
          <w:rFonts w:ascii="Calibri" w:hAnsi="Calibri"/>
          <w:b/>
        </w:rPr>
      </w:pPr>
      <w:r w:rsidRPr="002C304B">
        <w:rPr>
          <w:rFonts w:ascii="Calibri" w:hAnsi="Calibri"/>
          <w:b/>
        </w:rPr>
        <w:t>Trayecto 10</w:t>
      </w: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Puente peatonal la Esmeralda – Subtrayecto 10B: </w:t>
      </w:r>
      <w:r w:rsidRPr="002C5180">
        <w:rPr>
          <w:rFonts w:ascii="Calibri" w:eastAsia="Calibri" w:hAnsi="Calibri"/>
        </w:rPr>
        <w:t>se realizó la construcción de las rapas 1, 2, 3 y 4 del costado Bogotá – Girardot, 3 y 4 del costado Girardot – Bogotá, junto con la construcción de bordillos y barandas; se llevó a cabo la instalación de la viga de la pasarela central junto con la construcción de la placa en concreto sobre la misma.</w:t>
      </w:r>
      <w:r w:rsidRPr="002C5180">
        <w:rPr>
          <w:rFonts w:ascii="Calibri" w:eastAsia="Calibri" w:hAnsi="Calibri"/>
          <w:b/>
        </w:rPr>
        <w:t xml:space="preserve"> </w:t>
      </w:r>
    </w:p>
    <w:p w:rsidR="00340FB6" w:rsidRPr="002C5180" w:rsidRDefault="00340FB6" w:rsidP="00340FB6">
      <w:pPr>
        <w:widowControl w:val="0"/>
        <w:jc w:val="both"/>
        <w:rPr>
          <w:rFonts w:ascii="Calibri" w:hAnsi="Calibri"/>
        </w:rPr>
      </w:pPr>
    </w:p>
    <w:p w:rsidR="00340FB6" w:rsidRPr="002C304B" w:rsidRDefault="00340FB6" w:rsidP="00340FB6">
      <w:pPr>
        <w:widowControl w:val="0"/>
        <w:jc w:val="both"/>
        <w:rPr>
          <w:rFonts w:ascii="Calibri" w:hAnsi="Calibri"/>
          <w:b/>
        </w:rPr>
      </w:pPr>
      <w:r w:rsidRPr="002C304B">
        <w:rPr>
          <w:rFonts w:ascii="Calibri" w:hAnsi="Calibri"/>
          <w:b/>
        </w:rPr>
        <w:t>Trayecto 11</w:t>
      </w:r>
    </w:p>
    <w:p w:rsidR="00340FB6" w:rsidRPr="002C5180" w:rsidRDefault="00340FB6" w:rsidP="000021B2">
      <w:pPr>
        <w:widowControl w:val="0"/>
        <w:numPr>
          <w:ilvl w:val="0"/>
          <w:numId w:val="101"/>
        </w:numPr>
        <w:spacing w:after="0" w:line="240" w:lineRule="auto"/>
        <w:contextualSpacing/>
        <w:jc w:val="both"/>
        <w:rPr>
          <w:rFonts w:ascii="Calibri" w:eastAsia="Calibri" w:hAnsi="Calibri"/>
          <w:b/>
        </w:rPr>
      </w:pPr>
      <w:r w:rsidRPr="002C5180">
        <w:rPr>
          <w:rFonts w:ascii="Calibri" w:eastAsia="Calibri" w:hAnsi="Calibri"/>
          <w:b/>
        </w:rPr>
        <w:t xml:space="preserve">Retorno para acceso a Suarez: </w:t>
      </w:r>
      <w:r w:rsidRPr="002C5180">
        <w:rPr>
          <w:rFonts w:ascii="Calibri" w:eastAsia="Calibri" w:hAnsi="Calibri"/>
        </w:rPr>
        <w:t>se llevó a cabo la instalación de la totalidad de las capas granulares y mezclas asfálticas, la demarcación y la construcción de obras de drenaje de manera parcial.</w:t>
      </w:r>
    </w:p>
    <w:p w:rsidR="00340FB6" w:rsidRPr="002C5180" w:rsidRDefault="00340FB6" w:rsidP="00340FB6">
      <w:pPr>
        <w:widowControl w:val="0"/>
        <w:jc w:val="both"/>
        <w:rPr>
          <w:rFonts w:ascii="Calibri" w:hAnsi="Calibri"/>
        </w:rPr>
      </w:pPr>
    </w:p>
    <w:p w:rsidR="00340FB6" w:rsidRPr="002C304B" w:rsidRDefault="00340FB6" w:rsidP="00340FB6">
      <w:pPr>
        <w:widowControl w:val="0"/>
        <w:jc w:val="both"/>
        <w:rPr>
          <w:rFonts w:ascii="Calibri" w:hAnsi="Calibri"/>
          <w:b/>
        </w:rPr>
      </w:pPr>
      <w:r w:rsidRPr="002C304B">
        <w:rPr>
          <w:rFonts w:ascii="Calibri" w:hAnsi="Calibri"/>
          <w:b/>
        </w:rPr>
        <w:t>Trayecto 12</w:t>
      </w:r>
    </w:p>
    <w:p w:rsidR="00340FB6" w:rsidRPr="002C5180" w:rsidRDefault="00340FB6" w:rsidP="000021B2">
      <w:pPr>
        <w:widowControl w:val="0"/>
        <w:numPr>
          <w:ilvl w:val="0"/>
          <w:numId w:val="101"/>
        </w:numPr>
        <w:spacing w:after="0" w:line="240" w:lineRule="auto"/>
        <w:contextualSpacing/>
        <w:jc w:val="both"/>
        <w:rPr>
          <w:rFonts w:ascii="Calibri" w:eastAsia="Calibri" w:hAnsi="Calibri"/>
        </w:rPr>
      </w:pPr>
      <w:r w:rsidRPr="002C5180">
        <w:rPr>
          <w:rFonts w:ascii="Calibri" w:eastAsia="Calibri" w:hAnsi="Calibri"/>
          <w:b/>
        </w:rPr>
        <w:t xml:space="preserve">Puente peatonal José María Córdoba: </w:t>
      </w:r>
      <w:r w:rsidRPr="002C5180">
        <w:rPr>
          <w:rFonts w:ascii="Calibri" w:eastAsia="Calibri" w:hAnsi="Calibri"/>
        </w:rPr>
        <w:t xml:space="preserve">Construcción de rampas 1 ,2, 3 y 4 del costado Girardot – Bogotá, 3 y 4 del costado Bogotá – Girardot; instalación vigas en pasarela central junto con vaciado de placa en concreto sobre la misma.  </w:t>
      </w:r>
    </w:p>
    <w:p w:rsidR="00340FB6" w:rsidRPr="002C5180" w:rsidRDefault="00340FB6" w:rsidP="00340FB6">
      <w:pPr>
        <w:ind w:left="360"/>
        <w:contextualSpacing/>
        <w:jc w:val="both"/>
        <w:rPr>
          <w:rFonts w:ascii="Calibri" w:eastAsia="Calibri" w:hAnsi="Calibri"/>
        </w:rPr>
      </w:pPr>
    </w:p>
    <w:p w:rsidR="00340FB6" w:rsidRPr="002C5180" w:rsidRDefault="00340FB6" w:rsidP="00340FB6">
      <w:pPr>
        <w:ind w:left="360"/>
        <w:contextualSpacing/>
        <w:jc w:val="both"/>
        <w:rPr>
          <w:rFonts w:ascii="Calibri" w:eastAsia="Calibri" w:hAnsi="Calibri"/>
        </w:rPr>
      </w:pPr>
    </w:p>
    <w:p w:rsidR="00340FB6" w:rsidRPr="002C5180" w:rsidRDefault="00340FB6" w:rsidP="00340FB6">
      <w:pPr>
        <w:ind w:left="360"/>
        <w:contextualSpacing/>
        <w:jc w:val="both"/>
        <w:rPr>
          <w:rFonts w:ascii="Calibri" w:eastAsia="Calibri" w:hAnsi="Calibri"/>
        </w:rPr>
      </w:pPr>
    </w:p>
    <w:p w:rsidR="00340FB6" w:rsidRPr="002B6C13" w:rsidRDefault="0034340A" w:rsidP="002B6C13">
      <w:pPr>
        <w:spacing w:line="240" w:lineRule="auto"/>
        <w:jc w:val="both"/>
        <w:rPr>
          <w:rFonts w:eastAsia="Times New Roman" w:cs="Calibri"/>
          <w:b/>
          <w:color w:val="000000"/>
          <w:u w:val="single"/>
        </w:rPr>
      </w:pPr>
      <w:r>
        <w:rPr>
          <w:rFonts w:eastAsia="Times New Roman" w:cs="Calibri"/>
          <w:b/>
          <w:color w:val="000000"/>
          <w:u w:val="single"/>
        </w:rPr>
        <w:t>8. P</w:t>
      </w:r>
      <w:r w:rsidR="00340FB6" w:rsidRPr="002B6C13">
        <w:rPr>
          <w:rFonts w:eastAsia="Times New Roman" w:cs="Calibri"/>
          <w:b/>
          <w:color w:val="000000"/>
          <w:u w:val="single"/>
        </w:rPr>
        <w:t>ROYECTO BRICEÑO TUNJA SOGAMOSO</w:t>
      </w:r>
    </w:p>
    <w:p w:rsidR="00340FB6" w:rsidRPr="002C5180" w:rsidRDefault="00340FB6" w:rsidP="00340FB6">
      <w:pPr>
        <w:spacing w:after="160" w:line="259" w:lineRule="auto"/>
        <w:jc w:val="both"/>
        <w:rPr>
          <w:rFonts w:ascii="Calibri" w:eastAsia="Calibri" w:hAnsi="Calibri"/>
          <w:lang w:eastAsia="en-US"/>
        </w:rPr>
      </w:pPr>
      <w:r w:rsidRPr="002C5180">
        <w:rPr>
          <w:rFonts w:ascii="Calibri" w:eastAsia="Calibri" w:hAnsi="Calibri"/>
          <w:lang w:eastAsia="en-US"/>
        </w:rPr>
        <w:t>A continuación  se relacionan las principales actividades adelantadas y situaciones presentadas en el segundo trimestre de 2015, con relación al seguimiento de metas propuestas para este año:</w:t>
      </w:r>
    </w:p>
    <w:p w:rsidR="00340FB6" w:rsidRPr="002C5180" w:rsidRDefault="00340FB6" w:rsidP="000021B2">
      <w:pPr>
        <w:numPr>
          <w:ilvl w:val="0"/>
          <w:numId w:val="102"/>
        </w:numPr>
        <w:spacing w:after="160" w:line="259" w:lineRule="auto"/>
        <w:jc w:val="both"/>
        <w:rPr>
          <w:rFonts w:ascii="Calibri" w:eastAsia="Calibri" w:hAnsi="Calibri"/>
          <w:lang w:eastAsia="en-US"/>
        </w:rPr>
      </w:pPr>
      <w:r w:rsidRPr="002C5180">
        <w:rPr>
          <w:rFonts w:ascii="Calibri" w:eastAsia="Calibri" w:hAnsi="Calibri"/>
          <w:lang w:eastAsia="en-US"/>
        </w:rPr>
        <w:t>Trayecto 15, Paipa - Duitama, Entrada Paipa, K146+200 al K147+180: En la actualidad se continúa trabajando en el plan de abandono, ya se retiraron los tanques, se está a la espera de resultado de laboratorio de suelos, según información de la Interventoría reportada por los propietarios del predio, las Excavaciones están expuestas en espera del resultado de los análisis de suelos. Finalizando el trimestre, se terminaron las obras en este sector por parte de los dueños del predio, consistente en el plan de abandono de los tanques.  Para poder intervenir el predio con las obras de la BTS, se requiere que Corpoboyaca avale los ensayos de suelos practicados por los dueños, indicando que el terreno no está contaminado ni sufrió filtraciones del material de la estación de servicio, pendiente este concepto.</w:t>
      </w:r>
    </w:p>
    <w:p w:rsidR="00340FB6" w:rsidRPr="002C5180" w:rsidRDefault="00340FB6" w:rsidP="000021B2">
      <w:pPr>
        <w:numPr>
          <w:ilvl w:val="0"/>
          <w:numId w:val="102"/>
        </w:numPr>
        <w:spacing w:after="160" w:line="259" w:lineRule="auto"/>
        <w:jc w:val="both"/>
        <w:rPr>
          <w:rFonts w:ascii="Calibri" w:eastAsia="Calibri" w:hAnsi="Calibri"/>
          <w:lang w:eastAsia="en-US"/>
        </w:rPr>
      </w:pPr>
      <w:r w:rsidRPr="002C5180">
        <w:rPr>
          <w:rFonts w:ascii="Calibri" w:eastAsia="Calibri" w:hAnsi="Calibri"/>
          <w:lang w:eastAsia="en-US"/>
        </w:rPr>
        <w:lastRenderedPageBreak/>
        <w:t>Trayecto 09, Peaje Albarracín - Ventaquemada, Tanque de Ventaquemada, K72+720 al K72+820: El 6 de Mayo de 2015, se realiza la visita al tanque por parte del comité de riesgos de la Gobernación de Boyacá, así mismo se realiza la reunión en las instalaciones de la ANI, con el Ingeniero Alirio Rozo Millán encargado por la Gobernación de Boyacá y jefe de la oficina asesora OAPAD, el cual indica que una vez escuchado el planteamiento del concesionario emitirá un concepto para el juzgado indicando la necesidad de que se presente el plan de contingencias para los trabajos que adelantará el concesionario. Así mismo el 7 de Mayo de 2015, se realiza la entrega de la franja del lote por parte del juzgado, requerida para adelantar los trabajos quedando en la misma entrega que antes de iniciar los trabajos se debe cumplir con las recomendaciones del comité de riesgos de la gobernación específicamente en lo referente con el plan de contingencia; el concesionario entrega la nueva alternativa ajustada de acuerdo a lo indicado por la interventoría y la agencia mediante correo electrónico del 11 de Junio de 2015, se le envía al Ing. Alirio Rozo Millán del comité de riesgos de la Gobernación de Boyacá para que sea revisada y emita concepto, en la actualidad se está a la espera de la respuesta del comité de riesgos, las obras de la BTS no han iniciado.</w:t>
      </w:r>
    </w:p>
    <w:p w:rsidR="00340FB6" w:rsidRPr="002C5180" w:rsidRDefault="00340FB6" w:rsidP="000021B2">
      <w:pPr>
        <w:numPr>
          <w:ilvl w:val="0"/>
          <w:numId w:val="102"/>
        </w:numPr>
        <w:spacing w:after="160" w:line="259" w:lineRule="auto"/>
        <w:jc w:val="both"/>
        <w:rPr>
          <w:rFonts w:ascii="Calibri" w:eastAsia="Calibri" w:hAnsi="Calibri"/>
          <w:lang w:eastAsia="en-US"/>
        </w:rPr>
      </w:pPr>
      <w:r w:rsidRPr="002C5180">
        <w:rPr>
          <w:rFonts w:ascii="Calibri" w:eastAsia="Calibri" w:hAnsi="Calibri"/>
          <w:lang w:eastAsia="en-US"/>
        </w:rPr>
        <w:t>Trayecto 14, Mortiñal - Paipa, Predio La Laguna perteneciente al señor Cavalier, K137+120 al K138+000: Durante este trimestre se trabajó en la construcción de cunetas, se trabaja en la construcción del muro de  contención del separador, extendida y compactación de sub-base granular.</w:t>
      </w:r>
    </w:p>
    <w:p w:rsidR="00340FB6" w:rsidRPr="002C5180" w:rsidRDefault="00340FB6" w:rsidP="000021B2">
      <w:pPr>
        <w:numPr>
          <w:ilvl w:val="0"/>
          <w:numId w:val="102"/>
        </w:numPr>
        <w:spacing w:after="160" w:line="259" w:lineRule="auto"/>
        <w:jc w:val="both"/>
        <w:rPr>
          <w:rFonts w:ascii="Calibri" w:eastAsia="Calibri" w:hAnsi="Calibri"/>
          <w:lang w:eastAsia="en-US"/>
        </w:rPr>
      </w:pPr>
      <w:r w:rsidRPr="002C5180">
        <w:rPr>
          <w:rFonts w:ascii="Calibri" w:eastAsia="Calibri" w:hAnsi="Calibri"/>
          <w:lang w:eastAsia="en-US"/>
        </w:rPr>
        <w:t>Trayecto 15, Paipa - Duitama, Predio La Britalia perteneciente al señor Cavalier, K155+830 al K156+400: Durante es trimestre se terminó la construcción de este tramo, se encuentra en operación.</w:t>
      </w:r>
    </w:p>
    <w:p w:rsidR="00340FB6" w:rsidRPr="002C5180" w:rsidRDefault="00340FB6" w:rsidP="000021B2">
      <w:pPr>
        <w:numPr>
          <w:ilvl w:val="0"/>
          <w:numId w:val="102"/>
        </w:numPr>
        <w:spacing w:after="160" w:line="259" w:lineRule="auto"/>
        <w:jc w:val="both"/>
        <w:rPr>
          <w:rFonts w:ascii="Calibri" w:eastAsia="Calibri" w:hAnsi="Calibri"/>
          <w:lang w:eastAsia="en-US"/>
        </w:rPr>
      </w:pPr>
      <w:r w:rsidRPr="002C5180">
        <w:rPr>
          <w:rFonts w:ascii="Calibri" w:eastAsia="Calibri" w:hAnsi="Calibri"/>
          <w:lang w:eastAsia="en-US"/>
        </w:rPr>
        <w:t>Trayecto 3, Variante Tocancipá, Predio la samaria variante Tocancipá, K1+100 al K1+625: Durante este periodo el concesionario trabajó en la extendida y compactación de la segunda capa de base granular e instalación de primera capa de pavimento, el concesionario suspendió labores en espera del resultado de la conciliación de los 4.315m.</w:t>
      </w:r>
    </w:p>
    <w:p w:rsidR="00340FB6" w:rsidRPr="002C5180" w:rsidRDefault="00340FB6" w:rsidP="000021B2">
      <w:pPr>
        <w:numPr>
          <w:ilvl w:val="0"/>
          <w:numId w:val="102"/>
        </w:numPr>
        <w:spacing w:after="160" w:line="259" w:lineRule="auto"/>
        <w:jc w:val="both"/>
        <w:rPr>
          <w:rFonts w:ascii="Calibri" w:eastAsia="Calibri" w:hAnsi="Calibri"/>
          <w:lang w:eastAsia="en-US"/>
        </w:rPr>
      </w:pPr>
      <w:r w:rsidRPr="002C5180">
        <w:rPr>
          <w:rFonts w:ascii="Calibri" w:eastAsia="Calibri" w:hAnsi="Calibri"/>
          <w:lang w:eastAsia="en-US"/>
        </w:rPr>
        <w:t>Trayecto 3, Variante Tocancipá, Predio Ecopetrol variante Tocancipá, K4+690 al K4+850: Durante este trimestre el concesionario trabajo en las obras de conexión con la BTS, no obstante, suspendió labores en espera del resultado de la conciliación de los 4.315m.</w:t>
      </w:r>
    </w:p>
    <w:p w:rsidR="00340FB6" w:rsidRPr="002C5180" w:rsidRDefault="00340FB6" w:rsidP="00340FB6">
      <w:pPr>
        <w:spacing w:after="160" w:line="259" w:lineRule="auto"/>
        <w:rPr>
          <w:rFonts w:ascii="Calibri" w:eastAsia="Calibri" w:hAnsi="Calibri"/>
          <w:lang w:eastAsia="en-US"/>
        </w:rPr>
      </w:pPr>
    </w:p>
    <w:p w:rsidR="00340FB6" w:rsidRPr="002B6C13" w:rsidRDefault="0034340A" w:rsidP="002B6C13">
      <w:pPr>
        <w:spacing w:line="240" w:lineRule="auto"/>
        <w:jc w:val="both"/>
        <w:rPr>
          <w:rFonts w:eastAsia="Times New Roman" w:cs="Calibri"/>
          <w:b/>
          <w:color w:val="000000"/>
          <w:u w:val="single"/>
        </w:rPr>
      </w:pPr>
      <w:r>
        <w:rPr>
          <w:rFonts w:eastAsia="Times New Roman" w:cs="Calibri"/>
          <w:b/>
          <w:color w:val="000000"/>
          <w:u w:val="single"/>
        </w:rPr>
        <w:t>9. P</w:t>
      </w:r>
      <w:r w:rsidR="00340FB6" w:rsidRPr="002B6C13">
        <w:rPr>
          <w:rFonts w:eastAsia="Times New Roman" w:cs="Calibri"/>
          <w:b/>
          <w:color w:val="000000"/>
          <w:u w:val="single"/>
        </w:rPr>
        <w:t>ROYECTO CÓRDOBA SUCRE</w:t>
      </w:r>
    </w:p>
    <w:p w:rsidR="00340FB6" w:rsidRPr="002C5180" w:rsidRDefault="00340FB6" w:rsidP="00340FB6">
      <w:pPr>
        <w:spacing w:after="160" w:line="259" w:lineRule="auto"/>
        <w:jc w:val="both"/>
        <w:rPr>
          <w:rFonts w:ascii="Calibri" w:eastAsia="Calibri" w:hAnsi="Calibri"/>
          <w:lang w:eastAsia="en-US"/>
        </w:rPr>
      </w:pPr>
      <w:r w:rsidRPr="002C5180">
        <w:rPr>
          <w:rFonts w:ascii="Calibri" w:eastAsia="Calibri" w:hAnsi="Calibri"/>
          <w:lang w:eastAsia="en-US"/>
        </w:rPr>
        <w:t>El Concesionario viene adelantando actividades propias de la construcción de vías como: construcción de terraplenes, instalación de base y carpeta asfáltica en primera y segunda capa (el pavimento está terminado en segunda capa). Ya cuenta con los predios necesarios para avanzar más en las obras, pero la ejecución de las mismas no es el apropiado como para mostrar más avance y rendimientos.</w:t>
      </w:r>
    </w:p>
    <w:p w:rsidR="00340FB6" w:rsidRPr="002C5180" w:rsidRDefault="00340FB6" w:rsidP="00340FB6">
      <w:pPr>
        <w:spacing w:after="160" w:line="259" w:lineRule="auto"/>
        <w:jc w:val="both"/>
        <w:rPr>
          <w:rFonts w:ascii="Calibri" w:eastAsia="Calibri" w:hAnsi="Calibri"/>
          <w:lang w:eastAsia="en-US"/>
        </w:rPr>
      </w:pPr>
      <w:r w:rsidRPr="002C5180">
        <w:rPr>
          <w:rFonts w:ascii="Calibri" w:eastAsia="Calibri" w:hAnsi="Calibri"/>
          <w:lang w:eastAsia="en-US"/>
        </w:rPr>
        <w:t xml:space="preserve"> A la fecha tiene intervenidos: </w:t>
      </w:r>
    </w:p>
    <w:p w:rsidR="00340FB6" w:rsidRPr="002C5180" w:rsidRDefault="00340FB6" w:rsidP="000021B2">
      <w:pPr>
        <w:numPr>
          <w:ilvl w:val="0"/>
          <w:numId w:val="103"/>
        </w:numPr>
        <w:spacing w:after="160" w:line="259" w:lineRule="auto"/>
        <w:jc w:val="both"/>
        <w:rPr>
          <w:rFonts w:ascii="Calibri" w:eastAsia="Calibri" w:hAnsi="Calibri"/>
          <w:lang w:eastAsia="en-US"/>
        </w:rPr>
      </w:pPr>
      <w:r w:rsidRPr="002C5180">
        <w:rPr>
          <w:rFonts w:ascii="Calibri" w:eastAsia="Calibri" w:hAnsi="Calibri"/>
          <w:lang w:eastAsia="en-US"/>
        </w:rPr>
        <w:t>14.5 km en el tamo La Yé-Sahagún y en predios tiene disponibles 14.5 Km.</w:t>
      </w:r>
    </w:p>
    <w:p w:rsidR="00340FB6" w:rsidRPr="002C5180" w:rsidRDefault="00340FB6" w:rsidP="000021B2">
      <w:pPr>
        <w:numPr>
          <w:ilvl w:val="0"/>
          <w:numId w:val="103"/>
        </w:numPr>
        <w:spacing w:after="160" w:line="259" w:lineRule="auto"/>
        <w:jc w:val="both"/>
        <w:rPr>
          <w:rFonts w:ascii="Calibri" w:eastAsia="Calibri" w:hAnsi="Calibri"/>
          <w:lang w:eastAsia="en-US"/>
        </w:rPr>
      </w:pPr>
      <w:r w:rsidRPr="002C5180">
        <w:rPr>
          <w:rFonts w:ascii="Calibri" w:eastAsia="Calibri" w:hAnsi="Calibri"/>
          <w:lang w:eastAsia="en-US"/>
        </w:rPr>
        <w:lastRenderedPageBreak/>
        <w:t>km en el tramo Sampués-Sincelejo y en predios tiene disponibles 6.8 km.</w:t>
      </w:r>
    </w:p>
    <w:p w:rsidR="00340FB6" w:rsidRPr="002C5180" w:rsidRDefault="00340FB6" w:rsidP="000021B2">
      <w:pPr>
        <w:numPr>
          <w:ilvl w:val="0"/>
          <w:numId w:val="103"/>
        </w:numPr>
        <w:spacing w:after="160" w:line="259" w:lineRule="auto"/>
        <w:jc w:val="both"/>
        <w:rPr>
          <w:rFonts w:ascii="Calibri" w:eastAsia="Calibri" w:hAnsi="Calibri"/>
          <w:lang w:eastAsia="en-US"/>
        </w:rPr>
      </w:pPr>
      <w:r w:rsidRPr="002C5180">
        <w:rPr>
          <w:rFonts w:ascii="Calibri" w:eastAsia="Calibri" w:hAnsi="Calibri"/>
          <w:lang w:eastAsia="en-US"/>
        </w:rPr>
        <w:t>9.0 km en el tramo Sinc</w:t>
      </w:r>
      <w:r w:rsidR="005F216C">
        <w:rPr>
          <w:rFonts w:ascii="Calibri" w:eastAsia="Calibri" w:hAnsi="Calibri"/>
          <w:lang w:eastAsia="en-US"/>
        </w:rPr>
        <w:t>e</w:t>
      </w:r>
      <w:r w:rsidRPr="002C5180">
        <w:rPr>
          <w:rFonts w:ascii="Calibri" w:eastAsia="Calibri" w:hAnsi="Calibri"/>
          <w:lang w:eastAsia="en-US"/>
        </w:rPr>
        <w:t>lejo-Toluviejo y en predios tiene disponibles 14.5 km.</w:t>
      </w:r>
    </w:p>
    <w:p w:rsidR="00340FB6" w:rsidRPr="002C5180" w:rsidRDefault="00340FB6" w:rsidP="00340FB6">
      <w:pPr>
        <w:rPr>
          <w:rFonts w:ascii="Calibri" w:hAnsi="Calibri"/>
          <w:bCs/>
          <w:spacing w:val="-3"/>
        </w:rPr>
      </w:pPr>
    </w:p>
    <w:p w:rsidR="00EB3BC8" w:rsidRDefault="00EB3BC8" w:rsidP="00861A50">
      <w:pPr>
        <w:jc w:val="both"/>
      </w:pPr>
    </w:p>
    <w:p w:rsidR="00EB3BC8" w:rsidRDefault="00EB3BC8" w:rsidP="00861A50">
      <w:pPr>
        <w:jc w:val="both"/>
      </w:pPr>
    </w:p>
    <w:p w:rsidR="00EB3BC8" w:rsidRDefault="00EB3BC8" w:rsidP="00861A50">
      <w:pPr>
        <w:jc w:val="both"/>
      </w:pPr>
    </w:p>
    <w:p w:rsidR="00EB3BC8" w:rsidRDefault="00EB3BC8" w:rsidP="00861A50">
      <w:pPr>
        <w:jc w:val="both"/>
      </w:pPr>
    </w:p>
    <w:p w:rsidR="00EB3BC8" w:rsidRPr="00861A50" w:rsidRDefault="00EB3BC8" w:rsidP="00861A50">
      <w:pPr>
        <w:jc w:val="both"/>
      </w:pPr>
    </w:p>
    <w:p w:rsidR="00D15F27" w:rsidRDefault="00D15F27" w:rsidP="00C43D86">
      <w:pPr>
        <w:pStyle w:val="Ttulo1"/>
        <w:numPr>
          <w:ilvl w:val="1"/>
          <w:numId w:val="2"/>
        </w:numPr>
      </w:pPr>
      <w:bookmarkStart w:id="423" w:name="_Toc426558531"/>
      <w:bookmarkStart w:id="424" w:name="_Toc426559275"/>
      <w:r>
        <w:t>VICEPRESIDENCIA DE PLANEACIÓN, RIESGOS Y ENTORNO</w:t>
      </w:r>
      <w:bookmarkEnd w:id="59"/>
      <w:bookmarkEnd w:id="60"/>
      <w:bookmarkEnd w:id="61"/>
      <w:bookmarkEnd w:id="62"/>
      <w:bookmarkEnd w:id="63"/>
      <w:bookmarkEnd w:id="423"/>
      <w:bookmarkEnd w:id="424"/>
    </w:p>
    <w:p w:rsidR="004D2A8A" w:rsidRPr="00180844" w:rsidRDefault="004D2A8A" w:rsidP="0086211C"/>
    <w:p w:rsidR="009A39D9" w:rsidRPr="0086211C" w:rsidRDefault="009A39D9" w:rsidP="0086211C">
      <w:pPr>
        <w:rPr>
          <w:color w:val="00B0F0"/>
        </w:rPr>
      </w:pPr>
      <w:bookmarkStart w:id="425" w:name="_Toc357434724"/>
      <w:r w:rsidRPr="0086211C">
        <w:rPr>
          <w:b/>
          <w:color w:val="00B0F0"/>
          <w:sz w:val="26"/>
          <w:szCs w:val="26"/>
        </w:rPr>
        <w:t>Grupo Interno de Trabajo de Planeación</w:t>
      </w:r>
      <w:bookmarkEnd w:id="425"/>
    </w:p>
    <w:p w:rsidR="00165EE4" w:rsidRPr="00D35044" w:rsidRDefault="00165EE4" w:rsidP="00165EE4">
      <w:pPr>
        <w:jc w:val="both"/>
      </w:pPr>
      <w:r w:rsidRPr="00D35044">
        <w:t xml:space="preserve">La Gerencia de Planeación, durante el </w:t>
      </w:r>
      <w:r w:rsidR="009B5496" w:rsidRPr="00D35044">
        <w:t>Segundo</w:t>
      </w:r>
      <w:r w:rsidRPr="00D35044">
        <w:t xml:space="preserve"> trimestre de la vigencia ha desarrollado las actividades asignadas en el Decreto de creación de la Agencia; dichas actividades se clasifican de la siguiente manera:</w:t>
      </w:r>
    </w:p>
    <w:p w:rsidR="009A39D9" w:rsidRPr="00D35044"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D978B6" w:rsidRPr="00D35044" w:rsidTr="00461588">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ACTIVIDAD</w:t>
            </w:r>
          </w:p>
        </w:tc>
        <w:tc>
          <w:tcPr>
            <w:tcW w:w="1612" w:type="dxa"/>
            <w:tcBorders>
              <w:top w:val="single" w:sz="4" w:space="0" w:color="auto"/>
              <w:left w:val="nil"/>
              <w:bottom w:val="single" w:sz="4" w:space="0" w:color="auto"/>
              <w:right w:val="single" w:sz="4" w:space="0" w:color="auto"/>
            </w:tcBorders>
            <w:shd w:val="clear" w:color="000000" w:fill="A5A5A5"/>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UNIDAD DE MEDIDA</w:t>
            </w:r>
          </w:p>
        </w:tc>
        <w:tc>
          <w:tcPr>
            <w:tcW w:w="1230" w:type="dxa"/>
            <w:tcBorders>
              <w:top w:val="single" w:sz="4" w:space="0" w:color="auto"/>
              <w:left w:val="nil"/>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META AÑO</w:t>
            </w:r>
          </w:p>
        </w:tc>
        <w:tc>
          <w:tcPr>
            <w:tcW w:w="1139"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Avance</w:t>
            </w:r>
          </w:p>
          <w:p w:rsidR="00D978B6" w:rsidRPr="00D35044" w:rsidRDefault="00D978B6" w:rsidP="00BA5D44">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 xml:space="preserve">Trimestre </w:t>
            </w:r>
            <w:r w:rsidR="00BA5D44">
              <w:rPr>
                <w:rFonts w:eastAsia="Times New Roman" w:cs="Calibri"/>
                <w:b/>
                <w:bCs/>
                <w:color w:val="000000"/>
                <w:sz w:val="20"/>
                <w:szCs w:val="20"/>
              </w:rPr>
              <w:t>2</w:t>
            </w:r>
          </w:p>
        </w:tc>
      </w:tr>
      <w:tr w:rsidR="00D978B6"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D978B6" w:rsidRPr="00072D62" w:rsidRDefault="00072D62" w:rsidP="00072D62">
            <w:pPr>
              <w:rPr>
                <w:rFonts w:ascii="Calibri" w:hAnsi="Calibri" w:cs="Calibri"/>
                <w:sz w:val="16"/>
                <w:szCs w:val="16"/>
              </w:rPr>
            </w:pPr>
            <w:r>
              <w:rPr>
                <w:rFonts w:ascii="Calibri" w:hAnsi="Calibri" w:cs="Calibri"/>
                <w:sz w:val="16"/>
                <w:szCs w:val="16"/>
              </w:rPr>
              <w:t>Elaborar el  Anteproyecto de presupuesto 2016</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D978B6"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Documento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D978B6"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D978B6"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w:t>
            </w:r>
          </w:p>
        </w:tc>
      </w:tr>
      <w:tr w:rsidR="00D978B6" w:rsidRPr="00D35044" w:rsidTr="00BA5D44">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tcPr>
          <w:p w:rsidR="00D978B6" w:rsidRPr="00072D62" w:rsidRDefault="00072D62" w:rsidP="00072D62">
            <w:pPr>
              <w:rPr>
                <w:rFonts w:ascii="Calibri" w:hAnsi="Calibri" w:cs="Calibri"/>
                <w:sz w:val="16"/>
                <w:szCs w:val="16"/>
              </w:rPr>
            </w:pPr>
            <w:r>
              <w:rPr>
                <w:rFonts w:ascii="Calibri" w:hAnsi="Calibri" w:cs="Calibri"/>
                <w:sz w:val="16"/>
                <w:szCs w:val="16"/>
              </w:rPr>
              <w:t>Realizar Tramites Presupuestales - Proyectos Nuevos</w:t>
            </w:r>
          </w:p>
        </w:tc>
        <w:tc>
          <w:tcPr>
            <w:tcW w:w="1612" w:type="dxa"/>
            <w:tcBorders>
              <w:top w:val="nil"/>
              <w:left w:val="nil"/>
              <w:bottom w:val="single" w:sz="4" w:space="0" w:color="auto"/>
              <w:right w:val="single" w:sz="4" w:space="0" w:color="auto"/>
            </w:tcBorders>
            <w:shd w:val="clear" w:color="auto" w:fill="auto"/>
            <w:noWrap/>
            <w:vAlign w:val="center"/>
          </w:tcPr>
          <w:p w:rsidR="00D978B6" w:rsidRPr="00072D62" w:rsidRDefault="00072D62" w:rsidP="00072D62">
            <w:pPr>
              <w:jc w:val="center"/>
              <w:rPr>
                <w:rFonts w:ascii="Calibri" w:hAnsi="Calibri" w:cs="Calibri"/>
                <w:sz w:val="16"/>
                <w:szCs w:val="16"/>
              </w:rPr>
            </w:pPr>
            <w:r>
              <w:rPr>
                <w:rFonts w:ascii="Calibri" w:hAnsi="Calibri" w:cs="Calibri"/>
                <w:sz w:val="16"/>
                <w:szCs w:val="16"/>
              </w:rPr>
              <w:t>Tramite</w:t>
            </w:r>
          </w:p>
        </w:tc>
        <w:tc>
          <w:tcPr>
            <w:tcW w:w="1230" w:type="dxa"/>
            <w:tcBorders>
              <w:top w:val="nil"/>
              <w:left w:val="nil"/>
              <w:bottom w:val="single" w:sz="4" w:space="0" w:color="auto"/>
              <w:right w:val="single" w:sz="4" w:space="0" w:color="auto"/>
            </w:tcBorders>
            <w:shd w:val="clear" w:color="auto" w:fill="auto"/>
            <w:noWrap/>
            <w:vAlign w:val="center"/>
          </w:tcPr>
          <w:p w:rsidR="00D978B6"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6</w:t>
            </w:r>
          </w:p>
        </w:tc>
        <w:tc>
          <w:tcPr>
            <w:tcW w:w="1139" w:type="dxa"/>
            <w:tcBorders>
              <w:top w:val="nil"/>
              <w:left w:val="nil"/>
              <w:bottom w:val="single" w:sz="4" w:space="0" w:color="auto"/>
              <w:right w:val="single" w:sz="4" w:space="0" w:color="auto"/>
            </w:tcBorders>
            <w:shd w:val="clear" w:color="auto" w:fill="auto"/>
            <w:noWrap/>
            <w:vAlign w:val="center"/>
          </w:tcPr>
          <w:p w:rsidR="00D978B6"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3</w:t>
            </w:r>
          </w:p>
        </w:tc>
      </w:tr>
      <w:tr w:rsidR="00D978B6" w:rsidRPr="00D35044" w:rsidTr="00BA5D44">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tcPr>
          <w:p w:rsidR="00D978B6" w:rsidRPr="00D35044" w:rsidRDefault="00072D62" w:rsidP="00072D62">
            <w:pPr>
              <w:rPr>
                <w:rFonts w:eastAsia="Times New Roman" w:cs="Calibri"/>
                <w:color w:val="000000"/>
                <w:sz w:val="20"/>
                <w:szCs w:val="20"/>
              </w:rPr>
            </w:pPr>
            <w:r>
              <w:rPr>
                <w:rFonts w:ascii="Calibri" w:hAnsi="Calibri" w:cs="Calibri"/>
                <w:sz w:val="16"/>
                <w:szCs w:val="16"/>
              </w:rPr>
              <w:t>Realizar Tramites Presupuestales - Proyectos existentes y del  área Administrativa</w:t>
            </w:r>
          </w:p>
        </w:tc>
        <w:tc>
          <w:tcPr>
            <w:tcW w:w="1612" w:type="dxa"/>
            <w:tcBorders>
              <w:top w:val="nil"/>
              <w:left w:val="nil"/>
              <w:bottom w:val="single" w:sz="4" w:space="0" w:color="auto"/>
              <w:right w:val="single" w:sz="4" w:space="0" w:color="auto"/>
            </w:tcBorders>
            <w:shd w:val="clear" w:color="auto" w:fill="auto"/>
            <w:noWrap/>
            <w:vAlign w:val="center"/>
          </w:tcPr>
          <w:p w:rsidR="00D978B6" w:rsidRPr="00072D62" w:rsidRDefault="00072D62" w:rsidP="00072D62">
            <w:pPr>
              <w:jc w:val="center"/>
              <w:rPr>
                <w:rFonts w:ascii="Calibri" w:hAnsi="Calibri" w:cs="Calibri"/>
                <w:sz w:val="16"/>
                <w:szCs w:val="16"/>
              </w:rPr>
            </w:pPr>
            <w:r>
              <w:rPr>
                <w:rFonts w:ascii="Calibri" w:hAnsi="Calibri" w:cs="Calibri"/>
                <w:sz w:val="16"/>
                <w:szCs w:val="16"/>
              </w:rPr>
              <w:t>Tramite</w:t>
            </w:r>
          </w:p>
        </w:tc>
        <w:tc>
          <w:tcPr>
            <w:tcW w:w="1230" w:type="dxa"/>
            <w:tcBorders>
              <w:top w:val="nil"/>
              <w:left w:val="nil"/>
              <w:bottom w:val="single" w:sz="4" w:space="0" w:color="auto"/>
              <w:right w:val="single" w:sz="4" w:space="0" w:color="auto"/>
            </w:tcBorders>
            <w:shd w:val="clear" w:color="auto" w:fill="auto"/>
            <w:noWrap/>
            <w:vAlign w:val="center"/>
          </w:tcPr>
          <w:p w:rsidR="00D978B6"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7</w:t>
            </w:r>
          </w:p>
        </w:tc>
        <w:tc>
          <w:tcPr>
            <w:tcW w:w="1139" w:type="dxa"/>
            <w:tcBorders>
              <w:top w:val="nil"/>
              <w:left w:val="nil"/>
              <w:bottom w:val="single" w:sz="4" w:space="0" w:color="auto"/>
              <w:right w:val="single" w:sz="4" w:space="0" w:color="auto"/>
            </w:tcBorders>
            <w:shd w:val="clear" w:color="auto" w:fill="auto"/>
            <w:noWrap/>
            <w:vAlign w:val="center"/>
          </w:tcPr>
          <w:p w:rsidR="00D978B6"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2</w:t>
            </w:r>
          </w:p>
        </w:tc>
      </w:tr>
      <w:tr w:rsidR="00461588" w:rsidRPr="00D35044" w:rsidTr="00BA5D44">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tcPr>
          <w:p w:rsidR="00461588" w:rsidRPr="00072D62" w:rsidRDefault="00072D62" w:rsidP="00072D62">
            <w:pPr>
              <w:rPr>
                <w:rFonts w:ascii="Calibri" w:hAnsi="Calibri" w:cs="Calibri"/>
                <w:sz w:val="16"/>
                <w:szCs w:val="16"/>
              </w:rPr>
            </w:pPr>
            <w:r>
              <w:rPr>
                <w:rFonts w:ascii="Calibri" w:hAnsi="Calibri" w:cs="Calibri"/>
                <w:sz w:val="16"/>
                <w:szCs w:val="16"/>
              </w:rPr>
              <w:t>Elaborar Documentos CONPES</w:t>
            </w:r>
          </w:p>
        </w:tc>
        <w:tc>
          <w:tcPr>
            <w:tcW w:w="1612" w:type="dxa"/>
            <w:tcBorders>
              <w:top w:val="nil"/>
              <w:left w:val="nil"/>
              <w:bottom w:val="single" w:sz="4" w:space="0" w:color="auto"/>
              <w:right w:val="single" w:sz="4" w:space="0" w:color="auto"/>
            </w:tcBorders>
            <w:shd w:val="clear" w:color="auto" w:fill="auto"/>
            <w:noWrap/>
            <w:vAlign w:val="center"/>
          </w:tcPr>
          <w:p w:rsidR="00461588" w:rsidRPr="00072D62" w:rsidRDefault="00072D62" w:rsidP="00072D62">
            <w:pPr>
              <w:jc w:val="center"/>
              <w:rPr>
                <w:rFonts w:ascii="Calibri" w:hAnsi="Calibri" w:cs="Calibri"/>
                <w:sz w:val="16"/>
                <w:szCs w:val="16"/>
              </w:rPr>
            </w:pPr>
            <w:r>
              <w:rPr>
                <w:rFonts w:ascii="Calibri" w:hAnsi="Calibri" w:cs="Calibri"/>
                <w:sz w:val="16"/>
                <w:szCs w:val="16"/>
              </w:rPr>
              <w:t>Documento</w:t>
            </w:r>
          </w:p>
        </w:tc>
        <w:tc>
          <w:tcPr>
            <w:tcW w:w="1230" w:type="dxa"/>
            <w:tcBorders>
              <w:top w:val="nil"/>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2</w:t>
            </w:r>
          </w:p>
        </w:tc>
        <w:tc>
          <w:tcPr>
            <w:tcW w:w="1139" w:type="dxa"/>
            <w:tcBorders>
              <w:top w:val="nil"/>
              <w:left w:val="nil"/>
              <w:bottom w:val="single" w:sz="4" w:space="0" w:color="auto"/>
              <w:right w:val="single" w:sz="4" w:space="0" w:color="auto"/>
            </w:tcBorders>
            <w:shd w:val="clear" w:color="auto" w:fill="auto"/>
            <w:noWrap/>
            <w:vAlign w:val="center"/>
          </w:tcPr>
          <w:p w:rsidR="00461588" w:rsidRPr="00D35044" w:rsidRDefault="00072D62" w:rsidP="00461588">
            <w:pPr>
              <w:spacing w:after="0" w:line="240" w:lineRule="auto"/>
              <w:jc w:val="center"/>
              <w:rPr>
                <w:rFonts w:eastAsia="Times New Roman" w:cs="Calibri"/>
                <w:color w:val="000000"/>
                <w:sz w:val="20"/>
                <w:szCs w:val="20"/>
              </w:rPr>
            </w:pPr>
            <w:r>
              <w:rPr>
                <w:rFonts w:eastAsia="Times New Roman" w:cs="Calibri"/>
                <w:color w:val="000000"/>
                <w:sz w:val="20"/>
                <w:szCs w:val="20"/>
              </w:rPr>
              <w:t>0</w:t>
            </w:r>
          </w:p>
        </w:tc>
      </w:tr>
      <w:tr w:rsidR="00461588" w:rsidRPr="00D35044" w:rsidTr="00BA5D44">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tcPr>
          <w:p w:rsidR="00461588" w:rsidRPr="00072D62" w:rsidRDefault="00072D62" w:rsidP="00072D62">
            <w:pPr>
              <w:rPr>
                <w:rFonts w:ascii="Calibri" w:hAnsi="Calibri" w:cs="Calibri"/>
                <w:sz w:val="16"/>
                <w:szCs w:val="16"/>
              </w:rPr>
            </w:pPr>
            <w:r>
              <w:rPr>
                <w:rFonts w:ascii="Calibri" w:hAnsi="Calibri" w:cs="Calibri"/>
                <w:sz w:val="16"/>
                <w:szCs w:val="16"/>
              </w:rPr>
              <w:t>Actualizar la información básica y seguimiento de proyectos (fichas  Presidencia, Presentaciones resumen</w:t>
            </w:r>
          </w:p>
        </w:tc>
        <w:tc>
          <w:tcPr>
            <w:tcW w:w="1612" w:type="dxa"/>
            <w:tcBorders>
              <w:top w:val="nil"/>
              <w:left w:val="nil"/>
              <w:bottom w:val="single" w:sz="4" w:space="0" w:color="auto"/>
              <w:right w:val="single" w:sz="4" w:space="0" w:color="auto"/>
            </w:tcBorders>
            <w:shd w:val="clear" w:color="auto" w:fill="auto"/>
            <w:noWrap/>
            <w:vAlign w:val="center"/>
          </w:tcPr>
          <w:p w:rsidR="00072D62" w:rsidRPr="00D35044" w:rsidRDefault="00072D62" w:rsidP="00072D62">
            <w:pPr>
              <w:spacing w:after="0" w:line="240" w:lineRule="auto"/>
              <w:jc w:val="center"/>
              <w:rPr>
                <w:rFonts w:eastAsia="Times New Roman" w:cs="Calibri"/>
                <w:color w:val="000000"/>
                <w:sz w:val="20"/>
                <w:szCs w:val="20"/>
              </w:rPr>
            </w:pPr>
            <w:r>
              <w:rPr>
                <w:rFonts w:eastAsia="Times New Roman" w:cs="Calibri"/>
                <w:color w:val="000000"/>
                <w:sz w:val="20"/>
                <w:szCs w:val="20"/>
              </w:rPr>
              <w:t>Documento</w:t>
            </w:r>
          </w:p>
        </w:tc>
        <w:tc>
          <w:tcPr>
            <w:tcW w:w="1230" w:type="dxa"/>
            <w:tcBorders>
              <w:top w:val="nil"/>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420</w:t>
            </w:r>
          </w:p>
        </w:tc>
        <w:tc>
          <w:tcPr>
            <w:tcW w:w="1139" w:type="dxa"/>
            <w:tcBorders>
              <w:top w:val="nil"/>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219</w:t>
            </w:r>
          </w:p>
        </w:tc>
      </w:tr>
      <w:tr w:rsidR="00461588" w:rsidRPr="00D35044" w:rsidTr="00BA5D44">
        <w:trPr>
          <w:trHeight w:val="255"/>
          <w:jc w:val="center"/>
        </w:trPr>
        <w:tc>
          <w:tcPr>
            <w:tcW w:w="4847" w:type="dxa"/>
            <w:tcBorders>
              <w:top w:val="nil"/>
              <w:left w:val="single" w:sz="4" w:space="0" w:color="auto"/>
              <w:bottom w:val="single" w:sz="4" w:space="0" w:color="auto"/>
              <w:right w:val="single" w:sz="4" w:space="0" w:color="auto"/>
            </w:tcBorders>
            <w:shd w:val="clear" w:color="auto" w:fill="auto"/>
            <w:vAlign w:val="center"/>
          </w:tcPr>
          <w:p w:rsidR="00461588" w:rsidRPr="00072D62" w:rsidRDefault="00072D62" w:rsidP="00072D62">
            <w:pPr>
              <w:rPr>
                <w:rFonts w:ascii="Calibri" w:hAnsi="Calibri" w:cs="Calibri"/>
                <w:sz w:val="16"/>
                <w:szCs w:val="16"/>
              </w:rPr>
            </w:pPr>
            <w:r>
              <w:rPr>
                <w:rFonts w:ascii="Calibri" w:hAnsi="Calibri" w:cs="Calibri"/>
                <w:sz w:val="16"/>
                <w:szCs w:val="16"/>
              </w:rPr>
              <w:t>Realizar el seguimiento al Plan de Acción Anual (Parcial, mensual y trimestral)</w:t>
            </w:r>
          </w:p>
        </w:tc>
        <w:tc>
          <w:tcPr>
            <w:tcW w:w="1612" w:type="dxa"/>
            <w:tcBorders>
              <w:top w:val="nil"/>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12</w:t>
            </w:r>
          </w:p>
        </w:tc>
        <w:tc>
          <w:tcPr>
            <w:tcW w:w="1139" w:type="dxa"/>
            <w:tcBorders>
              <w:top w:val="nil"/>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6</w:t>
            </w:r>
          </w:p>
        </w:tc>
      </w:tr>
      <w:tr w:rsidR="00461588"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461588" w:rsidRPr="00072D62" w:rsidRDefault="00072D62" w:rsidP="00072D62">
            <w:pPr>
              <w:rPr>
                <w:rFonts w:ascii="Calibri" w:hAnsi="Calibri" w:cs="Calibri"/>
                <w:sz w:val="16"/>
                <w:szCs w:val="16"/>
              </w:rPr>
            </w:pPr>
            <w:r>
              <w:rPr>
                <w:rFonts w:ascii="Calibri" w:hAnsi="Calibri" w:cs="Calibri"/>
                <w:sz w:val="16"/>
                <w:szCs w:val="16"/>
              </w:rPr>
              <w:t>Realizar el seguimiento a las metas del PND</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Informe Sismeg</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12</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461588"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6</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 xml:space="preserve">Realizar la actualización de Proyectos </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Proyecto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51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17</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Realizar el Seguimiento a proyectos en SPI</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Proyecto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204</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102</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Elaborar Informes de coyuntura y metas (ANI CÓMO VAMOS)</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12</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6</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lastRenderedPageBreak/>
              <w:t>Realizar el seguimiento y apoyo para la generación de la información estadística DANE</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Reunión</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4</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Realizar  eventos de Rendición de Cuentas a la Ciudadanía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Evento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2</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Actualizar y hacer seguimiento a la información de tráfico</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12</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7E59E1" w:rsidP="00D978B6">
            <w:pPr>
              <w:spacing w:after="0" w:line="240" w:lineRule="auto"/>
              <w:jc w:val="center"/>
              <w:rPr>
                <w:rFonts w:eastAsia="Times New Roman" w:cs="Calibri"/>
                <w:color w:val="000000"/>
                <w:sz w:val="20"/>
                <w:szCs w:val="20"/>
              </w:rPr>
            </w:pPr>
            <w:r>
              <w:rPr>
                <w:rFonts w:eastAsia="Times New Roman" w:cs="Calibri"/>
                <w:color w:val="000000"/>
                <w:sz w:val="20"/>
                <w:szCs w:val="20"/>
              </w:rPr>
              <w:t>6</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Realizar apoyo al desarrollo de las mesas de trabajo del sector en relación con los insumos y servicios para implementación de los proyectos 4G</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072D62">
            <w:pPr>
              <w:spacing w:after="0" w:line="240" w:lineRule="auto"/>
              <w:jc w:val="center"/>
              <w:rPr>
                <w:rFonts w:eastAsia="Times New Roman" w:cs="Calibri"/>
                <w:color w:val="000000"/>
                <w:sz w:val="20"/>
                <w:szCs w:val="20"/>
              </w:rPr>
            </w:pPr>
            <w:r>
              <w:rPr>
                <w:rFonts w:eastAsia="Times New Roman"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072D62">
            <w:pPr>
              <w:spacing w:after="0" w:line="240" w:lineRule="auto"/>
              <w:jc w:val="center"/>
              <w:rPr>
                <w:rFonts w:eastAsia="Times New Roman" w:cs="Calibri"/>
                <w:color w:val="000000"/>
                <w:sz w:val="20"/>
                <w:szCs w:val="20"/>
              </w:rPr>
            </w:pPr>
            <w:r>
              <w:rPr>
                <w:rFonts w:eastAsia="Times New Roman" w:cs="Calibri"/>
                <w:color w:val="000000"/>
                <w:sz w:val="20"/>
                <w:szCs w:val="20"/>
              </w:rPr>
              <w:t>12</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7E59E1" w:rsidP="00072D62">
            <w:pPr>
              <w:spacing w:after="0" w:line="240" w:lineRule="auto"/>
              <w:jc w:val="center"/>
              <w:rPr>
                <w:rFonts w:eastAsia="Times New Roman" w:cs="Calibri"/>
                <w:color w:val="000000"/>
                <w:sz w:val="20"/>
                <w:szCs w:val="20"/>
              </w:rPr>
            </w:pPr>
            <w:r>
              <w:rPr>
                <w:rFonts w:eastAsia="Times New Roman" w:cs="Calibri"/>
                <w:color w:val="000000"/>
                <w:sz w:val="20"/>
                <w:szCs w:val="20"/>
              </w:rPr>
              <w:t>6</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Apoyar el diseño y seguimiento de los planes sectoriales  y articularlos con los planes de la  Agencia</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Documento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4</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7E59E1" w:rsidP="00D978B6">
            <w:pPr>
              <w:spacing w:after="0" w:line="240" w:lineRule="auto"/>
              <w:jc w:val="center"/>
              <w:rPr>
                <w:rFonts w:eastAsia="Times New Roman" w:cs="Calibri"/>
                <w:color w:val="000000"/>
                <w:sz w:val="20"/>
                <w:szCs w:val="20"/>
              </w:rPr>
            </w:pPr>
            <w:r>
              <w:rPr>
                <w:rFonts w:eastAsia="Times New Roman" w:cs="Calibri"/>
                <w:color w:val="000000"/>
                <w:sz w:val="20"/>
                <w:szCs w:val="20"/>
              </w:rPr>
              <w:t>2</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Elaborar estudio sectorial del impacto fiscal del  concesiones 4G</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Documento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7E59E1" w:rsidP="00D978B6">
            <w:pPr>
              <w:spacing w:after="0" w:line="240" w:lineRule="auto"/>
              <w:jc w:val="center"/>
              <w:rPr>
                <w:rFonts w:eastAsia="Times New Roman" w:cs="Calibri"/>
                <w:color w:val="000000"/>
                <w:sz w:val="20"/>
                <w:szCs w:val="20"/>
              </w:rPr>
            </w:pPr>
            <w:r>
              <w:rPr>
                <w:rFonts w:eastAsia="Times New Roman" w:cs="Calibri"/>
                <w:color w:val="000000"/>
                <w:sz w:val="20"/>
                <w:szCs w:val="20"/>
              </w:rPr>
              <w:t>1</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Elaborar estudio para la regularización de las deudas.</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Documento</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1</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7E59E1" w:rsidP="00D978B6">
            <w:pPr>
              <w:spacing w:after="0" w:line="240" w:lineRule="auto"/>
              <w:jc w:val="center"/>
              <w:rPr>
                <w:rFonts w:eastAsia="Times New Roman" w:cs="Calibri"/>
                <w:color w:val="000000"/>
                <w:sz w:val="20"/>
                <w:szCs w:val="20"/>
              </w:rPr>
            </w:pPr>
            <w:r>
              <w:rPr>
                <w:rFonts w:eastAsia="Times New Roman" w:cs="Calibri"/>
                <w:color w:val="000000"/>
                <w:sz w:val="20"/>
                <w:szCs w:val="20"/>
              </w:rPr>
              <w:t>0</w:t>
            </w:r>
          </w:p>
        </w:tc>
      </w:tr>
      <w:tr w:rsidR="00BA5D44" w:rsidRPr="00D35044" w:rsidTr="00BA5D4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vAlign w:val="center"/>
          </w:tcPr>
          <w:p w:rsidR="00BA5D44" w:rsidRPr="00072D62" w:rsidRDefault="00072D62" w:rsidP="00072D62">
            <w:pPr>
              <w:rPr>
                <w:rFonts w:ascii="Calibri" w:hAnsi="Calibri" w:cs="Calibri"/>
                <w:sz w:val="16"/>
                <w:szCs w:val="16"/>
              </w:rPr>
            </w:pPr>
            <w:r>
              <w:rPr>
                <w:rFonts w:ascii="Calibri" w:hAnsi="Calibri" w:cs="Calibri"/>
                <w:sz w:val="16"/>
                <w:szCs w:val="16"/>
              </w:rPr>
              <w:t>Realizar el seguimiento Plan de Mejoramiento Institucional</w:t>
            </w:r>
          </w:p>
        </w:tc>
        <w:tc>
          <w:tcPr>
            <w:tcW w:w="1612"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Cargue Información</w:t>
            </w: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072D62" w:rsidP="00D978B6">
            <w:pPr>
              <w:spacing w:after="0" w:line="240" w:lineRule="auto"/>
              <w:jc w:val="center"/>
              <w:rPr>
                <w:rFonts w:eastAsia="Times New Roman" w:cs="Calibri"/>
                <w:color w:val="000000"/>
                <w:sz w:val="20"/>
                <w:szCs w:val="20"/>
              </w:rPr>
            </w:pPr>
            <w:r>
              <w:rPr>
                <w:rFonts w:eastAsia="Times New Roman" w:cs="Calibri"/>
                <w:color w:val="000000"/>
                <w:sz w:val="20"/>
                <w:szCs w:val="20"/>
              </w:rPr>
              <w:t>3</w:t>
            </w:r>
          </w:p>
        </w:tc>
        <w:tc>
          <w:tcPr>
            <w:tcW w:w="1139" w:type="dxa"/>
            <w:tcBorders>
              <w:top w:val="single" w:sz="4" w:space="0" w:color="auto"/>
              <w:left w:val="nil"/>
              <w:bottom w:val="single" w:sz="4" w:space="0" w:color="auto"/>
              <w:right w:val="single" w:sz="4" w:space="0" w:color="auto"/>
            </w:tcBorders>
            <w:shd w:val="clear" w:color="auto" w:fill="auto"/>
            <w:noWrap/>
            <w:vAlign w:val="center"/>
          </w:tcPr>
          <w:p w:rsidR="00BA5D44" w:rsidRPr="00D35044" w:rsidRDefault="007E59E1" w:rsidP="00D978B6">
            <w:pPr>
              <w:spacing w:after="0" w:line="240" w:lineRule="auto"/>
              <w:jc w:val="center"/>
              <w:rPr>
                <w:rFonts w:eastAsia="Times New Roman" w:cs="Calibri"/>
                <w:color w:val="000000"/>
                <w:sz w:val="20"/>
                <w:szCs w:val="20"/>
              </w:rPr>
            </w:pPr>
            <w:r>
              <w:rPr>
                <w:rFonts w:eastAsia="Times New Roman" w:cs="Calibri"/>
                <w:color w:val="000000"/>
                <w:sz w:val="20"/>
                <w:szCs w:val="20"/>
              </w:rPr>
              <w:t>14</w:t>
            </w:r>
          </w:p>
        </w:tc>
      </w:tr>
    </w:tbl>
    <w:p w:rsidR="00165EE4" w:rsidRPr="00D35044" w:rsidRDefault="00165EE4" w:rsidP="00165EE4">
      <w:pPr>
        <w:jc w:val="both"/>
      </w:pPr>
    </w:p>
    <w:p w:rsidR="00165EE4" w:rsidRPr="00D35044" w:rsidRDefault="007E59E1" w:rsidP="00165EE4">
      <w:pPr>
        <w:rPr>
          <w:color w:val="1F497D"/>
          <w:u w:val="single"/>
        </w:rPr>
      </w:pPr>
      <w:r>
        <w:rPr>
          <w:color w:val="1F497D"/>
          <w:u w:val="single"/>
        </w:rPr>
        <w:t xml:space="preserve">Seguimiento al </w:t>
      </w:r>
      <w:r w:rsidR="00165EE4" w:rsidRPr="00D35044">
        <w:rPr>
          <w:color w:val="1F497D"/>
          <w:u w:val="single"/>
        </w:rPr>
        <w:t xml:space="preserve"> Plan de Acción:</w:t>
      </w:r>
    </w:p>
    <w:p w:rsidR="00165EE4" w:rsidRPr="00D35044" w:rsidRDefault="00065CA8" w:rsidP="008225A6">
      <w:pPr>
        <w:jc w:val="both"/>
      </w:pPr>
      <w:r>
        <w:t>Durante el</w:t>
      </w:r>
      <w:r w:rsidR="00165EE4" w:rsidRPr="00D35044">
        <w:t xml:space="preserve"> </w:t>
      </w:r>
      <w:r w:rsidR="007E59E1">
        <w:t>segundo</w:t>
      </w:r>
      <w:r w:rsidR="00165EE4" w:rsidRPr="00D35044">
        <w:t xml:space="preserve"> trimestre, </w:t>
      </w:r>
      <w:r w:rsidR="00D35C10" w:rsidRPr="00D35044">
        <w:t>se ha realizado el seguimiento al Plan de Acción, para tal fin de manera coordinada con las diferentes dependencias permanentemente se han revisado y ajustado las acciones propuestas por cada una de ellas; así mismo, una vez se han oficializado las modificaciones, se ha procedido a modificar el Plan Anual de Adquisiciones con el fin de ser publicado</w:t>
      </w:r>
      <w:r w:rsidR="008225A6" w:rsidRPr="00D35044">
        <w:t xml:space="preserve"> en el SECOP y la Página WEB de la Agencia. </w:t>
      </w:r>
      <w:r w:rsidR="007E59E1">
        <w:t>En el periodo en mención también se han realizado reuniones con la empresa encargada de desarrollar el software para el mencionado plan con el fin de realizar los ajustes pertinentes. Por otra parte en el periodo se realizó una revisión de las alineación de las actividades con el Plan Estratégico, como resultado de tal actividad se remitió a cada dependencia las observaciones pertinentes, las diferentes áreas realizaros los ajustes pertinente los cuales de ven reflejados en la matriz de planeación estratégica.</w:t>
      </w:r>
    </w:p>
    <w:p w:rsidR="00165EE4" w:rsidRPr="00D35044" w:rsidRDefault="00165EE4" w:rsidP="00165EE4">
      <w:pPr>
        <w:rPr>
          <w:color w:val="1F497D"/>
          <w:u w:val="single"/>
        </w:rPr>
      </w:pPr>
      <w:r w:rsidRPr="00D35044">
        <w:rPr>
          <w:color w:val="1F497D"/>
          <w:u w:val="single"/>
        </w:rPr>
        <w:t>Presupuesto y Trámites Presupuestales:</w:t>
      </w:r>
    </w:p>
    <w:p w:rsidR="001B1BA7" w:rsidRDefault="00350389" w:rsidP="00355392">
      <w:pPr>
        <w:spacing w:after="0" w:line="240" w:lineRule="auto"/>
        <w:jc w:val="both"/>
      </w:pPr>
      <w:r w:rsidRPr="00D35044">
        <w:t xml:space="preserve">Durante el </w:t>
      </w:r>
      <w:r w:rsidR="001F5ED1">
        <w:t>segundo</w:t>
      </w:r>
      <w:r w:rsidR="008225A6" w:rsidRPr="00D35044">
        <w:t xml:space="preserve"> </w:t>
      </w:r>
      <w:r w:rsidRPr="00D35044">
        <w:t xml:space="preserve">trimestre </w:t>
      </w:r>
      <w:r w:rsidR="008225A6" w:rsidRPr="00D35044">
        <w:t>se continuó con el proceso de programación presupuestal para la vigencia 201</w:t>
      </w:r>
      <w:r w:rsidR="001F5ED1">
        <w:t>6</w:t>
      </w:r>
      <w:r w:rsidR="008225A6" w:rsidRPr="00D35044">
        <w:t xml:space="preserve"> para tal fin se realizaron diferentes eje</w:t>
      </w:r>
      <w:r w:rsidR="008E15BD" w:rsidRPr="00D35044">
        <w:t>r</w:t>
      </w:r>
      <w:r w:rsidR="008225A6" w:rsidRPr="00D35044">
        <w:t>cicios con el fin de priorizar recursos para dicha vigencia, se revisó el Marco Fiscal de Mediano Plazo ajustándolo a la cuota establecida por el DNP</w:t>
      </w:r>
      <w:r w:rsidR="008E15BD" w:rsidRPr="00D35044">
        <w:t>, se asistió a las diferentes reuniones sectoriales organizadas por el Ministerio de Transporte y por el Ministerio de Hacienda.</w:t>
      </w:r>
      <w:r w:rsidR="00A9382D" w:rsidRPr="00D35044">
        <w:t xml:space="preserve"> En cuanto a los trámites presupuestales </w:t>
      </w:r>
      <w:r w:rsidR="001B1BA7">
        <w:t>s</w:t>
      </w:r>
      <w:r w:rsidR="001B1BA7" w:rsidRPr="001B1BA7">
        <w:t xml:space="preserve">e </w:t>
      </w:r>
      <w:r w:rsidR="001F5ED1">
        <w:t xml:space="preserve">realizó </w:t>
      </w:r>
      <w:r w:rsidR="001B1BA7" w:rsidRPr="001B1BA7">
        <w:t xml:space="preserve">el trámite de </w:t>
      </w:r>
      <w:r w:rsidR="001F5ED1">
        <w:t>solicitud de v</w:t>
      </w:r>
      <w:r w:rsidR="001B1BA7" w:rsidRPr="001B1BA7">
        <w:t xml:space="preserve">igencias futuras para el Proyecto </w:t>
      </w:r>
      <w:r w:rsidR="001F5ED1">
        <w:t>Mar 2.</w:t>
      </w:r>
    </w:p>
    <w:p w:rsidR="001F5ED1" w:rsidRDefault="001F5ED1" w:rsidP="001F5ED1">
      <w:pPr>
        <w:spacing w:after="0" w:line="240" w:lineRule="auto"/>
        <w:ind w:left="360"/>
        <w:jc w:val="both"/>
      </w:pPr>
    </w:p>
    <w:p w:rsidR="00165EE4" w:rsidRPr="00D35044" w:rsidRDefault="00165EE4" w:rsidP="001B1BA7">
      <w:pPr>
        <w:jc w:val="both"/>
        <w:rPr>
          <w:color w:val="1F497D"/>
          <w:u w:val="single"/>
        </w:rPr>
      </w:pPr>
      <w:r w:rsidRPr="00D35044">
        <w:rPr>
          <w:color w:val="1F497D"/>
        </w:rPr>
        <w:t> </w:t>
      </w:r>
      <w:r w:rsidRPr="00D35044">
        <w:rPr>
          <w:color w:val="1F497D"/>
          <w:u w:val="single"/>
        </w:rPr>
        <w:t>Sistema de Gestión de Calidad:</w:t>
      </w:r>
    </w:p>
    <w:p w:rsidR="00197520" w:rsidRDefault="002D5660" w:rsidP="00355392">
      <w:pPr>
        <w:spacing w:after="0"/>
        <w:jc w:val="both"/>
      </w:pPr>
      <w:r w:rsidRPr="00197520">
        <w:t xml:space="preserve">En el </w:t>
      </w:r>
      <w:r w:rsidR="00197520" w:rsidRPr="00197520">
        <w:t xml:space="preserve">segundo </w:t>
      </w:r>
      <w:r w:rsidRPr="00197520">
        <w:t xml:space="preserve">trimestre, </w:t>
      </w:r>
      <w:r w:rsidR="00197520" w:rsidRPr="00197520">
        <w:t>Se elaboró un documento con el Acuerdo Nivel De Servicio para la Bitácora De Proyecto el cual se envía adjunto con el nombre de “ANS-bitacora”</w:t>
      </w:r>
      <w:r w:rsidR="00197520">
        <w:t xml:space="preserve">, así mismo </w:t>
      </w:r>
      <w:r w:rsidR="00197520" w:rsidRPr="00355392">
        <w:rPr>
          <w:rFonts w:cstheme="minorHAnsi"/>
        </w:rPr>
        <w:t xml:space="preserve">Para </w:t>
      </w:r>
      <w:r w:rsidR="00197520" w:rsidRPr="00197520">
        <w:t>la identificación de necesidades de documentación del Decreto 4165 se realizó una matriz de interrelación entre este con los documentos oficiales que están publicado en la intranet</w:t>
      </w:r>
      <w:r w:rsidR="00197520">
        <w:t xml:space="preserve">. De igual </w:t>
      </w:r>
      <w:r w:rsidR="00197520">
        <w:lastRenderedPageBreak/>
        <w:t xml:space="preserve">manera se ha avanzado en la parametrización del software de gestión de calidad, a la fecha se tiene la parametrización de los módulos de </w:t>
      </w:r>
      <w:r w:rsidR="00197520" w:rsidRPr="00355392">
        <w:rPr>
          <w:rFonts w:eastAsia="Times New Roman" w:cstheme="minorHAnsi"/>
          <w:sz w:val="24"/>
          <w:szCs w:val="24"/>
        </w:rPr>
        <w:t>1</w:t>
      </w:r>
      <w:r w:rsidR="00197520" w:rsidRPr="00197520">
        <w:t>. Actas, 2. Documentos, 3. Auditorias, 4. Planes de Mejoramiento 5. Producto No conforme y 6. MECI</w:t>
      </w:r>
      <w:r w:rsidR="00197520">
        <w:t>.</w:t>
      </w:r>
    </w:p>
    <w:p w:rsidR="00197520" w:rsidRDefault="00197520" w:rsidP="00197520">
      <w:pPr>
        <w:pStyle w:val="Prrafodelista"/>
        <w:spacing w:after="0"/>
        <w:ind w:left="360"/>
        <w:jc w:val="both"/>
      </w:pPr>
    </w:p>
    <w:p w:rsidR="00197520" w:rsidRPr="00197520" w:rsidRDefault="00197520" w:rsidP="00355392">
      <w:pPr>
        <w:spacing w:after="0"/>
        <w:jc w:val="both"/>
      </w:pPr>
      <w:r>
        <w:t>En cuanto a la Gestión de Conocimiento s</w:t>
      </w:r>
      <w:r w:rsidRPr="00197520">
        <w:t>e realizó una Feria del conocimiento con la participación de todas Áreas de la ANI, en donde cada una de ellas exponía su Gestión, logros obtenidos y metas alcanzadas  a 2014 y retos y metas a 2015, entre otros temas importantes, este evento se llevó a cabo los días 14 y 15 de abril de 2015 en el piso 8 de la torre 3. Y conto con la participación de 490 personas aproximadamente.</w:t>
      </w:r>
      <w:r w:rsidR="000E6BCA">
        <w:t xml:space="preserve"> </w:t>
      </w:r>
    </w:p>
    <w:p w:rsidR="00197520" w:rsidRPr="00197520" w:rsidRDefault="00197520" w:rsidP="00197520">
      <w:pPr>
        <w:pStyle w:val="Prrafodelista"/>
        <w:spacing w:after="0"/>
        <w:ind w:left="360"/>
        <w:jc w:val="both"/>
      </w:pPr>
    </w:p>
    <w:p w:rsidR="00197520" w:rsidRPr="00197520" w:rsidRDefault="00197520" w:rsidP="00197520">
      <w:pPr>
        <w:jc w:val="both"/>
      </w:pPr>
    </w:p>
    <w:p w:rsidR="00165EE4" w:rsidRPr="00D35044" w:rsidRDefault="00165EE4" w:rsidP="00197520">
      <w:pPr>
        <w:jc w:val="both"/>
        <w:rPr>
          <w:color w:val="1F497D"/>
          <w:u w:val="single"/>
        </w:rPr>
      </w:pPr>
      <w:r w:rsidRPr="00D35044">
        <w:rPr>
          <w:color w:val="1F497D"/>
          <w:u w:val="single"/>
        </w:rPr>
        <w:t>Plan Anticorrupción y Atención al Ciudadano:</w:t>
      </w:r>
    </w:p>
    <w:p w:rsidR="003F6802" w:rsidRDefault="00165EE4" w:rsidP="00681CE4">
      <w:pPr>
        <w:jc w:val="both"/>
      </w:pPr>
      <w:r w:rsidRPr="00D35044">
        <w:t>D</w:t>
      </w:r>
      <w:r w:rsidR="00C441D2">
        <w:t>urante este</w:t>
      </w:r>
      <w:r w:rsidRPr="00D35044">
        <w:t xml:space="preserve"> </w:t>
      </w:r>
      <w:r w:rsidR="002D5660" w:rsidRPr="00D35044">
        <w:t xml:space="preserve">trimestre </w:t>
      </w:r>
      <w:r w:rsidRPr="00D35044">
        <w:t xml:space="preserve">del año, </w:t>
      </w:r>
      <w:r w:rsidR="003F6802" w:rsidRPr="00D35044">
        <w:t xml:space="preserve">se realizó el seguimiento </w:t>
      </w:r>
      <w:r w:rsidR="00681CE4">
        <w:t>en conjunto con la Oficina de Control Interno se realizó el levantamiento de las evidencias que sustentas los avances en el mencionado Plan.</w:t>
      </w:r>
    </w:p>
    <w:p w:rsidR="00D96371" w:rsidRDefault="00D96371" w:rsidP="00D96371">
      <w:pPr>
        <w:jc w:val="both"/>
      </w:pPr>
      <w:bookmarkStart w:id="426" w:name="_Toc357434725"/>
      <w:r>
        <w:t>Adicionalmente, el Grupo de Planeación dentro de sus actividades realiza la consolidación de la información para las matrices de seguimiento elaboradas por el Ministerio de Transporte y presidencia de la República, así mismo, se elabora mensualmente el boletín ANI COMO VAMOS, el cual sirve de insumo para la toma de decisiones de la Alta Gerencia, como actividad paralela, de manera permanente se actualizan las fichas departamentales, las cuales sirven de insumo para la elaboración de los diferentes informes solicitados a la dependencia.</w:t>
      </w:r>
    </w:p>
    <w:p w:rsidR="00C441D2" w:rsidRDefault="00C441D2" w:rsidP="00D96371">
      <w:pPr>
        <w:jc w:val="both"/>
      </w:pPr>
      <w:r>
        <w:t>Adicionalmente a lo anterior, la Gerencia viene trabajando de la mano con la Vicepresidencia de Estructuración y el GIT de Riesgos en la actualización de la matriz que contiene el perfil de aportes para los proyectos APP, así como en todos los documentos requeridos para la presentación ates el CONFIS y CONPES de la financiación de la tercera Ola de proyectos 4G.</w:t>
      </w:r>
    </w:p>
    <w:p w:rsidR="0038369D" w:rsidRDefault="0038369D" w:rsidP="00D96371">
      <w:pPr>
        <w:jc w:val="both"/>
      </w:pPr>
      <w:r>
        <w:t>Por otra parte y como apoyo al desarrollo de los proyectos de Cuarta Generación, desde la Gerencia se ha venido coordinando la estrategia de participación en mesas sectoriales, las cuales buscan generar encadenamientos entre el sector productivo y los concesionarios, con el fin de que productores y consumidores coordinen sus gestiones. Es así como se han realizado mesas de trabajo en el sector de textiles, agregados para la construcción, acero y concreto. De igual manera se ha trabajado en la reglamentación para el tratamiento del caucho de la llanta recicladas, para tal fin se han realizado acercamientos entre los productores de llantas y los posibles consumidores de los residuos de estas.</w:t>
      </w:r>
    </w:p>
    <w:p w:rsidR="001B3A96" w:rsidRPr="00D35044" w:rsidRDefault="001B3A96" w:rsidP="001B3A96">
      <w:pPr>
        <w:jc w:val="both"/>
        <w:rPr>
          <w:color w:val="1F497D"/>
          <w:u w:val="single"/>
        </w:rPr>
      </w:pPr>
      <w:r>
        <w:rPr>
          <w:color w:val="1F497D"/>
          <w:u w:val="single"/>
        </w:rPr>
        <w:t>Seguimiento y apoyo para la generación de la información estadística del DANE</w:t>
      </w:r>
    </w:p>
    <w:p w:rsidR="001B3A96" w:rsidRDefault="001B3A96" w:rsidP="00D96371">
      <w:pPr>
        <w:jc w:val="both"/>
      </w:pPr>
      <w:r>
        <w:t>Durante el segundo trimestre s</w:t>
      </w:r>
      <w:r w:rsidRPr="001B3A96">
        <w:t>e realizó la recopilación y análisis de la inversión ejecutada por las concesiones viales, férreas, portuarias y aeroportuarias</w:t>
      </w:r>
      <w:r>
        <w:t xml:space="preserve"> así como la </w:t>
      </w:r>
      <w:r w:rsidRPr="001B3A96">
        <w:t>recolec</w:t>
      </w:r>
      <w:r>
        <w:t>ción y aná</w:t>
      </w:r>
      <w:r w:rsidRPr="001B3A96">
        <w:t>li</w:t>
      </w:r>
      <w:r>
        <w:t>sis</w:t>
      </w:r>
      <w:r w:rsidRPr="001B3A96">
        <w:t xml:space="preserve"> la inversión </w:t>
      </w:r>
      <w:r w:rsidRPr="001B3A96">
        <w:lastRenderedPageBreak/>
        <w:t>del Indicador de Inversión de Obras Civiles del DANE para el primer trimestre de 2015, el cual fue publicado en</w:t>
      </w:r>
      <w:r>
        <w:t xml:space="preserve"> el mes de</w:t>
      </w:r>
      <w:r w:rsidRPr="001B3A96">
        <w:t xml:space="preserve"> junio</w:t>
      </w:r>
      <w:r>
        <w:t>.</w:t>
      </w:r>
    </w:p>
    <w:p w:rsidR="001B3A96" w:rsidRDefault="001B3A96" w:rsidP="00D96371">
      <w:pPr>
        <w:jc w:val="both"/>
      </w:pPr>
      <w:r>
        <w:t>Por otra parte, s</w:t>
      </w:r>
      <w:r w:rsidRPr="001B3A96">
        <w:t xml:space="preserve">e llevó acabo reunión entre la ANI y el DANE (DIMPE) el día 04 de junio de 2015 con el fin de analizar el comportamiento de la inversión ejecutada por las concesiones de los distintos modos de transporte a cargo de la ANI para </w:t>
      </w:r>
      <w:r>
        <w:t>d</w:t>
      </w:r>
      <w:r w:rsidRPr="001B3A96">
        <w:t>el primer trimestre. En esta reunión se realizó una revisión exhaustiva de la información reportada por los concesionarios con relación a la inversión ejecutada para el primer trimestre.</w:t>
      </w:r>
    </w:p>
    <w:p w:rsidR="009A39D9" w:rsidRPr="00D35044" w:rsidRDefault="009A39D9" w:rsidP="0086211C">
      <w:pPr>
        <w:rPr>
          <w:color w:val="00B0F0"/>
        </w:rPr>
      </w:pPr>
      <w:r w:rsidRPr="00D35044">
        <w:rPr>
          <w:b/>
          <w:color w:val="00B0F0"/>
          <w:sz w:val="26"/>
          <w:szCs w:val="26"/>
        </w:rPr>
        <w:t>Grupo Interno de Trabajo de Riesgos</w:t>
      </w:r>
      <w:bookmarkEnd w:id="426"/>
    </w:p>
    <w:p w:rsidR="009A39D9" w:rsidRPr="00D35044"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p w:rsidR="00AE7AF6" w:rsidRPr="00D35044" w:rsidRDefault="00AE7AF6"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0" w:type="auto"/>
        <w:jc w:val="center"/>
        <w:tblCellMar>
          <w:left w:w="70" w:type="dxa"/>
          <w:right w:w="70" w:type="dxa"/>
        </w:tblCellMar>
        <w:tblLook w:val="04A0" w:firstRow="1" w:lastRow="0" w:firstColumn="1" w:lastColumn="0" w:noHBand="0" w:noVBand="1"/>
      </w:tblPr>
      <w:tblGrid>
        <w:gridCol w:w="4881"/>
        <w:gridCol w:w="1581"/>
        <w:gridCol w:w="1187"/>
        <w:gridCol w:w="1179"/>
      </w:tblGrid>
      <w:tr w:rsidR="00D978B6" w:rsidRPr="00D35044" w:rsidTr="005F5C35">
        <w:trPr>
          <w:trHeight w:val="255"/>
          <w:jc w:val="center"/>
        </w:trPr>
        <w:tc>
          <w:tcPr>
            <w:tcW w:w="491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D978B6" w:rsidRPr="00160F68" w:rsidRDefault="00D978B6" w:rsidP="00D978B6">
            <w:pPr>
              <w:spacing w:after="0" w:line="240" w:lineRule="auto"/>
              <w:jc w:val="center"/>
              <w:rPr>
                <w:rFonts w:eastAsia="Times New Roman" w:cstheme="minorHAnsi"/>
                <w:b/>
                <w:bCs/>
                <w:color w:val="000000"/>
                <w:sz w:val="20"/>
              </w:rPr>
            </w:pPr>
            <w:r w:rsidRPr="00160F68">
              <w:rPr>
                <w:rFonts w:eastAsia="Times New Roman" w:cstheme="minorHAnsi"/>
                <w:b/>
                <w:bCs/>
                <w:color w:val="000000"/>
                <w:sz w:val="20"/>
              </w:rPr>
              <w:t>ACTIVIDAD</w:t>
            </w:r>
          </w:p>
        </w:tc>
        <w:tc>
          <w:tcPr>
            <w:tcW w:w="1540" w:type="dxa"/>
            <w:tcBorders>
              <w:top w:val="single" w:sz="4" w:space="0" w:color="auto"/>
              <w:left w:val="nil"/>
              <w:bottom w:val="single" w:sz="4" w:space="0" w:color="auto"/>
              <w:right w:val="single" w:sz="4" w:space="0" w:color="auto"/>
            </w:tcBorders>
            <w:shd w:val="clear" w:color="000000" w:fill="A5A5A5"/>
            <w:vAlign w:val="center"/>
            <w:hideMark/>
          </w:tcPr>
          <w:p w:rsidR="00D978B6" w:rsidRPr="00160F68" w:rsidRDefault="00D978B6" w:rsidP="00D978B6">
            <w:pPr>
              <w:spacing w:after="0" w:line="240" w:lineRule="auto"/>
              <w:jc w:val="center"/>
              <w:rPr>
                <w:rFonts w:eastAsia="Times New Roman" w:cstheme="minorHAnsi"/>
                <w:b/>
                <w:bCs/>
                <w:color w:val="000000"/>
                <w:sz w:val="20"/>
              </w:rPr>
            </w:pPr>
            <w:r w:rsidRPr="00160F68">
              <w:rPr>
                <w:rFonts w:eastAsia="Times New Roman" w:cstheme="minorHAnsi"/>
                <w:b/>
                <w:bCs/>
                <w:color w:val="000000"/>
                <w:sz w:val="20"/>
              </w:rPr>
              <w:t>UNIDAD DE MEDIDA</w:t>
            </w:r>
          </w:p>
        </w:tc>
        <w:tc>
          <w:tcPr>
            <w:tcW w:w="1193" w:type="dxa"/>
            <w:tcBorders>
              <w:top w:val="single" w:sz="4" w:space="0" w:color="auto"/>
              <w:left w:val="nil"/>
              <w:bottom w:val="single" w:sz="4" w:space="0" w:color="auto"/>
              <w:right w:val="single" w:sz="4" w:space="0" w:color="auto"/>
            </w:tcBorders>
            <w:shd w:val="clear" w:color="000000" w:fill="A5A5A5"/>
            <w:noWrap/>
            <w:vAlign w:val="center"/>
            <w:hideMark/>
          </w:tcPr>
          <w:p w:rsidR="00D978B6" w:rsidRPr="00160F68" w:rsidRDefault="00D978B6" w:rsidP="00D978B6">
            <w:pPr>
              <w:spacing w:after="0" w:line="240" w:lineRule="auto"/>
              <w:jc w:val="center"/>
              <w:rPr>
                <w:rFonts w:eastAsia="Times New Roman" w:cstheme="minorHAnsi"/>
                <w:b/>
                <w:bCs/>
                <w:color w:val="000000"/>
                <w:sz w:val="20"/>
              </w:rPr>
            </w:pPr>
            <w:r w:rsidRPr="00160F68">
              <w:rPr>
                <w:rFonts w:eastAsia="Times New Roman" w:cstheme="minorHAnsi"/>
                <w:b/>
                <w:bCs/>
                <w:color w:val="000000"/>
                <w:sz w:val="20"/>
              </w:rPr>
              <w:t>META AÑO</w:t>
            </w:r>
          </w:p>
        </w:tc>
        <w:tc>
          <w:tcPr>
            <w:tcW w:w="1185"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D978B6" w:rsidRPr="00160F68" w:rsidRDefault="00D978B6" w:rsidP="00D978B6">
            <w:pPr>
              <w:spacing w:after="0" w:line="240" w:lineRule="auto"/>
              <w:jc w:val="center"/>
              <w:rPr>
                <w:rFonts w:eastAsia="Times New Roman" w:cstheme="minorHAnsi"/>
                <w:b/>
                <w:bCs/>
                <w:color w:val="000000"/>
                <w:sz w:val="20"/>
              </w:rPr>
            </w:pPr>
            <w:r w:rsidRPr="00160F68">
              <w:rPr>
                <w:rFonts w:eastAsia="Times New Roman" w:cstheme="minorHAnsi"/>
                <w:b/>
                <w:bCs/>
                <w:color w:val="000000"/>
                <w:sz w:val="20"/>
              </w:rPr>
              <w:t>Avance</w:t>
            </w:r>
          </w:p>
          <w:p w:rsidR="00D978B6" w:rsidRPr="00160F68" w:rsidRDefault="00D978B6">
            <w:pPr>
              <w:spacing w:after="0" w:line="240" w:lineRule="auto"/>
              <w:jc w:val="center"/>
              <w:rPr>
                <w:rFonts w:eastAsia="Times New Roman" w:cstheme="minorHAnsi"/>
                <w:b/>
                <w:bCs/>
                <w:color w:val="000000"/>
                <w:sz w:val="20"/>
              </w:rPr>
            </w:pPr>
            <w:r w:rsidRPr="00160F68">
              <w:rPr>
                <w:rFonts w:eastAsia="Times New Roman" w:cstheme="minorHAnsi"/>
                <w:b/>
                <w:bCs/>
                <w:color w:val="000000"/>
                <w:sz w:val="20"/>
              </w:rPr>
              <w:t xml:space="preserve">Trimestre </w:t>
            </w:r>
            <w:r w:rsidR="00CA784A" w:rsidRPr="00160F68">
              <w:rPr>
                <w:rFonts w:eastAsia="Times New Roman" w:cstheme="minorHAnsi"/>
                <w:b/>
                <w:bCs/>
                <w:color w:val="000000"/>
                <w:sz w:val="20"/>
              </w:rPr>
              <w:t>2</w:t>
            </w:r>
          </w:p>
        </w:tc>
      </w:tr>
      <w:tr w:rsidR="00806518" w:rsidRPr="00D35044" w:rsidTr="005F5C35">
        <w:trPr>
          <w:trHeight w:val="274"/>
          <w:jc w:val="center"/>
        </w:trPr>
        <w:tc>
          <w:tcPr>
            <w:tcW w:w="4910" w:type="dxa"/>
            <w:tcBorders>
              <w:top w:val="nil"/>
              <w:left w:val="single" w:sz="4" w:space="0" w:color="auto"/>
              <w:bottom w:val="single" w:sz="4" w:space="0" w:color="auto"/>
              <w:right w:val="single" w:sz="4" w:space="0" w:color="auto"/>
            </w:tcBorders>
            <w:shd w:val="clear" w:color="auto" w:fill="auto"/>
            <w:vAlign w:val="center"/>
          </w:tcPr>
          <w:p w:rsidR="00CA784A" w:rsidRPr="00160F68" w:rsidRDefault="00CA784A" w:rsidP="00CA784A">
            <w:pPr>
              <w:spacing w:after="0" w:line="240" w:lineRule="auto"/>
              <w:rPr>
                <w:rFonts w:eastAsia="Times New Roman" w:cstheme="minorHAnsi"/>
                <w:color w:val="000000"/>
                <w:sz w:val="20"/>
              </w:rPr>
            </w:pPr>
            <w:r w:rsidRPr="00160F68">
              <w:rPr>
                <w:rFonts w:eastAsia="Times New Roman" w:cstheme="minorHAnsi"/>
                <w:color w:val="000000"/>
                <w:sz w:val="20"/>
              </w:rPr>
              <w:t>Priorizar la distribución de los recursos asignados en el rubro de servicio de la deuda.</w:t>
            </w:r>
          </w:p>
        </w:tc>
        <w:tc>
          <w:tcPr>
            <w:tcW w:w="1540" w:type="dxa"/>
            <w:tcBorders>
              <w:top w:val="nil"/>
              <w:left w:val="nil"/>
              <w:bottom w:val="single" w:sz="4" w:space="0" w:color="auto"/>
              <w:right w:val="single" w:sz="4" w:space="0" w:color="auto"/>
            </w:tcBorders>
            <w:shd w:val="clear" w:color="auto" w:fill="auto"/>
            <w:noWrap/>
          </w:tcPr>
          <w:p w:rsidR="00806518"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Informe</w:t>
            </w:r>
          </w:p>
        </w:tc>
        <w:tc>
          <w:tcPr>
            <w:tcW w:w="1193" w:type="dxa"/>
            <w:tcBorders>
              <w:top w:val="nil"/>
              <w:left w:val="nil"/>
              <w:bottom w:val="single" w:sz="4" w:space="0" w:color="auto"/>
              <w:right w:val="single" w:sz="4" w:space="0" w:color="auto"/>
            </w:tcBorders>
            <w:shd w:val="clear" w:color="auto" w:fill="auto"/>
            <w:noWrap/>
            <w:vAlign w:val="center"/>
          </w:tcPr>
          <w:p w:rsidR="00806518"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2</w:t>
            </w:r>
          </w:p>
        </w:tc>
        <w:tc>
          <w:tcPr>
            <w:tcW w:w="1185" w:type="dxa"/>
            <w:tcBorders>
              <w:top w:val="nil"/>
              <w:left w:val="nil"/>
              <w:bottom w:val="single" w:sz="4" w:space="0" w:color="auto"/>
              <w:right w:val="single" w:sz="4" w:space="0" w:color="auto"/>
            </w:tcBorders>
            <w:shd w:val="clear" w:color="auto" w:fill="auto"/>
            <w:noWrap/>
            <w:vAlign w:val="center"/>
          </w:tcPr>
          <w:p w:rsidR="00806518" w:rsidRPr="00160F68" w:rsidRDefault="00160F68" w:rsidP="00160F68">
            <w:pPr>
              <w:spacing w:after="0" w:line="240" w:lineRule="auto"/>
              <w:jc w:val="center"/>
              <w:rPr>
                <w:rFonts w:eastAsia="Times New Roman" w:cstheme="minorHAnsi"/>
                <w:color w:val="000000"/>
                <w:sz w:val="20"/>
              </w:rPr>
            </w:pPr>
            <w:r w:rsidRPr="00160F68">
              <w:rPr>
                <w:rFonts w:eastAsia="Times New Roman" w:cstheme="minorHAnsi"/>
                <w:color w:val="000000"/>
                <w:sz w:val="20"/>
              </w:rPr>
              <w:t>14</w:t>
            </w:r>
          </w:p>
        </w:tc>
      </w:tr>
      <w:tr w:rsidR="00806518" w:rsidRPr="00D35044" w:rsidTr="005F5C35">
        <w:trPr>
          <w:trHeight w:val="423"/>
          <w:jc w:val="center"/>
        </w:trPr>
        <w:tc>
          <w:tcPr>
            <w:tcW w:w="4910" w:type="dxa"/>
            <w:tcBorders>
              <w:top w:val="nil"/>
              <w:left w:val="single" w:sz="4" w:space="0" w:color="auto"/>
              <w:bottom w:val="single" w:sz="4" w:space="0" w:color="auto"/>
              <w:right w:val="single" w:sz="4" w:space="0" w:color="auto"/>
            </w:tcBorders>
            <w:shd w:val="clear" w:color="auto" w:fill="auto"/>
            <w:vAlign w:val="center"/>
          </w:tcPr>
          <w:p w:rsidR="00806518" w:rsidRPr="00160F68" w:rsidRDefault="00CA784A" w:rsidP="00BC6A3A">
            <w:pPr>
              <w:spacing w:after="0" w:line="240" w:lineRule="auto"/>
              <w:rPr>
                <w:rFonts w:eastAsia="Times New Roman" w:cstheme="minorHAnsi"/>
                <w:color w:val="000000"/>
                <w:sz w:val="20"/>
              </w:rPr>
            </w:pPr>
            <w:r w:rsidRPr="00160F68">
              <w:rPr>
                <w:rFonts w:eastAsia="Times New Roman" w:cstheme="minorHAnsi"/>
                <w:color w:val="000000"/>
                <w:sz w:val="20"/>
              </w:rPr>
              <w:t>Acompañar a las Vicepresidencia de Gestión Contractual y la Vicepresidencia Ejecutiva en el análisis que se soliciten para suscripción de modificaciones contractuales.</w:t>
            </w:r>
          </w:p>
        </w:tc>
        <w:tc>
          <w:tcPr>
            <w:tcW w:w="1540" w:type="dxa"/>
            <w:tcBorders>
              <w:top w:val="nil"/>
              <w:left w:val="nil"/>
              <w:bottom w:val="single" w:sz="4" w:space="0" w:color="auto"/>
              <w:right w:val="single" w:sz="4" w:space="0" w:color="auto"/>
            </w:tcBorders>
            <w:shd w:val="clear" w:color="auto" w:fill="auto"/>
            <w:noWrap/>
          </w:tcPr>
          <w:p w:rsidR="00806518"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Estudios de Conveniencia y Oportunidad   (Conceptos)</w:t>
            </w:r>
          </w:p>
        </w:tc>
        <w:tc>
          <w:tcPr>
            <w:tcW w:w="1193" w:type="dxa"/>
            <w:tcBorders>
              <w:top w:val="nil"/>
              <w:left w:val="nil"/>
              <w:bottom w:val="single" w:sz="4" w:space="0" w:color="auto"/>
              <w:right w:val="single" w:sz="4" w:space="0" w:color="auto"/>
            </w:tcBorders>
            <w:shd w:val="clear" w:color="auto" w:fill="auto"/>
            <w:noWrap/>
            <w:vAlign w:val="center"/>
          </w:tcPr>
          <w:p w:rsidR="00806518"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14</w:t>
            </w:r>
          </w:p>
        </w:tc>
        <w:tc>
          <w:tcPr>
            <w:tcW w:w="1185" w:type="dxa"/>
            <w:tcBorders>
              <w:top w:val="nil"/>
              <w:left w:val="nil"/>
              <w:bottom w:val="single" w:sz="4" w:space="0" w:color="auto"/>
              <w:right w:val="single" w:sz="4" w:space="0" w:color="auto"/>
            </w:tcBorders>
            <w:shd w:val="clear" w:color="auto" w:fill="auto"/>
            <w:noWrap/>
            <w:vAlign w:val="center"/>
          </w:tcPr>
          <w:p w:rsidR="00806518"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81</w:t>
            </w:r>
          </w:p>
        </w:tc>
      </w:tr>
      <w:tr w:rsidR="00806518"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806518" w:rsidRPr="00160F68" w:rsidRDefault="00CA784A" w:rsidP="00CA784A">
            <w:pPr>
              <w:spacing w:after="0" w:line="240" w:lineRule="auto"/>
              <w:rPr>
                <w:rFonts w:eastAsia="Times New Roman" w:cstheme="minorHAnsi"/>
                <w:color w:val="000000"/>
                <w:sz w:val="20"/>
              </w:rPr>
            </w:pPr>
            <w:r w:rsidRPr="00160F68">
              <w:rPr>
                <w:rFonts w:eastAsia="Times New Roman" w:cstheme="minorHAnsi"/>
                <w:color w:val="000000"/>
                <w:sz w:val="20"/>
              </w:rPr>
              <w:t>Realizar la solicitud a VAF para el desembolso de los recursos a Fiduprevisora de los planes de aportes aprobados por MHCP.</w:t>
            </w:r>
          </w:p>
        </w:tc>
        <w:tc>
          <w:tcPr>
            <w:tcW w:w="1540" w:type="dxa"/>
            <w:tcBorders>
              <w:top w:val="nil"/>
              <w:left w:val="nil"/>
              <w:bottom w:val="single" w:sz="4" w:space="0" w:color="auto"/>
              <w:right w:val="single" w:sz="4" w:space="0" w:color="auto"/>
            </w:tcBorders>
            <w:shd w:val="clear" w:color="auto" w:fill="auto"/>
            <w:noWrap/>
          </w:tcPr>
          <w:p w:rsidR="00E668D0"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 xml:space="preserve">Solicitudes </w:t>
            </w:r>
          </w:p>
        </w:tc>
        <w:tc>
          <w:tcPr>
            <w:tcW w:w="1193" w:type="dxa"/>
            <w:tcBorders>
              <w:top w:val="nil"/>
              <w:left w:val="nil"/>
              <w:bottom w:val="single" w:sz="4" w:space="0" w:color="auto"/>
              <w:right w:val="single" w:sz="4" w:space="0" w:color="auto"/>
            </w:tcBorders>
            <w:shd w:val="clear" w:color="auto" w:fill="auto"/>
            <w:noWrap/>
            <w:vAlign w:val="center"/>
          </w:tcPr>
          <w:p w:rsidR="00806518"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9</w:t>
            </w:r>
          </w:p>
        </w:tc>
        <w:tc>
          <w:tcPr>
            <w:tcW w:w="1185" w:type="dxa"/>
            <w:tcBorders>
              <w:top w:val="nil"/>
              <w:left w:val="nil"/>
              <w:bottom w:val="single" w:sz="4" w:space="0" w:color="auto"/>
              <w:right w:val="single" w:sz="4" w:space="0" w:color="auto"/>
            </w:tcBorders>
            <w:shd w:val="clear" w:color="auto" w:fill="auto"/>
            <w:noWrap/>
            <w:vAlign w:val="center"/>
          </w:tcPr>
          <w:p w:rsidR="00806518"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6</w:t>
            </w:r>
          </w:p>
        </w:tc>
      </w:tr>
      <w:tr w:rsidR="00CA784A"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CA784A" w:rsidRPr="00160F68" w:rsidRDefault="00CA784A" w:rsidP="00CA784A">
            <w:pPr>
              <w:spacing w:after="0" w:line="240" w:lineRule="auto"/>
              <w:rPr>
                <w:rFonts w:eastAsia="Times New Roman" w:cstheme="minorHAnsi"/>
                <w:color w:val="000000"/>
                <w:sz w:val="20"/>
              </w:rPr>
            </w:pPr>
            <w:r w:rsidRPr="00160F68">
              <w:rPr>
                <w:rFonts w:eastAsia="Times New Roman" w:cstheme="minorHAnsi"/>
                <w:color w:val="000000"/>
                <w:sz w:val="20"/>
              </w:rPr>
              <w:t>Gestionar los recursos necesarios para el cumplimiento de las obligaciones contingentes pendientes de pago en las vigencias 2013 y  2014 con la Fiduprevisora.</w:t>
            </w:r>
          </w:p>
        </w:tc>
        <w:tc>
          <w:tcPr>
            <w:tcW w:w="1540" w:type="dxa"/>
            <w:tcBorders>
              <w:top w:val="nil"/>
              <w:left w:val="nil"/>
              <w:bottom w:val="single" w:sz="4" w:space="0" w:color="auto"/>
              <w:right w:val="single" w:sz="4" w:space="0" w:color="auto"/>
            </w:tcBorders>
            <w:shd w:val="clear" w:color="auto" w:fill="auto"/>
            <w:noWrap/>
          </w:tcPr>
          <w:p w:rsidR="00196848" w:rsidRPr="00160F68" w:rsidRDefault="00196848" w:rsidP="00196848">
            <w:pPr>
              <w:jc w:val="center"/>
              <w:rPr>
                <w:rFonts w:cstheme="minorHAnsi"/>
                <w:color w:val="000000"/>
                <w:sz w:val="20"/>
              </w:rPr>
            </w:pPr>
            <w:r w:rsidRPr="00160F68">
              <w:rPr>
                <w:rFonts w:cstheme="minorHAnsi"/>
                <w:color w:val="000000"/>
                <w:sz w:val="20"/>
              </w:rPr>
              <w:t>Oficios remitidos al MHCP</w:t>
            </w:r>
          </w:p>
          <w:p w:rsidR="00CA784A" w:rsidRPr="00160F68" w:rsidRDefault="00CA784A" w:rsidP="00806518">
            <w:pPr>
              <w:spacing w:after="0" w:line="240" w:lineRule="auto"/>
              <w:jc w:val="center"/>
              <w:rPr>
                <w:rFonts w:eastAsia="Times New Roman" w:cstheme="minorHAnsi"/>
                <w:color w:val="000000"/>
                <w:sz w:val="20"/>
              </w:rPr>
            </w:pPr>
          </w:p>
        </w:tc>
        <w:tc>
          <w:tcPr>
            <w:tcW w:w="1193" w:type="dxa"/>
            <w:tcBorders>
              <w:top w:val="nil"/>
              <w:left w:val="nil"/>
              <w:bottom w:val="single" w:sz="4" w:space="0" w:color="auto"/>
              <w:right w:val="single" w:sz="4" w:space="0" w:color="auto"/>
            </w:tcBorders>
            <w:shd w:val="clear" w:color="auto" w:fill="auto"/>
            <w:noWrap/>
            <w:vAlign w:val="center"/>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14</w:t>
            </w:r>
          </w:p>
        </w:tc>
        <w:tc>
          <w:tcPr>
            <w:tcW w:w="1185" w:type="dxa"/>
            <w:tcBorders>
              <w:top w:val="nil"/>
              <w:left w:val="nil"/>
              <w:bottom w:val="single" w:sz="4" w:space="0" w:color="auto"/>
              <w:right w:val="single" w:sz="4" w:space="0" w:color="auto"/>
            </w:tcBorders>
            <w:shd w:val="clear" w:color="auto" w:fill="auto"/>
            <w:noWrap/>
            <w:vAlign w:val="center"/>
          </w:tcPr>
          <w:p w:rsidR="00CA784A"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5</w:t>
            </w:r>
          </w:p>
        </w:tc>
      </w:tr>
      <w:tr w:rsidR="00CA784A"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CA784A" w:rsidRPr="00160F68" w:rsidRDefault="00CA784A" w:rsidP="00D7499C">
            <w:pPr>
              <w:spacing w:after="0" w:line="240" w:lineRule="auto"/>
              <w:rPr>
                <w:rFonts w:eastAsia="Times New Roman" w:cstheme="minorHAnsi"/>
                <w:color w:val="000000"/>
                <w:sz w:val="20"/>
              </w:rPr>
            </w:pPr>
            <w:r w:rsidRPr="00160F68">
              <w:rPr>
                <w:rFonts w:eastAsia="Times New Roman" w:cstheme="minorHAnsi"/>
                <w:color w:val="000000"/>
                <w:sz w:val="20"/>
              </w:rPr>
              <w:t>Seguimiento a los procesos de solicitud de plan de aportes tramitados durante la vigencia 2014, para lograr su aprobación.</w:t>
            </w:r>
          </w:p>
        </w:tc>
        <w:tc>
          <w:tcPr>
            <w:tcW w:w="1540" w:type="dxa"/>
            <w:tcBorders>
              <w:top w:val="nil"/>
              <w:left w:val="nil"/>
              <w:bottom w:val="single" w:sz="4" w:space="0" w:color="auto"/>
              <w:right w:val="single" w:sz="4" w:space="0" w:color="auto"/>
            </w:tcBorders>
            <w:shd w:val="clear" w:color="auto" w:fill="auto"/>
            <w:noWrap/>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 xml:space="preserve">Seguimientos </w:t>
            </w:r>
          </w:p>
        </w:tc>
        <w:tc>
          <w:tcPr>
            <w:tcW w:w="1193" w:type="dxa"/>
            <w:tcBorders>
              <w:top w:val="nil"/>
              <w:left w:val="nil"/>
              <w:bottom w:val="single" w:sz="4" w:space="0" w:color="auto"/>
              <w:right w:val="single" w:sz="4" w:space="0" w:color="auto"/>
            </w:tcBorders>
            <w:shd w:val="clear" w:color="auto" w:fill="auto"/>
            <w:noWrap/>
            <w:vAlign w:val="center"/>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18</w:t>
            </w:r>
          </w:p>
        </w:tc>
        <w:tc>
          <w:tcPr>
            <w:tcW w:w="1185" w:type="dxa"/>
            <w:tcBorders>
              <w:top w:val="nil"/>
              <w:left w:val="nil"/>
              <w:bottom w:val="single" w:sz="4" w:space="0" w:color="auto"/>
              <w:right w:val="single" w:sz="4" w:space="0" w:color="auto"/>
            </w:tcBorders>
            <w:shd w:val="clear" w:color="auto" w:fill="auto"/>
            <w:noWrap/>
            <w:vAlign w:val="center"/>
          </w:tcPr>
          <w:p w:rsidR="00CA784A"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30</w:t>
            </w:r>
          </w:p>
        </w:tc>
      </w:tr>
      <w:tr w:rsidR="00CA784A"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CA784A" w:rsidRPr="00160F68" w:rsidRDefault="00CA784A" w:rsidP="00CA784A">
            <w:pPr>
              <w:spacing w:after="0" w:line="240" w:lineRule="auto"/>
              <w:rPr>
                <w:rFonts w:eastAsia="Times New Roman" w:cstheme="minorHAnsi"/>
                <w:color w:val="000000"/>
                <w:sz w:val="20"/>
              </w:rPr>
            </w:pPr>
            <w:r w:rsidRPr="00160F68">
              <w:rPr>
                <w:rFonts w:eastAsia="Times New Roman" w:cstheme="minorHAnsi"/>
                <w:color w:val="000000"/>
                <w:sz w:val="20"/>
              </w:rPr>
              <w:t>Seguimiento a Reprogramación  planes de aportes  programa 4G</w:t>
            </w:r>
          </w:p>
        </w:tc>
        <w:tc>
          <w:tcPr>
            <w:tcW w:w="1540" w:type="dxa"/>
            <w:tcBorders>
              <w:top w:val="nil"/>
              <w:left w:val="nil"/>
              <w:bottom w:val="single" w:sz="4" w:space="0" w:color="auto"/>
              <w:right w:val="single" w:sz="4" w:space="0" w:color="auto"/>
            </w:tcBorders>
            <w:shd w:val="clear" w:color="auto" w:fill="auto"/>
            <w:noWrap/>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Seguimientos</w:t>
            </w:r>
          </w:p>
        </w:tc>
        <w:tc>
          <w:tcPr>
            <w:tcW w:w="1193" w:type="dxa"/>
            <w:tcBorders>
              <w:top w:val="nil"/>
              <w:left w:val="nil"/>
              <w:bottom w:val="single" w:sz="4" w:space="0" w:color="auto"/>
              <w:right w:val="single" w:sz="4" w:space="0" w:color="auto"/>
            </w:tcBorders>
            <w:shd w:val="clear" w:color="auto" w:fill="auto"/>
            <w:noWrap/>
            <w:vAlign w:val="center"/>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w:t>
            </w:r>
          </w:p>
        </w:tc>
        <w:tc>
          <w:tcPr>
            <w:tcW w:w="1185" w:type="dxa"/>
            <w:tcBorders>
              <w:top w:val="nil"/>
              <w:left w:val="nil"/>
              <w:bottom w:val="single" w:sz="4" w:space="0" w:color="auto"/>
              <w:right w:val="single" w:sz="4" w:space="0" w:color="auto"/>
            </w:tcBorders>
            <w:shd w:val="clear" w:color="auto" w:fill="auto"/>
            <w:noWrap/>
            <w:vAlign w:val="center"/>
          </w:tcPr>
          <w:p w:rsidR="00CA784A"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14</w:t>
            </w:r>
          </w:p>
        </w:tc>
      </w:tr>
      <w:tr w:rsidR="00CA784A"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CA784A" w:rsidRPr="00160F68" w:rsidRDefault="00CA784A" w:rsidP="00CA784A">
            <w:pPr>
              <w:spacing w:after="0" w:line="240" w:lineRule="auto"/>
              <w:rPr>
                <w:rFonts w:eastAsia="Times New Roman" w:cstheme="minorHAnsi"/>
                <w:color w:val="000000"/>
                <w:sz w:val="20"/>
              </w:rPr>
            </w:pPr>
            <w:r w:rsidRPr="00160F68">
              <w:rPr>
                <w:rFonts w:eastAsia="Times New Roman" w:cstheme="minorHAnsi"/>
                <w:color w:val="000000"/>
                <w:sz w:val="20"/>
              </w:rPr>
              <w:t>Adaptación y socialización sobre la  metodología para el manejo en el Fondo de Contingencias Contractuales de las Entidades Estatales del Ministerio de Hacienda</w:t>
            </w:r>
          </w:p>
        </w:tc>
        <w:tc>
          <w:tcPr>
            <w:tcW w:w="1540" w:type="dxa"/>
            <w:tcBorders>
              <w:top w:val="nil"/>
              <w:left w:val="nil"/>
              <w:bottom w:val="single" w:sz="4" w:space="0" w:color="auto"/>
              <w:right w:val="single" w:sz="4" w:space="0" w:color="auto"/>
            </w:tcBorders>
            <w:shd w:val="clear" w:color="auto" w:fill="auto"/>
            <w:noWrap/>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Socialización</w:t>
            </w:r>
          </w:p>
        </w:tc>
        <w:tc>
          <w:tcPr>
            <w:tcW w:w="1193" w:type="dxa"/>
            <w:tcBorders>
              <w:top w:val="nil"/>
              <w:left w:val="nil"/>
              <w:bottom w:val="single" w:sz="4" w:space="0" w:color="auto"/>
              <w:right w:val="single" w:sz="4" w:space="0" w:color="auto"/>
            </w:tcBorders>
            <w:shd w:val="clear" w:color="auto" w:fill="auto"/>
            <w:noWrap/>
            <w:vAlign w:val="center"/>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w:t>
            </w:r>
          </w:p>
        </w:tc>
        <w:tc>
          <w:tcPr>
            <w:tcW w:w="1185" w:type="dxa"/>
            <w:tcBorders>
              <w:top w:val="nil"/>
              <w:left w:val="nil"/>
              <w:bottom w:val="single" w:sz="4" w:space="0" w:color="auto"/>
              <w:right w:val="single" w:sz="4" w:space="0" w:color="auto"/>
            </w:tcBorders>
            <w:shd w:val="clear" w:color="auto" w:fill="auto"/>
            <w:noWrap/>
            <w:vAlign w:val="center"/>
          </w:tcPr>
          <w:p w:rsidR="00CA784A"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w:t>
            </w:r>
          </w:p>
        </w:tc>
      </w:tr>
      <w:tr w:rsidR="00CA784A"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CA784A" w:rsidRPr="00160F68" w:rsidRDefault="00CA784A" w:rsidP="00D7499C">
            <w:pPr>
              <w:spacing w:after="0" w:line="240" w:lineRule="auto"/>
              <w:rPr>
                <w:rFonts w:eastAsia="Times New Roman" w:cstheme="minorHAnsi"/>
                <w:color w:val="000000"/>
                <w:sz w:val="20"/>
              </w:rPr>
            </w:pPr>
            <w:r w:rsidRPr="00160F68">
              <w:rPr>
                <w:rFonts w:eastAsia="Times New Roman" w:cstheme="minorHAnsi"/>
                <w:color w:val="000000"/>
                <w:sz w:val="20"/>
              </w:rPr>
              <w:t>Actualización de los seguimientos de riesgos de los contratos en ejecución con y sin plan de aportes en el Fondo de Contingencias Contractuales de las Entidades Estatales.</w:t>
            </w:r>
          </w:p>
        </w:tc>
        <w:tc>
          <w:tcPr>
            <w:tcW w:w="1540" w:type="dxa"/>
            <w:tcBorders>
              <w:top w:val="nil"/>
              <w:left w:val="nil"/>
              <w:bottom w:val="single" w:sz="4" w:space="0" w:color="auto"/>
              <w:right w:val="single" w:sz="4" w:space="0" w:color="auto"/>
            </w:tcBorders>
            <w:shd w:val="clear" w:color="auto" w:fill="auto"/>
            <w:noWrap/>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Seguimientos</w:t>
            </w:r>
          </w:p>
        </w:tc>
        <w:tc>
          <w:tcPr>
            <w:tcW w:w="1193" w:type="dxa"/>
            <w:tcBorders>
              <w:top w:val="nil"/>
              <w:left w:val="nil"/>
              <w:bottom w:val="single" w:sz="4" w:space="0" w:color="auto"/>
              <w:right w:val="single" w:sz="4" w:space="0" w:color="auto"/>
            </w:tcBorders>
            <w:shd w:val="clear" w:color="auto" w:fill="auto"/>
            <w:noWrap/>
            <w:vAlign w:val="center"/>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14</w:t>
            </w:r>
          </w:p>
        </w:tc>
        <w:tc>
          <w:tcPr>
            <w:tcW w:w="1185" w:type="dxa"/>
            <w:tcBorders>
              <w:top w:val="nil"/>
              <w:left w:val="nil"/>
              <w:bottom w:val="single" w:sz="4" w:space="0" w:color="auto"/>
              <w:right w:val="single" w:sz="4" w:space="0" w:color="auto"/>
            </w:tcBorders>
            <w:shd w:val="clear" w:color="auto" w:fill="auto"/>
            <w:noWrap/>
            <w:vAlign w:val="center"/>
          </w:tcPr>
          <w:p w:rsidR="00CA784A"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13</w:t>
            </w:r>
          </w:p>
        </w:tc>
      </w:tr>
      <w:tr w:rsidR="00CA784A"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CA784A" w:rsidRPr="00160F68" w:rsidRDefault="00CA784A" w:rsidP="00D7499C">
            <w:pPr>
              <w:spacing w:after="0" w:line="240" w:lineRule="auto"/>
              <w:rPr>
                <w:rFonts w:eastAsia="Times New Roman" w:cstheme="minorHAnsi"/>
                <w:color w:val="000000"/>
                <w:sz w:val="20"/>
              </w:rPr>
            </w:pPr>
            <w:r w:rsidRPr="00160F68">
              <w:rPr>
                <w:rFonts w:eastAsia="Times New Roman" w:cstheme="minorHAnsi"/>
                <w:color w:val="000000"/>
                <w:sz w:val="20"/>
              </w:rPr>
              <w:t>Acompañamiento en la estructuración de las Interventorías a contratos de concesión portuarios, aeroportuarios y carreteros.</w:t>
            </w:r>
          </w:p>
        </w:tc>
        <w:tc>
          <w:tcPr>
            <w:tcW w:w="1540" w:type="dxa"/>
            <w:tcBorders>
              <w:top w:val="nil"/>
              <w:left w:val="nil"/>
              <w:bottom w:val="single" w:sz="4" w:space="0" w:color="auto"/>
              <w:right w:val="single" w:sz="4" w:space="0" w:color="auto"/>
            </w:tcBorders>
            <w:shd w:val="clear" w:color="auto" w:fill="auto"/>
            <w:noWrap/>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Matriz de Riesgos</w:t>
            </w:r>
          </w:p>
        </w:tc>
        <w:tc>
          <w:tcPr>
            <w:tcW w:w="1193" w:type="dxa"/>
            <w:tcBorders>
              <w:top w:val="nil"/>
              <w:left w:val="nil"/>
              <w:bottom w:val="single" w:sz="4" w:space="0" w:color="auto"/>
              <w:right w:val="single" w:sz="4" w:space="0" w:color="auto"/>
            </w:tcBorders>
            <w:shd w:val="clear" w:color="auto" w:fill="auto"/>
            <w:noWrap/>
            <w:vAlign w:val="center"/>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5</w:t>
            </w:r>
          </w:p>
        </w:tc>
        <w:tc>
          <w:tcPr>
            <w:tcW w:w="1185" w:type="dxa"/>
            <w:tcBorders>
              <w:top w:val="nil"/>
              <w:left w:val="nil"/>
              <w:bottom w:val="single" w:sz="4" w:space="0" w:color="auto"/>
              <w:right w:val="single" w:sz="4" w:space="0" w:color="auto"/>
            </w:tcBorders>
            <w:shd w:val="clear" w:color="auto" w:fill="auto"/>
            <w:noWrap/>
            <w:vAlign w:val="center"/>
          </w:tcPr>
          <w:p w:rsidR="00CA784A"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24</w:t>
            </w:r>
          </w:p>
        </w:tc>
      </w:tr>
      <w:tr w:rsidR="00CA784A"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CA784A" w:rsidRPr="00160F68" w:rsidRDefault="00CA784A" w:rsidP="00D7499C">
            <w:pPr>
              <w:spacing w:after="0" w:line="240" w:lineRule="auto"/>
              <w:rPr>
                <w:rFonts w:eastAsia="Times New Roman" w:cstheme="minorHAnsi"/>
                <w:color w:val="000000"/>
                <w:sz w:val="20"/>
              </w:rPr>
            </w:pPr>
            <w:r w:rsidRPr="00160F68">
              <w:rPr>
                <w:rFonts w:eastAsia="Times New Roman" w:cstheme="minorHAnsi"/>
                <w:color w:val="000000"/>
                <w:sz w:val="20"/>
              </w:rPr>
              <w:t>Revisión y unificación de las metodologías de valoración de obligaciones contingentes para proyectos de infraestructura desarrollados a través de esquema de Asociaciones Público Privadas - APP.</w:t>
            </w:r>
          </w:p>
        </w:tc>
        <w:tc>
          <w:tcPr>
            <w:tcW w:w="1540" w:type="dxa"/>
            <w:tcBorders>
              <w:top w:val="nil"/>
              <w:left w:val="nil"/>
              <w:bottom w:val="single" w:sz="4" w:space="0" w:color="auto"/>
              <w:right w:val="single" w:sz="4" w:space="0" w:color="auto"/>
            </w:tcBorders>
            <w:shd w:val="clear" w:color="auto" w:fill="auto"/>
            <w:noWrap/>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Informe</w:t>
            </w:r>
          </w:p>
        </w:tc>
        <w:tc>
          <w:tcPr>
            <w:tcW w:w="1193" w:type="dxa"/>
            <w:tcBorders>
              <w:top w:val="nil"/>
              <w:left w:val="nil"/>
              <w:bottom w:val="single" w:sz="4" w:space="0" w:color="auto"/>
              <w:right w:val="single" w:sz="4" w:space="0" w:color="auto"/>
            </w:tcBorders>
            <w:shd w:val="clear" w:color="auto" w:fill="auto"/>
            <w:noWrap/>
            <w:vAlign w:val="center"/>
          </w:tcPr>
          <w:p w:rsidR="00CA784A" w:rsidRPr="00160F68" w:rsidRDefault="0019684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w:t>
            </w:r>
          </w:p>
        </w:tc>
        <w:tc>
          <w:tcPr>
            <w:tcW w:w="1185" w:type="dxa"/>
            <w:tcBorders>
              <w:top w:val="nil"/>
              <w:left w:val="nil"/>
              <w:bottom w:val="single" w:sz="4" w:space="0" w:color="auto"/>
              <w:right w:val="single" w:sz="4" w:space="0" w:color="auto"/>
            </w:tcBorders>
            <w:shd w:val="clear" w:color="auto" w:fill="auto"/>
            <w:noWrap/>
            <w:vAlign w:val="center"/>
          </w:tcPr>
          <w:p w:rsidR="00CA784A"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2</w:t>
            </w:r>
          </w:p>
        </w:tc>
      </w:tr>
      <w:tr w:rsidR="00CA784A"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CA784A" w:rsidRPr="00160F68" w:rsidRDefault="005F5C35" w:rsidP="00D7499C">
            <w:pPr>
              <w:spacing w:after="0" w:line="240" w:lineRule="auto"/>
              <w:rPr>
                <w:rFonts w:eastAsia="Times New Roman" w:cstheme="minorHAnsi"/>
                <w:color w:val="000000"/>
                <w:sz w:val="20"/>
              </w:rPr>
            </w:pPr>
            <w:r w:rsidRPr="00160F68">
              <w:rPr>
                <w:rFonts w:eastAsia="Times New Roman" w:cstheme="minorHAnsi"/>
                <w:color w:val="000000"/>
                <w:sz w:val="20"/>
              </w:rPr>
              <w:t>Presentación de los lineamientos que permitan estandarizar los criterios para la valoración de sobrecostos prediales y ambientales en los concesiones en ejecución.</w:t>
            </w:r>
          </w:p>
        </w:tc>
        <w:tc>
          <w:tcPr>
            <w:tcW w:w="1540" w:type="dxa"/>
            <w:tcBorders>
              <w:top w:val="nil"/>
              <w:left w:val="nil"/>
              <w:bottom w:val="single" w:sz="4" w:space="0" w:color="auto"/>
              <w:right w:val="single" w:sz="4" w:space="0" w:color="auto"/>
            </w:tcBorders>
            <w:shd w:val="clear" w:color="auto" w:fill="auto"/>
            <w:noWrap/>
          </w:tcPr>
          <w:p w:rsidR="00CA784A" w:rsidRPr="00160F68" w:rsidRDefault="005F5C35"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Informe</w:t>
            </w:r>
          </w:p>
        </w:tc>
        <w:tc>
          <w:tcPr>
            <w:tcW w:w="1193" w:type="dxa"/>
            <w:tcBorders>
              <w:top w:val="nil"/>
              <w:left w:val="nil"/>
              <w:bottom w:val="single" w:sz="4" w:space="0" w:color="auto"/>
              <w:right w:val="single" w:sz="4" w:space="0" w:color="auto"/>
            </w:tcBorders>
            <w:shd w:val="clear" w:color="auto" w:fill="auto"/>
            <w:noWrap/>
            <w:vAlign w:val="center"/>
          </w:tcPr>
          <w:p w:rsidR="00CA784A" w:rsidRPr="00160F68" w:rsidRDefault="005F5C35"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1</w:t>
            </w:r>
          </w:p>
        </w:tc>
        <w:tc>
          <w:tcPr>
            <w:tcW w:w="1185" w:type="dxa"/>
            <w:tcBorders>
              <w:top w:val="nil"/>
              <w:left w:val="nil"/>
              <w:bottom w:val="single" w:sz="4" w:space="0" w:color="auto"/>
              <w:right w:val="single" w:sz="4" w:space="0" w:color="auto"/>
            </w:tcBorders>
            <w:shd w:val="clear" w:color="auto" w:fill="auto"/>
            <w:noWrap/>
            <w:vAlign w:val="center"/>
          </w:tcPr>
          <w:p w:rsidR="00CA784A" w:rsidRPr="00160F68" w:rsidRDefault="00160F68" w:rsidP="00806518">
            <w:pPr>
              <w:spacing w:after="0" w:line="240" w:lineRule="auto"/>
              <w:jc w:val="center"/>
              <w:rPr>
                <w:rFonts w:eastAsia="Times New Roman" w:cstheme="minorHAnsi"/>
                <w:color w:val="000000"/>
                <w:sz w:val="20"/>
              </w:rPr>
            </w:pPr>
            <w:r w:rsidRPr="00160F68">
              <w:rPr>
                <w:rFonts w:eastAsia="Times New Roman" w:cstheme="minorHAnsi"/>
                <w:color w:val="000000"/>
                <w:sz w:val="20"/>
              </w:rPr>
              <w:t>2</w:t>
            </w:r>
          </w:p>
        </w:tc>
      </w:tr>
      <w:tr w:rsidR="005F5C35" w:rsidRPr="00D35044" w:rsidTr="005F5C35">
        <w:trPr>
          <w:trHeight w:val="355"/>
          <w:jc w:val="center"/>
        </w:trPr>
        <w:tc>
          <w:tcPr>
            <w:tcW w:w="4910" w:type="dxa"/>
            <w:tcBorders>
              <w:top w:val="nil"/>
              <w:left w:val="single" w:sz="4" w:space="0" w:color="auto"/>
              <w:bottom w:val="single" w:sz="4" w:space="0" w:color="auto"/>
              <w:right w:val="single" w:sz="4" w:space="0" w:color="auto"/>
            </w:tcBorders>
            <w:shd w:val="clear" w:color="auto" w:fill="auto"/>
          </w:tcPr>
          <w:p w:rsidR="005F5C35" w:rsidRPr="00160F68" w:rsidRDefault="005F5C35" w:rsidP="005F5C35">
            <w:pPr>
              <w:spacing w:after="0" w:line="240" w:lineRule="auto"/>
              <w:rPr>
                <w:rFonts w:eastAsia="Times New Roman" w:cstheme="minorHAnsi"/>
                <w:color w:val="000000"/>
                <w:sz w:val="20"/>
              </w:rPr>
            </w:pPr>
            <w:r w:rsidRPr="00160F68">
              <w:rPr>
                <w:rFonts w:eastAsia="Times New Roman" w:cstheme="minorHAnsi"/>
                <w:color w:val="000000"/>
                <w:sz w:val="20"/>
              </w:rPr>
              <w:lastRenderedPageBreak/>
              <w:t>Presentación de los lineamientos de políticas en riesgos para iniciativas privadas.</w:t>
            </w:r>
          </w:p>
        </w:tc>
        <w:tc>
          <w:tcPr>
            <w:tcW w:w="1540" w:type="dxa"/>
            <w:tcBorders>
              <w:top w:val="nil"/>
              <w:left w:val="nil"/>
              <w:bottom w:val="single" w:sz="4" w:space="0" w:color="auto"/>
              <w:right w:val="single" w:sz="4" w:space="0" w:color="auto"/>
            </w:tcBorders>
            <w:shd w:val="clear" w:color="auto" w:fill="auto"/>
            <w:noWrap/>
          </w:tcPr>
          <w:p w:rsidR="005F5C35" w:rsidRPr="00160F68" w:rsidRDefault="005F5C35"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Informe</w:t>
            </w:r>
          </w:p>
        </w:tc>
        <w:tc>
          <w:tcPr>
            <w:tcW w:w="1193" w:type="dxa"/>
            <w:tcBorders>
              <w:top w:val="nil"/>
              <w:left w:val="nil"/>
              <w:bottom w:val="single" w:sz="4" w:space="0" w:color="auto"/>
              <w:right w:val="single" w:sz="4" w:space="0" w:color="auto"/>
            </w:tcBorders>
            <w:shd w:val="clear" w:color="auto" w:fill="auto"/>
            <w:noWrap/>
            <w:vAlign w:val="center"/>
          </w:tcPr>
          <w:p w:rsidR="005F5C35" w:rsidRPr="00160F68" w:rsidRDefault="005F5C35"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1</w:t>
            </w:r>
          </w:p>
        </w:tc>
        <w:tc>
          <w:tcPr>
            <w:tcW w:w="1185" w:type="dxa"/>
            <w:tcBorders>
              <w:top w:val="nil"/>
              <w:left w:val="nil"/>
              <w:bottom w:val="single" w:sz="4" w:space="0" w:color="auto"/>
              <w:right w:val="single" w:sz="4" w:space="0" w:color="auto"/>
            </w:tcBorders>
            <w:shd w:val="clear" w:color="auto" w:fill="auto"/>
            <w:noWrap/>
            <w:vAlign w:val="center"/>
          </w:tcPr>
          <w:p w:rsidR="005F5C35" w:rsidRPr="00160F68" w:rsidRDefault="00160F68"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6</w:t>
            </w:r>
          </w:p>
        </w:tc>
      </w:tr>
      <w:tr w:rsidR="005F5C35" w:rsidRPr="00D35044" w:rsidTr="005F5C35">
        <w:trPr>
          <w:trHeight w:val="195"/>
          <w:jc w:val="center"/>
        </w:trPr>
        <w:tc>
          <w:tcPr>
            <w:tcW w:w="4910" w:type="dxa"/>
            <w:tcBorders>
              <w:top w:val="nil"/>
              <w:left w:val="single" w:sz="4" w:space="0" w:color="auto"/>
              <w:bottom w:val="single" w:sz="4" w:space="0" w:color="auto"/>
              <w:right w:val="single" w:sz="4" w:space="0" w:color="auto"/>
            </w:tcBorders>
            <w:shd w:val="clear" w:color="auto" w:fill="auto"/>
          </w:tcPr>
          <w:p w:rsidR="005F5C35" w:rsidRPr="00160F68" w:rsidRDefault="005F5C35" w:rsidP="005F5C35">
            <w:pPr>
              <w:spacing w:after="0" w:line="240" w:lineRule="auto"/>
              <w:rPr>
                <w:rFonts w:eastAsia="Times New Roman" w:cstheme="minorHAnsi"/>
                <w:color w:val="000000"/>
                <w:sz w:val="20"/>
              </w:rPr>
            </w:pPr>
            <w:r w:rsidRPr="00160F68">
              <w:rPr>
                <w:rFonts w:eastAsia="Times New Roman" w:cstheme="minorHAnsi"/>
                <w:color w:val="000000"/>
                <w:sz w:val="20"/>
              </w:rPr>
              <w:t>Actividades para fomentar la cultura de administración de los riesgos institucionales y anticorrupción</w:t>
            </w:r>
          </w:p>
        </w:tc>
        <w:tc>
          <w:tcPr>
            <w:tcW w:w="1540" w:type="dxa"/>
            <w:tcBorders>
              <w:top w:val="nil"/>
              <w:left w:val="nil"/>
              <w:bottom w:val="single" w:sz="4" w:space="0" w:color="auto"/>
              <w:right w:val="single" w:sz="4" w:space="0" w:color="auto"/>
            </w:tcBorders>
            <w:shd w:val="clear" w:color="auto" w:fill="auto"/>
            <w:noWrap/>
          </w:tcPr>
          <w:p w:rsidR="005F5C35" w:rsidRPr="00160F68" w:rsidRDefault="005F5C35"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Actividades</w:t>
            </w:r>
          </w:p>
        </w:tc>
        <w:tc>
          <w:tcPr>
            <w:tcW w:w="1193" w:type="dxa"/>
            <w:tcBorders>
              <w:top w:val="nil"/>
              <w:left w:val="nil"/>
              <w:bottom w:val="single" w:sz="4" w:space="0" w:color="auto"/>
              <w:right w:val="single" w:sz="4" w:space="0" w:color="auto"/>
            </w:tcBorders>
            <w:shd w:val="clear" w:color="auto" w:fill="auto"/>
            <w:noWrap/>
            <w:vAlign w:val="center"/>
          </w:tcPr>
          <w:p w:rsidR="005F5C35" w:rsidRPr="00160F68" w:rsidRDefault="005F5C35"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3</w:t>
            </w:r>
          </w:p>
        </w:tc>
        <w:tc>
          <w:tcPr>
            <w:tcW w:w="1185" w:type="dxa"/>
            <w:tcBorders>
              <w:top w:val="nil"/>
              <w:left w:val="nil"/>
              <w:bottom w:val="single" w:sz="4" w:space="0" w:color="auto"/>
              <w:right w:val="single" w:sz="4" w:space="0" w:color="auto"/>
            </w:tcBorders>
            <w:shd w:val="clear" w:color="auto" w:fill="auto"/>
            <w:noWrap/>
            <w:vAlign w:val="center"/>
          </w:tcPr>
          <w:p w:rsidR="005F5C35" w:rsidRPr="00160F68" w:rsidRDefault="00160F68"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8</w:t>
            </w:r>
          </w:p>
        </w:tc>
      </w:tr>
      <w:tr w:rsidR="005F5C35" w:rsidRPr="00D35044" w:rsidTr="005F5C35">
        <w:trPr>
          <w:trHeight w:val="195"/>
          <w:jc w:val="center"/>
        </w:trPr>
        <w:tc>
          <w:tcPr>
            <w:tcW w:w="4910" w:type="dxa"/>
            <w:tcBorders>
              <w:top w:val="nil"/>
              <w:left w:val="single" w:sz="4" w:space="0" w:color="auto"/>
              <w:bottom w:val="single" w:sz="4" w:space="0" w:color="auto"/>
              <w:right w:val="single" w:sz="4" w:space="0" w:color="auto"/>
            </w:tcBorders>
            <w:shd w:val="clear" w:color="auto" w:fill="auto"/>
          </w:tcPr>
          <w:p w:rsidR="005F5C35" w:rsidRPr="00160F68" w:rsidRDefault="005F5C35" w:rsidP="005F5C35">
            <w:pPr>
              <w:spacing w:after="0" w:line="240" w:lineRule="auto"/>
              <w:rPr>
                <w:rFonts w:eastAsia="Times New Roman" w:cstheme="minorHAnsi"/>
                <w:color w:val="000000"/>
                <w:sz w:val="20"/>
              </w:rPr>
            </w:pPr>
            <w:r w:rsidRPr="00160F68">
              <w:rPr>
                <w:rFonts w:eastAsia="Times New Roman" w:cstheme="minorHAnsi"/>
                <w:color w:val="000000"/>
                <w:sz w:val="20"/>
              </w:rPr>
              <w:t>Acompañamiento y capacitación a las áreas y procesos en la inclusión y manejo del esquema de los mapas de riesgo institucional y anticorrupción.</w:t>
            </w:r>
          </w:p>
        </w:tc>
        <w:tc>
          <w:tcPr>
            <w:tcW w:w="1540" w:type="dxa"/>
            <w:tcBorders>
              <w:top w:val="nil"/>
              <w:left w:val="nil"/>
              <w:bottom w:val="single" w:sz="4" w:space="0" w:color="auto"/>
              <w:right w:val="single" w:sz="4" w:space="0" w:color="auto"/>
            </w:tcBorders>
            <w:shd w:val="clear" w:color="auto" w:fill="auto"/>
            <w:noWrap/>
          </w:tcPr>
          <w:p w:rsidR="005F5C35" w:rsidRPr="00160F68" w:rsidRDefault="005F5C35"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Acompañamiento</w:t>
            </w:r>
          </w:p>
        </w:tc>
        <w:tc>
          <w:tcPr>
            <w:tcW w:w="1193" w:type="dxa"/>
            <w:tcBorders>
              <w:top w:val="nil"/>
              <w:left w:val="nil"/>
              <w:bottom w:val="single" w:sz="4" w:space="0" w:color="auto"/>
              <w:right w:val="single" w:sz="4" w:space="0" w:color="auto"/>
            </w:tcBorders>
            <w:shd w:val="clear" w:color="auto" w:fill="auto"/>
            <w:noWrap/>
            <w:vAlign w:val="center"/>
          </w:tcPr>
          <w:p w:rsidR="005F5C35" w:rsidRPr="00160F68" w:rsidRDefault="005F5C35"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9</w:t>
            </w:r>
          </w:p>
        </w:tc>
        <w:tc>
          <w:tcPr>
            <w:tcW w:w="1185" w:type="dxa"/>
            <w:tcBorders>
              <w:top w:val="nil"/>
              <w:left w:val="nil"/>
              <w:bottom w:val="single" w:sz="4" w:space="0" w:color="auto"/>
              <w:right w:val="single" w:sz="4" w:space="0" w:color="auto"/>
            </w:tcBorders>
            <w:shd w:val="clear" w:color="auto" w:fill="auto"/>
            <w:noWrap/>
            <w:vAlign w:val="center"/>
          </w:tcPr>
          <w:p w:rsidR="005F5C35" w:rsidRPr="00160F68" w:rsidRDefault="00160F68"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6</w:t>
            </w:r>
          </w:p>
        </w:tc>
      </w:tr>
      <w:tr w:rsidR="005F5C35" w:rsidRPr="00D35044" w:rsidTr="005F5C35">
        <w:trPr>
          <w:trHeight w:val="195"/>
          <w:jc w:val="center"/>
        </w:trPr>
        <w:tc>
          <w:tcPr>
            <w:tcW w:w="4910" w:type="dxa"/>
            <w:tcBorders>
              <w:top w:val="nil"/>
              <w:left w:val="single" w:sz="4" w:space="0" w:color="auto"/>
              <w:bottom w:val="single" w:sz="4" w:space="0" w:color="auto"/>
              <w:right w:val="single" w:sz="4" w:space="0" w:color="auto"/>
            </w:tcBorders>
            <w:shd w:val="clear" w:color="auto" w:fill="auto"/>
          </w:tcPr>
          <w:p w:rsidR="005F5C35" w:rsidRPr="00160F68" w:rsidRDefault="005F5C35" w:rsidP="005F5C35">
            <w:pPr>
              <w:spacing w:after="0" w:line="240" w:lineRule="auto"/>
              <w:rPr>
                <w:rFonts w:eastAsia="Times New Roman" w:cstheme="minorHAnsi"/>
                <w:color w:val="000000"/>
                <w:sz w:val="20"/>
              </w:rPr>
            </w:pPr>
            <w:r w:rsidRPr="00160F68">
              <w:rPr>
                <w:rFonts w:eastAsia="Times New Roman" w:cstheme="minorHAnsi"/>
                <w:color w:val="000000"/>
                <w:sz w:val="20"/>
              </w:rPr>
              <w:t>Implementación del espacio virtual institucional que contenga los lineamientos, mapas de procesos, formatos y herramientas para la efectiva administración del riesgo en la ANI.</w:t>
            </w:r>
          </w:p>
        </w:tc>
        <w:tc>
          <w:tcPr>
            <w:tcW w:w="1540" w:type="dxa"/>
            <w:tcBorders>
              <w:top w:val="nil"/>
              <w:left w:val="nil"/>
              <w:bottom w:val="single" w:sz="4" w:space="0" w:color="auto"/>
              <w:right w:val="single" w:sz="4" w:space="0" w:color="auto"/>
            </w:tcBorders>
            <w:shd w:val="clear" w:color="auto" w:fill="auto"/>
            <w:noWrap/>
          </w:tcPr>
          <w:p w:rsidR="005F5C35" w:rsidRPr="00160F68" w:rsidRDefault="005F5C35"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Espacio virtual</w:t>
            </w:r>
          </w:p>
        </w:tc>
        <w:tc>
          <w:tcPr>
            <w:tcW w:w="1193" w:type="dxa"/>
            <w:tcBorders>
              <w:top w:val="nil"/>
              <w:left w:val="nil"/>
              <w:bottom w:val="single" w:sz="4" w:space="0" w:color="auto"/>
              <w:right w:val="single" w:sz="4" w:space="0" w:color="auto"/>
            </w:tcBorders>
            <w:shd w:val="clear" w:color="auto" w:fill="auto"/>
            <w:noWrap/>
            <w:vAlign w:val="center"/>
          </w:tcPr>
          <w:p w:rsidR="005F5C35" w:rsidRPr="00160F68" w:rsidRDefault="005F5C35"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1</w:t>
            </w:r>
          </w:p>
        </w:tc>
        <w:tc>
          <w:tcPr>
            <w:tcW w:w="1185" w:type="dxa"/>
            <w:tcBorders>
              <w:top w:val="nil"/>
              <w:left w:val="nil"/>
              <w:bottom w:val="single" w:sz="4" w:space="0" w:color="auto"/>
              <w:right w:val="single" w:sz="4" w:space="0" w:color="auto"/>
            </w:tcBorders>
            <w:shd w:val="clear" w:color="auto" w:fill="auto"/>
            <w:noWrap/>
            <w:vAlign w:val="center"/>
          </w:tcPr>
          <w:p w:rsidR="005F5C35" w:rsidRPr="00160F68" w:rsidRDefault="00160F68" w:rsidP="005F5C35">
            <w:pPr>
              <w:spacing w:after="0" w:line="240" w:lineRule="auto"/>
              <w:jc w:val="center"/>
              <w:rPr>
                <w:rFonts w:eastAsia="Times New Roman" w:cstheme="minorHAnsi"/>
                <w:color w:val="000000"/>
                <w:sz w:val="20"/>
              </w:rPr>
            </w:pPr>
            <w:r w:rsidRPr="00160F68">
              <w:rPr>
                <w:rFonts w:eastAsia="Times New Roman" w:cstheme="minorHAnsi"/>
                <w:color w:val="000000"/>
                <w:sz w:val="20"/>
              </w:rPr>
              <w:t>1</w:t>
            </w:r>
          </w:p>
        </w:tc>
      </w:tr>
    </w:tbl>
    <w:p w:rsidR="009A39D9" w:rsidRPr="00D35044" w:rsidRDefault="009A39D9" w:rsidP="009A39D9">
      <w:pPr>
        <w:jc w:val="both"/>
      </w:pPr>
    </w:p>
    <w:p w:rsidR="00E668D0" w:rsidRPr="00D35044" w:rsidRDefault="00797BC5" w:rsidP="00AE7AF6">
      <w:pPr>
        <w:jc w:val="both"/>
      </w:pPr>
      <w:r>
        <w:t>Durante el periodo el Grupo Interno de Trabajo de Riesgos ha realizado el acompañamiento en las estructuraciones de los proyectos 4G así como ha actualizado permanentemente las matrices de aportes, de igual manera ha continuado con la implementación, actualización y seguimiento a la matriz de riesgos de corrupción. Finalmente, en el segundo trimestre ha venido trabajando con la firma proveedora el software en la parametrización del módulo de riesgos en el sistema adquirido para tal fin.</w:t>
      </w:r>
    </w:p>
    <w:p w:rsidR="009A39D9" w:rsidRPr="00D35044" w:rsidRDefault="009A39D9" w:rsidP="0086211C">
      <w:pPr>
        <w:rPr>
          <w:color w:val="00B0F0"/>
        </w:rPr>
      </w:pPr>
      <w:bookmarkStart w:id="427" w:name="_Toc357434726"/>
      <w:r w:rsidRPr="00D35044">
        <w:rPr>
          <w:b/>
          <w:color w:val="00B0F0"/>
          <w:sz w:val="26"/>
          <w:szCs w:val="26"/>
        </w:rPr>
        <w:t>Grupo Interno de Trabajo de Sistemas y Tecnologías de Información</w:t>
      </w:r>
      <w:bookmarkEnd w:id="427"/>
    </w:p>
    <w:p w:rsidR="001F658C" w:rsidRDefault="001F658C" w:rsidP="006506EC">
      <w:pPr>
        <w:jc w:val="both"/>
      </w:pPr>
      <w:r>
        <w:t>Durante el segundo trimestre, en el área de tecnologías de la información hizo entrega a los supervisores del sistema implementado en Project para el seguimiento a los proyectos, es así como a partir del mes de abril se inició el proceso de verificación del cargue de la información y el funcionamiento de la herramienta; paralelamente se ha venido trabajando con lo</w:t>
      </w:r>
      <w:r w:rsidR="00530815">
        <w:t>s</w:t>
      </w:r>
      <w:r>
        <w:t xml:space="preserve"> supervisores de los proyectos en la socialización </w:t>
      </w:r>
      <w:r w:rsidR="00530815">
        <w:t>de los otros sistemas de apoyo a la gestión (Olympus, mapas) con el fin de que se constituyen en las herramienta</w:t>
      </w:r>
      <w:r w:rsidR="00F94007">
        <w:t>s</w:t>
      </w:r>
      <w:r w:rsidR="00530815">
        <w:t xml:space="preserve"> en las cuales se  apoyen para el seguimiento de los proyectos. De igual manera </w:t>
      </w:r>
      <w:r>
        <w:t>se avanzó en la automatización del trámite de otorgamiento de permisos el cual se encuentra inscrito ante el Sistema Único de Información de Trámites – SUIT, en reuniones con las entidades del  Sector se tomó la decisión de que el Ministerio de Transporte sea la entidad que lidere la implementación de un sistema sectorial que administre la totalidad de los trámites que la ciudadanía debe realizar ante el sector.</w:t>
      </w:r>
    </w:p>
    <w:p w:rsidR="00D35044" w:rsidRDefault="001F658C" w:rsidP="006506EC">
      <w:pPr>
        <w:jc w:val="both"/>
      </w:pPr>
      <w:r>
        <w:t>Así mismo se realizó la capacitación a los servidores de la Agencia para la utilización de las utilidades del sistema Paquete Oficce 365 (Lync, One Drive</w:t>
      </w:r>
      <w:r w:rsidR="00F94007">
        <w:t>)</w:t>
      </w:r>
      <w:r>
        <w:t>, Estos servicios adicionales que venían siendo usados muy poco por los usuarios de la ANI fueron socializados durante las presentaciones en las que se dio a conocer el nuevo servicio de mesa de ayuda. Adicionalmente, el personal de la mesa de ayuda verifico que en los equipos de todos los usuarios de la ANI estuvieran correctamente instalados los componentes que permiten el funcionamiento de estos servicios</w:t>
      </w:r>
    </w:p>
    <w:p w:rsidR="009A39D9" w:rsidRDefault="005F5AA7" w:rsidP="00C43D86">
      <w:pPr>
        <w:pStyle w:val="Ttulo1"/>
        <w:numPr>
          <w:ilvl w:val="1"/>
          <w:numId w:val="2"/>
        </w:numPr>
      </w:pPr>
      <w:bookmarkStart w:id="428" w:name="_Toc357434729"/>
      <w:bookmarkStart w:id="429" w:name="_Toc357434980"/>
      <w:bookmarkStart w:id="430" w:name="_Toc360175796"/>
      <w:bookmarkStart w:id="431" w:name="_Toc360176861"/>
      <w:bookmarkStart w:id="432" w:name="_Toc360177569"/>
      <w:bookmarkStart w:id="433" w:name="_Toc426558532"/>
      <w:bookmarkStart w:id="434" w:name="_Toc426559276"/>
      <w:r>
        <w:t>VICEPRESIDENCIA DE ESTRUCTURACIÓN</w:t>
      </w:r>
      <w:bookmarkEnd w:id="428"/>
      <w:bookmarkEnd w:id="429"/>
      <w:bookmarkEnd w:id="430"/>
      <w:bookmarkEnd w:id="431"/>
      <w:bookmarkEnd w:id="432"/>
      <w:bookmarkEnd w:id="433"/>
      <w:bookmarkEnd w:id="434"/>
    </w:p>
    <w:p w:rsidR="00A83327" w:rsidRPr="009D561E" w:rsidRDefault="00A83327" w:rsidP="00720182">
      <w:pPr>
        <w:rPr>
          <w:rFonts w:eastAsiaTheme="minorHAnsi"/>
        </w:rPr>
      </w:pPr>
    </w:p>
    <w:tbl>
      <w:tblPr>
        <w:tblW w:w="9220" w:type="dxa"/>
        <w:tblInd w:w="55" w:type="dxa"/>
        <w:tblCellMar>
          <w:left w:w="70" w:type="dxa"/>
          <w:right w:w="70" w:type="dxa"/>
        </w:tblCellMar>
        <w:tblLook w:val="04A0" w:firstRow="1" w:lastRow="0" w:firstColumn="1" w:lastColumn="0" w:noHBand="0" w:noVBand="1"/>
      </w:tblPr>
      <w:tblGrid>
        <w:gridCol w:w="5320"/>
        <w:gridCol w:w="1349"/>
        <w:gridCol w:w="1417"/>
        <w:gridCol w:w="1134"/>
      </w:tblGrid>
      <w:tr w:rsidR="00640E59" w:rsidRPr="00541BCE" w:rsidTr="00B323F1">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lastRenderedPageBreak/>
              <w:t>ACTIVIDAD</w:t>
            </w:r>
          </w:p>
        </w:tc>
        <w:tc>
          <w:tcPr>
            <w:tcW w:w="1349" w:type="dxa"/>
            <w:tcBorders>
              <w:top w:val="single" w:sz="4" w:space="0" w:color="auto"/>
              <w:left w:val="nil"/>
              <w:bottom w:val="single" w:sz="4" w:space="0" w:color="auto"/>
              <w:right w:val="single" w:sz="4" w:space="0" w:color="auto"/>
            </w:tcBorders>
            <w:shd w:val="clear" w:color="000000" w:fill="A5A5A5"/>
            <w:vAlign w:val="center"/>
            <w:hideMark/>
          </w:tcPr>
          <w:p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UNIDAD DE MEDIDA</w:t>
            </w:r>
          </w:p>
        </w:tc>
        <w:tc>
          <w:tcPr>
            <w:tcW w:w="1417" w:type="dxa"/>
            <w:tcBorders>
              <w:top w:val="single" w:sz="4" w:space="0" w:color="auto"/>
              <w:left w:val="nil"/>
              <w:bottom w:val="single" w:sz="4" w:space="0" w:color="auto"/>
              <w:right w:val="single" w:sz="4" w:space="0" w:color="auto"/>
            </w:tcBorders>
            <w:shd w:val="clear" w:color="000000" w:fill="A5A5A5"/>
            <w:noWrap/>
            <w:vAlign w:val="center"/>
            <w:hideMark/>
          </w:tcPr>
          <w:p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META AÑO</w:t>
            </w:r>
          </w:p>
        </w:tc>
        <w:tc>
          <w:tcPr>
            <w:tcW w:w="113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640E59" w:rsidRPr="00541BCE" w:rsidRDefault="00640E59" w:rsidP="004B3A6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F33F53">
              <w:rPr>
                <w:rFonts w:ascii="Calibri" w:eastAsia="Times New Roman" w:hAnsi="Calibri" w:cs="Calibri"/>
                <w:b/>
                <w:bCs/>
                <w:color w:val="000000"/>
                <w:sz w:val="20"/>
                <w:szCs w:val="20"/>
              </w:rPr>
              <w:t xml:space="preserve"> </w:t>
            </w:r>
          </w:p>
        </w:tc>
      </w:tr>
      <w:tr w:rsidR="00640E59"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640E59"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Asesorar en materia técnica integral en las actividades de los procesos de estructuración, análisis y revisión de los proyectos de APP de Iniciativa privada, en el marco de la Cuarta Generación de Concesiones Viales</w:t>
            </w:r>
          </w:p>
        </w:tc>
        <w:tc>
          <w:tcPr>
            <w:tcW w:w="1349" w:type="dxa"/>
            <w:tcBorders>
              <w:top w:val="nil"/>
              <w:left w:val="nil"/>
              <w:bottom w:val="single" w:sz="4" w:space="0" w:color="auto"/>
              <w:right w:val="single" w:sz="4" w:space="0" w:color="auto"/>
            </w:tcBorders>
            <w:shd w:val="clear" w:color="auto" w:fill="auto"/>
            <w:vAlign w:val="center"/>
          </w:tcPr>
          <w:p w:rsidR="00640E59"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Informes</w:t>
            </w:r>
          </w:p>
        </w:tc>
        <w:tc>
          <w:tcPr>
            <w:tcW w:w="1417" w:type="dxa"/>
            <w:tcBorders>
              <w:top w:val="nil"/>
              <w:left w:val="nil"/>
              <w:bottom w:val="single" w:sz="4" w:space="0" w:color="auto"/>
              <w:right w:val="single" w:sz="4" w:space="0" w:color="auto"/>
            </w:tcBorders>
            <w:shd w:val="clear" w:color="auto" w:fill="auto"/>
            <w:noWrap/>
            <w:vAlign w:val="center"/>
          </w:tcPr>
          <w:p w:rsidR="00640E59"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640E59"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18</w:t>
            </w:r>
          </w:p>
        </w:tc>
      </w:tr>
      <w:tr w:rsidR="00545968"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545968"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Asesorar en materia Económica - Financiera  integral en las actividades de los procesos de estructuración, análisis y revisión de los proyectos de APP de Iniciativa privada, en el marco de la Cuarta Generación de Concesiones Viales</w:t>
            </w:r>
          </w:p>
        </w:tc>
        <w:tc>
          <w:tcPr>
            <w:tcW w:w="1349" w:type="dxa"/>
            <w:tcBorders>
              <w:top w:val="nil"/>
              <w:left w:val="nil"/>
              <w:bottom w:val="single" w:sz="4" w:space="0" w:color="auto"/>
              <w:right w:val="single" w:sz="4" w:space="0" w:color="auto"/>
            </w:tcBorders>
            <w:shd w:val="clear" w:color="auto" w:fill="auto"/>
            <w:vAlign w:val="center"/>
          </w:tcPr>
          <w:p w:rsidR="00545968"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Informes</w:t>
            </w:r>
          </w:p>
        </w:tc>
        <w:tc>
          <w:tcPr>
            <w:tcW w:w="1417" w:type="dxa"/>
            <w:tcBorders>
              <w:top w:val="nil"/>
              <w:left w:val="nil"/>
              <w:bottom w:val="single" w:sz="4" w:space="0" w:color="auto"/>
              <w:right w:val="single" w:sz="4" w:space="0" w:color="auto"/>
            </w:tcBorders>
            <w:shd w:val="clear" w:color="auto" w:fill="auto"/>
            <w:noWrap/>
            <w:vAlign w:val="center"/>
          </w:tcPr>
          <w:p w:rsidR="00545968"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545968"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16</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Consultoría integral para la Estructuración del Aeropuerto el Dorado II.</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Contrato</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1</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1</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asesoría técnica para Estructuración de Nuevos Proyectos en los modos Carreteros, férreos, Portuarios.</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Contrato</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2</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0</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Asesoría económica - Financiera para nuevos proyectos en los modos Carreteros, férreos, Portuarios.</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Contrato</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2</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0</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consultoría financiera especializada o banca de inversión que lleve a cabo el caso de negocio de un proyecto minero y de infraestructura</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Contrato</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1</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0</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evaluación de las Iniciativas Privadas bajo Esquema APPs Ley 1508 para los  modos Carretero, férreos y Aeroportuario.</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Contrato</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2</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677FE0" w:rsidP="00F94007">
            <w:pPr>
              <w:spacing w:after="0" w:line="240" w:lineRule="auto"/>
              <w:jc w:val="center"/>
              <w:rPr>
                <w:rFonts w:eastAsia="Times New Roman" w:cstheme="minorHAnsi"/>
                <w:color w:val="000000"/>
                <w:sz w:val="20"/>
              </w:rPr>
            </w:pPr>
            <w:r>
              <w:rPr>
                <w:rFonts w:eastAsia="Times New Roman" w:cstheme="minorHAnsi"/>
                <w:color w:val="000000"/>
                <w:sz w:val="20"/>
              </w:rPr>
              <w:t>4</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5F1431">
            <w:pPr>
              <w:spacing w:after="0" w:line="240" w:lineRule="auto"/>
              <w:rPr>
                <w:rFonts w:eastAsia="Times New Roman" w:cstheme="minorHAnsi"/>
                <w:color w:val="000000"/>
                <w:sz w:val="20"/>
              </w:rPr>
            </w:pPr>
            <w:r w:rsidRPr="00F94007">
              <w:rPr>
                <w:rFonts w:eastAsia="Times New Roman" w:cstheme="minorHAnsi"/>
                <w:color w:val="000000"/>
                <w:sz w:val="20"/>
              </w:rPr>
              <w:t xml:space="preserve"> Contratar la estructuración Técnica y financiera de 7 proyectos de tercera ola Cuarta Generación de Concesiones: Popayán Pasto, Bogotá Bucaramanga, Bucaramanga pamplona, Duitama - Pamplona - Cúcuta, Norte del Santander, Transversal Cusiana - carare - Boyacá, Manizales - Honda Villeta.</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5F1431" w:rsidP="00A50ACE">
            <w:pPr>
              <w:spacing w:after="0" w:line="240" w:lineRule="auto"/>
              <w:jc w:val="center"/>
              <w:rPr>
                <w:rFonts w:eastAsia="Times New Roman" w:cstheme="minorHAnsi"/>
                <w:color w:val="000000"/>
                <w:sz w:val="20"/>
              </w:rPr>
            </w:pPr>
            <w:r>
              <w:rPr>
                <w:rFonts w:eastAsia="Times New Roman" w:cstheme="minorHAnsi"/>
                <w:color w:val="000000"/>
                <w:sz w:val="20"/>
              </w:rPr>
              <w:t>Proyecto</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5F1431" w:rsidP="00A50ACE">
            <w:pPr>
              <w:spacing w:after="0" w:line="240" w:lineRule="auto"/>
              <w:jc w:val="center"/>
              <w:rPr>
                <w:rFonts w:eastAsia="Times New Roman" w:cstheme="minorHAnsi"/>
                <w:color w:val="000000"/>
                <w:sz w:val="20"/>
              </w:rPr>
            </w:pPr>
            <w:r>
              <w:rPr>
                <w:rFonts w:eastAsia="Times New Roman" w:cstheme="minorHAnsi"/>
                <w:color w:val="000000"/>
                <w:sz w:val="20"/>
              </w:rPr>
              <w:t>7</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5F1431" w:rsidP="00A50ACE">
            <w:pPr>
              <w:spacing w:after="0" w:line="240" w:lineRule="auto"/>
              <w:jc w:val="center"/>
              <w:rPr>
                <w:rFonts w:eastAsia="Times New Roman" w:cstheme="minorHAnsi"/>
                <w:color w:val="000000"/>
                <w:sz w:val="20"/>
              </w:rPr>
            </w:pPr>
            <w:r>
              <w:rPr>
                <w:rFonts w:eastAsia="Times New Roman" w:cstheme="minorHAnsi"/>
                <w:color w:val="000000"/>
                <w:sz w:val="20"/>
              </w:rPr>
              <w:t>6</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estructuración, evaluación técnica y financiera  de 10 proyectos de segunda ola: Neiva Girardot, Santana Mocoa, Rumichaca Pasto, Popayán - Santander de Quilichao, Villavicencio Yopal, Transversal de Sisga, Puerta del Hierro Cruz del Viso, BBY, Mar 1 y Mar 2.</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Resolución</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10</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8</w:t>
            </w:r>
          </w:p>
        </w:tc>
      </w:tr>
      <w:tr w:rsidR="00545968"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545968"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asesoría para analizar , verificar y evaluar como mínimo 6 proyectos de Iniciativa privada del programa 4G: GICA, Malla Vial del Meta, Antioquia Bolívar, Chalajara - Villavicencio, Cambao - Manizales, Cesar Guajira)</w:t>
            </w:r>
          </w:p>
        </w:tc>
        <w:tc>
          <w:tcPr>
            <w:tcW w:w="1349" w:type="dxa"/>
            <w:tcBorders>
              <w:top w:val="nil"/>
              <w:left w:val="nil"/>
              <w:bottom w:val="single" w:sz="4" w:space="0" w:color="auto"/>
              <w:right w:val="single" w:sz="4" w:space="0" w:color="auto"/>
            </w:tcBorders>
            <w:shd w:val="clear" w:color="auto" w:fill="auto"/>
            <w:vAlign w:val="center"/>
          </w:tcPr>
          <w:p w:rsidR="00545968"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Resolución</w:t>
            </w:r>
          </w:p>
        </w:tc>
        <w:tc>
          <w:tcPr>
            <w:tcW w:w="1417" w:type="dxa"/>
            <w:tcBorders>
              <w:top w:val="nil"/>
              <w:left w:val="nil"/>
              <w:bottom w:val="single" w:sz="4" w:space="0" w:color="auto"/>
              <w:right w:val="single" w:sz="4" w:space="0" w:color="auto"/>
            </w:tcBorders>
            <w:shd w:val="clear" w:color="auto" w:fill="auto"/>
            <w:noWrap/>
            <w:vAlign w:val="center"/>
          </w:tcPr>
          <w:p w:rsidR="00545968"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6</w:t>
            </w:r>
          </w:p>
        </w:tc>
        <w:tc>
          <w:tcPr>
            <w:tcW w:w="1134" w:type="dxa"/>
            <w:tcBorders>
              <w:top w:val="nil"/>
              <w:left w:val="nil"/>
              <w:bottom w:val="single" w:sz="4" w:space="0" w:color="auto"/>
              <w:right w:val="single" w:sz="4" w:space="0" w:color="auto"/>
            </w:tcBorders>
            <w:shd w:val="clear" w:color="auto" w:fill="auto"/>
            <w:noWrap/>
            <w:vAlign w:val="center"/>
          </w:tcPr>
          <w:p w:rsidR="00545968"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4</w:t>
            </w:r>
          </w:p>
        </w:tc>
      </w:tr>
      <w:tr w:rsidR="00F21140"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21140"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asesoría para analizar, verificar y evaluar como mínimo 3 proyectos Iniciativas privadas para el modo férreo: Proyecto Corredor Férreo Bogotá - Facatativá, Dorada - Chiriguana, Bogotá Belencito.</w:t>
            </w:r>
          </w:p>
        </w:tc>
        <w:tc>
          <w:tcPr>
            <w:tcW w:w="1349" w:type="dxa"/>
            <w:tcBorders>
              <w:top w:val="nil"/>
              <w:left w:val="nil"/>
              <w:bottom w:val="single" w:sz="4" w:space="0" w:color="auto"/>
              <w:right w:val="single" w:sz="4" w:space="0" w:color="auto"/>
            </w:tcBorders>
            <w:shd w:val="clear" w:color="auto" w:fill="auto"/>
            <w:vAlign w:val="center"/>
          </w:tcPr>
          <w:p w:rsidR="00F21140"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Resolución</w:t>
            </w:r>
          </w:p>
        </w:tc>
        <w:tc>
          <w:tcPr>
            <w:tcW w:w="1417" w:type="dxa"/>
            <w:tcBorders>
              <w:top w:val="nil"/>
              <w:left w:val="nil"/>
              <w:bottom w:val="single" w:sz="4" w:space="0" w:color="auto"/>
              <w:right w:val="single" w:sz="4" w:space="0" w:color="auto"/>
            </w:tcBorders>
            <w:shd w:val="clear" w:color="auto" w:fill="auto"/>
            <w:noWrap/>
            <w:vAlign w:val="center"/>
          </w:tcPr>
          <w:p w:rsidR="00F21140"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3</w:t>
            </w:r>
          </w:p>
        </w:tc>
        <w:tc>
          <w:tcPr>
            <w:tcW w:w="1134" w:type="dxa"/>
            <w:tcBorders>
              <w:top w:val="nil"/>
              <w:left w:val="nil"/>
              <w:bottom w:val="single" w:sz="4" w:space="0" w:color="auto"/>
              <w:right w:val="single" w:sz="4" w:space="0" w:color="auto"/>
            </w:tcBorders>
            <w:shd w:val="clear" w:color="auto" w:fill="auto"/>
            <w:noWrap/>
            <w:vAlign w:val="center"/>
          </w:tcPr>
          <w:p w:rsidR="00F21140"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0</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evaluación  técnica - financiera de las Solicitudes Portuarias  por lo menos de 12 proyectos para fijación de Condiciones y/o Otorgamiento: Cayao, Antillana, Buscaja, Soc el Golfo, Sungmin, Oinsas, Gas Licuado del Caribe, CCX, Petrodecol, Retramar, Puerto Antioquia.</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Resolución</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12</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5</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Contratar la asesoría  para contribuir en el desarrollo de la gestión de promoción y Socialización de los proyectos en el marco de la  Cuarta Generación de Concesiones.</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Informes</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24</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6</w:t>
            </w:r>
          </w:p>
        </w:tc>
      </w:tr>
      <w:tr w:rsidR="00F94007" w:rsidRPr="00541BCE" w:rsidTr="00B323F1">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rsidR="00F94007" w:rsidRPr="00F94007" w:rsidRDefault="00F94007" w:rsidP="00F94007">
            <w:pPr>
              <w:spacing w:after="0" w:line="240" w:lineRule="auto"/>
              <w:rPr>
                <w:rFonts w:eastAsia="Times New Roman" w:cstheme="minorHAnsi"/>
                <w:color w:val="000000"/>
                <w:sz w:val="20"/>
              </w:rPr>
            </w:pPr>
            <w:r w:rsidRPr="00F94007">
              <w:rPr>
                <w:rFonts w:eastAsia="Times New Roman" w:cstheme="minorHAnsi"/>
                <w:color w:val="000000"/>
                <w:sz w:val="20"/>
              </w:rPr>
              <w:t xml:space="preserve">Asesorar  en el proceso requerido para la instalación de nuevas casetas de peajes o aumento de las tarifas en los peajes existentes en los corredores que hacen parte de los proyectos de cuarta generación de concesiones </w:t>
            </w:r>
          </w:p>
        </w:tc>
        <w:tc>
          <w:tcPr>
            <w:tcW w:w="1349" w:type="dxa"/>
            <w:tcBorders>
              <w:top w:val="nil"/>
              <w:left w:val="nil"/>
              <w:bottom w:val="single" w:sz="4" w:space="0" w:color="auto"/>
              <w:right w:val="single" w:sz="4" w:space="0" w:color="auto"/>
            </w:tcBorders>
            <w:shd w:val="clear" w:color="auto" w:fill="auto"/>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Socializaciones</w:t>
            </w:r>
          </w:p>
        </w:tc>
        <w:tc>
          <w:tcPr>
            <w:tcW w:w="1417" w:type="dxa"/>
            <w:tcBorders>
              <w:top w:val="nil"/>
              <w:left w:val="nil"/>
              <w:bottom w:val="single" w:sz="4" w:space="0" w:color="auto"/>
              <w:right w:val="single" w:sz="4" w:space="0" w:color="auto"/>
            </w:tcBorders>
            <w:shd w:val="clear" w:color="auto" w:fill="auto"/>
            <w:noWrap/>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12</w:t>
            </w:r>
          </w:p>
        </w:tc>
        <w:tc>
          <w:tcPr>
            <w:tcW w:w="1134" w:type="dxa"/>
            <w:tcBorders>
              <w:top w:val="nil"/>
              <w:left w:val="nil"/>
              <w:bottom w:val="single" w:sz="4" w:space="0" w:color="auto"/>
              <w:right w:val="single" w:sz="4" w:space="0" w:color="auto"/>
            </w:tcBorders>
            <w:shd w:val="clear" w:color="auto" w:fill="auto"/>
            <w:noWrap/>
            <w:vAlign w:val="center"/>
          </w:tcPr>
          <w:p w:rsidR="00F94007" w:rsidRPr="00F94007" w:rsidRDefault="005F1431" w:rsidP="00F94007">
            <w:pPr>
              <w:spacing w:after="0" w:line="240" w:lineRule="auto"/>
              <w:jc w:val="center"/>
              <w:rPr>
                <w:rFonts w:eastAsia="Times New Roman" w:cstheme="minorHAnsi"/>
                <w:color w:val="000000"/>
                <w:sz w:val="20"/>
              </w:rPr>
            </w:pPr>
            <w:r>
              <w:rPr>
                <w:rFonts w:eastAsia="Times New Roman" w:cstheme="minorHAnsi"/>
                <w:color w:val="000000"/>
                <w:sz w:val="20"/>
              </w:rPr>
              <w:t>28</w:t>
            </w:r>
          </w:p>
        </w:tc>
      </w:tr>
    </w:tbl>
    <w:p w:rsidR="00B323F1" w:rsidRPr="00B323F1" w:rsidRDefault="00B323F1" w:rsidP="00B323F1">
      <w:pPr>
        <w:jc w:val="both"/>
      </w:pPr>
      <w:r>
        <w:lastRenderedPageBreak/>
        <w:t>Durante el segundo trimestre</w:t>
      </w:r>
      <w:r w:rsidRPr="00B323F1">
        <w:t xml:space="preserve"> se puede evidenciar </w:t>
      </w:r>
      <w:r>
        <w:t>respecto de las</w:t>
      </w:r>
      <w:r w:rsidRPr="00B323F1">
        <w:t xml:space="preserve"> actividades relacionadas con asesorar en materia técnica, financieras y en contribuir para la gestión de promoción y socialización de proyecto se puede evidenciar </w:t>
      </w:r>
      <w:r>
        <w:t xml:space="preserve">los avances en </w:t>
      </w:r>
      <w:r w:rsidRPr="00B323F1">
        <w:t>los informes de ejecución presentados por los contratistas cada mes, los</w:t>
      </w:r>
      <w:r>
        <w:t xml:space="preserve"> cuales reposan en la Vicepresidencia</w:t>
      </w:r>
      <w:r w:rsidRPr="00B323F1">
        <w:t>.</w:t>
      </w:r>
    </w:p>
    <w:p w:rsidR="00B323F1" w:rsidRPr="00B323F1" w:rsidRDefault="00B323F1" w:rsidP="00B323F1">
      <w:pPr>
        <w:jc w:val="both"/>
      </w:pPr>
      <w:r w:rsidRPr="00B323F1">
        <w:t xml:space="preserve"> Con relación a la estructuración de los proyectos de tercera ola del Programa de la Cuarta Generación de Concesiones, se evidencia la estructuración de los corredores a cargo del fondo adaptación en el marco de los convenios suscrito, así mismo, en  la asesoría para analizar y evaluar las iniciativas privadas, como se puede detallar los siguientes proyectos: </w:t>
      </w:r>
    </w:p>
    <w:p w:rsidR="00B323F1" w:rsidRPr="008C5064" w:rsidRDefault="00B323F1" w:rsidP="00B323F1">
      <w:pPr>
        <w:jc w:val="both"/>
        <w:rPr>
          <w:rFonts w:ascii="Calibri" w:hAnsi="Calibri"/>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3969"/>
        <w:gridCol w:w="1276"/>
        <w:gridCol w:w="2977"/>
      </w:tblGrid>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b/>
                <w:lang w:eastAsia="en-US"/>
              </w:rPr>
            </w:pPr>
            <w:r w:rsidRPr="008C5064">
              <w:rPr>
                <w:rFonts w:ascii="Calibri" w:hAnsi="Calibri"/>
                <w:b/>
              </w:rPr>
              <w:t>Proyecto</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b/>
              </w:rPr>
            </w:pPr>
            <w:r w:rsidRPr="008C5064">
              <w:rPr>
                <w:rFonts w:ascii="Calibri" w:hAnsi="Calibri"/>
                <w:b/>
              </w:rPr>
              <w:t>Res.</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b/>
              </w:rPr>
            </w:pPr>
            <w:r w:rsidRPr="008C5064">
              <w:rPr>
                <w:rFonts w:ascii="Calibri" w:hAnsi="Calibri"/>
                <w:b/>
              </w:rPr>
              <w:t>Resuelve</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b/>
              </w:rPr>
            </w:pPr>
            <w:r w:rsidRPr="008C5064">
              <w:rPr>
                <w:rFonts w:ascii="Calibri" w:hAnsi="Calibri"/>
                <w:b/>
              </w:rPr>
              <w:t>Valor</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b/>
              </w:rPr>
            </w:pPr>
            <w:r w:rsidRPr="008C5064">
              <w:rPr>
                <w:rFonts w:ascii="Calibri" w:hAnsi="Calibri"/>
                <w:b/>
              </w:rPr>
              <w:t>Objeto</w:t>
            </w: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jc w:val="center"/>
              <w:rPr>
                <w:rFonts w:ascii="Calibri" w:hAnsi="Calibri" w:cs="Arial"/>
                <w:b/>
                <w:sz w:val="16"/>
              </w:rPr>
            </w:pPr>
            <w:r w:rsidRPr="008C5064">
              <w:rPr>
                <w:rFonts w:ascii="Calibri" w:hAnsi="Calibri" w:cs="Arial"/>
                <w:b/>
                <w:sz w:val="16"/>
              </w:rPr>
              <w:t>Popayán – Santander de Quilichao</w:t>
            </w:r>
          </w:p>
          <w:p w:rsidR="00B323F1" w:rsidRPr="008C5064" w:rsidRDefault="00B323F1" w:rsidP="00F331D7">
            <w:pPr>
              <w:jc w:val="center"/>
              <w:rPr>
                <w:rFonts w:ascii="Calibri" w:hAnsi="Calibri" w:cs="Arial"/>
                <w:b/>
                <w:sz w:val="16"/>
              </w:rPr>
            </w:pPr>
            <w:r w:rsidRPr="008C5064">
              <w:rPr>
                <w:rFonts w:ascii="Calibri" w:hAnsi="Calibri" w:cs="Arial"/>
                <w:sz w:val="14"/>
                <w:szCs w:val="24"/>
              </w:rPr>
              <w:t>No. VJ-VE-IP-LP-018-2013</w:t>
            </w:r>
          </w:p>
          <w:p w:rsidR="00B323F1" w:rsidRPr="008C5064" w:rsidRDefault="00B323F1" w:rsidP="00F331D7">
            <w:pPr>
              <w:jc w:val="center"/>
              <w:rPr>
                <w:rFonts w:ascii="Calibri" w:hAnsi="Calibri" w:cs="Arial"/>
                <w:b/>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t>938  16 de Junio de 2015</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autoSpaceDE w:val="0"/>
              <w:autoSpaceDN w:val="0"/>
              <w:adjustRightInd w:val="0"/>
              <w:jc w:val="both"/>
              <w:rPr>
                <w:rFonts w:ascii="Calibri" w:hAnsi="Calibri" w:cs="Arial"/>
                <w:sz w:val="14"/>
                <w:szCs w:val="16"/>
              </w:rPr>
            </w:pPr>
            <w:r w:rsidRPr="008C5064">
              <w:rPr>
                <w:rFonts w:ascii="Calibri" w:hAnsi="Calibri" w:cs="Arial"/>
                <w:b/>
                <w:bCs/>
                <w:sz w:val="14"/>
                <w:szCs w:val="16"/>
              </w:rPr>
              <w:t xml:space="preserve">ARTICULO PRIMERO: </w:t>
            </w:r>
            <w:r w:rsidRPr="008C5064">
              <w:rPr>
                <w:rFonts w:ascii="Calibri" w:hAnsi="Calibri" w:cs="Arial"/>
                <w:sz w:val="14"/>
                <w:szCs w:val="16"/>
              </w:rPr>
              <w:t xml:space="preserve">Adjudicar la Licitación Pública No. VJ-VE-IP-LP-018-2013, la cual tiene por objeto </w:t>
            </w:r>
            <w:r w:rsidRPr="008C5064">
              <w:rPr>
                <w:rFonts w:ascii="Calibri" w:hAnsi="Calibri" w:cs="Arial"/>
                <w:i/>
                <w:iCs/>
                <w:sz w:val="14"/>
                <w:szCs w:val="16"/>
              </w:rPr>
              <w:t>“Seleccionar la Oferta más favorable para la adjudicación de un (1) Contrato de Concesión bajo el esquema de APP, para que el Concesionario realice a su cuenta y riesgo la realización de estudios y diseños definitivos, financiación, gestión ambiental, predial y social, construcción, mejoramiento, rehabilitación, operación, mantenimiento y reversión de la doble calzada entre Popayán y Santander de Quilichao, de acuerdo con el Apéndice Técnico 1 de la Minuta del Contrato”.</w:t>
            </w:r>
            <w:r w:rsidRPr="008C5064">
              <w:rPr>
                <w:rFonts w:ascii="Calibri" w:hAnsi="Calibri" w:cs="Arial"/>
                <w:sz w:val="14"/>
                <w:szCs w:val="16"/>
              </w:rPr>
              <w:t xml:space="preserve">, a la ESTRUCTURA PLURAL HIDALGO E HIDALGO S.A. SUCURSAL COLOMBIA - HIDALGO E HIDALGO COLOMBIA S.A.S conformada por CASS CONSTRUCTORES Y CÍA SCA identificada con NIT. No.900.018.975-1, CARLOS ALBERTO SOLARTE SOLARTE identificado con NIT. No. 5.199.222-1, HIDALGO E HIDALGO S.A. SUCURSAL COLOMBIA identificada con NIT No. 900.397.334-3, HIDALGO E HIDALGO COLOMBIA SAS, identificada con NIT No. 900.354.637-5, representada por el apoderado común MANUEL IGNACIO PEÑA UNDA identificado con C.E.397928. La adjudicación se efectúa por un valor de </w:t>
            </w:r>
            <w:r w:rsidRPr="008C5064">
              <w:rPr>
                <w:rFonts w:ascii="Calibri" w:hAnsi="Calibri" w:cs="Arial"/>
                <w:b/>
                <w:bCs/>
                <w:sz w:val="14"/>
                <w:szCs w:val="16"/>
              </w:rPr>
              <w:t xml:space="preserve">NOVECIENTOS VEINTISIETE MIL CIENTO OCHENTA Y OCHO MILLONES SEISCIENTOS OCHENTA Y DOS MIL SEISCIENTOS PESOS </w:t>
            </w:r>
            <w:r w:rsidRPr="008C5064">
              <w:rPr>
                <w:rFonts w:ascii="Calibri" w:hAnsi="Calibri" w:cs="Arial"/>
                <w:sz w:val="14"/>
                <w:szCs w:val="16"/>
              </w:rPr>
              <w:t xml:space="preserve">de diciembre de 2013 </w:t>
            </w:r>
            <w:r w:rsidRPr="008C5064">
              <w:rPr>
                <w:rFonts w:ascii="Calibri" w:hAnsi="Calibri" w:cs="Arial"/>
                <w:b/>
                <w:bCs/>
                <w:sz w:val="14"/>
                <w:szCs w:val="16"/>
              </w:rPr>
              <w:t>($927.188.682.600.oo)</w:t>
            </w:r>
            <w:r w:rsidRPr="008C5064">
              <w:rPr>
                <w:rFonts w:ascii="Calibri" w:hAnsi="Calibri" w:cs="Arial"/>
                <w:sz w:val="14"/>
                <w:szCs w:val="16"/>
              </w:rPr>
              <w:t>, este valor corresponde a la vigencias solicitadas por el oferente de acuerdo con la propuesta económica.</w:t>
            </w:r>
          </w:p>
          <w:p w:rsidR="00B323F1" w:rsidRPr="008C5064" w:rsidRDefault="00B323F1" w:rsidP="00F331D7">
            <w:pPr>
              <w:autoSpaceDE w:val="0"/>
              <w:autoSpaceDN w:val="0"/>
              <w:adjustRightInd w:val="0"/>
              <w:jc w:val="both"/>
              <w:rPr>
                <w:rFonts w:ascii="Calibri" w:hAnsi="Calibri" w:cs="Arial"/>
                <w:b/>
                <w:bCs/>
                <w:sz w:val="1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cs="Arial"/>
                <w:b/>
                <w:bCs/>
                <w:sz w:val="12"/>
                <w:szCs w:val="24"/>
              </w:rPr>
            </w:pPr>
            <w:r w:rsidRPr="008C5064">
              <w:rPr>
                <w:rFonts w:ascii="Calibri" w:hAnsi="Calibri" w:cs="Arial"/>
                <w:b/>
                <w:bCs/>
                <w:sz w:val="12"/>
                <w:szCs w:val="24"/>
              </w:rPr>
              <w:t>$927.188.682.600.</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iCs/>
                <w:sz w:val="14"/>
                <w:szCs w:val="24"/>
              </w:rPr>
            </w:pPr>
            <w:r w:rsidRPr="008C5064">
              <w:rPr>
                <w:rFonts w:ascii="Calibri" w:hAnsi="Calibri" w:cs="Arial"/>
                <w:iCs/>
                <w:sz w:val="14"/>
                <w:szCs w:val="24"/>
              </w:rPr>
              <w:t>“Seleccionar la Oferta más favorable para la adjudicación de un (1) Contrato de Concesión bajo el esquema de APP, para que el Concesionario realice a su cuenta y riesgo la realización de estudios y diseños definitivos, financiación, gestión ambiental, predial y social, construcción, mejoramiento, rehabilitación, operación, mantenimiento y reversión de la doble calzada entre Popayán y Santander de Quilichao, de acuerdo con el Apéndice Técnico 1 de la Minuta del Contrato”</w:t>
            </w: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center"/>
              <w:rPr>
                <w:rFonts w:ascii="Calibri" w:hAnsi="Calibri" w:cs="Arial"/>
                <w:b/>
                <w:sz w:val="16"/>
              </w:rPr>
            </w:pPr>
            <w:r w:rsidRPr="008C5064">
              <w:rPr>
                <w:rFonts w:ascii="Calibri" w:hAnsi="Calibri" w:cs="Arial"/>
                <w:b/>
                <w:sz w:val="16"/>
              </w:rPr>
              <w:t>Villavicencio – Yopal</w:t>
            </w:r>
          </w:p>
          <w:p w:rsidR="00B323F1" w:rsidRPr="008C5064" w:rsidRDefault="00B323F1" w:rsidP="00F331D7">
            <w:pPr>
              <w:jc w:val="center"/>
              <w:rPr>
                <w:rFonts w:ascii="Calibri" w:hAnsi="Calibri" w:cs="Arial"/>
                <w:b/>
                <w:sz w:val="16"/>
              </w:rPr>
            </w:pPr>
            <w:r w:rsidRPr="008C5064">
              <w:rPr>
                <w:rFonts w:ascii="Calibri" w:hAnsi="Calibri" w:cs="Arial"/>
                <w:sz w:val="14"/>
                <w:szCs w:val="24"/>
              </w:rPr>
              <w:t>No. VJ-VE-IP-LP-015-2013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t>886 de 2 de Junio de 2015</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pStyle w:val="Default0"/>
              <w:jc w:val="both"/>
              <w:rPr>
                <w:sz w:val="14"/>
                <w:szCs w:val="22"/>
              </w:rPr>
            </w:pPr>
            <w:r w:rsidRPr="008C5064">
              <w:rPr>
                <w:b/>
                <w:bCs/>
                <w:sz w:val="14"/>
                <w:szCs w:val="22"/>
              </w:rPr>
              <w:t xml:space="preserve">ARTICULO PRIMERO: </w:t>
            </w:r>
            <w:r w:rsidRPr="008C5064">
              <w:rPr>
                <w:sz w:val="14"/>
                <w:szCs w:val="22"/>
              </w:rPr>
              <w:t xml:space="preserve">Adjudicar la </w:t>
            </w:r>
            <w:r w:rsidRPr="008C5064">
              <w:rPr>
                <w:b/>
                <w:bCs/>
                <w:sz w:val="14"/>
                <w:szCs w:val="22"/>
              </w:rPr>
              <w:t>LICITACIÓN PÚBLICA No. VJ-VE-IP-LP-015-2013</w:t>
            </w:r>
            <w:r w:rsidRPr="008C5064">
              <w:rPr>
                <w:sz w:val="14"/>
                <w:szCs w:val="22"/>
              </w:rPr>
              <w:t>, la cual tiene por objeto “</w:t>
            </w:r>
            <w:r w:rsidRPr="008C5064">
              <w:rPr>
                <w:i/>
                <w:iCs/>
                <w:sz w:val="14"/>
                <w:szCs w:val="22"/>
              </w:rPr>
              <w:t xml:space="preserve">Seleccionar la Oferta más favorable para la Adjudicación de un (1) Contrato de Concesión bajo el esquema de APP, cuyo objeto será los estudios y diseños, Construcción, Rehabilitación, Mejoramiento, Operación y Mantenimiento, Gestión Predial, Gestión Social y Ambiental y Reversión del  corredor Villavicencio – Yopal, de acuerdo con el Apéndice Técnico 1 de la Minuta del Contrato”, </w:t>
            </w:r>
            <w:r w:rsidRPr="008C5064">
              <w:rPr>
                <w:sz w:val="14"/>
                <w:szCs w:val="22"/>
              </w:rPr>
              <w:t xml:space="preserve">a la </w:t>
            </w:r>
            <w:r w:rsidRPr="008C5064">
              <w:rPr>
                <w:b/>
                <w:bCs/>
                <w:sz w:val="14"/>
                <w:szCs w:val="22"/>
              </w:rPr>
              <w:t>ESTRUCTURA PLURAL ARAUCA 3</w:t>
            </w:r>
            <w:r w:rsidRPr="008C5064">
              <w:rPr>
                <w:sz w:val="14"/>
                <w:szCs w:val="22"/>
              </w:rPr>
              <w:t xml:space="preserve">,  conformada por </w:t>
            </w:r>
            <w:r w:rsidRPr="008C5064">
              <w:rPr>
                <w:b/>
                <w:bCs/>
                <w:sz w:val="14"/>
                <w:szCs w:val="22"/>
              </w:rPr>
              <w:t xml:space="preserve">EPISOL S.A.S. y CONCECOL S.A.S., </w:t>
            </w:r>
            <w:r w:rsidRPr="008C5064">
              <w:rPr>
                <w:sz w:val="14"/>
                <w:szCs w:val="22"/>
              </w:rPr>
              <w:t xml:space="preserve">cuyo apoderado común es </w:t>
            </w:r>
            <w:r w:rsidRPr="008C5064">
              <w:rPr>
                <w:b/>
                <w:bCs/>
                <w:sz w:val="14"/>
                <w:szCs w:val="22"/>
              </w:rPr>
              <w:t xml:space="preserve">ÁLVARO MIGUEL OEDING, </w:t>
            </w:r>
            <w:r w:rsidRPr="008C5064">
              <w:rPr>
                <w:sz w:val="14"/>
                <w:szCs w:val="22"/>
              </w:rPr>
              <w:t xml:space="preserve">identificado con C.C No. 72.288.981 de Barranquilla. La adjudicación se efectúa por un valor de $1.069.158.224.505 pesos constantes del 31 diciembre de 2013. Este valor corresponde a las vigencias solicitadas por el oferente de acuerdo con la propuesta económica. </w:t>
            </w:r>
          </w:p>
          <w:p w:rsidR="00B323F1" w:rsidRPr="008C5064" w:rsidRDefault="00B323F1" w:rsidP="00F331D7">
            <w:pPr>
              <w:autoSpaceDE w:val="0"/>
              <w:autoSpaceDN w:val="0"/>
              <w:adjustRightInd w:val="0"/>
              <w:jc w:val="both"/>
              <w:rPr>
                <w:rFonts w:ascii="Calibri" w:hAnsi="Calibri" w:cs="Arial"/>
                <w:b/>
                <w:bCs/>
                <w:sz w:val="1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cs="Arial"/>
                <w:b/>
                <w:bCs/>
                <w:sz w:val="12"/>
                <w:szCs w:val="24"/>
              </w:rPr>
            </w:pPr>
            <w:r w:rsidRPr="008C5064">
              <w:rPr>
                <w:rFonts w:ascii="Calibri" w:hAnsi="Calibri" w:cs="Arial"/>
                <w:b/>
                <w:bCs/>
                <w:sz w:val="12"/>
                <w:szCs w:val="24"/>
              </w:rPr>
              <w:t>$1.069.158.224.505</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iCs/>
                <w:sz w:val="14"/>
                <w:szCs w:val="24"/>
              </w:rPr>
            </w:pPr>
            <w:r w:rsidRPr="008C5064">
              <w:rPr>
                <w:rFonts w:ascii="Calibri" w:hAnsi="Calibri" w:cs="Arial"/>
                <w:iCs/>
                <w:sz w:val="14"/>
                <w:szCs w:val="24"/>
              </w:rPr>
              <w:t>“Seleccionar la Oferta más favorable para la Adjudicación de un (1) Contrato de Concesión bajo el esquema de APP, cuyo objeto será los estudios y diseños, Construcción, Rehabilitación, Mejoramiento, Operación y Mantenimiento, Gestión Predial, Gestión Social y Ambiental y Reversión del  corredor Villavicencio – Yopal, de acuerdo con el Apéndice Técnico 1 de la Minuta del Contrato”</w:t>
            </w: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center"/>
              <w:rPr>
                <w:rFonts w:ascii="Calibri" w:hAnsi="Calibri" w:cs="Arial"/>
                <w:b/>
                <w:sz w:val="16"/>
              </w:rPr>
            </w:pPr>
            <w:r w:rsidRPr="008C5064">
              <w:rPr>
                <w:rFonts w:ascii="Calibri" w:hAnsi="Calibri" w:cs="Arial"/>
                <w:b/>
                <w:sz w:val="16"/>
              </w:rPr>
              <w:t>Puerta de Hierro</w:t>
            </w:r>
          </w:p>
          <w:p w:rsidR="00B323F1" w:rsidRPr="008C5064" w:rsidRDefault="00B323F1" w:rsidP="00F331D7">
            <w:pPr>
              <w:jc w:val="center"/>
              <w:rPr>
                <w:rFonts w:ascii="Calibri" w:hAnsi="Calibri" w:cs="Arial"/>
                <w:b/>
                <w:sz w:val="16"/>
              </w:rPr>
            </w:pPr>
            <w:r w:rsidRPr="008C5064">
              <w:rPr>
                <w:rFonts w:ascii="Calibri" w:hAnsi="Calibri" w:cs="Arial"/>
                <w:sz w:val="14"/>
                <w:szCs w:val="24"/>
              </w:rPr>
              <w:lastRenderedPageBreak/>
              <w:t>No. VJ-VE-IP-LP-016-2013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lastRenderedPageBreak/>
              <w:t>822  19 de  Mayo de 2015</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autoSpaceDE w:val="0"/>
              <w:autoSpaceDN w:val="0"/>
              <w:adjustRightInd w:val="0"/>
              <w:jc w:val="both"/>
              <w:rPr>
                <w:rFonts w:ascii="Calibri" w:hAnsi="Calibri" w:cs="Arial"/>
                <w:b/>
                <w:sz w:val="14"/>
                <w:szCs w:val="14"/>
              </w:rPr>
            </w:pPr>
            <w:r w:rsidRPr="008C5064">
              <w:rPr>
                <w:rFonts w:ascii="Calibri" w:hAnsi="Calibri" w:cs="Arial"/>
                <w:sz w:val="14"/>
                <w:szCs w:val="14"/>
              </w:rPr>
              <w:t xml:space="preserve">ARTICULO PRIMERO: Adjudicar la LICITACIÓN PÚBLICA No. VJ-VE-IP-LP-016-2013, la cual tiene por objeto </w:t>
            </w:r>
            <w:r w:rsidRPr="008C5064">
              <w:rPr>
                <w:rFonts w:ascii="Calibri" w:hAnsi="Calibri" w:cs="Arial"/>
                <w:i/>
                <w:sz w:val="14"/>
                <w:szCs w:val="14"/>
              </w:rPr>
              <w:t xml:space="preserve">“Seleccionar la Oferta más favorable para la adjudicación de un (1) Contrato de Concesión bajo el esquema de APP, para que el concesionario realice a su cuenta y riesgo la elaboración de los estudios y diseños definitivos, </w:t>
            </w:r>
            <w:r w:rsidRPr="008C5064">
              <w:rPr>
                <w:rFonts w:ascii="Calibri" w:hAnsi="Calibri" w:cs="Arial"/>
                <w:i/>
                <w:sz w:val="14"/>
                <w:szCs w:val="14"/>
              </w:rPr>
              <w:lastRenderedPageBreak/>
              <w:t>financiación, el tramite y obtención de las Licencias Ambientales y demás permisos necesarios, la gestión y adquisición de los Predios la gestión social, la construcción de la variante de Carmen de Bolívar, el mejoramiento de la vía existente Puerto de Hierro – Palmar de Varela y Carreto – Cruz del Visa 195 km y la operación y mantenimiento de todo el Corredor Vial, de acuerdo con el Apéndice Técnico 1 de la minuta del Contrato"</w:t>
            </w:r>
            <w:r w:rsidRPr="008C5064">
              <w:rPr>
                <w:rFonts w:ascii="Calibri" w:hAnsi="Calibri" w:cs="Arial"/>
                <w:sz w:val="14"/>
                <w:szCs w:val="14"/>
              </w:rPr>
              <w:t>, a la ESTRUCTURA PLURAL EP SAC 4G, conformada por SACYR CONCESIONES COLOMBIA S.A.S identificada con NIT. No 900-595-161-5, representada legalmente por LEOPOLDO JOSE PELLON REVUELTA identificado con C.E. No. 279413.</w:t>
            </w:r>
          </w:p>
          <w:p w:rsidR="00B323F1" w:rsidRPr="008C5064" w:rsidRDefault="00B323F1" w:rsidP="00F331D7">
            <w:pPr>
              <w:autoSpaceDE w:val="0"/>
              <w:autoSpaceDN w:val="0"/>
              <w:adjustRightInd w:val="0"/>
              <w:jc w:val="both"/>
              <w:rPr>
                <w:rFonts w:ascii="Calibri" w:eastAsia="Calibri" w:hAnsi="Calibri" w:cs="Arial"/>
                <w:sz w:val="14"/>
                <w:szCs w:val="14"/>
              </w:rPr>
            </w:pPr>
            <w:r w:rsidRPr="008C5064">
              <w:rPr>
                <w:rFonts w:ascii="Calibri" w:hAnsi="Calibri" w:cs="Arial"/>
                <w:sz w:val="14"/>
                <w:szCs w:val="14"/>
              </w:rPr>
              <w:t>La adjudicación se efectúa por un valor de DOSCIENTOS SETENTA Y CINCO MIL SEIS MILLONES OCHOCHIENTOS TRECE MIL DOSCIENTOS CINCO PESOS de diciembre de 2013 ($275.006.813.205.oo) este valor corresponde a la vigencias solicitadas por el oferente de acuerdo con la propuesta económica</w:t>
            </w:r>
          </w:p>
          <w:p w:rsidR="00B323F1" w:rsidRPr="008C5064" w:rsidRDefault="00B323F1" w:rsidP="00F331D7">
            <w:pPr>
              <w:autoSpaceDE w:val="0"/>
              <w:autoSpaceDN w:val="0"/>
              <w:adjustRightInd w:val="0"/>
              <w:jc w:val="both"/>
              <w:rPr>
                <w:rFonts w:ascii="Calibri" w:hAnsi="Calibri" w:cs="Arial"/>
                <w:b/>
                <w:bCs/>
                <w:sz w:val="14"/>
                <w:szCs w:val="24"/>
              </w:rPr>
            </w:pPr>
            <w:r w:rsidRPr="008C5064">
              <w:rPr>
                <w:rFonts w:ascii="Calibri" w:hAnsi="Calibri" w:cs="Arial"/>
                <w:sz w:val="14"/>
              </w:rPr>
              <w:t>en el artículo 19 del Decreto 1510 de 2013.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cs="Arial"/>
                <w:b/>
                <w:bCs/>
                <w:sz w:val="12"/>
                <w:szCs w:val="24"/>
              </w:rPr>
            </w:pPr>
            <w:r w:rsidRPr="008C5064">
              <w:rPr>
                <w:rFonts w:ascii="Calibri" w:hAnsi="Calibri" w:cs="Arial"/>
                <w:b/>
                <w:bCs/>
                <w:sz w:val="12"/>
                <w:szCs w:val="24"/>
              </w:rPr>
              <w:lastRenderedPageBreak/>
              <w:t>$275.006.813.205</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iCs/>
                <w:sz w:val="14"/>
                <w:szCs w:val="24"/>
              </w:rPr>
            </w:pPr>
            <w:r w:rsidRPr="008C5064">
              <w:rPr>
                <w:rFonts w:ascii="Calibri" w:hAnsi="Calibri" w:cs="Arial"/>
                <w:iCs/>
                <w:sz w:val="14"/>
                <w:szCs w:val="24"/>
              </w:rPr>
              <w:t xml:space="preserve">“Seleccionar la Oferta más favorable para la adjudicación de un (1) Contrato de Concesión bajo el esquema de APP, para que el concesionario realice a su cuenta y riesgo la elaboración de los estudios y diseños definitivos, </w:t>
            </w:r>
            <w:r w:rsidRPr="008C5064">
              <w:rPr>
                <w:rFonts w:ascii="Calibri" w:hAnsi="Calibri" w:cs="Arial"/>
                <w:iCs/>
                <w:sz w:val="14"/>
                <w:szCs w:val="24"/>
              </w:rPr>
              <w:lastRenderedPageBreak/>
              <w:t>financiación, el tramite y obtención de las Licencias Ambientales y demás permisos necesarios, la gestión y adquisición de los Predios la gestión social, la construcción de la variante de Carmen de Bolívar, el mejoramiento de la vía existente Puerto de Hierro – Palmar de Varela y Carreto – Cruz del Visa 195 km y la operación y mantenimiento de todo el Corredor Vial, de acuerdo con el Apéndice Técnico 1 de la minuta del Contrato"</w:t>
            </w: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center"/>
              <w:rPr>
                <w:rFonts w:ascii="Calibri" w:hAnsi="Calibri" w:cs="Arial"/>
                <w:b/>
                <w:sz w:val="16"/>
              </w:rPr>
            </w:pPr>
            <w:r w:rsidRPr="008C5064">
              <w:rPr>
                <w:rFonts w:ascii="Calibri" w:hAnsi="Calibri" w:cs="Arial"/>
                <w:b/>
                <w:sz w:val="16"/>
              </w:rPr>
              <w:lastRenderedPageBreak/>
              <w:t>Autopista  Mar 1</w:t>
            </w:r>
          </w:p>
          <w:p w:rsidR="00B323F1" w:rsidRPr="008C5064" w:rsidRDefault="00B323F1" w:rsidP="00F331D7">
            <w:pPr>
              <w:jc w:val="center"/>
              <w:rPr>
                <w:rFonts w:ascii="Calibri" w:hAnsi="Calibri" w:cs="Arial"/>
                <w:b/>
                <w:sz w:val="16"/>
              </w:rPr>
            </w:pPr>
            <w:r w:rsidRPr="008C5064">
              <w:rPr>
                <w:rFonts w:ascii="Calibri" w:hAnsi="Calibri" w:cs="Arial"/>
                <w:b/>
                <w:bCs/>
                <w:i/>
                <w:iCs/>
                <w:sz w:val="14"/>
              </w:rPr>
              <w:t>No. VJ-VE-IP-LP-022 -2013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t>1110  30 de Junio de 2015</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autoSpaceDE w:val="0"/>
              <w:autoSpaceDN w:val="0"/>
              <w:adjustRightInd w:val="0"/>
              <w:jc w:val="both"/>
              <w:rPr>
                <w:rFonts w:ascii="Calibri" w:hAnsi="Calibri" w:cs="Arial"/>
                <w:i/>
                <w:iCs/>
                <w:sz w:val="14"/>
              </w:rPr>
            </w:pPr>
            <w:r w:rsidRPr="008C5064">
              <w:rPr>
                <w:rFonts w:ascii="Calibri" w:hAnsi="Calibri" w:cs="Arial"/>
                <w:b/>
                <w:bCs/>
                <w:i/>
                <w:iCs/>
                <w:sz w:val="14"/>
              </w:rPr>
              <w:t xml:space="preserve">ARTICULO PRIMERO: </w:t>
            </w:r>
            <w:r w:rsidRPr="008C5064">
              <w:rPr>
                <w:rFonts w:ascii="Calibri" w:hAnsi="Calibri" w:cs="Arial"/>
                <w:i/>
                <w:iCs/>
                <w:sz w:val="14"/>
              </w:rPr>
              <w:t xml:space="preserve">Adjudicar la </w:t>
            </w:r>
            <w:r w:rsidRPr="008C5064">
              <w:rPr>
                <w:rFonts w:ascii="Calibri" w:hAnsi="Calibri" w:cs="Arial"/>
                <w:b/>
                <w:bCs/>
                <w:i/>
                <w:iCs/>
                <w:sz w:val="14"/>
              </w:rPr>
              <w:t>LICITACIÓN PÚBLICA No. VJ-VE-IP-LP-022 -2013</w:t>
            </w:r>
            <w:r w:rsidRPr="008C5064">
              <w:rPr>
                <w:rFonts w:ascii="Calibri" w:hAnsi="Calibri" w:cs="Arial"/>
                <w:i/>
                <w:iCs/>
                <w:sz w:val="14"/>
              </w:rPr>
              <w:t xml:space="preserve">, la cual tiene por objeto “Seleccionar la Oferta más favorable para la adjudicación de un (1) Contrato de Concesión bajo el esquema de APP, para que el Concesionario realice a su cuenta y riesgo la elaboración de los estudios y diseños definitivos, financiación, gestión ambiental, predial y social, construcción, mejoramiento, rehabilitación, operación, mantenimiento y reversión de la Concesión Autopista al Mar 1, del Proyecto "Autopistas para la Prosperidad", de acuerdo con el Apéndice Técnico 1 y demás Apéndices del Contrato”, a la </w:t>
            </w:r>
            <w:r w:rsidRPr="008C5064">
              <w:rPr>
                <w:rFonts w:ascii="Calibri" w:hAnsi="Calibri" w:cs="Arial"/>
                <w:b/>
                <w:bCs/>
                <w:i/>
                <w:iCs/>
                <w:sz w:val="14"/>
              </w:rPr>
              <w:t xml:space="preserve">ESTRUCTURA PLURAL SAC 4G </w:t>
            </w:r>
            <w:r w:rsidRPr="008C5064">
              <w:rPr>
                <w:rFonts w:ascii="Calibri" w:hAnsi="Calibri" w:cs="Arial"/>
                <w:i/>
                <w:iCs/>
                <w:sz w:val="14"/>
              </w:rPr>
              <w:t xml:space="preserve">conformada por </w:t>
            </w:r>
            <w:r w:rsidRPr="008C5064">
              <w:rPr>
                <w:rFonts w:ascii="Calibri" w:hAnsi="Calibri" w:cs="Arial"/>
                <w:b/>
                <w:bCs/>
                <w:i/>
                <w:iCs/>
                <w:sz w:val="14"/>
              </w:rPr>
              <w:t xml:space="preserve">SACYR CONCESIONES COLOMBIA S.A.S, </w:t>
            </w:r>
            <w:r w:rsidRPr="008C5064">
              <w:rPr>
                <w:rFonts w:ascii="Calibri" w:hAnsi="Calibri" w:cs="Arial"/>
                <w:i/>
                <w:iCs/>
                <w:sz w:val="14"/>
              </w:rPr>
              <w:t>identificada con Nit 900.595.161 -5</w:t>
            </w:r>
            <w:r w:rsidRPr="008C5064">
              <w:rPr>
                <w:rFonts w:ascii="Calibri" w:hAnsi="Calibri" w:cs="Arial"/>
                <w:b/>
                <w:bCs/>
                <w:i/>
                <w:iCs/>
                <w:sz w:val="14"/>
              </w:rPr>
              <w:t xml:space="preserve">, STRABAG S.A.S </w:t>
            </w:r>
            <w:r w:rsidRPr="008C5064">
              <w:rPr>
                <w:rFonts w:ascii="Calibri" w:hAnsi="Calibri" w:cs="Arial"/>
                <w:i/>
                <w:iCs/>
                <w:sz w:val="14"/>
              </w:rPr>
              <w:t xml:space="preserve">identificada con Nit 90063757-1 </w:t>
            </w:r>
            <w:r w:rsidRPr="008C5064">
              <w:rPr>
                <w:rFonts w:ascii="Calibri" w:hAnsi="Calibri" w:cs="Arial"/>
                <w:b/>
                <w:bCs/>
                <w:i/>
                <w:iCs/>
                <w:sz w:val="14"/>
              </w:rPr>
              <w:t xml:space="preserve">y CONCAY S.A. </w:t>
            </w:r>
            <w:r w:rsidRPr="008C5064">
              <w:rPr>
                <w:rFonts w:ascii="Calibri" w:hAnsi="Calibri" w:cs="Arial"/>
                <w:i/>
                <w:iCs/>
                <w:sz w:val="14"/>
              </w:rPr>
              <w:t>identificada con Nit 860077014-4 cuyo apoderado común es Leopoldo José Pellón Revuelta</w:t>
            </w:r>
            <w:r w:rsidRPr="008C5064">
              <w:rPr>
                <w:rFonts w:ascii="Calibri" w:hAnsi="Calibri" w:cs="Arial"/>
                <w:b/>
                <w:bCs/>
                <w:i/>
                <w:iCs/>
                <w:sz w:val="14"/>
              </w:rPr>
              <w:t xml:space="preserve">, </w:t>
            </w:r>
            <w:r w:rsidRPr="008C5064">
              <w:rPr>
                <w:rFonts w:ascii="Calibri" w:hAnsi="Calibri" w:cs="Arial"/>
                <w:i/>
                <w:iCs/>
                <w:sz w:val="14"/>
              </w:rPr>
              <w:t>identificado con Cédula de Extranjería No. 279.413.</w:t>
            </w:r>
            <w:r w:rsidRPr="008C5064">
              <w:rPr>
                <w:rFonts w:ascii="Calibri" w:hAnsi="Calibri" w:cs="Arial"/>
                <w:i/>
                <w:iCs/>
                <w:sz w:val="14"/>
              </w:rPr>
              <w:tab/>
            </w:r>
          </w:p>
          <w:p w:rsidR="00B323F1" w:rsidRPr="008C5064" w:rsidRDefault="00B323F1" w:rsidP="00F331D7">
            <w:pPr>
              <w:pStyle w:val="Default0"/>
              <w:rPr>
                <w:sz w:val="14"/>
                <w:szCs w:val="22"/>
              </w:rPr>
            </w:pPr>
            <w:r w:rsidRPr="008C5064">
              <w:rPr>
                <w:i/>
                <w:iCs/>
                <w:sz w:val="14"/>
                <w:szCs w:val="22"/>
              </w:rPr>
              <w:t xml:space="preserve">La adjudicación se efectúa por un valor de UN BILLÓN DOSCIENTOS CUATRO MIL NOVECIENTOS VEINTE MILLONES OCHOCIENTOS SETENTA Y SIETE MIL SEISCIENTOS OCHENTA Y NUEVE PESOS ($1.204.920.877.689) de diciembre de 2012. Este valor corresponde a las vigencias solicitadas por el oferente de acuerdo con la propuesta económica. </w:t>
            </w:r>
          </w:p>
          <w:p w:rsidR="00B323F1" w:rsidRPr="008C5064" w:rsidRDefault="00B323F1" w:rsidP="00F331D7">
            <w:pPr>
              <w:pStyle w:val="Default0"/>
              <w:rPr>
                <w:sz w:val="14"/>
                <w:szCs w:val="22"/>
              </w:rPr>
            </w:pPr>
            <w:r w:rsidRPr="008C5064">
              <w:rPr>
                <w:i/>
                <w:iCs/>
                <w:sz w:val="14"/>
                <w:szCs w:val="22"/>
              </w:rPr>
              <w:t xml:space="preserve">contra el presente acto administrativo no procede recurso alguno en la vía gubernativa. </w:t>
            </w:r>
          </w:p>
          <w:p w:rsidR="00B323F1" w:rsidRPr="008C5064" w:rsidRDefault="00B323F1" w:rsidP="00F331D7">
            <w:pPr>
              <w:autoSpaceDE w:val="0"/>
              <w:autoSpaceDN w:val="0"/>
              <w:adjustRightInd w:val="0"/>
              <w:jc w:val="both"/>
              <w:rPr>
                <w:rFonts w:ascii="Calibri" w:hAnsi="Calibri" w:cs="Arial"/>
                <w:b/>
                <w:bCs/>
                <w:sz w:val="1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cs="Arial"/>
                <w:b/>
                <w:bCs/>
                <w:sz w:val="12"/>
                <w:szCs w:val="24"/>
              </w:rPr>
            </w:pPr>
            <w:r w:rsidRPr="008C5064">
              <w:rPr>
                <w:rFonts w:ascii="Calibri" w:hAnsi="Calibri" w:cs="Arial"/>
                <w:b/>
                <w:bCs/>
                <w:sz w:val="12"/>
                <w:szCs w:val="24"/>
              </w:rPr>
              <w:t>$1.204.920.877.689</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iCs/>
                <w:sz w:val="14"/>
                <w:szCs w:val="24"/>
              </w:rPr>
            </w:pPr>
            <w:r w:rsidRPr="008C5064">
              <w:rPr>
                <w:rFonts w:ascii="Calibri" w:hAnsi="Calibri" w:cs="Arial"/>
                <w:iCs/>
                <w:sz w:val="14"/>
                <w:szCs w:val="24"/>
              </w:rPr>
              <w:t>“Seleccionar la Oferta más favorable para la adjudicación de un (1) Contrato de Concesión bajo el esquema de APP, para que el Concesionario realice a su cuenta y riesgo la elaboración de los estudios y diseños definitivos, financiación, gestión ambiental, predial y social, construcción, mejoramiento, rehabilitación, operación, mantenimiento y reversión de la Concesión Autopista al Mar 1, del Proyecto "Autopistas para la Prosperidad", de acuerdo con el Apéndice Técnico 1 y demás Apéndices del Contrato”</w:t>
            </w: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center"/>
              <w:rPr>
                <w:rFonts w:ascii="Calibri" w:hAnsi="Calibri" w:cs="Arial"/>
                <w:b/>
                <w:sz w:val="16"/>
              </w:rPr>
            </w:pPr>
            <w:r w:rsidRPr="008C5064">
              <w:rPr>
                <w:rFonts w:ascii="Calibri" w:hAnsi="Calibri" w:cs="Arial"/>
                <w:b/>
                <w:sz w:val="16"/>
              </w:rPr>
              <w:t>GICA</w:t>
            </w:r>
          </w:p>
          <w:p w:rsidR="00B323F1" w:rsidRPr="008C5064" w:rsidRDefault="00B323F1" w:rsidP="00F331D7">
            <w:pPr>
              <w:jc w:val="center"/>
              <w:rPr>
                <w:rFonts w:ascii="Calibri" w:hAnsi="Calibri" w:cs="Arial"/>
                <w:b/>
                <w:sz w:val="16"/>
              </w:rPr>
            </w:pPr>
            <w:r w:rsidRPr="008C5064">
              <w:rPr>
                <w:rFonts w:ascii="Calibri" w:hAnsi="Calibri" w:cs="Arial"/>
                <w:b/>
                <w:bCs/>
                <w:i/>
                <w:iCs/>
                <w:sz w:val="14"/>
              </w:rPr>
              <w:t>VJ-VE-APPIPV-001-2014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t>151  15  de Enero de 2015</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b/>
                <w:bCs/>
                <w:sz w:val="14"/>
                <w:szCs w:val="24"/>
              </w:rPr>
            </w:pPr>
            <w:r w:rsidRPr="008C5064">
              <w:rPr>
                <w:rFonts w:ascii="Calibri" w:hAnsi="Calibri" w:cs="Arial"/>
                <w:sz w:val="14"/>
                <w:szCs w:val="14"/>
              </w:rPr>
              <w:t>ARTICULO PRIMERO: Justificar el uso de la modalidad de contratación directa para la celebración del Contrato de Concesión bajo el esquema de Asociación Público Privada de Iniciativa Privada para la ejecución del proyecto cuyo objeto es: "Realizar los Estudios, diseños, construcción, operación, mantenimiento, gestión social, predial y ambiental de la segunda calzada de la vía Ibagué – Cajamarca; y la operación y mantenimiento del sistema vial Variante Chicoral, Variante Gualanday, Gualanday -Ibagué, Gualanday – Espinal, Variante Picaleña, Ramal Norte y trazado existente Ibagué- Cajamarca”, de conformidad con las condiciones acordadas entre el Originador y la Agencia, de conformidad con lo dispuesto en el Artículo 19 de la Ley 1508 de 2012, el inciso 2 del artículo 6 del Decreto 2043 de 2014, que modificó el artículo 30 del Decreto 1467 de 2012 y con fundamento en las consideraciones anteriormente expuestas.</w:t>
            </w:r>
            <w:r w:rsidRPr="008C5064">
              <w:rPr>
                <w:rFonts w:ascii="Calibri" w:hAnsi="Calibri" w:cs="Arial"/>
                <w:b/>
                <w:bCs/>
                <w:sz w:val="1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rPr>
                <w:rFonts w:ascii="Calibri" w:hAnsi="Calibri" w:cs="Arial"/>
                <w:b/>
                <w:bCs/>
                <w:sz w:val="12"/>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jc w:val="both"/>
              <w:rPr>
                <w:rFonts w:ascii="Calibri" w:hAnsi="Calibri" w:cs="Arial"/>
                <w:iCs/>
                <w:sz w:val="14"/>
                <w:szCs w:val="24"/>
              </w:rPr>
            </w:pP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center"/>
              <w:rPr>
                <w:rFonts w:ascii="Calibri" w:hAnsi="Calibri" w:cs="Arial"/>
                <w:b/>
                <w:sz w:val="16"/>
              </w:rPr>
            </w:pPr>
            <w:r w:rsidRPr="008C5064">
              <w:rPr>
                <w:rFonts w:ascii="Calibri" w:hAnsi="Calibri" w:cs="Arial"/>
                <w:b/>
                <w:sz w:val="16"/>
              </w:rPr>
              <w:t>Cesar – Guajira</w:t>
            </w:r>
          </w:p>
          <w:p w:rsidR="00B323F1" w:rsidRPr="008C5064" w:rsidRDefault="00B323F1" w:rsidP="00F331D7">
            <w:pPr>
              <w:jc w:val="center"/>
              <w:rPr>
                <w:rFonts w:ascii="Calibri" w:hAnsi="Calibri" w:cs="Arial"/>
                <w:b/>
                <w:sz w:val="16"/>
              </w:rPr>
            </w:pPr>
            <w:r w:rsidRPr="008C5064">
              <w:rPr>
                <w:rFonts w:ascii="Calibri" w:hAnsi="Calibri" w:cs="Arial"/>
                <w:b/>
                <w:bCs/>
                <w:i/>
                <w:iCs/>
                <w:sz w:val="14"/>
              </w:rPr>
              <w:lastRenderedPageBreak/>
              <w:t>VJ-VE-APP-IPV-003-2015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lastRenderedPageBreak/>
              <w:t>823 19 de Mayo de 2015</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jc w:val="both"/>
              <w:rPr>
                <w:rFonts w:ascii="Calibri" w:hAnsi="Calibri" w:cs="Arial"/>
                <w:b/>
                <w:bCs/>
                <w:sz w:val="14"/>
                <w:szCs w:val="24"/>
              </w:rPr>
            </w:pPr>
            <w:r w:rsidRPr="008C5064">
              <w:rPr>
                <w:rFonts w:ascii="Calibri" w:hAnsi="Calibri" w:cs="Arial"/>
                <w:b/>
                <w:sz w:val="14"/>
                <w:szCs w:val="14"/>
              </w:rPr>
              <w:t>ARTÍCULO PRIMERO</w:t>
            </w:r>
            <w:r w:rsidRPr="008C5064">
              <w:rPr>
                <w:rFonts w:ascii="Calibri" w:hAnsi="Calibri" w:cs="Arial"/>
                <w:sz w:val="14"/>
                <w:szCs w:val="14"/>
              </w:rPr>
              <w:t xml:space="preserve">: Adjudicar el Contrato de Concesión bajo el esquema de Asociación Público Privada de Iniciativa Privada para la ejecución del proyecto cuyo objeto es </w:t>
            </w:r>
            <w:r w:rsidRPr="008C5064">
              <w:rPr>
                <w:rFonts w:ascii="Calibri" w:hAnsi="Calibri" w:cs="Arial"/>
                <w:i/>
                <w:sz w:val="14"/>
                <w:szCs w:val="14"/>
              </w:rPr>
              <w:t xml:space="preserve">"Construcción, Rehabilitación, Operación  y Mantenimiento y Reversión del </w:t>
            </w:r>
            <w:r w:rsidRPr="008C5064">
              <w:rPr>
                <w:rFonts w:ascii="Calibri" w:hAnsi="Calibri" w:cs="Arial"/>
                <w:i/>
                <w:sz w:val="14"/>
                <w:szCs w:val="14"/>
              </w:rPr>
              <w:lastRenderedPageBreak/>
              <w:t>sistema vial para la conexión de los Departamento de Cesar y la Guajira”</w:t>
            </w:r>
            <w:r w:rsidRPr="008C5064">
              <w:rPr>
                <w:rFonts w:ascii="Calibri" w:hAnsi="Calibri" w:cs="Arial"/>
                <w:sz w:val="14"/>
                <w:szCs w:val="14"/>
              </w:rPr>
              <w:t>, al Originador Sociedad CONSTRUCCIONES EL CONDOR S.A. identificada con el NIT. No. 890.922.447-4.</w:t>
            </w:r>
          </w:p>
          <w:p w:rsidR="00B323F1" w:rsidRPr="008C5064" w:rsidRDefault="00B323F1" w:rsidP="00F331D7">
            <w:pPr>
              <w:jc w:val="both"/>
              <w:rPr>
                <w:rFonts w:ascii="Calibri" w:hAnsi="Calibri" w:cs="Arial"/>
                <w:b/>
                <w:bCs/>
                <w:sz w:val="1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cs="Arial"/>
                <w:b/>
                <w:bCs/>
                <w:sz w:val="12"/>
                <w:szCs w:val="24"/>
              </w:rPr>
            </w:pPr>
            <w:r w:rsidRPr="008C5064">
              <w:rPr>
                <w:rFonts w:ascii="Calibri" w:hAnsi="Calibri" w:cs="Arial"/>
                <w:b/>
                <w:bCs/>
                <w:sz w:val="12"/>
                <w:szCs w:val="24"/>
              </w:rPr>
              <w:lastRenderedPageBreak/>
              <w:t>$1.659.041.494.747</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sz w:val="14"/>
              </w:rPr>
            </w:pPr>
            <w:r w:rsidRPr="008C5064">
              <w:rPr>
                <w:rFonts w:ascii="Calibri" w:hAnsi="Calibri" w:cs="Arial"/>
                <w:sz w:val="14"/>
              </w:rPr>
              <w:t xml:space="preserve">"Construcción, Rehabilitación, Operación  y Mantenimiento y Reversión del sistema vial para </w:t>
            </w:r>
            <w:r w:rsidRPr="008C5064">
              <w:rPr>
                <w:rFonts w:ascii="Calibri" w:hAnsi="Calibri" w:cs="Arial"/>
                <w:sz w:val="14"/>
              </w:rPr>
              <w:lastRenderedPageBreak/>
              <w:t>la conexión de los Departamento de Cesar y la Guajira”</w:t>
            </w: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center"/>
              <w:rPr>
                <w:rFonts w:ascii="Calibri" w:hAnsi="Calibri" w:cs="Arial"/>
                <w:b/>
                <w:sz w:val="16"/>
              </w:rPr>
            </w:pPr>
            <w:r w:rsidRPr="008C5064">
              <w:rPr>
                <w:rFonts w:ascii="Calibri" w:hAnsi="Calibri" w:cs="Arial"/>
                <w:b/>
                <w:sz w:val="16"/>
              </w:rPr>
              <w:lastRenderedPageBreak/>
              <w:t>Antioquia - Bolívar</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rPr>
                <w:rFonts w:ascii="Calibri" w:hAnsi="Calibri"/>
                <w:sz w:val="1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jc w:val="both"/>
              <w:rPr>
                <w:rFonts w:ascii="Calibri" w:hAnsi="Calibri" w:cs="Arial"/>
                <w:b/>
                <w:i/>
                <w:sz w:val="14"/>
                <w:szCs w:val="14"/>
              </w:rPr>
            </w:pPr>
            <w:r w:rsidRPr="008C5064">
              <w:rPr>
                <w:rFonts w:ascii="Calibri" w:hAnsi="Calibri" w:cs="Arial"/>
                <w:b/>
                <w:sz w:val="14"/>
                <w:szCs w:val="14"/>
              </w:rPr>
              <w:t xml:space="preserve">La ANI anuncia su intención de adjudicar un Contrato de Asociación Público Privada de Iniciativa Privada al Originador Sociedad Construcciones El Cóndor S.A, bajo las condiciones acordadas entre este y la Entidad, si no existieren otros interesados en la ejecución del proyecto, cuyo objeto es: </w:t>
            </w:r>
            <w:r w:rsidRPr="008C5064">
              <w:rPr>
                <w:rFonts w:ascii="Calibri" w:hAnsi="Calibri" w:cs="Arial"/>
                <w:b/>
                <w:i/>
                <w:sz w:val="14"/>
                <w:szCs w:val="14"/>
              </w:rPr>
              <w:t>“La Construcción, Mejoramiento, Operación y Mantenimiento y Reversión del sistema vial para la conexión de los Departamentos Antioquia-Bolívar” de acuerdo con el Apéndice Técnico 1 de la Minuta del Contrato”</w:t>
            </w:r>
          </w:p>
          <w:p w:rsidR="00B323F1" w:rsidRPr="008C5064" w:rsidRDefault="00B323F1" w:rsidP="00F331D7">
            <w:pPr>
              <w:autoSpaceDE w:val="0"/>
              <w:autoSpaceDN w:val="0"/>
              <w:adjustRightInd w:val="0"/>
              <w:jc w:val="both"/>
              <w:rPr>
                <w:rFonts w:ascii="Calibri" w:hAnsi="Calibri" w:cs="Arial"/>
                <w:b/>
                <w:sz w:val="14"/>
                <w:szCs w:val="1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rPr>
                <w:rFonts w:ascii="Calibri" w:hAnsi="Calibri" w:cs="Arial"/>
                <w:b/>
                <w:bCs/>
                <w:sz w:val="12"/>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jc w:val="both"/>
              <w:rPr>
                <w:rFonts w:ascii="Calibri" w:hAnsi="Calibri" w:cs="Arial"/>
                <w:sz w:val="14"/>
              </w:rPr>
            </w:pPr>
            <w:r w:rsidRPr="008C5064">
              <w:rPr>
                <w:rFonts w:ascii="Calibri" w:hAnsi="Calibri" w:cs="Arial"/>
                <w:sz w:val="14"/>
              </w:rPr>
              <w:t>“La Construcción, Mejoramiento, Operación y Mantenimiento y Reversión del sistema vial para la conexión de los Departamentos Antioquia-Bolívar” de acuerdo con el Apéndice Técnico 1 de la Minuta del Contrato”</w:t>
            </w:r>
          </w:p>
          <w:p w:rsidR="00B323F1" w:rsidRPr="008C5064" w:rsidRDefault="00B323F1" w:rsidP="00F331D7">
            <w:pPr>
              <w:jc w:val="both"/>
              <w:rPr>
                <w:rFonts w:ascii="Calibri" w:hAnsi="Calibri" w:cs="Arial"/>
                <w:sz w:val="14"/>
              </w:rPr>
            </w:pP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jc w:val="center"/>
              <w:rPr>
                <w:rFonts w:ascii="Calibri" w:hAnsi="Calibri" w:cs="Arial"/>
                <w:b/>
                <w:sz w:val="16"/>
              </w:rPr>
            </w:pPr>
            <w:r w:rsidRPr="008C5064">
              <w:rPr>
                <w:rFonts w:ascii="Calibri" w:hAnsi="Calibri" w:cs="Arial"/>
                <w:b/>
                <w:sz w:val="16"/>
              </w:rPr>
              <w:t>Chirajara – Villavicencio</w:t>
            </w:r>
          </w:p>
          <w:p w:rsidR="00B323F1" w:rsidRPr="008C5064" w:rsidRDefault="00B323F1" w:rsidP="00F331D7">
            <w:pPr>
              <w:jc w:val="center"/>
              <w:rPr>
                <w:rFonts w:ascii="Calibri" w:hAnsi="Calibri" w:cs="Arial"/>
                <w:b/>
                <w:sz w:val="16"/>
              </w:rPr>
            </w:pPr>
            <w:r w:rsidRPr="008C5064">
              <w:rPr>
                <w:rFonts w:ascii="Calibri" w:hAnsi="Calibri" w:cs="Arial"/>
                <w:b/>
                <w:bCs/>
                <w:i/>
                <w:iCs/>
                <w:sz w:val="14"/>
              </w:rPr>
              <w:t>VJ-VE-APP-IPV-002-2015</w:t>
            </w:r>
          </w:p>
          <w:p w:rsidR="00B323F1" w:rsidRPr="008C5064" w:rsidRDefault="00B323F1" w:rsidP="00F331D7">
            <w:pPr>
              <w:jc w:val="center"/>
              <w:rPr>
                <w:rFonts w:ascii="Calibri" w:hAnsi="Calibri" w:cs="Arial"/>
                <w:b/>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t>703  23 de Abril de 2015</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b/>
                <w:sz w:val="14"/>
                <w:szCs w:val="14"/>
              </w:rPr>
            </w:pPr>
            <w:r w:rsidRPr="008C5064">
              <w:rPr>
                <w:rFonts w:ascii="Calibri" w:hAnsi="Calibri" w:cs="Arial"/>
                <w:b/>
                <w:sz w:val="14"/>
                <w:szCs w:val="14"/>
              </w:rPr>
              <w:t>ARTICULO PRIMERO: Justificar el uso de la modalidad de contratación directa para la celebración del Contrato de Concesión bajo el esquema de Asociación Público Privada de Iniciativa Privada para la ejecución del proyecto cuyo objeto es “Construcción de una nueva calzada en el sector Chirajara – Fundadores y la administración, operación y mantenimiento de la carretera Bogotá – Villavicencio”, de</w:t>
            </w:r>
          </w:p>
          <w:p w:rsidR="00B323F1" w:rsidRPr="008C5064" w:rsidRDefault="00B323F1" w:rsidP="00F331D7">
            <w:pPr>
              <w:jc w:val="both"/>
              <w:rPr>
                <w:rFonts w:ascii="Calibri" w:hAnsi="Calibri" w:cs="Arial"/>
                <w:b/>
                <w:sz w:val="14"/>
                <w:szCs w:val="14"/>
              </w:rPr>
            </w:pPr>
            <w:r w:rsidRPr="008C5064">
              <w:rPr>
                <w:rFonts w:ascii="Calibri" w:hAnsi="Calibri" w:cs="Arial"/>
                <w:b/>
                <w:sz w:val="14"/>
                <w:szCs w:val="14"/>
              </w:rPr>
              <w:t xml:space="preserve">conformidad con las condiciones acordadas entre el Originador y la Agencia, de conformidad con lo dispuesto en el Artículo 19 de la Ley 1508 de 2012, el inciso 2 del artículo 6 del Decreto 2043 de 2014, que modificó el artículo 30 del Decreto 1467 de 2012 y con fundamento en las consideraciones anteriormente expuestas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cs="Arial"/>
                <w:b/>
                <w:bCs/>
                <w:sz w:val="12"/>
                <w:szCs w:val="24"/>
              </w:rPr>
            </w:pPr>
            <w:r w:rsidRPr="008C5064">
              <w:rPr>
                <w:rFonts w:ascii="Calibri" w:hAnsi="Calibri" w:cs="Arial"/>
                <w:b/>
                <w:bCs/>
                <w:sz w:val="12"/>
                <w:szCs w:val="24"/>
              </w:rPr>
              <w:t>$5.090.472.461.167</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sz w:val="14"/>
              </w:rPr>
            </w:pPr>
            <w:r w:rsidRPr="008C5064">
              <w:rPr>
                <w:rFonts w:ascii="Calibri" w:hAnsi="Calibri" w:cs="Arial"/>
                <w:sz w:val="14"/>
              </w:rPr>
              <w:t>“Construcción de una nueva calzada en el sector Chirajara – Fundadores y la administración, operación y mantenimiento de la carretera Bogotá – Villavicencio”</w:t>
            </w: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jc w:val="center"/>
              <w:rPr>
                <w:rFonts w:ascii="Calibri" w:hAnsi="Calibri" w:cs="Arial"/>
                <w:b/>
                <w:sz w:val="16"/>
              </w:rPr>
            </w:pPr>
            <w:r w:rsidRPr="008C5064">
              <w:rPr>
                <w:rFonts w:ascii="Calibri" w:hAnsi="Calibri" w:cs="Arial"/>
                <w:b/>
                <w:sz w:val="16"/>
              </w:rPr>
              <w:t>Cambao – Manizales</w:t>
            </w:r>
          </w:p>
          <w:p w:rsidR="00B323F1" w:rsidRPr="008C5064" w:rsidRDefault="00B323F1" w:rsidP="00F331D7">
            <w:pPr>
              <w:jc w:val="center"/>
              <w:rPr>
                <w:rFonts w:ascii="Calibri" w:hAnsi="Calibri" w:cs="Arial"/>
                <w:b/>
                <w:sz w:val="16"/>
              </w:rPr>
            </w:pPr>
            <w:r w:rsidRPr="008C5064">
              <w:rPr>
                <w:rFonts w:ascii="Calibri" w:hAnsi="Calibri" w:cs="Arial"/>
                <w:b/>
                <w:bCs/>
                <w:i/>
                <w:iCs/>
                <w:sz w:val="14"/>
              </w:rPr>
              <w:t>VJ-VE-APP-IPV-004-2015</w:t>
            </w:r>
          </w:p>
          <w:p w:rsidR="00B323F1" w:rsidRPr="008C5064" w:rsidRDefault="00B323F1" w:rsidP="00F331D7">
            <w:pPr>
              <w:jc w:val="center"/>
              <w:rPr>
                <w:rFonts w:ascii="Calibri" w:hAnsi="Calibri" w:cs="Arial"/>
                <w:b/>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t>893  3 de Junio de 2015</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b/>
                <w:sz w:val="14"/>
                <w:szCs w:val="14"/>
              </w:rPr>
            </w:pPr>
            <w:r w:rsidRPr="008C5064">
              <w:rPr>
                <w:rFonts w:ascii="Calibri" w:hAnsi="Calibri" w:cs="Arial"/>
                <w:b/>
                <w:sz w:val="14"/>
                <w:szCs w:val="14"/>
              </w:rPr>
              <w:t>ARTÍCULO PRIMERO</w:t>
            </w:r>
            <w:r w:rsidRPr="008C5064">
              <w:rPr>
                <w:rFonts w:ascii="Calibri" w:hAnsi="Calibri" w:cs="Arial"/>
                <w:sz w:val="14"/>
                <w:szCs w:val="14"/>
              </w:rPr>
              <w:t xml:space="preserve">: Adjudicar el Contrato de Concesión bajo el esquema de Asociación Público Privada de Iniciativa Privada para la ejecución del proyecto cuyo objeto es: </w:t>
            </w:r>
            <w:r w:rsidRPr="008C5064">
              <w:rPr>
                <w:rFonts w:ascii="Calibri" w:hAnsi="Calibri" w:cs="Arial"/>
                <w:i/>
                <w:sz w:val="14"/>
                <w:szCs w:val="14"/>
              </w:rPr>
              <w:t>"La Rehabilitación y mejoramiento de la vía Cambao – Manizales, y la rehabilitación del corredor vial Ibagué – Mariquita - Honda”</w:t>
            </w:r>
            <w:r w:rsidRPr="008C5064">
              <w:rPr>
                <w:rFonts w:ascii="Calibri" w:hAnsi="Calibri" w:cs="Arial"/>
                <w:sz w:val="14"/>
                <w:szCs w:val="14"/>
              </w:rPr>
              <w:t xml:space="preserve">, al originador Promesa de Sociedad Futura Concesionaria Alternativas Viales S.A.S. integrada por ICEIN INGENIEROS CONSTRUCTORES S.A.S. con Nit 860005986-1, con participación  del 25% , MOTA ENGIL ENGENHARIA  E CONSTRUCAO S.A. SUCURSAL COLOMBIA, con Nit 900447078-8, una participación del 25, GAICO INGENIEROS CONSTRUCTORES S.A. con Nit 860034551-3, quien cuenta con una participación del 22%, ALCA INGENIERIA S.A.S, con Nit 830089381-5, con una participación del 21%, CONSTRUCCIÓN Y DESARROLLO INGENIERIA S.A.S. con Nit 900182018-7 con una participación del 3%, y FORTRESS S.A.S, con Nit 90030838-8, con una participación del 4%.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cs="Arial"/>
                <w:b/>
                <w:bCs/>
                <w:sz w:val="12"/>
                <w:szCs w:val="24"/>
              </w:rPr>
            </w:pPr>
            <w:r w:rsidRPr="008C5064">
              <w:rPr>
                <w:rFonts w:ascii="Calibri" w:hAnsi="Calibri" w:cs="Arial"/>
                <w:b/>
                <w:bCs/>
                <w:sz w:val="12"/>
                <w:szCs w:val="24"/>
              </w:rPr>
              <w:t>$1.334.383.590.504</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iCs/>
                <w:sz w:val="14"/>
                <w:szCs w:val="24"/>
              </w:rPr>
            </w:pPr>
            <w:r w:rsidRPr="008C5064">
              <w:rPr>
                <w:rFonts w:ascii="Calibri" w:hAnsi="Calibri" w:cs="Arial"/>
                <w:sz w:val="14"/>
                <w:szCs w:val="14"/>
              </w:rPr>
              <w:t>"La Rehabilitación y mejoramiento de la vía Cambao – Manizales, y la rehabilitación del corredor vial Ibagué – Mariquita - Honda”</w:t>
            </w:r>
          </w:p>
        </w:tc>
      </w:tr>
      <w:tr w:rsidR="00B323F1" w:rsidRPr="008C5064" w:rsidTr="00F331D7">
        <w:tc>
          <w:tcPr>
            <w:tcW w:w="1135"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F331D7">
            <w:pPr>
              <w:jc w:val="center"/>
              <w:rPr>
                <w:rFonts w:ascii="Calibri" w:hAnsi="Calibri" w:cs="Arial"/>
                <w:b/>
                <w:sz w:val="16"/>
              </w:rPr>
            </w:pPr>
            <w:r w:rsidRPr="008C5064">
              <w:rPr>
                <w:rFonts w:ascii="Calibri" w:hAnsi="Calibri" w:cs="Arial"/>
                <w:b/>
                <w:sz w:val="16"/>
              </w:rPr>
              <w:t>Malla Vial del Meta</w:t>
            </w:r>
          </w:p>
          <w:p w:rsidR="00B323F1" w:rsidRPr="008C5064" w:rsidRDefault="00B323F1" w:rsidP="00F331D7">
            <w:pPr>
              <w:jc w:val="center"/>
              <w:rPr>
                <w:rFonts w:ascii="Calibri" w:hAnsi="Calibri" w:cs="Arial"/>
                <w:b/>
                <w:sz w:val="16"/>
              </w:rPr>
            </w:pPr>
            <w:r w:rsidRPr="008C5064">
              <w:rPr>
                <w:rFonts w:ascii="Calibri" w:hAnsi="Calibri" w:cs="Arial"/>
                <w:b/>
                <w:bCs/>
                <w:i/>
                <w:iCs/>
                <w:sz w:val="14"/>
              </w:rPr>
              <w:t>VJ-VE-APP-IPV-001-2015</w:t>
            </w:r>
          </w:p>
          <w:p w:rsidR="00B323F1" w:rsidRPr="008C5064" w:rsidRDefault="00B323F1" w:rsidP="00F331D7">
            <w:pPr>
              <w:jc w:val="center"/>
              <w:rPr>
                <w:rFonts w:ascii="Calibri" w:hAnsi="Calibri" w:cs="Arial"/>
                <w:b/>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sz w:val="14"/>
              </w:rPr>
            </w:pPr>
            <w:r w:rsidRPr="008C5064">
              <w:rPr>
                <w:rFonts w:ascii="Calibri" w:hAnsi="Calibri"/>
                <w:sz w:val="14"/>
              </w:rPr>
              <w:t>638  9 de Abril de 2015</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323F1" w:rsidRPr="008C5064" w:rsidRDefault="00B323F1" w:rsidP="00B323F1">
            <w:pPr>
              <w:autoSpaceDE w:val="0"/>
              <w:autoSpaceDN w:val="0"/>
              <w:adjustRightInd w:val="0"/>
              <w:jc w:val="both"/>
              <w:rPr>
                <w:rFonts w:ascii="Calibri" w:hAnsi="Calibri" w:cs="Arial"/>
                <w:b/>
                <w:bCs/>
                <w:sz w:val="14"/>
                <w:szCs w:val="24"/>
              </w:rPr>
            </w:pPr>
            <w:r w:rsidRPr="008C5064">
              <w:rPr>
                <w:rFonts w:ascii="Calibri" w:hAnsi="Calibri" w:cs="Arial"/>
                <w:b/>
                <w:bCs/>
                <w:sz w:val="14"/>
                <w:szCs w:val="14"/>
              </w:rPr>
              <w:t xml:space="preserve">ARTÍCULO PRIMERO: </w:t>
            </w:r>
            <w:r w:rsidRPr="008C5064">
              <w:rPr>
                <w:rFonts w:ascii="Calibri" w:hAnsi="Calibri" w:cs="Arial"/>
                <w:sz w:val="14"/>
                <w:szCs w:val="14"/>
              </w:rPr>
              <w:t xml:space="preserve">Justificar el uso de la modalidad de contratación directa para la celebración del Contrato de Concesión bajo el esquema de Asociación Público Privada de Iniciativa Privada para la ejecución del proyecto cuyo objeto es </w:t>
            </w:r>
            <w:r w:rsidRPr="008C5064">
              <w:rPr>
                <w:rFonts w:ascii="Calibri" w:hAnsi="Calibri" w:cs="Arial"/>
                <w:i/>
                <w:iCs/>
                <w:sz w:val="14"/>
                <w:szCs w:val="14"/>
              </w:rPr>
              <w:t xml:space="preserve">“Realizar los Estudios, diseños, financiación, construcción, operación, mantenimiento, gestión social, predial y ambiental respecto de los siguientes ítems a saber: i). Corredor Granada – Villavicencio – Puerto López – Puerto Gaitán – Puente Arimena. ii). Anillo Vial de Villavicencio y Accesos a la Ciudad – Malla Vial del Meta.”, </w:t>
            </w:r>
            <w:r w:rsidRPr="008C5064">
              <w:rPr>
                <w:rFonts w:ascii="Calibri" w:hAnsi="Calibri" w:cs="Arial"/>
                <w:sz w:val="14"/>
                <w:szCs w:val="14"/>
              </w:rPr>
              <w:t xml:space="preserve">de conformidad con las </w:t>
            </w:r>
            <w:r w:rsidRPr="008C5064">
              <w:rPr>
                <w:rFonts w:ascii="Calibri" w:hAnsi="Calibri" w:cs="Arial"/>
                <w:color w:val="000000"/>
                <w:sz w:val="14"/>
                <w:szCs w:val="14"/>
              </w:rPr>
              <w:t>condiciones acordadas entre el Originador y la Agencia, de conformidad con lo dispuesto en el Artículo 19 de la Ley 1508 de 2012, el inciso 2 del artículo 6 del Decreto 2043 de 2014, que modificó el artículo 30 del Decreto 1467 de 2012 y con fundamento en las consideraciones anteriormente expuestas.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rPr>
                <w:rFonts w:ascii="Calibri" w:hAnsi="Calibri" w:cs="Arial"/>
                <w:b/>
                <w:bCs/>
                <w:sz w:val="12"/>
                <w:szCs w:val="24"/>
              </w:rPr>
            </w:pPr>
            <w:r w:rsidRPr="008C5064">
              <w:rPr>
                <w:rFonts w:ascii="Calibri" w:hAnsi="Calibri" w:cs="Arial"/>
                <w:b/>
                <w:bCs/>
                <w:sz w:val="12"/>
                <w:szCs w:val="24"/>
              </w:rPr>
              <w:t>$3.200.531.909.579</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323F1" w:rsidRPr="008C5064" w:rsidRDefault="00B323F1" w:rsidP="00F331D7">
            <w:pPr>
              <w:jc w:val="both"/>
              <w:rPr>
                <w:rFonts w:ascii="Calibri" w:hAnsi="Calibri" w:cs="Arial"/>
                <w:sz w:val="14"/>
                <w:szCs w:val="14"/>
              </w:rPr>
            </w:pPr>
            <w:r w:rsidRPr="008C5064">
              <w:rPr>
                <w:rFonts w:ascii="Calibri" w:hAnsi="Calibri" w:cs="Arial"/>
                <w:sz w:val="14"/>
                <w:szCs w:val="14"/>
              </w:rPr>
              <w:t>“Realizar los Estudios, diseños, financiación, construcción, operación, mantenimiento, gestión social, predial y ambiental respecto de los siguientes ítems a saber: i). Corredor Granada – Villavicencio – Puerto López – Puerto Gaitán – Puente Arimena. ii). Anillo Vial de Villavicencio y Accesos a la Ciudad – Malla Vial del Meta.”</w:t>
            </w:r>
          </w:p>
        </w:tc>
      </w:tr>
    </w:tbl>
    <w:p w:rsidR="00B323F1" w:rsidRPr="008C5064" w:rsidRDefault="00B323F1" w:rsidP="00B323F1">
      <w:pPr>
        <w:jc w:val="both"/>
        <w:rPr>
          <w:rFonts w:ascii="Calibri" w:hAnsi="Calibri"/>
        </w:rPr>
      </w:pPr>
    </w:p>
    <w:p w:rsidR="00B323F1" w:rsidRPr="008C5064" w:rsidRDefault="00B323F1" w:rsidP="00B323F1">
      <w:pPr>
        <w:jc w:val="both"/>
        <w:rPr>
          <w:rFonts w:ascii="Calibri" w:hAnsi="Calibri"/>
        </w:rPr>
      </w:pPr>
      <w:r w:rsidRPr="008C5064">
        <w:rPr>
          <w:rFonts w:ascii="Calibri" w:hAnsi="Calibri"/>
        </w:rPr>
        <w:lastRenderedPageBreak/>
        <w:t>Para el análisis y evaluación técnica y financiera de las solicitudes portuarias se puede evidenciar que durante el periodo reportado se expidieron</w:t>
      </w:r>
      <w:r w:rsidR="005B7BC1">
        <w:rPr>
          <w:rFonts w:ascii="Calibri" w:hAnsi="Calibri"/>
        </w:rPr>
        <w:t xml:space="preserve"> </w:t>
      </w:r>
      <w:r w:rsidRPr="008C5064">
        <w:rPr>
          <w:rFonts w:ascii="Calibri" w:hAnsi="Calibri"/>
        </w:rPr>
        <w:t>resoluciones de para fijar las condiciones,  otorgamientos y modificación al otorgamiento de concesiones portuarias para las sociedades El CAYAO, Sociedad Puerto Gas Licuado del Caribe, Petrodecol, Puerto Antioquia, Retramar respectivamente, como se relaciona a continuación, entre otros:</w:t>
      </w:r>
    </w:p>
    <w:p w:rsidR="00B323F1" w:rsidRPr="008C5064" w:rsidRDefault="00B323F1" w:rsidP="00B323F1">
      <w:pPr>
        <w:pStyle w:val="Prrafodelista"/>
        <w:spacing w:after="160" w:line="259" w:lineRule="auto"/>
        <w:ind w:left="0" w:firstLine="360"/>
        <w:jc w:val="both"/>
        <w:rPr>
          <w:rFonts w:ascii="Calibri" w:hAnsi="Calibri"/>
          <w:b/>
        </w:rPr>
      </w:pPr>
      <w:r w:rsidRPr="008C5064">
        <w:rPr>
          <w:rFonts w:ascii="Calibri" w:hAnsi="Calibri"/>
          <w:b/>
        </w:rPr>
        <w:t>PUERTO SUNGMIN S.A.S:</w:t>
      </w:r>
    </w:p>
    <w:p w:rsidR="00B323F1" w:rsidRPr="008C5064" w:rsidRDefault="00B323F1" w:rsidP="00B323F1">
      <w:pPr>
        <w:ind w:left="360"/>
        <w:jc w:val="both"/>
        <w:rPr>
          <w:rFonts w:ascii="Calibri" w:hAnsi="Calibri"/>
          <w:i/>
        </w:rPr>
      </w:pPr>
      <w:r w:rsidRPr="008C5064">
        <w:rPr>
          <w:rFonts w:ascii="Calibri" w:hAnsi="Calibri"/>
        </w:rPr>
        <w:t>Resolución 349 (6 de febrero de 2015): “</w:t>
      </w:r>
      <w:r w:rsidRPr="008C5064">
        <w:rPr>
          <w:rFonts w:ascii="Calibri" w:hAnsi="Calibri"/>
          <w:i/>
        </w:rPr>
        <w:t>Por la cual se indican los términos en los que se podrá otorgar una concesión portuaria a la sociedad PUERTO SUNGMIN S.A.S”</w:t>
      </w:r>
    </w:p>
    <w:p w:rsidR="00B323F1" w:rsidRPr="008C5064" w:rsidRDefault="00B323F1" w:rsidP="00B323F1">
      <w:pPr>
        <w:pStyle w:val="Prrafodelista"/>
        <w:spacing w:after="160" w:line="259" w:lineRule="auto"/>
        <w:ind w:left="0"/>
        <w:jc w:val="both"/>
        <w:rPr>
          <w:rFonts w:ascii="Calibri" w:hAnsi="Calibri"/>
          <w:b/>
        </w:rPr>
      </w:pPr>
      <w:r w:rsidRPr="008C5064">
        <w:rPr>
          <w:rFonts w:ascii="Calibri" w:hAnsi="Calibri"/>
          <w:b/>
        </w:rPr>
        <w:t xml:space="preserve">      PETRODECOL:</w:t>
      </w:r>
    </w:p>
    <w:p w:rsidR="00B323F1" w:rsidRPr="008C5064" w:rsidRDefault="00B323F1" w:rsidP="00B323F1">
      <w:pPr>
        <w:ind w:left="360"/>
        <w:jc w:val="both"/>
        <w:rPr>
          <w:rFonts w:ascii="Calibri" w:hAnsi="Calibri"/>
          <w:i/>
        </w:rPr>
      </w:pPr>
      <w:r w:rsidRPr="008C5064">
        <w:rPr>
          <w:rFonts w:ascii="Calibri" w:hAnsi="Calibri"/>
        </w:rPr>
        <w:t>Resolución 903 (5 de junio de 2015): “</w:t>
      </w:r>
      <w:r w:rsidRPr="008C5064">
        <w:rPr>
          <w:rFonts w:ascii="Calibri" w:hAnsi="Calibri"/>
          <w:i/>
        </w:rPr>
        <w:t>Por la cual se otorga una concesión portuaria a la sociedad Petroleos y Derivados de Colombia S.A - PETRODECOL S.A”</w:t>
      </w:r>
    </w:p>
    <w:p w:rsidR="00B323F1" w:rsidRPr="008C5064" w:rsidRDefault="00B323F1" w:rsidP="00B323F1">
      <w:pPr>
        <w:pStyle w:val="Prrafodelista"/>
        <w:spacing w:after="160" w:line="259" w:lineRule="auto"/>
        <w:ind w:left="0"/>
        <w:jc w:val="both"/>
        <w:rPr>
          <w:rFonts w:ascii="Calibri" w:hAnsi="Calibri"/>
          <w:b/>
        </w:rPr>
      </w:pPr>
      <w:r w:rsidRPr="008C5064">
        <w:rPr>
          <w:rFonts w:ascii="Calibri" w:hAnsi="Calibri"/>
          <w:b/>
        </w:rPr>
        <w:t xml:space="preserve">       RETRAMAR:</w:t>
      </w:r>
    </w:p>
    <w:p w:rsidR="00B323F1" w:rsidRPr="008C5064" w:rsidRDefault="00B323F1" w:rsidP="00B323F1">
      <w:pPr>
        <w:ind w:left="360"/>
        <w:jc w:val="both"/>
        <w:rPr>
          <w:rFonts w:ascii="Calibri" w:hAnsi="Calibri"/>
          <w:i/>
        </w:rPr>
      </w:pPr>
      <w:r w:rsidRPr="008C5064">
        <w:rPr>
          <w:rFonts w:ascii="Calibri" w:hAnsi="Calibri"/>
        </w:rPr>
        <w:t>Resolución 902 (5 de junio de 2015): “</w:t>
      </w:r>
      <w:r w:rsidRPr="008C5064">
        <w:rPr>
          <w:rFonts w:ascii="Calibri" w:hAnsi="Calibri"/>
          <w:i/>
        </w:rPr>
        <w:t>Por la cual se otorga una concesión portuaria a la sociedad Coremar Shore Base S.A.”</w:t>
      </w:r>
    </w:p>
    <w:p w:rsidR="00B323F1" w:rsidRPr="008C5064" w:rsidRDefault="00B323F1" w:rsidP="00B323F1">
      <w:pPr>
        <w:pStyle w:val="Prrafodelista"/>
        <w:spacing w:after="160" w:line="259" w:lineRule="auto"/>
        <w:ind w:left="0"/>
        <w:jc w:val="both"/>
        <w:rPr>
          <w:rFonts w:ascii="Calibri" w:hAnsi="Calibri"/>
          <w:b/>
        </w:rPr>
      </w:pPr>
      <w:r w:rsidRPr="008C5064">
        <w:rPr>
          <w:rFonts w:ascii="Calibri" w:hAnsi="Calibri"/>
          <w:b/>
        </w:rPr>
        <w:t xml:space="preserve">       CAYAO:</w:t>
      </w:r>
    </w:p>
    <w:p w:rsidR="00B323F1" w:rsidRPr="008C5064" w:rsidRDefault="00B323F1" w:rsidP="00B323F1">
      <w:pPr>
        <w:ind w:left="360"/>
        <w:jc w:val="both"/>
        <w:rPr>
          <w:rFonts w:ascii="Calibri" w:hAnsi="Calibri"/>
          <w:i/>
        </w:rPr>
      </w:pPr>
      <w:r w:rsidRPr="008C5064">
        <w:rPr>
          <w:rFonts w:ascii="Calibri" w:hAnsi="Calibri"/>
        </w:rPr>
        <w:t xml:space="preserve">Resolución 504 (5 de marzo de 2015): </w:t>
      </w:r>
      <w:r w:rsidRPr="008C5064">
        <w:rPr>
          <w:rFonts w:ascii="Calibri" w:hAnsi="Calibri"/>
          <w:i/>
        </w:rPr>
        <w:t>“Por la cual se indican los términos en los que se podrá otorgar una concesión portuaria a la Sociedad Portuaria El Cayao S.A E.S.P”</w:t>
      </w:r>
    </w:p>
    <w:p w:rsidR="00B323F1" w:rsidRPr="008C5064" w:rsidRDefault="00B323F1" w:rsidP="00B323F1">
      <w:pPr>
        <w:ind w:left="360"/>
        <w:jc w:val="both"/>
        <w:rPr>
          <w:rFonts w:ascii="Calibri" w:hAnsi="Calibri"/>
          <w:i/>
        </w:rPr>
      </w:pPr>
      <w:r w:rsidRPr="008C5064">
        <w:rPr>
          <w:rFonts w:ascii="Calibri" w:hAnsi="Calibri"/>
        </w:rPr>
        <w:t xml:space="preserve">Resolución 900 (5 de junio de 2015): </w:t>
      </w:r>
      <w:r w:rsidRPr="008C5064">
        <w:rPr>
          <w:rFonts w:ascii="Calibri" w:hAnsi="Calibri"/>
          <w:i/>
        </w:rPr>
        <w:t>“Por la cual se otorga una concesión portuaria a la Sociedad Portuaria El Cayao S.A E.S.P”</w:t>
      </w:r>
    </w:p>
    <w:p w:rsidR="00B323F1" w:rsidRPr="008C5064" w:rsidRDefault="00B323F1" w:rsidP="00B323F1">
      <w:pPr>
        <w:pStyle w:val="Prrafodelista"/>
        <w:spacing w:after="160" w:line="259" w:lineRule="auto"/>
        <w:ind w:left="0"/>
        <w:jc w:val="both"/>
        <w:rPr>
          <w:rFonts w:ascii="Calibri" w:hAnsi="Calibri"/>
          <w:b/>
        </w:rPr>
      </w:pPr>
      <w:r w:rsidRPr="008C5064">
        <w:rPr>
          <w:rFonts w:ascii="Calibri" w:hAnsi="Calibri"/>
          <w:b/>
        </w:rPr>
        <w:t xml:space="preserve">       PUERTO ANTIOQUIA:</w:t>
      </w:r>
    </w:p>
    <w:p w:rsidR="00B323F1" w:rsidRPr="008C5064" w:rsidRDefault="00B323F1" w:rsidP="00B323F1">
      <w:pPr>
        <w:ind w:left="360"/>
        <w:jc w:val="both"/>
        <w:rPr>
          <w:rFonts w:ascii="Calibri" w:hAnsi="Calibri"/>
          <w:i/>
        </w:rPr>
      </w:pPr>
      <w:r w:rsidRPr="008C5064">
        <w:rPr>
          <w:rFonts w:ascii="Calibri" w:hAnsi="Calibri"/>
        </w:rPr>
        <w:t xml:space="preserve">Resolución 606 (6 de abril de 2015): </w:t>
      </w:r>
      <w:r w:rsidRPr="008C5064">
        <w:rPr>
          <w:rFonts w:ascii="Calibri" w:hAnsi="Calibri"/>
          <w:i/>
        </w:rPr>
        <w:t>“Por medio de la cual se concede viabilidad a la solicitud de modificación de las condiciones en las que se otorgó concesión portuaria a la Sociedad Portuaria PUERTO BAHI COLOMBIA DE URABA S.A, mediante resolución No. 898 del 21 de diciembre de 2012, modificada por las resoluciones No. 936 del 26 de agosto de 2013 y 507 del 21 de marzo de 2014 y se adoptan otras determinaciones”</w:t>
      </w:r>
    </w:p>
    <w:p w:rsidR="00B323F1" w:rsidRPr="008C5064" w:rsidRDefault="00B323F1" w:rsidP="00B323F1">
      <w:pPr>
        <w:jc w:val="both"/>
        <w:rPr>
          <w:rFonts w:ascii="Calibri" w:hAnsi="Calibri"/>
        </w:rPr>
      </w:pPr>
    </w:p>
    <w:p w:rsidR="00183505" w:rsidRDefault="00B323F1" w:rsidP="00B323F1">
      <w:pPr>
        <w:jc w:val="both"/>
        <w:rPr>
          <w:rFonts w:ascii="Calibri" w:hAnsi="Calibri"/>
        </w:rPr>
      </w:pPr>
      <w:r w:rsidRPr="008C5064">
        <w:rPr>
          <w:rFonts w:ascii="Calibri" w:hAnsi="Calibri"/>
        </w:rPr>
        <w:t xml:space="preserve">Por último, el cumplimiento de la meta </w:t>
      </w:r>
      <w:r w:rsidR="005B7BC1">
        <w:rPr>
          <w:rFonts w:ascii="Calibri" w:hAnsi="Calibri"/>
        </w:rPr>
        <w:t>de</w:t>
      </w:r>
      <w:r w:rsidRPr="008C5064">
        <w:rPr>
          <w:rFonts w:ascii="Calibri" w:hAnsi="Calibri"/>
        </w:rPr>
        <w:t xml:space="preserve"> socialización de los peajes, </w:t>
      </w:r>
      <w:r w:rsidR="005B7BC1">
        <w:rPr>
          <w:rFonts w:ascii="Calibri" w:hAnsi="Calibri"/>
        </w:rPr>
        <w:t xml:space="preserve">durante el periodo se realizaron las socializaciones de los proyectos </w:t>
      </w:r>
      <w:r w:rsidRPr="008C5064">
        <w:rPr>
          <w:rFonts w:ascii="Calibri" w:hAnsi="Calibri"/>
        </w:rPr>
        <w:t xml:space="preserve">de iniciativa </w:t>
      </w:r>
      <w:r w:rsidR="00183505" w:rsidRPr="008C5064">
        <w:rPr>
          <w:rFonts w:ascii="Calibri" w:hAnsi="Calibri"/>
        </w:rPr>
        <w:t>Pública</w:t>
      </w:r>
      <w:r w:rsidRPr="008C5064">
        <w:rPr>
          <w:rFonts w:ascii="Calibri" w:hAnsi="Calibri"/>
        </w:rPr>
        <w:t xml:space="preserve"> de Segunda Ola, Santana Mocoa, Villavicencio Yopal, Rumi</w:t>
      </w:r>
      <w:r w:rsidR="005B7BC1">
        <w:rPr>
          <w:rFonts w:ascii="Calibri" w:hAnsi="Calibri"/>
        </w:rPr>
        <w:t>chaca-P</w:t>
      </w:r>
      <w:r w:rsidRPr="008C5064">
        <w:rPr>
          <w:rFonts w:ascii="Calibri" w:hAnsi="Calibri"/>
        </w:rPr>
        <w:t>asto</w:t>
      </w:r>
      <w:r w:rsidR="005B7BC1">
        <w:rPr>
          <w:rFonts w:ascii="Calibri" w:hAnsi="Calibri"/>
        </w:rPr>
        <w:t xml:space="preserve">, </w:t>
      </w:r>
      <w:r w:rsidRPr="008C5064">
        <w:rPr>
          <w:rFonts w:ascii="Calibri" w:hAnsi="Calibri"/>
        </w:rPr>
        <w:t>Malla Vial del Meta, Antioquia Bolívar, Cesar – Guajira</w:t>
      </w:r>
      <w:r w:rsidR="005B7BC1">
        <w:rPr>
          <w:rFonts w:ascii="Calibri" w:hAnsi="Calibri"/>
        </w:rPr>
        <w:t>.</w:t>
      </w:r>
    </w:p>
    <w:p w:rsidR="00183505" w:rsidRDefault="00183505">
      <w:pPr>
        <w:rPr>
          <w:rFonts w:ascii="Calibri" w:hAnsi="Calibri"/>
        </w:rPr>
      </w:pPr>
      <w:r>
        <w:rPr>
          <w:rFonts w:ascii="Calibri" w:hAnsi="Calibri"/>
        </w:rPr>
        <w:br w:type="page"/>
      </w:r>
    </w:p>
    <w:p w:rsidR="00B323F1" w:rsidRPr="008C5064" w:rsidRDefault="00B323F1" w:rsidP="00B323F1">
      <w:pPr>
        <w:jc w:val="both"/>
        <w:rPr>
          <w:rFonts w:ascii="Calibri" w:hAnsi="Calibri"/>
        </w:rPr>
      </w:pPr>
    </w:p>
    <w:p w:rsidR="006C2C9C" w:rsidRDefault="006C2C9C" w:rsidP="00C43D86">
      <w:pPr>
        <w:pStyle w:val="Ttulo1"/>
        <w:numPr>
          <w:ilvl w:val="1"/>
          <w:numId w:val="2"/>
        </w:numPr>
      </w:pPr>
      <w:bookmarkStart w:id="435" w:name="_Toc357434731"/>
      <w:bookmarkStart w:id="436" w:name="_Toc357434982"/>
      <w:bookmarkStart w:id="437" w:name="_Toc360175798"/>
      <w:bookmarkStart w:id="438" w:name="_Toc360176863"/>
      <w:bookmarkStart w:id="439" w:name="_Toc360177571"/>
      <w:bookmarkStart w:id="440" w:name="_Toc426558533"/>
      <w:bookmarkStart w:id="441" w:name="_Toc426559277"/>
      <w:r>
        <w:t>OFICINA DE CONTROL INTERNO</w:t>
      </w:r>
      <w:bookmarkEnd w:id="435"/>
      <w:bookmarkEnd w:id="436"/>
      <w:bookmarkEnd w:id="437"/>
      <w:bookmarkEnd w:id="438"/>
      <w:bookmarkEnd w:id="439"/>
      <w:bookmarkEnd w:id="440"/>
      <w:bookmarkEnd w:id="441"/>
    </w:p>
    <w:p w:rsidR="00586937" w:rsidRDefault="00586937" w:rsidP="00586937">
      <w:pPr>
        <w:autoSpaceDE w:val="0"/>
        <w:autoSpaceDN w:val="0"/>
        <w:adjustRightInd w:val="0"/>
        <w:jc w:val="both"/>
        <w:rPr>
          <w:rFonts w:ascii="Arial" w:hAnsi="Arial" w:cs="Arial"/>
        </w:rPr>
      </w:pPr>
    </w:p>
    <w:p w:rsidR="00586937" w:rsidRPr="009F67AA" w:rsidRDefault="00586937" w:rsidP="00586937">
      <w:pPr>
        <w:jc w:val="both"/>
      </w:pPr>
      <w:r w:rsidRPr="009F67AA">
        <w:t>La Oficina de Control Interno en cumplimiento del Decreto 1537 de 2001,  elaboró para la vigencia 201</w:t>
      </w:r>
      <w:r w:rsidR="00CD3997">
        <w:t>5</w:t>
      </w:r>
      <w:r w:rsidRPr="009F67AA">
        <w:t xml:space="preserve"> un Plan de trabajo, el cual se subdivide en planes de acción enfocados en los cinco roles a cargo de la Oficina, así: Valoración de Riesgos-PVAR, Acompañamiento y Asesoría-PAA, Evaluación y Seguimiento-PEI, Fomento a la Cultura del Control-PFCC y Relación con Entes Externos-PEEC”, el resultado del Plan de acción para el </w:t>
      </w:r>
      <w:r w:rsidR="00511764" w:rsidRPr="009F67AA">
        <w:t>segundo</w:t>
      </w:r>
      <w:r w:rsidRPr="009F67AA">
        <w:t xml:space="preserve"> </w:t>
      </w:r>
      <w:r w:rsidR="00511764" w:rsidRPr="009F67AA">
        <w:t>trimes</w:t>
      </w:r>
      <w:r w:rsidRPr="009F67AA">
        <w:t>tre del año se describe en la  siguiente tabla:</w:t>
      </w:r>
    </w:p>
    <w:tbl>
      <w:tblPr>
        <w:tblW w:w="8500" w:type="dxa"/>
        <w:tblInd w:w="255" w:type="dxa"/>
        <w:tblLayout w:type="fixed"/>
        <w:tblCellMar>
          <w:left w:w="70" w:type="dxa"/>
          <w:right w:w="70" w:type="dxa"/>
        </w:tblCellMar>
        <w:tblLook w:val="04A0" w:firstRow="1" w:lastRow="0" w:firstColumn="1" w:lastColumn="0" w:noHBand="0" w:noVBand="1"/>
      </w:tblPr>
      <w:tblGrid>
        <w:gridCol w:w="4673"/>
        <w:gridCol w:w="1276"/>
        <w:gridCol w:w="1275"/>
        <w:gridCol w:w="1276"/>
      </w:tblGrid>
      <w:tr w:rsidR="00E657BA" w:rsidRPr="00A50ACE" w:rsidTr="00720182">
        <w:trPr>
          <w:trHeight w:val="225"/>
        </w:trPr>
        <w:tc>
          <w:tcPr>
            <w:tcW w:w="4673" w:type="dxa"/>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rsidR="00E657BA" w:rsidRPr="00A50ACE" w:rsidRDefault="00E657BA" w:rsidP="00CC3514">
            <w:pPr>
              <w:spacing w:after="0" w:line="240" w:lineRule="auto"/>
              <w:ind w:firstLineChars="100" w:firstLine="201"/>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ACTIVIDAD</w:t>
            </w:r>
          </w:p>
        </w:tc>
        <w:tc>
          <w:tcPr>
            <w:tcW w:w="1276"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E657BA" w:rsidRPr="00A50ACE" w:rsidRDefault="00E657BA" w:rsidP="00CC3514">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UNIDAD DE MEDIDA</w:t>
            </w:r>
          </w:p>
        </w:tc>
        <w:tc>
          <w:tcPr>
            <w:tcW w:w="1275"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E657BA" w:rsidRPr="00A50ACE" w:rsidRDefault="00E657BA" w:rsidP="00CC3514">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META AÑO</w:t>
            </w:r>
          </w:p>
        </w:tc>
        <w:tc>
          <w:tcPr>
            <w:tcW w:w="1276" w:type="dxa"/>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hideMark/>
          </w:tcPr>
          <w:p w:rsidR="00E657BA" w:rsidRPr="00A50ACE" w:rsidRDefault="00E657BA" w:rsidP="00433096">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511764">
              <w:rPr>
                <w:rFonts w:ascii="Calibri" w:eastAsia="Times New Roman" w:hAnsi="Calibri" w:cs="Calibri"/>
                <w:b/>
                <w:bCs/>
                <w:color w:val="000000"/>
                <w:sz w:val="20"/>
                <w:szCs w:val="20"/>
              </w:rPr>
              <w:t xml:space="preserve"> </w:t>
            </w:r>
          </w:p>
        </w:tc>
      </w:tr>
      <w:tr w:rsidR="00E657BA" w:rsidRPr="00A50ACE" w:rsidTr="00926956">
        <w:trPr>
          <w:trHeight w:val="225"/>
        </w:trPr>
        <w:tc>
          <w:tcPr>
            <w:tcW w:w="4673" w:type="dxa"/>
            <w:tcBorders>
              <w:top w:val="single" w:sz="8" w:space="0" w:color="auto"/>
              <w:left w:val="single" w:sz="8" w:space="0" w:color="auto"/>
              <w:bottom w:val="single" w:sz="4" w:space="0" w:color="auto"/>
              <w:right w:val="single" w:sz="4" w:space="0" w:color="auto"/>
            </w:tcBorders>
            <w:shd w:val="clear" w:color="auto" w:fill="auto"/>
            <w:vAlign w:val="center"/>
          </w:tcPr>
          <w:p w:rsidR="00E657BA" w:rsidRPr="00433096" w:rsidRDefault="00433096" w:rsidP="00433096">
            <w:pPr>
              <w:rPr>
                <w:rFonts w:ascii="Calibri" w:hAnsi="Calibri" w:cs="Calibri"/>
                <w:sz w:val="16"/>
                <w:szCs w:val="16"/>
              </w:rPr>
            </w:pPr>
            <w:r>
              <w:rPr>
                <w:rFonts w:ascii="Calibri" w:hAnsi="Calibri" w:cs="Calibri"/>
                <w:sz w:val="16"/>
                <w:szCs w:val="16"/>
              </w:rPr>
              <w:t>Entregar el Premio Nacional de Interventorías – Capítulo de Concesiones. Segunda Versión. 2015</w:t>
            </w:r>
          </w:p>
        </w:tc>
        <w:tc>
          <w:tcPr>
            <w:tcW w:w="1276" w:type="dxa"/>
            <w:tcBorders>
              <w:top w:val="single" w:sz="8" w:space="0" w:color="auto"/>
              <w:left w:val="nil"/>
              <w:bottom w:val="single" w:sz="4" w:space="0" w:color="auto"/>
              <w:right w:val="single" w:sz="4" w:space="0" w:color="auto"/>
            </w:tcBorders>
            <w:shd w:val="clear" w:color="auto" w:fill="auto"/>
            <w:vAlign w:val="center"/>
          </w:tcPr>
          <w:p w:rsidR="00E657BA" w:rsidRPr="00A50ACE" w:rsidRDefault="0043309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 xml:space="preserve">Premio </w:t>
            </w:r>
          </w:p>
        </w:tc>
        <w:tc>
          <w:tcPr>
            <w:tcW w:w="1275" w:type="dxa"/>
            <w:tcBorders>
              <w:top w:val="single" w:sz="8" w:space="0" w:color="auto"/>
              <w:left w:val="nil"/>
              <w:bottom w:val="single" w:sz="4" w:space="0" w:color="auto"/>
              <w:right w:val="single" w:sz="4" w:space="0" w:color="auto"/>
            </w:tcBorders>
            <w:shd w:val="clear" w:color="auto" w:fill="auto"/>
            <w:vAlign w:val="center"/>
          </w:tcPr>
          <w:p w:rsidR="00E657BA" w:rsidRPr="00A50ACE" w:rsidRDefault="0043309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single" w:sz="8" w:space="0" w:color="auto"/>
              <w:left w:val="single" w:sz="4" w:space="0" w:color="auto"/>
              <w:bottom w:val="single" w:sz="4" w:space="0" w:color="auto"/>
              <w:right w:val="single" w:sz="8" w:space="0" w:color="auto"/>
            </w:tcBorders>
            <w:shd w:val="clear" w:color="000000" w:fill="FFFFFF" w:themeFill="background1"/>
            <w:vAlign w:val="center"/>
          </w:tcPr>
          <w:p w:rsidR="00E657BA" w:rsidRPr="004311A8" w:rsidRDefault="0043309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r w:rsidR="00E657BA"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433096" w:rsidRDefault="00433096" w:rsidP="00433096">
            <w:pPr>
              <w:rPr>
                <w:rFonts w:ascii="Calibri" w:hAnsi="Calibri" w:cs="Calibri"/>
                <w:sz w:val="16"/>
                <w:szCs w:val="16"/>
              </w:rPr>
            </w:pPr>
            <w:r>
              <w:rPr>
                <w:rFonts w:ascii="Calibri" w:hAnsi="Calibri" w:cs="Calibri"/>
                <w:sz w:val="16"/>
                <w:szCs w:val="16"/>
              </w:rPr>
              <w:t>Incorporar los patrones de control social y de los organismos de control del estado en el Sistema de Información de la ANI</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43309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Documento</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43309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43309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w:t>
            </w:r>
          </w:p>
        </w:tc>
      </w:tr>
      <w:tr w:rsidR="00E657BA"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433096" w:rsidRDefault="00433096" w:rsidP="00433096">
            <w:pPr>
              <w:rPr>
                <w:rFonts w:ascii="Calibri" w:hAnsi="Calibri" w:cs="Calibri"/>
                <w:sz w:val="16"/>
                <w:szCs w:val="16"/>
              </w:rPr>
            </w:pPr>
            <w:r>
              <w:rPr>
                <w:rFonts w:ascii="Calibri" w:hAnsi="Calibri" w:cs="Calibri"/>
                <w:sz w:val="16"/>
                <w:szCs w:val="16"/>
              </w:rPr>
              <w:t>Realizar 33 visitas de auditoría especial que incluyen seguimiento al cumplimiento del plan de mejoramiento, para el 2015.</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43309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 xml:space="preserve">Auditoria </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43309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33</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43309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17</w:t>
            </w:r>
          </w:p>
        </w:tc>
      </w:tr>
      <w:tr w:rsidR="00E657BA"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433096" w:rsidRDefault="00433096" w:rsidP="00433096">
            <w:pPr>
              <w:rPr>
                <w:rFonts w:ascii="Calibri" w:hAnsi="Calibri" w:cs="Calibri"/>
                <w:sz w:val="16"/>
                <w:szCs w:val="16"/>
              </w:rPr>
            </w:pPr>
            <w:r>
              <w:rPr>
                <w:rFonts w:ascii="Calibri" w:hAnsi="Calibri" w:cs="Calibri"/>
                <w:sz w:val="16"/>
                <w:szCs w:val="16"/>
              </w:rPr>
              <w:t>Presentar los documentos , de estandarización de niveles de servicio de las interventorías, Consolidado del plan de mejoramiento por procesos - PMP producto de auditorías y  la actualización  manual de evaluación de desempeño de interventorías</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43309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Documentos Ajustados</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43309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433096"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w:t>
            </w:r>
          </w:p>
        </w:tc>
      </w:tr>
      <w:tr w:rsidR="00926956"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926956" w:rsidRPr="00433096" w:rsidRDefault="00433096" w:rsidP="00433096">
            <w:pPr>
              <w:rPr>
                <w:rFonts w:ascii="Calibri" w:hAnsi="Calibri" w:cs="Calibri"/>
                <w:sz w:val="16"/>
                <w:szCs w:val="16"/>
              </w:rPr>
            </w:pPr>
            <w:r>
              <w:rPr>
                <w:rFonts w:ascii="Calibri" w:hAnsi="Calibri" w:cs="Calibri"/>
                <w:sz w:val="16"/>
                <w:szCs w:val="16"/>
              </w:rPr>
              <w:t>Presentar la línea base del Premio Nacional de Concesiones,  con énfasis en responsabilidad social y empresarial.</w:t>
            </w:r>
          </w:p>
        </w:tc>
        <w:tc>
          <w:tcPr>
            <w:tcW w:w="1276" w:type="dxa"/>
            <w:tcBorders>
              <w:top w:val="nil"/>
              <w:left w:val="nil"/>
              <w:bottom w:val="single" w:sz="4" w:space="0" w:color="auto"/>
              <w:right w:val="single" w:sz="4" w:space="0" w:color="auto"/>
            </w:tcBorders>
            <w:shd w:val="clear" w:color="auto" w:fill="auto"/>
            <w:vAlign w:val="center"/>
          </w:tcPr>
          <w:p w:rsidR="00926956"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Marco Conceptual</w:t>
            </w:r>
          </w:p>
        </w:tc>
        <w:tc>
          <w:tcPr>
            <w:tcW w:w="1275" w:type="dxa"/>
            <w:tcBorders>
              <w:top w:val="nil"/>
              <w:left w:val="nil"/>
              <w:bottom w:val="single" w:sz="4" w:space="0" w:color="auto"/>
              <w:right w:val="single" w:sz="4" w:space="0" w:color="auto"/>
            </w:tcBorders>
            <w:shd w:val="clear" w:color="auto" w:fill="auto"/>
            <w:vAlign w:val="center"/>
          </w:tcPr>
          <w:p w:rsidR="00926956"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926956" w:rsidRPr="004311A8" w:rsidRDefault="002064BB"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r w:rsidR="00433096"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433096" w:rsidRPr="00433096" w:rsidRDefault="00433096" w:rsidP="00433096">
            <w:pPr>
              <w:rPr>
                <w:rFonts w:ascii="Calibri" w:hAnsi="Calibri" w:cs="Calibri"/>
                <w:sz w:val="16"/>
                <w:szCs w:val="16"/>
              </w:rPr>
            </w:pPr>
            <w:r>
              <w:rPr>
                <w:rFonts w:ascii="Calibri" w:hAnsi="Calibri" w:cs="Calibri"/>
                <w:sz w:val="16"/>
                <w:szCs w:val="16"/>
              </w:rPr>
              <w:t>Realizar 1 informe al año del  seguimiento a la eficaz respuesta a las solicitudes realizadas por los entes de control.</w:t>
            </w:r>
          </w:p>
        </w:tc>
        <w:tc>
          <w:tcPr>
            <w:tcW w:w="1276" w:type="dxa"/>
            <w:tcBorders>
              <w:top w:val="nil"/>
              <w:left w:val="nil"/>
              <w:bottom w:val="single" w:sz="4" w:space="0" w:color="auto"/>
              <w:right w:val="single" w:sz="4" w:space="0" w:color="auto"/>
            </w:tcBorders>
            <w:shd w:val="clear" w:color="auto" w:fill="auto"/>
            <w:vAlign w:val="center"/>
          </w:tcPr>
          <w:p w:rsidR="00433096"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rsidR="00433096"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433096" w:rsidRPr="004311A8" w:rsidRDefault="002064BB"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433096"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433096" w:rsidRPr="00433096" w:rsidRDefault="00433096" w:rsidP="00433096">
            <w:pPr>
              <w:rPr>
                <w:rFonts w:ascii="Calibri" w:hAnsi="Calibri" w:cs="Calibri"/>
                <w:sz w:val="16"/>
                <w:szCs w:val="16"/>
              </w:rPr>
            </w:pPr>
            <w:r>
              <w:rPr>
                <w:rFonts w:ascii="Calibri" w:hAnsi="Calibri" w:cs="Calibri"/>
                <w:sz w:val="16"/>
                <w:szCs w:val="16"/>
              </w:rPr>
              <w:t>Realizar  2 informes al año de la auditoría regular y los que solicite la CGR de las Auditorías especiales.</w:t>
            </w:r>
          </w:p>
        </w:tc>
        <w:tc>
          <w:tcPr>
            <w:tcW w:w="1276" w:type="dxa"/>
            <w:tcBorders>
              <w:top w:val="nil"/>
              <w:left w:val="nil"/>
              <w:bottom w:val="single" w:sz="4" w:space="0" w:color="auto"/>
              <w:right w:val="single" w:sz="4" w:space="0" w:color="auto"/>
            </w:tcBorders>
            <w:shd w:val="clear" w:color="auto" w:fill="auto"/>
            <w:vAlign w:val="center"/>
          </w:tcPr>
          <w:p w:rsidR="00433096"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rsidR="00433096"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433096" w:rsidRPr="004311A8" w:rsidRDefault="002064BB"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r w:rsidR="00926956" w:rsidRPr="00A50ACE"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926956" w:rsidRPr="00433096" w:rsidRDefault="00433096" w:rsidP="00433096">
            <w:pPr>
              <w:rPr>
                <w:rFonts w:ascii="Calibri" w:hAnsi="Calibri" w:cs="Calibri"/>
                <w:sz w:val="16"/>
                <w:szCs w:val="16"/>
              </w:rPr>
            </w:pPr>
            <w:r>
              <w:rPr>
                <w:rFonts w:ascii="Calibri" w:hAnsi="Calibri" w:cs="Calibri"/>
                <w:sz w:val="16"/>
                <w:szCs w:val="16"/>
              </w:rPr>
              <w:t>Realizar 65 auditorías independientes.</w:t>
            </w:r>
          </w:p>
        </w:tc>
        <w:tc>
          <w:tcPr>
            <w:tcW w:w="1276" w:type="dxa"/>
            <w:tcBorders>
              <w:top w:val="nil"/>
              <w:left w:val="nil"/>
              <w:bottom w:val="single" w:sz="4" w:space="0" w:color="auto"/>
              <w:right w:val="single" w:sz="4" w:space="0" w:color="auto"/>
            </w:tcBorders>
            <w:shd w:val="clear" w:color="auto" w:fill="auto"/>
            <w:vAlign w:val="center"/>
          </w:tcPr>
          <w:p w:rsidR="00926956"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 xml:space="preserve">Informe </w:t>
            </w:r>
          </w:p>
        </w:tc>
        <w:tc>
          <w:tcPr>
            <w:tcW w:w="1275" w:type="dxa"/>
            <w:tcBorders>
              <w:top w:val="nil"/>
              <w:left w:val="nil"/>
              <w:bottom w:val="single" w:sz="4" w:space="0" w:color="auto"/>
              <w:right w:val="single" w:sz="4" w:space="0" w:color="auto"/>
            </w:tcBorders>
            <w:shd w:val="clear" w:color="auto" w:fill="auto"/>
            <w:vAlign w:val="center"/>
          </w:tcPr>
          <w:p w:rsidR="00926956"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65</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926956" w:rsidRPr="004311A8" w:rsidRDefault="002064BB"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30</w:t>
            </w:r>
          </w:p>
        </w:tc>
      </w:tr>
      <w:tr w:rsidR="00E657BA" w:rsidRPr="00A50ACE" w:rsidTr="00433096">
        <w:trPr>
          <w:trHeight w:val="330"/>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433096" w:rsidRDefault="00433096" w:rsidP="00433096">
            <w:pPr>
              <w:rPr>
                <w:rFonts w:ascii="Calibri" w:hAnsi="Calibri" w:cs="Calibri"/>
                <w:sz w:val="16"/>
                <w:szCs w:val="16"/>
              </w:rPr>
            </w:pPr>
            <w:r>
              <w:rPr>
                <w:rFonts w:ascii="Calibri" w:hAnsi="Calibri" w:cs="Calibri"/>
                <w:sz w:val="16"/>
                <w:szCs w:val="16"/>
              </w:rPr>
              <w:t xml:space="preserve">Emitir  33 boletines fomentando la cultura de autocontrol al interior de la ANI. </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Boletines</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33</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2064BB"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18</w:t>
            </w:r>
          </w:p>
        </w:tc>
      </w:tr>
      <w:tr w:rsidR="00E657BA" w:rsidRPr="00A50ACE" w:rsidTr="00926956">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rsidR="00E657BA" w:rsidRPr="00433096" w:rsidRDefault="00433096" w:rsidP="00433096">
            <w:pPr>
              <w:rPr>
                <w:rFonts w:ascii="Calibri" w:hAnsi="Calibri" w:cs="Calibri"/>
                <w:sz w:val="16"/>
                <w:szCs w:val="16"/>
              </w:rPr>
            </w:pPr>
            <w:r>
              <w:rPr>
                <w:rFonts w:ascii="Calibri" w:hAnsi="Calibri" w:cs="Calibri"/>
                <w:sz w:val="16"/>
                <w:szCs w:val="16"/>
              </w:rPr>
              <w:t>Realizar  2 capacitaciones para fortalecer la cultura de AUTOCONTROL al interior de la ANI.</w:t>
            </w:r>
          </w:p>
        </w:tc>
        <w:tc>
          <w:tcPr>
            <w:tcW w:w="1276" w:type="dxa"/>
            <w:tcBorders>
              <w:top w:val="nil"/>
              <w:left w:val="nil"/>
              <w:bottom w:val="single" w:sz="4" w:space="0" w:color="auto"/>
              <w:right w:val="single" w:sz="4" w:space="0" w:color="auto"/>
            </w:tcBorders>
            <w:shd w:val="clear" w:color="auto" w:fill="auto"/>
            <w:vAlign w:val="center"/>
          </w:tcPr>
          <w:p w:rsidR="00E657BA"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Capacitaciones</w:t>
            </w:r>
          </w:p>
        </w:tc>
        <w:tc>
          <w:tcPr>
            <w:tcW w:w="1275" w:type="dxa"/>
            <w:tcBorders>
              <w:top w:val="nil"/>
              <w:left w:val="nil"/>
              <w:bottom w:val="single" w:sz="4" w:space="0" w:color="auto"/>
              <w:right w:val="single" w:sz="4" w:space="0" w:color="auto"/>
            </w:tcBorders>
            <w:shd w:val="clear" w:color="auto" w:fill="auto"/>
            <w:vAlign w:val="center"/>
          </w:tcPr>
          <w:p w:rsidR="00E657BA" w:rsidRPr="00A50ACE" w:rsidRDefault="002064BB"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E657BA" w:rsidRPr="004311A8" w:rsidRDefault="002064BB"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2</w:t>
            </w:r>
          </w:p>
        </w:tc>
      </w:tr>
    </w:tbl>
    <w:p w:rsidR="00BB5C80" w:rsidRDefault="00BB5C80" w:rsidP="006A7AE4">
      <w:pPr>
        <w:jc w:val="both"/>
      </w:pPr>
    </w:p>
    <w:p w:rsidR="00350675" w:rsidRPr="00B64625" w:rsidRDefault="00350675" w:rsidP="00350675">
      <w:pPr>
        <w:jc w:val="both"/>
        <w:rPr>
          <w:rFonts w:ascii="Calibri" w:hAnsi="Calibri"/>
        </w:rPr>
      </w:pPr>
      <w:r w:rsidRPr="00B64625">
        <w:rPr>
          <w:rFonts w:ascii="Calibri" w:hAnsi="Calibri"/>
        </w:rPr>
        <w:t>De la misma manera, relacionamos los principales logros, obstáculos y ajustes de la oficina para el período en evaluación:</w:t>
      </w:r>
    </w:p>
    <w:p w:rsidR="00350675" w:rsidRPr="00B64625" w:rsidRDefault="00350675" w:rsidP="00350675">
      <w:pPr>
        <w:jc w:val="both"/>
        <w:rPr>
          <w:rFonts w:ascii="Calibri" w:hAnsi="Calibri"/>
          <w:b/>
        </w:rPr>
      </w:pPr>
      <w:r w:rsidRPr="00B64625">
        <w:rPr>
          <w:rFonts w:ascii="Calibri" w:hAnsi="Calibri"/>
          <w:b/>
        </w:rPr>
        <w:t>LOGROS:</w:t>
      </w:r>
    </w:p>
    <w:p w:rsidR="00350675" w:rsidRPr="00B64625" w:rsidRDefault="00350675" w:rsidP="00350675">
      <w:pPr>
        <w:jc w:val="both"/>
        <w:rPr>
          <w:rFonts w:ascii="Calibri" w:hAnsi="Calibri"/>
        </w:rPr>
      </w:pPr>
    </w:p>
    <w:p w:rsidR="00350675" w:rsidRPr="00B64625" w:rsidRDefault="00350675" w:rsidP="00350675">
      <w:pPr>
        <w:numPr>
          <w:ilvl w:val="0"/>
          <w:numId w:val="8"/>
        </w:numPr>
        <w:spacing w:after="0" w:line="240" w:lineRule="auto"/>
        <w:jc w:val="both"/>
        <w:rPr>
          <w:rFonts w:ascii="Calibri" w:hAnsi="Calibri"/>
        </w:rPr>
      </w:pPr>
      <w:r w:rsidRPr="00B64625">
        <w:rPr>
          <w:rFonts w:ascii="Calibri" w:hAnsi="Calibri"/>
        </w:rPr>
        <w:lastRenderedPageBreak/>
        <w:t>Asesorías a la presidencia de la ANI:</w:t>
      </w:r>
    </w:p>
    <w:p w:rsidR="00350675" w:rsidRPr="00B64625" w:rsidRDefault="00350675" w:rsidP="00350675">
      <w:pPr>
        <w:ind w:left="708"/>
        <w:jc w:val="both"/>
        <w:rPr>
          <w:rFonts w:ascii="Calibri" w:hAnsi="Calibri"/>
        </w:rPr>
      </w:pPr>
      <w:r w:rsidRPr="00B64625">
        <w:rPr>
          <w:rFonts w:ascii="Calibri" w:hAnsi="Calibri"/>
        </w:rPr>
        <w:t xml:space="preserve">Opiniones que se brindan al presidente de la Agencia sobre asuntos de interés de la institución. </w:t>
      </w:r>
    </w:p>
    <w:p w:rsidR="00350675" w:rsidRPr="00B64625" w:rsidRDefault="00350675" w:rsidP="00350675">
      <w:pPr>
        <w:numPr>
          <w:ilvl w:val="0"/>
          <w:numId w:val="8"/>
        </w:numPr>
        <w:spacing w:after="0" w:line="240" w:lineRule="auto"/>
        <w:jc w:val="both"/>
        <w:rPr>
          <w:rFonts w:ascii="Calibri" w:hAnsi="Calibri"/>
        </w:rPr>
      </w:pPr>
      <w:r w:rsidRPr="00B64625">
        <w:rPr>
          <w:rFonts w:ascii="Calibri" w:hAnsi="Calibri"/>
        </w:rPr>
        <w:t>Premio Nacional de Interventoría:</w:t>
      </w:r>
    </w:p>
    <w:p w:rsidR="00350675" w:rsidRPr="00B64625" w:rsidRDefault="00350675" w:rsidP="00350675">
      <w:pPr>
        <w:ind w:left="720"/>
        <w:jc w:val="both"/>
        <w:rPr>
          <w:rFonts w:ascii="Calibri" w:hAnsi="Calibri"/>
        </w:rPr>
      </w:pPr>
      <w:r w:rsidRPr="00B64625">
        <w:rPr>
          <w:rFonts w:ascii="Calibri" w:hAnsi="Calibri"/>
        </w:rPr>
        <w:t>Se realizó la entrega de la segunda versión del Premio Nacional de Interventorías-</w:t>
      </w:r>
      <w:r w:rsidRPr="00B64625">
        <w:t xml:space="preserve"> </w:t>
      </w:r>
      <w:r w:rsidRPr="00B64625">
        <w:rPr>
          <w:rFonts w:ascii="Calibri" w:hAnsi="Calibri"/>
        </w:rPr>
        <w:t>concesiones, el día 12 de junio de 2015.</w:t>
      </w:r>
    </w:p>
    <w:p w:rsidR="00350675" w:rsidRPr="00B64625" w:rsidRDefault="00350675" w:rsidP="00350675">
      <w:pPr>
        <w:numPr>
          <w:ilvl w:val="0"/>
          <w:numId w:val="8"/>
        </w:numPr>
        <w:spacing w:after="0" w:line="240" w:lineRule="auto"/>
        <w:jc w:val="both"/>
        <w:rPr>
          <w:rFonts w:ascii="Calibri" w:hAnsi="Calibri"/>
        </w:rPr>
      </w:pPr>
      <w:r w:rsidRPr="00B64625">
        <w:rPr>
          <w:rFonts w:ascii="Calibri" w:hAnsi="Calibri"/>
        </w:rPr>
        <w:t xml:space="preserve">Plan de mejoramiento Institucional PMI: </w:t>
      </w:r>
    </w:p>
    <w:p w:rsidR="00350675" w:rsidRPr="00B64625" w:rsidRDefault="00350675" w:rsidP="00350675">
      <w:pPr>
        <w:ind w:left="720"/>
        <w:jc w:val="both"/>
        <w:rPr>
          <w:rFonts w:ascii="Calibri" w:hAnsi="Calibri"/>
        </w:rPr>
      </w:pPr>
      <w:r w:rsidRPr="00B64625">
        <w:rPr>
          <w:rFonts w:ascii="Calibri" w:hAnsi="Calibri"/>
        </w:rPr>
        <w:t>Seguimiento al avance de</w:t>
      </w:r>
      <w:r>
        <w:rPr>
          <w:rFonts w:ascii="Calibri" w:hAnsi="Calibri"/>
        </w:rPr>
        <w:t>l</w:t>
      </w:r>
      <w:r w:rsidRPr="00B64625">
        <w:rPr>
          <w:rFonts w:ascii="Calibri" w:hAnsi="Calibri"/>
        </w:rPr>
        <w:t xml:space="preserve"> plan de mejoramiento</w:t>
      </w:r>
      <w:r>
        <w:rPr>
          <w:rFonts w:ascii="Calibri" w:hAnsi="Calibri"/>
        </w:rPr>
        <w:t>;</w:t>
      </w:r>
      <w:r w:rsidRPr="00B64625">
        <w:rPr>
          <w:rFonts w:ascii="Calibri" w:hAnsi="Calibri"/>
        </w:rPr>
        <w:t xml:space="preserve"> se </w:t>
      </w:r>
      <w:r>
        <w:rPr>
          <w:rFonts w:ascii="Calibri" w:hAnsi="Calibri"/>
        </w:rPr>
        <w:t>pasaron</w:t>
      </w:r>
      <w:r w:rsidRPr="00B64625">
        <w:rPr>
          <w:rFonts w:ascii="Calibri" w:hAnsi="Calibri"/>
        </w:rPr>
        <w:t xml:space="preserve"> de 148 a 40</w:t>
      </w:r>
      <w:r>
        <w:rPr>
          <w:rFonts w:ascii="Calibri" w:hAnsi="Calibri"/>
        </w:rPr>
        <w:t>4</w:t>
      </w:r>
      <w:r w:rsidRPr="00B64625">
        <w:rPr>
          <w:rFonts w:ascii="Calibri" w:hAnsi="Calibri"/>
        </w:rPr>
        <w:t xml:space="preserve"> </w:t>
      </w:r>
      <w:r>
        <w:rPr>
          <w:rFonts w:ascii="Calibri" w:hAnsi="Calibri"/>
        </w:rPr>
        <w:t xml:space="preserve">hallazgos superados con acciones preventivas y correctivas </w:t>
      </w:r>
      <w:r w:rsidRPr="00B64625">
        <w:rPr>
          <w:rFonts w:ascii="Calibri" w:hAnsi="Calibri"/>
        </w:rPr>
        <w:t>al 100% a en el segundo trimestre del año en curso.</w:t>
      </w:r>
    </w:p>
    <w:p w:rsidR="00350675" w:rsidRPr="00B64625" w:rsidRDefault="00350675" w:rsidP="00350675">
      <w:pPr>
        <w:numPr>
          <w:ilvl w:val="0"/>
          <w:numId w:val="8"/>
        </w:numPr>
        <w:spacing w:after="0" w:line="240" w:lineRule="auto"/>
        <w:jc w:val="both"/>
        <w:rPr>
          <w:rFonts w:ascii="Calibri" w:hAnsi="Calibri"/>
        </w:rPr>
      </w:pPr>
      <w:r w:rsidRPr="00B64625">
        <w:rPr>
          <w:rFonts w:ascii="Calibri" w:hAnsi="Calibri"/>
        </w:rPr>
        <w:t>Coordinación y orientación a la ANI en la atención de organismos de control del estado:</w:t>
      </w:r>
    </w:p>
    <w:p w:rsidR="00350675" w:rsidRDefault="00350675" w:rsidP="00350675">
      <w:pPr>
        <w:ind w:left="720"/>
        <w:jc w:val="both"/>
        <w:rPr>
          <w:rFonts w:ascii="Calibri" w:hAnsi="Calibri"/>
        </w:rPr>
      </w:pPr>
      <w:r w:rsidRPr="00B64625">
        <w:rPr>
          <w:rFonts w:ascii="Calibri" w:hAnsi="Calibri"/>
        </w:rPr>
        <w:t>Permanentemente  enlazamos a dichos organismos con los responsables de atender los requerimientos y orientamos aquellos aspectos estratégicos que pueden agregar valor a las respuestas.</w:t>
      </w:r>
    </w:p>
    <w:p w:rsidR="00350675" w:rsidRDefault="00350675" w:rsidP="00350675">
      <w:pPr>
        <w:ind w:left="720"/>
        <w:jc w:val="both"/>
        <w:rPr>
          <w:rFonts w:ascii="Calibri" w:hAnsi="Calibri"/>
        </w:rPr>
      </w:pPr>
    </w:p>
    <w:p w:rsidR="00350675" w:rsidRDefault="00350675" w:rsidP="00350675">
      <w:pPr>
        <w:ind w:left="720"/>
        <w:jc w:val="both"/>
        <w:rPr>
          <w:rFonts w:ascii="Calibri" w:hAnsi="Calibri"/>
        </w:rPr>
      </w:pPr>
      <w:r>
        <w:rPr>
          <w:rFonts w:ascii="Calibri" w:hAnsi="Calibri"/>
        </w:rPr>
        <w:t>En el primer semestre del año se recibieron 493 comunicaciones de entes de control de los cuales 229 son informativos o logísticos y 264 solicitudes de información, que se describen a reglón seguido:</w:t>
      </w:r>
    </w:p>
    <w:p w:rsidR="00350675" w:rsidRDefault="00350675" w:rsidP="00350675">
      <w:pPr>
        <w:ind w:left="720"/>
        <w:jc w:val="both"/>
        <w:rPr>
          <w:rFonts w:ascii="Calibri" w:hAnsi="Calibri"/>
        </w:rPr>
      </w:pPr>
    </w:p>
    <w:tbl>
      <w:tblPr>
        <w:tblW w:w="5000" w:type="pct"/>
        <w:tblBorders>
          <w:insideH w:val="single" w:sz="18" w:space="0" w:color="FFFFFF"/>
          <w:insideV w:val="single" w:sz="18" w:space="0" w:color="FFFFFF"/>
        </w:tblBorders>
        <w:tblLook w:val="0420" w:firstRow="1" w:lastRow="0" w:firstColumn="0" w:lastColumn="0" w:noHBand="0" w:noVBand="1"/>
      </w:tblPr>
      <w:tblGrid>
        <w:gridCol w:w="2236"/>
        <w:gridCol w:w="1335"/>
        <w:gridCol w:w="1785"/>
        <w:gridCol w:w="1978"/>
        <w:gridCol w:w="1504"/>
      </w:tblGrid>
      <w:tr w:rsidR="00350675" w:rsidRPr="00193D6A" w:rsidTr="00F331D7">
        <w:trPr>
          <w:trHeight w:val="395"/>
        </w:trPr>
        <w:tc>
          <w:tcPr>
            <w:tcW w:w="1265" w:type="pct"/>
            <w:shd w:val="pct20" w:color="000000" w:fill="FFFFFF"/>
            <w:hideMark/>
          </w:tcPr>
          <w:p w:rsidR="00350675" w:rsidRPr="00193D6A" w:rsidRDefault="00350675" w:rsidP="00F331D7">
            <w:pPr>
              <w:jc w:val="both"/>
              <w:rPr>
                <w:rFonts w:ascii="Calibri" w:hAnsi="Calibri"/>
                <w:b/>
                <w:bCs/>
              </w:rPr>
            </w:pPr>
            <w:r w:rsidRPr="00193D6A">
              <w:rPr>
                <w:rFonts w:ascii="Calibri" w:hAnsi="Calibri"/>
                <w:b/>
                <w:bCs/>
              </w:rPr>
              <w:t xml:space="preserve">Entidad </w:t>
            </w:r>
          </w:p>
        </w:tc>
        <w:tc>
          <w:tcPr>
            <w:tcW w:w="755" w:type="pct"/>
            <w:shd w:val="pct20" w:color="000000" w:fill="FFFFFF"/>
            <w:hideMark/>
          </w:tcPr>
          <w:p w:rsidR="00350675" w:rsidRPr="00193D6A" w:rsidRDefault="00350675" w:rsidP="00F331D7">
            <w:pPr>
              <w:ind w:left="720" w:hanging="743"/>
              <w:jc w:val="both"/>
              <w:rPr>
                <w:rFonts w:ascii="Calibri" w:hAnsi="Calibri"/>
                <w:b/>
                <w:bCs/>
              </w:rPr>
            </w:pPr>
            <w:r w:rsidRPr="00193D6A">
              <w:rPr>
                <w:rFonts w:ascii="Calibri" w:hAnsi="Calibri"/>
                <w:b/>
                <w:bCs/>
              </w:rPr>
              <w:t>Entradas</w:t>
            </w:r>
          </w:p>
        </w:tc>
        <w:tc>
          <w:tcPr>
            <w:tcW w:w="1010" w:type="pct"/>
            <w:shd w:val="pct20" w:color="000000" w:fill="FFFFFF"/>
            <w:hideMark/>
          </w:tcPr>
          <w:p w:rsidR="00350675" w:rsidRPr="00193D6A" w:rsidRDefault="00350675" w:rsidP="00F331D7">
            <w:pPr>
              <w:jc w:val="both"/>
              <w:rPr>
                <w:rFonts w:ascii="Calibri" w:hAnsi="Calibri"/>
                <w:b/>
                <w:bCs/>
              </w:rPr>
            </w:pPr>
            <w:r w:rsidRPr="00193D6A">
              <w:rPr>
                <w:rFonts w:ascii="Calibri" w:hAnsi="Calibri"/>
                <w:b/>
                <w:bCs/>
              </w:rPr>
              <w:t>Total requerimientos</w:t>
            </w:r>
          </w:p>
        </w:tc>
        <w:tc>
          <w:tcPr>
            <w:tcW w:w="1119" w:type="pct"/>
            <w:shd w:val="pct20" w:color="000000" w:fill="FFFFFF"/>
            <w:hideMark/>
          </w:tcPr>
          <w:p w:rsidR="00350675" w:rsidRPr="00193D6A" w:rsidRDefault="00350675" w:rsidP="00F331D7">
            <w:pPr>
              <w:ind w:firstLine="12"/>
              <w:jc w:val="both"/>
              <w:rPr>
                <w:rFonts w:ascii="Calibri" w:hAnsi="Calibri"/>
                <w:b/>
                <w:bCs/>
              </w:rPr>
            </w:pPr>
            <w:r w:rsidRPr="00193D6A">
              <w:rPr>
                <w:rFonts w:ascii="Calibri" w:hAnsi="Calibri"/>
                <w:b/>
                <w:bCs/>
              </w:rPr>
              <w:t>Requerimientos Contestados</w:t>
            </w:r>
          </w:p>
        </w:tc>
        <w:tc>
          <w:tcPr>
            <w:tcW w:w="852" w:type="pct"/>
            <w:shd w:val="pct20" w:color="000000" w:fill="FFFFFF"/>
            <w:hideMark/>
          </w:tcPr>
          <w:p w:rsidR="00350675" w:rsidRPr="00193D6A" w:rsidRDefault="00350675" w:rsidP="00F331D7">
            <w:pPr>
              <w:ind w:hanging="60"/>
              <w:jc w:val="both"/>
              <w:rPr>
                <w:rFonts w:ascii="Calibri" w:hAnsi="Calibri"/>
                <w:b/>
                <w:bCs/>
              </w:rPr>
            </w:pPr>
            <w:r w:rsidRPr="00193D6A">
              <w:rPr>
                <w:rFonts w:ascii="Calibri" w:hAnsi="Calibri"/>
                <w:b/>
                <w:bCs/>
              </w:rPr>
              <w:t>Folios / CD o DVD</w:t>
            </w:r>
          </w:p>
        </w:tc>
      </w:tr>
      <w:tr w:rsidR="00350675" w:rsidRPr="00193D6A" w:rsidTr="00F331D7">
        <w:trPr>
          <w:trHeight w:val="508"/>
        </w:trPr>
        <w:tc>
          <w:tcPr>
            <w:tcW w:w="1265" w:type="pct"/>
            <w:shd w:val="pct5" w:color="000000" w:fill="FFFFFF"/>
            <w:hideMark/>
          </w:tcPr>
          <w:p w:rsidR="00350675" w:rsidRPr="00193D6A" w:rsidRDefault="00350675" w:rsidP="00F331D7">
            <w:pPr>
              <w:jc w:val="both"/>
              <w:rPr>
                <w:rFonts w:ascii="Calibri" w:hAnsi="Calibri"/>
              </w:rPr>
            </w:pPr>
            <w:r w:rsidRPr="00193D6A">
              <w:rPr>
                <w:rFonts w:ascii="Calibri" w:hAnsi="Calibri"/>
              </w:rPr>
              <w:t>Contraloría General de la República</w:t>
            </w:r>
          </w:p>
        </w:tc>
        <w:tc>
          <w:tcPr>
            <w:tcW w:w="755" w:type="pct"/>
            <w:shd w:val="pct5" w:color="000000" w:fill="FFFFFF"/>
            <w:hideMark/>
          </w:tcPr>
          <w:p w:rsidR="00350675" w:rsidRPr="00193D6A" w:rsidRDefault="00350675" w:rsidP="00F331D7">
            <w:pPr>
              <w:ind w:left="100" w:hanging="100"/>
              <w:rPr>
                <w:rFonts w:ascii="Calibri" w:hAnsi="Calibri"/>
              </w:rPr>
            </w:pPr>
            <w:r w:rsidRPr="00193D6A">
              <w:rPr>
                <w:rFonts w:ascii="Calibri" w:hAnsi="Calibri"/>
              </w:rPr>
              <w:t>105</w:t>
            </w:r>
          </w:p>
        </w:tc>
        <w:tc>
          <w:tcPr>
            <w:tcW w:w="1010" w:type="pct"/>
            <w:shd w:val="pct5" w:color="000000" w:fill="FFFFFF"/>
            <w:hideMark/>
          </w:tcPr>
          <w:p w:rsidR="00350675" w:rsidRPr="00193D6A" w:rsidRDefault="00350675" w:rsidP="00F331D7">
            <w:pPr>
              <w:ind w:left="-37"/>
              <w:rPr>
                <w:rFonts w:ascii="Calibri" w:hAnsi="Calibri"/>
              </w:rPr>
            </w:pPr>
            <w:r w:rsidRPr="00193D6A">
              <w:rPr>
                <w:rFonts w:ascii="Calibri" w:hAnsi="Calibri"/>
              </w:rPr>
              <w:t>848</w:t>
            </w:r>
          </w:p>
        </w:tc>
        <w:tc>
          <w:tcPr>
            <w:tcW w:w="1119" w:type="pct"/>
            <w:shd w:val="pct5" w:color="000000" w:fill="FFFFFF"/>
            <w:hideMark/>
          </w:tcPr>
          <w:p w:rsidR="00350675" w:rsidRPr="00193D6A" w:rsidRDefault="00350675" w:rsidP="00F331D7">
            <w:pPr>
              <w:rPr>
                <w:rFonts w:ascii="Calibri" w:hAnsi="Calibri"/>
              </w:rPr>
            </w:pPr>
            <w:r w:rsidRPr="00193D6A">
              <w:rPr>
                <w:rFonts w:ascii="Calibri" w:hAnsi="Calibri"/>
              </w:rPr>
              <w:t>846</w:t>
            </w:r>
          </w:p>
        </w:tc>
        <w:tc>
          <w:tcPr>
            <w:tcW w:w="852" w:type="pct"/>
            <w:shd w:val="pct5" w:color="000000" w:fill="FFFFFF"/>
            <w:hideMark/>
          </w:tcPr>
          <w:p w:rsidR="00350675" w:rsidRPr="00193D6A" w:rsidRDefault="00350675" w:rsidP="00F331D7">
            <w:pPr>
              <w:rPr>
                <w:rFonts w:ascii="Calibri" w:hAnsi="Calibri"/>
              </w:rPr>
            </w:pPr>
            <w:r w:rsidRPr="00193D6A">
              <w:rPr>
                <w:rFonts w:ascii="Calibri" w:hAnsi="Calibri"/>
              </w:rPr>
              <w:t>1965 / 125</w:t>
            </w:r>
          </w:p>
        </w:tc>
      </w:tr>
      <w:tr w:rsidR="00350675" w:rsidRPr="00193D6A" w:rsidTr="00F331D7">
        <w:trPr>
          <w:trHeight w:val="395"/>
        </w:trPr>
        <w:tc>
          <w:tcPr>
            <w:tcW w:w="1265" w:type="pct"/>
            <w:shd w:val="pct20" w:color="000000" w:fill="FFFFFF"/>
            <w:hideMark/>
          </w:tcPr>
          <w:p w:rsidR="00350675" w:rsidRPr="00193D6A" w:rsidRDefault="00350675" w:rsidP="00F331D7">
            <w:pPr>
              <w:rPr>
                <w:rFonts w:ascii="Calibri" w:hAnsi="Calibri"/>
              </w:rPr>
            </w:pPr>
            <w:r w:rsidRPr="00193D6A">
              <w:rPr>
                <w:rFonts w:ascii="Calibri" w:hAnsi="Calibri"/>
              </w:rPr>
              <w:t>Congreso de la República</w:t>
            </w:r>
          </w:p>
        </w:tc>
        <w:tc>
          <w:tcPr>
            <w:tcW w:w="755" w:type="pct"/>
            <w:shd w:val="pct20" w:color="000000" w:fill="FFFFFF"/>
            <w:hideMark/>
          </w:tcPr>
          <w:p w:rsidR="00350675" w:rsidRPr="00193D6A" w:rsidRDefault="00350675" w:rsidP="00F331D7">
            <w:pPr>
              <w:rPr>
                <w:rFonts w:ascii="Calibri" w:hAnsi="Calibri"/>
              </w:rPr>
            </w:pPr>
            <w:r w:rsidRPr="00193D6A">
              <w:rPr>
                <w:rFonts w:ascii="Calibri" w:hAnsi="Calibri"/>
              </w:rPr>
              <w:t>23</w:t>
            </w:r>
          </w:p>
        </w:tc>
        <w:tc>
          <w:tcPr>
            <w:tcW w:w="1010" w:type="pct"/>
            <w:shd w:val="pct20" w:color="000000" w:fill="FFFFFF"/>
            <w:hideMark/>
          </w:tcPr>
          <w:p w:rsidR="00350675" w:rsidRPr="00193D6A" w:rsidRDefault="00350675" w:rsidP="00F331D7">
            <w:pPr>
              <w:rPr>
                <w:rFonts w:ascii="Calibri" w:hAnsi="Calibri"/>
              </w:rPr>
            </w:pPr>
            <w:r w:rsidRPr="00193D6A">
              <w:rPr>
                <w:rFonts w:ascii="Calibri" w:hAnsi="Calibri"/>
              </w:rPr>
              <w:t>58</w:t>
            </w:r>
          </w:p>
        </w:tc>
        <w:tc>
          <w:tcPr>
            <w:tcW w:w="1119" w:type="pct"/>
            <w:shd w:val="pct20" w:color="000000" w:fill="FFFFFF"/>
            <w:hideMark/>
          </w:tcPr>
          <w:p w:rsidR="00350675" w:rsidRPr="00193D6A" w:rsidRDefault="00350675" w:rsidP="00F331D7">
            <w:pPr>
              <w:rPr>
                <w:rFonts w:ascii="Calibri" w:hAnsi="Calibri"/>
              </w:rPr>
            </w:pPr>
            <w:r w:rsidRPr="00193D6A">
              <w:rPr>
                <w:rFonts w:ascii="Calibri" w:hAnsi="Calibri"/>
              </w:rPr>
              <w:t>57</w:t>
            </w:r>
          </w:p>
        </w:tc>
        <w:tc>
          <w:tcPr>
            <w:tcW w:w="852" w:type="pct"/>
            <w:shd w:val="pct20" w:color="000000" w:fill="FFFFFF"/>
            <w:hideMark/>
          </w:tcPr>
          <w:p w:rsidR="00350675" w:rsidRPr="00193D6A" w:rsidRDefault="00350675" w:rsidP="00F331D7">
            <w:pPr>
              <w:rPr>
                <w:rFonts w:ascii="Calibri" w:hAnsi="Calibri"/>
              </w:rPr>
            </w:pPr>
            <w:r w:rsidRPr="00193D6A">
              <w:rPr>
                <w:rFonts w:ascii="Calibri" w:hAnsi="Calibri"/>
              </w:rPr>
              <w:t>60 / 9</w:t>
            </w:r>
          </w:p>
        </w:tc>
      </w:tr>
      <w:tr w:rsidR="00350675" w:rsidRPr="00193D6A" w:rsidTr="00F331D7">
        <w:trPr>
          <w:trHeight w:val="395"/>
        </w:trPr>
        <w:tc>
          <w:tcPr>
            <w:tcW w:w="1265" w:type="pct"/>
            <w:shd w:val="pct5" w:color="000000" w:fill="FFFFFF"/>
            <w:hideMark/>
          </w:tcPr>
          <w:p w:rsidR="00350675" w:rsidRPr="00193D6A" w:rsidRDefault="00350675" w:rsidP="00F331D7">
            <w:pPr>
              <w:rPr>
                <w:rFonts w:ascii="Calibri" w:hAnsi="Calibri"/>
              </w:rPr>
            </w:pPr>
            <w:r w:rsidRPr="00193D6A">
              <w:rPr>
                <w:rFonts w:ascii="Calibri" w:hAnsi="Calibri"/>
              </w:rPr>
              <w:t>Defensoría del pueblo</w:t>
            </w:r>
          </w:p>
        </w:tc>
        <w:tc>
          <w:tcPr>
            <w:tcW w:w="755" w:type="pct"/>
            <w:shd w:val="pct5" w:color="000000" w:fill="FFFFFF"/>
            <w:hideMark/>
          </w:tcPr>
          <w:p w:rsidR="00350675" w:rsidRPr="00193D6A" w:rsidRDefault="00350675" w:rsidP="00F331D7">
            <w:pPr>
              <w:rPr>
                <w:rFonts w:ascii="Calibri" w:hAnsi="Calibri"/>
              </w:rPr>
            </w:pPr>
            <w:r w:rsidRPr="00193D6A">
              <w:rPr>
                <w:rFonts w:ascii="Calibri" w:hAnsi="Calibri"/>
              </w:rPr>
              <w:t>9</w:t>
            </w:r>
          </w:p>
        </w:tc>
        <w:tc>
          <w:tcPr>
            <w:tcW w:w="1010" w:type="pct"/>
            <w:shd w:val="pct5" w:color="000000" w:fill="FFFFFF"/>
            <w:hideMark/>
          </w:tcPr>
          <w:p w:rsidR="00350675" w:rsidRPr="00193D6A" w:rsidRDefault="00350675" w:rsidP="00F331D7">
            <w:pPr>
              <w:rPr>
                <w:rFonts w:ascii="Calibri" w:hAnsi="Calibri"/>
              </w:rPr>
            </w:pPr>
            <w:r w:rsidRPr="00193D6A">
              <w:rPr>
                <w:rFonts w:ascii="Calibri" w:hAnsi="Calibri"/>
              </w:rPr>
              <w:t>13</w:t>
            </w:r>
          </w:p>
        </w:tc>
        <w:tc>
          <w:tcPr>
            <w:tcW w:w="1119" w:type="pct"/>
            <w:shd w:val="pct5" w:color="000000" w:fill="FFFFFF"/>
            <w:hideMark/>
          </w:tcPr>
          <w:p w:rsidR="00350675" w:rsidRPr="00193D6A" w:rsidRDefault="00350675" w:rsidP="00F331D7">
            <w:pPr>
              <w:rPr>
                <w:rFonts w:ascii="Calibri" w:hAnsi="Calibri"/>
              </w:rPr>
            </w:pPr>
            <w:r w:rsidRPr="00193D6A">
              <w:rPr>
                <w:rFonts w:ascii="Calibri" w:hAnsi="Calibri"/>
              </w:rPr>
              <w:t>13</w:t>
            </w:r>
          </w:p>
        </w:tc>
        <w:tc>
          <w:tcPr>
            <w:tcW w:w="852" w:type="pct"/>
            <w:shd w:val="pct5" w:color="000000" w:fill="FFFFFF"/>
            <w:hideMark/>
          </w:tcPr>
          <w:p w:rsidR="00350675" w:rsidRPr="00193D6A" w:rsidRDefault="00350675" w:rsidP="00F331D7">
            <w:pPr>
              <w:rPr>
                <w:rFonts w:ascii="Calibri" w:hAnsi="Calibri"/>
              </w:rPr>
            </w:pPr>
            <w:r w:rsidRPr="00193D6A">
              <w:rPr>
                <w:rFonts w:ascii="Calibri" w:hAnsi="Calibri"/>
              </w:rPr>
              <w:t>59 / 1</w:t>
            </w:r>
          </w:p>
        </w:tc>
      </w:tr>
      <w:tr w:rsidR="00350675" w:rsidRPr="00193D6A" w:rsidTr="00F331D7">
        <w:trPr>
          <w:trHeight w:val="395"/>
        </w:trPr>
        <w:tc>
          <w:tcPr>
            <w:tcW w:w="1265" w:type="pct"/>
            <w:shd w:val="pct20" w:color="000000" w:fill="FFFFFF"/>
            <w:hideMark/>
          </w:tcPr>
          <w:p w:rsidR="00350675" w:rsidRPr="00193D6A" w:rsidRDefault="00350675" w:rsidP="00F331D7">
            <w:pPr>
              <w:rPr>
                <w:rFonts w:ascii="Calibri" w:hAnsi="Calibri"/>
              </w:rPr>
            </w:pPr>
            <w:r w:rsidRPr="00193D6A">
              <w:rPr>
                <w:rFonts w:ascii="Calibri" w:hAnsi="Calibri"/>
              </w:rPr>
              <w:t>Fiscalía General de la Nación</w:t>
            </w:r>
          </w:p>
        </w:tc>
        <w:tc>
          <w:tcPr>
            <w:tcW w:w="755" w:type="pct"/>
            <w:shd w:val="pct20" w:color="000000" w:fill="FFFFFF"/>
            <w:hideMark/>
          </w:tcPr>
          <w:p w:rsidR="00350675" w:rsidRPr="00193D6A" w:rsidRDefault="00350675" w:rsidP="00F331D7">
            <w:pPr>
              <w:rPr>
                <w:rFonts w:ascii="Calibri" w:hAnsi="Calibri"/>
              </w:rPr>
            </w:pPr>
            <w:r w:rsidRPr="00193D6A">
              <w:rPr>
                <w:rFonts w:ascii="Calibri" w:hAnsi="Calibri"/>
              </w:rPr>
              <w:t>8</w:t>
            </w:r>
          </w:p>
        </w:tc>
        <w:tc>
          <w:tcPr>
            <w:tcW w:w="1010" w:type="pct"/>
            <w:shd w:val="pct20" w:color="000000" w:fill="FFFFFF"/>
            <w:hideMark/>
          </w:tcPr>
          <w:p w:rsidR="00350675" w:rsidRPr="00193D6A" w:rsidRDefault="00350675" w:rsidP="00F331D7">
            <w:pPr>
              <w:rPr>
                <w:rFonts w:ascii="Calibri" w:hAnsi="Calibri"/>
              </w:rPr>
            </w:pPr>
            <w:r w:rsidRPr="00193D6A">
              <w:rPr>
                <w:rFonts w:ascii="Calibri" w:hAnsi="Calibri"/>
              </w:rPr>
              <w:t>18</w:t>
            </w:r>
          </w:p>
        </w:tc>
        <w:tc>
          <w:tcPr>
            <w:tcW w:w="1119" w:type="pct"/>
            <w:shd w:val="pct20" w:color="000000" w:fill="FFFFFF"/>
            <w:hideMark/>
          </w:tcPr>
          <w:p w:rsidR="00350675" w:rsidRPr="00193D6A" w:rsidRDefault="00350675" w:rsidP="00F331D7">
            <w:pPr>
              <w:rPr>
                <w:rFonts w:ascii="Calibri" w:hAnsi="Calibri"/>
              </w:rPr>
            </w:pPr>
            <w:r w:rsidRPr="00193D6A">
              <w:rPr>
                <w:rFonts w:ascii="Calibri" w:hAnsi="Calibri"/>
              </w:rPr>
              <w:t>17</w:t>
            </w:r>
          </w:p>
        </w:tc>
        <w:tc>
          <w:tcPr>
            <w:tcW w:w="852" w:type="pct"/>
            <w:shd w:val="pct20" w:color="000000" w:fill="FFFFFF"/>
            <w:hideMark/>
          </w:tcPr>
          <w:p w:rsidR="00350675" w:rsidRPr="00193D6A" w:rsidRDefault="00350675" w:rsidP="00F331D7">
            <w:pPr>
              <w:rPr>
                <w:rFonts w:ascii="Calibri" w:hAnsi="Calibri"/>
              </w:rPr>
            </w:pPr>
            <w:r w:rsidRPr="00193D6A">
              <w:rPr>
                <w:rFonts w:ascii="Calibri" w:hAnsi="Calibri"/>
              </w:rPr>
              <w:t>257 / 0</w:t>
            </w:r>
          </w:p>
        </w:tc>
      </w:tr>
      <w:tr w:rsidR="00350675" w:rsidRPr="00193D6A" w:rsidTr="00F331D7">
        <w:trPr>
          <w:trHeight w:val="395"/>
        </w:trPr>
        <w:tc>
          <w:tcPr>
            <w:tcW w:w="1265" w:type="pct"/>
            <w:shd w:val="pct5" w:color="000000" w:fill="FFFFFF"/>
            <w:hideMark/>
          </w:tcPr>
          <w:p w:rsidR="00350675" w:rsidRPr="00193D6A" w:rsidRDefault="00350675" w:rsidP="00F331D7">
            <w:pPr>
              <w:rPr>
                <w:rFonts w:ascii="Calibri" w:hAnsi="Calibri"/>
              </w:rPr>
            </w:pPr>
            <w:r w:rsidRPr="00193D6A">
              <w:rPr>
                <w:rFonts w:ascii="Calibri" w:hAnsi="Calibri"/>
              </w:rPr>
              <w:t>Procuraduría General de la Nación</w:t>
            </w:r>
          </w:p>
        </w:tc>
        <w:tc>
          <w:tcPr>
            <w:tcW w:w="755" w:type="pct"/>
            <w:shd w:val="pct5" w:color="000000" w:fill="FFFFFF"/>
            <w:hideMark/>
          </w:tcPr>
          <w:p w:rsidR="00350675" w:rsidRPr="00193D6A" w:rsidRDefault="00350675" w:rsidP="00F331D7">
            <w:pPr>
              <w:rPr>
                <w:rFonts w:ascii="Calibri" w:hAnsi="Calibri"/>
              </w:rPr>
            </w:pPr>
            <w:r w:rsidRPr="00193D6A">
              <w:rPr>
                <w:rFonts w:ascii="Calibri" w:hAnsi="Calibri"/>
              </w:rPr>
              <w:t>73</w:t>
            </w:r>
          </w:p>
        </w:tc>
        <w:tc>
          <w:tcPr>
            <w:tcW w:w="1010" w:type="pct"/>
            <w:shd w:val="pct5" w:color="000000" w:fill="FFFFFF"/>
            <w:hideMark/>
          </w:tcPr>
          <w:p w:rsidR="00350675" w:rsidRPr="00193D6A" w:rsidRDefault="00350675" w:rsidP="00F331D7">
            <w:pPr>
              <w:rPr>
                <w:rFonts w:ascii="Calibri" w:hAnsi="Calibri"/>
              </w:rPr>
            </w:pPr>
            <w:r w:rsidRPr="00193D6A">
              <w:rPr>
                <w:rFonts w:ascii="Calibri" w:hAnsi="Calibri"/>
              </w:rPr>
              <w:t>405</w:t>
            </w:r>
          </w:p>
        </w:tc>
        <w:tc>
          <w:tcPr>
            <w:tcW w:w="1119" w:type="pct"/>
            <w:shd w:val="pct5" w:color="000000" w:fill="FFFFFF"/>
            <w:hideMark/>
          </w:tcPr>
          <w:p w:rsidR="00350675" w:rsidRPr="00193D6A" w:rsidRDefault="00350675" w:rsidP="00F331D7">
            <w:pPr>
              <w:rPr>
                <w:rFonts w:ascii="Calibri" w:hAnsi="Calibri"/>
              </w:rPr>
            </w:pPr>
            <w:r w:rsidRPr="00193D6A">
              <w:rPr>
                <w:rFonts w:ascii="Calibri" w:hAnsi="Calibri"/>
              </w:rPr>
              <w:t>371</w:t>
            </w:r>
          </w:p>
        </w:tc>
        <w:tc>
          <w:tcPr>
            <w:tcW w:w="852" w:type="pct"/>
            <w:shd w:val="pct5" w:color="000000" w:fill="FFFFFF"/>
            <w:hideMark/>
          </w:tcPr>
          <w:p w:rsidR="00350675" w:rsidRPr="00193D6A" w:rsidRDefault="00350675" w:rsidP="00F331D7">
            <w:pPr>
              <w:rPr>
                <w:rFonts w:ascii="Calibri" w:hAnsi="Calibri"/>
              </w:rPr>
            </w:pPr>
            <w:r w:rsidRPr="00193D6A">
              <w:rPr>
                <w:rFonts w:ascii="Calibri" w:hAnsi="Calibri"/>
              </w:rPr>
              <w:t>844 / 20</w:t>
            </w:r>
          </w:p>
        </w:tc>
      </w:tr>
      <w:tr w:rsidR="00350675" w:rsidRPr="00193D6A" w:rsidTr="00F331D7">
        <w:trPr>
          <w:trHeight w:val="395"/>
        </w:trPr>
        <w:tc>
          <w:tcPr>
            <w:tcW w:w="1265" w:type="pct"/>
            <w:shd w:val="pct20" w:color="000000" w:fill="FFFFFF"/>
            <w:hideMark/>
          </w:tcPr>
          <w:p w:rsidR="00350675" w:rsidRPr="00193D6A" w:rsidRDefault="00350675" w:rsidP="00F331D7">
            <w:pPr>
              <w:rPr>
                <w:rFonts w:ascii="Calibri" w:hAnsi="Calibri"/>
              </w:rPr>
            </w:pPr>
            <w:r w:rsidRPr="00193D6A">
              <w:rPr>
                <w:rFonts w:ascii="Calibri" w:hAnsi="Calibri"/>
              </w:rPr>
              <w:t>Superintendencia de Puertos y Transporte</w:t>
            </w:r>
          </w:p>
        </w:tc>
        <w:tc>
          <w:tcPr>
            <w:tcW w:w="755" w:type="pct"/>
            <w:shd w:val="pct20" w:color="000000" w:fill="FFFFFF"/>
            <w:hideMark/>
          </w:tcPr>
          <w:p w:rsidR="00350675" w:rsidRPr="00193D6A" w:rsidRDefault="00350675" w:rsidP="00F331D7">
            <w:pPr>
              <w:rPr>
                <w:rFonts w:ascii="Calibri" w:hAnsi="Calibri"/>
              </w:rPr>
            </w:pPr>
            <w:r w:rsidRPr="00193D6A">
              <w:rPr>
                <w:rFonts w:ascii="Calibri" w:hAnsi="Calibri"/>
              </w:rPr>
              <w:t>46</w:t>
            </w:r>
          </w:p>
        </w:tc>
        <w:tc>
          <w:tcPr>
            <w:tcW w:w="1010" w:type="pct"/>
            <w:shd w:val="pct20" w:color="000000" w:fill="FFFFFF"/>
            <w:hideMark/>
          </w:tcPr>
          <w:p w:rsidR="00350675" w:rsidRPr="00193D6A" w:rsidRDefault="00350675" w:rsidP="00F331D7">
            <w:pPr>
              <w:rPr>
                <w:rFonts w:ascii="Calibri" w:hAnsi="Calibri"/>
              </w:rPr>
            </w:pPr>
            <w:r w:rsidRPr="00193D6A">
              <w:rPr>
                <w:rFonts w:ascii="Calibri" w:hAnsi="Calibri"/>
              </w:rPr>
              <w:t>168</w:t>
            </w:r>
          </w:p>
        </w:tc>
        <w:tc>
          <w:tcPr>
            <w:tcW w:w="1119" w:type="pct"/>
            <w:shd w:val="pct20" w:color="000000" w:fill="FFFFFF"/>
            <w:hideMark/>
          </w:tcPr>
          <w:p w:rsidR="00350675" w:rsidRPr="00193D6A" w:rsidRDefault="00350675" w:rsidP="00F331D7">
            <w:pPr>
              <w:rPr>
                <w:rFonts w:ascii="Calibri" w:hAnsi="Calibri"/>
              </w:rPr>
            </w:pPr>
            <w:r w:rsidRPr="00193D6A">
              <w:rPr>
                <w:rFonts w:ascii="Calibri" w:hAnsi="Calibri"/>
              </w:rPr>
              <w:t>153</w:t>
            </w:r>
          </w:p>
        </w:tc>
        <w:tc>
          <w:tcPr>
            <w:tcW w:w="852" w:type="pct"/>
            <w:shd w:val="pct20" w:color="000000" w:fill="FFFFFF"/>
            <w:hideMark/>
          </w:tcPr>
          <w:p w:rsidR="00350675" w:rsidRPr="00193D6A" w:rsidRDefault="00350675" w:rsidP="00F331D7">
            <w:pPr>
              <w:rPr>
                <w:rFonts w:ascii="Calibri" w:hAnsi="Calibri"/>
              </w:rPr>
            </w:pPr>
            <w:r w:rsidRPr="00193D6A">
              <w:rPr>
                <w:rFonts w:ascii="Calibri" w:hAnsi="Calibri"/>
              </w:rPr>
              <w:t>245 / 4</w:t>
            </w:r>
          </w:p>
        </w:tc>
      </w:tr>
      <w:tr w:rsidR="00350675" w:rsidRPr="00193D6A" w:rsidTr="00F331D7">
        <w:trPr>
          <w:trHeight w:val="483"/>
        </w:trPr>
        <w:tc>
          <w:tcPr>
            <w:tcW w:w="1265" w:type="pct"/>
            <w:shd w:val="pct5" w:color="000000" w:fill="FFFFFF"/>
            <w:hideMark/>
          </w:tcPr>
          <w:p w:rsidR="00350675" w:rsidRPr="00193D6A" w:rsidRDefault="00350675" w:rsidP="00F331D7">
            <w:pPr>
              <w:rPr>
                <w:rFonts w:ascii="Calibri" w:hAnsi="Calibri"/>
              </w:rPr>
            </w:pPr>
            <w:r w:rsidRPr="00193D6A">
              <w:rPr>
                <w:rFonts w:ascii="Calibri" w:hAnsi="Calibri"/>
              </w:rPr>
              <w:lastRenderedPageBreak/>
              <w:t>Total de solicitudes del semestre</w:t>
            </w:r>
          </w:p>
        </w:tc>
        <w:tc>
          <w:tcPr>
            <w:tcW w:w="755" w:type="pct"/>
            <w:shd w:val="pct5" w:color="000000" w:fill="FFFFFF"/>
            <w:hideMark/>
          </w:tcPr>
          <w:p w:rsidR="00350675" w:rsidRPr="00193D6A" w:rsidRDefault="00350675" w:rsidP="00F331D7">
            <w:pPr>
              <w:rPr>
                <w:rFonts w:ascii="Calibri" w:hAnsi="Calibri"/>
              </w:rPr>
            </w:pPr>
            <w:r w:rsidRPr="00193D6A">
              <w:rPr>
                <w:rFonts w:ascii="Calibri" w:hAnsi="Calibri"/>
              </w:rPr>
              <w:t>264</w:t>
            </w:r>
          </w:p>
        </w:tc>
        <w:tc>
          <w:tcPr>
            <w:tcW w:w="1010" w:type="pct"/>
            <w:shd w:val="pct5" w:color="000000" w:fill="FFFFFF"/>
            <w:hideMark/>
          </w:tcPr>
          <w:p w:rsidR="00350675" w:rsidRPr="00193D6A" w:rsidRDefault="00350675" w:rsidP="00F331D7">
            <w:pPr>
              <w:rPr>
                <w:rFonts w:ascii="Calibri" w:hAnsi="Calibri"/>
              </w:rPr>
            </w:pPr>
            <w:r w:rsidRPr="00193D6A">
              <w:rPr>
                <w:rFonts w:ascii="Calibri" w:hAnsi="Calibri"/>
              </w:rPr>
              <w:t>1510</w:t>
            </w:r>
          </w:p>
        </w:tc>
        <w:tc>
          <w:tcPr>
            <w:tcW w:w="1119" w:type="pct"/>
            <w:shd w:val="pct5" w:color="000000" w:fill="FFFFFF"/>
            <w:hideMark/>
          </w:tcPr>
          <w:p w:rsidR="00350675" w:rsidRPr="00193D6A" w:rsidRDefault="00350675" w:rsidP="00F331D7">
            <w:pPr>
              <w:rPr>
                <w:rFonts w:ascii="Calibri" w:hAnsi="Calibri"/>
              </w:rPr>
            </w:pPr>
            <w:r w:rsidRPr="00193D6A">
              <w:rPr>
                <w:rFonts w:ascii="Calibri" w:hAnsi="Calibri"/>
              </w:rPr>
              <w:t>1457</w:t>
            </w:r>
          </w:p>
        </w:tc>
        <w:tc>
          <w:tcPr>
            <w:tcW w:w="852" w:type="pct"/>
            <w:shd w:val="pct5" w:color="000000" w:fill="FFFFFF"/>
            <w:hideMark/>
          </w:tcPr>
          <w:p w:rsidR="00350675" w:rsidRPr="00193D6A" w:rsidRDefault="00350675" w:rsidP="00F331D7">
            <w:pPr>
              <w:rPr>
                <w:rFonts w:ascii="Calibri" w:hAnsi="Calibri"/>
              </w:rPr>
            </w:pPr>
            <w:r w:rsidRPr="00193D6A">
              <w:rPr>
                <w:rFonts w:ascii="Calibri" w:hAnsi="Calibri"/>
              </w:rPr>
              <w:t>3430 / 159</w:t>
            </w:r>
          </w:p>
        </w:tc>
      </w:tr>
    </w:tbl>
    <w:p w:rsidR="00350675" w:rsidRPr="00B64625" w:rsidRDefault="00350675" w:rsidP="00350675">
      <w:pPr>
        <w:rPr>
          <w:rFonts w:ascii="Calibri" w:hAnsi="Calibri"/>
        </w:rPr>
      </w:pPr>
    </w:p>
    <w:p w:rsidR="00350675" w:rsidRPr="00B64625" w:rsidRDefault="00350675" w:rsidP="00350675">
      <w:pPr>
        <w:numPr>
          <w:ilvl w:val="0"/>
          <w:numId w:val="8"/>
        </w:numPr>
        <w:spacing w:after="0" w:line="240" w:lineRule="auto"/>
        <w:jc w:val="both"/>
        <w:rPr>
          <w:rFonts w:ascii="Calibri" w:hAnsi="Calibri"/>
        </w:rPr>
      </w:pPr>
      <w:r w:rsidRPr="00B64625">
        <w:rPr>
          <w:rFonts w:ascii="Calibri" w:hAnsi="Calibri"/>
        </w:rPr>
        <w:t>Proceso de evaluación y control institucional:</w:t>
      </w:r>
    </w:p>
    <w:p w:rsidR="00350675" w:rsidRPr="00B64625" w:rsidRDefault="00350675" w:rsidP="00350675">
      <w:pPr>
        <w:ind w:left="720"/>
        <w:jc w:val="both"/>
        <w:rPr>
          <w:rFonts w:ascii="Calibri" w:hAnsi="Calibri"/>
        </w:rPr>
      </w:pPr>
      <w:r w:rsidRPr="00B64625">
        <w:rPr>
          <w:rFonts w:ascii="Calibri" w:hAnsi="Calibri"/>
        </w:rPr>
        <w:t xml:space="preserve">Revisión, ajuste y actualización de  los seis procedimientos de evaluación y control institucional de la OCI.  </w:t>
      </w:r>
    </w:p>
    <w:p w:rsidR="00350675" w:rsidRPr="007705A5" w:rsidRDefault="00350675" w:rsidP="00350675">
      <w:pPr>
        <w:numPr>
          <w:ilvl w:val="0"/>
          <w:numId w:val="8"/>
        </w:numPr>
        <w:spacing w:after="0" w:line="240" w:lineRule="auto"/>
        <w:jc w:val="both"/>
        <w:rPr>
          <w:rFonts w:ascii="Calibri" w:hAnsi="Calibri"/>
        </w:rPr>
      </w:pPr>
      <w:r w:rsidRPr="007705A5">
        <w:rPr>
          <w:rFonts w:ascii="Calibri" w:hAnsi="Calibri"/>
        </w:rPr>
        <w:t>Observatorio Nacional de Infraestructura:</w:t>
      </w:r>
    </w:p>
    <w:p w:rsidR="00350675" w:rsidRPr="00B64625" w:rsidRDefault="00350675" w:rsidP="00F33349">
      <w:pPr>
        <w:numPr>
          <w:ilvl w:val="0"/>
          <w:numId w:val="112"/>
        </w:numPr>
        <w:spacing w:after="0" w:line="240" w:lineRule="auto"/>
        <w:jc w:val="both"/>
        <w:rPr>
          <w:rFonts w:ascii="Calibri" w:hAnsi="Calibri"/>
        </w:rPr>
      </w:pPr>
      <w:r w:rsidRPr="00B64625">
        <w:rPr>
          <w:rFonts w:ascii="Calibri" w:hAnsi="Calibri"/>
        </w:rPr>
        <w:t>Primera jornada de construcción arquitectónica del Observatorio Nacional de Infraestructura, con la participación de representantes del MINTIC y estudiantes de maestría apoyados por el programa de talento digital en disciplina relacionadas, donde se presentó la visión gerencial y técnica del proyecto.</w:t>
      </w:r>
    </w:p>
    <w:p w:rsidR="00350675" w:rsidRPr="00B64625" w:rsidRDefault="00350675" w:rsidP="00F33349">
      <w:pPr>
        <w:numPr>
          <w:ilvl w:val="0"/>
          <w:numId w:val="112"/>
        </w:numPr>
        <w:spacing w:after="0" w:line="240" w:lineRule="auto"/>
        <w:jc w:val="both"/>
        <w:rPr>
          <w:rFonts w:ascii="Calibri" w:hAnsi="Calibri"/>
        </w:rPr>
      </w:pPr>
      <w:r w:rsidRPr="00B64625">
        <w:rPr>
          <w:rFonts w:ascii="Calibri" w:hAnsi="Calibri"/>
        </w:rPr>
        <w:t>Como resultado de las reuniones con el MINTIC, y en particular, con la dra. Ángela Patricia Nocua, subdirectora de innovación, se obtuvo una  comunicación oficial  que incluye los lineamientos para el aprovechamiento de los recursos de talento digital para el desarrollo de la arquitectura del Observatorio Nacional de Infraestructura.</w:t>
      </w:r>
    </w:p>
    <w:p w:rsidR="00350675" w:rsidRPr="00B64625" w:rsidRDefault="00350675" w:rsidP="00F33349">
      <w:pPr>
        <w:numPr>
          <w:ilvl w:val="0"/>
          <w:numId w:val="112"/>
        </w:numPr>
        <w:spacing w:after="0" w:line="240" w:lineRule="auto"/>
        <w:jc w:val="both"/>
        <w:rPr>
          <w:rFonts w:ascii="Calibri" w:hAnsi="Calibri"/>
        </w:rPr>
      </w:pPr>
      <w:r w:rsidRPr="00B64625">
        <w:rPr>
          <w:rFonts w:ascii="Calibri" w:hAnsi="Calibri"/>
        </w:rPr>
        <w:t>Se recibió propuesta comercial de un experto para el desarrollo de la arquitectura del Observatorio Nacional de Infraestructura, la cual, a la fecha se encuentra en estudio por parte de la jefatura de la OCI.</w:t>
      </w:r>
    </w:p>
    <w:p w:rsidR="00350675" w:rsidRPr="00B64625" w:rsidRDefault="00350675" w:rsidP="00350675">
      <w:pPr>
        <w:numPr>
          <w:ilvl w:val="0"/>
          <w:numId w:val="8"/>
        </w:numPr>
        <w:spacing w:after="0" w:line="240" w:lineRule="auto"/>
        <w:jc w:val="both"/>
        <w:rPr>
          <w:rFonts w:ascii="Calibri" w:hAnsi="Calibri"/>
        </w:rPr>
      </w:pPr>
      <w:r w:rsidRPr="00B64625">
        <w:rPr>
          <w:rFonts w:ascii="Calibri" w:hAnsi="Calibri"/>
        </w:rPr>
        <w:t>Avance en la actualización de los criterios de evaluación del desempeño:</w:t>
      </w:r>
    </w:p>
    <w:p w:rsidR="00350675" w:rsidRPr="00B64625" w:rsidRDefault="00350675" w:rsidP="00350675">
      <w:pPr>
        <w:ind w:left="708"/>
        <w:jc w:val="both"/>
        <w:rPr>
          <w:rFonts w:ascii="Calibri" w:hAnsi="Calibri"/>
        </w:rPr>
      </w:pPr>
      <w:r w:rsidRPr="00B64625">
        <w:rPr>
          <w:rFonts w:ascii="Calibri" w:hAnsi="Calibri"/>
        </w:rPr>
        <w:t xml:space="preserve">Se ajustaron los criterios de evaluación para el modo carretero </w:t>
      </w:r>
    </w:p>
    <w:p w:rsidR="00350675" w:rsidRPr="00B64625" w:rsidRDefault="00350675" w:rsidP="00350675">
      <w:pPr>
        <w:ind w:left="720"/>
        <w:jc w:val="both"/>
        <w:rPr>
          <w:rFonts w:ascii="Calibri" w:hAnsi="Calibri"/>
        </w:rPr>
      </w:pPr>
    </w:p>
    <w:p w:rsidR="00350675" w:rsidRPr="00B64625" w:rsidRDefault="00350675" w:rsidP="00350675">
      <w:pPr>
        <w:jc w:val="both"/>
        <w:rPr>
          <w:rFonts w:ascii="Calibri" w:hAnsi="Calibri"/>
        </w:rPr>
      </w:pPr>
    </w:p>
    <w:p w:rsidR="00350675" w:rsidRPr="00B64625" w:rsidRDefault="00350675" w:rsidP="00350675">
      <w:pPr>
        <w:jc w:val="both"/>
        <w:rPr>
          <w:rFonts w:ascii="Calibri" w:hAnsi="Calibri"/>
          <w:b/>
        </w:rPr>
      </w:pPr>
      <w:r w:rsidRPr="00B64625">
        <w:rPr>
          <w:rFonts w:ascii="Calibri" w:hAnsi="Calibri"/>
          <w:b/>
        </w:rPr>
        <w:t>OBSTÁCULOS:</w:t>
      </w:r>
    </w:p>
    <w:p w:rsidR="00350675" w:rsidRPr="00B64625" w:rsidRDefault="00350675" w:rsidP="00350675">
      <w:pPr>
        <w:jc w:val="both"/>
        <w:rPr>
          <w:rFonts w:ascii="Calibri" w:hAnsi="Calibri"/>
          <w:b/>
        </w:rPr>
      </w:pPr>
    </w:p>
    <w:p w:rsidR="00350675" w:rsidRDefault="00350675" w:rsidP="00350675">
      <w:pPr>
        <w:numPr>
          <w:ilvl w:val="0"/>
          <w:numId w:val="9"/>
        </w:numPr>
        <w:spacing w:after="0" w:line="240" w:lineRule="auto"/>
        <w:jc w:val="both"/>
        <w:rPr>
          <w:rFonts w:ascii="Calibri" w:hAnsi="Calibri"/>
        </w:rPr>
      </w:pPr>
      <w:r w:rsidRPr="00B64625">
        <w:rPr>
          <w:rFonts w:ascii="Calibri" w:hAnsi="Calibri"/>
        </w:rPr>
        <w:t>Falta de compresión de las responsabilidad frente al PMI. Para tal efecto, se realizó un evento de sensibilización.</w:t>
      </w:r>
    </w:p>
    <w:p w:rsidR="00350675" w:rsidRPr="00E35A05" w:rsidRDefault="00350675" w:rsidP="00350675">
      <w:pPr>
        <w:numPr>
          <w:ilvl w:val="0"/>
          <w:numId w:val="9"/>
        </w:numPr>
        <w:spacing w:after="0" w:line="240" w:lineRule="auto"/>
        <w:jc w:val="both"/>
        <w:rPr>
          <w:rFonts w:ascii="Calibri" w:hAnsi="Calibri"/>
        </w:rPr>
      </w:pPr>
      <w:r w:rsidRPr="00E35A05">
        <w:rPr>
          <w:rFonts w:ascii="Calibri" w:hAnsi="Calibri"/>
        </w:rPr>
        <w:t>Falta de concientización sobre el valor que las recomendaciones de la Oficina de Control Interno pueden tener en la gestión de la Entidad:</w:t>
      </w:r>
    </w:p>
    <w:p w:rsidR="00350675" w:rsidRPr="00B64625" w:rsidRDefault="00350675" w:rsidP="00350675">
      <w:pPr>
        <w:ind w:left="708"/>
        <w:jc w:val="both"/>
        <w:rPr>
          <w:rFonts w:ascii="Calibri" w:hAnsi="Calibri"/>
        </w:rPr>
      </w:pPr>
      <w:r w:rsidRPr="00B64625">
        <w:rPr>
          <w:rFonts w:ascii="Calibri" w:hAnsi="Calibri"/>
        </w:rPr>
        <w:t>En algunos casos se observa la ausencia de planes de mejora frente a conclusiones y recomendaciones de dicha oficina.</w:t>
      </w:r>
    </w:p>
    <w:p w:rsidR="00350675" w:rsidRPr="00B64625" w:rsidRDefault="00350675" w:rsidP="00350675">
      <w:pPr>
        <w:numPr>
          <w:ilvl w:val="0"/>
          <w:numId w:val="9"/>
        </w:numPr>
        <w:spacing w:after="0" w:line="240" w:lineRule="auto"/>
        <w:jc w:val="both"/>
        <w:rPr>
          <w:rFonts w:ascii="Calibri" w:hAnsi="Calibri"/>
        </w:rPr>
      </w:pPr>
      <w:r w:rsidRPr="00B64625">
        <w:rPr>
          <w:rFonts w:ascii="Calibri" w:hAnsi="Calibri"/>
        </w:rPr>
        <w:t>Desatención de los términos impuestos por los Organismos de Control que ponen en riesgo al representante legal de la Entidad.</w:t>
      </w:r>
    </w:p>
    <w:p w:rsidR="00350675" w:rsidRPr="00B64625" w:rsidRDefault="00350675" w:rsidP="00350675">
      <w:pPr>
        <w:numPr>
          <w:ilvl w:val="0"/>
          <w:numId w:val="9"/>
        </w:numPr>
        <w:spacing w:after="0" w:line="240" w:lineRule="auto"/>
        <w:jc w:val="both"/>
        <w:rPr>
          <w:rFonts w:ascii="Calibri" w:hAnsi="Calibri"/>
        </w:rPr>
      </w:pPr>
      <w:r w:rsidRPr="00B64625">
        <w:rPr>
          <w:rFonts w:ascii="Calibri" w:hAnsi="Calibri"/>
        </w:rPr>
        <w:t>Incumplimiento  en algunos de las acciones propuestas por los responsables de los planes de mejoramiento institucional-PMI.</w:t>
      </w:r>
    </w:p>
    <w:p w:rsidR="0068625D" w:rsidRDefault="0068625D">
      <w:pPr>
        <w:rPr>
          <w:rFonts w:ascii="Calibri" w:hAnsi="Calibri"/>
          <w:szCs w:val="24"/>
        </w:rPr>
      </w:pPr>
      <w:r>
        <w:rPr>
          <w:rFonts w:ascii="Calibri" w:hAnsi="Calibri"/>
          <w:szCs w:val="24"/>
        </w:rPr>
        <w:br w:type="page"/>
      </w:r>
    </w:p>
    <w:p w:rsidR="0068625D" w:rsidRPr="00627302" w:rsidRDefault="0068625D" w:rsidP="0068625D">
      <w:pPr>
        <w:pStyle w:val="Prrafodelista"/>
        <w:jc w:val="both"/>
        <w:rPr>
          <w:rFonts w:ascii="Calibri" w:hAnsi="Calibri"/>
          <w:sz w:val="24"/>
          <w:szCs w:val="24"/>
        </w:rPr>
      </w:pPr>
    </w:p>
    <w:p w:rsidR="00FA17CF" w:rsidRDefault="00FA17CF" w:rsidP="00C43D86">
      <w:pPr>
        <w:pStyle w:val="Ttulo1"/>
        <w:numPr>
          <w:ilvl w:val="1"/>
          <w:numId w:val="2"/>
        </w:numPr>
      </w:pPr>
      <w:bookmarkStart w:id="442" w:name="_Toc426558534"/>
      <w:bookmarkStart w:id="443" w:name="_Toc426559278"/>
      <w:r>
        <w:t>OFICINA DE COMUNICACIONES</w:t>
      </w:r>
      <w:bookmarkEnd w:id="442"/>
      <w:bookmarkEnd w:id="443"/>
    </w:p>
    <w:p w:rsidR="00012B69" w:rsidRDefault="00012B69" w:rsidP="00012B69">
      <w:pPr>
        <w:jc w:val="both"/>
      </w:pPr>
    </w:p>
    <w:p w:rsidR="00FA17CF" w:rsidRDefault="00012B69" w:rsidP="00012B69">
      <w:pPr>
        <w:jc w:val="both"/>
      </w:pPr>
      <w:r>
        <w:t>La Oficina de Comunicaciones, en la presente vigencia tiene a su cargo las labores de divulgación  y fomento de la imagen institucional de la Agencia, para tal fin realiza actividades de coordinación de eventos en los cuales participa la entidad, el monitoreo de los medios de comunicación y la presencia de la Agencia en las redes sociales.</w:t>
      </w:r>
    </w:p>
    <w:p w:rsidR="00012B69" w:rsidRPr="00FA17CF" w:rsidRDefault="00012B69" w:rsidP="00FA17CF">
      <w:r>
        <w:t>Las metas para la presente vigencia son:</w:t>
      </w:r>
    </w:p>
    <w:tbl>
      <w:tblPr>
        <w:tblW w:w="8500" w:type="dxa"/>
        <w:tblInd w:w="255" w:type="dxa"/>
        <w:tblLayout w:type="fixed"/>
        <w:tblCellMar>
          <w:left w:w="70" w:type="dxa"/>
          <w:right w:w="70" w:type="dxa"/>
        </w:tblCellMar>
        <w:tblLook w:val="04A0" w:firstRow="1" w:lastRow="0" w:firstColumn="1" w:lastColumn="0" w:noHBand="0" w:noVBand="1"/>
      </w:tblPr>
      <w:tblGrid>
        <w:gridCol w:w="4673"/>
        <w:gridCol w:w="1276"/>
        <w:gridCol w:w="1275"/>
        <w:gridCol w:w="1276"/>
      </w:tblGrid>
      <w:tr w:rsidR="00012B69" w:rsidRPr="00A50ACE" w:rsidTr="00F2765B">
        <w:trPr>
          <w:trHeight w:val="225"/>
        </w:trPr>
        <w:tc>
          <w:tcPr>
            <w:tcW w:w="4673" w:type="dxa"/>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rsidR="00012B69" w:rsidRPr="00A50ACE" w:rsidRDefault="00012B69" w:rsidP="00F2765B">
            <w:pPr>
              <w:spacing w:after="0" w:line="240" w:lineRule="auto"/>
              <w:ind w:firstLineChars="100" w:firstLine="201"/>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ACTIVIDAD</w:t>
            </w:r>
          </w:p>
        </w:tc>
        <w:tc>
          <w:tcPr>
            <w:tcW w:w="1276"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012B69" w:rsidRPr="00A50ACE" w:rsidRDefault="00012B69" w:rsidP="00F2765B">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UNIDAD DE MEDIDA</w:t>
            </w:r>
          </w:p>
        </w:tc>
        <w:tc>
          <w:tcPr>
            <w:tcW w:w="1275"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012B69" w:rsidRPr="00A50ACE" w:rsidRDefault="00012B69" w:rsidP="00F2765B">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META AÑO</w:t>
            </w:r>
          </w:p>
        </w:tc>
        <w:tc>
          <w:tcPr>
            <w:tcW w:w="1276" w:type="dxa"/>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hideMark/>
          </w:tcPr>
          <w:p w:rsidR="00012B69" w:rsidRPr="00A50ACE" w:rsidRDefault="00012B69" w:rsidP="005B3C5B">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sidR="001F3AA7">
              <w:rPr>
                <w:rFonts w:ascii="Calibri" w:eastAsia="Times New Roman" w:hAnsi="Calibri" w:cs="Calibri"/>
                <w:b/>
                <w:bCs/>
                <w:color w:val="000000"/>
                <w:sz w:val="20"/>
                <w:szCs w:val="20"/>
              </w:rPr>
              <w:t xml:space="preserve">estre </w:t>
            </w:r>
          </w:p>
        </w:tc>
      </w:tr>
      <w:tr w:rsidR="00012B69" w:rsidRPr="00A50ACE" w:rsidTr="00F2765B">
        <w:trPr>
          <w:trHeight w:val="225"/>
        </w:trPr>
        <w:tc>
          <w:tcPr>
            <w:tcW w:w="4673" w:type="dxa"/>
            <w:tcBorders>
              <w:top w:val="single" w:sz="8" w:space="0" w:color="auto"/>
              <w:left w:val="single" w:sz="8" w:space="0" w:color="auto"/>
              <w:bottom w:val="single" w:sz="4" w:space="0" w:color="auto"/>
              <w:right w:val="single" w:sz="4" w:space="0" w:color="auto"/>
            </w:tcBorders>
            <w:shd w:val="clear" w:color="auto" w:fill="auto"/>
            <w:vAlign w:val="center"/>
          </w:tcPr>
          <w:p w:rsidR="00012B69" w:rsidRPr="00B55FAA" w:rsidRDefault="00B55FAA" w:rsidP="00B55FAA">
            <w:pPr>
              <w:rPr>
                <w:rFonts w:ascii="Calibri" w:hAnsi="Calibri" w:cs="Calibri"/>
                <w:sz w:val="16"/>
                <w:szCs w:val="16"/>
              </w:rPr>
            </w:pPr>
            <w:r>
              <w:rPr>
                <w:rFonts w:ascii="Calibri" w:hAnsi="Calibri" w:cs="Calibri"/>
                <w:sz w:val="16"/>
                <w:szCs w:val="16"/>
              </w:rPr>
              <w:t>Asesorar a la Agencia Nacional de Infraestructura en la implementación de la estrategia de comunicaciones para los temas portuarios, ferroviarios y aeroportuarios y de nuevos proyectos de APP</w:t>
            </w:r>
          </w:p>
        </w:tc>
        <w:tc>
          <w:tcPr>
            <w:tcW w:w="1276" w:type="dxa"/>
            <w:tcBorders>
              <w:top w:val="single" w:sz="8" w:space="0" w:color="auto"/>
              <w:left w:val="nil"/>
              <w:bottom w:val="single" w:sz="4" w:space="0" w:color="auto"/>
              <w:right w:val="single" w:sz="4" w:space="0" w:color="auto"/>
            </w:tcBorders>
            <w:shd w:val="clear" w:color="auto" w:fill="auto"/>
            <w:vAlign w:val="center"/>
          </w:tcPr>
          <w:p w:rsidR="00012B69" w:rsidRPr="00B55FAA" w:rsidRDefault="00B55FAA" w:rsidP="00B55FAA">
            <w:pPr>
              <w:jc w:val="center"/>
              <w:rPr>
                <w:rFonts w:ascii="Calibri" w:hAnsi="Calibri" w:cs="Calibri"/>
                <w:sz w:val="16"/>
                <w:szCs w:val="16"/>
              </w:rPr>
            </w:pPr>
            <w:r>
              <w:rPr>
                <w:rFonts w:ascii="Calibri" w:hAnsi="Calibri" w:cs="Calibri"/>
                <w:sz w:val="16"/>
                <w:szCs w:val="16"/>
              </w:rPr>
              <w:t>Piezas comunicativas</w:t>
            </w:r>
          </w:p>
        </w:tc>
        <w:tc>
          <w:tcPr>
            <w:tcW w:w="1275" w:type="dxa"/>
            <w:tcBorders>
              <w:top w:val="single" w:sz="8" w:space="0" w:color="auto"/>
              <w:left w:val="nil"/>
              <w:bottom w:val="single" w:sz="4" w:space="0" w:color="auto"/>
              <w:right w:val="single" w:sz="4" w:space="0" w:color="auto"/>
            </w:tcBorders>
            <w:shd w:val="clear" w:color="auto" w:fill="auto"/>
            <w:vAlign w:val="center"/>
          </w:tcPr>
          <w:p w:rsidR="00012B69" w:rsidRPr="00A50ACE" w:rsidRDefault="00B55FAA"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660</w:t>
            </w:r>
          </w:p>
        </w:tc>
        <w:tc>
          <w:tcPr>
            <w:tcW w:w="1276" w:type="dxa"/>
            <w:tcBorders>
              <w:top w:val="single" w:sz="8" w:space="0" w:color="auto"/>
              <w:left w:val="single" w:sz="4" w:space="0" w:color="auto"/>
              <w:bottom w:val="single" w:sz="4" w:space="0" w:color="auto"/>
              <w:right w:val="single" w:sz="8" w:space="0" w:color="auto"/>
            </w:tcBorders>
            <w:shd w:val="clear" w:color="000000" w:fill="FFFFFF" w:themeFill="background1"/>
            <w:vAlign w:val="center"/>
          </w:tcPr>
          <w:p w:rsidR="00012B69" w:rsidRPr="004311A8" w:rsidRDefault="00B55FAA"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145</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B55FAA" w:rsidRDefault="00B55FAA" w:rsidP="00B55FAA">
            <w:pPr>
              <w:rPr>
                <w:rFonts w:ascii="Calibri" w:hAnsi="Calibri" w:cs="Calibri"/>
                <w:sz w:val="16"/>
                <w:szCs w:val="16"/>
              </w:rPr>
            </w:pPr>
            <w:r>
              <w:rPr>
                <w:rFonts w:ascii="Calibri" w:hAnsi="Calibri" w:cs="Calibri"/>
                <w:sz w:val="16"/>
                <w:szCs w:val="16"/>
              </w:rPr>
              <w:t>Contratar la asesoría para la puesta en marcha de la estrategia general de comunicaciones, incluyendo Redes Sociales y Nuevos Medios Digitales.</w:t>
            </w:r>
          </w:p>
        </w:tc>
        <w:tc>
          <w:tcPr>
            <w:tcW w:w="1276" w:type="dxa"/>
            <w:tcBorders>
              <w:top w:val="nil"/>
              <w:left w:val="nil"/>
              <w:bottom w:val="single" w:sz="4" w:space="0" w:color="auto"/>
              <w:right w:val="single" w:sz="4" w:space="0" w:color="auto"/>
            </w:tcBorders>
            <w:shd w:val="clear" w:color="auto" w:fill="auto"/>
            <w:vAlign w:val="center"/>
          </w:tcPr>
          <w:p w:rsidR="00012B69" w:rsidRPr="00B55FAA" w:rsidRDefault="00B55FAA" w:rsidP="00B55FAA">
            <w:pPr>
              <w:jc w:val="center"/>
              <w:rPr>
                <w:rFonts w:ascii="Calibri" w:hAnsi="Calibri" w:cs="Calibri"/>
                <w:sz w:val="16"/>
                <w:szCs w:val="16"/>
              </w:rPr>
            </w:pPr>
            <w:r>
              <w:rPr>
                <w:rFonts w:ascii="Calibri" w:hAnsi="Calibri" w:cs="Calibri"/>
                <w:sz w:val="16"/>
                <w:szCs w:val="16"/>
              </w:rPr>
              <w:t>Documentos de estrategia de comunicaciones</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B55FAA"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B55FAA"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3</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B55FAA" w:rsidRDefault="00B55FAA" w:rsidP="00B55FAA">
            <w:pPr>
              <w:rPr>
                <w:rFonts w:ascii="Calibri" w:hAnsi="Calibri" w:cs="Calibri"/>
                <w:sz w:val="16"/>
                <w:szCs w:val="16"/>
              </w:rPr>
            </w:pPr>
            <w:r>
              <w:rPr>
                <w:rFonts w:ascii="Calibri" w:hAnsi="Calibri" w:cs="Calibri"/>
                <w:sz w:val="16"/>
                <w:szCs w:val="16"/>
              </w:rPr>
              <w:t xml:space="preserve">Contratar una empresa que elabore piezas de diseño, piezas audiovisuales y de difusión editorial </w:t>
            </w:r>
          </w:p>
        </w:tc>
        <w:tc>
          <w:tcPr>
            <w:tcW w:w="1276" w:type="dxa"/>
            <w:tcBorders>
              <w:top w:val="nil"/>
              <w:left w:val="nil"/>
              <w:bottom w:val="single" w:sz="4" w:space="0" w:color="auto"/>
              <w:right w:val="single" w:sz="4" w:space="0" w:color="auto"/>
            </w:tcBorders>
            <w:shd w:val="clear" w:color="auto" w:fill="auto"/>
            <w:vAlign w:val="center"/>
          </w:tcPr>
          <w:p w:rsidR="00012B69" w:rsidRPr="00B55FAA" w:rsidRDefault="00B55FAA" w:rsidP="00B55FAA">
            <w:pPr>
              <w:jc w:val="center"/>
              <w:rPr>
                <w:rFonts w:ascii="Calibri" w:hAnsi="Calibri" w:cs="Calibri"/>
                <w:sz w:val="16"/>
                <w:szCs w:val="16"/>
              </w:rPr>
            </w:pPr>
            <w:r>
              <w:rPr>
                <w:rFonts w:ascii="Calibri" w:hAnsi="Calibri" w:cs="Calibri"/>
                <w:sz w:val="16"/>
                <w:szCs w:val="16"/>
              </w:rPr>
              <w:t>Piezas comunicativas</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B55FAA"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B55FAA"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B55FAA" w:rsidRDefault="00B55FAA" w:rsidP="00B55FAA">
            <w:pPr>
              <w:rPr>
                <w:rFonts w:ascii="Calibri" w:hAnsi="Calibri" w:cs="Calibri"/>
                <w:sz w:val="16"/>
                <w:szCs w:val="16"/>
              </w:rPr>
            </w:pPr>
            <w:r>
              <w:rPr>
                <w:rFonts w:ascii="Calibri" w:hAnsi="Calibri" w:cs="Calibri"/>
                <w:sz w:val="16"/>
                <w:szCs w:val="16"/>
              </w:rPr>
              <w:t>Realizar el Monitoreo de Medios</w:t>
            </w:r>
          </w:p>
        </w:tc>
        <w:tc>
          <w:tcPr>
            <w:tcW w:w="1276" w:type="dxa"/>
            <w:tcBorders>
              <w:top w:val="nil"/>
              <w:left w:val="nil"/>
              <w:bottom w:val="single" w:sz="4" w:space="0" w:color="auto"/>
              <w:right w:val="single" w:sz="4" w:space="0" w:color="auto"/>
            </w:tcBorders>
            <w:shd w:val="clear" w:color="auto" w:fill="auto"/>
            <w:vAlign w:val="center"/>
          </w:tcPr>
          <w:p w:rsidR="00012B69" w:rsidRPr="00B55FAA" w:rsidRDefault="00B55FAA" w:rsidP="00B55FAA">
            <w:pPr>
              <w:jc w:val="center"/>
              <w:rPr>
                <w:rFonts w:ascii="Calibri" w:hAnsi="Calibri" w:cs="Calibri"/>
                <w:sz w:val="16"/>
                <w:szCs w:val="16"/>
              </w:rPr>
            </w:pPr>
            <w:r>
              <w:rPr>
                <w:rFonts w:ascii="Calibri" w:hAnsi="Calibri" w:cs="Calibri"/>
                <w:sz w:val="16"/>
                <w:szCs w:val="16"/>
              </w:rPr>
              <w:t>Correos electrónicos</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B55FAA"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220</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B55FAA"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150</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B55FAA" w:rsidRDefault="00B55FAA" w:rsidP="00B55FAA">
            <w:pPr>
              <w:rPr>
                <w:rFonts w:ascii="Calibri" w:hAnsi="Calibri" w:cs="Calibri"/>
                <w:sz w:val="16"/>
                <w:szCs w:val="16"/>
              </w:rPr>
            </w:pPr>
            <w:r>
              <w:rPr>
                <w:rFonts w:ascii="Calibri" w:hAnsi="Calibri" w:cs="Calibri"/>
                <w:sz w:val="16"/>
                <w:szCs w:val="16"/>
              </w:rPr>
              <w:t>Asistir a  eventos de inauguración, actas de inicio y primeras piedras</w:t>
            </w:r>
          </w:p>
        </w:tc>
        <w:tc>
          <w:tcPr>
            <w:tcW w:w="1276" w:type="dxa"/>
            <w:tcBorders>
              <w:top w:val="nil"/>
              <w:left w:val="nil"/>
              <w:bottom w:val="single" w:sz="4" w:space="0" w:color="auto"/>
              <w:right w:val="single" w:sz="4" w:space="0" w:color="auto"/>
            </w:tcBorders>
            <w:shd w:val="clear" w:color="auto" w:fill="auto"/>
            <w:vAlign w:val="center"/>
          </w:tcPr>
          <w:p w:rsidR="00012B69" w:rsidRPr="00B55FAA" w:rsidRDefault="00B55FAA" w:rsidP="00B55FAA">
            <w:pPr>
              <w:jc w:val="center"/>
              <w:rPr>
                <w:rFonts w:ascii="Calibri" w:hAnsi="Calibri" w:cs="Calibri"/>
                <w:sz w:val="16"/>
                <w:szCs w:val="16"/>
              </w:rPr>
            </w:pPr>
            <w:r>
              <w:rPr>
                <w:rFonts w:ascii="Calibri" w:hAnsi="Calibri" w:cs="Calibri"/>
                <w:sz w:val="16"/>
                <w:szCs w:val="16"/>
              </w:rPr>
              <w:t>Evento</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B55FAA"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88</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B55FAA"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57</w:t>
            </w:r>
          </w:p>
        </w:tc>
      </w:tr>
      <w:tr w:rsidR="00012B69" w:rsidRPr="00A50ACE"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rsidR="00012B69" w:rsidRPr="00B55FAA" w:rsidRDefault="00B55FAA" w:rsidP="00B55FAA">
            <w:pPr>
              <w:rPr>
                <w:rFonts w:ascii="Calibri" w:hAnsi="Calibri" w:cs="Calibri"/>
                <w:sz w:val="16"/>
                <w:szCs w:val="16"/>
              </w:rPr>
            </w:pPr>
            <w:r>
              <w:rPr>
                <w:rFonts w:ascii="Calibri" w:hAnsi="Calibri" w:cs="Calibri"/>
                <w:sz w:val="16"/>
                <w:szCs w:val="16"/>
              </w:rPr>
              <w:t>Asistir al congreso anual CCI</w:t>
            </w:r>
          </w:p>
        </w:tc>
        <w:tc>
          <w:tcPr>
            <w:tcW w:w="1276" w:type="dxa"/>
            <w:tcBorders>
              <w:top w:val="nil"/>
              <w:left w:val="nil"/>
              <w:bottom w:val="single" w:sz="4" w:space="0" w:color="auto"/>
              <w:right w:val="single" w:sz="4" w:space="0" w:color="auto"/>
            </w:tcBorders>
            <w:shd w:val="clear" w:color="auto" w:fill="auto"/>
            <w:vAlign w:val="center"/>
          </w:tcPr>
          <w:p w:rsidR="00012B69" w:rsidRPr="00B55FAA" w:rsidRDefault="00B55FAA" w:rsidP="00B55FAA">
            <w:pPr>
              <w:jc w:val="center"/>
              <w:rPr>
                <w:rFonts w:ascii="Calibri" w:hAnsi="Calibri" w:cs="Calibri"/>
                <w:sz w:val="16"/>
                <w:szCs w:val="16"/>
              </w:rPr>
            </w:pPr>
            <w:r>
              <w:rPr>
                <w:rFonts w:ascii="Calibri" w:hAnsi="Calibri" w:cs="Calibri"/>
                <w:sz w:val="16"/>
                <w:szCs w:val="16"/>
              </w:rPr>
              <w:t>Evento</w:t>
            </w:r>
          </w:p>
        </w:tc>
        <w:tc>
          <w:tcPr>
            <w:tcW w:w="1275" w:type="dxa"/>
            <w:tcBorders>
              <w:top w:val="nil"/>
              <w:left w:val="nil"/>
              <w:bottom w:val="single" w:sz="4" w:space="0" w:color="auto"/>
              <w:right w:val="single" w:sz="4" w:space="0" w:color="auto"/>
            </w:tcBorders>
            <w:shd w:val="clear" w:color="auto" w:fill="auto"/>
            <w:vAlign w:val="center"/>
          </w:tcPr>
          <w:p w:rsidR="00012B69" w:rsidRPr="00A50ACE" w:rsidRDefault="00B55FAA"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rsidR="00012B69" w:rsidRPr="004311A8" w:rsidRDefault="00B55FAA"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w:t>
            </w:r>
          </w:p>
        </w:tc>
      </w:tr>
    </w:tbl>
    <w:p w:rsidR="001B1188" w:rsidRDefault="001B1188" w:rsidP="001B1188">
      <w:pPr>
        <w:jc w:val="both"/>
        <w:rPr>
          <w:lang w:val="es-MX"/>
        </w:rPr>
      </w:pPr>
    </w:p>
    <w:p w:rsidR="00616234" w:rsidRDefault="00616234" w:rsidP="00616234">
      <w:pPr>
        <w:jc w:val="both"/>
      </w:pPr>
      <w:r>
        <w:t>Durante el segundo trimestre la Oficina de Comunicaciones mantuvo una intensa actividad de divulgación continuando la tendencia vista en los meses anteriores. La actividad estuvo concentrada en audiencias de adjudicación de los proyectos de segunda ola, en línea con el propósito fijado por la Vice Presidencia de la República de tener todos adjudicados al finalizar julio.</w:t>
      </w:r>
    </w:p>
    <w:p w:rsidR="00616234" w:rsidRDefault="00616234" w:rsidP="00616234">
      <w:pPr>
        <w:jc w:val="both"/>
      </w:pPr>
      <w:r>
        <w:t>Igualmente se presentaron muy importantes eventos de firma de contratos y de actas de inicio de los proyectos de segunda ola, así como actividad de divulgación en los medios de información recién creados por las nuevas concesiones, y que correspondieron a la primea ola.</w:t>
      </w:r>
    </w:p>
    <w:p w:rsidR="00616234" w:rsidRDefault="00616234" w:rsidP="00616234">
      <w:pPr>
        <w:jc w:val="both"/>
      </w:pPr>
      <w:r>
        <w:t>En el frente interno se aprovechó mucho mejor el espacio en las carteleras digitales dispuestas en casa uno de los cuatro pisos en el que está dividida geográficamente la entidad, para divulgar mucho mejor los alcances y realizaciones a nivel de los empleados, y de las personas que nos visitan a diario, las cuales han crecido de manera importante.</w:t>
      </w:r>
    </w:p>
    <w:p w:rsidR="00616234" w:rsidRDefault="00616234" w:rsidP="00616234">
      <w:pPr>
        <w:jc w:val="both"/>
      </w:pPr>
      <w:r>
        <w:lastRenderedPageBreak/>
        <w:t>También se puso en marcha un contrato de asesorías y consultorías para Juan Carlos Sierra, pasándolo a ese rubro desde Funcionamiento, para facilitar sus desplazamientos semanales y atender las coberturas y temas logísticos de los eventos.</w:t>
      </w:r>
    </w:p>
    <w:p w:rsidR="00616234" w:rsidRDefault="00616234" w:rsidP="00616234">
      <w:pPr>
        <w:jc w:val="both"/>
      </w:pPr>
      <w:r>
        <w:t>La actividad continuará en el segundo semestre con el inicio del proceso de licitación de los proyectos de tercera ola, así como el inicio de obras y terminación de la etapa pre operativa de los proyectos de primera ola.</w:t>
      </w:r>
    </w:p>
    <w:p w:rsidR="00BB5C80" w:rsidRDefault="00BB5C80">
      <w:r>
        <w:br w:type="page"/>
      </w:r>
    </w:p>
    <w:p w:rsidR="00E657BA" w:rsidRDefault="00E657BA" w:rsidP="006A7AE4">
      <w:pPr>
        <w:jc w:val="both"/>
      </w:pPr>
    </w:p>
    <w:p w:rsidR="00F61A82" w:rsidRDefault="00F61A82" w:rsidP="00C43D86">
      <w:pPr>
        <w:pStyle w:val="Ttulo1"/>
        <w:numPr>
          <w:ilvl w:val="0"/>
          <w:numId w:val="2"/>
        </w:numPr>
      </w:pPr>
      <w:bookmarkStart w:id="444" w:name="_Toc357434732"/>
      <w:bookmarkStart w:id="445" w:name="_Toc357434983"/>
      <w:bookmarkStart w:id="446" w:name="_Toc360175799"/>
      <w:bookmarkStart w:id="447" w:name="_Toc360176864"/>
      <w:bookmarkStart w:id="448" w:name="_Toc360177572"/>
      <w:bookmarkStart w:id="449" w:name="_Toc426559279"/>
      <w:r>
        <w:t>CONCLUSIONES</w:t>
      </w:r>
      <w:bookmarkEnd w:id="444"/>
      <w:bookmarkEnd w:id="445"/>
      <w:bookmarkEnd w:id="446"/>
      <w:bookmarkEnd w:id="447"/>
      <w:bookmarkEnd w:id="448"/>
      <w:bookmarkEnd w:id="449"/>
    </w:p>
    <w:p w:rsidR="000B76C8" w:rsidRDefault="000B76C8" w:rsidP="0086211C">
      <w:pPr>
        <w:tabs>
          <w:tab w:val="left" w:pos="2504"/>
        </w:tabs>
        <w:jc w:val="both"/>
        <w:rPr>
          <w:rFonts w:ascii="Arial Narrow" w:eastAsia="Calibri" w:hAnsi="Arial Narrow" w:cs="Times New Roman"/>
        </w:rPr>
      </w:pPr>
    </w:p>
    <w:p w:rsidR="00E263E9" w:rsidRDefault="00E263E9" w:rsidP="00E310DF">
      <w:pPr>
        <w:pStyle w:val="Prrafodelista"/>
        <w:numPr>
          <w:ilvl w:val="0"/>
          <w:numId w:val="1"/>
        </w:numPr>
        <w:jc w:val="both"/>
        <w:rPr>
          <w:rFonts w:eastAsia="Calibri" w:cstheme="minorHAnsi"/>
        </w:rPr>
      </w:pPr>
      <w:r w:rsidRPr="00373F7C">
        <w:rPr>
          <w:rFonts w:ascii="Arial Narrow" w:eastAsia="Calibri" w:hAnsi="Arial Narrow" w:cs="Times New Roman"/>
        </w:rPr>
        <w:t xml:space="preserve"> </w:t>
      </w:r>
      <w:r w:rsidRPr="00373F7C">
        <w:rPr>
          <w:rFonts w:eastAsia="Calibri" w:cstheme="minorHAnsi"/>
        </w:rPr>
        <w:t>Las diferentes áreas de la entidad vienen desarrollando las actividades programadas en cada uno de los planes.</w:t>
      </w:r>
    </w:p>
    <w:p w:rsidR="00F331D7" w:rsidRPr="00F331D7" w:rsidRDefault="00F331D7" w:rsidP="00F331D7">
      <w:pPr>
        <w:pStyle w:val="Prrafodelista"/>
        <w:numPr>
          <w:ilvl w:val="0"/>
          <w:numId w:val="1"/>
        </w:numPr>
        <w:jc w:val="both"/>
        <w:rPr>
          <w:rFonts w:eastAsia="Calibri" w:cstheme="minorHAnsi"/>
        </w:rPr>
      </w:pPr>
      <w:r>
        <w:rPr>
          <w:rFonts w:eastAsia="Calibri" w:cstheme="minorHAnsi"/>
        </w:rPr>
        <w:t>Se hace necesario revisar con las diferentes dependencias las metas definidas, toda vez que en algunos casos las actividades propuestas no miden los productos de las diferentes áreas,</w:t>
      </w:r>
      <w:r w:rsidR="00B96D85">
        <w:rPr>
          <w:rFonts w:eastAsia="Calibri" w:cstheme="minorHAnsi"/>
        </w:rPr>
        <w:t xml:space="preserve"> el indicador no es pertinente y/o </w:t>
      </w:r>
      <w:r>
        <w:rPr>
          <w:rFonts w:eastAsia="Calibri" w:cstheme="minorHAnsi"/>
        </w:rPr>
        <w:t>en los reportes se modifican avances de periodos anteriores sin la justificación debida</w:t>
      </w:r>
      <w:r w:rsidR="00B96D85">
        <w:rPr>
          <w:rFonts w:eastAsia="Calibri" w:cstheme="minorHAnsi"/>
        </w:rPr>
        <w:t xml:space="preserve">. </w:t>
      </w:r>
    </w:p>
    <w:p w:rsidR="00DE1701" w:rsidRPr="00720182" w:rsidRDefault="00DE1701" w:rsidP="00E310DF">
      <w:pPr>
        <w:pStyle w:val="Prrafodelista"/>
        <w:numPr>
          <w:ilvl w:val="0"/>
          <w:numId w:val="1"/>
        </w:numPr>
        <w:jc w:val="both"/>
        <w:rPr>
          <w:rFonts w:eastAsia="Calibri" w:cstheme="minorHAnsi"/>
        </w:rPr>
      </w:pPr>
      <w:r w:rsidRPr="00720182">
        <w:rPr>
          <w:rFonts w:eastAsia="Calibri" w:cstheme="minorHAnsi"/>
        </w:rPr>
        <w:t>Se requiere que las diferentes dependencias, presenten su informe cualitativo, con el fin de poder evidenciar en detalle los avances de la gestión, los principales obstáculos encontrados en la realización de los planes; y en caso de requerirse tener los elementos necesarios para la toma de decisiones</w:t>
      </w:r>
      <w:r w:rsidR="00B96D85">
        <w:rPr>
          <w:rFonts w:eastAsia="Calibri" w:cstheme="minorHAnsi"/>
        </w:rPr>
        <w:t>.</w:t>
      </w:r>
    </w:p>
    <w:p w:rsidR="004C7666" w:rsidRDefault="004C7666" w:rsidP="00E310DF">
      <w:pPr>
        <w:pStyle w:val="Prrafodelista"/>
        <w:numPr>
          <w:ilvl w:val="0"/>
          <w:numId w:val="1"/>
        </w:numPr>
        <w:jc w:val="both"/>
        <w:rPr>
          <w:rFonts w:eastAsia="Calibri" w:cstheme="minorHAnsi"/>
        </w:rPr>
      </w:pPr>
      <w:r w:rsidRPr="00720182">
        <w:rPr>
          <w:rFonts w:eastAsia="Calibri" w:cstheme="minorHAnsi"/>
        </w:rPr>
        <w:t>Con el fin de presentar un informe consolidado que sirva a la Alta Dirección de insumo de análisis, se requiere que las dependencias presenten la información en los plazos solicitados, toda vez que éstos se remiten a VPRE hasta un mes después del plazo establecido</w:t>
      </w:r>
      <w:r w:rsidR="00E310DF" w:rsidRPr="00720182">
        <w:rPr>
          <w:rFonts w:eastAsia="Calibri" w:cstheme="minorHAnsi"/>
        </w:rPr>
        <w:t>.</w:t>
      </w:r>
      <w:r w:rsidR="00295D3C" w:rsidRPr="00720182">
        <w:rPr>
          <w:rFonts w:eastAsia="Calibri" w:cstheme="minorHAnsi"/>
        </w:rPr>
        <w:t xml:space="preserve"> </w:t>
      </w:r>
    </w:p>
    <w:p w:rsidR="00A405B3" w:rsidRPr="00720182" w:rsidRDefault="00A405B3" w:rsidP="00A405B3">
      <w:pPr>
        <w:pStyle w:val="Prrafodelista"/>
        <w:ind w:left="405"/>
        <w:jc w:val="both"/>
        <w:rPr>
          <w:rFonts w:eastAsia="Calibri" w:cstheme="minorHAnsi"/>
        </w:rPr>
      </w:pPr>
    </w:p>
    <w:p w:rsidR="0068284C" w:rsidRPr="0068284C" w:rsidRDefault="0068284C" w:rsidP="0068284C">
      <w:pPr>
        <w:ind w:left="45"/>
        <w:jc w:val="both"/>
        <w:rPr>
          <w:rFonts w:ascii="Arial Narrow" w:eastAsia="Calibri" w:hAnsi="Arial Narrow" w:cs="Times New Roman"/>
        </w:rPr>
      </w:pPr>
    </w:p>
    <w:p w:rsidR="0068284C" w:rsidRPr="0068284C" w:rsidRDefault="0068284C" w:rsidP="0068284C">
      <w:pPr>
        <w:ind w:left="45"/>
        <w:jc w:val="both"/>
        <w:rPr>
          <w:rFonts w:ascii="Arial Narrow" w:eastAsia="Calibri" w:hAnsi="Arial Narrow" w:cs="Times New Roman"/>
        </w:rPr>
      </w:pPr>
    </w:p>
    <w:p w:rsidR="00177841" w:rsidRPr="0068284C" w:rsidRDefault="00177841">
      <w:pPr>
        <w:ind w:left="45"/>
        <w:jc w:val="both"/>
        <w:rPr>
          <w:rFonts w:ascii="Arial Narrow" w:eastAsia="Calibri" w:hAnsi="Arial Narrow" w:cs="Times New Roman"/>
        </w:rPr>
      </w:pPr>
    </w:p>
    <w:sectPr w:rsidR="00177841" w:rsidRPr="0068284C" w:rsidSect="009D561E">
      <w:headerReference w:type="default" r:id="rId208"/>
      <w:footerReference w:type="default" r:id="rId20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9E1" w:rsidRDefault="00DE69E1" w:rsidP="00D74F8D">
      <w:pPr>
        <w:spacing w:after="0" w:line="240" w:lineRule="auto"/>
      </w:pPr>
      <w:r>
        <w:separator/>
      </w:r>
    </w:p>
  </w:endnote>
  <w:endnote w:type="continuationSeparator" w:id="0">
    <w:p w:rsidR="00DE69E1" w:rsidRDefault="00DE69E1" w:rsidP="00D7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823866"/>
      <w:docPartObj>
        <w:docPartGallery w:val="Page Numbers (Bottom of Page)"/>
        <w:docPartUnique/>
      </w:docPartObj>
    </w:sdtPr>
    <w:sdtContent>
      <w:p w:rsidR="009D1EA7" w:rsidRDefault="009D1EA7">
        <w:pPr>
          <w:pStyle w:val="Piedepgina"/>
          <w:jc w:val="right"/>
        </w:pPr>
        <w:r>
          <w:fldChar w:fldCharType="begin"/>
        </w:r>
        <w:r>
          <w:instrText>PAGE   \* MERGEFORMAT</w:instrText>
        </w:r>
        <w:r>
          <w:fldChar w:fldCharType="separate"/>
        </w:r>
        <w:r w:rsidR="00063051" w:rsidRPr="00063051">
          <w:rPr>
            <w:noProof/>
            <w:lang w:val="es-ES"/>
          </w:rPr>
          <w:t>273</w:t>
        </w:r>
        <w:r>
          <w:rPr>
            <w:noProof/>
            <w:lang w:val="es-ES"/>
          </w:rPr>
          <w:fldChar w:fldCharType="end"/>
        </w:r>
      </w:p>
    </w:sdtContent>
  </w:sdt>
  <w:p w:rsidR="009D1EA7" w:rsidRDefault="009D1E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9E1" w:rsidRDefault="00DE69E1" w:rsidP="00D74F8D">
      <w:pPr>
        <w:spacing w:after="0" w:line="240" w:lineRule="auto"/>
      </w:pPr>
      <w:r>
        <w:separator/>
      </w:r>
    </w:p>
  </w:footnote>
  <w:footnote w:type="continuationSeparator" w:id="0">
    <w:p w:rsidR="00DE69E1" w:rsidRDefault="00DE69E1" w:rsidP="00D74F8D">
      <w:pPr>
        <w:spacing w:after="0" w:line="240" w:lineRule="auto"/>
      </w:pPr>
      <w:r>
        <w:continuationSeparator/>
      </w:r>
    </w:p>
  </w:footnote>
  <w:footnote w:id="1">
    <w:p w:rsidR="009D1EA7" w:rsidRDefault="009D1EA7" w:rsidP="00815BCB">
      <w:pPr>
        <w:pStyle w:val="Textonotapie"/>
        <w:ind w:left="-851" w:right="-1227"/>
        <w:jc w:val="both"/>
      </w:pPr>
      <w:r>
        <w:rPr>
          <w:rStyle w:val="Refdenotaalpie"/>
        </w:rPr>
        <w:footnoteRef/>
      </w:r>
      <w:r>
        <w:t xml:space="preserve"> Anteriormente atribuidas en el </w:t>
      </w:r>
      <w:r w:rsidRPr="001F47DF">
        <w:rPr>
          <w:rFonts w:ascii="Calibri" w:hAnsi="Calibri" w:cs="Calibri"/>
          <w:szCs w:val="24"/>
          <w:lang w:val="es-ES"/>
        </w:rPr>
        <w:t>Numeral Cuarto del Artículo Vigésimo Segundo de la Reso</w:t>
      </w:r>
      <w:r>
        <w:rPr>
          <w:rFonts w:ascii="Calibri" w:hAnsi="Calibri" w:cs="Calibri"/>
          <w:szCs w:val="24"/>
          <w:lang w:val="es-ES"/>
        </w:rPr>
        <w:t xml:space="preserve">lución No.215 del 26 de abril </w:t>
      </w:r>
      <w:r w:rsidRPr="001F47DF">
        <w:rPr>
          <w:rFonts w:ascii="Calibri" w:hAnsi="Calibri" w:cs="Calibri"/>
          <w:szCs w:val="24"/>
          <w:lang w:val="es-ES"/>
        </w:rPr>
        <w:t>de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EA7" w:rsidRDefault="009D1EA7">
    <w:pPr>
      <w:pStyle w:val="Encabezado"/>
      <w:jc w:val="right"/>
    </w:pPr>
  </w:p>
  <w:p w:rsidR="009D1EA7" w:rsidRDefault="009D1EA7" w:rsidP="00A32D0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BAFB8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8A008F7C"/>
    <w:lvl w:ilvl="0">
      <w:numFmt w:val="bullet"/>
      <w:lvlText w:val="*"/>
      <w:lvlJc w:val="left"/>
    </w:lvl>
  </w:abstractNum>
  <w:abstractNum w:abstractNumId="2" w15:restartNumberingAfterBreak="0">
    <w:nsid w:val="01221F6B"/>
    <w:multiLevelType w:val="hybridMultilevel"/>
    <w:tmpl w:val="210AD66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22046FB"/>
    <w:multiLevelType w:val="hybridMultilevel"/>
    <w:tmpl w:val="5212DD5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3544F61"/>
    <w:multiLevelType w:val="multilevel"/>
    <w:tmpl w:val="FAA42326"/>
    <w:lvl w:ilvl="0">
      <w:start w:val="2"/>
      <w:numFmt w:val="decimal"/>
      <w:lvlText w:val="%1"/>
      <w:lvlJc w:val="left"/>
      <w:pPr>
        <w:ind w:left="360" w:hanging="360"/>
      </w:pPr>
      <w:rPr>
        <w:rFonts w:ascii="Arial" w:eastAsiaTheme="minorHAnsi" w:hAnsi="Arial" w:cs="Arial" w:hint="default"/>
        <w:sz w:val="22"/>
      </w:rPr>
    </w:lvl>
    <w:lvl w:ilvl="1">
      <w:start w:val="2"/>
      <w:numFmt w:val="decimal"/>
      <w:lvlText w:val="%1.%2"/>
      <w:lvlJc w:val="left"/>
      <w:pPr>
        <w:ind w:left="360" w:hanging="360"/>
      </w:pPr>
      <w:rPr>
        <w:rFonts w:ascii="Arial" w:eastAsiaTheme="minorHAnsi" w:hAnsi="Arial" w:cs="Arial" w:hint="default"/>
        <w:sz w:val="22"/>
      </w:rPr>
    </w:lvl>
    <w:lvl w:ilvl="2">
      <w:start w:val="1"/>
      <w:numFmt w:val="decimal"/>
      <w:lvlText w:val="%1.%2.%3"/>
      <w:lvlJc w:val="left"/>
      <w:pPr>
        <w:ind w:left="720" w:hanging="720"/>
      </w:pPr>
      <w:rPr>
        <w:rFonts w:ascii="Arial" w:eastAsiaTheme="minorHAnsi" w:hAnsi="Arial" w:cs="Arial" w:hint="default"/>
        <w:sz w:val="22"/>
      </w:rPr>
    </w:lvl>
    <w:lvl w:ilvl="3">
      <w:start w:val="1"/>
      <w:numFmt w:val="decimalZero"/>
      <w:lvlText w:val="%1.%2.%3.%4"/>
      <w:lvlJc w:val="left"/>
      <w:pPr>
        <w:ind w:left="720" w:hanging="720"/>
      </w:pPr>
      <w:rPr>
        <w:rFonts w:ascii="Arial" w:eastAsiaTheme="minorHAnsi" w:hAnsi="Arial" w:cs="Arial" w:hint="default"/>
        <w:sz w:val="22"/>
      </w:rPr>
    </w:lvl>
    <w:lvl w:ilvl="4">
      <w:start w:val="1"/>
      <w:numFmt w:val="decimal"/>
      <w:lvlText w:val="%1.%2.%3.%4.%5"/>
      <w:lvlJc w:val="left"/>
      <w:pPr>
        <w:ind w:left="720" w:hanging="720"/>
      </w:pPr>
      <w:rPr>
        <w:rFonts w:ascii="Arial" w:eastAsiaTheme="minorHAnsi" w:hAnsi="Arial" w:cs="Arial" w:hint="default"/>
        <w:sz w:val="22"/>
      </w:rPr>
    </w:lvl>
    <w:lvl w:ilvl="5">
      <w:start w:val="1"/>
      <w:numFmt w:val="decimal"/>
      <w:lvlText w:val="%1.%2.%3.%4.%5.%6"/>
      <w:lvlJc w:val="left"/>
      <w:pPr>
        <w:ind w:left="1080" w:hanging="1080"/>
      </w:pPr>
      <w:rPr>
        <w:rFonts w:ascii="Arial" w:eastAsiaTheme="minorHAnsi" w:hAnsi="Arial" w:cs="Arial" w:hint="default"/>
        <w:sz w:val="22"/>
      </w:rPr>
    </w:lvl>
    <w:lvl w:ilvl="6">
      <w:start w:val="1"/>
      <w:numFmt w:val="decimal"/>
      <w:lvlText w:val="%1.%2.%3.%4.%5.%6.%7"/>
      <w:lvlJc w:val="left"/>
      <w:pPr>
        <w:ind w:left="1080" w:hanging="1080"/>
      </w:pPr>
      <w:rPr>
        <w:rFonts w:ascii="Arial" w:eastAsiaTheme="minorHAnsi" w:hAnsi="Arial" w:cs="Arial" w:hint="default"/>
        <w:sz w:val="22"/>
      </w:rPr>
    </w:lvl>
    <w:lvl w:ilvl="7">
      <w:start w:val="1"/>
      <w:numFmt w:val="decimal"/>
      <w:lvlText w:val="%1.%2.%3.%4.%5.%6.%7.%8"/>
      <w:lvlJc w:val="left"/>
      <w:pPr>
        <w:ind w:left="1440" w:hanging="1440"/>
      </w:pPr>
      <w:rPr>
        <w:rFonts w:ascii="Arial" w:eastAsiaTheme="minorHAnsi" w:hAnsi="Arial" w:cs="Arial" w:hint="default"/>
        <w:sz w:val="22"/>
      </w:rPr>
    </w:lvl>
    <w:lvl w:ilvl="8">
      <w:start w:val="1"/>
      <w:numFmt w:val="decimal"/>
      <w:lvlText w:val="%1.%2.%3.%4.%5.%6.%7.%8.%9"/>
      <w:lvlJc w:val="left"/>
      <w:pPr>
        <w:ind w:left="1440" w:hanging="1440"/>
      </w:pPr>
      <w:rPr>
        <w:rFonts w:ascii="Arial" w:eastAsiaTheme="minorHAnsi" w:hAnsi="Arial" w:cs="Arial" w:hint="default"/>
        <w:sz w:val="22"/>
      </w:rPr>
    </w:lvl>
  </w:abstractNum>
  <w:abstractNum w:abstractNumId="5" w15:restartNumberingAfterBreak="0">
    <w:nsid w:val="04C65809"/>
    <w:multiLevelType w:val="hybridMultilevel"/>
    <w:tmpl w:val="3E1ADB40"/>
    <w:lvl w:ilvl="0" w:tplc="2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77C4199"/>
    <w:multiLevelType w:val="hybridMultilevel"/>
    <w:tmpl w:val="8CE468F6"/>
    <w:lvl w:ilvl="0" w:tplc="48B26B7A">
      <w:numFmt w:val="bullet"/>
      <w:lvlText w:val="-"/>
      <w:lvlJc w:val="left"/>
      <w:pPr>
        <w:ind w:left="720" w:hanging="360"/>
      </w:pPr>
      <w:rPr>
        <w:rFonts w:ascii="Calibri" w:eastAsiaTheme="minorHAnsi" w:hAnsi="Calibri"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860062C"/>
    <w:multiLevelType w:val="hybridMultilevel"/>
    <w:tmpl w:val="26A83E5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8846133"/>
    <w:multiLevelType w:val="hybridMultilevel"/>
    <w:tmpl w:val="C22A71D0"/>
    <w:lvl w:ilvl="0" w:tplc="B93E293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A9D4A3B"/>
    <w:multiLevelType w:val="hybridMultilevel"/>
    <w:tmpl w:val="E78203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C541227"/>
    <w:multiLevelType w:val="hybridMultilevel"/>
    <w:tmpl w:val="8A72BDD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0C7E5E9A"/>
    <w:multiLevelType w:val="hybridMultilevel"/>
    <w:tmpl w:val="023288D6"/>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0D465E61"/>
    <w:multiLevelType w:val="hybridMultilevel"/>
    <w:tmpl w:val="D5409B64"/>
    <w:lvl w:ilvl="0" w:tplc="240A000F">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0EA04853"/>
    <w:multiLevelType w:val="hybridMultilevel"/>
    <w:tmpl w:val="A6046E7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0FC3658F"/>
    <w:multiLevelType w:val="hybridMultilevel"/>
    <w:tmpl w:val="BCA6B5AE"/>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0E73227"/>
    <w:multiLevelType w:val="hybridMultilevel"/>
    <w:tmpl w:val="7D4AFD98"/>
    <w:lvl w:ilvl="0" w:tplc="C158D5B8">
      <w:start w:val="7"/>
      <w:numFmt w:val="bullet"/>
      <w:lvlText w:val="-"/>
      <w:lvlJc w:val="left"/>
      <w:pPr>
        <w:ind w:left="786" w:hanging="360"/>
      </w:pPr>
      <w:rPr>
        <w:rFonts w:ascii="Arial" w:eastAsia="Times New Roman" w:hAnsi="Arial" w:cs="Aria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6" w15:restartNumberingAfterBreak="0">
    <w:nsid w:val="146509DB"/>
    <w:multiLevelType w:val="hybridMultilevel"/>
    <w:tmpl w:val="CC042D5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15AF1517"/>
    <w:multiLevelType w:val="hybridMultilevel"/>
    <w:tmpl w:val="CC042D5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15BE409E"/>
    <w:multiLevelType w:val="hybridMultilevel"/>
    <w:tmpl w:val="52E22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6061D9C"/>
    <w:multiLevelType w:val="hybridMultilevel"/>
    <w:tmpl w:val="25B27CA4"/>
    <w:lvl w:ilvl="0" w:tplc="1A40723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166C5AEC"/>
    <w:multiLevelType w:val="hybridMultilevel"/>
    <w:tmpl w:val="B2E0F1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17C504CC"/>
    <w:multiLevelType w:val="hybridMultilevel"/>
    <w:tmpl w:val="8BA8120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18EC4703"/>
    <w:multiLevelType w:val="hybridMultilevel"/>
    <w:tmpl w:val="F06639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9E055DF"/>
    <w:multiLevelType w:val="hybridMultilevel"/>
    <w:tmpl w:val="CF1887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B6A72BC"/>
    <w:multiLevelType w:val="hybridMultilevel"/>
    <w:tmpl w:val="98FA2878"/>
    <w:lvl w:ilvl="0" w:tplc="FFFFFFFF">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Arial" w:hAnsi="Arial"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1E9573FB"/>
    <w:multiLevelType w:val="hybridMultilevel"/>
    <w:tmpl w:val="E952B1C2"/>
    <w:lvl w:ilvl="0" w:tplc="240A000F">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214227AE"/>
    <w:multiLevelType w:val="hybridMultilevel"/>
    <w:tmpl w:val="FA007438"/>
    <w:lvl w:ilvl="0" w:tplc="FFFFFFFF">
      <w:start w:val="1"/>
      <w:numFmt w:val="bullet"/>
      <w:lvlText w:val=""/>
      <w:lvlJc w:val="left"/>
      <w:pPr>
        <w:ind w:left="1287" w:hanging="360"/>
      </w:pPr>
      <w:rPr>
        <w:rFonts w:ascii="Wingdings" w:hAnsi="Wingdings" w:hint="default"/>
      </w:rPr>
    </w:lvl>
    <w:lvl w:ilvl="1" w:tplc="240A000F" w:tentative="1">
      <w:start w:val="1"/>
      <w:numFmt w:val="bullet"/>
      <w:lvlText w:val="o"/>
      <w:lvlJc w:val="left"/>
      <w:pPr>
        <w:ind w:left="2007" w:hanging="360"/>
      </w:pPr>
      <w:rPr>
        <w:rFonts w:ascii="Courier New" w:hAnsi="Courier New" w:cs="Courier New" w:hint="default"/>
      </w:rPr>
    </w:lvl>
    <w:lvl w:ilvl="2" w:tplc="0C0A001B"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214468A5"/>
    <w:multiLevelType w:val="hybridMultilevel"/>
    <w:tmpl w:val="B4B044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3AB117A"/>
    <w:multiLevelType w:val="hybridMultilevel"/>
    <w:tmpl w:val="4E8480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267F7E4F"/>
    <w:multiLevelType w:val="hybridMultilevel"/>
    <w:tmpl w:val="D22676FA"/>
    <w:lvl w:ilvl="0" w:tplc="E466DF30">
      <w:start w:val="1"/>
      <w:numFmt w:val="bullet"/>
      <w:lvlText w:val="•"/>
      <w:lvlJc w:val="left"/>
      <w:pPr>
        <w:tabs>
          <w:tab w:val="num" w:pos="720"/>
        </w:tabs>
        <w:ind w:left="720" w:hanging="360"/>
      </w:pPr>
      <w:rPr>
        <w:rFonts w:ascii="Times New Roman" w:hAnsi="Times New Roman" w:hint="default"/>
      </w:rPr>
    </w:lvl>
    <w:lvl w:ilvl="1" w:tplc="B8460826" w:tentative="1">
      <w:start w:val="1"/>
      <w:numFmt w:val="bullet"/>
      <w:lvlText w:val="•"/>
      <w:lvlJc w:val="left"/>
      <w:pPr>
        <w:tabs>
          <w:tab w:val="num" w:pos="1440"/>
        </w:tabs>
        <w:ind w:left="1440" w:hanging="360"/>
      </w:pPr>
      <w:rPr>
        <w:rFonts w:ascii="Times New Roman" w:hAnsi="Times New Roman" w:hint="default"/>
      </w:rPr>
    </w:lvl>
    <w:lvl w:ilvl="2" w:tplc="DBE6AF18" w:tentative="1">
      <w:start w:val="1"/>
      <w:numFmt w:val="bullet"/>
      <w:lvlText w:val="•"/>
      <w:lvlJc w:val="left"/>
      <w:pPr>
        <w:tabs>
          <w:tab w:val="num" w:pos="2160"/>
        </w:tabs>
        <w:ind w:left="2160" w:hanging="360"/>
      </w:pPr>
      <w:rPr>
        <w:rFonts w:ascii="Times New Roman" w:hAnsi="Times New Roman" w:hint="default"/>
      </w:rPr>
    </w:lvl>
    <w:lvl w:ilvl="3" w:tplc="9C2CD3EC" w:tentative="1">
      <w:start w:val="1"/>
      <w:numFmt w:val="bullet"/>
      <w:lvlText w:val="•"/>
      <w:lvlJc w:val="left"/>
      <w:pPr>
        <w:tabs>
          <w:tab w:val="num" w:pos="2880"/>
        </w:tabs>
        <w:ind w:left="2880" w:hanging="360"/>
      </w:pPr>
      <w:rPr>
        <w:rFonts w:ascii="Times New Roman" w:hAnsi="Times New Roman" w:hint="default"/>
      </w:rPr>
    </w:lvl>
    <w:lvl w:ilvl="4" w:tplc="7E90EFDA" w:tentative="1">
      <w:start w:val="1"/>
      <w:numFmt w:val="bullet"/>
      <w:lvlText w:val="•"/>
      <w:lvlJc w:val="left"/>
      <w:pPr>
        <w:tabs>
          <w:tab w:val="num" w:pos="3600"/>
        </w:tabs>
        <w:ind w:left="3600" w:hanging="360"/>
      </w:pPr>
      <w:rPr>
        <w:rFonts w:ascii="Times New Roman" w:hAnsi="Times New Roman" w:hint="default"/>
      </w:rPr>
    </w:lvl>
    <w:lvl w:ilvl="5" w:tplc="18FCE86C" w:tentative="1">
      <w:start w:val="1"/>
      <w:numFmt w:val="bullet"/>
      <w:lvlText w:val="•"/>
      <w:lvlJc w:val="left"/>
      <w:pPr>
        <w:tabs>
          <w:tab w:val="num" w:pos="4320"/>
        </w:tabs>
        <w:ind w:left="4320" w:hanging="360"/>
      </w:pPr>
      <w:rPr>
        <w:rFonts w:ascii="Times New Roman" w:hAnsi="Times New Roman" w:hint="default"/>
      </w:rPr>
    </w:lvl>
    <w:lvl w:ilvl="6" w:tplc="FA4CEC76" w:tentative="1">
      <w:start w:val="1"/>
      <w:numFmt w:val="bullet"/>
      <w:lvlText w:val="•"/>
      <w:lvlJc w:val="left"/>
      <w:pPr>
        <w:tabs>
          <w:tab w:val="num" w:pos="5040"/>
        </w:tabs>
        <w:ind w:left="5040" w:hanging="360"/>
      </w:pPr>
      <w:rPr>
        <w:rFonts w:ascii="Times New Roman" w:hAnsi="Times New Roman" w:hint="default"/>
      </w:rPr>
    </w:lvl>
    <w:lvl w:ilvl="7" w:tplc="0598F096" w:tentative="1">
      <w:start w:val="1"/>
      <w:numFmt w:val="bullet"/>
      <w:lvlText w:val="•"/>
      <w:lvlJc w:val="left"/>
      <w:pPr>
        <w:tabs>
          <w:tab w:val="num" w:pos="5760"/>
        </w:tabs>
        <w:ind w:left="5760" w:hanging="360"/>
      </w:pPr>
      <w:rPr>
        <w:rFonts w:ascii="Times New Roman" w:hAnsi="Times New Roman" w:hint="default"/>
      </w:rPr>
    </w:lvl>
    <w:lvl w:ilvl="8" w:tplc="2F0A1FA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29A9051D"/>
    <w:multiLevelType w:val="hybridMultilevel"/>
    <w:tmpl w:val="98322560"/>
    <w:lvl w:ilvl="0" w:tplc="FFFFFFFF">
      <w:start w:val="1"/>
      <w:numFmt w:val="bullet"/>
      <w:lvlText w:val=""/>
      <w:lvlJc w:val="left"/>
      <w:pPr>
        <w:tabs>
          <w:tab w:val="num" w:pos="642"/>
        </w:tabs>
        <w:ind w:left="642" w:hanging="357"/>
      </w:pPr>
      <w:rPr>
        <w:rFonts w:ascii="Symbol" w:hAnsi="Symbol" w:hint="default"/>
      </w:rPr>
    </w:lvl>
    <w:lvl w:ilvl="1" w:tplc="FFFFFFFF">
      <w:start w:val="1"/>
      <w:numFmt w:val="bullet"/>
      <w:lvlText w:val=""/>
      <w:lvlJc w:val="left"/>
      <w:pPr>
        <w:tabs>
          <w:tab w:val="num" w:pos="645"/>
        </w:tabs>
        <w:ind w:left="1725" w:hanging="360"/>
      </w:pPr>
      <w:rPr>
        <w:rFonts w:ascii="Wingdings" w:hAnsi="Wingdings" w:hint="default"/>
      </w:rPr>
    </w:lvl>
    <w:lvl w:ilvl="2" w:tplc="FFFFFFFF" w:tentative="1">
      <w:start w:val="1"/>
      <w:numFmt w:val="bullet"/>
      <w:lvlText w:val=""/>
      <w:lvlJc w:val="left"/>
      <w:pPr>
        <w:tabs>
          <w:tab w:val="num" w:pos="2445"/>
        </w:tabs>
        <w:ind w:left="2445" w:hanging="360"/>
      </w:pPr>
      <w:rPr>
        <w:rFonts w:ascii="Wingdings" w:hAnsi="Wingdings" w:hint="default"/>
      </w:rPr>
    </w:lvl>
    <w:lvl w:ilvl="3" w:tplc="FFFFFFFF" w:tentative="1">
      <w:start w:val="1"/>
      <w:numFmt w:val="bullet"/>
      <w:lvlText w:val=""/>
      <w:lvlJc w:val="left"/>
      <w:pPr>
        <w:tabs>
          <w:tab w:val="num" w:pos="3165"/>
        </w:tabs>
        <w:ind w:left="3165" w:hanging="360"/>
      </w:pPr>
      <w:rPr>
        <w:rFonts w:ascii="Symbol" w:hAnsi="Symbol" w:hint="default"/>
      </w:rPr>
    </w:lvl>
    <w:lvl w:ilvl="4" w:tplc="FFFFFFFF" w:tentative="1">
      <w:start w:val="1"/>
      <w:numFmt w:val="bullet"/>
      <w:lvlText w:val="o"/>
      <w:lvlJc w:val="left"/>
      <w:pPr>
        <w:tabs>
          <w:tab w:val="num" w:pos="3885"/>
        </w:tabs>
        <w:ind w:left="3885" w:hanging="360"/>
      </w:pPr>
      <w:rPr>
        <w:rFonts w:ascii="Courier New" w:hAnsi="Courier New" w:cs="Courier New" w:hint="default"/>
      </w:rPr>
    </w:lvl>
    <w:lvl w:ilvl="5" w:tplc="FFFFFFFF" w:tentative="1">
      <w:start w:val="1"/>
      <w:numFmt w:val="bullet"/>
      <w:lvlText w:val=""/>
      <w:lvlJc w:val="left"/>
      <w:pPr>
        <w:tabs>
          <w:tab w:val="num" w:pos="4605"/>
        </w:tabs>
        <w:ind w:left="4605" w:hanging="360"/>
      </w:pPr>
      <w:rPr>
        <w:rFonts w:ascii="Wingdings" w:hAnsi="Wingdings" w:hint="default"/>
      </w:rPr>
    </w:lvl>
    <w:lvl w:ilvl="6" w:tplc="FFFFFFFF" w:tentative="1">
      <w:start w:val="1"/>
      <w:numFmt w:val="bullet"/>
      <w:lvlText w:val=""/>
      <w:lvlJc w:val="left"/>
      <w:pPr>
        <w:tabs>
          <w:tab w:val="num" w:pos="5325"/>
        </w:tabs>
        <w:ind w:left="5325" w:hanging="360"/>
      </w:pPr>
      <w:rPr>
        <w:rFonts w:ascii="Symbol" w:hAnsi="Symbol" w:hint="default"/>
      </w:rPr>
    </w:lvl>
    <w:lvl w:ilvl="7" w:tplc="FFFFFFFF" w:tentative="1">
      <w:start w:val="1"/>
      <w:numFmt w:val="bullet"/>
      <w:lvlText w:val="o"/>
      <w:lvlJc w:val="left"/>
      <w:pPr>
        <w:tabs>
          <w:tab w:val="num" w:pos="6045"/>
        </w:tabs>
        <w:ind w:left="6045" w:hanging="360"/>
      </w:pPr>
      <w:rPr>
        <w:rFonts w:ascii="Courier New" w:hAnsi="Courier New" w:cs="Courier New" w:hint="default"/>
      </w:rPr>
    </w:lvl>
    <w:lvl w:ilvl="8" w:tplc="FFFFFFFF" w:tentative="1">
      <w:start w:val="1"/>
      <w:numFmt w:val="bullet"/>
      <w:lvlText w:val=""/>
      <w:lvlJc w:val="left"/>
      <w:pPr>
        <w:tabs>
          <w:tab w:val="num" w:pos="6765"/>
        </w:tabs>
        <w:ind w:left="6765" w:hanging="360"/>
      </w:pPr>
      <w:rPr>
        <w:rFonts w:ascii="Wingdings" w:hAnsi="Wingdings" w:hint="default"/>
      </w:rPr>
    </w:lvl>
  </w:abstractNum>
  <w:abstractNum w:abstractNumId="31" w15:restartNumberingAfterBreak="0">
    <w:nsid w:val="29EB5872"/>
    <w:multiLevelType w:val="hybridMultilevel"/>
    <w:tmpl w:val="90D240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2A3E34DF"/>
    <w:multiLevelType w:val="hybridMultilevel"/>
    <w:tmpl w:val="DC7ADF04"/>
    <w:lvl w:ilvl="0" w:tplc="1A40723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2A750AA5"/>
    <w:multiLevelType w:val="hybridMultilevel"/>
    <w:tmpl w:val="2278C3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BD076EF"/>
    <w:multiLevelType w:val="hybridMultilevel"/>
    <w:tmpl w:val="1C6A5F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CFB5A55"/>
    <w:multiLevelType w:val="hybridMultilevel"/>
    <w:tmpl w:val="7D300902"/>
    <w:lvl w:ilvl="0" w:tplc="240A000D">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2F730A06"/>
    <w:multiLevelType w:val="hybridMultilevel"/>
    <w:tmpl w:val="E8D606FA"/>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7" w15:restartNumberingAfterBreak="0">
    <w:nsid w:val="30446BB3"/>
    <w:multiLevelType w:val="hybridMultilevel"/>
    <w:tmpl w:val="EDEE7ECC"/>
    <w:lvl w:ilvl="0" w:tplc="08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30A97A63"/>
    <w:multiLevelType w:val="hybridMultilevel"/>
    <w:tmpl w:val="E12E55D8"/>
    <w:lvl w:ilvl="0" w:tplc="240A000D">
      <w:start w:val="1"/>
      <w:numFmt w:val="bullet"/>
      <w:lvlText w:val=""/>
      <w:lvlJc w:val="left"/>
      <w:pPr>
        <w:tabs>
          <w:tab w:val="num" w:pos="642"/>
        </w:tabs>
        <w:ind w:left="642" w:hanging="357"/>
      </w:pPr>
      <w:rPr>
        <w:rFonts w:ascii="Symbol" w:hAnsi="Symbol" w:hint="default"/>
      </w:rPr>
    </w:lvl>
    <w:lvl w:ilvl="1" w:tplc="240A0003">
      <w:start w:val="1"/>
      <w:numFmt w:val="bullet"/>
      <w:lvlText w:val=""/>
      <w:lvlJc w:val="left"/>
      <w:pPr>
        <w:tabs>
          <w:tab w:val="num" w:pos="645"/>
        </w:tabs>
        <w:ind w:left="1725" w:hanging="360"/>
      </w:pPr>
      <w:rPr>
        <w:rFonts w:ascii="Symbol" w:hAnsi="Symbol" w:hint="default"/>
      </w:rPr>
    </w:lvl>
    <w:lvl w:ilvl="2" w:tplc="240A0005" w:tentative="1">
      <w:start w:val="1"/>
      <w:numFmt w:val="bullet"/>
      <w:lvlText w:val=""/>
      <w:lvlJc w:val="left"/>
      <w:pPr>
        <w:tabs>
          <w:tab w:val="num" w:pos="2445"/>
        </w:tabs>
        <w:ind w:left="2445" w:hanging="360"/>
      </w:pPr>
      <w:rPr>
        <w:rFonts w:ascii="Wingdings" w:hAnsi="Wingdings" w:hint="default"/>
      </w:rPr>
    </w:lvl>
    <w:lvl w:ilvl="3" w:tplc="240A0001" w:tentative="1">
      <w:start w:val="1"/>
      <w:numFmt w:val="bullet"/>
      <w:lvlText w:val=""/>
      <w:lvlJc w:val="left"/>
      <w:pPr>
        <w:tabs>
          <w:tab w:val="num" w:pos="3165"/>
        </w:tabs>
        <w:ind w:left="3165" w:hanging="360"/>
      </w:pPr>
      <w:rPr>
        <w:rFonts w:ascii="Symbol" w:hAnsi="Symbol" w:hint="default"/>
      </w:rPr>
    </w:lvl>
    <w:lvl w:ilvl="4" w:tplc="240A0003" w:tentative="1">
      <w:start w:val="1"/>
      <w:numFmt w:val="bullet"/>
      <w:lvlText w:val="o"/>
      <w:lvlJc w:val="left"/>
      <w:pPr>
        <w:tabs>
          <w:tab w:val="num" w:pos="3885"/>
        </w:tabs>
        <w:ind w:left="3885" w:hanging="360"/>
      </w:pPr>
      <w:rPr>
        <w:rFonts w:ascii="Courier New" w:hAnsi="Courier New" w:cs="Courier New" w:hint="default"/>
      </w:rPr>
    </w:lvl>
    <w:lvl w:ilvl="5" w:tplc="240A0005" w:tentative="1">
      <w:start w:val="1"/>
      <w:numFmt w:val="bullet"/>
      <w:lvlText w:val=""/>
      <w:lvlJc w:val="left"/>
      <w:pPr>
        <w:tabs>
          <w:tab w:val="num" w:pos="4605"/>
        </w:tabs>
        <w:ind w:left="4605" w:hanging="360"/>
      </w:pPr>
      <w:rPr>
        <w:rFonts w:ascii="Wingdings" w:hAnsi="Wingdings" w:hint="default"/>
      </w:rPr>
    </w:lvl>
    <w:lvl w:ilvl="6" w:tplc="240A0001" w:tentative="1">
      <w:start w:val="1"/>
      <w:numFmt w:val="bullet"/>
      <w:lvlText w:val=""/>
      <w:lvlJc w:val="left"/>
      <w:pPr>
        <w:tabs>
          <w:tab w:val="num" w:pos="5325"/>
        </w:tabs>
        <w:ind w:left="5325" w:hanging="360"/>
      </w:pPr>
      <w:rPr>
        <w:rFonts w:ascii="Symbol" w:hAnsi="Symbol" w:hint="default"/>
      </w:rPr>
    </w:lvl>
    <w:lvl w:ilvl="7" w:tplc="240A0003" w:tentative="1">
      <w:start w:val="1"/>
      <w:numFmt w:val="bullet"/>
      <w:lvlText w:val="o"/>
      <w:lvlJc w:val="left"/>
      <w:pPr>
        <w:tabs>
          <w:tab w:val="num" w:pos="6045"/>
        </w:tabs>
        <w:ind w:left="6045" w:hanging="360"/>
      </w:pPr>
      <w:rPr>
        <w:rFonts w:ascii="Courier New" w:hAnsi="Courier New" w:cs="Courier New" w:hint="default"/>
      </w:rPr>
    </w:lvl>
    <w:lvl w:ilvl="8" w:tplc="240A0005" w:tentative="1">
      <w:start w:val="1"/>
      <w:numFmt w:val="bullet"/>
      <w:lvlText w:val=""/>
      <w:lvlJc w:val="left"/>
      <w:pPr>
        <w:tabs>
          <w:tab w:val="num" w:pos="6765"/>
        </w:tabs>
        <w:ind w:left="6765" w:hanging="360"/>
      </w:pPr>
      <w:rPr>
        <w:rFonts w:ascii="Wingdings" w:hAnsi="Wingdings" w:hint="default"/>
      </w:rPr>
    </w:lvl>
  </w:abstractNum>
  <w:abstractNum w:abstractNumId="39" w15:restartNumberingAfterBreak="0">
    <w:nsid w:val="31A70192"/>
    <w:multiLevelType w:val="hybridMultilevel"/>
    <w:tmpl w:val="F38CFD5C"/>
    <w:lvl w:ilvl="0" w:tplc="240A0001">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323567EF"/>
    <w:multiLevelType w:val="hybridMultilevel"/>
    <w:tmpl w:val="D8609D5A"/>
    <w:lvl w:ilvl="0" w:tplc="26D8988C">
      <w:start w:val="1"/>
      <w:numFmt w:val="bullet"/>
      <w:lvlText w:val="-"/>
      <w:lvlJc w:val="left"/>
      <w:pPr>
        <w:ind w:left="360" w:hanging="360"/>
      </w:pPr>
      <w:rPr>
        <w:rFonts w:ascii="Arial Narrow" w:eastAsiaTheme="minorHAnsi" w:hAnsi="Arial Narrow"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32D6019C"/>
    <w:multiLevelType w:val="hybridMultilevel"/>
    <w:tmpl w:val="F1E463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3390489B"/>
    <w:multiLevelType w:val="hybridMultilevel"/>
    <w:tmpl w:val="6F6CF8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37B30E08"/>
    <w:multiLevelType w:val="hybridMultilevel"/>
    <w:tmpl w:val="A6F6D8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38195F71"/>
    <w:multiLevelType w:val="hybridMultilevel"/>
    <w:tmpl w:val="B4D84C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381F431D"/>
    <w:multiLevelType w:val="hybridMultilevel"/>
    <w:tmpl w:val="3FF4CD9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397C0F1B"/>
    <w:multiLevelType w:val="hybridMultilevel"/>
    <w:tmpl w:val="0E2E80B2"/>
    <w:lvl w:ilvl="0" w:tplc="5BFA17B0">
      <w:numFmt w:val="bullet"/>
      <w:lvlText w:val="-"/>
      <w:lvlJc w:val="left"/>
      <w:pPr>
        <w:ind w:left="1068" w:hanging="360"/>
      </w:pPr>
      <w:rPr>
        <w:rFonts w:ascii="Arial" w:eastAsia="Times New Roman" w:hAnsi="Arial" w:cs="Arial" w:hint="default"/>
        <w:color w:val="000000"/>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7" w15:restartNumberingAfterBreak="0">
    <w:nsid w:val="39D429A9"/>
    <w:multiLevelType w:val="hybridMultilevel"/>
    <w:tmpl w:val="F7C29138"/>
    <w:lvl w:ilvl="0" w:tplc="0FCC5CA0">
      <w:numFmt w:val="bullet"/>
      <w:lvlText w:val="-"/>
      <w:lvlJc w:val="left"/>
      <w:pPr>
        <w:ind w:left="360" w:hanging="360"/>
      </w:pPr>
      <w:rPr>
        <w:rFonts w:ascii="Georgia" w:eastAsia="Calibri" w:hAnsi="Georgi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39DC788A"/>
    <w:multiLevelType w:val="hybridMultilevel"/>
    <w:tmpl w:val="18B8CD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A2A1268"/>
    <w:multiLevelType w:val="hybridMultilevel"/>
    <w:tmpl w:val="8BAE1E12"/>
    <w:lvl w:ilvl="0" w:tplc="0C0A0001">
      <w:start w:val="1"/>
      <w:numFmt w:val="bullet"/>
      <w:lvlText w:val=""/>
      <w:lvlJc w:val="left"/>
      <w:pPr>
        <w:tabs>
          <w:tab w:val="num" w:pos="642"/>
        </w:tabs>
        <w:ind w:left="642" w:hanging="357"/>
      </w:pPr>
      <w:rPr>
        <w:rFonts w:ascii="Symbol" w:hAnsi="Symbol" w:hint="default"/>
      </w:rPr>
    </w:lvl>
    <w:lvl w:ilvl="1" w:tplc="240A0003">
      <w:start w:val="1"/>
      <w:numFmt w:val="bullet"/>
      <w:lvlText w:val=""/>
      <w:lvlJc w:val="left"/>
      <w:pPr>
        <w:tabs>
          <w:tab w:val="num" w:pos="645"/>
        </w:tabs>
        <w:ind w:left="1725" w:hanging="360"/>
      </w:pPr>
      <w:rPr>
        <w:rFonts w:ascii="Wingdings" w:hAnsi="Wingdings" w:hint="default"/>
      </w:rPr>
    </w:lvl>
    <w:lvl w:ilvl="2" w:tplc="240A0005" w:tentative="1">
      <w:start w:val="1"/>
      <w:numFmt w:val="bullet"/>
      <w:lvlText w:val=""/>
      <w:lvlJc w:val="left"/>
      <w:pPr>
        <w:tabs>
          <w:tab w:val="num" w:pos="2445"/>
        </w:tabs>
        <w:ind w:left="2445" w:hanging="360"/>
      </w:pPr>
      <w:rPr>
        <w:rFonts w:ascii="Wingdings" w:hAnsi="Wingdings" w:hint="default"/>
      </w:rPr>
    </w:lvl>
    <w:lvl w:ilvl="3" w:tplc="240A0001" w:tentative="1">
      <w:start w:val="1"/>
      <w:numFmt w:val="bullet"/>
      <w:lvlText w:val=""/>
      <w:lvlJc w:val="left"/>
      <w:pPr>
        <w:tabs>
          <w:tab w:val="num" w:pos="3165"/>
        </w:tabs>
        <w:ind w:left="3165" w:hanging="360"/>
      </w:pPr>
      <w:rPr>
        <w:rFonts w:ascii="Symbol" w:hAnsi="Symbol" w:hint="default"/>
      </w:rPr>
    </w:lvl>
    <w:lvl w:ilvl="4" w:tplc="240A0003" w:tentative="1">
      <w:start w:val="1"/>
      <w:numFmt w:val="bullet"/>
      <w:lvlText w:val="o"/>
      <w:lvlJc w:val="left"/>
      <w:pPr>
        <w:tabs>
          <w:tab w:val="num" w:pos="3885"/>
        </w:tabs>
        <w:ind w:left="3885" w:hanging="360"/>
      </w:pPr>
      <w:rPr>
        <w:rFonts w:ascii="Courier New" w:hAnsi="Courier New" w:cs="Courier New" w:hint="default"/>
      </w:rPr>
    </w:lvl>
    <w:lvl w:ilvl="5" w:tplc="240A0005" w:tentative="1">
      <w:start w:val="1"/>
      <w:numFmt w:val="bullet"/>
      <w:lvlText w:val=""/>
      <w:lvlJc w:val="left"/>
      <w:pPr>
        <w:tabs>
          <w:tab w:val="num" w:pos="4605"/>
        </w:tabs>
        <w:ind w:left="4605" w:hanging="360"/>
      </w:pPr>
      <w:rPr>
        <w:rFonts w:ascii="Wingdings" w:hAnsi="Wingdings" w:hint="default"/>
      </w:rPr>
    </w:lvl>
    <w:lvl w:ilvl="6" w:tplc="240A0001" w:tentative="1">
      <w:start w:val="1"/>
      <w:numFmt w:val="bullet"/>
      <w:lvlText w:val=""/>
      <w:lvlJc w:val="left"/>
      <w:pPr>
        <w:tabs>
          <w:tab w:val="num" w:pos="5325"/>
        </w:tabs>
        <w:ind w:left="5325" w:hanging="360"/>
      </w:pPr>
      <w:rPr>
        <w:rFonts w:ascii="Symbol" w:hAnsi="Symbol" w:hint="default"/>
      </w:rPr>
    </w:lvl>
    <w:lvl w:ilvl="7" w:tplc="240A0003" w:tentative="1">
      <w:start w:val="1"/>
      <w:numFmt w:val="bullet"/>
      <w:lvlText w:val="o"/>
      <w:lvlJc w:val="left"/>
      <w:pPr>
        <w:tabs>
          <w:tab w:val="num" w:pos="6045"/>
        </w:tabs>
        <w:ind w:left="6045" w:hanging="360"/>
      </w:pPr>
      <w:rPr>
        <w:rFonts w:ascii="Courier New" w:hAnsi="Courier New" w:cs="Courier New" w:hint="default"/>
      </w:rPr>
    </w:lvl>
    <w:lvl w:ilvl="8" w:tplc="240A0005" w:tentative="1">
      <w:start w:val="1"/>
      <w:numFmt w:val="bullet"/>
      <w:lvlText w:val=""/>
      <w:lvlJc w:val="left"/>
      <w:pPr>
        <w:tabs>
          <w:tab w:val="num" w:pos="6765"/>
        </w:tabs>
        <w:ind w:left="6765" w:hanging="360"/>
      </w:pPr>
      <w:rPr>
        <w:rFonts w:ascii="Wingdings" w:hAnsi="Wingdings" w:hint="default"/>
      </w:rPr>
    </w:lvl>
  </w:abstractNum>
  <w:abstractNum w:abstractNumId="50" w15:restartNumberingAfterBreak="0">
    <w:nsid w:val="3AB56054"/>
    <w:multiLevelType w:val="hybridMultilevel"/>
    <w:tmpl w:val="7FE260EE"/>
    <w:lvl w:ilvl="0" w:tplc="C07855FE">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3B281FE0"/>
    <w:multiLevelType w:val="hybridMultilevel"/>
    <w:tmpl w:val="1B2A652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3C36331D"/>
    <w:multiLevelType w:val="hybridMultilevel"/>
    <w:tmpl w:val="2F46E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3DAF3324"/>
    <w:multiLevelType w:val="hybridMultilevel"/>
    <w:tmpl w:val="42C635D6"/>
    <w:lvl w:ilvl="0" w:tplc="0FCC5CA0">
      <w:numFmt w:val="bullet"/>
      <w:lvlText w:val="-"/>
      <w:lvlJc w:val="left"/>
      <w:pPr>
        <w:ind w:left="360" w:hanging="360"/>
      </w:pPr>
      <w:rPr>
        <w:rFonts w:ascii="Georgia" w:eastAsia="Calibri" w:hAnsi="Georgi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4" w15:restartNumberingAfterBreak="0">
    <w:nsid w:val="3E4E7E9B"/>
    <w:multiLevelType w:val="hybridMultilevel"/>
    <w:tmpl w:val="BE2C2618"/>
    <w:lvl w:ilvl="0" w:tplc="48B26B7A">
      <w:numFmt w:val="bullet"/>
      <w:lvlText w:val="-"/>
      <w:lvlJc w:val="left"/>
      <w:pPr>
        <w:ind w:left="-207" w:hanging="360"/>
      </w:pPr>
      <w:rPr>
        <w:rFonts w:ascii="Calibri" w:eastAsiaTheme="minorHAnsi" w:hAnsi="Calibri" w:cstheme="minorBidi" w:hint="default"/>
        <w:b/>
      </w:rPr>
    </w:lvl>
    <w:lvl w:ilvl="1" w:tplc="240A0003" w:tentative="1">
      <w:start w:val="1"/>
      <w:numFmt w:val="bullet"/>
      <w:lvlText w:val="o"/>
      <w:lvlJc w:val="left"/>
      <w:pPr>
        <w:ind w:left="513" w:hanging="360"/>
      </w:pPr>
      <w:rPr>
        <w:rFonts w:ascii="Courier New" w:hAnsi="Courier New" w:cs="Courier New" w:hint="default"/>
      </w:rPr>
    </w:lvl>
    <w:lvl w:ilvl="2" w:tplc="240A0005" w:tentative="1">
      <w:start w:val="1"/>
      <w:numFmt w:val="bullet"/>
      <w:lvlText w:val=""/>
      <w:lvlJc w:val="left"/>
      <w:pPr>
        <w:ind w:left="1233" w:hanging="360"/>
      </w:pPr>
      <w:rPr>
        <w:rFonts w:ascii="Wingdings" w:hAnsi="Wingdings" w:hint="default"/>
      </w:rPr>
    </w:lvl>
    <w:lvl w:ilvl="3" w:tplc="240A0001" w:tentative="1">
      <w:start w:val="1"/>
      <w:numFmt w:val="bullet"/>
      <w:lvlText w:val=""/>
      <w:lvlJc w:val="left"/>
      <w:pPr>
        <w:ind w:left="1953" w:hanging="360"/>
      </w:pPr>
      <w:rPr>
        <w:rFonts w:ascii="Symbol" w:hAnsi="Symbol" w:hint="default"/>
      </w:rPr>
    </w:lvl>
    <w:lvl w:ilvl="4" w:tplc="240A0003" w:tentative="1">
      <w:start w:val="1"/>
      <w:numFmt w:val="bullet"/>
      <w:lvlText w:val="o"/>
      <w:lvlJc w:val="left"/>
      <w:pPr>
        <w:ind w:left="2673" w:hanging="360"/>
      </w:pPr>
      <w:rPr>
        <w:rFonts w:ascii="Courier New" w:hAnsi="Courier New" w:cs="Courier New" w:hint="default"/>
      </w:rPr>
    </w:lvl>
    <w:lvl w:ilvl="5" w:tplc="240A0005" w:tentative="1">
      <w:start w:val="1"/>
      <w:numFmt w:val="bullet"/>
      <w:lvlText w:val=""/>
      <w:lvlJc w:val="left"/>
      <w:pPr>
        <w:ind w:left="3393" w:hanging="360"/>
      </w:pPr>
      <w:rPr>
        <w:rFonts w:ascii="Wingdings" w:hAnsi="Wingdings" w:hint="default"/>
      </w:rPr>
    </w:lvl>
    <w:lvl w:ilvl="6" w:tplc="240A0001" w:tentative="1">
      <w:start w:val="1"/>
      <w:numFmt w:val="bullet"/>
      <w:lvlText w:val=""/>
      <w:lvlJc w:val="left"/>
      <w:pPr>
        <w:ind w:left="4113" w:hanging="360"/>
      </w:pPr>
      <w:rPr>
        <w:rFonts w:ascii="Symbol" w:hAnsi="Symbol" w:hint="default"/>
      </w:rPr>
    </w:lvl>
    <w:lvl w:ilvl="7" w:tplc="240A0003" w:tentative="1">
      <w:start w:val="1"/>
      <w:numFmt w:val="bullet"/>
      <w:lvlText w:val="o"/>
      <w:lvlJc w:val="left"/>
      <w:pPr>
        <w:ind w:left="4833" w:hanging="360"/>
      </w:pPr>
      <w:rPr>
        <w:rFonts w:ascii="Courier New" w:hAnsi="Courier New" w:cs="Courier New" w:hint="default"/>
      </w:rPr>
    </w:lvl>
    <w:lvl w:ilvl="8" w:tplc="240A0005" w:tentative="1">
      <w:start w:val="1"/>
      <w:numFmt w:val="bullet"/>
      <w:lvlText w:val=""/>
      <w:lvlJc w:val="left"/>
      <w:pPr>
        <w:ind w:left="5553" w:hanging="360"/>
      </w:pPr>
      <w:rPr>
        <w:rFonts w:ascii="Wingdings" w:hAnsi="Wingdings" w:hint="default"/>
      </w:rPr>
    </w:lvl>
  </w:abstractNum>
  <w:abstractNum w:abstractNumId="55" w15:restartNumberingAfterBreak="0">
    <w:nsid w:val="3E725290"/>
    <w:multiLevelType w:val="hybridMultilevel"/>
    <w:tmpl w:val="3EF251A2"/>
    <w:lvl w:ilvl="0" w:tplc="0FCC5CA0">
      <w:numFmt w:val="bullet"/>
      <w:lvlText w:val="-"/>
      <w:lvlJc w:val="left"/>
      <w:pPr>
        <w:ind w:left="360" w:hanging="360"/>
      </w:pPr>
      <w:rPr>
        <w:rFonts w:ascii="Georgia" w:eastAsia="Calibri" w:hAnsi="Georgi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6" w15:restartNumberingAfterBreak="0">
    <w:nsid w:val="3F2122C7"/>
    <w:multiLevelType w:val="hybridMultilevel"/>
    <w:tmpl w:val="B4B661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40A713CA"/>
    <w:multiLevelType w:val="hybridMultilevel"/>
    <w:tmpl w:val="8F5ADBA4"/>
    <w:lvl w:ilvl="0" w:tplc="240A000F">
      <w:start w:val="1"/>
      <w:numFmt w:val="decimal"/>
      <w:lvlText w:val="%1."/>
      <w:lvlJc w:val="left"/>
      <w:pPr>
        <w:ind w:left="360" w:hanging="360"/>
      </w:pPr>
    </w:lvl>
    <w:lvl w:ilvl="1" w:tplc="1D7A162A">
      <w:start w:val="1"/>
      <w:numFmt w:val="lowerLetter"/>
      <w:lvlText w:val="%2."/>
      <w:lvlJc w:val="left"/>
      <w:pPr>
        <w:ind w:left="1080" w:hanging="360"/>
      </w:pPr>
      <w:rPr>
        <w:sz w:val="16"/>
      </w:r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8" w15:restartNumberingAfterBreak="0">
    <w:nsid w:val="41580DC0"/>
    <w:multiLevelType w:val="hybridMultilevel"/>
    <w:tmpl w:val="09E845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41A64FEF"/>
    <w:multiLevelType w:val="hybridMultilevel"/>
    <w:tmpl w:val="A2CCEF2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45017649"/>
    <w:multiLevelType w:val="hybridMultilevel"/>
    <w:tmpl w:val="404AD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45D82B26"/>
    <w:multiLevelType w:val="hybridMultilevel"/>
    <w:tmpl w:val="1FEE603A"/>
    <w:lvl w:ilvl="0" w:tplc="0C0A0001">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2" w15:restartNumberingAfterBreak="0">
    <w:nsid w:val="463052C3"/>
    <w:multiLevelType w:val="multilevel"/>
    <w:tmpl w:val="DC868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46420883"/>
    <w:multiLevelType w:val="hybridMultilevel"/>
    <w:tmpl w:val="888624F6"/>
    <w:lvl w:ilvl="0" w:tplc="5C56A1E6">
      <w:start w:val="21"/>
      <w:numFmt w:val="bullet"/>
      <w:lvlText w:val="-"/>
      <w:lvlJc w:val="left"/>
      <w:pPr>
        <w:ind w:left="720" w:hanging="360"/>
      </w:pPr>
      <w:rPr>
        <w:rFonts w:ascii="Calibri" w:eastAsia="Times New Roman"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46C534B8"/>
    <w:multiLevelType w:val="multilevel"/>
    <w:tmpl w:val="BA70CBC2"/>
    <w:lvl w:ilvl="0">
      <w:start w:val="2"/>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65" w15:restartNumberingAfterBreak="0">
    <w:nsid w:val="470E2F11"/>
    <w:multiLevelType w:val="multilevel"/>
    <w:tmpl w:val="95A8D4E6"/>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15:restartNumberingAfterBreak="0">
    <w:nsid w:val="47415F32"/>
    <w:multiLevelType w:val="hybridMultilevel"/>
    <w:tmpl w:val="4DE0E0C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474B42C0"/>
    <w:multiLevelType w:val="hybridMultilevel"/>
    <w:tmpl w:val="28F466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47F82917"/>
    <w:multiLevelType w:val="hybridMultilevel"/>
    <w:tmpl w:val="75C0DD30"/>
    <w:lvl w:ilvl="0" w:tplc="240A000D">
      <w:start w:val="1"/>
      <w:numFmt w:val="bullet"/>
      <w:lvlText w:val=""/>
      <w:lvlJc w:val="left"/>
      <w:pPr>
        <w:ind w:left="360" w:hanging="360"/>
      </w:pPr>
      <w:rPr>
        <w:rFonts w:ascii="Wingdings" w:hAnsi="Wingding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 w15:restartNumberingAfterBreak="0">
    <w:nsid w:val="4A06143E"/>
    <w:multiLevelType w:val="hybridMultilevel"/>
    <w:tmpl w:val="83585A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0" w15:restartNumberingAfterBreak="0">
    <w:nsid w:val="4A600347"/>
    <w:multiLevelType w:val="hybridMultilevel"/>
    <w:tmpl w:val="7E60BDC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4A9506D7"/>
    <w:multiLevelType w:val="hybridMultilevel"/>
    <w:tmpl w:val="2A06B26C"/>
    <w:lvl w:ilvl="0" w:tplc="240A000D">
      <w:start w:val="1"/>
      <w:numFmt w:val="bullet"/>
      <w:lvlText w:val=""/>
      <w:lvlJc w:val="left"/>
      <w:pPr>
        <w:ind w:left="360" w:hanging="360"/>
      </w:pPr>
      <w:rPr>
        <w:rFonts w:ascii="Wingdings" w:hAnsi="Wingdings" w:hint="default"/>
      </w:rPr>
    </w:lvl>
    <w:lvl w:ilvl="1" w:tplc="240A0003">
      <w:start w:val="1"/>
      <w:numFmt w:val="bullet"/>
      <w:lvlText w:val=""/>
      <w:lvlJc w:val="left"/>
      <w:pPr>
        <w:ind w:left="1080" w:hanging="360"/>
      </w:pPr>
      <w:rPr>
        <w:rFonts w:ascii="Symbol" w:hAnsi="Symbol" w:hint="default"/>
      </w:r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2" w15:restartNumberingAfterBreak="0">
    <w:nsid w:val="4BB354E8"/>
    <w:multiLevelType w:val="hybridMultilevel"/>
    <w:tmpl w:val="3F7E0F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4D6022B5"/>
    <w:multiLevelType w:val="hybridMultilevel"/>
    <w:tmpl w:val="4F26EC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4F646E40"/>
    <w:multiLevelType w:val="multilevel"/>
    <w:tmpl w:val="C564279C"/>
    <w:lvl w:ilvl="0">
      <w:start w:val="1"/>
      <w:numFmt w:val="bullet"/>
      <w:pStyle w:val="ndice1"/>
      <w:lvlText w:val=""/>
      <w:lvlJc w:val="left"/>
      <w:pPr>
        <w:tabs>
          <w:tab w:val="num" w:pos="600"/>
        </w:tabs>
        <w:ind w:left="600" w:hanging="600"/>
      </w:pPr>
      <w:rPr>
        <w:rFonts w:ascii="Symbol" w:hAnsi="Symbol" w:hint="default"/>
      </w:rPr>
    </w:lvl>
    <w:lvl w:ilvl="1">
      <w:start w:val="2"/>
      <w:numFmt w:val="decimal"/>
      <w:lvlText w:val="%1.%2."/>
      <w:lvlJc w:val="left"/>
      <w:pPr>
        <w:tabs>
          <w:tab w:val="num" w:pos="720"/>
        </w:tabs>
        <w:ind w:left="720" w:hanging="720"/>
      </w:pPr>
      <w:rPr>
        <w:rFonts w:hint="default"/>
        <w:b/>
        <w:bCs/>
        <w:i w:val="0"/>
        <w:iCs w:val="0"/>
      </w:rPr>
    </w:lvl>
    <w:lvl w:ilvl="2">
      <w:start w:val="1"/>
      <w:numFmt w:val="bullet"/>
      <w:lvlText w:val=""/>
      <w:lvlJc w:val="left"/>
      <w:pPr>
        <w:tabs>
          <w:tab w:val="num" w:pos="720"/>
        </w:tabs>
        <w:ind w:left="720" w:hanging="720"/>
      </w:pPr>
      <w:rPr>
        <w:rFonts w:ascii="Symbol" w:hAnsi="Symbol" w:hint="default"/>
        <w:b/>
        <w:bCs/>
        <w:i w:val="0"/>
        <w:iCs w:val="0"/>
        <w:lang w:val="es-MX"/>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5" w15:restartNumberingAfterBreak="0">
    <w:nsid w:val="52E31ED6"/>
    <w:multiLevelType w:val="hybridMultilevel"/>
    <w:tmpl w:val="49BAD3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53D43DF7"/>
    <w:multiLevelType w:val="hybridMultilevel"/>
    <w:tmpl w:val="5B8A2E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540C2408"/>
    <w:multiLevelType w:val="hybridMultilevel"/>
    <w:tmpl w:val="5FAA66E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563159EE"/>
    <w:multiLevelType w:val="hybridMultilevel"/>
    <w:tmpl w:val="8098BE38"/>
    <w:lvl w:ilvl="0" w:tplc="48B26B7A">
      <w:numFmt w:val="bullet"/>
      <w:lvlText w:val="-"/>
      <w:lvlJc w:val="left"/>
      <w:pPr>
        <w:ind w:left="-207" w:hanging="360"/>
      </w:pPr>
      <w:rPr>
        <w:rFonts w:ascii="Calibri" w:eastAsiaTheme="minorHAnsi" w:hAnsi="Calibri" w:cstheme="minorBidi" w:hint="default"/>
        <w:b/>
      </w:rPr>
    </w:lvl>
    <w:lvl w:ilvl="1" w:tplc="240A0003" w:tentative="1">
      <w:start w:val="1"/>
      <w:numFmt w:val="bullet"/>
      <w:lvlText w:val="o"/>
      <w:lvlJc w:val="left"/>
      <w:pPr>
        <w:ind w:left="513" w:hanging="360"/>
      </w:pPr>
      <w:rPr>
        <w:rFonts w:ascii="Courier New" w:hAnsi="Courier New" w:cs="Courier New" w:hint="default"/>
      </w:rPr>
    </w:lvl>
    <w:lvl w:ilvl="2" w:tplc="240A0005" w:tentative="1">
      <w:start w:val="1"/>
      <w:numFmt w:val="bullet"/>
      <w:lvlText w:val=""/>
      <w:lvlJc w:val="left"/>
      <w:pPr>
        <w:ind w:left="1233" w:hanging="360"/>
      </w:pPr>
      <w:rPr>
        <w:rFonts w:ascii="Wingdings" w:hAnsi="Wingdings" w:hint="default"/>
      </w:rPr>
    </w:lvl>
    <w:lvl w:ilvl="3" w:tplc="240A0001" w:tentative="1">
      <w:start w:val="1"/>
      <w:numFmt w:val="bullet"/>
      <w:lvlText w:val=""/>
      <w:lvlJc w:val="left"/>
      <w:pPr>
        <w:ind w:left="1953" w:hanging="360"/>
      </w:pPr>
      <w:rPr>
        <w:rFonts w:ascii="Symbol" w:hAnsi="Symbol" w:hint="default"/>
      </w:rPr>
    </w:lvl>
    <w:lvl w:ilvl="4" w:tplc="240A0003" w:tentative="1">
      <w:start w:val="1"/>
      <w:numFmt w:val="bullet"/>
      <w:lvlText w:val="o"/>
      <w:lvlJc w:val="left"/>
      <w:pPr>
        <w:ind w:left="2673" w:hanging="360"/>
      </w:pPr>
      <w:rPr>
        <w:rFonts w:ascii="Courier New" w:hAnsi="Courier New" w:cs="Courier New" w:hint="default"/>
      </w:rPr>
    </w:lvl>
    <w:lvl w:ilvl="5" w:tplc="240A0005" w:tentative="1">
      <w:start w:val="1"/>
      <w:numFmt w:val="bullet"/>
      <w:lvlText w:val=""/>
      <w:lvlJc w:val="left"/>
      <w:pPr>
        <w:ind w:left="3393" w:hanging="360"/>
      </w:pPr>
      <w:rPr>
        <w:rFonts w:ascii="Wingdings" w:hAnsi="Wingdings" w:hint="default"/>
      </w:rPr>
    </w:lvl>
    <w:lvl w:ilvl="6" w:tplc="240A0001" w:tentative="1">
      <w:start w:val="1"/>
      <w:numFmt w:val="bullet"/>
      <w:lvlText w:val=""/>
      <w:lvlJc w:val="left"/>
      <w:pPr>
        <w:ind w:left="4113" w:hanging="360"/>
      </w:pPr>
      <w:rPr>
        <w:rFonts w:ascii="Symbol" w:hAnsi="Symbol" w:hint="default"/>
      </w:rPr>
    </w:lvl>
    <w:lvl w:ilvl="7" w:tplc="240A0003" w:tentative="1">
      <w:start w:val="1"/>
      <w:numFmt w:val="bullet"/>
      <w:lvlText w:val="o"/>
      <w:lvlJc w:val="left"/>
      <w:pPr>
        <w:ind w:left="4833" w:hanging="360"/>
      </w:pPr>
      <w:rPr>
        <w:rFonts w:ascii="Courier New" w:hAnsi="Courier New" w:cs="Courier New" w:hint="default"/>
      </w:rPr>
    </w:lvl>
    <w:lvl w:ilvl="8" w:tplc="240A0005" w:tentative="1">
      <w:start w:val="1"/>
      <w:numFmt w:val="bullet"/>
      <w:lvlText w:val=""/>
      <w:lvlJc w:val="left"/>
      <w:pPr>
        <w:ind w:left="5553" w:hanging="360"/>
      </w:pPr>
      <w:rPr>
        <w:rFonts w:ascii="Wingdings" w:hAnsi="Wingdings" w:hint="default"/>
      </w:rPr>
    </w:lvl>
  </w:abstractNum>
  <w:abstractNum w:abstractNumId="79" w15:restartNumberingAfterBreak="0">
    <w:nsid w:val="56CB71E8"/>
    <w:multiLevelType w:val="hybridMultilevel"/>
    <w:tmpl w:val="E53270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0" w15:restartNumberingAfterBreak="0">
    <w:nsid w:val="57DA7DF6"/>
    <w:multiLevelType w:val="hybridMultilevel"/>
    <w:tmpl w:val="3398C384"/>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59584B37"/>
    <w:multiLevelType w:val="hybridMultilevel"/>
    <w:tmpl w:val="8A9ABA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15:restartNumberingAfterBreak="0">
    <w:nsid w:val="5A5A78B5"/>
    <w:multiLevelType w:val="hybridMultilevel"/>
    <w:tmpl w:val="291C982C"/>
    <w:lvl w:ilvl="0" w:tplc="193683F8">
      <w:start w:val="1"/>
      <w:numFmt w:val="decimal"/>
      <w:lvlText w:val="%1."/>
      <w:lvlJc w:val="left"/>
      <w:pPr>
        <w:ind w:left="1080" w:hanging="360"/>
      </w:pPr>
      <w:rPr>
        <w:rFonts w:hint="default"/>
        <w:b/>
      </w:rPr>
    </w:lvl>
    <w:lvl w:ilvl="1" w:tplc="240A0001">
      <w:start w:val="1"/>
      <w:numFmt w:val="bullet"/>
      <w:lvlText w:val=""/>
      <w:lvlJc w:val="left"/>
      <w:pPr>
        <w:ind w:left="1800" w:hanging="360"/>
      </w:pPr>
      <w:rPr>
        <w:rFonts w:ascii="Symbol" w:hAnsi="Symbol" w:hint="default"/>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3" w15:restartNumberingAfterBreak="0">
    <w:nsid w:val="5C602B0C"/>
    <w:multiLevelType w:val="hybridMultilevel"/>
    <w:tmpl w:val="F96AE7D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606B2D93"/>
    <w:multiLevelType w:val="hybridMultilevel"/>
    <w:tmpl w:val="2C08B826"/>
    <w:lvl w:ilvl="0" w:tplc="28860038">
      <w:start w:val="1"/>
      <w:numFmt w:val="bullet"/>
      <w:lvlText w:val=""/>
      <w:lvlJc w:val="left"/>
      <w:pPr>
        <w:ind w:left="720" w:hanging="360"/>
      </w:pPr>
      <w:rPr>
        <w:rFonts w:ascii="Symbol" w:hAnsi="Symbo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15:restartNumberingAfterBreak="0">
    <w:nsid w:val="621D419B"/>
    <w:multiLevelType w:val="hybridMultilevel"/>
    <w:tmpl w:val="1F846FBC"/>
    <w:lvl w:ilvl="0" w:tplc="32C4D354">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625220D9"/>
    <w:multiLevelType w:val="hybridMultilevel"/>
    <w:tmpl w:val="8140EA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7" w15:restartNumberingAfterBreak="0">
    <w:nsid w:val="62952731"/>
    <w:multiLevelType w:val="hybridMultilevel"/>
    <w:tmpl w:val="4B6272C0"/>
    <w:lvl w:ilvl="0" w:tplc="FD204324">
      <w:start w:val="100"/>
      <w:numFmt w:val="bullet"/>
      <w:lvlText w:val="-"/>
      <w:lvlJc w:val="left"/>
      <w:pPr>
        <w:ind w:left="405" w:hanging="360"/>
      </w:pPr>
      <w:rPr>
        <w:rFonts w:ascii="Arial Narrow" w:eastAsiaTheme="minorEastAsia" w:hAnsi="Arial Narrow" w:cstheme="minorBidi"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88" w15:restartNumberingAfterBreak="0">
    <w:nsid w:val="629F3864"/>
    <w:multiLevelType w:val="hybridMultilevel"/>
    <w:tmpl w:val="13A624F8"/>
    <w:lvl w:ilvl="0" w:tplc="2FF4F844">
      <w:numFmt w:val="bullet"/>
      <w:lvlText w:val="-"/>
      <w:lvlJc w:val="left"/>
      <w:pPr>
        <w:ind w:left="1080" w:hanging="360"/>
      </w:pPr>
      <w:rPr>
        <w:rFonts w:ascii="Calibri" w:eastAsia="Times New Roman"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9" w15:restartNumberingAfterBreak="0">
    <w:nsid w:val="64903D39"/>
    <w:multiLevelType w:val="hybridMultilevel"/>
    <w:tmpl w:val="400217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66A51D44"/>
    <w:multiLevelType w:val="hybridMultilevel"/>
    <w:tmpl w:val="CA2A342C"/>
    <w:lvl w:ilvl="0" w:tplc="20B2C450">
      <w:start w:val="1"/>
      <w:numFmt w:val="decimal"/>
      <w:lvlText w:val="%1."/>
      <w:lvlJc w:val="left"/>
      <w:pPr>
        <w:ind w:left="720" w:hanging="360"/>
      </w:pPr>
      <w:rPr>
        <w:rFonts w:hint="default"/>
        <w:b/>
      </w:rPr>
    </w:lvl>
    <w:lvl w:ilvl="1" w:tplc="FEE4288A">
      <w:start w:val="1"/>
      <w:numFmt w:val="lowerLetter"/>
      <w:lvlText w:val="%2."/>
      <w:lvlJc w:val="left"/>
      <w:pPr>
        <w:ind w:left="1440" w:hanging="360"/>
      </w:pPr>
      <w:rPr>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66FA4A94"/>
    <w:multiLevelType w:val="hybridMultilevel"/>
    <w:tmpl w:val="C096DBFE"/>
    <w:lvl w:ilvl="0" w:tplc="48B26B7A">
      <w:numFmt w:val="bullet"/>
      <w:lvlText w:val="-"/>
      <w:lvlJc w:val="left"/>
      <w:pPr>
        <w:ind w:left="1571" w:hanging="360"/>
      </w:pPr>
      <w:rPr>
        <w:rFonts w:ascii="Calibri" w:eastAsiaTheme="minorHAnsi" w:hAnsi="Calibri" w:cstheme="minorBidi" w:hint="default"/>
        <w:b/>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92" w15:restartNumberingAfterBreak="0">
    <w:nsid w:val="69F10C02"/>
    <w:multiLevelType w:val="hybridMultilevel"/>
    <w:tmpl w:val="AAC000BA"/>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3" w15:restartNumberingAfterBreak="0">
    <w:nsid w:val="6D7609E1"/>
    <w:multiLevelType w:val="hybridMultilevel"/>
    <w:tmpl w:val="7AE2D6BE"/>
    <w:lvl w:ilvl="0" w:tplc="08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4" w15:restartNumberingAfterBreak="0">
    <w:nsid w:val="6DB63750"/>
    <w:multiLevelType w:val="hybridMultilevel"/>
    <w:tmpl w:val="5FFEEAAE"/>
    <w:lvl w:ilvl="0" w:tplc="08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5" w15:restartNumberingAfterBreak="0">
    <w:nsid w:val="6E667FCC"/>
    <w:multiLevelType w:val="hybridMultilevel"/>
    <w:tmpl w:val="61B0F71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6E6D2BCD"/>
    <w:multiLevelType w:val="hybridMultilevel"/>
    <w:tmpl w:val="2EE0C6D8"/>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6EE21B97"/>
    <w:multiLevelType w:val="hybridMultilevel"/>
    <w:tmpl w:val="644C217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8" w15:restartNumberingAfterBreak="0">
    <w:nsid w:val="71CA15A9"/>
    <w:multiLevelType w:val="hybridMultilevel"/>
    <w:tmpl w:val="33C450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9" w15:restartNumberingAfterBreak="0">
    <w:nsid w:val="73F12B31"/>
    <w:multiLevelType w:val="hybridMultilevel"/>
    <w:tmpl w:val="825C65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0" w15:restartNumberingAfterBreak="0">
    <w:nsid w:val="75132178"/>
    <w:multiLevelType w:val="hybridMultilevel"/>
    <w:tmpl w:val="8C22551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1" w15:restartNumberingAfterBreak="0">
    <w:nsid w:val="759E6E06"/>
    <w:multiLevelType w:val="hybridMultilevel"/>
    <w:tmpl w:val="62CC9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15:restartNumberingAfterBreak="0">
    <w:nsid w:val="7655643B"/>
    <w:multiLevelType w:val="hybridMultilevel"/>
    <w:tmpl w:val="3050F24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3" w15:restartNumberingAfterBreak="0">
    <w:nsid w:val="76591834"/>
    <w:multiLevelType w:val="hybridMultilevel"/>
    <w:tmpl w:val="A306C0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15:restartNumberingAfterBreak="0">
    <w:nsid w:val="781925CE"/>
    <w:multiLevelType w:val="hybridMultilevel"/>
    <w:tmpl w:val="1D9E820C"/>
    <w:lvl w:ilvl="0" w:tplc="48B26B7A">
      <w:numFmt w:val="bullet"/>
      <w:lvlText w:val="-"/>
      <w:lvlJc w:val="left"/>
      <w:pPr>
        <w:ind w:left="-207" w:hanging="360"/>
      </w:pPr>
      <w:rPr>
        <w:rFonts w:ascii="Calibri" w:eastAsiaTheme="minorHAnsi" w:hAnsi="Calibri" w:cstheme="minorBidi" w:hint="default"/>
        <w:b/>
      </w:rPr>
    </w:lvl>
    <w:lvl w:ilvl="1" w:tplc="240A0003" w:tentative="1">
      <w:start w:val="1"/>
      <w:numFmt w:val="bullet"/>
      <w:lvlText w:val="o"/>
      <w:lvlJc w:val="left"/>
      <w:pPr>
        <w:ind w:left="513" w:hanging="360"/>
      </w:pPr>
      <w:rPr>
        <w:rFonts w:ascii="Courier New" w:hAnsi="Courier New" w:cs="Courier New" w:hint="default"/>
      </w:rPr>
    </w:lvl>
    <w:lvl w:ilvl="2" w:tplc="240A0005" w:tentative="1">
      <w:start w:val="1"/>
      <w:numFmt w:val="bullet"/>
      <w:lvlText w:val=""/>
      <w:lvlJc w:val="left"/>
      <w:pPr>
        <w:ind w:left="1233" w:hanging="360"/>
      </w:pPr>
      <w:rPr>
        <w:rFonts w:ascii="Wingdings" w:hAnsi="Wingdings" w:hint="default"/>
      </w:rPr>
    </w:lvl>
    <w:lvl w:ilvl="3" w:tplc="240A0001" w:tentative="1">
      <w:start w:val="1"/>
      <w:numFmt w:val="bullet"/>
      <w:lvlText w:val=""/>
      <w:lvlJc w:val="left"/>
      <w:pPr>
        <w:ind w:left="1953" w:hanging="360"/>
      </w:pPr>
      <w:rPr>
        <w:rFonts w:ascii="Symbol" w:hAnsi="Symbol" w:hint="default"/>
      </w:rPr>
    </w:lvl>
    <w:lvl w:ilvl="4" w:tplc="240A0003" w:tentative="1">
      <w:start w:val="1"/>
      <w:numFmt w:val="bullet"/>
      <w:lvlText w:val="o"/>
      <w:lvlJc w:val="left"/>
      <w:pPr>
        <w:ind w:left="2673" w:hanging="360"/>
      </w:pPr>
      <w:rPr>
        <w:rFonts w:ascii="Courier New" w:hAnsi="Courier New" w:cs="Courier New" w:hint="default"/>
      </w:rPr>
    </w:lvl>
    <w:lvl w:ilvl="5" w:tplc="240A0005" w:tentative="1">
      <w:start w:val="1"/>
      <w:numFmt w:val="bullet"/>
      <w:lvlText w:val=""/>
      <w:lvlJc w:val="left"/>
      <w:pPr>
        <w:ind w:left="3393" w:hanging="360"/>
      </w:pPr>
      <w:rPr>
        <w:rFonts w:ascii="Wingdings" w:hAnsi="Wingdings" w:hint="default"/>
      </w:rPr>
    </w:lvl>
    <w:lvl w:ilvl="6" w:tplc="240A0001" w:tentative="1">
      <w:start w:val="1"/>
      <w:numFmt w:val="bullet"/>
      <w:lvlText w:val=""/>
      <w:lvlJc w:val="left"/>
      <w:pPr>
        <w:ind w:left="4113" w:hanging="360"/>
      </w:pPr>
      <w:rPr>
        <w:rFonts w:ascii="Symbol" w:hAnsi="Symbol" w:hint="default"/>
      </w:rPr>
    </w:lvl>
    <w:lvl w:ilvl="7" w:tplc="240A0003" w:tentative="1">
      <w:start w:val="1"/>
      <w:numFmt w:val="bullet"/>
      <w:lvlText w:val="o"/>
      <w:lvlJc w:val="left"/>
      <w:pPr>
        <w:ind w:left="4833" w:hanging="360"/>
      </w:pPr>
      <w:rPr>
        <w:rFonts w:ascii="Courier New" w:hAnsi="Courier New" w:cs="Courier New" w:hint="default"/>
      </w:rPr>
    </w:lvl>
    <w:lvl w:ilvl="8" w:tplc="240A0005" w:tentative="1">
      <w:start w:val="1"/>
      <w:numFmt w:val="bullet"/>
      <w:lvlText w:val=""/>
      <w:lvlJc w:val="left"/>
      <w:pPr>
        <w:ind w:left="5553" w:hanging="360"/>
      </w:pPr>
      <w:rPr>
        <w:rFonts w:ascii="Wingdings" w:hAnsi="Wingdings" w:hint="default"/>
      </w:rPr>
    </w:lvl>
  </w:abstractNum>
  <w:abstractNum w:abstractNumId="105" w15:restartNumberingAfterBreak="0">
    <w:nsid w:val="78496C3F"/>
    <w:multiLevelType w:val="hybridMultilevel"/>
    <w:tmpl w:val="F3D600E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6" w15:restartNumberingAfterBreak="0">
    <w:nsid w:val="78701FD9"/>
    <w:multiLevelType w:val="hybridMultilevel"/>
    <w:tmpl w:val="13AAD1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7" w15:restartNumberingAfterBreak="0">
    <w:nsid w:val="7C366717"/>
    <w:multiLevelType w:val="hybridMultilevel"/>
    <w:tmpl w:val="C6901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7D5E5B06"/>
    <w:multiLevelType w:val="hybridMultilevel"/>
    <w:tmpl w:val="AA02C2B8"/>
    <w:lvl w:ilvl="0" w:tplc="C4E65712">
      <w:numFmt w:val="bullet"/>
      <w:lvlText w:val="-"/>
      <w:lvlJc w:val="left"/>
      <w:pPr>
        <w:ind w:left="1080" w:hanging="360"/>
      </w:pPr>
      <w:rPr>
        <w:rFonts w:ascii="Calibri" w:eastAsia="Times New Roman"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9" w15:restartNumberingAfterBreak="0">
    <w:nsid w:val="7DD40892"/>
    <w:multiLevelType w:val="hybridMultilevel"/>
    <w:tmpl w:val="038C798E"/>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0" w15:restartNumberingAfterBreak="0">
    <w:nsid w:val="7E6E272A"/>
    <w:multiLevelType w:val="hybridMultilevel"/>
    <w:tmpl w:val="67F8F5E4"/>
    <w:lvl w:ilvl="0" w:tplc="A0AC51E6">
      <w:numFmt w:val="bullet"/>
      <w:lvlText w:val="-"/>
      <w:lvlJc w:val="left"/>
      <w:pPr>
        <w:ind w:left="360" w:hanging="360"/>
      </w:pPr>
      <w:rPr>
        <w:rFonts w:ascii="Calibri" w:eastAsia="Times New Roman" w:hAnsi="Calibri" w:cs="Times New Roman" w:hint="default"/>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1" w15:restartNumberingAfterBreak="0">
    <w:nsid w:val="7F647A06"/>
    <w:multiLevelType w:val="multilevel"/>
    <w:tmpl w:val="69844AD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7"/>
  </w:num>
  <w:num w:numId="2">
    <w:abstractNumId w:val="111"/>
  </w:num>
  <w:num w:numId="3">
    <w:abstractNumId w:val="24"/>
  </w:num>
  <w:num w:numId="4">
    <w:abstractNumId w:val="74"/>
  </w:num>
  <w:num w:numId="5">
    <w:abstractNumId w:val="84"/>
  </w:num>
  <w:num w:numId="6">
    <w:abstractNumId w:val="20"/>
  </w:num>
  <w:num w:numId="7">
    <w:abstractNumId w:val="86"/>
  </w:num>
  <w:num w:numId="8">
    <w:abstractNumId w:val="7"/>
  </w:num>
  <w:num w:numId="9">
    <w:abstractNumId w:val="99"/>
  </w:num>
  <w:num w:numId="10">
    <w:abstractNumId w:val="79"/>
  </w:num>
  <w:num w:numId="11">
    <w:abstractNumId w:val="0"/>
  </w:num>
  <w:num w:numId="12">
    <w:abstractNumId w:val="64"/>
  </w:num>
  <w:num w:numId="13">
    <w:abstractNumId w:val="101"/>
  </w:num>
  <w:num w:numId="14">
    <w:abstractNumId w:val="107"/>
  </w:num>
  <w:num w:numId="15">
    <w:abstractNumId w:val="60"/>
  </w:num>
  <w:num w:numId="16">
    <w:abstractNumId w:val="29"/>
  </w:num>
  <w:num w:numId="17">
    <w:abstractNumId w:val="55"/>
  </w:num>
  <w:num w:numId="18">
    <w:abstractNumId w:val="53"/>
  </w:num>
  <w:num w:numId="19">
    <w:abstractNumId w:val="66"/>
  </w:num>
  <w:num w:numId="20">
    <w:abstractNumId w:val="38"/>
  </w:num>
  <w:num w:numId="21">
    <w:abstractNumId w:val="30"/>
  </w:num>
  <w:num w:numId="22">
    <w:abstractNumId w:val="61"/>
  </w:num>
  <w:num w:numId="23">
    <w:abstractNumId w:val="49"/>
  </w:num>
  <w:num w:numId="24">
    <w:abstractNumId w:val="26"/>
  </w:num>
  <w:num w:numId="25">
    <w:abstractNumId w:val="47"/>
  </w:num>
  <w:num w:numId="26">
    <w:abstractNumId w:val="59"/>
  </w:num>
  <w:num w:numId="27">
    <w:abstractNumId w:val="22"/>
  </w:num>
  <w:num w:numId="28">
    <w:abstractNumId w:val="63"/>
  </w:num>
  <w:num w:numId="29">
    <w:abstractNumId w:val="62"/>
  </w:num>
  <w:num w:numId="30">
    <w:abstractNumId w:val="71"/>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0"/>
  </w:num>
  <w:num w:numId="34">
    <w:abstractNumId w:val="34"/>
  </w:num>
  <w:num w:numId="35">
    <w:abstractNumId w:val="97"/>
  </w:num>
  <w:num w:numId="36">
    <w:abstractNumId w:val="28"/>
  </w:num>
  <w:num w:numId="37">
    <w:abstractNumId w:val="50"/>
  </w:num>
  <w:num w:numId="38">
    <w:abstractNumId w:val="15"/>
  </w:num>
  <w:num w:numId="39">
    <w:abstractNumId w:val="46"/>
  </w:num>
  <w:num w:numId="40">
    <w:abstractNumId w:val="5"/>
  </w:num>
  <w:num w:numId="41">
    <w:abstractNumId w:val="68"/>
  </w:num>
  <w:num w:numId="42">
    <w:abstractNumId w:val="103"/>
  </w:num>
  <w:num w:numId="43">
    <w:abstractNumId w:val="37"/>
  </w:num>
  <w:num w:numId="44">
    <w:abstractNumId w:val="93"/>
  </w:num>
  <w:num w:numId="45">
    <w:abstractNumId w:val="94"/>
  </w:num>
  <w:num w:numId="46">
    <w:abstractNumId w:val="44"/>
  </w:num>
  <w:num w:numId="47">
    <w:abstractNumId w:val="4"/>
  </w:num>
  <w:num w:numId="48">
    <w:abstractNumId w:val="57"/>
  </w:num>
  <w:num w:numId="49">
    <w:abstractNumId w:val="42"/>
  </w:num>
  <w:num w:numId="50">
    <w:abstractNumId w:val="14"/>
  </w:num>
  <w:num w:numId="51">
    <w:abstractNumId w:val="88"/>
  </w:num>
  <w:num w:numId="52">
    <w:abstractNumId w:val="108"/>
  </w:num>
  <w:num w:numId="53">
    <w:abstractNumId w:val="72"/>
  </w:num>
  <w:num w:numId="54">
    <w:abstractNumId w:val="48"/>
  </w:num>
  <w:num w:numId="55">
    <w:abstractNumId w:val="106"/>
  </w:num>
  <w:num w:numId="56">
    <w:abstractNumId w:val="9"/>
  </w:num>
  <w:num w:numId="57">
    <w:abstractNumId w:val="98"/>
  </w:num>
  <w:num w:numId="58">
    <w:abstractNumId w:val="52"/>
  </w:num>
  <w:num w:numId="59">
    <w:abstractNumId w:val="85"/>
  </w:num>
  <w:num w:numId="60">
    <w:abstractNumId w:val="73"/>
  </w:num>
  <w:num w:numId="61">
    <w:abstractNumId w:val="51"/>
  </w:num>
  <w:num w:numId="62">
    <w:abstractNumId w:val="77"/>
  </w:num>
  <w:num w:numId="63">
    <w:abstractNumId w:val="33"/>
  </w:num>
  <w:num w:numId="64">
    <w:abstractNumId w:val="102"/>
  </w:num>
  <w:num w:numId="65">
    <w:abstractNumId w:val="82"/>
  </w:num>
  <w:num w:numId="66">
    <w:abstractNumId w:val="110"/>
  </w:num>
  <w:num w:numId="67">
    <w:abstractNumId w:val="67"/>
  </w:num>
  <w:num w:numId="68">
    <w:abstractNumId w:val="100"/>
  </w:num>
  <w:num w:numId="69">
    <w:abstractNumId w:val="69"/>
  </w:num>
  <w:num w:numId="70">
    <w:abstractNumId w:val="109"/>
  </w:num>
  <w:num w:numId="71">
    <w:abstractNumId w:val="43"/>
  </w:num>
  <w:num w:numId="72">
    <w:abstractNumId w:val="76"/>
  </w:num>
  <w:num w:numId="73">
    <w:abstractNumId w:val="83"/>
  </w:num>
  <w:num w:numId="74">
    <w:abstractNumId w:val="23"/>
  </w:num>
  <w:num w:numId="75">
    <w:abstractNumId w:val="105"/>
  </w:num>
  <w:num w:numId="76">
    <w:abstractNumId w:val="70"/>
  </w:num>
  <w:num w:numId="77">
    <w:abstractNumId w:val="3"/>
  </w:num>
  <w:num w:numId="78">
    <w:abstractNumId w:val="27"/>
  </w:num>
  <w:num w:numId="79">
    <w:abstractNumId w:val="95"/>
  </w:num>
  <w:num w:numId="80">
    <w:abstractNumId w:val="45"/>
  </w:num>
  <w:num w:numId="81">
    <w:abstractNumId w:val="39"/>
  </w:num>
  <w:num w:numId="82">
    <w:abstractNumId w:val="35"/>
  </w:num>
  <w:num w:numId="83">
    <w:abstractNumId w:val="41"/>
  </w:num>
  <w:num w:numId="84">
    <w:abstractNumId w:val="1"/>
    <w:lvlOverride w:ilvl="0">
      <w:lvl w:ilvl="0">
        <w:numFmt w:val="bullet"/>
        <w:lvlText w:val="•"/>
        <w:legacy w:legacy="1" w:legacySpace="0" w:legacyIndent="0"/>
        <w:lvlJc w:val="left"/>
        <w:rPr>
          <w:rFonts w:ascii="Arial" w:hAnsi="Arial" w:cs="Arial" w:hint="default"/>
          <w:sz w:val="24"/>
        </w:rPr>
      </w:lvl>
    </w:lvlOverride>
  </w:num>
  <w:num w:numId="85">
    <w:abstractNumId w:val="81"/>
  </w:num>
  <w:num w:numId="86">
    <w:abstractNumId w:val="18"/>
  </w:num>
  <w:num w:numId="87">
    <w:abstractNumId w:val="89"/>
  </w:num>
  <w:num w:numId="88">
    <w:abstractNumId w:val="75"/>
  </w:num>
  <w:num w:numId="89">
    <w:abstractNumId w:val="19"/>
  </w:num>
  <w:num w:numId="90">
    <w:abstractNumId w:val="32"/>
  </w:num>
  <w:num w:numId="91">
    <w:abstractNumId w:val="56"/>
  </w:num>
  <w:num w:numId="92">
    <w:abstractNumId w:val="25"/>
  </w:num>
  <w:num w:numId="93">
    <w:abstractNumId w:val="12"/>
  </w:num>
  <w:num w:numId="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
  </w:num>
  <w:num w:numId="96">
    <w:abstractNumId w:val="11"/>
  </w:num>
  <w:num w:numId="97">
    <w:abstractNumId w:val="2"/>
  </w:num>
  <w:num w:numId="98">
    <w:abstractNumId w:val="21"/>
  </w:num>
  <w:num w:numId="99">
    <w:abstractNumId w:val="65"/>
  </w:num>
  <w:num w:numId="100">
    <w:abstractNumId w:val="58"/>
  </w:num>
  <w:num w:numId="101">
    <w:abstractNumId w:val="16"/>
  </w:num>
  <w:num w:numId="102">
    <w:abstractNumId w:val="80"/>
  </w:num>
  <w:num w:numId="103">
    <w:abstractNumId w:val="96"/>
  </w:num>
  <w:num w:numId="104">
    <w:abstractNumId w:val="6"/>
  </w:num>
  <w:num w:numId="105">
    <w:abstractNumId w:val="91"/>
  </w:num>
  <w:num w:numId="106">
    <w:abstractNumId w:val="104"/>
  </w:num>
  <w:num w:numId="107">
    <w:abstractNumId w:val="54"/>
  </w:num>
  <w:num w:numId="108">
    <w:abstractNumId w:val="78"/>
  </w:num>
  <w:num w:numId="109">
    <w:abstractNumId w:val="90"/>
  </w:num>
  <w:num w:numId="110">
    <w:abstractNumId w:val="40"/>
  </w:num>
  <w:num w:numId="111">
    <w:abstractNumId w:val="13"/>
  </w:num>
  <w:num w:numId="112">
    <w:abstractNumId w:val="9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E7D"/>
    <w:rsid w:val="00000DF9"/>
    <w:rsid w:val="000021B2"/>
    <w:rsid w:val="000042B8"/>
    <w:rsid w:val="00006007"/>
    <w:rsid w:val="000074C8"/>
    <w:rsid w:val="00012B69"/>
    <w:rsid w:val="00012BF7"/>
    <w:rsid w:val="00016FCC"/>
    <w:rsid w:val="000178E5"/>
    <w:rsid w:val="00033626"/>
    <w:rsid w:val="00033FC7"/>
    <w:rsid w:val="00034011"/>
    <w:rsid w:val="00035B21"/>
    <w:rsid w:val="00035D37"/>
    <w:rsid w:val="00036E3B"/>
    <w:rsid w:val="00040ECD"/>
    <w:rsid w:val="00041403"/>
    <w:rsid w:val="000422C4"/>
    <w:rsid w:val="00042CC9"/>
    <w:rsid w:val="0004583B"/>
    <w:rsid w:val="0004638B"/>
    <w:rsid w:val="0005003A"/>
    <w:rsid w:val="00053505"/>
    <w:rsid w:val="00054223"/>
    <w:rsid w:val="0005612C"/>
    <w:rsid w:val="0005655B"/>
    <w:rsid w:val="00057352"/>
    <w:rsid w:val="000577A7"/>
    <w:rsid w:val="00057A85"/>
    <w:rsid w:val="00060AA2"/>
    <w:rsid w:val="0006200B"/>
    <w:rsid w:val="00062083"/>
    <w:rsid w:val="00063051"/>
    <w:rsid w:val="000631D5"/>
    <w:rsid w:val="00065CA8"/>
    <w:rsid w:val="00071522"/>
    <w:rsid w:val="00072D62"/>
    <w:rsid w:val="0007345F"/>
    <w:rsid w:val="0007488F"/>
    <w:rsid w:val="0007647E"/>
    <w:rsid w:val="00077718"/>
    <w:rsid w:val="0008538C"/>
    <w:rsid w:val="00090442"/>
    <w:rsid w:val="000977DF"/>
    <w:rsid w:val="000A030E"/>
    <w:rsid w:val="000A3C9C"/>
    <w:rsid w:val="000B0B56"/>
    <w:rsid w:val="000B385E"/>
    <w:rsid w:val="000B3CF5"/>
    <w:rsid w:val="000B4B47"/>
    <w:rsid w:val="000B4D0F"/>
    <w:rsid w:val="000B76C8"/>
    <w:rsid w:val="000B79DE"/>
    <w:rsid w:val="000C1E26"/>
    <w:rsid w:val="000C25B0"/>
    <w:rsid w:val="000C5F64"/>
    <w:rsid w:val="000D06A9"/>
    <w:rsid w:val="000D51FE"/>
    <w:rsid w:val="000D524B"/>
    <w:rsid w:val="000D7F3A"/>
    <w:rsid w:val="000E06F3"/>
    <w:rsid w:val="000E2E78"/>
    <w:rsid w:val="000E42F0"/>
    <w:rsid w:val="000E4D31"/>
    <w:rsid w:val="000E56AD"/>
    <w:rsid w:val="000E5F2E"/>
    <w:rsid w:val="000E6BCA"/>
    <w:rsid w:val="000E7AEA"/>
    <w:rsid w:val="000F14E7"/>
    <w:rsid w:val="000F5AD2"/>
    <w:rsid w:val="001004BE"/>
    <w:rsid w:val="00102592"/>
    <w:rsid w:val="00104F26"/>
    <w:rsid w:val="00105797"/>
    <w:rsid w:val="001115CC"/>
    <w:rsid w:val="00111AD1"/>
    <w:rsid w:val="00116A19"/>
    <w:rsid w:val="00117C34"/>
    <w:rsid w:val="001215C8"/>
    <w:rsid w:val="00122832"/>
    <w:rsid w:val="00122DC6"/>
    <w:rsid w:val="00123EF3"/>
    <w:rsid w:val="0012790A"/>
    <w:rsid w:val="00132A50"/>
    <w:rsid w:val="00133195"/>
    <w:rsid w:val="00134D1F"/>
    <w:rsid w:val="0013531D"/>
    <w:rsid w:val="00136443"/>
    <w:rsid w:val="00140337"/>
    <w:rsid w:val="0014043A"/>
    <w:rsid w:val="00141D2E"/>
    <w:rsid w:val="0015247C"/>
    <w:rsid w:val="00152533"/>
    <w:rsid w:val="0015543D"/>
    <w:rsid w:val="00155BF8"/>
    <w:rsid w:val="0015720F"/>
    <w:rsid w:val="0016058A"/>
    <w:rsid w:val="00160F68"/>
    <w:rsid w:val="00161675"/>
    <w:rsid w:val="00161EB9"/>
    <w:rsid w:val="0016201D"/>
    <w:rsid w:val="0016203E"/>
    <w:rsid w:val="00165651"/>
    <w:rsid w:val="00165EE4"/>
    <w:rsid w:val="0016774A"/>
    <w:rsid w:val="00177841"/>
    <w:rsid w:val="0018001B"/>
    <w:rsid w:val="00180622"/>
    <w:rsid w:val="00180844"/>
    <w:rsid w:val="001817FF"/>
    <w:rsid w:val="00183505"/>
    <w:rsid w:val="00185967"/>
    <w:rsid w:val="00185C2A"/>
    <w:rsid w:val="001864A3"/>
    <w:rsid w:val="0019410C"/>
    <w:rsid w:val="0019444A"/>
    <w:rsid w:val="00196848"/>
    <w:rsid w:val="00197520"/>
    <w:rsid w:val="001A152C"/>
    <w:rsid w:val="001A3142"/>
    <w:rsid w:val="001A4553"/>
    <w:rsid w:val="001A5042"/>
    <w:rsid w:val="001A5283"/>
    <w:rsid w:val="001B06F9"/>
    <w:rsid w:val="001B1188"/>
    <w:rsid w:val="001B1BA7"/>
    <w:rsid w:val="001B3A96"/>
    <w:rsid w:val="001C068A"/>
    <w:rsid w:val="001C4325"/>
    <w:rsid w:val="001C437D"/>
    <w:rsid w:val="001C4B03"/>
    <w:rsid w:val="001C6716"/>
    <w:rsid w:val="001D2CF5"/>
    <w:rsid w:val="001D348B"/>
    <w:rsid w:val="001D5E8B"/>
    <w:rsid w:val="001D7738"/>
    <w:rsid w:val="001E0E14"/>
    <w:rsid w:val="001E1374"/>
    <w:rsid w:val="001E3587"/>
    <w:rsid w:val="001E4F0A"/>
    <w:rsid w:val="001F2751"/>
    <w:rsid w:val="001F3AA7"/>
    <w:rsid w:val="001F4A72"/>
    <w:rsid w:val="001F5ED1"/>
    <w:rsid w:val="001F658C"/>
    <w:rsid w:val="001F7378"/>
    <w:rsid w:val="00200C4D"/>
    <w:rsid w:val="00201E7D"/>
    <w:rsid w:val="00203542"/>
    <w:rsid w:val="002064BB"/>
    <w:rsid w:val="0020664E"/>
    <w:rsid w:val="0021345D"/>
    <w:rsid w:val="00214DBC"/>
    <w:rsid w:val="002175C9"/>
    <w:rsid w:val="00220770"/>
    <w:rsid w:val="00224ABF"/>
    <w:rsid w:val="00225618"/>
    <w:rsid w:val="00226A4F"/>
    <w:rsid w:val="002326C8"/>
    <w:rsid w:val="00232A48"/>
    <w:rsid w:val="002419C6"/>
    <w:rsid w:val="00253D4C"/>
    <w:rsid w:val="0025429B"/>
    <w:rsid w:val="002560E7"/>
    <w:rsid w:val="00257932"/>
    <w:rsid w:val="00262065"/>
    <w:rsid w:val="002712B4"/>
    <w:rsid w:val="00274B5E"/>
    <w:rsid w:val="00283750"/>
    <w:rsid w:val="00285D6E"/>
    <w:rsid w:val="0028625C"/>
    <w:rsid w:val="00287DD4"/>
    <w:rsid w:val="00293BE0"/>
    <w:rsid w:val="00295D3C"/>
    <w:rsid w:val="00296ECD"/>
    <w:rsid w:val="002A346A"/>
    <w:rsid w:val="002A4063"/>
    <w:rsid w:val="002A44F0"/>
    <w:rsid w:val="002A494E"/>
    <w:rsid w:val="002A5480"/>
    <w:rsid w:val="002A73C9"/>
    <w:rsid w:val="002A7A5F"/>
    <w:rsid w:val="002A7A9B"/>
    <w:rsid w:val="002B3B4D"/>
    <w:rsid w:val="002B3D71"/>
    <w:rsid w:val="002B3F67"/>
    <w:rsid w:val="002B6394"/>
    <w:rsid w:val="002B6C13"/>
    <w:rsid w:val="002C05C2"/>
    <w:rsid w:val="002C0877"/>
    <w:rsid w:val="002C2248"/>
    <w:rsid w:val="002C304B"/>
    <w:rsid w:val="002C37C1"/>
    <w:rsid w:val="002C3F95"/>
    <w:rsid w:val="002C55B9"/>
    <w:rsid w:val="002C56BF"/>
    <w:rsid w:val="002C6924"/>
    <w:rsid w:val="002D0A3C"/>
    <w:rsid w:val="002D112D"/>
    <w:rsid w:val="002D265E"/>
    <w:rsid w:val="002D3485"/>
    <w:rsid w:val="002D4BF1"/>
    <w:rsid w:val="002D5366"/>
    <w:rsid w:val="002D5660"/>
    <w:rsid w:val="002D5B1A"/>
    <w:rsid w:val="002D683A"/>
    <w:rsid w:val="002E2E7A"/>
    <w:rsid w:val="002E6168"/>
    <w:rsid w:val="002F1811"/>
    <w:rsid w:val="002F18B9"/>
    <w:rsid w:val="002F1AAC"/>
    <w:rsid w:val="002F4F01"/>
    <w:rsid w:val="002F508E"/>
    <w:rsid w:val="002F6B75"/>
    <w:rsid w:val="002F6F16"/>
    <w:rsid w:val="002F7330"/>
    <w:rsid w:val="002F7DD7"/>
    <w:rsid w:val="003143FB"/>
    <w:rsid w:val="00314812"/>
    <w:rsid w:val="00315902"/>
    <w:rsid w:val="00326CDA"/>
    <w:rsid w:val="003326CB"/>
    <w:rsid w:val="00334A02"/>
    <w:rsid w:val="003351EA"/>
    <w:rsid w:val="00337CDD"/>
    <w:rsid w:val="00340148"/>
    <w:rsid w:val="00340FB6"/>
    <w:rsid w:val="003417DC"/>
    <w:rsid w:val="0034340A"/>
    <w:rsid w:val="00345B6D"/>
    <w:rsid w:val="00346823"/>
    <w:rsid w:val="00346D24"/>
    <w:rsid w:val="00350389"/>
    <w:rsid w:val="00350675"/>
    <w:rsid w:val="00350B9D"/>
    <w:rsid w:val="00353B42"/>
    <w:rsid w:val="00355392"/>
    <w:rsid w:val="00355520"/>
    <w:rsid w:val="003637DA"/>
    <w:rsid w:val="00366D6E"/>
    <w:rsid w:val="00367551"/>
    <w:rsid w:val="0037346F"/>
    <w:rsid w:val="00373F7C"/>
    <w:rsid w:val="0038369D"/>
    <w:rsid w:val="00383A4B"/>
    <w:rsid w:val="00383D23"/>
    <w:rsid w:val="00384CF4"/>
    <w:rsid w:val="0039168D"/>
    <w:rsid w:val="003943A0"/>
    <w:rsid w:val="003966B4"/>
    <w:rsid w:val="003A1A80"/>
    <w:rsid w:val="003A2058"/>
    <w:rsid w:val="003B05DC"/>
    <w:rsid w:val="003B4544"/>
    <w:rsid w:val="003B7BF0"/>
    <w:rsid w:val="003C0C15"/>
    <w:rsid w:val="003C147A"/>
    <w:rsid w:val="003C604E"/>
    <w:rsid w:val="003C7838"/>
    <w:rsid w:val="003D09B5"/>
    <w:rsid w:val="003D13B4"/>
    <w:rsid w:val="003D174E"/>
    <w:rsid w:val="003D4820"/>
    <w:rsid w:val="003D48CB"/>
    <w:rsid w:val="003D52A8"/>
    <w:rsid w:val="003D5F89"/>
    <w:rsid w:val="003E358B"/>
    <w:rsid w:val="003E42D4"/>
    <w:rsid w:val="003E643D"/>
    <w:rsid w:val="003E6884"/>
    <w:rsid w:val="003E7F64"/>
    <w:rsid w:val="003F0005"/>
    <w:rsid w:val="003F194E"/>
    <w:rsid w:val="003F21D6"/>
    <w:rsid w:val="003F3541"/>
    <w:rsid w:val="003F6219"/>
    <w:rsid w:val="003F6802"/>
    <w:rsid w:val="003F7B2A"/>
    <w:rsid w:val="00403246"/>
    <w:rsid w:val="0040535C"/>
    <w:rsid w:val="00415523"/>
    <w:rsid w:val="004157C8"/>
    <w:rsid w:val="004235F8"/>
    <w:rsid w:val="00425B6E"/>
    <w:rsid w:val="004311A8"/>
    <w:rsid w:val="00433096"/>
    <w:rsid w:val="00434147"/>
    <w:rsid w:val="00435481"/>
    <w:rsid w:val="00436D1F"/>
    <w:rsid w:val="0044040B"/>
    <w:rsid w:val="00440B31"/>
    <w:rsid w:val="00442C8A"/>
    <w:rsid w:val="00444132"/>
    <w:rsid w:val="00446404"/>
    <w:rsid w:val="00446FE9"/>
    <w:rsid w:val="0045207E"/>
    <w:rsid w:val="00452661"/>
    <w:rsid w:val="00452819"/>
    <w:rsid w:val="00452DEF"/>
    <w:rsid w:val="004540D8"/>
    <w:rsid w:val="004550B3"/>
    <w:rsid w:val="0045510E"/>
    <w:rsid w:val="00455CA2"/>
    <w:rsid w:val="00455CCA"/>
    <w:rsid w:val="0045700B"/>
    <w:rsid w:val="00460FC2"/>
    <w:rsid w:val="00461588"/>
    <w:rsid w:val="004706BE"/>
    <w:rsid w:val="00471E98"/>
    <w:rsid w:val="0047359A"/>
    <w:rsid w:val="00476DC1"/>
    <w:rsid w:val="00480048"/>
    <w:rsid w:val="004850A2"/>
    <w:rsid w:val="00485D7D"/>
    <w:rsid w:val="00486C1D"/>
    <w:rsid w:val="004917DF"/>
    <w:rsid w:val="00491D22"/>
    <w:rsid w:val="00496D36"/>
    <w:rsid w:val="004970ED"/>
    <w:rsid w:val="004A013D"/>
    <w:rsid w:val="004A3D29"/>
    <w:rsid w:val="004A5B39"/>
    <w:rsid w:val="004A75CC"/>
    <w:rsid w:val="004B0B31"/>
    <w:rsid w:val="004B18AE"/>
    <w:rsid w:val="004B3A67"/>
    <w:rsid w:val="004B66E0"/>
    <w:rsid w:val="004C0982"/>
    <w:rsid w:val="004C319E"/>
    <w:rsid w:val="004C4506"/>
    <w:rsid w:val="004C6980"/>
    <w:rsid w:val="004C7666"/>
    <w:rsid w:val="004D2A8A"/>
    <w:rsid w:val="004D3B9F"/>
    <w:rsid w:val="004D54EC"/>
    <w:rsid w:val="004D5628"/>
    <w:rsid w:val="004E32BE"/>
    <w:rsid w:val="004F044B"/>
    <w:rsid w:val="004F095C"/>
    <w:rsid w:val="004F2DC8"/>
    <w:rsid w:val="004F32F9"/>
    <w:rsid w:val="004F3E25"/>
    <w:rsid w:val="004F49FD"/>
    <w:rsid w:val="00500447"/>
    <w:rsid w:val="005011F1"/>
    <w:rsid w:val="00503016"/>
    <w:rsid w:val="005034FF"/>
    <w:rsid w:val="005047C3"/>
    <w:rsid w:val="00504ACC"/>
    <w:rsid w:val="00506810"/>
    <w:rsid w:val="0051162F"/>
    <w:rsid w:val="00511764"/>
    <w:rsid w:val="00522F66"/>
    <w:rsid w:val="00523A37"/>
    <w:rsid w:val="00525BE7"/>
    <w:rsid w:val="00525F5F"/>
    <w:rsid w:val="0052703D"/>
    <w:rsid w:val="00530815"/>
    <w:rsid w:val="005308EE"/>
    <w:rsid w:val="0054113C"/>
    <w:rsid w:val="00541BCE"/>
    <w:rsid w:val="0054297D"/>
    <w:rsid w:val="00543577"/>
    <w:rsid w:val="00543C6E"/>
    <w:rsid w:val="00543D07"/>
    <w:rsid w:val="00544FE2"/>
    <w:rsid w:val="00545968"/>
    <w:rsid w:val="00550660"/>
    <w:rsid w:val="00551A07"/>
    <w:rsid w:val="00551F17"/>
    <w:rsid w:val="00554AA6"/>
    <w:rsid w:val="00556FFC"/>
    <w:rsid w:val="00560EE2"/>
    <w:rsid w:val="0056102A"/>
    <w:rsid w:val="00561EE0"/>
    <w:rsid w:val="0056259B"/>
    <w:rsid w:val="005627E7"/>
    <w:rsid w:val="00564704"/>
    <w:rsid w:val="00566B8A"/>
    <w:rsid w:val="00567017"/>
    <w:rsid w:val="005724A7"/>
    <w:rsid w:val="00572636"/>
    <w:rsid w:val="00572EE8"/>
    <w:rsid w:val="00574A88"/>
    <w:rsid w:val="00576A5E"/>
    <w:rsid w:val="005810A9"/>
    <w:rsid w:val="005827E2"/>
    <w:rsid w:val="0058416C"/>
    <w:rsid w:val="00586937"/>
    <w:rsid w:val="00590DFA"/>
    <w:rsid w:val="0059241F"/>
    <w:rsid w:val="0059486D"/>
    <w:rsid w:val="005A3C70"/>
    <w:rsid w:val="005A699F"/>
    <w:rsid w:val="005B32C3"/>
    <w:rsid w:val="005B364B"/>
    <w:rsid w:val="005B3C5B"/>
    <w:rsid w:val="005B5C5D"/>
    <w:rsid w:val="005B7BC1"/>
    <w:rsid w:val="005C04BD"/>
    <w:rsid w:val="005C1263"/>
    <w:rsid w:val="005C3CB0"/>
    <w:rsid w:val="005C49EB"/>
    <w:rsid w:val="005C4FD6"/>
    <w:rsid w:val="005C5894"/>
    <w:rsid w:val="005C604F"/>
    <w:rsid w:val="005C6885"/>
    <w:rsid w:val="005C7CD1"/>
    <w:rsid w:val="005C7FA5"/>
    <w:rsid w:val="005D12DE"/>
    <w:rsid w:val="005E01A9"/>
    <w:rsid w:val="005E3892"/>
    <w:rsid w:val="005E39B8"/>
    <w:rsid w:val="005E52E0"/>
    <w:rsid w:val="005E7889"/>
    <w:rsid w:val="005F1431"/>
    <w:rsid w:val="005F1B08"/>
    <w:rsid w:val="005F1B44"/>
    <w:rsid w:val="005F216C"/>
    <w:rsid w:val="005F5AA7"/>
    <w:rsid w:val="005F5C35"/>
    <w:rsid w:val="005F7E1F"/>
    <w:rsid w:val="006031D1"/>
    <w:rsid w:val="00606765"/>
    <w:rsid w:val="00606D6F"/>
    <w:rsid w:val="00613DD2"/>
    <w:rsid w:val="00616234"/>
    <w:rsid w:val="006222CA"/>
    <w:rsid w:val="00622451"/>
    <w:rsid w:val="00624210"/>
    <w:rsid w:val="00624F6B"/>
    <w:rsid w:val="006259FF"/>
    <w:rsid w:val="00627302"/>
    <w:rsid w:val="00630738"/>
    <w:rsid w:val="00631F80"/>
    <w:rsid w:val="00634232"/>
    <w:rsid w:val="006346EC"/>
    <w:rsid w:val="0063586F"/>
    <w:rsid w:val="00640E59"/>
    <w:rsid w:val="00643E85"/>
    <w:rsid w:val="00646041"/>
    <w:rsid w:val="00646621"/>
    <w:rsid w:val="00646DE7"/>
    <w:rsid w:val="006506EC"/>
    <w:rsid w:val="00652857"/>
    <w:rsid w:val="0065352B"/>
    <w:rsid w:val="0065522A"/>
    <w:rsid w:val="00655B7C"/>
    <w:rsid w:val="00657CBE"/>
    <w:rsid w:val="00657F34"/>
    <w:rsid w:val="006606B6"/>
    <w:rsid w:val="00660F1C"/>
    <w:rsid w:val="00661AF9"/>
    <w:rsid w:val="0066243D"/>
    <w:rsid w:val="00665863"/>
    <w:rsid w:val="00665A36"/>
    <w:rsid w:val="00671A2F"/>
    <w:rsid w:val="006749BC"/>
    <w:rsid w:val="00675778"/>
    <w:rsid w:val="00677FE0"/>
    <w:rsid w:val="00681CE4"/>
    <w:rsid w:val="006824CC"/>
    <w:rsid w:val="0068284C"/>
    <w:rsid w:val="006843D5"/>
    <w:rsid w:val="00684AE4"/>
    <w:rsid w:val="0068625D"/>
    <w:rsid w:val="00687A5E"/>
    <w:rsid w:val="00687CFB"/>
    <w:rsid w:val="00690862"/>
    <w:rsid w:val="006915E8"/>
    <w:rsid w:val="0069199D"/>
    <w:rsid w:val="00692E89"/>
    <w:rsid w:val="00693133"/>
    <w:rsid w:val="006A3B21"/>
    <w:rsid w:val="006A46FC"/>
    <w:rsid w:val="006A5DEA"/>
    <w:rsid w:val="006A6690"/>
    <w:rsid w:val="006A7AE4"/>
    <w:rsid w:val="006B690B"/>
    <w:rsid w:val="006B7384"/>
    <w:rsid w:val="006C1D52"/>
    <w:rsid w:val="006C25B6"/>
    <w:rsid w:val="006C2C9C"/>
    <w:rsid w:val="006C37B4"/>
    <w:rsid w:val="006C3A41"/>
    <w:rsid w:val="006C66CA"/>
    <w:rsid w:val="006C69BE"/>
    <w:rsid w:val="006D0589"/>
    <w:rsid w:val="006D0D19"/>
    <w:rsid w:val="006D1FD4"/>
    <w:rsid w:val="006D5703"/>
    <w:rsid w:val="006D605B"/>
    <w:rsid w:val="006E1CC0"/>
    <w:rsid w:val="006E2ED9"/>
    <w:rsid w:val="006E6006"/>
    <w:rsid w:val="006F1328"/>
    <w:rsid w:val="006F5191"/>
    <w:rsid w:val="006F7621"/>
    <w:rsid w:val="006F7DC5"/>
    <w:rsid w:val="006F7E6D"/>
    <w:rsid w:val="00700B0B"/>
    <w:rsid w:val="00700F4D"/>
    <w:rsid w:val="00701544"/>
    <w:rsid w:val="00701BA5"/>
    <w:rsid w:val="00702CA9"/>
    <w:rsid w:val="007036D1"/>
    <w:rsid w:val="00705648"/>
    <w:rsid w:val="007056B3"/>
    <w:rsid w:val="00707AB2"/>
    <w:rsid w:val="0071424B"/>
    <w:rsid w:val="00714D7F"/>
    <w:rsid w:val="00717E04"/>
    <w:rsid w:val="00720182"/>
    <w:rsid w:val="00723E05"/>
    <w:rsid w:val="00734036"/>
    <w:rsid w:val="007344F3"/>
    <w:rsid w:val="00734A59"/>
    <w:rsid w:val="00735092"/>
    <w:rsid w:val="00735E3C"/>
    <w:rsid w:val="00741063"/>
    <w:rsid w:val="00742646"/>
    <w:rsid w:val="00743A6B"/>
    <w:rsid w:val="00751469"/>
    <w:rsid w:val="00751DB6"/>
    <w:rsid w:val="00752ED4"/>
    <w:rsid w:val="00753A09"/>
    <w:rsid w:val="007548B7"/>
    <w:rsid w:val="007567EE"/>
    <w:rsid w:val="00760649"/>
    <w:rsid w:val="00760864"/>
    <w:rsid w:val="00761EDA"/>
    <w:rsid w:val="00762272"/>
    <w:rsid w:val="007627F8"/>
    <w:rsid w:val="007671EB"/>
    <w:rsid w:val="00771886"/>
    <w:rsid w:val="00771FD3"/>
    <w:rsid w:val="00776A28"/>
    <w:rsid w:val="00787CA2"/>
    <w:rsid w:val="00791731"/>
    <w:rsid w:val="007948FE"/>
    <w:rsid w:val="00794BF1"/>
    <w:rsid w:val="00795720"/>
    <w:rsid w:val="00797879"/>
    <w:rsid w:val="0079796F"/>
    <w:rsid w:val="00797BC5"/>
    <w:rsid w:val="007A14AA"/>
    <w:rsid w:val="007A23E2"/>
    <w:rsid w:val="007A4A21"/>
    <w:rsid w:val="007A534E"/>
    <w:rsid w:val="007A6979"/>
    <w:rsid w:val="007A736A"/>
    <w:rsid w:val="007B0993"/>
    <w:rsid w:val="007B0B47"/>
    <w:rsid w:val="007B11E5"/>
    <w:rsid w:val="007B2042"/>
    <w:rsid w:val="007B3729"/>
    <w:rsid w:val="007B4759"/>
    <w:rsid w:val="007B6836"/>
    <w:rsid w:val="007C0459"/>
    <w:rsid w:val="007C0998"/>
    <w:rsid w:val="007C3ED0"/>
    <w:rsid w:val="007C61F6"/>
    <w:rsid w:val="007D07A6"/>
    <w:rsid w:val="007D3F5B"/>
    <w:rsid w:val="007D4A2E"/>
    <w:rsid w:val="007D4DD3"/>
    <w:rsid w:val="007D5177"/>
    <w:rsid w:val="007D5991"/>
    <w:rsid w:val="007D7DE5"/>
    <w:rsid w:val="007E0126"/>
    <w:rsid w:val="007E3AC2"/>
    <w:rsid w:val="007E4250"/>
    <w:rsid w:val="007E59E1"/>
    <w:rsid w:val="007F1393"/>
    <w:rsid w:val="007F2D00"/>
    <w:rsid w:val="007F2F5F"/>
    <w:rsid w:val="007F4D78"/>
    <w:rsid w:val="008055F2"/>
    <w:rsid w:val="00806518"/>
    <w:rsid w:val="00813381"/>
    <w:rsid w:val="00815BCB"/>
    <w:rsid w:val="008168E0"/>
    <w:rsid w:val="00820078"/>
    <w:rsid w:val="00821329"/>
    <w:rsid w:val="008225A6"/>
    <w:rsid w:val="00826DD0"/>
    <w:rsid w:val="008277D2"/>
    <w:rsid w:val="008314D8"/>
    <w:rsid w:val="00831843"/>
    <w:rsid w:val="00831F30"/>
    <w:rsid w:val="00832EAE"/>
    <w:rsid w:val="008332F4"/>
    <w:rsid w:val="00833D61"/>
    <w:rsid w:val="00835795"/>
    <w:rsid w:val="0083639A"/>
    <w:rsid w:val="00843D29"/>
    <w:rsid w:val="0084742E"/>
    <w:rsid w:val="00847C4C"/>
    <w:rsid w:val="00847C5C"/>
    <w:rsid w:val="00850536"/>
    <w:rsid w:val="0085192F"/>
    <w:rsid w:val="00853E9E"/>
    <w:rsid w:val="0085647A"/>
    <w:rsid w:val="00860312"/>
    <w:rsid w:val="00861A50"/>
    <w:rsid w:val="00861CC8"/>
    <w:rsid w:val="0086211C"/>
    <w:rsid w:val="008626BB"/>
    <w:rsid w:val="00865224"/>
    <w:rsid w:val="0086552F"/>
    <w:rsid w:val="008661A8"/>
    <w:rsid w:val="00866757"/>
    <w:rsid w:val="0087273A"/>
    <w:rsid w:val="0087640C"/>
    <w:rsid w:val="00882D84"/>
    <w:rsid w:val="008921F6"/>
    <w:rsid w:val="00894A78"/>
    <w:rsid w:val="00894A95"/>
    <w:rsid w:val="00894C80"/>
    <w:rsid w:val="00897E51"/>
    <w:rsid w:val="008A1BA1"/>
    <w:rsid w:val="008A4D5E"/>
    <w:rsid w:val="008A523A"/>
    <w:rsid w:val="008A60D0"/>
    <w:rsid w:val="008A7483"/>
    <w:rsid w:val="008B17BD"/>
    <w:rsid w:val="008B17CF"/>
    <w:rsid w:val="008B21CA"/>
    <w:rsid w:val="008B2ABC"/>
    <w:rsid w:val="008B7DA2"/>
    <w:rsid w:val="008C3812"/>
    <w:rsid w:val="008C38C5"/>
    <w:rsid w:val="008C5C3F"/>
    <w:rsid w:val="008C69BA"/>
    <w:rsid w:val="008D4077"/>
    <w:rsid w:val="008D4F60"/>
    <w:rsid w:val="008D792C"/>
    <w:rsid w:val="008D7A06"/>
    <w:rsid w:val="008E15BD"/>
    <w:rsid w:val="008E3630"/>
    <w:rsid w:val="008E46E8"/>
    <w:rsid w:val="008E72DC"/>
    <w:rsid w:val="008E7981"/>
    <w:rsid w:val="008F227B"/>
    <w:rsid w:val="008F32A0"/>
    <w:rsid w:val="008F7223"/>
    <w:rsid w:val="00900E1B"/>
    <w:rsid w:val="00900E25"/>
    <w:rsid w:val="00904CF3"/>
    <w:rsid w:val="00906B08"/>
    <w:rsid w:val="00907632"/>
    <w:rsid w:val="009114D1"/>
    <w:rsid w:val="0091272D"/>
    <w:rsid w:val="00924B27"/>
    <w:rsid w:val="00925409"/>
    <w:rsid w:val="009255E0"/>
    <w:rsid w:val="00926956"/>
    <w:rsid w:val="0092739F"/>
    <w:rsid w:val="00927C83"/>
    <w:rsid w:val="00930F62"/>
    <w:rsid w:val="00932353"/>
    <w:rsid w:val="00934DAC"/>
    <w:rsid w:val="009353DC"/>
    <w:rsid w:val="00936135"/>
    <w:rsid w:val="0094329F"/>
    <w:rsid w:val="009448DB"/>
    <w:rsid w:val="00947415"/>
    <w:rsid w:val="00950929"/>
    <w:rsid w:val="00953968"/>
    <w:rsid w:val="00955C8F"/>
    <w:rsid w:val="009572B1"/>
    <w:rsid w:val="00963B18"/>
    <w:rsid w:val="009662D5"/>
    <w:rsid w:val="00971E22"/>
    <w:rsid w:val="00974774"/>
    <w:rsid w:val="00976636"/>
    <w:rsid w:val="009779E4"/>
    <w:rsid w:val="00984AA8"/>
    <w:rsid w:val="00986789"/>
    <w:rsid w:val="009867BC"/>
    <w:rsid w:val="00987B83"/>
    <w:rsid w:val="009909B2"/>
    <w:rsid w:val="009922EF"/>
    <w:rsid w:val="00992623"/>
    <w:rsid w:val="009A1220"/>
    <w:rsid w:val="009A1623"/>
    <w:rsid w:val="009A2D2E"/>
    <w:rsid w:val="009A39D9"/>
    <w:rsid w:val="009A3D83"/>
    <w:rsid w:val="009B04DB"/>
    <w:rsid w:val="009B5496"/>
    <w:rsid w:val="009B6434"/>
    <w:rsid w:val="009C121C"/>
    <w:rsid w:val="009C36B6"/>
    <w:rsid w:val="009C7725"/>
    <w:rsid w:val="009D1EA7"/>
    <w:rsid w:val="009D2950"/>
    <w:rsid w:val="009D3128"/>
    <w:rsid w:val="009D3EE7"/>
    <w:rsid w:val="009D4C99"/>
    <w:rsid w:val="009D4D5F"/>
    <w:rsid w:val="009D559F"/>
    <w:rsid w:val="009D561E"/>
    <w:rsid w:val="009D6F51"/>
    <w:rsid w:val="009E16AB"/>
    <w:rsid w:val="009E2B33"/>
    <w:rsid w:val="009E31B0"/>
    <w:rsid w:val="009E4060"/>
    <w:rsid w:val="009E4D3D"/>
    <w:rsid w:val="009E5EC7"/>
    <w:rsid w:val="009E60CE"/>
    <w:rsid w:val="009E68D3"/>
    <w:rsid w:val="009F1DA1"/>
    <w:rsid w:val="009F364F"/>
    <w:rsid w:val="009F4AC7"/>
    <w:rsid w:val="009F67AA"/>
    <w:rsid w:val="009F6D8B"/>
    <w:rsid w:val="00A00E24"/>
    <w:rsid w:val="00A02BEB"/>
    <w:rsid w:val="00A03807"/>
    <w:rsid w:val="00A041D6"/>
    <w:rsid w:val="00A043EC"/>
    <w:rsid w:val="00A052A9"/>
    <w:rsid w:val="00A0584E"/>
    <w:rsid w:val="00A1158C"/>
    <w:rsid w:val="00A129B2"/>
    <w:rsid w:val="00A12F6F"/>
    <w:rsid w:val="00A17010"/>
    <w:rsid w:val="00A223AF"/>
    <w:rsid w:val="00A22777"/>
    <w:rsid w:val="00A241AB"/>
    <w:rsid w:val="00A2475F"/>
    <w:rsid w:val="00A326CF"/>
    <w:rsid w:val="00A32D08"/>
    <w:rsid w:val="00A33B78"/>
    <w:rsid w:val="00A36E45"/>
    <w:rsid w:val="00A405B3"/>
    <w:rsid w:val="00A429A6"/>
    <w:rsid w:val="00A44C50"/>
    <w:rsid w:val="00A463AA"/>
    <w:rsid w:val="00A50ACE"/>
    <w:rsid w:val="00A51727"/>
    <w:rsid w:val="00A52BA3"/>
    <w:rsid w:val="00A53954"/>
    <w:rsid w:val="00A54E9E"/>
    <w:rsid w:val="00A552DA"/>
    <w:rsid w:val="00A60D06"/>
    <w:rsid w:val="00A674EC"/>
    <w:rsid w:val="00A74362"/>
    <w:rsid w:val="00A76E0E"/>
    <w:rsid w:val="00A779A5"/>
    <w:rsid w:val="00A83327"/>
    <w:rsid w:val="00A90997"/>
    <w:rsid w:val="00A90A9E"/>
    <w:rsid w:val="00A917C6"/>
    <w:rsid w:val="00A91ED8"/>
    <w:rsid w:val="00A93506"/>
    <w:rsid w:val="00A9382D"/>
    <w:rsid w:val="00A96748"/>
    <w:rsid w:val="00A969F9"/>
    <w:rsid w:val="00A9772B"/>
    <w:rsid w:val="00AA0D7A"/>
    <w:rsid w:val="00AA32C5"/>
    <w:rsid w:val="00AA404C"/>
    <w:rsid w:val="00AB0F18"/>
    <w:rsid w:val="00AB5080"/>
    <w:rsid w:val="00AB5769"/>
    <w:rsid w:val="00AB659C"/>
    <w:rsid w:val="00AC02FF"/>
    <w:rsid w:val="00AC0563"/>
    <w:rsid w:val="00AC10AA"/>
    <w:rsid w:val="00AC21F8"/>
    <w:rsid w:val="00AC340A"/>
    <w:rsid w:val="00AC350A"/>
    <w:rsid w:val="00AD1C4A"/>
    <w:rsid w:val="00AD24E9"/>
    <w:rsid w:val="00AD2DC5"/>
    <w:rsid w:val="00AD4730"/>
    <w:rsid w:val="00AD4A04"/>
    <w:rsid w:val="00AD571C"/>
    <w:rsid w:val="00AE300A"/>
    <w:rsid w:val="00AE467E"/>
    <w:rsid w:val="00AE5EA3"/>
    <w:rsid w:val="00AE7AF6"/>
    <w:rsid w:val="00AF078A"/>
    <w:rsid w:val="00AF1F48"/>
    <w:rsid w:val="00AF3CE3"/>
    <w:rsid w:val="00AF523F"/>
    <w:rsid w:val="00AF7C14"/>
    <w:rsid w:val="00B02920"/>
    <w:rsid w:val="00B05BF7"/>
    <w:rsid w:val="00B127EF"/>
    <w:rsid w:val="00B139E3"/>
    <w:rsid w:val="00B13A45"/>
    <w:rsid w:val="00B13B53"/>
    <w:rsid w:val="00B14381"/>
    <w:rsid w:val="00B15CB7"/>
    <w:rsid w:val="00B172F0"/>
    <w:rsid w:val="00B17304"/>
    <w:rsid w:val="00B1756C"/>
    <w:rsid w:val="00B17808"/>
    <w:rsid w:val="00B23476"/>
    <w:rsid w:val="00B247A8"/>
    <w:rsid w:val="00B26BD0"/>
    <w:rsid w:val="00B323F1"/>
    <w:rsid w:val="00B327A9"/>
    <w:rsid w:val="00B374DD"/>
    <w:rsid w:val="00B40667"/>
    <w:rsid w:val="00B43330"/>
    <w:rsid w:val="00B4492E"/>
    <w:rsid w:val="00B45B88"/>
    <w:rsid w:val="00B47D56"/>
    <w:rsid w:val="00B51CFB"/>
    <w:rsid w:val="00B546A5"/>
    <w:rsid w:val="00B54D37"/>
    <w:rsid w:val="00B55FAA"/>
    <w:rsid w:val="00B57ED2"/>
    <w:rsid w:val="00B612A7"/>
    <w:rsid w:val="00B64A0F"/>
    <w:rsid w:val="00B7401D"/>
    <w:rsid w:val="00B827F4"/>
    <w:rsid w:val="00B84078"/>
    <w:rsid w:val="00B938F8"/>
    <w:rsid w:val="00B95119"/>
    <w:rsid w:val="00B96D85"/>
    <w:rsid w:val="00B96E72"/>
    <w:rsid w:val="00BA010F"/>
    <w:rsid w:val="00BA26F1"/>
    <w:rsid w:val="00BA29F3"/>
    <w:rsid w:val="00BA2FEB"/>
    <w:rsid w:val="00BA5D44"/>
    <w:rsid w:val="00BB4F6F"/>
    <w:rsid w:val="00BB5C80"/>
    <w:rsid w:val="00BB675A"/>
    <w:rsid w:val="00BB6A91"/>
    <w:rsid w:val="00BC0D9E"/>
    <w:rsid w:val="00BC4256"/>
    <w:rsid w:val="00BC470F"/>
    <w:rsid w:val="00BC4A85"/>
    <w:rsid w:val="00BC6960"/>
    <w:rsid w:val="00BC6A3A"/>
    <w:rsid w:val="00BD0C90"/>
    <w:rsid w:val="00BD353C"/>
    <w:rsid w:val="00BD44F4"/>
    <w:rsid w:val="00BD5393"/>
    <w:rsid w:val="00BE1577"/>
    <w:rsid w:val="00BE37FF"/>
    <w:rsid w:val="00BE3942"/>
    <w:rsid w:val="00BE437E"/>
    <w:rsid w:val="00BE4F25"/>
    <w:rsid w:val="00BE670E"/>
    <w:rsid w:val="00BF102C"/>
    <w:rsid w:val="00BF3C01"/>
    <w:rsid w:val="00BF41EF"/>
    <w:rsid w:val="00BF44B4"/>
    <w:rsid w:val="00BF650E"/>
    <w:rsid w:val="00C01907"/>
    <w:rsid w:val="00C01AF0"/>
    <w:rsid w:val="00C02C09"/>
    <w:rsid w:val="00C0580F"/>
    <w:rsid w:val="00C059BB"/>
    <w:rsid w:val="00C144DC"/>
    <w:rsid w:val="00C16F70"/>
    <w:rsid w:val="00C24FBB"/>
    <w:rsid w:val="00C25124"/>
    <w:rsid w:val="00C313D4"/>
    <w:rsid w:val="00C32C1C"/>
    <w:rsid w:val="00C359B5"/>
    <w:rsid w:val="00C3699C"/>
    <w:rsid w:val="00C379CC"/>
    <w:rsid w:val="00C40AEF"/>
    <w:rsid w:val="00C41CEC"/>
    <w:rsid w:val="00C43D86"/>
    <w:rsid w:val="00C441D2"/>
    <w:rsid w:val="00C541CF"/>
    <w:rsid w:val="00C57073"/>
    <w:rsid w:val="00C57910"/>
    <w:rsid w:val="00C625FA"/>
    <w:rsid w:val="00C628C4"/>
    <w:rsid w:val="00C6476D"/>
    <w:rsid w:val="00C64B60"/>
    <w:rsid w:val="00C658D1"/>
    <w:rsid w:val="00C66212"/>
    <w:rsid w:val="00C71384"/>
    <w:rsid w:val="00C718EE"/>
    <w:rsid w:val="00C73B08"/>
    <w:rsid w:val="00C74A5E"/>
    <w:rsid w:val="00C74E79"/>
    <w:rsid w:val="00C82E76"/>
    <w:rsid w:val="00C852F1"/>
    <w:rsid w:val="00C86F2E"/>
    <w:rsid w:val="00C873EE"/>
    <w:rsid w:val="00CA0AF4"/>
    <w:rsid w:val="00CA13C9"/>
    <w:rsid w:val="00CA4D38"/>
    <w:rsid w:val="00CA5804"/>
    <w:rsid w:val="00CA784A"/>
    <w:rsid w:val="00CB0853"/>
    <w:rsid w:val="00CB139F"/>
    <w:rsid w:val="00CB2808"/>
    <w:rsid w:val="00CB6D7C"/>
    <w:rsid w:val="00CC3514"/>
    <w:rsid w:val="00CC3A7E"/>
    <w:rsid w:val="00CD17A1"/>
    <w:rsid w:val="00CD3997"/>
    <w:rsid w:val="00CD4558"/>
    <w:rsid w:val="00CD78D2"/>
    <w:rsid w:val="00CE0BFA"/>
    <w:rsid w:val="00CE526D"/>
    <w:rsid w:val="00CE59FE"/>
    <w:rsid w:val="00CF0E68"/>
    <w:rsid w:val="00CF5616"/>
    <w:rsid w:val="00CF588F"/>
    <w:rsid w:val="00CF66B6"/>
    <w:rsid w:val="00CF6A38"/>
    <w:rsid w:val="00D05341"/>
    <w:rsid w:val="00D136FD"/>
    <w:rsid w:val="00D14BE7"/>
    <w:rsid w:val="00D15F27"/>
    <w:rsid w:val="00D17EAF"/>
    <w:rsid w:val="00D228F2"/>
    <w:rsid w:val="00D22936"/>
    <w:rsid w:val="00D23F8A"/>
    <w:rsid w:val="00D24C74"/>
    <w:rsid w:val="00D2789F"/>
    <w:rsid w:val="00D30415"/>
    <w:rsid w:val="00D30935"/>
    <w:rsid w:val="00D31745"/>
    <w:rsid w:val="00D349C7"/>
    <w:rsid w:val="00D35044"/>
    <w:rsid w:val="00D35C10"/>
    <w:rsid w:val="00D36023"/>
    <w:rsid w:val="00D402D1"/>
    <w:rsid w:val="00D42851"/>
    <w:rsid w:val="00D458F9"/>
    <w:rsid w:val="00D470C3"/>
    <w:rsid w:val="00D523AA"/>
    <w:rsid w:val="00D55009"/>
    <w:rsid w:val="00D6050C"/>
    <w:rsid w:val="00D61484"/>
    <w:rsid w:val="00D6205C"/>
    <w:rsid w:val="00D62497"/>
    <w:rsid w:val="00D62679"/>
    <w:rsid w:val="00D62E91"/>
    <w:rsid w:val="00D674EF"/>
    <w:rsid w:val="00D67F1D"/>
    <w:rsid w:val="00D721FE"/>
    <w:rsid w:val="00D73701"/>
    <w:rsid w:val="00D7413F"/>
    <w:rsid w:val="00D7499C"/>
    <w:rsid w:val="00D749B1"/>
    <w:rsid w:val="00D74F8D"/>
    <w:rsid w:val="00D8029E"/>
    <w:rsid w:val="00D80930"/>
    <w:rsid w:val="00D81A24"/>
    <w:rsid w:val="00D81F93"/>
    <w:rsid w:val="00D86194"/>
    <w:rsid w:val="00D87BD4"/>
    <w:rsid w:val="00D903D0"/>
    <w:rsid w:val="00D939E1"/>
    <w:rsid w:val="00D94482"/>
    <w:rsid w:val="00D96371"/>
    <w:rsid w:val="00D978B6"/>
    <w:rsid w:val="00DA10C6"/>
    <w:rsid w:val="00DA1835"/>
    <w:rsid w:val="00DA1997"/>
    <w:rsid w:val="00DA498A"/>
    <w:rsid w:val="00DA638A"/>
    <w:rsid w:val="00DA7903"/>
    <w:rsid w:val="00DB1B59"/>
    <w:rsid w:val="00DB3257"/>
    <w:rsid w:val="00DB5088"/>
    <w:rsid w:val="00DB790F"/>
    <w:rsid w:val="00DC25DB"/>
    <w:rsid w:val="00DC46A8"/>
    <w:rsid w:val="00DC47FE"/>
    <w:rsid w:val="00DD1B3E"/>
    <w:rsid w:val="00DE074A"/>
    <w:rsid w:val="00DE16FB"/>
    <w:rsid w:val="00DE1701"/>
    <w:rsid w:val="00DE1E61"/>
    <w:rsid w:val="00DE4241"/>
    <w:rsid w:val="00DE69E1"/>
    <w:rsid w:val="00DF168C"/>
    <w:rsid w:val="00DF178E"/>
    <w:rsid w:val="00DF181E"/>
    <w:rsid w:val="00DF42BE"/>
    <w:rsid w:val="00DF5E15"/>
    <w:rsid w:val="00E01C63"/>
    <w:rsid w:val="00E0326D"/>
    <w:rsid w:val="00E04835"/>
    <w:rsid w:val="00E059FE"/>
    <w:rsid w:val="00E078CA"/>
    <w:rsid w:val="00E10415"/>
    <w:rsid w:val="00E10542"/>
    <w:rsid w:val="00E105A9"/>
    <w:rsid w:val="00E11915"/>
    <w:rsid w:val="00E11A76"/>
    <w:rsid w:val="00E1361D"/>
    <w:rsid w:val="00E1681D"/>
    <w:rsid w:val="00E17301"/>
    <w:rsid w:val="00E20734"/>
    <w:rsid w:val="00E2180B"/>
    <w:rsid w:val="00E25A28"/>
    <w:rsid w:val="00E263E9"/>
    <w:rsid w:val="00E26C10"/>
    <w:rsid w:val="00E27064"/>
    <w:rsid w:val="00E30DB6"/>
    <w:rsid w:val="00E310DF"/>
    <w:rsid w:val="00E4001F"/>
    <w:rsid w:val="00E43A28"/>
    <w:rsid w:val="00E45496"/>
    <w:rsid w:val="00E51964"/>
    <w:rsid w:val="00E5303F"/>
    <w:rsid w:val="00E657BA"/>
    <w:rsid w:val="00E668D0"/>
    <w:rsid w:val="00E67B63"/>
    <w:rsid w:val="00E7759C"/>
    <w:rsid w:val="00E91000"/>
    <w:rsid w:val="00E937A4"/>
    <w:rsid w:val="00EA1B98"/>
    <w:rsid w:val="00EA26AB"/>
    <w:rsid w:val="00EA2AE6"/>
    <w:rsid w:val="00EA72A0"/>
    <w:rsid w:val="00EB08EF"/>
    <w:rsid w:val="00EB12B7"/>
    <w:rsid w:val="00EB29A3"/>
    <w:rsid w:val="00EB3BC8"/>
    <w:rsid w:val="00EB3CF8"/>
    <w:rsid w:val="00EB4C0B"/>
    <w:rsid w:val="00EB5918"/>
    <w:rsid w:val="00EB697E"/>
    <w:rsid w:val="00EC4067"/>
    <w:rsid w:val="00EC448A"/>
    <w:rsid w:val="00EC588F"/>
    <w:rsid w:val="00EC6F16"/>
    <w:rsid w:val="00EC7083"/>
    <w:rsid w:val="00ED06B6"/>
    <w:rsid w:val="00ED0AB2"/>
    <w:rsid w:val="00ED1915"/>
    <w:rsid w:val="00EE099A"/>
    <w:rsid w:val="00EE26C4"/>
    <w:rsid w:val="00EE2AA5"/>
    <w:rsid w:val="00EE3088"/>
    <w:rsid w:val="00EE5AA9"/>
    <w:rsid w:val="00EE62A7"/>
    <w:rsid w:val="00EE68DA"/>
    <w:rsid w:val="00EE768D"/>
    <w:rsid w:val="00EE7A3E"/>
    <w:rsid w:val="00EF1B6C"/>
    <w:rsid w:val="00EF3CF0"/>
    <w:rsid w:val="00EF4AE1"/>
    <w:rsid w:val="00EF5686"/>
    <w:rsid w:val="00EF7B3A"/>
    <w:rsid w:val="00F0001B"/>
    <w:rsid w:val="00F00A94"/>
    <w:rsid w:val="00F0249C"/>
    <w:rsid w:val="00F02F8F"/>
    <w:rsid w:val="00F03997"/>
    <w:rsid w:val="00F059D2"/>
    <w:rsid w:val="00F067F9"/>
    <w:rsid w:val="00F06990"/>
    <w:rsid w:val="00F153D2"/>
    <w:rsid w:val="00F15606"/>
    <w:rsid w:val="00F2048E"/>
    <w:rsid w:val="00F21140"/>
    <w:rsid w:val="00F21444"/>
    <w:rsid w:val="00F2765B"/>
    <w:rsid w:val="00F310E3"/>
    <w:rsid w:val="00F322BB"/>
    <w:rsid w:val="00F331D7"/>
    <w:rsid w:val="00F33349"/>
    <w:rsid w:val="00F33AB9"/>
    <w:rsid w:val="00F33F53"/>
    <w:rsid w:val="00F3584E"/>
    <w:rsid w:val="00F376EC"/>
    <w:rsid w:val="00F41D65"/>
    <w:rsid w:val="00F420D8"/>
    <w:rsid w:val="00F42C9B"/>
    <w:rsid w:val="00F45C8B"/>
    <w:rsid w:val="00F47B5F"/>
    <w:rsid w:val="00F5031B"/>
    <w:rsid w:val="00F552F1"/>
    <w:rsid w:val="00F56684"/>
    <w:rsid w:val="00F60DDF"/>
    <w:rsid w:val="00F61A82"/>
    <w:rsid w:val="00F6318D"/>
    <w:rsid w:val="00F63DA0"/>
    <w:rsid w:val="00F64B17"/>
    <w:rsid w:val="00F64DC4"/>
    <w:rsid w:val="00F65B3F"/>
    <w:rsid w:val="00F66122"/>
    <w:rsid w:val="00F717D5"/>
    <w:rsid w:val="00F72D28"/>
    <w:rsid w:val="00F764A5"/>
    <w:rsid w:val="00F81391"/>
    <w:rsid w:val="00F850B2"/>
    <w:rsid w:val="00F8758D"/>
    <w:rsid w:val="00F91A25"/>
    <w:rsid w:val="00F94007"/>
    <w:rsid w:val="00F95D7B"/>
    <w:rsid w:val="00FA06E9"/>
    <w:rsid w:val="00FA0CB1"/>
    <w:rsid w:val="00FA17CF"/>
    <w:rsid w:val="00FA375F"/>
    <w:rsid w:val="00FA56DD"/>
    <w:rsid w:val="00FA7E62"/>
    <w:rsid w:val="00FB0D99"/>
    <w:rsid w:val="00FB11C7"/>
    <w:rsid w:val="00FB2F88"/>
    <w:rsid w:val="00FB438F"/>
    <w:rsid w:val="00FB55DB"/>
    <w:rsid w:val="00FB5B0A"/>
    <w:rsid w:val="00FB6C91"/>
    <w:rsid w:val="00FC5304"/>
    <w:rsid w:val="00FC5BDE"/>
    <w:rsid w:val="00FC6046"/>
    <w:rsid w:val="00FD198B"/>
    <w:rsid w:val="00FD2B6B"/>
    <w:rsid w:val="00FD379E"/>
    <w:rsid w:val="00FD3ACA"/>
    <w:rsid w:val="00FD67C2"/>
    <w:rsid w:val="00FD710B"/>
    <w:rsid w:val="00FD797E"/>
    <w:rsid w:val="00FE0227"/>
    <w:rsid w:val="00FE144F"/>
    <w:rsid w:val="00FE4187"/>
    <w:rsid w:val="00FE61C6"/>
    <w:rsid w:val="00FF25F2"/>
    <w:rsid w:val="00FF373D"/>
    <w:rsid w:val="00FF612E"/>
    <w:rsid w:val="00FF682D"/>
    <w:rsid w:val="00FF6F0F"/>
    <w:rsid w:val="00FF7B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B2CDE5-146D-4BBA-B830-AFFDC77D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EC"/>
  </w:style>
  <w:style w:type="paragraph" w:styleId="Ttulo1">
    <w:name w:val="heading 1"/>
    <w:aliases w:val="Edgar 1"/>
    <w:basedOn w:val="Normal"/>
    <w:next w:val="Normal"/>
    <w:link w:val="Ttulo1Car"/>
    <w:qFormat/>
    <w:rsid w:val="00FB5B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2 headline,h,Edgar 2,Parte I"/>
    <w:basedOn w:val="Normal"/>
    <w:next w:val="Normal"/>
    <w:link w:val="Ttulo2Car"/>
    <w:unhideWhenUsed/>
    <w:qFormat/>
    <w:rsid w:val="000E56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aliases w:val="Titulo tres,Titulo tres Car,Edgar 3,1.1.1Título 3,Título 3-BCN,TTC 3,TTC 3 Car,Título 3A,título 3,moloko,3 bullet"/>
    <w:basedOn w:val="Normal"/>
    <w:next w:val="Normal"/>
    <w:link w:val="Ttulo3Car"/>
    <w:qFormat/>
    <w:rsid w:val="00E7759C"/>
    <w:pPr>
      <w:keepNext/>
      <w:tabs>
        <w:tab w:val="num" w:pos="1923"/>
      </w:tabs>
      <w:spacing w:before="120" w:after="60" w:line="240" w:lineRule="auto"/>
      <w:ind w:left="1923" w:hanging="504"/>
      <w:jc w:val="both"/>
      <w:outlineLvl w:val="2"/>
    </w:pPr>
    <w:rPr>
      <w:rFonts w:ascii="Trebuchet MS" w:eastAsia="MS Mincho" w:hAnsi="Trebuchet MS" w:cs="Times New Roman"/>
      <w:b/>
      <w:bCs/>
      <w:szCs w:val="26"/>
      <w:lang w:val="es-ES" w:eastAsia="ja-JP"/>
    </w:rPr>
  </w:style>
  <w:style w:type="paragraph" w:styleId="Ttulo4">
    <w:name w:val="heading 4"/>
    <w:aliases w:val="Título 4 - BCN,4 dash,d,3"/>
    <w:basedOn w:val="Normal"/>
    <w:next w:val="Normal"/>
    <w:link w:val="Ttulo4Car"/>
    <w:qFormat/>
    <w:rsid w:val="00E7759C"/>
    <w:pPr>
      <w:keepNext/>
      <w:numPr>
        <w:numId w:val="3"/>
      </w:numPr>
      <w:spacing w:before="120" w:after="0" w:line="240" w:lineRule="auto"/>
      <w:outlineLvl w:val="3"/>
    </w:pPr>
    <w:rPr>
      <w:rFonts w:ascii="Trebuchet MS" w:eastAsia="Times New Roman" w:hAnsi="Trebuchet MS" w:cs="Arial"/>
      <w:bCs/>
      <w:i/>
      <w:szCs w:val="20"/>
      <w:lang w:val="es-ES_tradnl" w:eastAsia="es-ES"/>
    </w:rPr>
  </w:style>
  <w:style w:type="paragraph" w:styleId="Ttulo5">
    <w:name w:val="heading 5"/>
    <w:aliases w:val="Título 5-BCN"/>
    <w:basedOn w:val="Normal"/>
    <w:next w:val="Normal"/>
    <w:link w:val="Ttulo5Car"/>
    <w:qFormat/>
    <w:rsid w:val="00E7759C"/>
    <w:pPr>
      <w:keepNext/>
      <w:autoSpaceDE w:val="0"/>
      <w:autoSpaceDN w:val="0"/>
      <w:adjustRightInd w:val="0"/>
      <w:spacing w:after="0" w:line="240" w:lineRule="auto"/>
      <w:jc w:val="right"/>
      <w:outlineLvl w:val="4"/>
    </w:pPr>
    <w:rPr>
      <w:rFonts w:ascii="Trebuchet MS" w:eastAsia="Times New Roman" w:hAnsi="Trebuchet MS" w:cs="Arial"/>
      <w:b/>
      <w:bCs/>
      <w:color w:val="000000"/>
      <w:sz w:val="20"/>
      <w:szCs w:val="20"/>
      <w:lang w:val="es-ES" w:eastAsia="es-ES"/>
    </w:rPr>
  </w:style>
  <w:style w:type="paragraph" w:styleId="Ttulo6">
    <w:name w:val="heading 6"/>
    <w:aliases w:val="Título 6-BCN"/>
    <w:basedOn w:val="Normal"/>
    <w:next w:val="Normal"/>
    <w:link w:val="Ttulo6Car"/>
    <w:qFormat/>
    <w:rsid w:val="00E7759C"/>
    <w:pPr>
      <w:keepNext/>
      <w:autoSpaceDE w:val="0"/>
      <w:autoSpaceDN w:val="0"/>
      <w:adjustRightInd w:val="0"/>
      <w:spacing w:after="0" w:line="240" w:lineRule="auto"/>
      <w:outlineLvl w:val="5"/>
    </w:pPr>
    <w:rPr>
      <w:rFonts w:ascii="Trebuchet MS" w:eastAsia="Times New Roman" w:hAnsi="Trebuchet MS" w:cs="Arial"/>
      <w:b/>
      <w:bCs/>
      <w:color w:val="000000"/>
      <w:sz w:val="20"/>
      <w:szCs w:val="20"/>
      <w:lang w:val="es-ES" w:eastAsia="es-ES"/>
    </w:rPr>
  </w:style>
  <w:style w:type="paragraph" w:styleId="Ttulo7">
    <w:name w:val="heading 7"/>
    <w:basedOn w:val="Normal"/>
    <w:next w:val="Normal"/>
    <w:link w:val="Ttulo7Car"/>
    <w:qFormat/>
    <w:rsid w:val="00E7759C"/>
    <w:pPr>
      <w:keepNext/>
      <w:autoSpaceDE w:val="0"/>
      <w:autoSpaceDN w:val="0"/>
      <w:adjustRightInd w:val="0"/>
      <w:spacing w:after="0" w:line="240" w:lineRule="auto"/>
      <w:jc w:val="center"/>
      <w:outlineLvl w:val="6"/>
    </w:pPr>
    <w:rPr>
      <w:rFonts w:ascii="Trebuchet MS" w:eastAsia="Times New Roman" w:hAnsi="Trebuchet MS" w:cs="Arial"/>
      <w:b/>
      <w:bCs/>
      <w:color w:val="000000"/>
      <w:sz w:val="18"/>
      <w:szCs w:val="24"/>
      <w:lang w:val="es-ES" w:eastAsia="es-ES"/>
    </w:rPr>
  </w:style>
  <w:style w:type="paragraph" w:styleId="Ttulo8">
    <w:name w:val="heading 8"/>
    <w:basedOn w:val="Normal"/>
    <w:next w:val="Normal"/>
    <w:link w:val="Ttulo8Car"/>
    <w:unhideWhenUsed/>
    <w:qFormat/>
    <w:rsid w:val="00EB3BC8"/>
    <w:pPr>
      <w:keepNext/>
      <w:keepLines/>
      <w:spacing w:before="120" w:after="0" w:line="259" w:lineRule="auto"/>
      <w:outlineLvl w:val="7"/>
    </w:pPr>
    <w:rPr>
      <w:rFonts w:asciiTheme="majorHAnsi" w:eastAsiaTheme="majorEastAsia" w:hAnsiTheme="majorHAnsi" w:cstheme="majorBidi"/>
      <w:b/>
      <w:bCs/>
      <w:caps/>
      <w:color w:val="7F7F7F" w:themeColor="text1" w:themeTint="80"/>
      <w:sz w:val="20"/>
      <w:szCs w:val="20"/>
      <w:lang w:val="es-MX" w:eastAsia="en-US"/>
    </w:rPr>
  </w:style>
  <w:style w:type="paragraph" w:styleId="Ttulo9">
    <w:name w:val="heading 9"/>
    <w:basedOn w:val="Normal"/>
    <w:next w:val="Normal"/>
    <w:link w:val="Ttulo9Car"/>
    <w:unhideWhenUsed/>
    <w:qFormat/>
    <w:rsid w:val="00EB3BC8"/>
    <w:pPr>
      <w:keepNext/>
      <w:keepLines/>
      <w:spacing w:before="120" w:after="0" w:line="259" w:lineRule="auto"/>
      <w:outlineLvl w:val="8"/>
    </w:pPr>
    <w:rPr>
      <w:rFonts w:asciiTheme="majorHAnsi" w:eastAsiaTheme="majorEastAsia" w:hAnsiTheme="majorHAnsi" w:cstheme="majorBidi"/>
      <w:b/>
      <w:bCs/>
      <w:i/>
      <w:iCs/>
      <w:caps/>
      <w:color w:val="7F7F7F" w:themeColor="text1" w:themeTint="80"/>
      <w:sz w:val="20"/>
      <w:szCs w:val="20"/>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Edgar 1 Car"/>
    <w:basedOn w:val="Fuentedeprrafopredeter"/>
    <w:link w:val="Ttulo1"/>
    <w:rsid w:val="00FB5B0A"/>
    <w:rPr>
      <w:rFonts w:asciiTheme="majorHAnsi" w:eastAsiaTheme="majorEastAsia" w:hAnsiTheme="majorHAnsi" w:cstheme="majorBidi"/>
      <w:b/>
      <w:bCs/>
      <w:color w:val="365F91" w:themeColor="accent1" w:themeShade="BF"/>
      <w:sz w:val="28"/>
      <w:szCs w:val="28"/>
    </w:rPr>
  </w:style>
  <w:style w:type="paragraph" w:styleId="Prrafodelista">
    <w:name w:val="List Paragraph"/>
    <w:aliases w:val="Pбrrafo de lista,HOJA,Colorful List Accent 1,Colorful List - Accent 11,Guión,BOLA,Estilo 3,Titulo 8,ViÃ±eta 2,List Paragraph1,Colorful List - Accent 111"/>
    <w:basedOn w:val="Normal"/>
    <w:link w:val="PrrafodelistaCar"/>
    <w:uiPriority w:val="34"/>
    <w:qFormat/>
    <w:rsid w:val="003417DC"/>
    <w:pPr>
      <w:ind w:left="720"/>
      <w:contextualSpacing/>
    </w:pPr>
  </w:style>
  <w:style w:type="table" w:styleId="Tablaconcuadrcula">
    <w:name w:val="Table Grid"/>
    <w:basedOn w:val="Tablanormal"/>
    <w:uiPriority w:val="59"/>
    <w:rsid w:val="007B0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76DC1"/>
    <w:pPr>
      <w:spacing w:after="0" w:line="240" w:lineRule="auto"/>
    </w:pPr>
    <w:rPr>
      <w:lang w:val="es-ES"/>
    </w:rPr>
  </w:style>
  <w:style w:type="paragraph" w:styleId="Textodeglobo">
    <w:name w:val="Balloon Text"/>
    <w:basedOn w:val="Normal"/>
    <w:link w:val="TextodegloboCar"/>
    <w:uiPriority w:val="99"/>
    <w:unhideWhenUsed/>
    <w:rsid w:val="000B76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0B76C8"/>
    <w:rPr>
      <w:rFonts w:ascii="Tahoma" w:hAnsi="Tahoma" w:cs="Tahoma"/>
      <w:sz w:val="16"/>
      <w:szCs w:val="16"/>
    </w:rPr>
  </w:style>
  <w:style w:type="paragraph" w:styleId="NormalWeb">
    <w:name w:val="Normal (Web)"/>
    <w:basedOn w:val="Normal"/>
    <w:uiPriority w:val="99"/>
    <w:unhideWhenUsed/>
    <w:rsid w:val="00DA7903"/>
    <w:pPr>
      <w:spacing w:after="0" w:line="240" w:lineRule="auto"/>
    </w:pPr>
    <w:rPr>
      <w:rFonts w:ascii="Times New Roman" w:hAnsi="Times New Roman" w:cs="Times New Roman"/>
      <w:sz w:val="24"/>
      <w:szCs w:val="24"/>
    </w:rPr>
  </w:style>
  <w:style w:type="character" w:customStyle="1" w:styleId="TextonotapieCar">
    <w:name w:val="Texto nota pie Car"/>
    <w:aliases w:val="ft Car,Texto nota pie 1 Car"/>
    <w:basedOn w:val="Fuentedeprrafopredeter"/>
    <w:link w:val="Textonotapie"/>
    <w:uiPriority w:val="99"/>
    <w:rsid w:val="00DA7903"/>
    <w:rPr>
      <w:sz w:val="20"/>
      <w:szCs w:val="20"/>
    </w:rPr>
  </w:style>
  <w:style w:type="paragraph" w:styleId="Textonotapie">
    <w:name w:val="footnote text"/>
    <w:aliases w:val="ft,Texto nota pie 1"/>
    <w:basedOn w:val="Normal"/>
    <w:link w:val="TextonotapieCar"/>
    <w:uiPriority w:val="99"/>
    <w:unhideWhenUsed/>
    <w:rsid w:val="00DA7903"/>
    <w:pPr>
      <w:spacing w:after="0" w:line="240" w:lineRule="auto"/>
    </w:pPr>
    <w:rPr>
      <w:sz w:val="20"/>
      <w:szCs w:val="20"/>
    </w:rPr>
  </w:style>
  <w:style w:type="character" w:styleId="Refdenotaalpie">
    <w:name w:val="footnote reference"/>
    <w:basedOn w:val="Fuentedeprrafopredeter"/>
    <w:uiPriority w:val="99"/>
    <w:unhideWhenUsed/>
    <w:rsid w:val="00DA7903"/>
    <w:rPr>
      <w:vertAlign w:val="superscript"/>
    </w:rPr>
  </w:style>
  <w:style w:type="character" w:customStyle="1" w:styleId="noleidos">
    <w:name w:val="noleidos"/>
    <w:basedOn w:val="Fuentedeprrafopredeter"/>
    <w:rsid w:val="00DA7903"/>
  </w:style>
  <w:style w:type="character" w:customStyle="1" w:styleId="vinculos">
    <w:name w:val="vinculos"/>
    <w:basedOn w:val="Fuentedeprrafopredeter"/>
    <w:rsid w:val="00DA7903"/>
  </w:style>
  <w:style w:type="paragraph" w:styleId="Encabezado">
    <w:name w:val="header"/>
    <w:aliases w:val="encabezado,Encabezado1,para doc. Metro"/>
    <w:basedOn w:val="Normal"/>
    <w:link w:val="EncabezadoCar"/>
    <w:uiPriority w:val="99"/>
    <w:unhideWhenUsed/>
    <w:rsid w:val="00DA7903"/>
    <w:pPr>
      <w:tabs>
        <w:tab w:val="center" w:pos="4419"/>
        <w:tab w:val="right" w:pos="8838"/>
      </w:tabs>
      <w:spacing w:after="0" w:line="240" w:lineRule="auto"/>
    </w:pPr>
    <w:rPr>
      <w:rFonts w:ascii="Times New Roman" w:hAnsi="Times New Roman" w:cs="Times New Roman"/>
      <w:sz w:val="24"/>
      <w:szCs w:val="24"/>
    </w:rPr>
  </w:style>
  <w:style w:type="character" w:customStyle="1" w:styleId="EncabezadoCar">
    <w:name w:val="Encabezado Car"/>
    <w:aliases w:val="encabezado Car,Encabezado1 Car,para doc. Metro Car"/>
    <w:basedOn w:val="Fuentedeprrafopredeter"/>
    <w:link w:val="Encabezado"/>
    <w:uiPriority w:val="99"/>
    <w:rsid w:val="00DA7903"/>
    <w:rPr>
      <w:rFonts w:ascii="Times New Roman" w:hAnsi="Times New Roman" w:cs="Times New Roman"/>
      <w:sz w:val="24"/>
      <w:szCs w:val="24"/>
      <w:lang w:eastAsia="es-CO"/>
    </w:rPr>
  </w:style>
  <w:style w:type="paragraph" w:styleId="Piedepgina">
    <w:name w:val="footer"/>
    <w:basedOn w:val="Normal"/>
    <w:link w:val="PiedepginaCar"/>
    <w:unhideWhenUsed/>
    <w:rsid w:val="00DA7903"/>
    <w:pPr>
      <w:tabs>
        <w:tab w:val="center" w:pos="4419"/>
        <w:tab w:val="right" w:pos="8838"/>
      </w:tabs>
      <w:spacing w:after="0" w:line="240" w:lineRule="auto"/>
    </w:pPr>
    <w:rPr>
      <w:rFonts w:ascii="Times New Roman" w:hAnsi="Times New Roman" w:cs="Times New Roman"/>
      <w:sz w:val="24"/>
      <w:szCs w:val="24"/>
    </w:rPr>
  </w:style>
  <w:style w:type="character" w:customStyle="1" w:styleId="PiedepginaCar">
    <w:name w:val="Pie de página Car"/>
    <w:basedOn w:val="Fuentedeprrafopredeter"/>
    <w:link w:val="Piedepgina"/>
    <w:rsid w:val="00DA7903"/>
    <w:rPr>
      <w:rFonts w:ascii="Times New Roman" w:hAnsi="Times New Roman" w:cs="Times New Roman"/>
      <w:sz w:val="24"/>
      <w:szCs w:val="24"/>
      <w:lang w:eastAsia="es-CO"/>
    </w:rPr>
  </w:style>
  <w:style w:type="character" w:customStyle="1" w:styleId="SinespaciadoCar">
    <w:name w:val="Sin espaciado Car"/>
    <w:link w:val="Sinespaciado"/>
    <w:uiPriority w:val="1"/>
    <w:rsid w:val="00D74F8D"/>
    <w:rPr>
      <w:lang w:val="es-ES"/>
    </w:rPr>
  </w:style>
  <w:style w:type="paragraph" w:customStyle="1" w:styleId="textoelt">
    <w:name w:val="textoelt"/>
    <w:basedOn w:val="Normal"/>
    <w:rsid w:val="00D74F8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ulodeTDC">
    <w:name w:val="TOC Heading"/>
    <w:basedOn w:val="Ttulo1"/>
    <w:next w:val="Normal"/>
    <w:uiPriority w:val="39"/>
    <w:unhideWhenUsed/>
    <w:qFormat/>
    <w:rsid w:val="000E56AD"/>
    <w:pPr>
      <w:outlineLvl w:val="9"/>
    </w:pPr>
    <w:rPr>
      <w:lang w:val="es-ES"/>
    </w:rPr>
  </w:style>
  <w:style w:type="paragraph" w:styleId="TDC1">
    <w:name w:val="toc 1"/>
    <w:basedOn w:val="Normal"/>
    <w:next w:val="Normal"/>
    <w:autoRedefine/>
    <w:uiPriority w:val="39"/>
    <w:unhideWhenUsed/>
    <w:qFormat/>
    <w:rsid w:val="009D6F51"/>
    <w:pPr>
      <w:tabs>
        <w:tab w:val="left" w:pos="440"/>
        <w:tab w:val="right" w:leader="dot" w:pos="8830"/>
      </w:tabs>
      <w:spacing w:after="100"/>
      <w:jc w:val="both"/>
    </w:pPr>
    <w:rPr>
      <w:sz w:val="32"/>
      <w:szCs w:val="32"/>
    </w:rPr>
  </w:style>
  <w:style w:type="character" w:styleId="Hipervnculo">
    <w:name w:val="Hyperlink"/>
    <w:basedOn w:val="Fuentedeprrafopredeter"/>
    <w:uiPriority w:val="99"/>
    <w:unhideWhenUsed/>
    <w:rsid w:val="000E56AD"/>
    <w:rPr>
      <w:color w:val="0000FF" w:themeColor="hyperlink"/>
      <w:u w:val="single"/>
    </w:rPr>
  </w:style>
  <w:style w:type="character" w:customStyle="1" w:styleId="Ttulo2Car">
    <w:name w:val="Título 2 Car"/>
    <w:aliases w:val="2 headline Car,h Car,Edgar 2 Car,Parte I Car"/>
    <w:basedOn w:val="Fuentedeprrafopredeter"/>
    <w:link w:val="Ttulo2"/>
    <w:uiPriority w:val="9"/>
    <w:rsid w:val="000E56AD"/>
    <w:rPr>
      <w:rFonts w:asciiTheme="majorHAnsi" w:eastAsiaTheme="majorEastAsia" w:hAnsiTheme="majorHAnsi" w:cstheme="majorBidi"/>
      <w:b/>
      <w:bCs/>
      <w:color w:val="4F81BD" w:themeColor="accent1"/>
      <w:sz w:val="26"/>
      <w:szCs w:val="26"/>
    </w:rPr>
  </w:style>
  <w:style w:type="character" w:styleId="nfasis">
    <w:name w:val="Emphasis"/>
    <w:uiPriority w:val="20"/>
    <w:qFormat/>
    <w:rsid w:val="00F60DDF"/>
    <w:rPr>
      <w:i/>
      <w:iCs/>
    </w:rPr>
  </w:style>
  <w:style w:type="paragraph" w:styleId="TDC2">
    <w:name w:val="toc 2"/>
    <w:basedOn w:val="Normal"/>
    <w:next w:val="Normal"/>
    <w:autoRedefine/>
    <w:uiPriority w:val="39"/>
    <w:unhideWhenUsed/>
    <w:qFormat/>
    <w:rsid w:val="009D6F51"/>
    <w:pPr>
      <w:spacing w:after="100"/>
      <w:ind w:left="220"/>
    </w:pPr>
  </w:style>
  <w:style w:type="character" w:styleId="Refdecomentario">
    <w:name w:val="annotation reference"/>
    <w:basedOn w:val="Fuentedeprrafopredeter"/>
    <w:unhideWhenUsed/>
    <w:rsid w:val="00E11915"/>
    <w:rPr>
      <w:sz w:val="16"/>
      <w:szCs w:val="16"/>
    </w:rPr>
  </w:style>
  <w:style w:type="paragraph" w:styleId="Textocomentario">
    <w:name w:val="annotation text"/>
    <w:basedOn w:val="Normal"/>
    <w:link w:val="TextocomentarioCar"/>
    <w:unhideWhenUsed/>
    <w:rsid w:val="00E11915"/>
    <w:pPr>
      <w:spacing w:line="240" w:lineRule="auto"/>
    </w:pPr>
    <w:rPr>
      <w:sz w:val="20"/>
      <w:szCs w:val="20"/>
    </w:rPr>
  </w:style>
  <w:style w:type="character" w:customStyle="1" w:styleId="TextocomentarioCar">
    <w:name w:val="Texto comentario Car"/>
    <w:basedOn w:val="Fuentedeprrafopredeter"/>
    <w:link w:val="Textocomentario"/>
    <w:rsid w:val="00E11915"/>
    <w:rPr>
      <w:sz w:val="20"/>
      <w:szCs w:val="20"/>
    </w:rPr>
  </w:style>
  <w:style w:type="paragraph" w:styleId="Asuntodelcomentario">
    <w:name w:val="annotation subject"/>
    <w:basedOn w:val="Textocomentario"/>
    <w:next w:val="Textocomentario"/>
    <w:link w:val="AsuntodelcomentarioCar"/>
    <w:uiPriority w:val="99"/>
    <w:unhideWhenUsed/>
    <w:rsid w:val="00CC3514"/>
    <w:rPr>
      <w:b/>
      <w:bCs/>
    </w:rPr>
  </w:style>
  <w:style w:type="character" w:customStyle="1" w:styleId="AsuntodelcomentarioCar">
    <w:name w:val="Asunto del comentario Car"/>
    <w:basedOn w:val="TextocomentarioCar"/>
    <w:link w:val="Asuntodelcomentario"/>
    <w:uiPriority w:val="99"/>
    <w:rsid w:val="00CC3514"/>
    <w:rPr>
      <w:b/>
      <w:bCs/>
      <w:sz w:val="20"/>
      <w:szCs w:val="20"/>
    </w:rPr>
  </w:style>
  <w:style w:type="table" w:customStyle="1" w:styleId="Tablaconcuadrcula1">
    <w:name w:val="Tabla con cuadrícula1"/>
    <w:basedOn w:val="Tablanormal"/>
    <w:next w:val="Tablaconcuadrcula"/>
    <w:uiPriority w:val="39"/>
    <w:rsid w:val="0060676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760864"/>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uiPriority w:val="59"/>
    <w:rsid w:val="00486C1D"/>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uiPriority w:val="39"/>
    <w:rsid w:val="0007647E"/>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5">
    <w:name w:val="Tabla con cuadrícula5"/>
    <w:basedOn w:val="Tablanormal"/>
    <w:uiPriority w:val="59"/>
    <w:rsid w:val="00035B21"/>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3">
    <w:name w:val="toc 3"/>
    <w:basedOn w:val="Normal"/>
    <w:next w:val="Normal"/>
    <w:autoRedefine/>
    <w:uiPriority w:val="39"/>
    <w:unhideWhenUsed/>
    <w:qFormat/>
    <w:rsid w:val="004D2A8A"/>
    <w:pPr>
      <w:spacing w:after="100"/>
      <w:ind w:left="440"/>
    </w:pPr>
  </w:style>
  <w:style w:type="character" w:customStyle="1" w:styleId="nfasisintenso1">
    <w:name w:val="nfasisintenso1"/>
    <w:basedOn w:val="Fuentedeprrafopredeter"/>
    <w:rsid w:val="00B247A8"/>
    <w:rPr>
      <w:b/>
      <w:bCs/>
      <w:i/>
      <w:iCs/>
      <w:color w:val="4F81BD"/>
    </w:rPr>
  </w:style>
  <w:style w:type="paragraph" w:styleId="Textonotaalfinal">
    <w:name w:val="endnote text"/>
    <w:basedOn w:val="Normal"/>
    <w:link w:val="TextonotaalfinalCar"/>
    <w:unhideWhenUsed/>
    <w:rsid w:val="004235F8"/>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rsid w:val="004235F8"/>
    <w:rPr>
      <w:rFonts w:eastAsiaTheme="minorHAnsi"/>
      <w:sz w:val="20"/>
      <w:szCs w:val="20"/>
      <w:lang w:eastAsia="en-US"/>
    </w:rPr>
  </w:style>
  <w:style w:type="character" w:styleId="Refdenotaalfinal">
    <w:name w:val="endnote reference"/>
    <w:basedOn w:val="Fuentedeprrafopredeter"/>
    <w:unhideWhenUsed/>
    <w:rsid w:val="004235F8"/>
    <w:rPr>
      <w:vertAlign w:val="superscript"/>
    </w:rPr>
  </w:style>
  <w:style w:type="paragraph" w:customStyle="1" w:styleId="Listavistosa-nfasis11">
    <w:name w:val="Lista vistosa - Énfasis 11"/>
    <w:basedOn w:val="Normal"/>
    <w:uiPriority w:val="34"/>
    <w:qFormat/>
    <w:rsid w:val="004235F8"/>
    <w:pPr>
      <w:ind w:left="720"/>
      <w:contextualSpacing/>
    </w:pPr>
    <w:rPr>
      <w:rFonts w:ascii="Calibri" w:eastAsia="Times New Roman" w:hAnsi="Calibri" w:cs="Times New Roman"/>
    </w:rPr>
  </w:style>
  <w:style w:type="character" w:customStyle="1" w:styleId="leidos">
    <w:name w:val="leidos"/>
    <w:basedOn w:val="Fuentedeprrafopredeter"/>
    <w:rsid w:val="004235F8"/>
  </w:style>
  <w:style w:type="character" w:customStyle="1" w:styleId="Ttulo3Car">
    <w:name w:val="Título 3 Car"/>
    <w:aliases w:val="Titulo tres Car1,Titulo tres Car Car,Edgar 3 Car,1.1.1Título 3 Car,Título 3-BCN Car,TTC 3 Car1,TTC 3 Car Car,Título 3A Car,título 3 Car,moloko Car,3 bullet Car"/>
    <w:basedOn w:val="Fuentedeprrafopredeter"/>
    <w:link w:val="Ttulo3"/>
    <w:rsid w:val="00E7759C"/>
    <w:rPr>
      <w:rFonts w:ascii="Trebuchet MS" w:eastAsia="MS Mincho" w:hAnsi="Trebuchet MS" w:cs="Times New Roman"/>
      <w:b/>
      <w:bCs/>
      <w:szCs w:val="26"/>
      <w:lang w:val="es-ES" w:eastAsia="ja-JP"/>
    </w:rPr>
  </w:style>
  <w:style w:type="character" w:customStyle="1" w:styleId="Ttulo4Car">
    <w:name w:val="Título 4 Car"/>
    <w:aliases w:val="Título 4 - BCN Car,4 dash Car,d Car,3 Car"/>
    <w:basedOn w:val="Fuentedeprrafopredeter"/>
    <w:link w:val="Ttulo4"/>
    <w:rsid w:val="00E7759C"/>
    <w:rPr>
      <w:rFonts w:ascii="Trebuchet MS" w:eastAsia="Times New Roman" w:hAnsi="Trebuchet MS" w:cs="Arial"/>
      <w:bCs/>
      <w:i/>
      <w:szCs w:val="20"/>
      <w:lang w:val="es-ES_tradnl" w:eastAsia="es-ES"/>
    </w:rPr>
  </w:style>
  <w:style w:type="character" w:customStyle="1" w:styleId="Ttulo5Car">
    <w:name w:val="Título 5 Car"/>
    <w:aliases w:val="Título 5-BCN Car"/>
    <w:basedOn w:val="Fuentedeprrafopredeter"/>
    <w:link w:val="Ttulo5"/>
    <w:rsid w:val="00E7759C"/>
    <w:rPr>
      <w:rFonts w:ascii="Trebuchet MS" w:eastAsia="Times New Roman" w:hAnsi="Trebuchet MS" w:cs="Arial"/>
      <w:b/>
      <w:bCs/>
      <w:color w:val="000000"/>
      <w:sz w:val="20"/>
      <w:szCs w:val="20"/>
      <w:lang w:val="es-ES" w:eastAsia="es-ES"/>
    </w:rPr>
  </w:style>
  <w:style w:type="character" w:customStyle="1" w:styleId="Ttulo6Car">
    <w:name w:val="Título 6 Car"/>
    <w:aliases w:val="Título 6-BCN Car"/>
    <w:basedOn w:val="Fuentedeprrafopredeter"/>
    <w:link w:val="Ttulo6"/>
    <w:rsid w:val="00E7759C"/>
    <w:rPr>
      <w:rFonts w:ascii="Trebuchet MS" w:eastAsia="Times New Roman" w:hAnsi="Trebuchet MS" w:cs="Arial"/>
      <w:b/>
      <w:bCs/>
      <w:color w:val="000000"/>
      <w:sz w:val="20"/>
      <w:szCs w:val="20"/>
      <w:lang w:val="es-ES" w:eastAsia="es-ES"/>
    </w:rPr>
  </w:style>
  <w:style w:type="character" w:customStyle="1" w:styleId="Ttulo7Car">
    <w:name w:val="Título 7 Car"/>
    <w:basedOn w:val="Fuentedeprrafopredeter"/>
    <w:link w:val="Ttulo7"/>
    <w:rsid w:val="00E7759C"/>
    <w:rPr>
      <w:rFonts w:ascii="Trebuchet MS" w:eastAsia="Times New Roman" w:hAnsi="Trebuchet MS" w:cs="Arial"/>
      <w:b/>
      <w:bCs/>
      <w:color w:val="000000"/>
      <w:sz w:val="18"/>
      <w:szCs w:val="24"/>
      <w:lang w:val="es-ES" w:eastAsia="es-ES"/>
    </w:rPr>
  </w:style>
  <w:style w:type="numbering" w:customStyle="1" w:styleId="Sinlista1">
    <w:name w:val="Sin lista1"/>
    <w:next w:val="Sinlista"/>
    <w:uiPriority w:val="99"/>
    <w:semiHidden/>
    <w:rsid w:val="00E7759C"/>
  </w:style>
  <w:style w:type="paragraph" w:customStyle="1" w:styleId="Car">
    <w:name w:val="Car"/>
    <w:aliases w:val="Epígrafe Car Car,Car Car Car Car Car,Epígrafe Car2,Epígrafe Car3,Epígrafe Car4,Epígrafe Car5,Epígrafe Car6,Epígrafe Car7,Epígrafe Car8,Epígrafe Car9,Epígrafe Car11,Epígrafe Car21,Tablas,Car1,Tablas + 12 pt,Figs y tabs,Epígrafe1,Figuras,Plano"/>
    <w:basedOn w:val="Normal"/>
    <w:link w:val="TtuloCar"/>
    <w:qFormat/>
    <w:rsid w:val="00E7759C"/>
    <w:pPr>
      <w:spacing w:after="160" w:line="240" w:lineRule="exact"/>
    </w:pPr>
    <w:rPr>
      <w:rFonts w:ascii="Trebuchet MS" w:eastAsia="MS Mincho" w:hAnsi="Trebuchet MS" w:cs="Times New Roman"/>
      <w:sz w:val="24"/>
      <w:szCs w:val="24"/>
      <w:lang w:val="es-ES" w:eastAsia="ja-JP"/>
    </w:rPr>
  </w:style>
  <w:style w:type="character" w:styleId="Nmerodepgina">
    <w:name w:val="page number"/>
    <w:rsid w:val="00E7759C"/>
    <w:rPr>
      <w:rFonts w:ascii="Arial" w:hAnsi="Arial"/>
      <w:sz w:val="20"/>
    </w:rPr>
  </w:style>
  <w:style w:type="paragraph" w:styleId="Textoindependiente3">
    <w:name w:val="Body Text 3"/>
    <w:basedOn w:val="Normal"/>
    <w:link w:val="Textoindependiente3Car"/>
    <w:rsid w:val="00E7759C"/>
    <w:pPr>
      <w:spacing w:after="0" w:line="240" w:lineRule="auto"/>
      <w:jc w:val="both"/>
    </w:pPr>
    <w:rPr>
      <w:rFonts w:ascii="Tahoma" w:eastAsia="Times New Roman" w:hAnsi="Tahoma" w:cs="Tahoma"/>
      <w:szCs w:val="24"/>
      <w:lang w:val="es-ES" w:eastAsia="es-ES"/>
    </w:rPr>
  </w:style>
  <w:style w:type="character" w:customStyle="1" w:styleId="Textoindependiente3Car">
    <w:name w:val="Texto independiente 3 Car"/>
    <w:basedOn w:val="Fuentedeprrafopredeter"/>
    <w:link w:val="Textoindependiente3"/>
    <w:rsid w:val="00E7759C"/>
    <w:rPr>
      <w:rFonts w:ascii="Tahoma" w:eastAsia="Times New Roman" w:hAnsi="Tahoma" w:cs="Tahoma"/>
      <w:szCs w:val="24"/>
      <w:lang w:val="es-ES" w:eastAsia="es-ES"/>
    </w:rPr>
  </w:style>
  <w:style w:type="paragraph" w:styleId="Textoindependiente">
    <w:name w:val="Body Text"/>
    <w:basedOn w:val="Normal"/>
    <w:link w:val="TextoindependienteCar"/>
    <w:rsid w:val="00E7759C"/>
    <w:pPr>
      <w:spacing w:after="0" w:line="240" w:lineRule="auto"/>
      <w:jc w:val="both"/>
    </w:pPr>
    <w:rPr>
      <w:rFonts w:ascii="Tahoma" w:eastAsia="Times New Roman" w:hAnsi="Tahoma" w:cs="Times New Roman"/>
      <w:sz w:val="24"/>
      <w:szCs w:val="20"/>
      <w:lang w:val="es-ES" w:eastAsia="es-ES"/>
    </w:rPr>
  </w:style>
  <w:style w:type="character" w:customStyle="1" w:styleId="TextoindependienteCar">
    <w:name w:val="Texto independiente Car"/>
    <w:basedOn w:val="Fuentedeprrafopredeter"/>
    <w:link w:val="Textoindependiente"/>
    <w:rsid w:val="00E7759C"/>
    <w:rPr>
      <w:rFonts w:ascii="Tahoma" w:eastAsia="Times New Roman" w:hAnsi="Tahoma" w:cs="Times New Roman"/>
      <w:sz w:val="24"/>
      <w:szCs w:val="20"/>
      <w:lang w:val="es-ES" w:eastAsia="es-ES"/>
    </w:rPr>
  </w:style>
  <w:style w:type="paragraph" w:styleId="Sangra2detindependiente">
    <w:name w:val="Body Text Indent 2"/>
    <w:basedOn w:val="Normal"/>
    <w:link w:val="Sangra2detindependienteCar"/>
    <w:rsid w:val="00E7759C"/>
    <w:pPr>
      <w:spacing w:after="120" w:line="480" w:lineRule="auto"/>
      <w:ind w:left="283"/>
    </w:pPr>
    <w:rPr>
      <w:rFonts w:ascii="Times New Roman" w:eastAsia="Times New Roman" w:hAnsi="Times New Roman"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E7759C"/>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E7759C"/>
    <w:pPr>
      <w:spacing w:after="120" w:line="480" w:lineRule="auto"/>
    </w:pPr>
    <w:rPr>
      <w:rFonts w:ascii="Times New Roman" w:eastAsia="Times New Roman" w:hAnsi="Times New Roman" w:cs="Times New Roman"/>
      <w:sz w:val="20"/>
      <w:szCs w:val="20"/>
      <w:lang w:val="es-ES_tradnl" w:eastAsia="es-ES"/>
    </w:rPr>
  </w:style>
  <w:style w:type="character" w:customStyle="1" w:styleId="Textoindependiente2Car">
    <w:name w:val="Texto independiente 2 Car"/>
    <w:basedOn w:val="Fuentedeprrafopredeter"/>
    <w:link w:val="Textoindependiente2"/>
    <w:rsid w:val="00E7759C"/>
    <w:rPr>
      <w:rFonts w:ascii="Times New Roman" w:eastAsia="Times New Roman" w:hAnsi="Times New Roman" w:cs="Times New Roman"/>
      <w:sz w:val="20"/>
      <w:szCs w:val="20"/>
      <w:lang w:val="es-ES_tradnl" w:eastAsia="es-ES"/>
    </w:rPr>
  </w:style>
  <w:style w:type="paragraph" w:styleId="Sangradetextonormal">
    <w:name w:val="Body Text Indent"/>
    <w:basedOn w:val="Normal"/>
    <w:link w:val="SangradetextonormalCar"/>
    <w:rsid w:val="00E7759C"/>
    <w:pPr>
      <w:autoSpaceDE w:val="0"/>
      <w:autoSpaceDN w:val="0"/>
      <w:adjustRightInd w:val="0"/>
      <w:spacing w:after="0" w:line="240" w:lineRule="auto"/>
      <w:ind w:left="2880"/>
      <w:jc w:val="both"/>
    </w:pPr>
    <w:rPr>
      <w:rFonts w:ascii="Trebuchet MS" w:eastAsia="Times New Roman" w:hAnsi="Trebuchet MS" w:cs="Arial"/>
      <w:sz w:val="24"/>
      <w:szCs w:val="24"/>
      <w:lang w:eastAsia="es-ES"/>
    </w:rPr>
  </w:style>
  <w:style w:type="character" w:customStyle="1" w:styleId="SangradetextonormalCar">
    <w:name w:val="Sangría de texto normal Car"/>
    <w:basedOn w:val="Fuentedeprrafopredeter"/>
    <w:link w:val="Sangradetextonormal"/>
    <w:rsid w:val="00E7759C"/>
    <w:rPr>
      <w:rFonts w:ascii="Trebuchet MS" w:eastAsia="Times New Roman" w:hAnsi="Trebuchet MS" w:cs="Arial"/>
      <w:sz w:val="24"/>
      <w:szCs w:val="24"/>
      <w:lang w:eastAsia="es-ES"/>
    </w:rPr>
  </w:style>
  <w:style w:type="paragraph" w:customStyle="1" w:styleId="Car4">
    <w:name w:val="Car4"/>
    <w:basedOn w:val="Normal"/>
    <w:rsid w:val="00E7759C"/>
    <w:pPr>
      <w:spacing w:after="160" w:line="240" w:lineRule="exact"/>
    </w:pPr>
    <w:rPr>
      <w:rFonts w:ascii="Verdana" w:eastAsia="Times New Roman" w:hAnsi="Verdana" w:cs="Times New Roman"/>
      <w:sz w:val="20"/>
      <w:szCs w:val="20"/>
      <w:lang w:val="en-US" w:eastAsia="en-US"/>
    </w:rPr>
  </w:style>
  <w:style w:type="paragraph" w:styleId="Textosinformato">
    <w:name w:val="Plain Text"/>
    <w:basedOn w:val="Normal"/>
    <w:link w:val="TextosinformatoCar"/>
    <w:uiPriority w:val="99"/>
    <w:rsid w:val="00E7759C"/>
    <w:pPr>
      <w:spacing w:after="0" w:line="240" w:lineRule="auto"/>
    </w:pPr>
    <w:rPr>
      <w:rFonts w:ascii="Courier New" w:eastAsia="MS Mincho"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E7759C"/>
    <w:rPr>
      <w:rFonts w:ascii="Courier New" w:eastAsia="MS Mincho" w:hAnsi="Courier New" w:cs="Times New Roman"/>
      <w:sz w:val="20"/>
      <w:szCs w:val="20"/>
      <w:lang w:val="es-ES" w:eastAsia="es-ES"/>
    </w:rPr>
  </w:style>
  <w:style w:type="table" w:customStyle="1" w:styleId="Tablaconcuadrcula6">
    <w:name w:val="Tabla con cuadrícula6"/>
    <w:basedOn w:val="Tablanormal"/>
    <w:next w:val="Tablaconcuadrcula"/>
    <w:uiPriority w:val="59"/>
    <w:rsid w:val="00E775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0">
    <w:name w:val="sinespaciado"/>
    <w:basedOn w:val="Normal"/>
    <w:rsid w:val="00E7759C"/>
    <w:pPr>
      <w:spacing w:after="0" w:line="240" w:lineRule="auto"/>
    </w:pPr>
    <w:rPr>
      <w:rFonts w:ascii="Calibri" w:eastAsia="Calibri" w:hAnsi="Calibri" w:cs="Times New Roman"/>
      <w:lang w:val="es-ES" w:eastAsia="es-ES"/>
    </w:rPr>
  </w:style>
  <w:style w:type="character" w:customStyle="1" w:styleId="miltonramirez">
    <w:name w:val="milton.ramirez"/>
    <w:semiHidden/>
    <w:rsid w:val="00E7759C"/>
    <w:rPr>
      <w:rFonts w:ascii="Arial" w:hAnsi="Arial" w:cs="Arial"/>
      <w:color w:val="000080"/>
      <w:sz w:val="20"/>
      <w:szCs w:val="20"/>
    </w:rPr>
  </w:style>
  <w:style w:type="paragraph" w:customStyle="1" w:styleId="ww-textoindependiente2">
    <w:name w:val="ww-textoindependiente2"/>
    <w:basedOn w:val="Normal"/>
    <w:rsid w:val="00E7759C"/>
    <w:pPr>
      <w:spacing w:after="0" w:line="240" w:lineRule="auto"/>
      <w:jc w:val="both"/>
    </w:pPr>
    <w:rPr>
      <w:rFonts w:ascii="Trebuchet MS" w:eastAsia="Times New Roman" w:hAnsi="Trebuchet MS" w:cs="Arial"/>
      <w:i/>
      <w:iCs/>
      <w:sz w:val="24"/>
      <w:szCs w:val="24"/>
      <w:lang w:val="es-ES" w:eastAsia="es-ES"/>
    </w:rPr>
  </w:style>
  <w:style w:type="character" w:customStyle="1" w:styleId="Marthacaldas">
    <w:name w:val="Martha.caldas"/>
    <w:semiHidden/>
    <w:rsid w:val="00E7759C"/>
    <w:rPr>
      <w:rFonts w:ascii="Arial" w:hAnsi="Arial" w:cs="Arial"/>
      <w:color w:val="000080"/>
      <w:sz w:val="20"/>
      <w:szCs w:val="20"/>
    </w:rPr>
  </w:style>
  <w:style w:type="paragraph" w:customStyle="1" w:styleId="EstiloTtulo1TrebuchetMS">
    <w:name w:val="Estilo Título 1 + Trebuchet MS"/>
    <w:basedOn w:val="Ttulo1"/>
    <w:next w:val="Normal"/>
    <w:rsid w:val="00E7759C"/>
    <w:pPr>
      <w:keepLines w:val="0"/>
      <w:tabs>
        <w:tab w:val="num" w:pos="283"/>
      </w:tabs>
      <w:spacing w:before="240" w:after="60" w:line="240" w:lineRule="auto"/>
      <w:ind w:left="510"/>
      <w:jc w:val="both"/>
    </w:pPr>
    <w:rPr>
      <w:rFonts w:ascii="Trebuchet MS" w:eastAsia="MS Mincho" w:hAnsi="Trebuchet MS" w:cs="Times New Roman"/>
      <w:color w:val="auto"/>
      <w:kern w:val="32"/>
      <w:sz w:val="24"/>
      <w:szCs w:val="32"/>
      <w:lang w:val="es-ES" w:eastAsia="ja-JP"/>
    </w:rPr>
  </w:style>
  <w:style w:type="paragraph" w:styleId="TDC4">
    <w:name w:val="toc 4"/>
    <w:basedOn w:val="Normal"/>
    <w:next w:val="Normal"/>
    <w:autoRedefine/>
    <w:semiHidden/>
    <w:rsid w:val="00E7759C"/>
    <w:pPr>
      <w:spacing w:after="0" w:line="240" w:lineRule="auto"/>
      <w:ind w:left="660"/>
      <w:jc w:val="both"/>
    </w:pPr>
    <w:rPr>
      <w:rFonts w:ascii="Trebuchet MS" w:eastAsia="MS Mincho" w:hAnsi="Trebuchet MS" w:cs="Times New Roman"/>
      <w:szCs w:val="24"/>
      <w:lang w:val="es-ES" w:eastAsia="ja-JP"/>
    </w:rPr>
  </w:style>
  <w:style w:type="paragraph" w:styleId="HTMLconformatoprevio">
    <w:name w:val="HTML Preformatted"/>
    <w:basedOn w:val="Normal"/>
    <w:link w:val="HTMLconformatoprevioCar"/>
    <w:rsid w:val="00E7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eastAsia="zh-CN"/>
    </w:rPr>
  </w:style>
  <w:style w:type="character" w:customStyle="1" w:styleId="HTMLconformatoprevioCar">
    <w:name w:val="HTML con formato previo Car"/>
    <w:basedOn w:val="Fuentedeprrafopredeter"/>
    <w:link w:val="HTMLconformatoprevio"/>
    <w:rsid w:val="00E7759C"/>
    <w:rPr>
      <w:rFonts w:ascii="Courier New" w:eastAsia="SimSun" w:hAnsi="Courier New" w:cs="Times New Roman"/>
      <w:sz w:val="20"/>
      <w:szCs w:val="20"/>
      <w:lang w:eastAsia="zh-CN"/>
    </w:rPr>
  </w:style>
  <w:style w:type="paragraph" w:customStyle="1" w:styleId="Prrafodelista1">
    <w:name w:val="Párrafo de lista1"/>
    <w:basedOn w:val="Normal"/>
    <w:qFormat/>
    <w:rsid w:val="00E7759C"/>
    <w:pPr>
      <w:spacing w:line="120" w:lineRule="auto"/>
      <w:ind w:left="720"/>
    </w:pPr>
    <w:rPr>
      <w:rFonts w:ascii="Calibri" w:eastAsia="Times New Roman" w:hAnsi="Calibri" w:cs="Times New Roman"/>
      <w:lang w:val="es-ES" w:eastAsia="es-ES"/>
    </w:rPr>
  </w:style>
  <w:style w:type="paragraph" w:customStyle="1" w:styleId="Prrafo">
    <w:name w:val="Párrafo"/>
    <w:basedOn w:val="Textonotapie"/>
    <w:link w:val="PrrafoCar"/>
    <w:rsid w:val="00E7759C"/>
    <w:pPr>
      <w:spacing w:line="360" w:lineRule="auto"/>
      <w:ind w:firstLine="709"/>
      <w:jc w:val="both"/>
    </w:pPr>
    <w:rPr>
      <w:rFonts w:ascii="Times New Roman" w:eastAsia="Calibri" w:hAnsi="Times New Roman" w:cs="Times New Roman"/>
      <w:sz w:val="24"/>
      <w:szCs w:val="24"/>
    </w:rPr>
  </w:style>
  <w:style w:type="character" w:customStyle="1" w:styleId="PrrafoCar">
    <w:name w:val="Párrafo Car"/>
    <w:link w:val="Prrafo"/>
    <w:locked/>
    <w:rsid w:val="00E7759C"/>
    <w:rPr>
      <w:rFonts w:ascii="Times New Roman" w:eastAsia="Calibri" w:hAnsi="Times New Roman" w:cs="Times New Roman"/>
      <w:sz w:val="24"/>
      <w:szCs w:val="24"/>
    </w:rPr>
  </w:style>
  <w:style w:type="paragraph" w:customStyle="1" w:styleId="TablaNo">
    <w:name w:val="Tabla No"/>
    <w:basedOn w:val="Normal"/>
    <w:next w:val="Normal"/>
    <w:link w:val="TablaNoCar"/>
    <w:qFormat/>
    <w:rsid w:val="00E7759C"/>
    <w:pPr>
      <w:autoSpaceDE w:val="0"/>
      <w:autoSpaceDN w:val="0"/>
      <w:adjustRightInd w:val="0"/>
      <w:spacing w:after="0" w:line="360" w:lineRule="auto"/>
      <w:ind w:left="4100" w:hanging="360"/>
      <w:jc w:val="center"/>
    </w:pPr>
    <w:rPr>
      <w:rFonts w:ascii="Times New Roman" w:eastAsia="Times New Roman" w:hAnsi="Times New Roman" w:cs="Times New Roman"/>
      <w:b/>
      <w:sz w:val="24"/>
      <w:szCs w:val="24"/>
      <w:lang w:val="es-ES" w:eastAsia="ko-KR"/>
    </w:rPr>
  </w:style>
  <w:style w:type="character" w:customStyle="1" w:styleId="TablaNoCar">
    <w:name w:val="Tabla No Car"/>
    <w:link w:val="TablaNo"/>
    <w:locked/>
    <w:rsid w:val="00E7759C"/>
    <w:rPr>
      <w:rFonts w:ascii="Times New Roman" w:eastAsia="Times New Roman" w:hAnsi="Times New Roman" w:cs="Times New Roman"/>
      <w:b/>
      <w:sz w:val="24"/>
      <w:szCs w:val="24"/>
      <w:lang w:val="es-ES" w:eastAsia="ko-KR"/>
    </w:rPr>
  </w:style>
  <w:style w:type="paragraph" w:customStyle="1" w:styleId="GeomaticaEpgrafe">
    <w:name w:val="Geomatica_Epígrafe"/>
    <w:aliases w:val="Epígrafe Car,Tablas Car"/>
    <w:basedOn w:val="Normal"/>
    <w:next w:val="Normal"/>
    <w:qFormat/>
    <w:rsid w:val="00E7759C"/>
    <w:pPr>
      <w:spacing w:before="240" w:after="60" w:line="240" w:lineRule="auto"/>
      <w:jc w:val="center"/>
      <w:outlineLvl w:val="0"/>
    </w:pPr>
    <w:rPr>
      <w:rFonts w:ascii="Cambria" w:eastAsia="Times New Roman" w:hAnsi="Cambria" w:cs="Times New Roman"/>
      <w:b/>
      <w:bCs/>
      <w:kern w:val="28"/>
      <w:sz w:val="32"/>
      <w:szCs w:val="32"/>
      <w:lang w:val="es-ES" w:eastAsia="ja-JP"/>
    </w:rPr>
  </w:style>
  <w:style w:type="table" w:styleId="Cuadrculamedia3-nfasis3">
    <w:name w:val="Medium Grid 3 Accent 3"/>
    <w:basedOn w:val="Tablanormal"/>
    <w:uiPriority w:val="69"/>
    <w:rsid w:val="00E7759C"/>
    <w:pPr>
      <w:spacing w:after="0" w:line="240" w:lineRule="auto"/>
    </w:pPr>
    <w:rPr>
      <w:rFonts w:ascii="Calibri" w:eastAsia="Calibri" w:hAnsi="Calibri" w:cs="Times New Roman"/>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Textoennegrita">
    <w:name w:val="Strong"/>
    <w:uiPriority w:val="22"/>
    <w:qFormat/>
    <w:rsid w:val="00E7759C"/>
    <w:rPr>
      <w:b/>
      <w:bCs/>
    </w:rPr>
  </w:style>
  <w:style w:type="paragraph" w:styleId="Lista">
    <w:name w:val="List"/>
    <w:basedOn w:val="Normal"/>
    <w:rsid w:val="00E7759C"/>
    <w:pPr>
      <w:widowControl w:val="0"/>
      <w:spacing w:after="0" w:line="240" w:lineRule="auto"/>
      <w:ind w:left="283" w:hanging="283"/>
    </w:pPr>
    <w:rPr>
      <w:rFonts w:ascii="Times New Roman" w:eastAsia="Times New Roman" w:hAnsi="Times New Roman" w:cs="Times New Roman"/>
      <w:color w:val="000000"/>
      <w:sz w:val="20"/>
      <w:szCs w:val="20"/>
      <w:lang w:val="es-ES" w:eastAsia="es-ES"/>
    </w:rPr>
  </w:style>
  <w:style w:type="paragraph" w:customStyle="1" w:styleId="textocaja">
    <w:name w:val="textocaja"/>
    <w:basedOn w:val="Normal"/>
    <w:rsid w:val="00E7759C"/>
    <w:pPr>
      <w:spacing w:before="100" w:beforeAutospacing="1" w:after="100" w:afterAutospacing="1" w:line="240" w:lineRule="auto"/>
      <w:jc w:val="both"/>
    </w:pPr>
    <w:rPr>
      <w:rFonts w:ascii="Georgia" w:eastAsia="Times New Roman" w:hAnsi="Georgia" w:cs="Times New Roman"/>
    </w:rPr>
  </w:style>
  <w:style w:type="character" w:customStyle="1" w:styleId="apple-converted-space">
    <w:name w:val="apple-converted-space"/>
    <w:rsid w:val="00E7759C"/>
  </w:style>
  <w:style w:type="table" w:customStyle="1" w:styleId="Cuadrculaclara-nfasis11">
    <w:name w:val="Cuadrícula clara - Énfasis 11"/>
    <w:basedOn w:val="Tablanormal"/>
    <w:uiPriority w:val="62"/>
    <w:rsid w:val="00E7759C"/>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uiPriority w:val="99"/>
    <w:unhideWhenUsed/>
    <w:rsid w:val="00E7759C"/>
    <w:rPr>
      <w:color w:val="800080"/>
      <w:u w:val="single"/>
    </w:rPr>
  </w:style>
  <w:style w:type="paragraph" w:customStyle="1" w:styleId="default">
    <w:name w:val="default"/>
    <w:basedOn w:val="Normal"/>
    <w:rsid w:val="00E7759C"/>
    <w:pPr>
      <w:spacing w:after="0" w:line="240" w:lineRule="auto"/>
    </w:pPr>
    <w:rPr>
      <w:rFonts w:ascii="Arial" w:eastAsia="Calibri" w:hAnsi="Arial" w:cs="Arial"/>
      <w:color w:val="000000"/>
      <w:sz w:val="24"/>
      <w:szCs w:val="24"/>
    </w:rPr>
  </w:style>
  <w:style w:type="character" w:customStyle="1" w:styleId="PrrafodelistaCar">
    <w:name w:val="Párrafo de lista Car"/>
    <w:aliases w:val="Pбrrafo de lista Car,HOJA Car,Colorful List Accent 1 Car,Colorful List - Accent 11 Car,Guión Car,BOLA Car,Estilo 3 Car,Titulo 8 Car,ViÃ±eta 2 Car,List Paragraph1 Car,Colorful List - Accent 111 Car"/>
    <w:link w:val="Prrafodelista"/>
    <w:uiPriority w:val="34"/>
    <w:locked/>
    <w:rsid w:val="00E7759C"/>
  </w:style>
  <w:style w:type="character" w:styleId="nfasisintenso">
    <w:name w:val="Intense Emphasis"/>
    <w:uiPriority w:val="21"/>
    <w:qFormat/>
    <w:rsid w:val="00E7759C"/>
    <w:rPr>
      <w:b/>
      <w:bCs/>
      <w:i/>
      <w:iCs/>
      <w:color w:val="4F81BD"/>
    </w:rPr>
  </w:style>
  <w:style w:type="character" w:customStyle="1" w:styleId="nfasisintenso10">
    <w:name w:val="Énfasis intenso1"/>
    <w:uiPriority w:val="21"/>
    <w:qFormat/>
    <w:rsid w:val="00E7759C"/>
    <w:rPr>
      <w:b/>
      <w:bCs/>
      <w:i/>
      <w:iCs/>
      <w:color w:val="4F81BD"/>
    </w:rPr>
  </w:style>
  <w:style w:type="paragraph" w:customStyle="1" w:styleId="EstiloJustificado">
    <w:name w:val="Estilo Justificado"/>
    <w:basedOn w:val="Normal"/>
    <w:rsid w:val="00E7759C"/>
    <w:pPr>
      <w:spacing w:after="0" w:line="240" w:lineRule="auto"/>
      <w:jc w:val="both"/>
    </w:pPr>
    <w:rPr>
      <w:rFonts w:ascii="Arial Narrow" w:eastAsia="Times New Roman" w:hAnsi="Arial Narrow" w:cs="Times New Roman"/>
      <w:sz w:val="24"/>
      <w:szCs w:val="20"/>
      <w:lang w:val="es-ES" w:eastAsia="es-ES"/>
    </w:rPr>
  </w:style>
  <w:style w:type="paragraph" w:customStyle="1" w:styleId="CUADRO">
    <w:name w:val="CUADRO"/>
    <w:basedOn w:val="Normal"/>
    <w:autoRedefine/>
    <w:rsid w:val="00E7759C"/>
    <w:pPr>
      <w:spacing w:after="0" w:line="240" w:lineRule="auto"/>
      <w:jc w:val="both"/>
    </w:pPr>
    <w:rPr>
      <w:rFonts w:ascii="Calibri" w:eastAsia="Times New Roman" w:hAnsi="Calibri" w:cs="Arial"/>
      <w:lang w:eastAsia="es-ES"/>
    </w:rPr>
  </w:style>
  <w:style w:type="character" w:customStyle="1" w:styleId="PuestoCar1">
    <w:name w:val="Puesto Car1"/>
    <w:link w:val="Puesto"/>
    <w:rsid w:val="00E7759C"/>
    <w:rPr>
      <w:rFonts w:ascii="Cambria" w:eastAsia="Times New Roman" w:hAnsi="Cambria" w:cs="Times New Roman"/>
      <w:b/>
      <w:bCs/>
      <w:kern w:val="28"/>
      <w:sz w:val="32"/>
      <w:szCs w:val="32"/>
      <w:lang w:val="es-ES" w:eastAsia="ja-JP"/>
    </w:rPr>
  </w:style>
  <w:style w:type="paragraph" w:styleId="Subttulo">
    <w:name w:val="Subtitle"/>
    <w:basedOn w:val="Normal"/>
    <w:next w:val="Normal"/>
    <w:link w:val="SubttuloCar"/>
    <w:uiPriority w:val="11"/>
    <w:qFormat/>
    <w:rsid w:val="00E7759C"/>
    <w:pPr>
      <w:spacing w:after="60" w:line="240" w:lineRule="auto"/>
      <w:jc w:val="center"/>
      <w:outlineLvl w:val="1"/>
    </w:pPr>
    <w:rPr>
      <w:rFonts w:ascii="Cambria" w:eastAsia="Times New Roman" w:hAnsi="Cambria" w:cs="Times New Roman"/>
      <w:sz w:val="24"/>
      <w:szCs w:val="24"/>
      <w:lang w:val="es-ES" w:eastAsia="ja-JP"/>
    </w:rPr>
  </w:style>
  <w:style w:type="character" w:customStyle="1" w:styleId="SubttuloCar">
    <w:name w:val="Subtítulo Car"/>
    <w:basedOn w:val="Fuentedeprrafopredeter"/>
    <w:link w:val="Subttulo"/>
    <w:uiPriority w:val="11"/>
    <w:rsid w:val="00E7759C"/>
    <w:rPr>
      <w:rFonts w:ascii="Cambria" w:eastAsia="Times New Roman" w:hAnsi="Cambria" w:cs="Times New Roman"/>
      <w:sz w:val="24"/>
      <w:szCs w:val="24"/>
      <w:lang w:val="es-ES" w:eastAsia="ja-JP"/>
    </w:rPr>
  </w:style>
  <w:style w:type="paragraph" w:styleId="Puesto">
    <w:name w:val="Title"/>
    <w:basedOn w:val="Normal"/>
    <w:next w:val="Normal"/>
    <w:link w:val="PuestoCar1"/>
    <w:uiPriority w:val="10"/>
    <w:qFormat/>
    <w:rsid w:val="00E7759C"/>
    <w:pPr>
      <w:spacing w:after="0" w:line="240" w:lineRule="auto"/>
      <w:contextualSpacing/>
    </w:pPr>
    <w:rPr>
      <w:rFonts w:ascii="Cambria" w:eastAsia="Times New Roman" w:hAnsi="Cambria" w:cs="Times New Roman"/>
      <w:b/>
      <w:bCs/>
      <w:kern w:val="28"/>
      <w:sz w:val="32"/>
      <w:szCs w:val="32"/>
      <w:lang w:val="es-ES" w:eastAsia="ja-JP"/>
    </w:rPr>
  </w:style>
  <w:style w:type="character" w:customStyle="1" w:styleId="PuestoCar">
    <w:name w:val="Puesto Car"/>
    <w:basedOn w:val="Fuentedeprrafopredeter"/>
    <w:uiPriority w:val="10"/>
    <w:rsid w:val="00E7759C"/>
    <w:rPr>
      <w:rFonts w:asciiTheme="majorHAnsi" w:eastAsiaTheme="majorEastAsia" w:hAnsiTheme="majorHAnsi" w:cstheme="majorBidi"/>
      <w:spacing w:val="-10"/>
      <w:kern w:val="28"/>
      <w:sz w:val="56"/>
      <w:szCs w:val="56"/>
    </w:rPr>
  </w:style>
  <w:style w:type="table" w:customStyle="1" w:styleId="Tabladecuadrcula5oscura-nfasis31">
    <w:name w:val="Tabla de cuadrícula 5 oscura - Énfasis 31"/>
    <w:basedOn w:val="Tablanormal"/>
    <w:uiPriority w:val="50"/>
    <w:rsid w:val="00224ABF"/>
    <w:pPr>
      <w:spacing w:after="0" w:line="240" w:lineRule="auto"/>
    </w:pPr>
    <w:rPr>
      <w:rFonts w:ascii="Calibri" w:eastAsia="Calibri" w:hAnsi="Calibri" w:cs="Times New Roman"/>
      <w:sz w:val="20"/>
      <w:szCs w:val="20"/>
      <w:lang w:val="es-MX"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EGHB">
    <w:name w:val="EGHB"/>
    <w:basedOn w:val="Normal"/>
    <w:link w:val="EGHBCar"/>
    <w:qFormat/>
    <w:rsid w:val="00224ABF"/>
    <w:pPr>
      <w:pBdr>
        <w:bottom w:val="single" w:sz="4" w:space="1" w:color="auto"/>
      </w:pBdr>
      <w:jc w:val="both"/>
    </w:pPr>
    <w:rPr>
      <w:rFonts w:ascii="Arial Narrow" w:eastAsia="Calibri" w:hAnsi="Arial Narrow" w:cs="Arial"/>
      <w:b/>
      <w:sz w:val="24"/>
      <w:szCs w:val="24"/>
      <w:lang w:val="es-ES" w:eastAsia="en-US"/>
    </w:rPr>
  </w:style>
  <w:style w:type="character" w:customStyle="1" w:styleId="EGHBCar">
    <w:name w:val="EGHB Car"/>
    <w:link w:val="EGHB"/>
    <w:rsid w:val="00224ABF"/>
    <w:rPr>
      <w:rFonts w:ascii="Arial Narrow" w:eastAsia="Calibri" w:hAnsi="Arial Narrow" w:cs="Arial"/>
      <w:b/>
      <w:sz w:val="24"/>
      <w:szCs w:val="24"/>
      <w:lang w:val="es-ES" w:eastAsia="en-US"/>
    </w:rPr>
  </w:style>
  <w:style w:type="paragraph" w:styleId="Lista2">
    <w:name w:val="List 2"/>
    <w:basedOn w:val="Normal"/>
    <w:rsid w:val="00224ABF"/>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customStyle="1" w:styleId="Default0">
    <w:name w:val="Default"/>
    <w:rsid w:val="00224ABF"/>
    <w:pPr>
      <w:autoSpaceDE w:val="0"/>
      <w:autoSpaceDN w:val="0"/>
      <w:adjustRightInd w:val="0"/>
      <w:spacing w:after="0" w:line="240" w:lineRule="auto"/>
    </w:pPr>
    <w:rPr>
      <w:rFonts w:ascii="Calibri" w:eastAsia="Calibri" w:hAnsi="Calibri" w:cs="Calibri"/>
      <w:color w:val="000000"/>
      <w:sz w:val="24"/>
      <w:szCs w:val="24"/>
      <w:lang w:val="es-MX" w:eastAsia="en-US"/>
    </w:rPr>
  </w:style>
  <w:style w:type="paragraph" w:customStyle="1" w:styleId="Estilo">
    <w:name w:val="Estilo"/>
    <w:rsid w:val="00224AB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styleId="ndice1">
    <w:name w:val="index 1"/>
    <w:basedOn w:val="Normal"/>
    <w:next w:val="Normal"/>
    <w:autoRedefine/>
    <w:semiHidden/>
    <w:rsid w:val="00224ABF"/>
    <w:pPr>
      <w:numPr>
        <w:numId w:val="4"/>
      </w:numPr>
      <w:spacing w:after="0" w:line="240" w:lineRule="auto"/>
      <w:jc w:val="both"/>
    </w:pPr>
    <w:rPr>
      <w:rFonts w:ascii="Arial" w:eastAsia="Times New Roman" w:hAnsi="Arial" w:cs="Arial"/>
      <w:b/>
      <w:bCs/>
      <w:sz w:val="24"/>
      <w:szCs w:val="24"/>
      <w:lang w:val="es-ES" w:eastAsia="es-ES"/>
    </w:rPr>
  </w:style>
  <w:style w:type="paragraph" w:customStyle="1" w:styleId="Textoindependiente21">
    <w:name w:val="Texto independiente 21"/>
    <w:basedOn w:val="Normal"/>
    <w:rsid w:val="00224ABF"/>
    <w:pPr>
      <w:widowControl w:val="0"/>
      <w:spacing w:after="0" w:line="240" w:lineRule="auto"/>
      <w:jc w:val="both"/>
    </w:pPr>
    <w:rPr>
      <w:rFonts w:ascii="Arial" w:eastAsia="Times New Roman" w:hAnsi="Arial" w:cs="Times New Roman"/>
      <w:szCs w:val="20"/>
      <w:lang w:eastAsia="es-ES"/>
    </w:rPr>
  </w:style>
  <w:style w:type="character" w:customStyle="1" w:styleId="Ttulo20">
    <w:name w:val="Título #2_"/>
    <w:link w:val="Ttulo21"/>
    <w:rsid w:val="00224ABF"/>
    <w:rPr>
      <w:rFonts w:ascii="Arial" w:eastAsia="Arial" w:hAnsi="Arial" w:cs="Arial"/>
      <w:sz w:val="23"/>
      <w:szCs w:val="23"/>
      <w:shd w:val="clear" w:color="auto" w:fill="FFFFFF"/>
    </w:rPr>
  </w:style>
  <w:style w:type="paragraph" w:customStyle="1" w:styleId="Ttulo21">
    <w:name w:val="Título #2"/>
    <w:basedOn w:val="Normal"/>
    <w:link w:val="Ttulo20"/>
    <w:rsid w:val="00224ABF"/>
    <w:pPr>
      <w:shd w:val="clear" w:color="auto" w:fill="FFFFFF"/>
      <w:spacing w:after="120" w:line="0" w:lineRule="atLeast"/>
      <w:outlineLvl w:val="1"/>
    </w:pPr>
    <w:rPr>
      <w:rFonts w:ascii="Arial" w:eastAsia="Arial" w:hAnsi="Arial" w:cs="Arial"/>
      <w:sz w:val="23"/>
      <w:szCs w:val="23"/>
    </w:rPr>
  </w:style>
  <w:style w:type="character" w:customStyle="1" w:styleId="Cuerpodeltexto5">
    <w:name w:val="Cuerpo del texto (5)_"/>
    <w:link w:val="Cuerpodeltexto50"/>
    <w:rsid w:val="00224ABF"/>
    <w:rPr>
      <w:rFonts w:ascii="Times New Roman" w:eastAsia="Times New Roman" w:hAnsi="Times New Roman" w:cs="Times New Roman"/>
      <w:sz w:val="17"/>
      <w:szCs w:val="17"/>
      <w:shd w:val="clear" w:color="auto" w:fill="FFFFFF"/>
    </w:rPr>
  </w:style>
  <w:style w:type="paragraph" w:customStyle="1" w:styleId="Cuerpodeltexto50">
    <w:name w:val="Cuerpo del texto (5)"/>
    <w:basedOn w:val="Normal"/>
    <w:link w:val="Cuerpodeltexto5"/>
    <w:rsid w:val="00224ABF"/>
    <w:pPr>
      <w:shd w:val="clear" w:color="auto" w:fill="FFFFFF"/>
      <w:spacing w:after="0" w:line="0" w:lineRule="atLeast"/>
    </w:pPr>
    <w:rPr>
      <w:rFonts w:ascii="Times New Roman" w:eastAsia="Times New Roman" w:hAnsi="Times New Roman" w:cs="Times New Roman"/>
      <w:sz w:val="17"/>
      <w:szCs w:val="17"/>
    </w:rPr>
  </w:style>
  <w:style w:type="character" w:customStyle="1" w:styleId="Cuerpodeltexto">
    <w:name w:val="Cuerpo del texto_"/>
    <w:link w:val="Cuerpodeltexto0"/>
    <w:rsid w:val="00224ABF"/>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rsid w:val="00224ABF"/>
    <w:pPr>
      <w:shd w:val="clear" w:color="auto" w:fill="FFFFFF"/>
      <w:spacing w:after="0" w:line="0" w:lineRule="atLeast"/>
    </w:pPr>
    <w:rPr>
      <w:rFonts w:ascii="Times New Roman" w:eastAsia="Times New Roman" w:hAnsi="Times New Roman" w:cs="Times New Roman"/>
      <w:sz w:val="17"/>
      <w:szCs w:val="17"/>
    </w:rPr>
  </w:style>
  <w:style w:type="character" w:customStyle="1" w:styleId="Ttulo40">
    <w:name w:val="Título #4_"/>
    <w:link w:val="Ttulo41"/>
    <w:rsid w:val="00224ABF"/>
    <w:rPr>
      <w:rFonts w:ascii="Times New Roman" w:eastAsia="Times New Roman" w:hAnsi="Times New Roman" w:cs="Times New Roman"/>
      <w:sz w:val="19"/>
      <w:szCs w:val="19"/>
      <w:shd w:val="clear" w:color="auto" w:fill="FFFFFF"/>
    </w:rPr>
  </w:style>
  <w:style w:type="paragraph" w:customStyle="1" w:styleId="Ttulo41">
    <w:name w:val="Título #4"/>
    <w:basedOn w:val="Normal"/>
    <w:link w:val="Ttulo40"/>
    <w:rsid w:val="00224ABF"/>
    <w:pPr>
      <w:shd w:val="clear" w:color="auto" w:fill="FFFFFF"/>
      <w:spacing w:after="0" w:line="228" w:lineRule="exact"/>
      <w:outlineLvl w:val="3"/>
    </w:pPr>
    <w:rPr>
      <w:rFonts w:ascii="Times New Roman" w:eastAsia="Times New Roman" w:hAnsi="Times New Roman" w:cs="Times New Roman"/>
      <w:sz w:val="19"/>
      <w:szCs w:val="19"/>
    </w:rPr>
  </w:style>
  <w:style w:type="character" w:customStyle="1" w:styleId="Ttulo485ptoNegrita">
    <w:name w:val="Título #4 + 8;5 pto;Negrita"/>
    <w:rsid w:val="00224ABF"/>
    <w:rPr>
      <w:rFonts w:ascii="Times New Roman" w:eastAsia="Times New Roman" w:hAnsi="Times New Roman" w:cs="Times New Roman"/>
      <w:b/>
      <w:bCs/>
      <w:sz w:val="17"/>
      <w:szCs w:val="17"/>
      <w:shd w:val="clear" w:color="auto" w:fill="FFFFFF"/>
    </w:rPr>
  </w:style>
  <w:style w:type="character" w:customStyle="1" w:styleId="Ttulo42">
    <w:name w:val="Título #4 (2)_"/>
    <w:link w:val="Ttulo420"/>
    <w:rsid w:val="00224ABF"/>
    <w:rPr>
      <w:rFonts w:ascii="Times New Roman" w:eastAsia="Times New Roman" w:hAnsi="Times New Roman" w:cs="Times New Roman"/>
      <w:sz w:val="19"/>
      <w:szCs w:val="19"/>
      <w:shd w:val="clear" w:color="auto" w:fill="FFFFFF"/>
    </w:rPr>
  </w:style>
  <w:style w:type="paragraph" w:customStyle="1" w:styleId="Ttulo420">
    <w:name w:val="Título #4 (2)"/>
    <w:basedOn w:val="Normal"/>
    <w:link w:val="Ttulo42"/>
    <w:rsid w:val="00224ABF"/>
    <w:pPr>
      <w:shd w:val="clear" w:color="auto" w:fill="FFFFFF"/>
      <w:spacing w:after="0" w:line="228" w:lineRule="exact"/>
      <w:outlineLvl w:val="3"/>
    </w:pPr>
    <w:rPr>
      <w:rFonts w:ascii="Times New Roman" w:eastAsia="Times New Roman" w:hAnsi="Times New Roman" w:cs="Times New Roman"/>
      <w:sz w:val="19"/>
      <w:szCs w:val="19"/>
    </w:rPr>
  </w:style>
  <w:style w:type="character" w:customStyle="1" w:styleId="Ttulo42Sincursiva">
    <w:name w:val="Título #4 (2) + Sin cursiva"/>
    <w:rsid w:val="00224ABF"/>
    <w:rPr>
      <w:rFonts w:ascii="Times New Roman" w:eastAsia="Times New Roman" w:hAnsi="Times New Roman" w:cs="Times New Roman"/>
      <w:i/>
      <w:iCs/>
      <w:sz w:val="19"/>
      <w:szCs w:val="19"/>
      <w:shd w:val="clear" w:color="auto" w:fill="FFFFFF"/>
    </w:rPr>
  </w:style>
  <w:style w:type="character" w:customStyle="1" w:styleId="Ttulo4285ptoNegritaSincursiva">
    <w:name w:val="Título #4 (2) + 8;5 pto;Negrita;Sin cursiva"/>
    <w:rsid w:val="00224ABF"/>
    <w:rPr>
      <w:rFonts w:ascii="Times New Roman" w:eastAsia="Times New Roman" w:hAnsi="Times New Roman" w:cs="Times New Roman"/>
      <w:b/>
      <w:bCs/>
      <w:i/>
      <w:iCs/>
      <w:sz w:val="17"/>
      <w:szCs w:val="17"/>
      <w:shd w:val="clear" w:color="auto" w:fill="FFFFFF"/>
    </w:rPr>
  </w:style>
  <w:style w:type="character" w:customStyle="1" w:styleId="Ttulo43">
    <w:name w:val="Título #4 (3)_"/>
    <w:link w:val="Ttulo430"/>
    <w:rsid w:val="00224ABF"/>
    <w:rPr>
      <w:rFonts w:ascii="Arial" w:eastAsia="Arial" w:hAnsi="Arial" w:cs="Arial"/>
      <w:sz w:val="17"/>
      <w:szCs w:val="17"/>
      <w:shd w:val="clear" w:color="auto" w:fill="FFFFFF"/>
    </w:rPr>
  </w:style>
  <w:style w:type="paragraph" w:customStyle="1" w:styleId="Ttulo430">
    <w:name w:val="Título #4 (3)"/>
    <w:basedOn w:val="Normal"/>
    <w:link w:val="Ttulo43"/>
    <w:rsid w:val="00224ABF"/>
    <w:pPr>
      <w:shd w:val="clear" w:color="auto" w:fill="FFFFFF"/>
      <w:spacing w:before="780" w:after="0" w:line="218" w:lineRule="exact"/>
      <w:outlineLvl w:val="3"/>
    </w:pPr>
    <w:rPr>
      <w:rFonts w:ascii="Arial" w:eastAsia="Arial" w:hAnsi="Arial" w:cs="Arial"/>
      <w:sz w:val="17"/>
      <w:szCs w:val="17"/>
    </w:rPr>
  </w:style>
  <w:style w:type="character" w:customStyle="1" w:styleId="Listavistosa-nfasis1Car">
    <w:name w:val="Lista vistosa - Énfasis 1 Car"/>
    <w:link w:val="Listavistosa-nfasis1"/>
    <w:uiPriority w:val="99"/>
    <w:locked/>
    <w:rsid w:val="00224ABF"/>
  </w:style>
  <w:style w:type="table" w:styleId="Listavistosa-nfasis1">
    <w:name w:val="Colorful List Accent 1"/>
    <w:basedOn w:val="Tablanormal"/>
    <w:link w:val="Listavistosa-nfasis1Car"/>
    <w:uiPriority w:val="99"/>
    <w:semiHidden/>
    <w:unhideWhenUsed/>
    <w:rsid w:val="00224ABF"/>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aconvietas">
    <w:name w:val="List Bullet"/>
    <w:basedOn w:val="Normal"/>
    <w:rsid w:val="00452DEF"/>
    <w:pPr>
      <w:numPr>
        <w:numId w:val="11"/>
      </w:numPr>
      <w:spacing w:after="0" w:line="240" w:lineRule="auto"/>
      <w:contextualSpacing/>
    </w:pPr>
    <w:rPr>
      <w:rFonts w:ascii="Calibri" w:eastAsia="Times New Roman" w:hAnsi="Calibri" w:cs="Times New Roman"/>
      <w:sz w:val="24"/>
      <w:szCs w:val="24"/>
      <w:lang w:val="es-ES" w:eastAsia="es-ES"/>
    </w:rPr>
  </w:style>
  <w:style w:type="paragraph" w:customStyle="1" w:styleId="ecxmsonormal">
    <w:name w:val="ecxmsonormal"/>
    <w:basedOn w:val="Normal"/>
    <w:rsid w:val="00B54D3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normal41">
    <w:name w:val="Tabla normal 41"/>
    <w:basedOn w:val="Tablanormal"/>
    <w:uiPriority w:val="44"/>
    <w:rsid w:val="00DE4241"/>
    <w:pPr>
      <w:spacing w:after="0" w:line="240" w:lineRule="auto"/>
    </w:pPr>
    <w:rPr>
      <w:rFonts w:eastAsiaTheme="minorHAnsi"/>
      <w:lang w:val="es-MX"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escripcinCar">
    <w:name w:val="Descripción Car"/>
    <w:aliases w:val="Epígrafe Car1"/>
    <w:link w:val="Descripcin"/>
    <w:uiPriority w:val="35"/>
    <w:locked/>
    <w:rsid w:val="00861CC8"/>
    <w:rPr>
      <w:rFonts w:ascii="Arial" w:hAnsi="Arial" w:cs="Arial"/>
      <w:b/>
      <w:bCs/>
      <w:sz w:val="24"/>
      <w:szCs w:val="24"/>
      <w:lang w:eastAsia="es-ES"/>
    </w:rPr>
  </w:style>
  <w:style w:type="character" w:customStyle="1" w:styleId="TtuloCar">
    <w:name w:val="Título Car"/>
    <w:link w:val="Car"/>
    <w:rsid w:val="00861CC8"/>
    <w:rPr>
      <w:rFonts w:ascii="Trebuchet MS" w:eastAsia="MS Mincho" w:hAnsi="Trebuchet MS" w:cs="Times New Roman"/>
      <w:sz w:val="24"/>
      <w:szCs w:val="24"/>
      <w:lang w:val="es-ES" w:eastAsia="ja-JP"/>
    </w:rPr>
  </w:style>
  <w:style w:type="paragraph" w:styleId="Descripcin">
    <w:name w:val="caption"/>
    <w:aliases w:val="Epígrafe"/>
    <w:basedOn w:val="Normal"/>
    <w:next w:val="Normal"/>
    <w:link w:val="DescripcinCar"/>
    <w:unhideWhenUsed/>
    <w:qFormat/>
    <w:rsid w:val="00861CC8"/>
    <w:pPr>
      <w:spacing w:line="240" w:lineRule="auto"/>
    </w:pPr>
    <w:rPr>
      <w:rFonts w:ascii="Arial" w:hAnsi="Arial" w:cs="Arial"/>
      <w:b/>
      <w:bCs/>
      <w:sz w:val="24"/>
      <w:szCs w:val="24"/>
      <w:lang w:eastAsia="es-ES"/>
    </w:rPr>
  </w:style>
  <w:style w:type="character" w:customStyle="1" w:styleId="Listavistosa-nfasis1Car1">
    <w:name w:val="Lista vistosa - Énfasis 1 Car1"/>
    <w:uiPriority w:val="34"/>
    <w:rsid w:val="00861CC8"/>
    <w:rPr>
      <w:sz w:val="24"/>
      <w:szCs w:val="24"/>
      <w:lang w:val="es-ES" w:eastAsia="es-ES"/>
    </w:rPr>
  </w:style>
  <w:style w:type="character" w:customStyle="1" w:styleId="EpgrafeCarCarCar">
    <w:name w:val="Epígrafe Car Car Car"/>
    <w:aliases w:val="Car Car Car Car Car Car,Car Car,Epígrafe Car2 Car,Epígrafe Car3 Car,Epígrafe Car4 Car,Epígrafe Car5 Car,Epígrafe Car6 Car,Epígrafe Car7 Car,Epígrafe Car8 Car,Epígrafe Car9 Car,Epígrafe Car11 Car,Epígrafe Car21 Car"/>
    <w:locked/>
    <w:rsid w:val="00861CC8"/>
    <w:rPr>
      <w:rFonts w:ascii="Arial" w:hAnsi="Arial" w:cs="Arial"/>
      <w:b/>
      <w:bCs/>
      <w:sz w:val="24"/>
      <w:szCs w:val="24"/>
      <w:lang w:eastAsia="es-ES"/>
    </w:rPr>
  </w:style>
  <w:style w:type="character" w:customStyle="1" w:styleId="Ttulo8Car">
    <w:name w:val="Título 8 Car"/>
    <w:basedOn w:val="Fuentedeprrafopredeter"/>
    <w:link w:val="Ttulo8"/>
    <w:rsid w:val="00EB3BC8"/>
    <w:rPr>
      <w:rFonts w:asciiTheme="majorHAnsi" w:eastAsiaTheme="majorEastAsia" w:hAnsiTheme="majorHAnsi" w:cstheme="majorBidi"/>
      <w:b/>
      <w:bCs/>
      <w:caps/>
      <w:color w:val="7F7F7F" w:themeColor="text1" w:themeTint="80"/>
      <w:sz w:val="20"/>
      <w:szCs w:val="20"/>
      <w:lang w:val="es-MX" w:eastAsia="en-US"/>
    </w:rPr>
  </w:style>
  <w:style w:type="character" w:customStyle="1" w:styleId="Ttulo9Car">
    <w:name w:val="Título 9 Car"/>
    <w:basedOn w:val="Fuentedeprrafopredeter"/>
    <w:link w:val="Ttulo9"/>
    <w:rsid w:val="00EB3BC8"/>
    <w:rPr>
      <w:rFonts w:asciiTheme="majorHAnsi" w:eastAsiaTheme="majorEastAsia" w:hAnsiTheme="majorHAnsi" w:cstheme="majorBidi"/>
      <w:b/>
      <w:bCs/>
      <w:i/>
      <w:iCs/>
      <w:caps/>
      <w:color w:val="7F7F7F" w:themeColor="text1" w:themeTint="80"/>
      <w:sz w:val="20"/>
      <w:szCs w:val="20"/>
      <w:lang w:val="es-MX" w:eastAsia="en-US"/>
    </w:rPr>
  </w:style>
  <w:style w:type="table" w:customStyle="1" w:styleId="Tablaconcuadrcula7">
    <w:name w:val="Tabla con cuadrícula7"/>
    <w:basedOn w:val="Tablanormal"/>
    <w:next w:val="Tablaconcuadrcula"/>
    <w:uiPriority w:val="39"/>
    <w:rsid w:val="00EB3BC8"/>
    <w:pPr>
      <w:spacing w:after="0" w:line="240" w:lineRule="auto"/>
    </w:pPr>
    <w:rPr>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leidos0">
    <w:name w:val="no_leidos"/>
    <w:rsid w:val="00EB3BC8"/>
  </w:style>
  <w:style w:type="table" w:customStyle="1" w:styleId="Tablaconcuadrcula8">
    <w:name w:val="Tabla con cuadrícula8"/>
    <w:basedOn w:val="Tablanormal"/>
    <w:next w:val="Tablaconcuadrcula"/>
    <w:uiPriority w:val="59"/>
    <w:rsid w:val="00EB3BC8"/>
    <w:pPr>
      <w:spacing w:after="0" w:line="240" w:lineRule="auto"/>
    </w:pPr>
    <w:rPr>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EB3BC8"/>
    <w:pPr>
      <w:spacing w:after="0" w:line="240" w:lineRule="auto"/>
    </w:pPr>
    <w:rPr>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EB3BC8"/>
    <w:pPr>
      <w:spacing w:after="0" w:line="240" w:lineRule="auto"/>
    </w:pPr>
    <w:rPr>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6">
    <w:name w:val="Grid Table 4 Accent 6"/>
    <w:basedOn w:val="Tablanormal"/>
    <w:uiPriority w:val="49"/>
    <w:rsid w:val="00EB3BC8"/>
    <w:pPr>
      <w:spacing w:after="0" w:line="240" w:lineRule="auto"/>
    </w:pPr>
    <w:rPr>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cuadrcula6concolores-nfasis3">
    <w:name w:val="Grid Table 6 Colorful Accent 3"/>
    <w:basedOn w:val="Tablanormal"/>
    <w:uiPriority w:val="51"/>
    <w:rsid w:val="00EB3BC8"/>
    <w:pPr>
      <w:spacing w:after="0" w:line="240" w:lineRule="auto"/>
    </w:pPr>
    <w:rPr>
      <w:color w:val="76923C" w:themeColor="accent3" w:themeShade="BF"/>
      <w:lang w:val="es-MX"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11">
    <w:name w:val="Tabla con cuadrícula11"/>
    <w:basedOn w:val="Tablanormal"/>
    <w:next w:val="Tablaconcuadrcula"/>
    <w:uiPriority w:val="59"/>
    <w:rsid w:val="00EB3BC8"/>
    <w:pPr>
      <w:spacing w:after="0" w:line="240" w:lineRule="auto"/>
    </w:pPr>
    <w:rPr>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next w:val="Normal"/>
    <w:unhideWhenUsed/>
    <w:qFormat/>
    <w:rsid w:val="00EB3BC8"/>
    <w:pPr>
      <w:autoSpaceDE w:val="0"/>
      <w:autoSpaceDN w:val="0"/>
      <w:adjustRightInd w:val="0"/>
      <w:spacing w:after="0" w:line="240" w:lineRule="auto"/>
      <w:jc w:val="both"/>
    </w:pPr>
    <w:rPr>
      <w:rFonts w:ascii="Times New Roman" w:eastAsia="Times New Roman" w:hAnsi="Times New Roman"/>
      <w:b/>
      <w:bCs/>
      <w:sz w:val="20"/>
      <w:szCs w:val="20"/>
      <w:lang w:val="es-ES" w:eastAsia="es-ES"/>
    </w:rPr>
  </w:style>
  <w:style w:type="paragraph" w:customStyle="1" w:styleId="EncabezadoTabla">
    <w:name w:val="Encabezado Tabla"/>
    <w:basedOn w:val="TtulodeTDC"/>
    <w:autoRedefine/>
    <w:qFormat/>
    <w:rsid w:val="00EB3BC8"/>
    <w:pPr>
      <w:tabs>
        <w:tab w:val="left" w:pos="0"/>
      </w:tabs>
      <w:spacing w:before="0" w:after="40" w:line="240" w:lineRule="auto"/>
      <w:jc w:val="center"/>
    </w:pPr>
    <w:rPr>
      <w:rFonts w:ascii="Times New Roman" w:eastAsia="Times New Roman" w:hAnsi="Times New Roman" w:cs="Times New Roman"/>
      <w:bCs w:val="0"/>
      <w:caps/>
      <w:color w:val="auto"/>
      <w:sz w:val="24"/>
      <w:szCs w:val="36"/>
      <w:lang w:val="es-MX"/>
    </w:rPr>
  </w:style>
  <w:style w:type="table" w:customStyle="1" w:styleId="Tablaconcuadrcula12">
    <w:name w:val="Tabla con cuadrícula12"/>
    <w:basedOn w:val="Tablanormal"/>
    <w:next w:val="Tablaconcuadrcula"/>
    <w:uiPriority w:val="39"/>
    <w:rsid w:val="00EB3BC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1"/>
    <w:basedOn w:val="Sangranormal"/>
    <w:uiPriority w:val="99"/>
    <w:rsid w:val="00EB3BC8"/>
    <w:pPr>
      <w:spacing w:after="0" w:line="240" w:lineRule="auto"/>
      <w:ind w:left="3228" w:hanging="360"/>
      <w:jc w:val="both"/>
    </w:pPr>
    <w:rPr>
      <w:rFonts w:ascii="Times New Roman" w:eastAsia="Times New Roman" w:hAnsi="Times New Roman"/>
      <w:sz w:val="24"/>
      <w:szCs w:val="24"/>
      <w:lang w:val="es-ES_tradnl" w:eastAsia="es-ES"/>
    </w:rPr>
  </w:style>
  <w:style w:type="paragraph" w:customStyle="1" w:styleId="Normal10">
    <w:name w:val="Normal1"/>
    <w:rsid w:val="00EB3BC8"/>
    <w:pPr>
      <w:ind w:left="-1" w:right="-1" w:hanging="1"/>
    </w:pPr>
    <w:rPr>
      <w:rFonts w:ascii="Times New Roman" w:eastAsia="Times New Roman" w:hAnsi="Times New Roman" w:cs="Times New Roman"/>
      <w:color w:val="000000"/>
    </w:rPr>
  </w:style>
  <w:style w:type="paragraph" w:styleId="Sangranormal">
    <w:name w:val="Normal Indent"/>
    <w:basedOn w:val="Normal"/>
    <w:uiPriority w:val="99"/>
    <w:semiHidden/>
    <w:unhideWhenUsed/>
    <w:rsid w:val="00EB3BC8"/>
    <w:pPr>
      <w:spacing w:after="160" w:line="259" w:lineRule="auto"/>
      <w:ind w:left="708"/>
    </w:pPr>
    <w:rPr>
      <w:lang w:val="es-MX" w:eastAsia="en-US"/>
    </w:rPr>
  </w:style>
  <w:style w:type="paragraph" w:styleId="Cita">
    <w:name w:val="Quote"/>
    <w:basedOn w:val="Normal"/>
    <w:next w:val="Normal"/>
    <w:link w:val="CitaCar"/>
    <w:uiPriority w:val="29"/>
    <w:qFormat/>
    <w:rsid w:val="00EB3BC8"/>
    <w:pPr>
      <w:spacing w:before="160" w:after="160" w:line="240" w:lineRule="auto"/>
      <w:ind w:left="720" w:right="720"/>
    </w:pPr>
    <w:rPr>
      <w:rFonts w:asciiTheme="majorHAnsi" w:eastAsiaTheme="majorEastAsia" w:hAnsiTheme="majorHAnsi" w:cstheme="majorBidi"/>
      <w:sz w:val="25"/>
      <w:szCs w:val="25"/>
      <w:lang w:val="es-MX" w:eastAsia="en-US"/>
    </w:rPr>
  </w:style>
  <w:style w:type="character" w:customStyle="1" w:styleId="CitaCar">
    <w:name w:val="Cita Car"/>
    <w:basedOn w:val="Fuentedeprrafopredeter"/>
    <w:link w:val="Cita"/>
    <w:uiPriority w:val="29"/>
    <w:rsid w:val="00EB3BC8"/>
    <w:rPr>
      <w:rFonts w:asciiTheme="majorHAnsi" w:eastAsiaTheme="majorEastAsia" w:hAnsiTheme="majorHAnsi" w:cstheme="majorBidi"/>
      <w:sz w:val="25"/>
      <w:szCs w:val="25"/>
      <w:lang w:val="es-MX" w:eastAsia="en-US"/>
    </w:rPr>
  </w:style>
  <w:style w:type="paragraph" w:styleId="Citadestacada">
    <w:name w:val="Intense Quote"/>
    <w:basedOn w:val="Normal"/>
    <w:next w:val="Normal"/>
    <w:link w:val="CitadestacadaCar"/>
    <w:uiPriority w:val="30"/>
    <w:qFormat/>
    <w:rsid w:val="00EB3BC8"/>
    <w:pPr>
      <w:spacing w:before="280" w:after="280" w:line="240" w:lineRule="auto"/>
      <w:ind w:left="1080" w:right="1080"/>
      <w:jc w:val="center"/>
    </w:pPr>
    <w:rPr>
      <w:color w:val="404040" w:themeColor="text1" w:themeTint="BF"/>
      <w:sz w:val="32"/>
      <w:szCs w:val="32"/>
      <w:lang w:val="es-MX" w:eastAsia="en-US"/>
    </w:rPr>
  </w:style>
  <w:style w:type="character" w:customStyle="1" w:styleId="CitadestacadaCar">
    <w:name w:val="Cita destacada Car"/>
    <w:basedOn w:val="Fuentedeprrafopredeter"/>
    <w:link w:val="Citadestacada"/>
    <w:uiPriority w:val="30"/>
    <w:rsid w:val="00EB3BC8"/>
    <w:rPr>
      <w:color w:val="404040" w:themeColor="text1" w:themeTint="BF"/>
      <w:sz w:val="32"/>
      <w:szCs w:val="32"/>
      <w:lang w:val="es-MX" w:eastAsia="en-US"/>
    </w:rPr>
  </w:style>
  <w:style w:type="character" w:styleId="nfasissutil">
    <w:name w:val="Subtle Emphasis"/>
    <w:basedOn w:val="Fuentedeprrafopredeter"/>
    <w:uiPriority w:val="19"/>
    <w:qFormat/>
    <w:rsid w:val="00EB3BC8"/>
    <w:rPr>
      <w:i/>
      <w:iCs/>
      <w:color w:val="595959" w:themeColor="text1" w:themeTint="A6"/>
    </w:rPr>
  </w:style>
  <w:style w:type="character" w:styleId="Referenciasutil">
    <w:name w:val="Subtle Reference"/>
    <w:basedOn w:val="Fuentedeprrafopredeter"/>
    <w:uiPriority w:val="31"/>
    <w:qFormat/>
    <w:rsid w:val="00EB3BC8"/>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EB3BC8"/>
    <w:rPr>
      <w:b/>
      <w:bCs/>
      <w:caps w:val="0"/>
      <w:smallCaps/>
      <w:color w:val="auto"/>
      <w:spacing w:val="3"/>
      <w:u w:val="single"/>
    </w:rPr>
  </w:style>
  <w:style w:type="character" w:styleId="Ttulodellibro">
    <w:name w:val="Book Title"/>
    <w:basedOn w:val="Fuentedeprrafopredeter"/>
    <w:uiPriority w:val="33"/>
    <w:qFormat/>
    <w:rsid w:val="00EB3BC8"/>
    <w:rPr>
      <w:b/>
      <w:bCs/>
      <w:smallCaps/>
      <w:spacing w:val="7"/>
    </w:rPr>
  </w:style>
  <w:style w:type="table" w:customStyle="1" w:styleId="Tablaconcuadrcula13">
    <w:name w:val="Tabla con cuadrícula13"/>
    <w:basedOn w:val="Tablanormal"/>
    <w:next w:val="Tablaconcuadrcula"/>
    <w:uiPriority w:val="59"/>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
    <w:name w:val="Tabla de cuadrícula 4 - Énfasis 61"/>
    <w:basedOn w:val="Tablanormal"/>
    <w:next w:val="Tabladecuadrcula4-nfasis6"/>
    <w:uiPriority w:val="49"/>
    <w:rsid w:val="00EB3BC8"/>
    <w:pPr>
      <w:spacing w:after="0" w:line="240" w:lineRule="auto"/>
    </w:pPr>
    <w:rPr>
      <w:rFonts w:eastAsiaTheme="minorHAnsi"/>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16">
    <w:name w:val="Tabla con cuadrícula16"/>
    <w:basedOn w:val="Tablanormal"/>
    <w:next w:val="Tablaconcuadrcula"/>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EB3BC8"/>
    <w:pPr>
      <w:spacing w:after="0" w:line="240" w:lineRule="auto"/>
    </w:pPr>
    <w:rPr>
      <w:rFonts w:eastAsiaTheme="minorHAnsi"/>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8">
    <w:name w:val="Tabla con cuadrícula18"/>
    <w:basedOn w:val="Tablanormal"/>
    <w:next w:val="Tablaconcuadrcula"/>
    <w:uiPriority w:val="39"/>
    <w:rsid w:val="00EB3BC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ormal"/>
    <w:rsid w:val="00EB3BC8"/>
    <w:pPr>
      <w:widowControl w:val="0"/>
      <w:suppressAutoHyphens/>
      <w:spacing w:after="0" w:line="240" w:lineRule="auto"/>
      <w:jc w:val="both"/>
    </w:pPr>
    <w:rPr>
      <w:rFonts w:ascii="Arial" w:eastAsia="Times New Roman" w:hAnsi="Arial" w:cs="Times New Roman"/>
      <w:sz w:val="24"/>
      <w:szCs w:val="20"/>
      <w:lang w:val="es-ES_tradnl" w:eastAsia="ar-SA"/>
    </w:rPr>
  </w:style>
  <w:style w:type="paragraph" w:customStyle="1" w:styleId="Cuerpo">
    <w:name w:val="Cuerpo"/>
    <w:basedOn w:val="Normal"/>
    <w:qFormat/>
    <w:rsid w:val="00EB3BC8"/>
    <w:pPr>
      <w:spacing w:after="0"/>
      <w:jc w:val="both"/>
    </w:pPr>
    <w:rPr>
      <w:rFonts w:ascii="Arial" w:eastAsia="Calibri" w:hAnsi="Arial" w:cs="Times New Roman"/>
      <w:sz w:val="24"/>
      <w:lang w:val="es-ES" w:eastAsia="en-US"/>
    </w:rPr>
  </w:style>
  <w:style w:type="paragraph" w:customStyle="1" w:styleId="EstiloEncabezadodemensaje11ptCentrado">
    <w:name w:val="Estilo Encabezado de mensaje + 11 pt Centrado"/>
    <w:basedOn w:val="Encabezadodemensaje"/>
    <w:autoRedefine/>
    <w:rsid w:val="00EB3BC8"/>
    <w:pPr>
      <w:shd w:val="clear" w:color="auto" w:fill="auto"/>
      <w:autoSpaceDE w:val="0"/>
      <w:autoSpaceDN w:val="0"/>
      <w:adjustRightInd w:val="0"/>
      <w:jc w:val="center"/>
    </w:pPr>
    <w:rPr>
      <w:rFonts w:ascii="Times New Roman" w:hAnsi="Times New Roman"/>
      <w:sz w:val="22"/>
      <w:szCs w:val="20"/>
    </w:rPr>
  </w:style>
  <w:style w:type="paragraph" w:styleId="Encabezadodemensaje">
    <w:name w:val="Message Header"/>
    <w:basedOn w:val="Normal"/>
    <w:link w:val="EncabezadodemensajeCar"/>
    <w:rsid w:val="00EB3BC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 w:eastAsia="es-ES"/>
    </w:rPr>
  </w:style>
  <w:style w:type="character" w:customStyle="1" w:styleId="EncabezadodemensajeCar">
    <w:name w:val="Encabezado de mensaje Car"/>
    <w:basedOn w:val="Fuentedeprrafopredeter"/>
    <w:link w:val="Encabezadodemensaje"/>
    <w:rsid w:val="00EB3BC8"/>
    <w:rPr>
      <w:rFonts w:ascii="Cambria" w:eastAsia="Times New Roman" w:hAnsi="Cambria" w:cs="Times New Roman"/>
      <w:sz w:val="24"/>
      <w:szCs w:val="24"/>
      <w:shd w:val="pct20" w:color="auto" w:fill="auto"/>
      <w:lang w:val="es-ES" w:eastAsia="es-ES"/>
    </w:rPr>
  </w:style>
  <w:style w:type="paragraph" w:customStyle="1" w:styleId="cm27">
    <w:name w:val="cm27"/>
    <w:basedOn w:val="Normal"/>
    <w:rsid w:val="00EB3BC8"/>
    <w:pPr>
      <w:autoSpaceDE w:val="0"/>
      <w:autoSpaceDN w:val="0"/>
      <w:spacing w:after="0" w:line="240" w:lineRule="auto"/>
    </w:pPr>
    <w:rPr>
      <w:rFonts w:ascii="Arial" w:eastAsia="Calibri" w:hAnsi="Arial" w:cs="Arial"/>
      <w:sz w:val="24"/>
      <w:szCs w:val="24"/>
    </w:rPr>
  </w:style>
  <w:style w:type="paragraph" w:customStyle="1" w:styleId="TituloTabla">
    <w:name w:val="Titulo Tabla"/>
    <w:basedOn w:val="TtulodeTDC"/>
    <w:autoRedefine/>
    <w:qFormat/>
    <w:rsid w:val="00EB3BC8"/>
    <w:pPr>
      <w:tabs>
        <w:tab w:val="left" w:pos="0"/>
      </w:tabs>
      <w:spacing w:before="120" w:line="240" w:lineRule="auto"/>
      <w:jc w:val="center"/>
    </w:pPr>
    <w:rPr>
      <w:rFonts w:ascii="Times New Roman" w:eastAsia="Times New Roman" w:hAnsi="Times New Roman" w:cs="Times New Roman"/>
      <w:bCs w:val="0"/>
      <w:color w:val="auto"/>
      <w:sz w:val="24"/>
      <w:szCs w:val="32"/>
      <w:lang w:val="es-CO"/>
    </w:rPr>
  </w:style>
  <w:style w:type="table" w:customStyle="1" w:styleId="Tablanormal11">
    <w:name w:val="Tabla normal 11"/>
    <w:basedOn w:val="Tablanormal"/>
    <w:next w:val="Tablanormal1"/>
    <w:uiPriority w:val="41"/>
    <w:rsid w:val="00EB3BC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4">
    <w:name w:val="Plain Table 4"/>
    <w:basedOn w:val="Tablanormal"/>
    <w:uiPriority w:val="44"/>
    <w:rsid w:val="00EB3BC8"/>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31">
    <w:name w:val="Tabla de cuadrícula 6 con colores - Énfasis 31"/>
    <w:basedOn w:val="Tablanormal"/>
    <w:next w:val="Tabladecuadrcula6concolores-nfasis3"/>
    <w:uiPriority w:val="51"/>
    <w:rsid w:val="00EB3BC8"/>
    <w:pPr>
      <w:spacing w:after="0" w:line="240" w:lineRule="auto"/>
    </w:pPr>
    <w:rPr>
      <w:rFonts w:ascii="Times New Roman" w:eastAsia="Times New Roman" w:hAnsi="Times New Roman" w:cs="Times New Roman"/>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amedia1-nfasis2">
    <w:name w:val="Medium List 1 Accent 2"/>
    <w:basedOn w:val="Tablanormal"/>
    <w:uiPriority w:val="65"/>
    <w:rsid w:val="00EB3BC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Cuadrculavistosa-nfasis5">
    <w:name w:val="Colorful Grid Accent 5"/>
    <w:basedOn w:val="Tablanormal"/>
    <w:uiPriority w:val="73"/>
    <w:rsid w:val="00EB3BC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adecuadrcula2-nfasis5">
    <w:name w:val="Grid Table 2 Accent 5"/>
    <w:basedOn w:val="Tablanormal"/>
    <w:uiPriority w:val="47"/>
    <w:rsid w:val="00EB3BC8"/>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olumnas5">
    <w:name w:val="Table Columns 5"/>
    <w:basedOn w:val="Tablanormal"/>
    <w:rsid w:val="00EB3BC8"/>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Cuadrculaclara-nfasis5">
    <w:name w:val="Light Grid Accent 5"/>
    <w:basedOn w:val="Tablanormal"/>
    <w:uiPriority w:val="62"/>
    <w:rsid w:val="00EB3BC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abladecuadrcula3-nfasis5">
    <w:name w:val="Grid Table 3 Accent 5"/>
    <w:basedOn w:val="Tablanormal"/>
    <w:uiPriority w:val="48"/>
    <w:rsid w:val="00EB3BC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concuadrcula80">
    <w:name w:val="Table Grid 8"/>
    <w:basedOn w:val="Tablanormal"/>
    <w:rsid w:val="00EB3BC8"/>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decuadrcula4-nfasis5">
    <w:name w:val="Grid Table 4 Accent 5"/>
    <w:basedOn w:val="Tablanormal"/>
    <w:uiPriority w:val="49"/>
    <w:rsid w:val="00EB3BC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6concolores-nfasis5">
    <w:name w:val="Grid Table 6 Colorful Accent 5"/>
    <w:basedOn w:val="Tablanormal"/>
    <w:uiPriority w:val="51"/>
    <w:rsid w:val="00EB3BC8"/>
    <w:pPr>
      <w:spacing w:after="0" w:line="240" w:lineRule="auto"/>
    </w:pPr>
    <w:rPr>
      <w:rFonts w:ascii="Times New Roman" w:eastAsia="Times New Roman" w:hAnsi="Times New Roman" w:cs="Times New Roman"/>
      <w:color w:val="31849B" w:themeColor="accent5" w:themeShade="BF"/>
      <w:sz w:val="20"/>
      <w:szCs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4-nfasis4">
    <w:name w:val="Grid Table 4 Accent 4"/>
    <w:basedOn w:val="Tablanormal"/>
    <w:uiPriority w:val="49"/>
    <w:rsid w:val="00EB3BC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concuadrcula19">
    <w:name w:val="Tabla con cuadrícula19"/>
    <w:basedOn w:val="Tablanormal"/>
    <w:next w:val="Tablaconcuadrcula"/>
    <w:uiPriority w:val="39"/>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EB3BC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39"/>
    <w:rsid w:val="00EB3BC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Normal"/>
    <w:rsid w:val="00EB3B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EB3BC8"/>
  </w:style>
  <w:style w:type="character" w:customStyle="1" w:styleId="eop">
    <w:name w:val="eop"/>
    <w:rsid w:val="00EB3BC8"/>
  </w:style>
  <w:style w:type="character" w:customStyle="1" w:styleId="spellingerror">
    <w:name w:val="spellingerror"/>
    <w:rsid w:val="00EB3BC8"/>
  </w:style>
  <w:style w:type="table" w:customStyle="1" w:styleId="Tablaconcuadrcula22">
    <w:name w:val="Tabla con cuadrícula22"/>
    <w:basedOn w:val="Tablanormal"/>
    <w:next w:val="Tablaconcuadrcula"/>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2">
    <w:name w:val="Tabla de cuadrícula 4 - Énfasis 62"/>
    <w:basedOn w:val="Tablanormal"/>
    <w:next w:val="Tabladecuadrcula4-nfasis6"/>
    <w:uiPriority w:val="49"/>
    <w:rsid w:val="00EB3BC8"/>
    <w:pPr>
      <w:spacing w:after="0" w:line="240" w:lineRule="auto"/>
    </w:pPr>
    <w:rPr>
      <w:rFonts w:eastAsiaTheme="minorHAnsi"/>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110">
    <w:name w:val="Tabla con cuadrícula110"/>
    <w:basedOn w:val="Tablanormal"/>
    <w:next w:val="Tablaconcuadrcula"/>
    <w:uiPriority w:val="59"/>
    <w:rsid w:val="00EB3BC8"/>
    <w:pPr>
      <w:spacing w:after="0" w:line="240" w:lineRule="auto"/>
    </w:pPr>
    <w:rPr>
      <w:rFonts w:eastAsiaTheme="minorHAns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F21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3268">
      <w:bodyDiv w:val="1"/>
      <w:marLeft w:val="0"/>
      <w:marRight w:val="0"/>
      <w:marTop w:val="0"/>
      <w:marBottom w:val="0"/>
      <w:divBdr>
        <w:top w:val="none" w:sz="0" w:space="0" w:color="auto"/>
        <w:left w:val="none" w:sz="0" w:space="0" w:color="auto"/>
        <w:bottom w:val="none" w:sz="0" w:space="0" w:color="auto"/>
        <w:right w:val="none" w:sz="0" w:space="0" w:color="auto"/>
      </w:divBdr>
    </w:div>
    <w:div w:id="8261782">
      <w:bodyDiv w:val="1"/>
      <w:marLeft w:val="0"/>
      <w:marRight w:val="0"/>
      <w:marTop w:val="0"/>
      <w:marBottom w:val="0"/>
      <w:divBdr>
        <w:top w:val="none" w:sz="0" w:space="0" w:color="auto"/>
        <w:left w:val="none" w:sz="0" w:space="0" w:color="auto"/>
        <w:bottom w:val="none" w:sz="0" w:space="0" w:color="auto"/>
        <w:right w:val="none" w:sz="0" w:space="0" w:color="auto"/>
      </w:divBdr>
    </w:div>
    <w:div w:id="22823645">
      <w:bodyDiv w:val="1"/>
      <w:marLeft w:val="0"/>
      <w:marRight w:val="0"/>
      <w:marTop w:val="0"/>
      <w:marBottom w:val="0"/>
      <w:divBdr>
        <w:top w:val="none" w:sz="0" w:space="0" w:color="auto"/>
        <w:left w:val="none" w:sz="0" w:space="0" w:color="auto"/>
        <w:bottom w:val="none" w:sz="0" w:space="0" w:color="auto"/>
        <w:right w:val="none" w:sz="0" w:space="0" w:color="auto"/>
      </w:divBdr>
    </w:div>
    <w:div w:id="29502752">
      <w:bodyDiv w:val="1"/>
      <w:marLeft w:val="0"/>
      <w:marRight w:val="0"/>
      <w:marTop w:val="0"/>
      <w:marBottom w:val="0"/>
      <w:divBdr>
        <w:top w:val="none" w:sz="0" w:space="0" w:color="auto"/>
        <w:left w:val="none" w:sz="0" w:space="0" w:color="auto"/>
        <w:bottom w:val="none" w:sz="0" w:space="0" w:color="auto"/>
        <w:right w:val="none" w:sz="0" w:space="0" w:color="auto"/>
      </w:divBdr>
    </w:div>
    <w:div w:id="36321973">
      <w:bodyDiv w:val="1"/>
      <w:marLeft w:val="0"/>
      <w:marRight w:val="0"/>
      <w:marTop w:val="0"/>
      <w:marBottom w:val="0"/>
      <w:divBdr>
        <w:top w:val="none" w:sz="0" w:space="0" w:color="auto"/>
        <w:left w:val="none" w:sz="0" w:space="0" w:color="auto"/>
        <w:bottom w:val="none" w:sz="0" w:space="0" w:color="auto"/>
        <w:right w:val="none" w:sz="0" w:space="0" w:color="auto"/>
      </w:divBdr>
    </w:div>
    <w:div w:id="45571870">
      <w:bodyDiv w:val="1"/>
      <w:marLeft w:val="0"/>
      <w:marRight w:val="0"/>
      <w:marTop w:val="0"/>
      <w:marBottom w:val="0"/>
      <w:divBdr>
        <w:top w:val="none" w:sz="0" w:space="0" w:color="auto"/>
        <w:left w:val="none" w:sz="0" w:space="0" w:color="auto"/>
        <w:bottom w:val="none" w:sz="0" w:space="0" w:color="auto"/>
        <w:right w:val="none" w:sz="0" w:space="0" w:color="auto"/>
      </w:divBdr>
    </w:div>
    <w:div w:id="49350568">
      <w:bodyDiv w:val="1"/>
      <w:marLeft w:val="0"/>
      <w:marRight w:val="0"/>
      <w:marTop w:val="0"/>
      <w:marBottom w:val="0"/>
      <w:divBdr>
        <w:top w:val="none" w:sz="0" w:space="0" w:color="auto"/>
        <w:left w:val="none" w:sz="0" w:space="0" w:color="auto"/>
        <w:bottom w:val="none" w:sz="0" w:space="0" w:color="auto"/>
        <w:right w:val="none" w:sz="0" w:space="0" w:color="auto"/>
      </w:divBdr>
    </w:div>
    <w:div w:id="51000635">
      <w:bodyDiv w:val="1"/>
      <w:marLeft w:val="0"/>
      <w:marRight w:val="0"/>
      <w:marTop w:val="0"/>
      <w:marBottom w:val="0"/>
      <w:divBdr>
        <w:top w:val="none" w:sz="0" w:space="0" w:color="auto"/>
        <w:left w:val="none" w:sz="0" w:space="0" w:color="auto"/>
        <w:bottom w:val="none" w:sz="0" w:space="0" w:color="auto"/>
        <w:right w:val="none" w:sz="0" w:space="0" w:color="auto"/>
      </w:divBdr>
    </w:div>
    <w:div w:id="51923954">
      <w:bodyDiv w:val="1"/>
      <w:marLeft w:val="0"/>
      <w:marRight w:val="0"/>
      <w:marTop w:val="0"/>
      <w:marBottom w:val="0"/>
      <w:divBdr>
        <w:top w:val="none" w:sz="0" w:space="0" w:color="auto"/>
        <w:left w:val="none" w:sz="0" w:space="0" w:color="auto"/>
        <w:bottom w:val="none" w:sz="0" w:space="0" w:color="auto"/>
        <w:right w:val="none" w:sz="0" w:space="0" w:color="auto"/>
      </w:divBdr>
    </w:div>
    <w:div w:id="82460020">
      <w:bodyDiv w:val="1"/>
      <w:marLeft w:val="0"/>
      <w:marRight w:val="0"/>
      <w:marTop w:val="0"/>
      <w:marBottom w:val="0"/>
      <w:divBdr>
        <w:top w:val="none" w:sz="0" w:space="0" w:color="auto"/>
        <w:left w:val="none" w:sz="0" w:space="0" w:color="auto"/>
        <w:bottom w:val="none" w:sz="0" w:space="0" w:color="auto"/>
        <w:right w:val="none" w:sz="0" w:space="0" w:color="auto"/>
      </w:divBdr>
    </w:div>
    <w:div w:id="86772135">
      <w:bodyDiv w:val="1"/>
      <w:marLeft w:val="0"/>
      <w:marRight w:val="0"/>
      <w:marTop w:val="0"/>
      <w:marBottom w:val="0"/>
      <w:divBdr>
        <w:top w:val="none" w:sz="0" w:space="0" w:color="auto"/>
        <w:left w:val="none" w:sz="0" w:space="0" w:color="auto"/>
        <w:bottom w:val="none" w:sz="0" w:space="0" w:color="auto"/>
        <w:right w:val="none" w:sz="0" w:space="0" w:color="auto"/>
      </w:divBdr>
    </w:div>
    <w:div w:id="93985469">
      <w:bodyDiv w:val="1"/>
      <w:marLeft w:val="0"/>
      <w:marRight w:val="0"/>
      <w:marTop w:val="0"/>
      <w:marBottom w:val="0"/>
      <w:divBdr>
        <w:top w:val="none" w:sz="0" w:space="0" w:color="auto"/>
        <w:left w:val="none" w:sz="0" w:space="0" w:color="auto"/>
        <w:bottom w:val="none" w:sz="0" w:space="0" w:color="auto"/>
        <w:right w:val="none" w:sz="0" w:space="0" w:color="auto"/>
      </w:divBdr>
    </w:div>
    <w:div w:id="95904830">
      <w:bodyDiv w:val="1"/>
      <w:marLeft w:val="0"/>
      <w:marRight w:val="0"/>
      <w:marTop w:val="0"/>
      <w:marBottom w:val="0"/>
      <w:divBdr>
        <w:top w:val="none" w:sz="0" w:space="0" w:color="auto"/>
        <w:left w:val="none" w:sz="0" w:space="0" w:color="auto"/>
        <w:bottom w:val="none" w:sz="0" w:space="0" w:color="auto"/>
        <w:right w:val="none" w:sz="0" w:space="0" w:color="auto"/>
      </w:divBdr>
    </w:div>
    <w:div w:id="105008129">
      <w:bodyDiv w:val="1"/>
      <w:marLeft w:val="0"/>
      <w:marRight w:val="0"/>
      <w:marTop w:val="0"/>
      <w:marBottom w:val="0"/>
      <w:divBdr>
        <w:top w:val="none" w:sz="0" w:space="0" w:color="auto"/>
        <w:left w:val="none" w:sz="0" w:space="0" w:color="auto"/>
        <w:bottom w:val="none" w:sz="0" w:space="0" w:color="auto"/>
        <w:right w:val="none" w:sz="0" w:space="0" w:color="auto"/>
      </w:divBdr>
    </w:div>
    <w:div w:id="121533751">
      <w:bodyDiv w:val="1"/>
      <w:marLeft w:val="0"/>
      <w:marRight w:val="0"/>
      <w:marTop w:val="0"/>
      <w:marBottom w:val="0"/>
      <w:divBdr>
        <w:top w:val="none" w:sz="0" w:space="0" w:color="auto"/>
        <w:left w:val="none" w:sz="0" w:space="0" w:color="auto"/>
        <w:bottom w:val="none" w:sz="0" w:space="0" w:color="auto"/>
        <w:right w:val="none" w:sz="0" w:space="0" w:color="auto"/>
      </w:divBdr>
    </w:div>
    <w:div w:id="129372212">
      <w:bodyDiv w:val="1"/>
      <w:marLeft w:val="0"/>
      <w:marRight w:val="0"/>
      <w:marTop w:val="0"/>
      <w:marBottom w:val="0"/>
      <w:divBdr>
        <w:top w:val="none" w:sz="0" w:space="0" w:color="auto"/>
        <w:left w:val="none" w:sz="0" w:space="0" w:color="auto"/>
        <w:bottom w:val="none" w:sz="0" w:space="0" w:color="auto"/>
        <w:right w:val="none" w:sz="0" w:space="0" w:color="auto"/>
      </w:divBdr>
    </w:div>
    <w:div w:id="135227025">
      <w:bodyDiv w:val="1"/>
      <w:marLeft w:val="0"/>
      <w:marRight w:val="0"/>
      <w:marTop w:val="0"/>
      <w:marBottom w:val="0"/>
      <w:divBdr>
        <w:top w:val="none" w:sz="0" w:space="0" w:color="auto"/>
        <w:left w:val="none" w:sz="0" w:space="0" w:color="auto"/>
        <w:bottom w:val="none" w:sz="0" w:space="0" w:color="auto"/>
        <w:right w:val="none" w:sz="0" w:space="0" w:color="auto"/>
      </w:divBdr>
    </w:div>
    <w:div w:id="139347786">
      <w:bodyDiv w:val="1"/>
      <w:marLeft w:val="0"/>
      <w:marRight w:val="0"/>
      <w:marTop w:val="0"/>
      <w:marBottom w:val="0"/>
      <w:divBdr>
        <w:top w:val="none" w:sz="0" w:space="0" w:color="auto"/>
        <w:left w:val="none" w:sz="0" w:space="0" w:color="auto"/>
        <w:bottom w:val="none" w:sz="0" w:space="0" w:color="auto"/>
        <w:right w:val="none" w:sz="0" w:space="0" w:color="auto"/>
      </w:divBdr>
    </w:div>
    <w:div w:id="139687486">
      <w:bodyDiv w:val="1"/>
      <w:marLeft w:val="0"/>
      <w:marRight w:val="0"/>
      <w:marTop w:val="0"/>
      <w:marBottom w:val="0"/>
      <w:divBdr>
        <w:top w:val="none" w:sz="0" w:space="0" w:color="auto"/>
        <w:left w:val="none" w:sz="0" w:space="0" w:color="auto"/>
        <w:bottom w:val="none" w:sz="0" w:space="0" w:color="auto"/>
        <w:right w:val="none" w:sz="0" w:space="0" w:color="auto"/>
      </w:divBdr>
    </w:div>
    <w:div w:id="142433970">
      <w:bodyDiv w:val="1"/>
      <w:marLeft w:val="0"/>
      <w:marRight w:val="0"/>
      <w:marTop w:val="0"/>
      <w:marBottom w:val="0"/>
      <w:divBdr>
        <w:top w:val="none" w:sz="0" w:space="0" w:color="auto"/>
        <w:left w:val="none" w:sz="0" w:space="0" w:color="auto"/>
        <w:bottom w:val="none" w:sz="0" w:space="0" w:color="auto"/>
        <w:right w:val="none" w:sz="0" w:space="0" w:color="auto"/>
      </w:divBdr>
    </w:div>
    <w:div w:id="145902077">
      <w:bodyDiv w:val="1"/>
      <w:marLeft w:val="0"/>
      <w:marRight w:val="0"/>
      <w:marTop w:val="0"/>
      <w:marBottom w:val="0"/>
      <w:divBdr>
        <w:top w:val="none" w:sz="0" w:space="0" w:color="auto"/>
        <w:left w:val="none" w:sz="0" w:space="0" w:color="auto"/>
        <w:bottom w:val="none" w:sz="0" w:space="0" w:color="auto"/>
        <w:right w:val="none" w:sz="0" w:space="0" w:color="auto"/>
      </w:divBdr>
    </w:div>
    <w:div w:id="159274251">
      <w:bodyDiv w:val="1"/>
      <w:marLeft w:val="0"/>
      <w:marRight w:val="0"/>
      <w:marTop w:val="0"/>
      <w:marBottom w:val="0"/>
      <w:divBdr>
        <w:top w:val="none" w:sz="0" w:space="0" w:color="auto"/>
        <w:left w:val="none" w:sz="0" w:space="0" w:color="auto"/>
        <w:bottom w:val="none" w:sz="0" w:space="0" w:color="auto"/>
        <w:right w:val="none" w:sz="0" w:space="0" w:color="auto"/>
      </w:divBdr>
    </w:div>
    <w:div w:id="171772054">
      <w:bodyDiv w:val="1"/>
      <w:marLeft w:val="0"/>
      <w:marRight w:val="0"/>
      <w:marTop w:val="0"/>
      <w:marBottom w:val="0"/>
      <w:divBdr>
        <w:top w:val="none" w:sz="0" w:space="0" w:color="auto"/>
        <w:left w:val="none" w:sz="0" w:space="0" w:color="auto"/>
        <w:bottom w:val="none" w:sz="0" w:space="0" w:color="auto"/>
        <w:right w:val="none" w:sz="0" w:space="0" w:color="auto"/>
      </w:divBdr>
    </w:div>
    <w:div w:id="178205307">
      <w:bodyDiv w:val="1"/>
      <w:marLeft w:val="0"/>
      <w:marRight w:val="0"/>
      <w:marTop w:val="0"/>
      <w:marBottom w:val="0"/>
      <w:divBdr>
        <w:top w:val="none" w:sz="0" w:space="0" w:color="auto"/>
        <w:left w:val="none" w:sz="0" w:space="0" w:color="auto"/>
        <w:bottom w:val="none" w:sz="0" w:space="0" w:color="auto"/>
        <w:right w:val="none" w:sz="0" w:space="0" w:color="auto"/>
      </w:divBdr>
    </w:div>
    <w:div w:id="179007069">
      <w:bodyDiv w:val="1"/>
      <w:marLeft w:val="0"/>
      <w:marRight w:val="0"/>
      <w:marTop w:val="0"/>
      <w:marBottom w:val="0"/>
      <w:divBdr>
        <w:top w:val="none" w:sz="0" w:space="0" w:color="auto"/>
        <w:left w:val="none" w:sz="0" w:space="0" w:color="auto"/>
        <w:bottom w:val="none" w:sz="0" w:space="0" w:color="auto"/>
        <w:right w:val="none" w:sz="0" w:space="0" w:color="auto"/>
      </w:divBdr>
    </w:div>
    <w:div w:id="184711081">
      <w:bodyDiv w:val="1"/>
      <w:marLeft w:val="0"/>
      <w:marRight w:val="0"/>
      <w:marTop w:val="0"/>
      <w:marBottom w:val="0"/>
      <w:divBdr>
        <w:top w:val="none" w:sz="0" w:space="0" w:color="auto"/>
        <w:left w:val="none" w:sz="0" w:space="0" w:color="auto"/>
        <w:bottom w:val="none" w:sz="0" w:space="0" w:color="auto"/>
        <w:right w:val="none" w:sz="0" w:space="0" w:color="auto"/>
      </w:divBdr>
    </w:div>
    <w:div w:id="185952534">
      <w:bodyDiv w:val="1"/>
      <w:marLeft w:val="0"/>
      <w:marRight w:val="0"/>
      <w:marTop w:val="0"/>
      <w:marBottom w:val="0"/>
      <w:divBdr>
        <w:top w:val="none" w:sz="0" w:space="0" w:color="auto"/>
        <w:left w:val="none" w:sz="0" w:space="0" w:color="auto"/>
        <w:bottom w:val="none" w:sz="0" w:space="0" w:color="auto"/>
        <w:right w:val="none" w:sz="0" w:space="0" w:color="auto"/>
      </w:divBdr>
    </w:div>
    <w:div w:id="193811495">
      <w:bodyDiv w:val="1"/>
      <w:marLeft w:val="0"/>
      <w:marRight w:val="0"/>
      <w:marTop w:val="0"/>
      <w:marBottom w:val="0"/>
      <w:divBdr>
        <w:top w:val="none" w:sz="0" w:space="0" w:color="auto"/>
        <w:left w:val="none" w:sz="0" w:space="0" w:color="auto"/>
        <w:bottom w:val="none" w:sz="0" w:space="0" w:color="auto"/>
        <w:right w:val="none" w:sz="0" w:space="0" w:color="auto"/>
      </w:divBdr>
    </w:div>
    <w:div w:id="199051959">
      <w:bodyDiv w:val="1"/>
      <w:marLeft w:val="0"/>
      <w:marRight w:val="0"/>
      <w:marTop w:val="0"/>
      <w:marBottom w:val="0"/>
      <w:divBdr>
        <w:top w:val="none" w:sz="0" w:space="0" w:color="auto"/>
        <w:left w:val="none" w:sz="0" w:space="0" w:color="auto"/>
        <w:bottom w:val="none" w:sz="0" w:space="0" w:color="auto"/>
        <w:right w:val="none" w:sz="0" w:space="0" w:color="auto"/>
      </w:divBdr>
    </w:div>
    <w:div w:id="231744545">
      <w:bodyDiv w:val="1"/>
      <w:marLeft w:val="0"/>
      <w:marRight w:val="0"/>
      <w:marTop w:val="0"/>
      <w:marBottom w:val="0"/>
      <w:divBdr>
        <w:top w:val="none" w:sz="0" w:space="0" w:color="auto"/>
        <w:left w:val="none" w:sz="0" w:space="0" w:color="auto"/>
        <w:bottom w:val="none" w:sz="0" w:space="0" w:color="auto"/>
        <w:right w:val="none" w:sz="0" w:space="0" w:color="auto"/>
      </w:divBdr>
    </w:div>
    <w:div w:id="235209530">
      <w:bodyDiv w:val="1"/>
      <w:marLeft w:val="0"/>
      <w:marRight w:val="0"/>
      <w:marTop w:val="0"/>
      <w:marBottom w:val="0"/>
      <w:divBdr>
        <w:top w:val="none" w:sz="0" w:space="0" w:color="auto"/>
        <w:left w:val="none" w:sz="0" w:space="0" w:color="auto"/>
        <w:bottom w:val="none" w:sz="0" w:space="0" w:color="auto"/>
        <w:right w:val="none" w:sz="0" w:space="0" w:color="auto"/>
      </w:divBdr>
    </w:div>
    <w:div w:id="259921517">
      <w:bodyDiv w:val="1"/>
      <w:marLeft w:val="0"/>
      <w:marRight w:val="0"/>
      <w:marTop w:val="0"/>
      <w:marBottom w:val="0"/>
      <w:divBdr>
        <w:top w:val="none" w:sz="0" w:space="0" w:color="auto"/>
        <w:left w:val="none" w:sz="0" w:space="0" w:color="auto"/>
        <w:bottom w:val="none" w:sz="0" w:space="0" w:color="auto"/>
        <w:right w:val="none" w:sz="0" w:space="0" w:color="auto"/>
      </w:divBdr>
    </w:div>
    <w:div w:id="264728693">
      <w:bodyDiv w:val="1"/>
      <w:marLeft w:val="0"/>
      <w:marRight w:val="0"/>
      <w:marTop w:val="0"/>
      <w:marBottom w:val="0"/>
      <w:divBdr>
        <w:top w:val="none" w:sz="0" w:space="0" w:color="auto"/>
        <w:left w:val="none" w:sz="0" w:space="0" w:color="auto"/>
        <w:bottom w:val="none" w:sz="0" w:space="0" w:color="auto"/>
        <w:right w:val="none" w:sz="0" w:space="0" w:color="auto"/>
      </w:divBdr>
    </w:div>
    <w:div w:id="274943139">
      <w:bodyDiv w:val="1"/>
      <w:marLeft w:val="0"/>
      <w:marRight w:val="0"/>
      <w:marTop w:val="0"/>
      <w:marBottom w:val="0"/>
      <w:divBdr>
        <w:top w:val="none" w:sz="0" w:space="0" w:color="auto"/>
        <w:left w:val="none" w:sz="0" w:space="0" w:color="auto"/>
        <w:bottom w:val="none" w:sz="0" w:space="0" w:color="auto"/>
        <w:right w:val="none" w:sz="0" w:space="0" w:color="auto"/>
      </w:divBdr>
    </w:div>
    <w:div w:id="277183690">
      <w:bodyDiv w:val="1"/>
      <w:marLeft w:val="0"/>
      <w:marRight w:val="0"/>
      <w:marTop w:val="0"/>
      <w:marBottom w:val="0"/>
      <w:divBdr>
        <w:top w:val="none" w:sz="0" w:space="0" w:color="auto"/>
        <w:left w:val="none" w:sz="0" w:space="0" w:color="auto"/>
        <w:bottom w:val="none" w:sz="0" w:space="0" w:color="auto"/>
        <w:right w:val="none" w:sz="0" w:space="0" w:color="auto"/>
      </w:divBdr>
    </w:div>
    <w:div w:id="290402222">
      <w:bodyDiv w:val="1"/>
      <w:marLeft w:val="0"/>
      <w:marRight w:val="0"/>
      <w:marTop w:val="0"/>
      <w:marBottom w:val="0"/>
      <w:divBdr>
        <w:top w:val="none" w:sz="0" w:space="0" w:color="auto"/>
        <w:left w:val="none" w:sz="0" w:space="0" w:color="auto"/>
        <w:bottom w:val="none" w:sz="0" w:space="0" w:color="auto"/>
        <w:right w:val="none" w:sz="0" w:space="0" w:color="auto"/>
      </w:divBdr>
    </w:div>
    <w:div w:id="293029335">
      <w:bodyDiv w:val="1"/>
      <w:marLeft w:val="0"/>
      <w:marRight w:val="0"/>
      <w:marTop w:val="0"/>
      <w:marBottom w:val="0"/>
      <w:divBdr>
        <w:top w:val="none" w:sz="0" w:space="0" w:color="auto"/>
        <w:left w:val="none" w:sz="0" w:space="0" w:color="auto"/>
        <w:bottom w:val="none" w:sz="0" w:space="0" w:color="auto"/>
        <w:right w:val="none" w:sz="0" w:space="0" w:color="auto"/>
      </w:divBdr>
    </w:div>
    <w:div w:id="293870953">
      <w:bodyDiv w:val="1"/>
      <w:marLeft w:val="0"/>
      <w:marRight w:val="0"/>
      <w:marTop w:val="0"/>
      <w:marBottom w:val="0"/>
      <w:divBdr>
        <w:top w:val="none" w:sz="0" w:space="0" w:color="auto"/>
        <w:left w:val="none" w:sz="0" w:space="0" w:color="auto"/>
        <w:bottom w:val="none" w:sz="0" w:space="0" w:color="auto"/>
        <w:right w:val="none" w:sz="0" w:space="0" w:color="auto"/>
      </w:divBdr>
    </w:div>
    <w:div w:id="329262783">
      <w:bodyDiv w:val="1"/>
      <w:marLeft w:val="0"/>
      <w:marRight w:val="0"/>
      <w:marTop w:val="0"/>
      <w:marBottom w:val="0"/>
      <w:divBdr>
        <w:top w:val="none" w:sz="0" w:space="0" w:color="auto"/>
        <w:left w:val="none" w:sz="0" w:space="0" w:color="auto"/>
        <w:bottom w:val="none" w:sz="0" w:space="0" w:color="auto"/>
        <w:right w:val="none" w:sz="0" w:space="0" w:color="auto"/>
      </w:divBdr>
    </w:div>
    <w:div w:id="333260597">
      <w:bodyDiv w:val="1"/>
      <w:marLeft w:val="0"/>
      <w:marRight w:val="0"/>
      <w:marTop w:val="0"/>
      <w:marBottom w:val="0"/>
      <w:divBdr>
        <w:top w:val="none" w:sz="0" w:space="0" w:color="auto"/>
        <w:left w:val="none" w:sz="0" w:space="0" w:color="auto"/>
        <w:bottom w:val="none" w:sz="0" w:space="0" w:color="auto"/>
        <w:right w:val="none" w:sz="0" w:space="0" w:color="auto"/>
      </w:divBdr>
    </w:div>
    <w:div w:id="340006981">
      <w:bodyDiv w:val="1"/>
      <w:marLeft w:val="0"/>
      <w:marRight w:val="0"/>
      <w:marTop w:val="0"/>
      <w:marBottom w:val="0"/>
      <w:divBdr>
        <w:top w:val="none" w:sz="0" w:space="0" w:color="auto"/>
        <w:left w:val="none" w:sz="0" w:space="0" w:color="auto"/>
        <w:bottom w:val="none" w:sz="0" w:space="0" w:color="auto"/>
        <w:right w:val="none" w:sz="0" w:space="0" w:color="auto"/>
      </w:divBdr>
    </w:div>
    <w:div w:id="344016906">
      <w:bodyDiv w:val="1"/>
      <w:marLeft w:val="0"/>
      <w:marRight w:val="0"/>
      <w:marTop w:val="0"/>
      <w:marBottom w:val="0"/>
      <w:divBdr>
        <w:top w:val="none" w:sz="0" w:space="0" w:color="auto"/>
        <w:left w:val="none" w:sz="0" w:space="0" w:color="auto"/>
        <w:bottom w:val="none" w:sz="0" w:space="0" w:color="auto"/>
        <w:right w:val="none" w:sz="0" w:space="0" w:color="auto"/>
      </w:divBdr>
    </w:div>
    <w:div w:id="352079323">
      <w:bodyDiv w:val="1"/>
      <w:marLeft w:val="0"/>
      <w:marRight w:val="0"/>
      <w:marTop w:val="0"/>
      <w:marBottom w:val="0"/>
      <w:divBdr>
        <w:top w:val="none" w:sz="0" w:space="0" w:color="auto"/>
        <w:left w:val="none" w:sz="0" w:space="0" w:color="auto"/>
        <w:bottom w:val="none" w:sz="0" w:space="0" w:color="auto"/>
        <w:right w:val="none" w:sz="0" w:space="0" w:color="auto"/>
      </w:divBdr>
    </w:div>
    <w:div w:id="353189278">
      <w:bodyDiv w:val="1"/>
      <w:marLeft w:val="0"/>
      <w:marRight w:val="0"/>
      <w:marTop w:val="0"/>
      <w:marBottom w:val="0"/>
      <w:divBdr>
        <w:top w:val="none" w:sz="0" w:space="0" w:color="auto"/>
        <w:left w:val="none" w:sz="0" w:space="0" w:color="auto"/>
        <w:bottom w:val="none" w:sz="0" w:space="0" w:color="auto"/>
        <w:right w:val="none" w:sz="0" w:space="0" w:color="auto"/>
      </w:divBdr>
    </w:div>
    <w:div w:id="355619890">
      <w:bodyDiv w:val="1"/>
      <w:marLeft w:val="0"/>
      <w:marRight w:val="0"/>
      <w:marTop w:val="0"/>
      <w:marBottom w:val="0"/>
      <w:divBdr>
        <w:top w:val="none" w:sz="0" w:space="0" w:color="auto"/>
        <w:left w:val="none" w:sz="0" w:space="0" w:color="auto"/>
        <w:bottom w:val="none" w:sz="0" w:space="0" w:color="auto"/>
        <w:right w:val="none" w:sz="0" w:space="0" w:color="auto"/>
      </w:divBdr>
    </w:div>
    <w:div w:id="369305437">
      <w:bodyDiv w:val="1"/>
      <w:marLeft w:val="0"/>
      <w:marRight w:val="0"/>
      <w:marTop w:val="0"/>
      <w:marBottom w:val="0"/>
      <w:divBdr>
        <w:top w:val="none" w:sz="0" w:space="0" w:color="auto"/>
        <w:left w:val="none" w:sz="0" w:space="0" w:color="auto"/>
        <w:bottom w:val="none" w:sz="0" w:space="0" w:color="auto"/>
        <w:right w:val="none" w:sz="0" w:space="0" w:color="auto"/>
      </w:divBdr>
    </w:div>
    <w:div w:id="395668578">
      <w:bodyDiv w:val="1"/>
      <w:marLeft w:val="0"/>
      <w:marRight w:val="0"/>
      <w:marTop w:val="0"/>
      <w:marBottom w:val="0"/>
      <w:divBdr>
        <w:top w:val="none" w:sz="0" w:space="0" w:color="auto"/>
        <w:left w:val="none" w:sz="0" w:space="0" w:color="auto"/>
        <w:bottom w:val="none" w:sz="0" w:space="0" w:color="auto"/>
        <w:right w:val="none" w:sz="0" w:space="0" w:color="auto"/>
      </w:divBdr>
    </w:div>
    <w:div w:id="403256838">
      <w:bodyDiv w:val="1"/>
      <w:marLeft w:val="0"/>
      <w:marRight w:val="0"/>
      <w:marTop w:val="0"/>
      <w:marBottom w:val="0"/>
      <w:divBdr>
        <w:top w:val="none" w:sz="0" w:space="0" w:color="auto"/>
        <w:left w:val="none" w:sz="0" w:space="0" w:color="auto"/>
        <w:bottom w:val="none" w:sz="0" w:space="0" w:color="auto"/>
        <w:right w:val="none" w:sz="0" w:space="0" w:color="auto"/>
      </w:divBdr>
    </w:div>
    <w:div w:id="40514752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25660523">
      <w:bodyDiv w:val="1"/>
      <w:marLeft w:val="0"/>
      <w:marRight w:val="0"/>
      <w:marTop w:val="0"/>
      <w:marBottom w:val="0"/>
      <w:divBdr>
        <w:top w:val="none" w:sz="0" w:space="0" w:color="auto"/>
        <w:left w:val="none" w:sz="0" w:space="0" w:color="auto"/>
        <w:bottom w:val="none" w:sz="0" w:space="0" w:color="auto"/>
        <w:right w:val="none" w:sz="0" w:space="0" w:color="auto"/>
      </w:divBdr>
    </w:div>
    <w:div w:id="425813209">
      <w:bodyDiv w:val="1"/>
      <w:marLeft w:val="0"/>
      <w:marRight w:val="0"/>
      <w:marTop w:val="0"/>
      <w:marBottom w:val="0"/>
      <w:divBdr>
        <w:top w:val="none" w:sz="0" w:space="0" w:color="auto"/>
        <w:left w:val="none" w:sz="0" w:space="0" w:color="auto"/>
        <w:bottom w:val="none" w:sz="0" w:space="0" w:color="auto"/>
        <w:right w:val="none" w:sz="0" w:space="0" w:color="auto"/>
      </w:divBdr>
    </w:div>
    <w:div w:id="439376059">
      <w:bodyDiv w:val="1"/>
      <w:marLeft w:val="0"/>
      <w:marRight w:val="0"/>
      <w:marTop w:val="0"/>
      <w:marBottom w:val="0"/>
      <w:divBdr>
        <w:top w:val="none" w:sz="0" w:space="0" w:color="auto"/>
        <w:left w:val="none" w:sz="0" w:space="0" w:color="auto"/>
        <w:bottom w:val="none" w:sz="0" w:space="0" w:color="auto"/>
        <w:right w:val="none" w:sz="0" w:space="0" w:color="auto"/>
      </w:divBdr>
    </w:div>
    <w:div w:id="451287769">
      <w:bodyDiv w:val="1"/>
      <w:marLeft w:val="0"/>
      <w:marRight w:val="0"/>
      <w:marTop w:val="0"/>
      <w:marBottom w:val="0"/>
      <w:divBdr>
        <w:top w:val="none" w:sz="0" w:space="0" w:color="auto"/>
        <w:left w:val="none" w:sz="0" w:space="0" w:color="auto"/>
        <w:bottom w:val="none" w:sz="0" w:space="0" w:color="auto"/>
        <w:right w:val="none" w:sz="0" w:space="0" w:color="auto"/>
      </w:divBdr>
    </w:div>
    <w:div w:id="478695882">
      <w:bodyDiv w:val="1"/>
      <w:marLeft w:val="0"/>
      <w:marRight w:val="0"/>
      <w:marTop w:val="0"/>
      <w:marBottom w:val="0"/>
      <w:divBdr>
        <w:top w:val="none" w:sz="0" w:space="0" w:color="auto"/>
        <w:left w:val="none" w:sz="0" w:space="0" w:color="auto"/>
        <w:bottom w:val="none" w:sz="0" w:space="0" w:color="auto"/>
        <w:right w:val="none" w:sz="0" w:space="0" w:color="auto"/>
      </w:divBdr>
    </w:div>
    <w:div w:id="483425593">
      <w:bodyDiv w:val="1"/>
      <w:marLeft w:val="0"/>
      <w:marRight w:val="0"/>
      <w:marTop w:val="0"/>
      <w:marBottom w:val="0"/>
      <w:divBdr>
        <w:top w:val="none" w:sz="0" w:space="0" w:color="auto"/>
        <w:left w:val="none" w:sz="0" w:space="0" w:color="auto"/>
        <w:bottom w:val="none" w:sz="0" w:space="0" w:color="auto"/>
        <w:right w:val="none" w:sz="0" w:space="0" w:color="auto"/>
      </w:divBdr>
    </w:div>
    <w:div w:id="484469215">
      <w:bodyDiv w:val="1"/>
      <w:marLeft w:val="0"/>
      <w:marRight w:val="0"/>
      <w:marTop w:val="0"/>
      <w:marBottom w:val="0"/>
      <w:divBdr>
        <w:top w:val="none" w:sz="0" w:space="0" w:color="auto"/>
        <w:left w:val="none" w:sz="0" w:space="0" w:color="auto"/>
        <w:bottom w:val="none" w:sz="0" w:space="0" w:color="auto"/>
        <w:right w:val="none" w:sz="0" w:space="0" w:color="auto"/>
      </w:divBdr>
    </w:div>
    <w:div w:id="497576016">
      <w:bodyDiv w:val="1"/>
      <w:marLeft w:val="0"/>
      <w:marRight w:val="0"/>
      <w:marTop w:val="0"/>
      <w:marBottom w:val="0"/>
      <w:divBdr>
        <w:top w:val="none" w:sz="0" w:space="0" w:color="auto"/>
        <w:left w:val="none" w:sz="0" w:space="0" w:color="auto"/>
        <w:bottom w:val="none" w:sz="0" w:space="0" w:color="auto"/>
        <w:right w:val="none" w:sz="0" w:space="0" w:color="auto"/>
      </w:divBdr>
    </w:div>
    <w:div w:id="501894960">
      <w:bodyDiv w:val="1"/>
      <w:marLeft w:val="0"/>
      <w:marRight w:val="0"/>
      <w:marTop w:val="0"/>
      <w:marBottom w:val="0"/>
      <w:divBdr>
        <w:top w:val="none" w:sz="0" w:space="0" w:color="auto"/>
        <w:left w:val="none" w:sz="0" w:space="0" w:color="auto"/>
        <w:bottom w:val="none" w:sz="0" w:space="0" w:color="auto"/>
        <w:right w:val="none" w:sz="0" w:space="0" w:color="auto"/>
      </w:divBdr>
    </w:div>
    <w:div w:id="505361572">
      <w:bodyDiv w:val="1"/>
      <w:marLeft w:val="0"/>
      <w:marRight w:val="0"/>
      <w:marTop w:val="0"/>
      <w:marBottom w:val="0"/>
      <w:divBdr>
        <w:top w:val="none" w:sz="0" w:space="0" w:color="auto"/>
        <w:left w:val="none" w:sz="0" w:space="0" w:color="auto"/>
        <w:bottom w:val="none" w:sz="0" w:space="0" w:color="auto"/>
        <w:right w:val="none" w:sz="0" w:space="0" w:color="auto"/>
      </w:divBdr>
    </w:div>
    <w:div w:id="510414731">
      <w:bodyDiv w:val="1"/>
      <w:marLeft w:val="0"/>
      <w:marRight w:val="0"/>
      <w:marTop w:val="0"/>
      <w:marBottom w:val="0"/>
      <w:divBdr>
        <w:top w:val="none" w:sz="0" w:space="0" w:color="auto"/>
        <w:left w:val="none" w:sz="0" w:space="0" w:color="auto"/>
        <w:bottom w:val="none" w:sz="0" w:space="0" w:color="auto"/>
        <w:right w:val="none" w:sz="0" w:space="0" w:color="auto"/>
      </w:divBdr>
    </w:div>
    <w:div w:id="515121339">
      <w:bodyDiv w:val="1"/>
      <w:marLeft w:val="0"/>
      <w:marRight w:val="0"/>
      <w:marTop w:val="0"/>
      <w:marBottom w:val="0"/>
      <w:divBdr>
        <w:top w:val="none" w:sz="0" w:space="0" w:color="auto"/>
        <w:left w:val="none" w:sz="0" w:space="0" w:color="auto"/>
        <w:bottom w:val="none" w:sz="0" w:space="0" w:color="auto"/>
        <w:right w:val="none" w:sz="0" w:space="0" w:color="auto"/>
      </w:divBdr>
    </w:div>
    <w:div w:id="528108716">
      <w:bodyDiv w:val="1"/>
      <w:marLeft w:val="0"/>
      <w:marRight w:val="0"/>
      <w:marTop w:val="0"/>
      <w:marBottom w:val="0"/>
      <w:divBdr>
        <w:top w:val="none" w:sz="0" w:space="0" w:color="auto"/>
        <w:left w:val="none" w:sz="0" w:space="0" w:color="auto"/>
        <w:bottom w:val="none" w:sz="0" w:space="0" w:color="auto"/>
        <w:right w:val="none" w:sz="0" w:space="0" w:color="auto"/>
      </w:divBdr>
    </w:div>
    <w:div w:id="530146197">
      <w:bodyDiv w:val="1"/>
      <w:marLeft w:val="0"/>
      <w:marRight w:val="0"/>
      <w:marTop w:val="0"/>
      <w:marBottom w:val="0"/>
      <w:divBdr>
        <w:top w:val="none" w:sz="0" w:space="0" w:color="auto"/>
        <w:left w:val="none" w:sz="0" w:space="0" w:color="auto"/>
        <w:bottom w:val="none" w:sz="0" w:space="0" w:color="auto"/>
        <w:right w:val="none" w:sz="0" w:space="0" w:color="auto"/>
      </w:divBdr>
    </w:div>
    <w:div w:id="563947894">
      <w:bodyDiv w:val="1"/>
      <w:marLeft w:val="0"/>
      <w:marRight w:val="0"/>
      <w:marTop w:val="0"/>
      <w:marBottom w:val="0"/>
      <w:divBdr>
        <w:top w:val="none" w:sz="0" w:space="0" w:color="auto"/>
        <w:left w:val="none" w:sz="0" w:space="0" w:color="auto"/>
        <w:bottom w:val="none" w:sz="0" w:space="0" w:color="auto"/>
        <w:right w:val="none" w:sz="0" w:space="0" w:color="auto"/>
      </w:divBdr>
    </w:div>
    <w:div w:id="574322355">
      <w:bodyDiv w:val="1"/>
      <w:marLeft w:val="0"/>
      <w:marRight w:val="0"/>
      <w:marTop w:val="0"/>
      <w:marBottom w:val="0"/>
      <w:divBdr>
        <w:top w:val="none" w:sz="0" w:space="0" w:color="auto"/>
        <w:left w:val="none" w:sz="0" w:space="0" w:color="auto"/>
        <w:bottom w:val="none" w:sz="0" w:space="0" w:color="auto"/>
        <w:right w:val="none" w:sz="0" w:space="0" w:color="auto"/>
      </w:divBdr>
    </w:div>
    <w:div w:id="577985112">
      <w:bodyDiv w:val="1"/>
      <w:marLeft w:val="0"/>
      <w:marRight w:val="0"/>
      <w:marTop w:val="0"/>
      <w:marBottom w:val="0"/>
      <w:divBdr>
        <w:top w:val="none" w:sz="0" w:space="0" w:color="auto"/>
        <w:left w:val="none" w:sz="0" w:space="0" w:color="auto"/>
        <w:bottom w:val="none" w:sz="0" w:space="0" w:color="auto"/>
        <w:right w:val="none" w:sz="0" w:space="0" w:color="auto"/>
      </w:divBdr>
    </w:div>
    <w:div w:id="580599582">
      <w:bodyDiv w:val="1"/>
      <w:marLeft w:val="0"/>
      <w:marRight w:val="0"/>
      <w:marTop w:val="0"/>
      <w:marBottom w:val="0"/>
      <w:divBdr>
        <w:top w:val="none" w:sz="0" w:space="0" w:color="auto"/>
        <w:left w:val="none" w:sz="0" w:space="0" w:color="auto"/>
        <w:bottom w:val="none" w:sz="0" w:space="0" w:color="auto"/>
        <w:right w:val="none" w:sz="0" w:space="0" w:color="auto"/>
      </w:divBdr>
    </w:div>
    <w:div w:id="584538482">
      <w:bodyDiv w:val="1"/>
      <w:marLeft w:val="0"/>
      <w:marRight w:val="0"/>
      <w:marTop w:val="0"/>
      <w:marBottom w:val="0"/>
      <w:divBdr>
        <w:top w:val="none" w:sz="0" w:space="0" w:color="auto"/>
        <w:left w:val="none" w:sz="0" w:space="0" w:color="auto"/>
        <w:bottom w:val="none" w:sz="0" w:space="0" w:color="auto"/>
        <w:right w:val="none" w:sz="0" w:space="0" w:color="auto"/>
      </w:divBdr>
    </w:div>
    <w:div w:id="591400410">
      <w:bodyDiv w:val="1"/>
      <w:marLeft w:val="0"/>
      <w:marRight w:val="0"/>
      <w:marTop w:val="0"/>
      <w:marBottom w:val="0"/>
      <w:divBdr>
        <w:top w:val="none" w:sz="0" w:space="0" w:color="auto"/>
        <w:left w:val="none" w:sz="0" w:space="0" w:color="auto"/>
        <w:bottom w:val="none" w:sz="0" w:space="0" w:color="auto"/>
        <w:right w:val="none" w:sz="0" w:space="0" w:color="auto"/>
      </w:divBdr>
    </w:div>
    <w:div w:id="599677439">
      <w:bodyDiv w:val="1"/>
      <w:marLeft w:val="0"/>
      <w:marRight w:val="0"/>
      <w:marTop w:val="0"/>
      <w:marBottom w:val="0"/>
      <w:divBdr>
        <w:top w:val="none" w:sz="0" w:space="0" w:color="auto"/>
        <w:left w:val="none" w:sz="0" w:space="0" w:color="auto"/>
        <w:bottom w:val="none" w:sz="0" w:space="0" w:color="auto"/>
        <w:right w:val="none" w:sz="0" w:space="0" w:color="auto"/>
      </w:divBdr>
    </w:div>
    <w:div w:id="626551891">
      <w:bodyDiv w:val="1"/>
      <w:marLeft w:val="0"/>
      <w:marRight w:val="0"/>
      <w:marTop w:val="0"/>
      <w:marBottom w:val="0"/>
      <w:divBdr>
        <w:top w:val="none" w:sz="0" w:space="0" w:color="auto"/>
        <w:left w:val="none" w:sz="0" w:space="0" w:color="auto"/>
        <w:bottom w:val="none" w:sz="0" w:space="0" w:color="auto"/>
        <w:right w:val="none" w:sz="0" w:space="0" w:color="auto"/>
      </w:divBdr>
    </w:div>
    <w:div w:id="636573813">
      <w:bodyDiv w:val="1"/>
      <w:marLeft w:val="0"/>
      <w:marRight w:val="0"/>
      <w:marTop w:val="0"/>
      <w:marBottom w:val="0"/>
      <w:divBdr>
        <w:top w:val="none" w:sz="0" w:space="0" w:color="auto"/>
        <w:left w:val="none" w:sz="0" w:space="0" w:color="auto"/>
        <w:bottom w:val="none" w:sz="0" w:space="0" w:color="auto"/>
        <w:right w:val="none" w:sz="0" w:space="0" w:color="auto"/>
      </w:divBdr>
    </w:div>
    <w:div w:id="646667228">
      <w:bodyDiv w:val="1"/>
      <w:marLeft w:val="0"/>
      <w:marRight w:val="0"/>
      <w:marTop w:val="0"/>
      <w:marBottom w:val="0"/>
      <w:divBdr>
        <w:top w:val="none" w:sz="0" w:space="0" w:color="auto"/>
        <w:left w:val="none" w:sz="0" w:space="0" w:color="auto"/>
        <w:bottom w:val="none" w:sz="0" w:space="0" w:color="auto"/>
        <w:right w:val="none" w:sz="0" w:space="0" w:color="auto"/>
      </w:divBdr>
    </w:div>
    <w:div w:id="657079417">
      <w:bodyDiv w:val="1"/>
      <w:marLeft w:val="0"/>
      <w:marRight w:val="0"/>
      <w:marTop w:val="0"/>
      <w:marBottom w:val="0"/>
      <w:divBdr>
        <w:top w:val="none" w:sz="0" w:space="0" w:color="auto"/>
        <w:left w:val="none" w:sz="0" w:space="0" w:color="auto"/>
        <w:bottom w:val="none" w:sz="0" w:space="0" w:color="auto"/>
        <w:right w:val="none" w:sz="0" w:space="0" w:color="auto"/>
      </w:divBdr>
    </w:div>
    <w:div w:id="676469709">
      <w:bodyDiv w:val="1"/>
      <w:marLeft w:val="0"/>
      <w:marRight w:val="0"/>
      <w:marTop w:val="0"/>
      <w:marBottom w:val="0"/>
      <w:divBdr>
        <w:top w:val="none" w:sz="0" w:space="0" w:color="auto"/>
        <w:left w:val="none" w:sz="0" w:space="0" w:color="auto"/>
        <w:bottom w:val="none" w:sz="0" w:space="0" w:color="auto"/>
        <w:right w:val="none" w:sz="0" w:space="0" w:color="auto"/>
      </w:divBdr>
    </w:div>
    <w:div w:id="677119267">
      <w:bodyDiv w:val="1"/>
      <w:marLeft w:val="0"/>
      <w:marRight w:val="0"/>
      <w:marTop w:val="0"/>
      <w:marBottom w:val="0"/>
      <w:divBdr>
        <w:top w:val="none" w:sz="0" w:space="0" w:color="auto"/>
        <w:left w:val="none" w:sz="0" w:space="0" w:color="auto"/>
        <w:bottom w:val="none" w:sz="0" w:space="0" w:color="auto"/>
        <w:right w:val="none" w:sz="0" w:space="0" w:color="auto"/>
      </w:divBdr>
    </w:div>
    <w:div w:id="687373829">
      <w:bodyDiv w:val="1"/>
      <w:marLeft w:val="0"/>
      <w:marRight w:val="0"/>
      <w:marTop w:val="0"/>
      <w:marBottom w:val="0"/>
      <w:divBdr>
        <w:top w:val="none" w:sz="0" w:space="0" w:color="auto"/>
        <w:left w:val="none" w:sz="0" w:space="0" w:color="auto"/>
        <w:bottom w:val="none" w:sz="0" w:space="0" w:color="auto"/>
        <w:right w:val="none" w:sz="0" w:space="0" w:color="auto"/>
      </w:divBdr>
    </w:div>
    <w:div w:id="690183043">
      <w:bodyDiv w:val="1"/>
      <w:marLeft w:val="0"/>
      <w:marRight w:val="0"/>
      <w:marTop w:val="0"/>
      <w:marBottom w:val="0"/>
      <w:divBdr>
        <w:top w:val="none" w:sz="0" w:space="0" w:color="auto"/>
        <w:left w:val="none" w:sz="0" w:space="0" w:color="auto"/>
        <w:bottom w:val="none" w:sz="0" w:space="0" w:color="auto"/>
        <w:right w:val="none" w:sz="0" w:space="0" w:color="auto"/>
      </w:divBdr>
    </w:div>
    <w:div w:id="695155468">
      <w:bodyDiv w:val="1"/>
      <w:marLeft w:val="0"/>
      <w:marRight w:val="0"/>
      <w:marTop w:val="0"/>
      <w:marBottom w:val="0"/>
      <w:divBdr>
        <w:top w:val="none" w:sz="0" w:space="0" w:color="auto"/>
        <w:left w:val="none" w:sz="0" w:space="0" w:color="auto"/>
        <w:bottom w:val="none" w:sz="0" w:space="0" w:color="auto"/>
        <w:right w:val="none" w:sz="0" w:space="0" w:color="auto"/>
      </w:divBdr>
    </w:div>
    <w:div w:id="702369834">
      <w:bodyDiv w:val="1"/>
      <w:marLeft w:val="0"/>
      <w:marRight w:val="0"/>
      <w:marTop w:val="0"/>
      <w:marBottom w:val="0"/>
      <w:divBdr>
        <w:top w:val="none" w:sz="0" w:space="0" w:color="auto"/>
        <w:left w:val="none" w:sz="0" w:space="0" w:color="auto"/>
        <w:bottom w:val="none" w:sz="0" w:space="0" w:color="auto"/>
        <w:right w:val="none" w:sz="0" w:space="0" w:color="auto"/>
      </w:divBdr>
    </w:div>
    <w:div w:id="711927542">
      <w:bodyDiv w:val="1"/>
      <w:marLeft w:val="0"/>
      <w:marRight w:val="0"/>
      <w:marTop w:val="0"/>
      <w:marBottom w:val="0"/>
      <w:divBdr>
        <w:top w:val="none" w:sz="0" w:space="0" w:color="auto"/>
        <w:left w:val="none" w:sz="0" w:space="0" w:color="auto"/>
        <w:bottom w:val="none" w:sz="0" w:space="0" w:color="auto"/>
        <w:right w:val="none" w:sz="0" w:space="0" w:color="auto"/>
      </w:divBdr>
    </w:div>
    <w:div w:id="715082161">
      <w:bodyDiv w:val="1"/>
      <w:marLeft w:val="0"/>
      <w:marRight w:val="0"/>
      <w:marTop w:val="0"/>
      <w:marBottom w:val="0"/>
      <w:divBdr>
        <w:top w:val="none" w:sz="0" w:space="0" w:color="auto"/>
        <w:left w:val="none" w:sz="0" w:space="0" w:color="auto"/>
        <w:bottom w:val="none" w:sz="0" w:space="0" w:color="auto"/>
        <w:right w:val="none" w:sz="0" w:space="0" w:color="auto"/>
      </w:divBdr>
    </w:div>
    <w:div w:id="716471587">
      <w:bodyDiv w:val="1"/>
      <w:marLeft w:val="0"/>
      <w:marRight w:val="0"/>
      <w:marTop w:val="0"/>
      <w:marBottom w:val="0"/>
      <w:divBdr>
        <w:top w:val="none" w:sz="0" w:space="0" w:color="auto"/>
        <w:left w:val="none" w:sz="0" w:space="0" w:color="auto"/>
        <w:bottom w:val="none" w:sz="0" w:space="0" w:color="auto"/>
        <w:right w:val="none" w:sz="0" w:space="0" w:color="auto"/>
      </w:divBdr>
    </w:div>
    <w:div w:id="718475868">
      <w:bodyDiv w:val="1"/>
      <w:marLeft w:val="0"/>
      <w:marRight w:val="0"/>
      <w:marTop w:val="0"/>
      <w:marBottom w:val="0"/>
      <w:divBdr>
        <w:top w:val="none" w:sz="0" w:space="0" w:color="auto"/>
        <w:left w:val="none" w:sz="0" w:space="0" w:color="auto"/>
        <w:bottom w:val="none" w:sz="0" w:space="0" w:color="auto"/>
        <w:right w:val="none" w:sz="0" w:space="0" w:color="auto"/>
      </w:divBdr>
    </w:div>
    <w:div w:id="722096221">
      <w:bodyDiv w:val="1"/>
      <w:marLeft w:val="0"/>
      <w:marRight w:val="0"/>
      <w:marTop w:val="0"/>
      <w:marBottom w:val="0"/>
      <w:divBdr>
        <w:top w:val="none" w:sz="0" w:space="0" w:color="auto"/>
        <w:left w:val="none" w:sz="0" w:space="0" w:color="auto"/>
        <w:bottom w:val="none" w:sz="0" w:space="0" w:color="auto"/>
        <w:right w:val="none" w:sz="0" w:space="0" w:color="auto"/>
      </w:divBdr>
    </w:div>
    <w:div w:id="746539280">
      <w:bodyDiv w:val="1"/>
      <w:marLeft w:val="0"/>
      <w:marRight w:val="0"/>
      <w:marTop w:val="0"/>
      <w:marBottom w:val="0"/>
      <w:divBdr>
        <w:top w:val="none" w:sz="0" w:space="0" w:color="auto"/>
        <w:left w:val="none" w:sz="0" w:space="0" w:color="auto"/>
        <w:bottom w:val="none" w:sz="0" w:space="0" w:color="auto"/>
        <w:right w:val="none" w:sz="0" w:space="0" w:color="auto"/>
      </w:divBdr>
    </w:div>
    <w:div w:id="753358770">
      <w:bodyDiv w:val="1"/>
      <w:marLeft w:val="0"/>
      <w:marRight w:val="0"/>
      <w:marTop w:val="0"/>
      <w:marBottom w:val="0"/>
      <w:divBdr>
        <w:top w:val="none" w:sz="0" w:space="0" w:color="auto"/>
        <w:left w:val="none" w:sz="0" w:space="0" w:color="auto"/>
        <w:bottom w:val="none" w:sz="0" w:space="0" w:color="auto"/>
        <w:right w:val="none" w:sz="0" w:space="0" w:color="auto"/>
      </w:divBdr>
    </w:div>
    <w:div w:id="753480534">
      <w:bodyDiv w:val="1"/>
      <w:marLeft w:val="0"/>
      <w:marRight w:val="0"/>
      <w:marTop w:val="0"/>
      <w:marBottom w:val="0"/>
      <w:divBdr>
        <w:top w:val="none" w:sz="0" w:space="0" w:color="auto"/>
        <w:left w:val="none" w:sz="0" w:space="0" w:color="auto"/>
        <w:bottom w:val="none" w:sz="0" w:space="0" w:color="auto"/>
        <w:right w:val="none" w:sz="0" w:space="0" w:color="auto"/>
      </w:divBdr>
    </w:div>
    <w:div w:id="757404056">
      <w:bodyDiv w:val="1"/>
      <w:marLeft w:val="0"/>
      <w:marRight w:val="0"/>
      <w:marTop w:val="0"/>
      <w:marBottom w:val="0"/>
      <w:divBdr>
        <w:top w:val="none" w:sz="0" w:space="0" w:color="auto"/>
        <w:left w:val="none" w:sz="0" w:space="0" w:color="auto"/>
        <w:bottom w:val="none" w:sz="0" w:space="0" w:color="auto"/>
        <w:right w:val="none" w:sz="0" w:space="0" w:color="auto"/>
      </w:divBdr>
    </w:div>
    <w:div w:id="765275052">
      <w:bodyDiv w:val="1"/>
      <w:marLeft w:val="0"/>
      <w:marRight w:val="0"/>
      <w:marTop w:val="0"/>
      <w:marBottom w:val="0"/>
      <w:divBdr>
        <w:top w:val="none" w:sz="0" w:space="0" w:color="auto"/>
        <w:left w:val="none" w:sz="0" w:space="0" w:color="auto"/>
        <w:bottom w:val="none" w:sz="0" w:space="0" w:color="auto"/>
        <w:right w:val="none" w:sz="0" w:space="0" w:color="auto"/>
      </w:divBdr>
    </w:div>
    <w:div w:id="794174635">
      <w:bodyDiv w:val="1"/>
      <w:marLeft w:val="0"/>
      <w:marRight w:val="0"/>
      <w:marTop w:val="0"/>
      <w:marBottom w:val="0"/>
      <w:divBdr>
        <w:top w:val="none" w:sz="0" w:space="0" w:color="auto"/>
        <w:left w:val="none" w:sz="0" w:space="0" w:color="auto"/>
        <w:bottom w:val="none" w:sz="0" w:space="0" w:color="auto"/>
        <w:right w:val="none" w:sz="0" w:space="0" w:color="auto"/>
      </w:divBdr>
    </w:div>
    <w:div w:id="795953121">
      <w:bodyDiv w:val="1"/>
      <w:marLeft w:val="0"/>
      <w:marRight w:val="0"/>
      <w:marTop w:val="0"/>
      <w:marBottom w:val="0"/>
      <w:divBdr>
        <w:top w:val="none" w:sz="0" w:space="0" w:color="auto"/>
        <w:left w:val="none" w:sz="0" w:space="0" w:color="auto"/>
        <w:bottom w:val="none" w:sz="0" w:space="0" w:color="auto"/>
        <w:right w:val="none" w:sz="0" w:space="0" w:color="auto"/>
      </w:divBdr>
    </w:div>
    <w:div w:id="818964776">
      <w:bodyDiv w:val="1"/>
      <w:marLeft w:val="0"/>
      <w:marRight w:val="0"/>
      <w:marTop w:val="0"/>
      <w:marBottom w:val="0"/>
      <w:divBdr>
        <w:top w:val="none" w:sz="0" w:space="0" w:color="auto"/>
        <w:left w:val="none" w:sz="0" w:space="0" w:color="auto"/>
        <w:bottom w:val="none" w:sz="0" w:space="0" w:color="auto"/>
        <w:right w:val="none" w:sz="0" w:space="0" w:color="auto"/>
      </w:divBdr>
    </w:div>
    <w:div w:id="833956058">
      <w:bodyDiv w:val="1"/>
      <w:marLeft w:val="0"/>
      <w:marRight w:val="0"/>
      <w:marTop w:val="0"/>
      <w:marBottom w:val="0"/>
      <w:divBdr>
        <w:top w:val="none" w:sz="0" w:space="0" w:color="auto"/>
        <w:left w:val="none" w:sz="0" w:space="0" w:color="auto"/>
        <w:bottom w:val="none" w:sz="0" w:space="0" w:color="auto"/>
        <w:right w:val="none" w:sz="0" w:space="0" w:color="auto"/>
      </w:divBdr>
    </w:div>
    <w:div w:id="841816795">
      <w:bodyDiv w:val="1"/>
      <w:marLeft w:val="0"/>
      <w:marRight w:val="0"/>
      <w:marTop w:val="0"/>
      <w:marBottom w:val="0"/>
      <w:divBdr>
        <w:top w:val="none" w:sz="0" w:space="0" w:color="auto"/>
        <w:left w:val="none" w:sz="0" w:space="0" w:color="auto"/>
        <w:bottom w:val="none" w:sz="0" w:space="0" w:color="auto"/>
        <w:right w:val="none" w:sz="0" w:space="0" w:color="auto"/>
      </w:divBdr>
    </w:div>
    <w:div w:id="847671687">
      <w:bodyDiv w:val="1"/>
      <w:marLeft w:val="0"/>
      <w:marRight w:val="0"/>
      <w:marTop w:val="0"/>
      <w:marBottom w:val="0"/>
      <w:divBdr>
        <w:top w:val="none" w:sz="0" w:space="0" w:color="auto"/>
        <w:left w:val="none" w:sz="0" w:space="0" w:color="auto"/>
        <w:bottom w:val="none" w:sz="0" w:space="0" w:color="auto"/>
        <w:right w:val="none" w:sz="0" w:space="0" w:color="auto"/>
      </w:divBdr>
    </w:div>
    <w:div w:id="856499461">
      <w:bodyDiv w:val="1"/>
      <w:marLeft w:val="0"/>
      <w:marRight w:val="0"/>
      <w:marTop w:val="0"/>
      <w:marBottom w:val="0"/>
      <w:divBdr>
        <w:top w:val="none" w:sz="0" w:space="0" w:color="auto"/>
        <w:left w:val="none" w:sz="0" w:space="0" w:color="auto"/>
        <w:bottom w:val="none" w:sz="0" w:space="0" w:color="auto"/>
        <w:right w:val="none" w:sz="0" w:space="0" w:color="auto"/>
      </w:divBdr>
    </w:div>
    <w:div w:id="876896057">
      <w:bodyDiv w:val="1"/>
      <w:marLeft w:val="0"/>
      <w:marRight w:val="0"/>
      <w:marTop w:val="0"/>
      <w:marBottom w:val="0"/>
      <w:divBdr>
        <w:top w:val="none" w:sz="0" w:space="0" w:color="auto"/>
        <w:left w:val="none" w:sz="0" w:space="0" w:color="auto"/>
        <w:bottom w:val="none" w:sz="0" w:space="0" w:color="auto"/>
        <w:right w:val="none" w:sz="0" w:space="0" w:color="auto"/>
      </w:divBdr>
    </w:div>
    <w:div w:id="886406930">
      <w:bodyDiv w:val="1"/>
      <w:marLeft w:val="0"/>
      <w:marRight w:val="0"/>
      <w:marTop w:val="0"/>
      <w:marBottom w:val="0"/>
      <w:divBdr>
        <w:top w:val="none" w:sz="0" w:space="0" w:color="auto"/>
        <w:left w:val="none" w:sz="0" w:space="0" w:color="auto"/>
        <w:bottom w:val="none" w:sz="0" w:space="0" w:color="auto"/>
        <w:right w:val="none" w:sz="0" w:space="0" w:color="auto"/>
      </w:divBdr>
    </w:div>
    <w:div w:id="889456942">
      <w:bodyDiv w:val="1"/>
      <w:marLeft w:val="0"/>
      <w:marRight w:val="0"/>
      <w:marTop w:val="0"/>
      <w:marBottom w:val="0"/>
      <w:divBdr>
        <w:top w:val="none" w:sz="0" w:space="0" w:color="auto"/>
        <w:left w:val="none" w:sz="0" w:space="0" w:color="auto"/>
        <w:bottom w:val="none" w:sz="0" w:space="0" w:color="auto"/>
        <w:right w:val="none" w:sz="0" w:space="0" w:color="auto"/>
      </w:divBdr>
    </w:div>
    <w:div w:id="892274066">
      <w:bodyDiv w:val="1"/>
      <w:marLeft w:val="0"/>
      <w:marRight w:val="0"/>
      <w:marTop w:val="0"/>
      <w:marBottom w:val="0"/>
      <w:divBdr>
        <w:top w:val="none" w:sz="0" w:space="0" w:color="auto"/>
        <w:left w:val="none" w:sz="0" w:space="0" w:color="auto"/>
        <w:bottom w:val="none" w:sz="0" w:space="0" w:color="auto"/>
        <w:right w:val="none" w:sz="0" w:space="0" w:color="auto"/>
      </w:divBdr>
    </w:div>
    <w:div w:id="904219311">
      <w:bodyDiv w:val="1"/>
      <w:marLeft w:val="0"/>
      <w:marRight w:val="0"/>
      <w:marTop w:val="0"/>
      <w:marBottom w:val="0"/>
      <w:divBdr>
        <w:top w:val="none" w:sz="0" w:space="0" w:color="auto"/>
        <w:left w:val="none" w:sz="0" w:space="0" w:color="auto"/>
        <w:bottom w:val="none" w:sz="0" w:space="0" w:color="auto"/>
        <w:right w:val="none" w:sz="0" w:space="0" w:color="auto"/>
      </w:divBdr>
    </w:div>
    <w:div w:id="917056840">
      <w:bodyDiv w:val="1"/>
      <w:marLeft w:val="0"/>
      <w:marRight w:val="0"/>
      <w:marTop w:val="0"/>
      <w:marBottom w:val="0"/>
      <w:divBdr>
        <w:top w:val="none" w:sz="0" w:space="0" w:color="auto"/>
        <w:left w:val="none" w:sz="0" w:space="0" w:color="auto"/>
        <w:bottom w:val="none" w:sz="0" w:space="0" w:color="auto"/>
        <w:right w:val="none" w:sz="0" w:space="0" w:color="auto"/>
      </w:divBdr>
    </w:div>
    <w:div w:id="917329447">
      <w:bodyDiv w:val="1"/>
      <w:marLeft w:val="0"/>
      <w:marRight w:val="0"/>
      <w:marTop w:val="0"/>
      <w:marBottom w:val="0"/>
      <w:divBdr>
        <w:top w:val="none" w:sz="0" w:space="0" w:color="auto"/>
        <w:left w:val="none" w:sz="0" w:space="0" w:color="auto"/>
        <w:bottom w:val="none" w:sz="0" w:space="0" w:color="auto"/>
        <w:right w:val="none" w:sz="0" w:space="0" w:color="auto"/>
      </w:divBdr>
    </w:div>
    <w:div w:id="919095202">
      <w:bodyDiv w:val="1"/>
      <w:marLeft w:val="0"/>
      <w:marRight w:val="0"/>
      <w:marTop w:val="0"/>
      <w:marBottom w:val="0"/>
      <w:divBdr>
        <w:top w:val="none" w:sz="0" w:space="0" w:color="auto"/>
        <w:left w:val="none" w:sz="0" w:space="0" w:color="auto"/>
        <w:bottom w:val="none" w:sz="0" w:space="0" w:color="auto"/>
        <w:right w:val="none" w:sz="0" w:space="0" w:color="auto"/>
      </w:divBdr>
    </w:div>
    <w:div w:id="938759141">
      <w:bodyDiv w:val="1"/>
      <w:marLeft w:val="0"/>
      <w:marRight w:val="0"/>
      <w:marTop w:val="0"/>
      <w:marBottom w:val="0"/>
      <w:divBdr>
        <w:top w:val="none" w:sz="0" w:space="0" w:color="auto"/>
        <w:left w:val="none" w:sz="0" w:space="0" w:color="auto"/>
        <w:bottom w:val="none" w:sz="0" w:space="0" w:color="auto"/>
        <w:right w:val="none" w:sz="0" w:space="0" w:color="auto"/>
      </w:divBdr>
    </w:div>
    <w:div w:id="941842769">
      <w:bodyDiv w:val="1"/>
      <w:marLeft w:val="0"/>
      <w:marRight w:val="0"/>
      <w:marTop w:val="0"/>
      <w:marBottom w:val="0"/>
      <w:divBdr>
        <w:top w:val="none" w:sz="0" w:space="0" w:color="auto"/>
        <w:left w:val="none" w:sz="0" w:space="0" w:color="auto"/>
        <w:bottom w:val="none" w:sz="0" w:space="0" w:color="auto"/>
        <w:right w:val="none" w:sz="0" w:space="0" w:color="auto"/>
      </w:divBdr>
    </w:div>
    <w:div w:id="957293963">
      <w:bodyDiv w:val="1"/>
      <w:marLeft w:val="0"/>
      <w:marRight w:val="0"/>
      <w:marTop w:val="0"/>
      <w:marBottom w:val="0"/>
      <w:divBdr>
        <w:top w:val="none" w:sz="0" w:space="0" w:color="auto"/>
        <w:left w:val="none" w:sz="0" w:space="0" w:color="auto"/>
        <w:bottom w:val="none" w:sz="0" w:space="0" w:color="auto"/>
        <w:right w:val="none" w:sz="0" w:space="0" w:color="auto"/>
      </w:divBdr>
    </w:div>
    <w:div w:id="964047575">
      <w:bodyDiv w:val="1"/>
      <w:marLeft w:val="0"/>
      <w:marRight w:val="0"/>
      <w:marTop w:val="0"/>
      <w:marBottom w:val="0"/>
      <w:divBdr>
        <w:top w:val="none" w:sz="0" w:space="0" w:color="auto"/>
        <w:left w:val="none" w:sz="0" w:space="0" w:color="auto"/>
        <w:bottom w:val="none" w:sz="0" w:space="0" w:color="auto"/>
        <w:right w:val="none" w:sz="0" w:space="0" w:color="auto"/>
      </w:divBdr>
    </w:div>
    <w:div w:id="964388431">
      <w:bodyDiv w:val="1"/>
      <w:marLeft w:val="0"/>
      <w:marRight w:val="0"/>
      <w:marTop w:val="0"/>
      <w:marBottom w:val="0"/>
      <w:divBdr>
        <w:top w:val="none" w:sz="0" w:space="0" w:color="auto"/>
        <w:left w:val="none" w:sz="0" w:space="0" w:color="auto"/>
        <w:bottom w:val="none" w:sz="0" w:space="0" w:color="auto"/>
        <w:right w:val="none" w:sz="0" w:space="0" w:color="auto"/>
      </w:divBdr>
    </w:div>
    <w:div w:id="973565361">
      <w:bodyDiv w:val="1"/>
      <w:marLeft w:val="0"/>
      <w:marRight w:val="0"/>
      <w:marTop w:val="0"/>
      <w:marBottom w:val="0"/>
      <w:divBdr>
        <w:top w:val="none" w:sz="0" w:space="0" w:color="auto"/>
        <w:left w:val="none" w:sz="0" w:space="0" w:color="auto"/>
        <w:bottom w:val="none" w:sz="0" w:space="0" w:color="auto"/>
        <w:right w:val="none" w:sz="0" w:space="0" w:color="auto"/>
      </w:divBdr>
    </w:div>
    <w:div w:id="984548986">
      <w:bodyDiv w:val="1"/>
      <w:marLeft w:val="0"/>
      <w:marRight w:val="0"/>
      <w:marTop w:val="0"/>
      <w:marBottom w:val="0"/>
      <w:divBdr>
        <w:top w:val="none" w:sz="0" w:space="0" w:color="auto"/>
        <w:left w:val="none" w:sz="0" w:space="0" w:color="auto"/>
        <w:bottom w:val="none" w:sz="0" w:space="0" w:color="auto"/>
        <w:right w:val="none" w:sz="0" w:space="0" w:color="auto"/>
      </w:divBdr>
    </w:div>
    <w:div w:id="997926968">
      <w:bodyDiv w:val="1"/>
      <w:marLeft w:val="0"/>
      <w:marRight w:val="0"/>
      <w:marTop w:val="0"/>
      <w:marBottom w:val="0"/>
      <w:divBdr>
        <w:top w:val="none" w:sz="0" w:space="0" w:color="auto"/>
        <w:left w:val="none" w:sz="0" w:space="0" w:color="auto"/>
        <w:bottom w:val="none" w:sz="0" w:space="0" w:color="auto"/>
        <w:right w:val="none" w:sz="0" w:space="0" w:color="auto"/>
      </w:divBdr>
    </w:div>
    <w:div w:id="1008412351">
      <w:bodyDiv w:val="1"/>
      <w:marLeft w:val="0"/>
      <w:marRight w:val="0"/>
      <w:marTop w:val="0"/>
      <w:marBottom w:val="0"/>
      <w:divBdr>
        <w:top w:val="none" w:sz="0" w:space="0" w:color="auto"/>
        <w:left w:val="none" w:sz="0" w:space="0" w:color="auto"/>
        <w:bottom w:val="none" w:sz="0" w:space="0" w:color="auto"/>
        <w:right w:val="none" w:sz="0" w:space="0" w:color="auto"/>
      </w:divBdr>
    </w:div>
    <w:div w:id="1012100397">
      <w:bodyDiv w:val="1"/>
      <w:marLeft w:val="0"/>
      <w:marRight w:val="0"/>
      <w:marTop w:val="0"/>
      <w:marBottom w:val="0"/>
      <w:divBdr>
        <w:top w:val="none" w:sz="0" w:space="0" w:color="auto"/>
        <w:left w:val="none" w:sz="0" w:space="0" w:color="auto"/>
        <w:bottom w:val="none" w:sz="0" w:space="0" w:color="auto"/>
        <w:right w:val="none" w:sz="0" w:space="0" w:color="auto"/>
      </w:divBdr>
    </w:div>
    <w:div w:id="1012995776">
      <w:bodyDiv w:val="1"/>
      <w:marLeft w:val="0"/>
      <w:marRight w:val="0"/>
      <w:marTop w:val="0"/>
      <w:marBottom w:val="0"/>
      <w:divBdr>
        <w:top w:val="none" w:sz="0" w:space="0" w:color="auto"/>
        <w:left w:val="none" w:sz="0" w:space="0" w:color="auto"/>
        <w:bottom w:val="none" w:sz="0" w:space="0" w:color="auto"/>
        <w:right w:val="none" w:sz="0" w:space="0" w:color="auto"/>
      </w:divBdr>
    </w:div>
    <w:div w:id="1026180418">
      <w:bodyDiv w:val="1"/>
      <w:marLeft w:val="0"/>
      <w:marRight w:val="0"/>
      <w:marTop w:val="0"/>
      <w:marBottom w:val="0"/>
      <w:divBdr>
        <w:top w:val="none" w:sz="0" w:space="0" w:color="auto"/>
        <w:left w:val="none" w:sz="0" w:space="0" w:color="auto"/>
        <w:bottom w:val="none" w:sz="0" w:space="0" w:color="auto"/>
        <w:right w:val="none" w:sz="0" w:space="0" w:color="auto"/>
      </w:divBdr>
    </w:div>
    <w:div w:id="1068922746">
      <w:bodyDiv w:val="1"/>
      <w:marLeft w:val="0"/>
      <w:marRight w:val="0"/>
      <w:marTop w:val="0"/>
      <w:marBottom w:val="0"/>
      <w:divBdr>
        <w:top w:val="none" w:sz="0" w:space="0" w:color="auto"/>
        <w:left w:val="none" w:sz="0" w:space="0" w:color="auto"/>
        <w:bottom w:val="none" w:sz="0" w:space="0" w:color="auto"/>
        <w:right w:val="none" w:sz="0" w:space="0" w:color="auto"/>
      </w:divBdr>
    </w:div>
    <w:div w:id="1072386589">
      <w:bodyDiv w:val="1"/>
      <w:marLeft w:val="0"/>
      <w:marRight w:val="0"/>
      <w:marTop w:val="0"/>
      <w:marBottom w:val="0"/>
      <w:divBdr>
        <w:top w:val="none" w:sz="0" w:space="0" w:color="auto"/>
        <w:left w:val="none" w:sz="0" w:space="0" w:color="auto"/>
        <w:bottom w:val="none" w:sz="0" w:space="0" w:color="auto"/>
        <w:right w:val="none" w:sz="0" w:space="0" w:color="auto"/>
      </w:divBdr>
    </w:div>
    <w:div w:id="1089305325">
      <w:bodyDiv w:val="1"/>
      <w:marLeft w:val="0"/>
      <w:marRight w:val="0"/>
      <w:marTop w:val="0"/>
      <w:marBottom w:val="0"/>
      <w:divBdr>
        <w:top w:val="none" w:sz="0" w:space="0" w:color="auto"/>
        <w:left w:val="none" w:sz="0" w:space="0" w:color="auto"/>
        <w:bottom w:val="none" w:sz="0" w:space="0" w:color="auto"/>
        <w:right w:val="none" w:sz="0" w:space="0" w:color="auto"/>
      </w:divBdr>
    </w:div>
    <w:div w:id="1096095442">
      <w:bodyDiv w:val="1"/>
      <w:marLeft w:val="0"/>
      <w:marRight w:val="0"/>
      <w:marTop w:val="0"/>
      <w:marBottom w:val="0"/>
      <w:divBdr>
        <w:top w:val="none" w:sz="0" w:space="0" w:color="auto"/>
        <w:left w:val="none" w:sz="0" w:space="0" w:color="auto"/>
        <w:bottom w:val="none" w:sz="0" w:space="0" w:color="auto"/>
        <w:right w:val="none" w:sz="0" w:space="0" w:color="auto"/>
      </w:divBdr>
    </w:div>
    <w:div w:id="1118064505">
      <w:bodyDiv w:val="1"/>
      <w:marLeft w:val="0"/>
      <w:marRight w:val="0"/>
      <w:marTop w:val="0"/>
      <w:marBottom w:val="0"/>
      <w:divBdr>
        <w:top w:val="none" w:sz="0" w:space="0" w:color="auto"/>
        <w:left w:val="none" w:sz="0" w:space="0" w:color="auto"/>
        <w:bottom w:val="none" w:sz="0" w:space="0" w:color="auto"/>
        <w:right w:val="none" w:sz="0" w:space="0" w:color="auto"/>
      </w:divBdr>
    </w:div>
    <w:div w:id="1122110047">
      <w:bodyDiv w:val="1"/>
      <w:marLeft w:val="0"/>
      <w:marRight w:val="0"/>
      <w:marTop w:val="0"/>
      <w:marBottom w:val="0"/>
      <w:divBdr>
        <w:top w:val="none" w:sz="0" w:space="0" w:color="auto"/>
        <w:left w:val="none" w:sz="0" w:space="0" w:color="auto"/>
        <w:bottom w:val="none" w:sz="0" w:space="0" w:color="auto"/>
        <w:right w:val="none" w:sz="0" w:space="0" w:color="auto"/>
      </w:divBdr>
    </w:div>
    <w:div w:id="1125277415">
      <w:bodyDiv w:val="1"/>
      <w:marLeft w:val="0"/>
      <w:marRight w:val="0"/>
      <w:marTop w:val="0"/>
      <w:marBottom w:val="0"/>
      <w:divBdr>
        <w:top w:val="none" w:sz="0" w:space="0" w:color="auto"/>
        <w:left w:val="none" w:sz="0" w:space="0" w:color="auto"/>
        <w:bottom w:val="none" w:sz="0" w:space="0" w:color="auto"/>
        <w:right w:val="none" w:sz="0" w:space="0" w:color="auto"/>
      </w:divBdr>
    </w:div>
    <w:div w:id="1131702848">
      <w:bodyDiv w:val="1"/>
      <w:marLeft w:val="0"/>
      <w:marRight w:val="0"/>
      <w:marTop w:val="0"/>
      <w:marBottom w:val="0"/>
      <w:divBdr>
        <w:top w:val="none" w:sz="0" w:space="0" w:color="auto"/>
        <w:left w:val="none" w:sz="0" w:space="0" w:color="auto"/>
        <w:bottom w:val="none" w:sz="0" w:space="0" w:color="auto"/>
        <w:right w:val="none" w:sz="0" w:space="0" w:color="auto"/>
      </w:divBdr>
    </w:div>
    <w:div w:id="1144279160">
      <w:bodyDiv w:val="1"/>
      <w:marLeft w:val="0"/>
      <w:marRight w:val="0"/>
      <w:marTop w:val="0"/>
      <w:marBottom w:val="0"/>
      <w:divBdr>
        <w:top w:val="none" w:sz="0" w:space="0" w:color="auto"/>
        <w:left w:val="none" w:sz="0" w:space="0" w:color="auto"/>
        <w:bottom w:val="none" w:sz="0" w:space="0" w:color="auto"/>
        <w:right w:val="none" w:sz="0" w:space="0" w:color="auto"/>
      </w:divBdr>
    </w:div>
    <w:div w:id="1146238190">
      <w:bodyDiv w:val="1"/>
      <w:marLeft w:val="0"/>
      <w:marRight w:val="0"/>
      <w:marTop w:val="0"/>
      <w:marBottom w:val="0"/>
      <w:divBdr>
        <w:top w:val="none" w:sz="0" w:space="0" w:color="auto"/>
        <w:left w:val="none" w:sz="0" w:space="0" w:color="auto"/>
        <w:bottom w:val="none" w:sz="0" w:space="0" w:color="auto"/>
        <w:right w:val="none" w:sz="0" w:space="0" w:color="auto"/>
      </w:divBdr>
    </w:div>
    <w:div w:id="1147892864">
      <w:bodyDiv w:val="1"/>
      <w:marLeft w:val="0"/>
      <w:marRight w:val="0"/>
      <w:marTop w:val="0"/>
      <w:marBottom w:val="0"/>
      <w:divBdr>
        <w:top w:val="none" w:sz="0" w:space="0" w:color="auto"/>
        <w:left w:val="none" w:sz="0" w:space="0" w:color="auto"/>
        <w:bottom w:val="none" w:sz="0" w:space="0" w:color="auto"/>
        <w:right w:val="none" w:sz="0" w:space="0" w:color="auto"/>
      </w:divBdr>
    </w:div>
    <w:div w:id="1154957029">
      <w:bodyDiv w:val="1"/>
      <w:marLeft w:val="0"/>
      <w:marRight w:val="0"/>
      <w:marTop w:val="0"/>
      <w:marBottom w:val="0"/>
      <w:divBdr>
        <w:top w:val="none" w:sz="0" w:space="0" w:color="auto"/>
        <w:left w:val="none" w:sz="0" w:space="0" w:color="auto"/>
        <w:bottom w:val="none" w:sz="0" w:space="0" w:color="auto"/>
        <w:right w:val="none" w:sz="0" w:space="0" w:color="auto"/>
      </w:divBdr>
    </w:div>
    <w:div w:id="1172453207">
      <w:bodyDiv w:val="1"/>
      <w:marLeft w:val="0"/>
      <w:marRight w:val="0"/>
      <w:marTop w:val="0"/>
      <w:marBottom w:val="0"/>
      <w:divBdr>
        <w:top w:val="none" w:sz="0" w:space="0" w:color="auto"/>
        <w:left w:val="none" w:sz="0" w:space="0" w:color="auto"/>
        <w:bottom w:val="none" w:sz="0" w:space="0" w:color="auto"/>
        <w:right w:val="none" w:sz="0" w:space="0" w:color="auto"/>
      </w:divBdr>
    </w:div>
    <w:div w:id="1195658928">
      <w:bodyDiv w:val="1"/>
      <w:marLeft w:val="0"/>
      <w:marRight w:val="0"/>
      <w:marTop w:val="0"/>
      <w:marBottom w:val="0"/>
      <w:divBdr>
        <w:top w:val="none" w:sz="0" w:space="0" w:color="auto"/>
        <w:left w:val="none" w:sz="0" w:space="0" w:color="auto"/>
        <w:bottom w:val="none" w:sz="0" w:space="0" w:color="auto"/>
        <w:right w:val="none" w:sz="0" w:space="0" w:color="auto"/>
      </w:divBdr>
    </w:div>
    <w:div w:id="1202205903">
      <w:bodyDiv w:val="1"/>
      <w:marLeft w:val="0"/>
      <w:marRight w:val="0"/>
      <w:marTop w:val="0"/>
      <w:marBottom w:val="0"/>
      <w:divBdr>
        <w:top w:val="none" w:sz="0" w:space="0" w:color="auto"/>
        <w:left w:val="none" w:sz="0" w:space="0" w:color="auto"/>
        <w:bottom w:val="none" w:sz="0" w:space="0" w:color="auto"/>
        <w:right w:val="none" w:sz="0" w:space="0" w:color="auto"/>
      </w:divBdr>
    </w:div>
    <w:div w:id="1212305995">
      <w:bodyDiv w:val="1"/>
      <w:marLeft w:val="0"/>
      <w:marRight w:val="0"/>
      <w:marTop w:val="0"/>
      <w:marBottom w:val="0"/>
      <w:divBdr>
        <w:top w:val="none" w:sz="0" w:space="0" w:color="auto"/>
        <w:left w:val="none" w:sz="0" w:space="0" w:color="auto"/>
        <w:bottom w:val="none" w:sz="0" w:space="0" w:color="auto"/>
        <w:right w:val="none" w:sz="0" w:space="0" w:color="auto"/>
      </w:divBdr>
    </w:div>
    <w:div w:id="1229415798">
      <w:bodyDiv w:val="1"/>
      <w:marLeft w:val="0"/>
      <w:marRight w:val="0"/>
      <w:marTop w:val="0"/>
      <w:marBottom w:val="0"/>
      <w:divBdr>
        <w:top w:val="none" w:sz="0" w:space="0" w:color="auto"/>
        <w:left w:val="none" w:sz="0" w:space="0" w:color="auto"/>
        <w:bottom w:val="none" w:sz="0" w:space="0" w:color="auto"/>
        <w:right w:val="none" w:sz="0" w:space="0" w:color="auto"/>
      </w:divBdr>
    </w:div>
    <w:div w:id="1239364831">
      <w:bodyDiv w:val="1"/>
      <w:marLeft w:val="0"/>
      <w:marRight w:val="0"/>
      <w:marTop w:val="0"/>
      <w:marBottom w:val="0"/>
      <w:divBdr>
        <w:top w:val="none" w:sz="0" w:space="0" w:color="auto"/>
        <w:left w:val="none" w:sz="0" w:space="0" w:color="auto"/>
        <w:bottom w:val="none" w:sz="0" w:space="0" w:color="auto"/>
        <w:right w:val="none" w:sz="0" w:space="0" w:color="auto"/>
      </w:divBdr>
    </w:div>
    <w:div w:id="1246374647">
      <w:bodyDiv w:val="1"/>
      <w:marLeft w:val="0"/>
      <w:marRight w:val="0"/>
      <w:marTop w:val="0"/>
      <w:marBottom w:val="0"/>
      <w:divBdr>
        <w:top w:val="none" w:sz="0" w:space="0" w:color="auto"/>
        <w:left w:val="none" w:sz="0" w:space="0" w:color="auto"/>
        <w:bottom w:val="none" w:sz="0" w:space="0" w:color="auto"/>
        <w:right w:val="none" w:sz="0" w:space="0" w:color="auto"/>
      </w:divBdr>
    </w:div>
    <w:div w:id="1248727420">
      <w:bodyDiv w:val="1"/>
      <w:marLeft w:val="0"/>
      <w:marRight w:val="0"/>
      <w:marTop w:val="0"/>
      <w:marBottom w:val="0"/>
      <w:divBdr>
        <w:top w:val="none" w:sz="0" w:space="0" w:color="auto"/>
        <w:left w:val="none" w:sz="0" w:space="0" w:color="auto"/>
        <w:bottom w:val="none" w:sz="0" w:space="0" w:color="auto"/>
        <w:right w:val="none" w:sz="0" w:space="0" w:color="auto"/>
      </w:divBdr>
    </w:div>
    <w:div w:id="1253855913">
      <w:bodyDiv w:val="1"/>
      <w:marLeft w:val="0"/>
      <w:marRight w:val="0"/>
      <w:marTop w:val="0"/>
      <w:marBottom w:val="0"/>
      <w:divBdr>
        <w:top w:val="none" w:sz="0" w:space="0" w:color="auto"/>
        <w:left w:val="none" w:sz="0" w:space="0" w:color="auto"/>
        <w:bottom w:val="none" w:sz="0" w:space="0" w:color="auto"/>
        <w:right w:val="none" w:sz="0" w:space="0" w:color="auto"/>
      </w:divBdr>
    </w:div>
    <w:div w:id="1256549373">
      <w:bodyDiv w:val="1"/>
      <w:marLeft w:val="0"/>
      <w:marRight w:val="0"/>
      <w:marTop w:val="0"/>
      <w:marBottom w:val="0"/>
      <w:divBdr>
        <w:top w:val="none" w:sz="0" w:space="0" w:color="auto"/>
        <w:left w:val="none" w:sz="0" w:space="0" w:color="auto"/>
        <w:bottom w:val="none" w:sz="0" w:space="0" w:color="auto"/>
        <w:right w:val="none" w:sz="0" w:space="0" w:color="auto"/>
      </w:divBdr>
    </w:div>
    <w:div w:id="1257596306">
      <w:bodyDiv w:val="1"/>
      <w:marLeft w:val="0"/>
      <w:marRight w:val="0"/>
      <w:marTop w:val="0"/>
      <w:marBottom w:val="0"/>
      <w:divBdr>
        <w:top w:val="none" w:sz="0" w:space="0" w:color="auto"/>
        <w:left w:val="none" w:sz="0" w:space="0" w:color="auto"/>
        <w:bottom w:val="none" w:sz="0" w:space="0" w:color="auto"/>
        <w:right w:val="none" w:sz="0" w:space="0" w:color="auto"/>
      </w:divBdr>
    </w:div>
    <w:div w:id="1263566659">
      <w:bodyDiv w:val="1"/>
      <w:marLeft w:val="0"/>
      <w:marRight w:val="0"/>
      <w:marTop w:val="0"/>
      <w:marBottom w:val="0"/>
      <w:divBdr>
        <w:top w:val="none" w:sz="0" w:space="0" w:color="auto"/>
        <w:left w:val="none" w:sz="0" w:space="0" w:color="auto"/>
        <w:bottom w:val="none" w:sz="0" w:space="0" w:color="auto"/>
        <w:right w:val="none" w:sz="0" w:space="0" w:color="auto"/>
      </w:divBdr>
    </w:div>
    <w:div w:id="1272397195">
      <w:bodyDiv w:val="1"/>
      <w:marLeft w:val="0"/>
      <w:marRight w:val="0"/>
      <w:marTop w:val="0"/>
      <w:marBottom w:val="0"/>
      <w:divBdr>
        <w:top w:val="none" w:sz="0" w:space="0" w:color="auto"/>
        <w:left w:val="none" w:sz="0" w:space="0" w:color="auto"/>
        <w:bottom w:val="none" w:sz="0" w:space="0" w:color="auto"/>
        <w:right w:val="none" w:sz="0" w:space="0" w:color="auto"/>
      </w:divBdr>
    </w:div>
    <w:div w:id="1279870068">
      <w:bodyDiv w:val="1"/>
      <w:marLeft w:val="0"/>
      <w:marRight w:val="0"/>
      <w:marTop w:val="0"/>
      <w:marBottom w:val="0"/>
      <w:divBdr>
        <w:top w:val="none" w:sz="0" w:space="0" w:color="auto"/>
        <w:left w:val="none" w:sz="0" w:space="0" w:color="auto"/>
        <w:bottom w:val="none" w:sz="0" w:space="0" w:color="auto"/>
        <w:right w:val="none" w:sz="0" w:space="0" w:color="auto"/>
      </w:divBdr>
    </w:div>
    <w:div w:id="1279988700">
      <w:bodyDiv w:val="1"/>
      <w:marLeft w:val="0"/>
      <w:marRight w:val="0"/>
      <w:marTop w:val="0"/>
      <w:marBottom w:val="0"/>
      <w:divBdr>
        <w:top w:val="none" w:sz="0" w:space="0" w:color="auto"/>
        <w:left w:val="none" w:sz="0" w:space="0" w:color="auto"/>
        <w:bottom w:val="none" w:sz="0" w:space="0" w:color="auto"/>
        <w:right w:val="none" w:sz="0" w:space="0" w:color="auto"/>
      </w:divBdr>
    </w:div>
    <w:div w:id="1285235338">
      <w:bodyDiv w:val="1"/>
      <w:marLeft w:val="0"/>
      <w:marRight w:val="0"/>
      <w:marTop w:val="0"/>
      <w:marBottom w:val="0"/>
      <w:divBdr>
        <w:top w:val="none" w:sz="0" w:space="0" w:color="auto"/>
        <w:left w:val="none" w:sz="0" w:space="0" w:color="auto"/>
        <w:bottom w:val="none" w:sz="0" w:space="0" w:color="auto"/>
        <w:right w:val="none" w:sz="0" w:space="0" w:color="auto"/>
      </w:divBdr>
    </w:div>
    <w:div w:id="1287393448">
      <w:bodyDiv w:val="1"/>
      <w:marLeft w:val="0"/>
      <w:marRight w:val="0"/>
      <w:marTop w:val="0"/>
      <w:marBottom w:val="0"/>
      <w:divBdr>
        <w:top w:val="none" w:sz="0" w:space="0" w:color="auto"/>
        <w:left w:val="none" w:sz="0" w:space="0" w:color="auto"/>
        <w:bottom w:val="none" w:sz="0" w:space="0" w:color="auto"/>
        <w:right w:val="none" w:sz="0" w:space="0" w:color="auto"/>
      </w:divBdr>
    </w:div>
    <w:div w:id="1300114991">
      <w:bodyDiv w:val="1"/>
      <w:marLeft w:val="0"/>
      <w:marRight w:val="0"/>
      <w:marTop w:val="0"/>
      <w:marBottom w:val="0"/>
      <w:divBdr>
        <w:top w:val="none" w:sz="0" w:space="0" w:color="auto"/>
        <w:left w:val="none" w:sz="0" w:space="0" w:color="auto"/>
        <w:bottom w:val="none" w:sz="0" w:space="0" w:color="auto"/>
        <w:right w:val="none" w:sz="0" w:space="0" w:color="auto"/>
      </w:divBdr>
    </w:div>
    <w:div w:id="1306933192">
      <w:bodyDiv w:val="1"/>
      <w:marLeft w:val="0"/>
      <w:marRight w:val="0"/>
      <w:marTop w:val="0"/>
      <w:marBottom w:val="0"/>
      <w:divBdr>
        <w:top w:val="none" w:sz="0" w:space="0" w:color="auto"/>
        <w:left w:val="none" w:sz="0" w:space="0" w:color="auto"/>
        <w:bottom w:val="none" w:sz="0" w:space="0" w:color="auto"/>
        <w:right w:val="none" w:sz="0" w:space="0" w:color="auto"/>
      </w:divBdr>
    </w:div>
    <w:div w:id="1313486365">
      <w:bodyDiv w:val="1"/>
      <w:marLeft w:val="0"/>
      <w:marRight w:val="0"/>
      <w:marTop w:val="0"/>
      <w:marBottom w:val="0"/>
      <w:divBdr>
        <w:top w:val="none" w:sz="0" w:space="0" w:color="auto"/>
        <w:left w:val="none" w:sz="0" w:space="0" w:color="auto"/>
        <w:bottom w:val="none" w:sz="0" w:space="0" w:color="auto"/>
        <w:right w:val="none" w:sz="0" w:space="0" w:color="auto"/>
      </w:divBdr>
    </w:div>
    <w:div w:id="1322152675">
      <w:bodyDiv w:val="1"/>
      <w:marLeft w:val="0"/>
      <w:marRight w:val="0"/>
      <w:marTop w:val="0"/>
      <w:marBottom w:val="0"/>
      <w:divBdr>
        <w:top w:val="none" w:sz="0" w:space="0" w:color="auto"/>
        <w:left w:val="none" w:sz="0" w:space="0" w:color="auto"/>
        <w:bottom w:val="none" w:sz="0" w:space="0" w:color="auto"/>
        <w:right w:val="none" w:sz="0" w:space="0" w:color="auto"/>
      </w:divBdr>
    </w:div>
    <w:div w:id="1327398262">
      <w:bodyDiv w:val="1"/>
      <w:marLeft w:val="0"/>
      <w:marRight w:val="0"/>
      <w:marTop w:val="0"/>
      <w:marBottom w:val="0"/>
      <w:divBdr>
        <w:top w:val="none" w:sz="0" w:space="0" w:color="auto"/>
        <w:left w:val="none" w:sz="0" w:space="0" w:color="auto"/>
        <w:bottom w:val="none" w:sz="0" w:space="0" w:color="auto"/>
        <w:right w:val="none" w:sz="0" w:space="0" w:color="auto"/>
      </w:divBdr>
    </w:div>
    <w:div w:id="1335378522">
      <w:bodyDiv w:val="1"/>
      <w:marLeft w:val="0"/>
      <w:marRight w:val="0"/>
      <w:marTop w:val="0"/>
      <w:marBottom w:val="0"/>
      <w:divBdr>
        <w:top w:val="none" w:sz="0" w:space="0" w:color="auto"/>
        <w:left w:val="none" w:sz="0" w:space="0" w:color="auto"/>
        <w:bottom w:val="none" w:sz="0" w:space="0" w:color="auto"/>
        <w:right w:val="none" w:sz="0" w:space="0" w:color="auto"/>
      </w:divBdr>
    </w:div>
    <w:div w:id="1355882101">
      <w:bodyDiv w:val="1"/>
      <w:marLeft w:val="0"/>
      <w:marRight w:val="0"/>
      <w:marTop w:val="0"/>
      <w:marBottom w:val="0"/>
      <w:divBdr>
        <w:top w:val="none" w:sz="0" w:space="0" w:color="auto"/>
        <w:left w:val="none" w:sz="0" w:space="0" w:color="auto"/>
        <w:bottom w:val="none" w:sz="0" w:space="0" w:color="auto"/>
        <w:right w:val="none" w:sz="0" w:space="0" w:color="auto"/>
      </w:divBdr>
    </w:div>
    <w:div w:id="1358384731">
      <w:bodyDiv w:val="1"/>
      <w:marLeft w:val="0"/>
      <w:marRight w:val="0"/>
      <w:marTop w:val="0"/>
      <w:marBottom w:val="0"/>
      <w:divBdr>
        <w:top w:val="none" w:sz="0" w:space="0" w:color="auto"/>
        <w:left w:val="none" w:sz="0" w:space="0" w:color="auto"/>
        <w:bottom w:val="none" w:sz="0" w:space="0" w:color="auto"/>
        <w:right w:val="none" w:sz="0" w:space="0" w:color="auto"/>
      </w:divBdr>
    </w:div>
    <w:div w:id="1363557162">
      <w:bodyDiv w:val="1"/>
      <w:marLeft w:val="0"/>
      <w:marRight w:val="0"/>
      <w:marTop w:val="0"/>
      <w:marBottom w:val="0"/>
      <w:divBdr>
        <w:top w:val="none" w:sz="0" w:space="0" w:color="auto"/>
        <w:left w:val="none" w:sz="0" w:space="0" w:color="auto"/>
        <w:bottom w:val="none" w:sz="0" w:space="0" w:color="auto"/>
        <w:right w:val="none" w:sz="0" w:space="0" w:color="auto"/>
      </w:divBdr>
    </w:div>
    <w:div w:id="1367413728">
      <w:bodyDiv w:val="1"/>
      <w:marLeft w:val="0"/>
      <w:marRight w:val="0"/>
      <w:marTop w:val="0"/>
      <w:marBottom w:val="0"/>
      <w:divBdr>
        <w:top w:val="none" w:sz="0" w:space="0" w:color="auto"/>
        <w:left w:val="none" w:sz="0" w:space="0" w:color="auto"/>
        <w:bottom w:val="none" w:sz="0" w:space="0" w:color="auto"/>
        <w:right w:val="none" w:sz="0" w:space="0" w:color="auto"/>
      </w:divBdr>
    </w:div>
    <w:div w:id="1406143189">
      <w:bodyDiv w:val="1"/>
      <w:marLeft w:val="0"/>
      <w:marRight w:val="0"/>
      <w:marTop w:val="0"/>
      <w:marBottom w:val="0"/>
      <w:divBdr>
        <w:top w:val="none" w:sz="0" w:space="0" w:color="auto"/>
        <w:left w:val="none" w:sz="0" w:space="0" w:color="auto"/>
        <w:bottom w:val="none" w:sz="0" w:space="0" w:color="auto"/>
        <w:right w:val="none" w:sz="0" w:space="0" w:color="auto"/>
      </w:divBdr>
    </w:div>
    <w:div w:id="1410694745">
      <w:bodyDiv w:val="1"/>
      <w:marLeft w:val="0"/>
      <w:marRight w:val="0"/>
      <w:marTop w:val="0"/>
      <w:marBottom w:val="0"/>
      <w:divBdr>
        <w:top w:val="none" w:sz="0" w:space="0" w:color="auto"/>
        <w:left w:val="none" w:sz="0" w:space="0" w:color="auto"/>
        <w:bottom w:val="none" w:sz="0" w:space="0" w:color="auto"/>
        <w:right w:val="none" w:sz="0" w:space="0" w:color="auto"/>
      </w:divBdr>
    </w:div>
    <w:div w:id="1421296447">
      <w:bodyDiv w:val="1"/>
      <w:marLeft w:val="0"/>
      <w:marRight w:val="0"/>
      <w:marTop w:val="0"/>
      <w:marBottom w:val="0"/>
      <w:divBdr>
        <w:top w:val="none" w:sz="0" w:space="0" w:color="auto"/>
        <w:left w:val="none" w:sz="0" w:space="0" w:color="auto"/>
        <w:bottom w:val="none" w:sz="0" w:space="0" w:color="auto"/>
        <w:right w:val="none" w:sz="0" w:space="0" w:color="auto"/>
      </w:divBdr>
    </w:div>
    <w:div w:id="1431272735">
      <w:bodyDiv w:val="1"/>
      <w:marLeft w:val="0"/>
      <w:marRight w:val="0"/>
      <w:marTop w:val="0"/>
      <w:marBottom w:val="0"/>
      <w:divBdr>
        <w:top w:val="none" w:sz="0" w:space="0" w:color="auto"/>
        <w:left w:val="none" w:sz="0" w:space="0" w:color="auto"/>
        <w:bottom w:val="none" w:sz="0" w:space="0" w:color="auto"/>
        <w:right w:val="none" w:sz="0" w:space="0" w:color="auto"/>
      </w:divBdr>
    </w:div>
    <w:div w:id="1434592407">
      <w:bodyDiv w:val="1"/>
      <w:marLeft w:val="0"/>
      <w:marRight w:val="0"/>
      <w:marTop w:val="0"/>
      <w:marBottom w:val="0"/>
      <w:divBdr>
        <w:top w:val="none" w:sz="0" w:space="0" w:color="auto"/>
        <w:left w:val="none" w:sz="0" w:space="0" w:color="auto"/>
        <w:bottom w:val="none" w:sz="0" w:space="0" w:color="auto"/>
        <w:right w:val="none" w:sz="0" w:space="0" w:color="auto"/>
      </w:divBdr>
    </w:div>
    <w:div w:id="1448617805">
      <w:bodyDiv w:val="1"/>
      <w:marLeft w:val="0"/>
      <w:marRight w:val="0"/>
      <w:marTop w:val="0"/>
      <w:marBottom w:val="0"/>
      <w:divBdr>
        <w:top w:val="none" w:sz="0" w:space="0" w:color="auto"/>
        <w:left w:val="none" w:sz="0" w:space="0" w:color="auto"/>
        <w:bottom w:val="none" w:sz="0" w:space="0" w:color="auto"/>
        <w:right w:val="none" w:sz="0" w:space="0" w:color="auto"/>
      </w:divBdr>
    </w:div>
    <w:div w:id="1460109238">
      <w:bodyDiv w:val="1"/>
      <w:marLeft w:val="0"/>
      <w:marRight w:val="0"/>
      <w:marTop w:val="0"/>
      <w:marBottom w:val="0"/>
      <w:divBdr>
        <w:top w:val="none" w:sz="0" w:space="0" w:color="auto"/>
        <w:left w:val="none" w:sz="0" w:space="0" w:color="auto"/>
        <w:bottom w:val="none" w:sz="0" w:space="0" w:color="auto"/>
        <w:right w:val="none" w:sz="0" w:space="0" w:color="auto"/>
      </w:divBdr>
    </w:div>
    <w:div w:id="1462961671">
      <w:bodyDiv w:val="1"/>
      <w:marLeft w:val="0"/>
      <w:marRight w:val="0"/>
      <w:marTop w:val="0"/>
      <w:marBottom w:val="0"/>
      <w:divBdr>
        <w:top w:val="none" w:sz="0" w:space="0" w:color="auto"/>
        <w:left w:val="none" w:sz="0" w:space="0" w:color="auto"/>
        <w:bottom w:val="none" w:sz="0" w:space="0" w:color="auto"/>
        <w:right w:val="none" w:sz="0" w:space="0" w:color="auto"/>
      </w:divBdr>
    </w:div>
    <w:div w:id="1465077833">
      <w:bodyDiv w:val="1"/>
      <w:marLeft w:val="0"/>
      <w:marRight w:val="0"/>
      <w:marTop w:val="0"/>
      <w:marBottom w:val="0"/>
      <w:divBdr>
        <w:top w:val="none" w:sz="0" w:space="0" w:color="auto"/>
        <w:left w:val="none" w:sz="0" w:space="0" w:color="auto"/>
        <w:bottom w:val="none" w:sz="0" w:space="0" w:color="auto"/>
        <w:right w:val="none" w:sz="0" w:space="0" w:color="auto"/>
      </w:divBdr>
    </w:div>
    <w:div w:id="1466660708">
      <w:bodyDiv w:val="1"/>
      <w:marLeft w:val="0"/>
      <w:marRight w:val="0"/>
      <w:marTop w:val="0"/>
      <w:marBottom w:val="0"/>
      <w:divBdr>
        <w:top w:val="none" w:sz="0" w:space="0" w:color="auto"/>
        <w:left w:val="none" w:sz="0" w:space="0" w:color="auto"/>
        <w:bottom w:val="none" w:sz="0" w:space="0" w:color="auto"/>
        <w:right w:val="none" w:sz="0" w:space="0" w:color="auto"/>
      </w:divBdr>
    </w:div>
    <w:div w:id="1467356751">
      <w:bodyDiv w:val="1"/>
      <w:marLeft w:val="0"/>
      <w:marRight w:val="0"/>
      <w:marTop w:val="0"/>
      <w:marBottom w:val="0"/>
      <w:divBdr>
        <w:top w:val="none" w:sz="0" w:space="0" w:color="auto"/>
        <w:left w:val="none" w:sz="0" w:space="0" w:color="auto"/>
        <w:bottom w:val="none" w:sz="0" w:space="0" w:color="auto"/>
        <w:right w:val="none" w:sz="0" w:space="0" w:color="auto"/>
      </w:divBdr>
    </w:div>
    <w:div w:id="1471895651">
      <w:bodyDiv w:val="1"/>
      <w:marLeft w:val="0"/>
      <w:marRight w:val="0"/>
      <w:marTop w:val="0"/>
      <w:marBottom w:val="0"/>
      <w:divBdr>
        <w:top w:val="none" w:sz="0" w:space="0" w:color="auto"/>
        <w:left w:val="none" w:sz="0" w:space="0" w:color="auto"/>
        <w:bottom w:val="none" w:sz="0" w:space="0" w:color="auto"/>
        <w:right w:val="none" w:sz="0" w:space="0" w:color="auto"/>
      </w:divBdr>
    </w:div>
    <w:div w:id="1475873148">
      <w:bodyDiv w:val="1"/>
      <w:marLeft w:val="0"/>
      <w:marRight w:val="0"/>
      <w:marTop w:val="0"/>
      <w:marBottom w:val="0"/>
      <w:divBdr>
        <w:top w:val="none" w:sz="0" w:space="0" w:color="auto"/>
        <w:left w:val="none" w:sz="0" w:space="0" w:color="auto"/>
        <w:bottom w:val="none" w:sz="0" w:space="0" w:color="auto"/>
        <w:right w:val="none" w:sz="0" w:space="0" w:color="auto"/>
      </w:divBdr>
    </w:div>
    <w:div w:id="1494251902">
      <w:bodyDiv w:val="1"/>
      <w:marLeft w:val="0"/>
      <w:marRight w:val="0"/>
      <w:marTop w:val="0"/>
      <w:marBottom w:val="0"/>
      <w:divBdr>
        <w:top w:val="none" w:sz="0" w:space="0" w:color="auto"/>
        <w:left w:val="none" w:sz="0" w:space="0" w:color="auto"/>
        <w:bottom w:val="none" w:sz="0" w:space="0" w:color="auto"/>
        <w:right w:val="none" w:sz="0" w:space="0" w:color="auto"/>
      </w:divBdr>
    </w:div>
    <w:div w:id="1503811492">
      <w:bodyDiv w:val="1"/>
      <w:marLeft w:val="0"/>
      <w:marRight w:val="0"/>
      <w:marTop w:val="0"/>
      <w:marBottom w:val="0"/>
      <w:divBdr>
        <w:top w:val="none" w:sz="0" w:space="0" w:color="auto"/>
        <w:left w:val="none" w:sz="0" w:space="0" w:color="auto"/>
        <w:bottom w:val="none" w:sz="0" w:space="0" w:color="auto"/>
        <w:right w:val="none" w:sz="0" w:space="0" w:color="auto"/>
      </w:divBdr>
    </w:div>
    <w:div w:id="1508015221">
      <w:bodyDiv w:val="1"/>
      <w:marLeft w:val="0"/>
      <w:marRight w:val="0"/>
      <w:marTop w:val="0"/>
      <w:marBottom w:val="0"/>
      <w:divBdr>
        <w:top w:val="none" w:sz="0" w:space="0" w:color="auto"/>
        <w:left w:val="none" w:sz="0" w:space="0" w:color="auto"/>
        <w:bottom w:val="none" w:sz="0" w:space="0" w:color="auto"/>
        <w:right w:val="none" w:sz="0" w:space="0" w:color="auto"/>
      </w:divBdr>
    </w:div>
    <w:div w:id="1519344782">
      <w:bodyDiv w:val="1"/>
      <w:marLeft w:val="0"/>
      <w:marRight w:val="0"/>
      <w:marTop w:val="0"/>
      <w:marBottom w:val="0"/>
      <w:divBdr>
        <w:top w:val="none" w:sz="0" w:space="0" w:color="auto"/>
        <w:left w:val="none" w:sz="0" w:space="0" w:color="auto"/>
        <w:bottom w:val="none" w:sz="0" w:space="0" w:color="auto"/>
        <w:right w:val="none" w:sz="0" w:space="0" w:color="auto"/>
      </w:divBdr>
    </w:div>
    <w:div w:id="1523548077">
      <w:bodyDiv w:val="1"/>
      <w:marLeft w:val="0"/>
      <w:marRight w:val="0"/>
      <w:marTop w:val="0"/>
      <w:marBottom w:val="0"/>
      <w:divBdr>
        <w:top w:val="none" w:sz="0" w:space="0" w:color="auto"/>
        <w:left w:val="none" w:sz="0" w:space="0" w:color="auto"/>
        <w:bottom w:val="none" w:sz="0" w:space="0" w:color="auto"/>
        <w:right w:val="none" w:sz="0" w:space="0" w:color="auto"/>
      </w:divBdr>
    </w:div>
    <w:div w:id="1526483863">
      <w:bodyDiv w:val="1"/>
      <w:marLeft w:val="0"/>
      <w:marRight w:val="0"/>
      <w:marTop w:val="0"/>
      <w:marBottom w:val="0"/>
      <w:divBdr>
        <w:top w:val="none" w:sz="0" w:space="0" w:color="auto"/>
        <w:left w:val="none" w:sz="0" w:space="0" w:color="auto"/>
        <w:bottom w:val="none" w:sz="0" w:space="0" w:color="auto"/>
        <w:right w:val="none" w:sz="0" w:space="0" w:color="auto"/>
      </w:divBdr>
    </w:div>
    <w:div w:id="1527601039">
      <w:bodyDiv w:val="1"/>
      <w:marLeft w:val="0"/>
      <w:marRight w:val="0"/>
      <w:marTop w:val="0"/>
      <w:marBottom w:val="0"/>
      <w:divBdr>
        <w:top w:val="none" w:sz="0" w:space="0" w:color="auto"/>
        <w:left w:val="none" w:sz="0" w:space="0" w:color="auto"/>
        <w:bottom w:val="none" w:sz="0" w:space="0" w:color="auto"/>
        <w:right w:val="none" w:sz="0" w:space="0" w:color="auto"/>
      </w:divBdr>
    </w:div>
    <w:div w:id="1568304198">
      <w:bodyDiv w:val="1"/>
      <w:marLeft w:val="0"/>
      <w:marRight w:val="0"/>
      <w:marTop w:val="0"/>
      <w:marBottom w:val="0"/>
      <w:divBdr>
        <w:top w:val="none" w:sz="0" w:space="0" w:color="auto"/>
        <w:left w:val="none" w:sz="0" w:space="0" w:color="auto"/>
        <w:bottom w:val="none" w:sz="0" w:space="0" w:color="auto"/>
        <w:right w:val="none" w:sz="0" w:space="0" w:color="auto"/>
      </w:divBdr>
    </w:div>
    <w:div w:id="1580166693">
      <w:bodyDiv w:val="1"/>
      <w:marLeft w:val="0"/>
      <w:marRight w:val="0"/>
      <w:marTop w:val="0"/>
      <w:marBottom w:val="0"/>
      <w:divBdr>
        <w:top w:val="none" w:sz="0" w:space="0" w:color="auto"/>
        <w:left w:val="none" w:sz="0" w:space="0" w:color="auto"/>
        <w:bottom w:val="none" w:sz="0" w:space="0" w:color="auto"/>
        <w:right w:val="none" w:sz="0" w:space="0" w:color="auto"/>
      </w:divBdr>
    </w:div>
    <w:div w:id="1593930812">
      <w:bodyDiv w:val="1"/>
      <w:marLeft w:val="0"/>
      <w:marRight w:val="0"/>
      <w:marTop w:val="0"/>
      <w:marBottom w:val="0"/>
      <w:divBdr>
        <w:top w:val="none" w:sz="0" w:space="0" w:color="auto"/>
        <w:left w:val="none" w:sz="0" w:space="0" w:color="auto"/>
        <w:bottom w:val="none" w:sz="0" w:space="0" w:color="auto"/>
        <w:right w:val="none" w:sz="0" w:space="0" w:color="auto"/>
      </w:divBdr>
    </w:div>
    <w:div w:id="1602029707">
      <w:bodyDiv w:val="1"/>
      <w:marLeft w:val="0"/>
      <w:marRight w:val="0"/>
      <w:marTop w:val="0"/>
      <w:marBottom w:val="0"/>
      <w:divBdr>
        <w:top w:val="none" w:sz="0" w:space="0" w:color="auto"/>
        <w:left w:val="none" w:sz="0" w:space="0" w:color="auto"/>
        <w:bottom w:val="none" w:sz="0" w:space="0" w:color="auto"/>
        <w:right w:val="none" w:sz="0" w:space="0" w:color="auto"/>
      </w:divBdr>
    </w:div>
    <w:div w:id="1611547073">
      <w:bodyDiv w:val="1"/>
      <w:marLeft w:val="0"/>
      <w:marRight w:val="0"/>
      <w:marTop w:val="0"/>
      <w:marBottom w:val="0"/>
      <w:divBdr>
        <w:top w:val="none" w:sz="0" w:space="0" w:color="auto"/>
        <w:left w:val="none" w:sz="0" w:space="0" w:color="auto"/>
        <w:bottom w:val="none" w:sz="0" w:space="0" w:color="auto"/>
        <w:right w:val="none" w:sz="0" w:space="0" w:color="auto"/>
      </w:divBdr>
    </w:div>
    <w:div w:id="1619800572">
      <w:bodyDiv w:val="1"/>
      <w:marLeft w:val="0"/>
      <w:marRight w:val="0"/>
      <w:marTop w:val="0"/>
      <w:marBottom w:val="0"/>
      <w:divBdr>
        <w:top w:val="none" w:sz="0" w:space="0" w:color="auto"/>
        <w:left w:val="none" w:sz="0" w:space="0" w:color="auto"/>
        <w:bottom w:val="none" w:sz="0" w:space="0" w:color="auto"/>
        <w:right w:val="none" w:sz="0" w:space="0" w:color="auto"/>
      </w:divBdr>
    </w:div>
    <w:div w:id="1625187514">
      <w:bodyDiv w:val="1"/>
      <w:marLeft w:val="0"/>
      <w:marRight w:val="0"/>
      <w:marTop w:val="0"/>
      <w:marBottom w:val="0"/>
      <w:divBdr>
        <w:top w:val="none" w:sz="0" w:space="0" w:color="auto"/>
        <w:left w:val="none" w:sz="0" w:space="0" w:color="auto"/>
        <w:bottom w:val="none" w:sz="0" w:space="0" w:color="auto"/>
        <w:right w:val="none" w:sz="0" w:space="0" w:color="auto"/>
      </w:divBdr>
    </w:div>
    <w:div w:id="1627194722">
      <w:bodyDiv w:val="1"/>
      <w:marLeft w:val="0"/>
      <w:marRight w:val="0"/>
      <w:marTop w:val="0"/>
      <w:marBottom w:val="0"/>
      <w:divBdr>
        <w:top w:val="none" w:sz="0" w:space="0" w:color="auto"/>
        <w:left w:val="none" w:sz="0" w:space="0" w:color="auto"/>
        <w:bottom w:val="none" w:sz="0" w:space="0" w:color="auto"/>
        <w:right w:val="none" w:sz="0" w:space="0" w:color="auto"/>
      </w:divBdr>
    </w:div>
    <w:div w:id="1631550603">
      <w:bodyDiv w:val="1"/>
      <w:marLeft w:val="0"/>
      <w:marRight w:val="0"/>
      <w:marTop w:val="0"/>
      <w:marBottom w:val="0"/>
      <w:divBdr>
        <w:top w:val="none" w:sz="0" w:space="0" w:color="auto"/>
        <w:left w:val="none" w:sz="0" w:space="0" w:color="auto"/>
        <w:bottom w:val="none" w:sz="0" w:space="0" w:color="auto"/>
        <w:right w:val="none" w:sz="0" w:space="0" w:color="auto"/>
      </w:divBdr>
    </w:div>
    <w:div w:id="1656760174">
      <w:bodyDiv w:val="1"/>
      <w:marLeft w:val="0"/>
      <w:marRight w:val="0"/>
      <w:marTop w:val="0"/>
      <w:marBottom w:val="0"/>
      <w:divBdr>
        <w:top w:val="none" w:sz="0" w:space="0" w:color="auto"/>
        <w:left w:val="none" w:sz="0" w:space="0" w:color="auto"/>
        <w:bottom w:val="none" w:sz="0" w:space="0" w:color="auto"/>
        <w:right w:val="none" w:sz="0" w:space="0" w:color="auto"/>
      </w:divBdr>
    </w:div>
    <w:div w:id="1657103901">
      <w:bodyDiv w:val="1"/>
      <w:marLeft w:val="0"/>
      <w:marRight w:val="0"/>
      <w:marTop w:val="0"/>
      <w:marBottom w:val="0"/>
      <w:divBdr>
        <w:top w:val="none" w:sz="0" w:space="0" w:color="auto"/>
        <w:left w:val="none" w:sz="0" w:space="0" w:color="auto"/>
        <w:bottom w:val="none" w:sz="0" w:space="0" w:color="auto"/>
        <w:right w:val="none" w:sz="0" w:space="0" w:color="auto"/>
      </w:divBdr>
    </w:div>
    <w:div w:id="1682244171">
      <w:bodyDiv w:val="1"/>
      <w:marLeft w:val="0"/>
      <w:marRight w:val="0"/>
      <w:marTop w:val="0"/>
      <w:marBottom w:val="0"/>
      <w:divBdr>
        <w:top w:val="none" w:sz="0" w:space="0" w:color="auto"/>
        <w:left w:val="none" w:sz="0" w:space="0" w:color="auto"/>
        <w:bottom w:val="none" w:sz="0" w:space="0" w:color="auto"/>
        <w:right w:val="none" w:sz="0" w:space="0" w:color="auto"/>
      </w:divBdr>
    </w:div>
    <w:div w:id="1688290534">
      <w:bodyDiv w:val="1"/>
      <w:marLeft w:val="0"/>
      <w:marRight w:val="0"/>
      <w:marTop w:val="0"/>
      <w:marBottom w:val="0"/>
      <w:divBdr>
        <w:top w:val="none" w:sz="0" w:space="0" w:color="auto"/>
        <w:left w:val="none" w:sz="0" w:space="0" w:color="auto"/>
        <w:bottom w:val="none" w:sz="0" w:space="0" w:color="auto"/>
        <w:right w:val="none" w:sz="0" w:space="0" w:color="auto"/>
      </w:divBdr>
    </w:div>
    <w:div w:id="1701278625">
      <w:bodyDiv w:val="1"/>
      <w:marLeft w:val="0"/>
      <w:marRight w:val="0"/>
      <w:marTop w:val="0"/>
      <w:marBottom w:val="0"/>
      <w:divBdr>
        <w:top w:val="none" w:sz="0" w:space="0" w:color="auto"/>
        <w:left w:val="none" w:sz="0" w:space="0" w:color="auto"/>
        <w:bottom w:val="none" w:sz="0" w:space="0" w:color="auto"/>
        <w:right w:val="none" w:sz="0" w:space="0" w:color="auto"/>
      </w:divBdr>
    </w:div>
    <w:div w:id="1708332783">
      <w:bodyDiv w:val="1"/>
      <w:marLeft w:val="0"/>
      <w:marRight w:val="0"/>
      <w:marTop w:val="0"/>
      <w:marBottom w:val="0"/>
      <w:divBdr>
        <w:top w:val="none" w:sz="0" w:space="0" w:color="auto"/>
        <w:left w:val="none" w:sz="0" w:space="0" w:color="auto"/>
        <w:bottom w:val="none" w:sz="0" w:space="0" w:color="auto"/>
        <w:right w:val="none" w:sz="0" w:space="0" w:color="auto"/>
      </w:divBdr>
    </w:div>
    <w:div w:id="1721902330">
      <w:bodyDiv w:val="1"/>
      <w:marLeft w:val="0"/>
      <w:marRight w:val="0"/>
      <w:marTop w:val="0"/>
      <w:marBottom w:val="0"/>
      <w:divBdr>
        <w:top w:val="none" w:sz="0" w:space="0" w:color="auto"/>
        <w:left w:val="none" w:sz="0" w:space="0" w:color="auto"/>
        <w:bottom w:val="none" w:sz="0" w:space="0" w:color="auto"/>
        <w:right w:val="none" w:sz="0" w:space="0" w:color="auto"/>
      </w:divBdr>
    </w:div>
    <w:div w:id="1725057916">
      <w:bodyDiv w:val="1"/>
      <w:marLeft w:val="0"/>
      <w:marRight w:val="0"/>
      <w:marTop w:val="0"/>
      <w:marBottom w:val="0"/>
      <w:divBdr>
        <w:top w:val="none" w:sz="0" w:space="0" w:color="auto"/>
        <w:left w:val="none" w:sz="0" w:space="0" w:color="auto"/>
        <w:bottom w:val="none" w:sz="0" w:space="0" w:color="auto"/>
        <w:right w:val="none" w:sz="0" w:space="0" w:color="auto"/>
      </w:divBdr>
    </w:div>
    <w:div w:id="1734229726">
      <w:bodyDiv w:val="1"/>
      <w:marLeft w:val="0"/>
      <w:marRight w:val="0"/>
      <w:marTop w:val="0"/>
      <w:marBottom w:val="0"/>
      <w:divBdr>
        <w:top w:val="none" w:sz="0" w:space="0" w:color="auto"/>
        <w:left w:val="none" w:sz="0" w:space="0" w:color="auto"/>
        <w:bottom w:val="none" w:sz="0" w:space="0" w:color="auto"/>
        <w:right w:val="none" w:sz="0" w:space="0" w:color="auto"/>
      </w:divBdr>
    </w:div>
    <w:div w:id="1742749140">
      <w:bodyDiv w:val="1"/>
      <w:marLeft w:val="0"/>
      <w:marRight w:val="0"/>
      <w:marTop w:val="0"/>
      <w:marBottom w:val="0"/>
      <w:divBdr>
        <w:top w:val="none" w:sz="0" w:space="0" w:color="auto"/>
        <w:left w:val="none" w:sz="0" w:space="0" w:color="auto"/>
        <w:bottom w:val="none" w:sz="0" w:space="0" w:color="auto"/>
        <w:right w:val="none" w:sz="0" w:space="0" w:color="auto"/>
      </w:divBdr>
    </w:div>
    <w:div w:id="1753811545">
      <w:bodyDiv w:val="1"/>
      <w:marLeft w:val="0"/>
      <w:marRight w:val="0"/>
      <w:marTop w:val="0"/>
      <w:marBottom w:val="0"/>
      <w:divBdr>
        <w:top w:val="none" w:sz="0" w:space="0" w:color="auto"/>
        <w:left w:val="none" w:sz="0" w:space="0" w:color="auto"/>
        <w:bottom w:val="none" w:sz="0" w:space="0" w:color="auto"/>
        <w:right w:val="none" w:sz="0" w:space="0" w:color="auto"/>
      </w:divBdr>
    </w:div>
    <w:div w:id="1754618077">
      <w:bodyDiv w:val="1"/>
      <w:marLeft w:val="0"/>
      <w:marRight w:val="0"/>
      <w:marTop w:val="0"/>
      <w:marBottom w:val="0"/>
      <w:divBdr>
        <w:top w:val="none" w:sz="0" w:space="0" w:color="auto"/>
        <w:left w:val="none" w:sz="0" w:space="0" w:color="auto"/>
        <w:bottom w:val="none" w:sz="0" w:space="0" w:color="auto"/>
        <w:right w:val="none" w:sz="0" w:space="0" w:color="auto"/>
      </w:divBdr>
    </w:div>
    <w:div w:id="1781954206">
      <w:bodyDiv w:val="1"/>
      <w:marLeft w:val="0"/>
      <w:marRight w:val="0"/>
      <w:marTop w:val="0"/>
      <w:marBottom w:val="0"/>
      <w:divBdr>
        <w:top w:val="none" w:sz="0" w:space="0" w:color="auto"/>
        <w:left w:val="none" w:sz="0" w:space="0" w:color="auto"/>
        <w:bottom w:val="none" w:sz="0" w:space="0" w:color="auto"/>
        <w:right w:val="none" w:sz="0" w:space="0" w:color="auto"/>
      </w:divBdr>
    </w:div>
    <w:div w:id="1789931477">
      <w:bodyDiv w:val="1"/>
      <w:marLeft w:val="0"/>
      <w:marRight w:val="0"/>
      <w:marTop w:val="0"/>
      <w:marBottom w:val="0"/>
      <w:divBdr>
        <w:top w:val="none" w:sz="0" w:space="0" w:color="auto"/>
        <w:left w:val="none" w:sz="0" w:space="0" w:color="auto"/>
        <w:bottom w:val="none" w:sz="0" w:space="0" w:color="auto"/>
        <w:right w:val="none" w:sz="0" w:space="0" w:color="auto"/>
      </w:divBdr>
    </w:div>
    <w:div w:id="1841315494">
      <w:bodyDiv w:val="1"/>
      <w:marLeft w:val="0"/>
      <w:marRight w:val="0"/>
      <w:marTop w:val="0"/>
      <w:marBottom w:val="0"/>
      <w:divBdr>
        <w:top w:val="none" w:sz="0" w:space="0" w:color="auto"/>
        <w:left w:val="none" w:sz="0" w:space="0" w:color="auto"/>
        <w:bottom w:val="none" w:sz="0" w:space="0" w:color="auto"/>
        <w:right w:val="none" w:sz="0" w:space="0" w:color="auto"/>
      </w:divBdr>
    </w:div>
    <w:div w:id="1849520983">
      <w:bodyDiv w:val="1"/>
      <w:marLeft w:val="0"/>
      <w:marRight w:val="0"/>
      <w:marTop w:val="0"/>
      <w:marBottom w:val="0"/>
      <w:divBdr>
        <w:top w:val="none" w:sz="0" w:space="0" w:color="auto"/>
        <w:left w:val="none" w:sz="0" w:space="0" w:color="auto"/>
        <w:bottom w:val="none" w:sz="0" w:space="0" w:color="auto"/>
        <w:right w:val="none" w:sz="0" w:space="0" w:color="auto"/>
      </w:divBdr>
    </w:div>
    <w:div w:id="1856184880">
      <w:bodyDiv w:val="1"/>
      <w:marLeft w:val="0"/>
      <w:marRight w:val="0"/>
      <w:marTop w:val="0"/>
      <w:marBottom w:val="0"/>
      <w:divBdr>
        <w:top w:val="none" w:sz="0" w:space="0" w:color="auto"/>
        <w:left w:val="none" w:sz="0" w:space="0" w:color="auto"/>
        <w:bottom w:val="none" w:sz="0" w:space="0" w:color="auto"/>
        <w:right w:val="none" w:sz="0" w:space="0" w:color="auto"/>
      </w:divBdr>
    </w:div>
    <w:div w:id="1859584216">
      <w:bodyDiv w:val="1"/>
      <w:marLeft w:val="0"/>
      <w:marRight w:val="0"/>
      <w:marTop w:val="0"/>
      <w:marBottom w:val="0"/>
      <w:divBdr>
        <w:top w:val="none" w:sz="0" w:space="0" w:color="auto"/>
        <w:left w:val="none" w:sz="0" w:space="0" w:color="auto"/>
        <w:bottom w:val="none" w:sz="0" w:space="0" w:color="auto"/>
        <w:right w:val="none" w:sz="0" w:space="0" w:color="auto"/>
      </w:divBdr>
    </w:div>
    <w:div w:id="1870144189">
      <w:bodyDiv w:val="1"/>
      <w:marLeft w:val="0"/>
      <w:marRight w:val="0"/>
      <w:marTop w:val="0"/>
      <w:marBottom w:val="0"/>
      <w:divBdr>
        <w:top w:val="none" w:sz="0" w:space="0" w:color="auto"/>
        <w:left w:val="none" w:sz="0" w:space="0" w:color="auto"/>
        <w:bottom w:val="none" w:sz="0" w:space="0" w:color="auto"/>
        <w:right w:val="none" w:sz="0" w:space="0" w:color="auto"/>
      </w:divBdr>
    </w:div>
    <w:div w:id="1870217413">
      <w:bodyDiv w:val="1"/>
      <w:marLeft w:val="0"/>
      <w:marRight w:val="0"/>
      <w:marTop w:val="0"/>
      <w:marBottom w:val="0"/>
      <w:divBdr>
        <w:top w:val="none" w:sz="0" w:space="0" w:color="auto"/>
        <w:left w:val="none" w:sz="0" w:space="0" w:color="auto"/>
        <w:bottom w:val="none" w:sz="0" w:space="0" w:color="auto"/>
        <w:right w:val="none" w:sz="0" w:space="0" w:color="auto"/>
      </w:divBdr>
    </w:div>
    <w:div w:id="1873574368">
      <w:bodyDiv w:val="1"/>
      <w:marLeft w:val="0"/>
      <w:marRight w:val="0"/>
      <w:marTop w:val="0"/>
      <w:marBottom w:val="0"/>
      <w:divBdr>
        <w:top w:val="none" w:sz="0" w:space="0" w:color="auto"/>
        <w:left w:val="none" w:sz="0" w:space="0" w:color="auto"/>
        <w:bottom w:val="none" w:sz="0" w:space="0" w:color="auto"/>
        <w:right w:val="none" w:sz="0" w:space="0" w:color="auto"/>
      </w:divBdr>
    </w:div>
    <w:div w:id="1888100835">
      <w:bodyDiv w:val="1"/>
      <w:marLeft w:val="0"/>
      <w:marRight w:val="0"/>
      <w:marTop w:val="0"/>
      <w:marBottom w:val="0"/>
      <w:divBdr>
        <w:top w:val="none" w:sz="0" w:space="0" w:color="auto"/>
        <w:left w:val="none" w:sz="0" w:space="0" w:color="auto"/>
        <w:bottom w:val="none" w:sz="0" w:space="0" w:color="auto"/>
        <w:right w:val="none" w:sz="0" w:space="0" w:color="auto"/>
      </w:divBdr>
    </w:div>
    <w:div w:id="1899776736">
      <w:bodyDiv w:val="1"/>
      <w:marLeft w:val="0"/>
      <w:marRight w:val="0"/>
      <w:marTop w:val="0"/>
      <w:marBottom w:val="0"/>
      <w:divBdr>
        <w:top w:val="none" w:sz="0" w:space="0" w:color="auto"/>
        <w:left w:val="none" w:sz="0" w:space="0" w:color="auto"/>
        <w:bottom w:val="none" w:sz="0" w:space="0" w:color="auto"/>
        <w:right w:val="none" w:sz="0" w:space="0" w:color="auto"/>
      </w:divBdr>
    </w:div>
    <w:div w:id="1901163481">
      <w:bodyDiv w:val="1"/>
      <w:marLeft w:val="0"/>
      <w:marRight w:val="0"/>
      <w:marTop w:val="0"/>
      <w:marBottom w:val="0"/>
      <w:divBdr>
        <w:top w:val="none" w:sz="0" w:space="0" w:color="auto"/>
        <w:left w:val="none" w:sz="0" w:space="0" w:color="auto"/>
        <w:bottom w:val="none" w:sz="0" w:space="0" w:color="auto"/>
        <w:right w:val="none" w:sz="0" w:space="0" w:color="auto"/>
      </w:divBdr>
    </w:div>
    <w:div w:id="1913664348">
      <w:bodyDiv w:val="1"/>
      <w:marLeft w:val="0"/>
      <w:marRight w:val="0"/>
      <w:marTop w:val="0"/>
      <w:marBottom w:val="0"/>
      <w:divBdr>
        <w:top w:val="none" w:sz="0" w:space="0" w:color="auto"/>
        <w:left w:val="none" w:sz="0" w:space="0" w:color="auto"/>
        <w:bottom w:val="none" w:sz="0" w:space="0" w:color="auto"/>
        <w:right w:val="none" w:sz="0" w:space="0" w:color="auto"/>
      </w:divBdr>
    </w:div>
    <w:div w:id="1917667021">
      <w:bodyDiv w:val="1"/>
      <w:marLeft w:val="0"/>
      <w:marRight w:val="0"/>
      <w:marTop w:val="0"/>
      <w:marBottom w:val="0"/>
      <w:divBdr>
        <w:top w:val="none" w:sz="0" w:space="0" w:color="auto"/>
        <w:left w:val="none" w:sz="0" w:space="0" w:color="auto"/>
        <w:bottom w:val="none" w:sz="0" w:space="0" w:color="auto"/>
        <w:right w:val="none" w:sz="0" w:space="0" w:color="auto"/>
      </w:divBdr>
    </w:div>
    <w:div w:id="1919558305">
      <w:bodyDiv w:val="1"/>
      <w:marLeft w:val="0"/>
      <w:marRight w:val="0"/>
      <w:marTop w:val="0"/>
      <w:marBottom w:val="0"/>
      <w:divBdr>
        <w:top w:val="none" w:sz="0" w:space="0" w:color="auto"/>
        <w:left w:val="none" w:sz="0" w:space="0" w:color="auto"/>
        <w:bottom w:val="none" w:sz="0" w:space="0" w:color="auto"/>
        <w:right w:val="none" w:sz="0" w:space="0" w:color="auto"/>
      </w:divBdr>
    </w:div>
    <w:div w:id="1929805480">
      <w:bodyDiv w:val="1"/>
      <w:marLeft w:val="0"/>
      <w:marRight w:val="0"/>
      <w:marTop w:val="0"/>
      <w:marBottom w:val="0"/>
      <w:divBdr>
        <w:top w:val="none" w:sz="0" w:space="0" w:color="auto"/>
        <w:left w:val="none" w:sz="0" w:space="0" w:color="auto"/>
        <w:bottom w:val="none" w:sz="0" w:space="0" w:color="auto"/>
        <w:right w:val="none" w:sz="0" w:space="0" w:color="auto"/>
      </w:divBdr>
    </w:div>
    <w:div w:id="1951887881">
      <w:bodyDiv w:val="1"/>
      <w:marLeft w:val="0"/>
      <w:marRight w:val="0"/>
      <w:marTop w:val="0"/>
      <w:marBottom w:val="0"/>
      <w:divBdr>
        <w:top w:val="none" w:sz="0" w:space="0" w:color="auto"/>
        <w:left w:val="none" w:sz="0" w:space="0" w:color="auto"/>
        <w:bottom w:val="none" w:sz="0" w:space="0" w:color="auto"/>
        <w:right w:val="none" w:sz="0" w:space="0" w:color="auto"/>
      </w:divBdr>
    </w:div>
    <w:div w:id="1954558752">
      <w:bodyDiv w:val="1"/>
      <w:marLeft w:val="0"/>
      <w:marRight w:val="0"/>
      <w:marTop w:val="0"/>
      <w:marBottom w:val="0"/>
      <w:divBdr>
        <w:top w:val="none" w:sz="0" w:space="0" w:color="auto"/>
        <w:left w:val="none" w:sz="0" w:space="0" w:color="auto"/>
        <w:bottom w:val="none" w:sz="0" w:space="0" w:color="auto"/>
        <w:right w:val="none" w:sz="0" w:space="0" w:color="auto"/>
      </w:divBdr>
    </w:div>
    <w:div w:id="1956474902">
      <w:bodyDiv w:val="1"/>
      <w:marLeft w:val="0"/>
      <w:marRight w:val="0"/>
      <w:marTop w:val="0"/>
      <w:marBottom w:val="0"/>
      <w:divBdr>
        <w:top w:val="none" w:sz="0" w:space="0" w:color="auto"/>
        <w:left w:val="none" w:sz="0" w:space="0" w:color="auto"/>
        <w:bottom w:val="none" w:sz="0" w:space="0" w:color="auto"/>
        <w:right w:val="none" w:sz="0" w:space="0" w:color="auto"/>
      </w:divBdr>
    </w:div>
    <w:div w:id="1970554113">
      <w:bodyDiv w:val="1"/>
      <w:marLeft w:val="0"/>
      <w:marRight w:val="0"/>
      <w:marTop w:val="0"/>
      <w:marBottom w:val="0"/>
      <w:divBdr>
        <w:top w:val="none" w:sz="0" w:space="0" w:color="auto"/>
        <w:left w:val="none" w:sz="0" w:space="0" w:color="auto"/>
        <w:bottom w:val="none" w:sz="0" w:space="0" w:color="auto"/>
        <w:right w:val="none" w:sz="0" w:space="0" w:color="auto"/>
      </w:divBdr>
    </w:div>
    <w:div w:id="1972634255">
      <w:bodyDiv w:val="1"/>
      <w:marLeft w:val="0"/>
      <w:marRight w:val="0"/>
      <w:marTop w:val="0"/>
      <w:marBottom w:val="0"/>
      <w:divBdr>
        <w:top w:val="none" w:sz="0" w:space="0" w:color="auto"/>
        <w:left w:val="none" w:sz="0" w:space="0" w:color="auto"/>
        <w:bottom w:val="none" w:sz="0" w:space="0" w:color="auto"/>
        <w:right w:val="none" w:sz="0" w:space="0" w:color="auto"/>
      </w:divBdr>
    </w:div>
    <w:div w:id="1984388927">
      <w:bodyDiv w:val="1"/>
      <w:marLeft w:val="0"/>
      <w:marRight w:val="0"/>
      <w:marTop w:val="0"/>
      <w:marBottom w:val="0"/>
      <w:divBdr>
        <w:top w:val="none" w:sz="0" w:space="0" w:color="auto"/>
        <w:left w:val="none" w:sz="0" w:space="0" w:color="auto"/>
        <w:bottom w:val="none" w:sz="0" w:space="0" w:color="auto"/>
        <w:right w:val="none" w:sz="0" w:space="0" w:color="auto"/>
      </w:divBdr>
    </w:div>
    <w:div w:id="1985961399">
      <w:bodyDiv w:val="1"/>
      <w:marLeft w:val="0"/>
      <w:marRight w:val="0"/>
      <w:marTop w:val="0"/>
      <w:marBottom w:val="0"/>
      <w:divBdr>
        <w:top w:val="none" w:sz="0" w:space="0" w:color="auto"/>
        <w:left w:val="none" w:sz="0" w:space="0" w:color="auto"/>
        <w:bottom w:val="none" w:sz="0" w:space="0" w:color="auto"/>
        <w:right w:val="none" w:sz="0" w:space="0" w:color="auto"/>
      </w:divBdr>
    </w:div>
    <w:div w:id="1986466740">
      <w:bodyDiv w:val="1"/>
      <w:marLeft w:val="0"/>
      <w:marRight w:val="0"/>
      <w:marTop w:val="0"/>
      <w:marBottom w:val="0"/>
      <w:divBdr>
        <w:top w:val="none" w:sz="0" w:space="0" w:color="auto"/>
        <w:left w:val="none" w:sz="0" w:space="0" w:color="auto"/>
        <w:bottom w:val="none" w:sz="0" w:space="0" w:color="auto"/>
        <w:right w:val="none" w:sz="0" w:space="0" w:color="auto"/>
      </w:divBdr>
    </w:div>
    <w:div w:id="1998916110">
      <w:bodyDiv w:val="1"/>
      <w:marLeft w:val="0"/>
      <w:marRight w:val="0"/>
      <w:marTop w:val="0"/>
      <w:marBottom w:val="0"/>
      <w:divBdr>
        <w:top w:val="none" w:sz="0" w:space="0" w:color="auto"/>
        <w:left w:val="none" w:sz="0" w:space="0" w:color="auto"/>
        <w:bottom w:val="none" w:sz="0" w:space="0" w:color="auto"/>
        <w:right w:val="none" w:sz="0" w:space="0" w:color="auto"/>
      </w:divBdr>
    </w:div>
    <w:div w:id="2004509902">
      <w:bodyDiv w:val="1"/>
      <w:marLeft w:val="0"/>
      <w:marRight w:val="0"/>
      <w:marTop w:val="0"/>
      <w:marBottom w:val="0"/>
      <w:divBdr>
        <w:top w:val="none" w:sz="0" w:space="0" w:color="auto"/>
        <w:left w:val="none" w:sz="0" w:space="0" w:color="auto"/>
        <w:bottom w:val="none" w:sz="0" w:space="0" w:color="auto"/>
        <w:right w:val="none" w:sz="0" w:space="0" w:color="auto"/>
      </w:divBdr>
    </w:div>
    <w:div w:id="2006780535">
      <w:bodyDiv w:val="1"/>
      <w:marLeft w:val="0"/>
      <w:marRight w:val="0"/>
      <w:marTop w:val="0"/>
      <w:marBottom w:val="0"/>
      <w:divBdr>
        <w:top w:val="none" w:sz="0" w:space="0" w:color="auto"/>
        <w:left w:val="none" w:sz="0" w:space="0" w:color="auto"/>
        <w:bottom w:val="none" w:sz="0" w:space="0" w:color="auto"/>
        <w:right w:val="none" w:sz="0" w:space="0" w:color="auto"/>
      </w:divBdr>
    </w:div>
    <w:div w:id="2021737240">
      <w:bodyDiv w:val="1"/>
      <w:marLeft w:val="0"/>
      <w:marRight w:val="0"/>
      <w:marTop w:val="0"/>
      <w:marBottom w:val="0"/>
      <w:divBdr>
        <w:top w:val="none" w:sz="0" w:space="0" w:color="auto"/>
        <w:left w:val="none" w:sz="0" w:space="0" w:color="auto"/>
        <w:bottom w:val="none" w:sz="0" w:space="0" w:color="auto"/>
        <w:right w:val="none" w:sz="0" w:space="0" w:color="auto"/>
      </w:divBdr>
    </w:div>
    <w:div w:id="2023042028">
      <w:bodyDiv w:val="1"/>
      <w:marLeft w:val="0"/>
      <w:marRight w:val="0"/>
      <w:marTop w:val="0"/>
      <w:marBottom w:val="0"/>
      <w:divBdr>
        <w:top w:val="none" w:sz="0" w:space="0" w:color="auto"/>
        <w:left w:val="none" w:sz="0" w:space="0" w:color="auto"/>
        <w:bottom w:val="none" w:sz="0" w:space="0" w:color="auto"/>
        <w:right w:val="none" w:sz="0" w:space="0" w:color="auto"/>
      </w:divBdr>
    </w:div>
    <w:div w:id="2026206109">
      <w:bodyDiv w:val="1"/>
      <w:marLeft w:val="0"/>
      <w:marRight w:val="0"/>
      <w:marTop w:val="0"/>
      <w:marBottom w:val="0"/>
      <w:divBdr>
        <w:top w:val="none" w:sz="0" w:space="0" w:color="auto"/>
        <w:left w:val="none" w:sz="0" w:space="0" w:color="auto"/>
        <w:bottom w:val="none" w:sz="0" w:space="0" w:color="auto"/>
        <w:right w:val="none" w:sz="0" w:space="0" w:color="auto"/>
      </w:divBdr>
    </w:div>
    <w:div w:id="2027554956">
      <w:bodyDiv w:val="1"/>
      <w:marLeft w:val="0"/>
      <w:marRight w:val="0"/>
      <w:marTop w:val="0"/>
      <w:marBottom w:val="0"/>
      <w:divBdr>
        <w:top w:val="none" w:sz="0" w:space="0" w:color="auto"/>
        <w:left w:val="none" w:sz="0" w:space="0" w:color="auto"/>
        <w:bottom w:val="none" w:sz="0" w:space="0" w:color="auto"/>
        <w:right w:val="none" w:sz="0" w:space="0" w:color="auto"/>
      </w:divBdr>
    </w:div>
    <w:div w:id="2053995000">
      <w:bodyDiv w:val="1"/>
      <w:marLeft w:val="0"/>
      <w:marRight w:val="0"/>
      <w:marTop w:val="0"/>
      <w:marBottom w:val="0"/>
      <w:divBdr>
        <w:top w:val="none" w:sz="0" w:space="0" w:color="auto"/>
        <w:left w:val="none" w:sz="0" w:space="0" w:color="auto"/>
        <w:bottom w:val="none" w:sz="0" w:space="0" w:color="auto"/>
        <w:right w:val="none" w:sz="0" w:space="0" w:color="auto"/>
      </w:divBdr>
    </w:div>
    <w:div w:id="2066836195">
      <w:bodyDiv w:val="1"/>
      <w:marLeft w:val="0"/>
      <w:marRight w:val="0"/>
      <w:marTop w:val="0"/>
      <w:marBottom w:val="0"/>
      <w:divBdr>
        <w:top w:val="none" w:sz="0" w:space="0" w:color="auto"/>
        <w:left w:val="none" w:sz="0" w:space="0" w:color="auto"/>
        <w:bottom w:val="none" w:sz="0" w:space="0" w:color="auto"/>
        <w:right w:val="none" w:sz="0" w:space="0" w:color="auto"/>
      </w:divBdr>
    </w:div>
    <w:div w:id="2067753567">
      <w:bodyDiv w:val="1"/>
      <w:marLeft w:val="0"/>
      <w:marRight w:val="0"/>
      <w:marTop w:val="0"/>
      <w:marBottom w:val="0"/>
      <w:divBdr>
        <w:top w:val="none" w:sz="0" w:space="0" w:color="auto"/>
        <w:left w:val="none" w:sz="0" w:space="0" w:color="auto"/>
        <w:bottom w:val="none" w:sz="0" w:space="0" w:color="auto"/>
        <w:right w:val="none" w:sz="0" w:space="0" w:color="auto"/>
      </w:divBdr>
    </w:div>
    <w:div w:id="2095321076">
      <w:bodyDiv w:val="1"/>
      <w:marLeft w:val="0"/>
      <w:marRight w:val="0"/>
      <w:marTop w:val="0"/>
      <w:marBottom w:val="0"/>
      <w:divBdr>
        <w:top w:val="none" w:sz="0" w:space="0" w:color="auto"/>
        <w:left w:val="none" w:sz="0" w:space="0" w:color="auto"/>
        <w:bottom w:val="none" w:sz="0" w:space="0" w:color="auto"/>
        <w:right w:val="none" w:sz="0" w:space="0" w:color="auto"/>
      </w:divBdr>
    </w:div>
    <w:div w:id="2111463421">
      <w:bodyDiv w:val="1"/>
      <w:marLeft w:val="0"/>
      <w:marRight w:val="0"/>
      <w:marTop w:val="0"/>
      <w:marBottom w:val="0"/>
      <w:divBdr>
        <w:top w:val="none" w:sz="0" w:space="0" w:color="auto"/>
        <w:left w:val="none" w:sz="0" w:space="0" w:color="auto"/>
        <w:bottom w:val="none" w:sz="0" w:space="0" w:color="auto"/>
        <w:right w:val="none" w:sz="0" w:space="0" w:color="auto"/>
      </w:divBdr>
    </w:div>
    <w:div w:id="2113937564">
      <w:bodyDiv w:val="1"/>
      <w:marLeft w:val="0"/>
      <w:marRight w:val="0"/>
      <w:marTop w:val="0"/>
      <w:marBottom w:val="0"/>
      <w:divBdr>
        <w:top w:val="none" w:sz="0" w:space="0" w:color="auto"/>
        <w:left w:val="none" w:sz="0" w:space="0" w:color="auto"/>
        <w:bottom w:val="none" w:sz="0" w:space="0" w:color="auto"/>
        <w:right w:val="none" w:sz="0" w:space="0" w:color="auto"/>
      </w:divBdr>
    </w:div>
    <w:div w:id="2120952423">
      <w:bodyDiv w:val="1"/>
      <w:marLeft w:val="0"/>
      <w:marRight w:val="0"/>
      <w:marTop w:val="0"/>
      <w:marBottom w:val="0"/>
      <w:divBdr>
        <w:top w:val="none" w:sz="0" w:space="0" w:color="auto"/>
        <w:left w:val="none" w:sz="0" w:space="0" w:color="auto"/>
        <w:bottom w:val="none" w:sz="0" w:space="0" w:color="auto"/>
        <w:right w:val="none" w:sz="0" w:space="0" w:color="auto"/>
      </w:divBdr>
    </w:div>
    <w:div w:id="2121298568">
      <w:bodyDiv w:val="1"/>
      <w:marLeft w:val="0"/>
      <w:marRight w:val="0"/>
      <w:marTop w:val="0"/>
      <w:marBottom w:val="0"/>
      <w:divBdr>
        <w:top w:val="none" w:sz="0" w:space="0" w:color="auto"/>
        <w:left w:val="none" w:sz="0" w:space="0" w:color="auto"/>
        <w:bottom w:val="none" w:sz="0" w:space="0" w:color="auto"/>
        <w:right w:val="none" w:sz="0" w:space="0" w:color="auto"/>
      </w:divBdr>
    </w:div>
    <w:div w:id="213779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11.emf"/><Relationship Id="rId42" Type="http://schemas.openxmlformats.org/officeDocument/2006/relationships/image" Target="media/image30.jpeg"/><Relationship Id="rId63" Type="http://schemas.openxmlformats.org/officeDocument/2006/relationships/image" Target="media/image49.jpeg"/><Relationship Id="rId84" Type="http://schemas.openxmlformats.org/officeDocument/2006/relationships/image" Target="media/image69.jpeg"/><Relationship Id="rId138" Type="http://schemas.openxmlformats.org/officeDocument/2006/relationships/image" Target="media/image122.png"/><Relationship Id="rId159" Type="http://schemas.openxmlformats.org/officeDocument/2006/relationships/image" Target="media/image136.jpeg"/><Relationship Id="rId170" Type="http://schemas.openxmlformats.org/officeDocument/2006/relationships/image" Target="media/image142.png"/><Relationship Id="rId191" Type="http://schemas.openxmlformats.org/officeDocument/2006/relationships/image" Target="media/image160.emf"/><Relationship Id="rId205" Type="http://schemas.openxmlformats.org/officeDocument/2006/relationships/hyperlink" Target="http://186.154.252.21/Orfeo/bodega/2014/409/docs/120144090606122_00001.doc?time=1423757056" TargetMode="External"/><Relationship Id="rId107" Type="http://schemas.openxmlformats.org/officeDocument/2006/relationships/image" Target="media/image92.emf"/><Relationship Id="rId11" Type="http://schemas.openxmlformats.org/officeDocument/2006/relationships/chart" Target="charts/chart1.xml"/><Relationship Id="rId32" Type="http://schemas.openxmlformats.org/officeDocument/2006/relationships/image" Target="media/image21.jpeg"/><Relationship Id="rId53" Type="http://schemas.openxmlformats.org/officeDocument/2006/relationships/image" Target="media/image39.jpeg"/><Relationship Id="rId74" Type="http://schemas.openxmlformats.org/officeDocument/2006/relationships/image" Target="media/image60.jpeg"/><Relationship Id="rId128" Type="http://schemas.openxmlformats.org/officeDocument/2006/relationships/image" Target="media/image113.png"/><Relationship Id="rId149" Type="http://schemas.openxmlformats.org/officeDocument/2006/relationships/image" Target="media/image130.png"/><Relationship Id="rId5" Type="http://schemas.openxmlformats.org/officeDocument/2006/relationships/webSettings" Target="webSettings.xml"/><Relationship Id="rId95" Type="http://schemas.openxmlformats.org/officeDocument/2006/relationships/image" Target="media/image80.jpeg"/><Relationship Id="rId160" Type="http://schemas.openxmlformats.org/officeDocument/2006/relationships/image" Target="media/image137.jpeg"/><Relationship Id="rId181" Type="http://schemas.openxmlformats.org/officeDocument/2006/relationships/chart" Target="charts/chart16.xml"/><Relationship Id="rId22" Type="http://schemas.openxmlformats.org/officeDocument/2006/relationships/image" Target="media/image12.emf"/><Relationship Id="rId43" Type="http://schemas.openxmlformats.org/officeDocument/2006/relationships/image" Target="media/image31.jpeg"/><Relationship Id="rId64" Type="http://schemas.openxmlformats.org/officeDocument/2006/relationships/image" Target="media/image50.jpeg"/><Relationship Id="rId118" Type="http://schemas.openxmlformats.org/officeDocument/2006/relationships/image" Target="media/image103.jpeg"/><Relationship Id="rId139" Type="http://schemas.openxmlformats.org/officeDocument/2006/relationships/image" Target="media/image123.png"/><Relationship Id="rId85" Type="http://schemas.openxmlformats.org/officeDocument/2006/relationships/image" Target="media/image70.jpeg"/><Relationship Id="rId150" Type="http://schemas.openxmlformats.org/officeDocument/2006/relationships/image" Target="media/image131.jpeg"/><Relationship Id="rId171" Type="http://schemas.openxmlformats.org/officeDocument/2006/relationships/image" Target="media/image143.jpeg"/><Relationship Id="rId192" Type="http://schemas.openxmlformats.org/officeDocument/2006/relationships/image" Target="media/image161.emf"/><Relationship Id="rId206" Type="http://schemas.openxmlformats.org/officeDocument/2006/relationships/hyperlink" Target="http://192.168.30.16/Orfeo/bodega/2015/409/docs/120154090203082_00001.doc?time=1433888260" TargetMode="External"/><Relationship Id="rId12" Type="http://schemas.openxmlformats.org/officeDocument/2006/relationships/image" Target="media/image3.emf"/><Relationship Id="rId33" Type="http://schemas.openxmlformats.org/officeDocument/2006/relationships/image" Target="media/image22.jpeg"/><Relationship Id="rId108" Type="http://schemas.openxmlformats.org/officeDocument/2006/relationships/image" Target="media/image93.png"/><Relationship Id="rId129" Type="http://schemas.openxmlformats.org/officeDocument/2006/relationships/image" Target="media/image114.png"/><Relationship Id="rId54" Type="http://schemas.openxmlformats.org/officeDocument/2006/relationships/image" Target="media/image40.png"/><Relationship Id="rId75" Type="http://schemas.openxmlformats.org/officeDocument/2006/relationships/image" Target="media/image61.png"/><Relationship Id="rId96" Type="http://schemas.openxmlformats.org/officeDocument/2006/relationships/image" Target="media/image81.jpeg"/><Relationship Id="rId140" Type="http://schemas.openxmlformats.org/officeDocument/2006/relationships/chart" Target="charts/chart4.xml"/><Relationship Id="rId161" Type="http://schemas.openxmlformats.org/officeDocument/2006/relationships/image" Target="media/image138.png"/><Relationship Id="rId182" Type="http://schemas.openxmlformats.org/officeDocument/2006/relationships/chart" Target="charts/chart17.xml"/><Relationship Id="rId6" Type="http://schemas.openxmlformats.org/officeDocument/2006/relationships/footnotes" Target="footnotes.xml"/><Relationship Id="rId23" Type="http://schemas.openxmlformats.org/officeDocument/2006/relationships/image" Target="media/image13.emf"/><Relationship Id="rId119" Type="http://schemas.openxmlformats.org/officeDocument/2006/relationships/image" Target="media/image104.jpeg"/><Relationship Id="rId44" Type="http://schemas.openxmlformats.org/officeDocument/2006/relationships/image" Target="media/image32.jpeg"/><Relationship Id="rId65" Type="http://schemas.openxmlformats.org/officeDocument/2006/relationships/image" Target="media/image51.jpeg"/><Relationship Id="rId86" Type="http://schemas.openxmlformats.org/officeDocument/2006/relationships/image" Target="media/image71.jpeg"/><Relationship Id="rId130" Type="http://schemas.openxmlformats.org/officeDocument/2006/relationships/image" Target="media/image115.png"/><Relationship Id="rId151" Type="http://schemas.openxmlformats.org/officeDocument/2006/relationships/image" Target="media/image132.png"/><Relationship Id="rId172" Type="http://schemas.openxmlformats.org/officeDocument/2006/relationships/image" Target="media/image144.jpeg"/><Relationship Id="rId193" Type="http://schemas.openxmlformats.org/officeDocument/2006/relationships/image" Target="media/image162.jpeg"/><Relationship Id="rId207" Type="http://schemas.openxmlformats.org/officeDocument/2006/relationships/hyperlink" Target="http://192.168.30.16/Orfeo/bodega/2015/409/docs/120154090275492_00003.doc?time=1433888358" TargetMode="External"/><Relationship Id="rId13" Type="http://schemas.openxmlformats.org/officeDocument/2006/relationships/image" Target="media/image4.emf"/><Relationship Id="rId109" Type="http://schemas.openxmlformats.org/officeDocument/2006/relationships/image" Target="media/image94.png"/><Relationship Id="rId34" Type="http://schemas.openxmlformats.org/officeDocument/2006/relationships/image" Target="media/image23.jpeg"/><Relationship Id="rId55" Type="http://schemas.openxmlformats.org/officeDocument/2006/relationships/image" Target="media/image41.png"/><Relationship Id="rId76" Type="http://schemas.openxmlformats.org/officeDocument/2006/relationships/image" Target="media/image62.jpeg"/><Relationship Id="rId97" Type="http://schemas.openxmlformats.org/officeDocument/2006/relationships/image" Target="media/image82.emf"/><Relationship Id="rId120" Type="http://schemas.openxmlformats.org/officeDocument/2006/relationships/image" Target="media/image105.png"/><Relationship Id="rId141" Type="http://schemas.openxmlformats.org/officeDocument/2006/relationships/chart" Target="charts/chart5.xml"/><Relationship Id="rId7" Type="http://schemas.openxmlformats.org/officeDocument/2006/relationships/endnotes" Target="endnotes.xml"/><Relationship Id="rId162" Type="http://schemas.openxmlformats.org/officeDocument/2006/relationships/image" Target="media/image139.jpeg"/><Relationship Id="rId183" Type="http://schemas.openxmlformats.org/officeDocument/2006/relationships/chart" Target="charts/chart18.xml"/><Relationship Id="rId24" Type="http://schemas.openxmlformats.org/officeDocument/2006/relationships/image" Target="media/image14.png"/><Relationship Id="rId45" Type="http://schemas.openxmlformats.org/officeDocument/2006/relationships/image" Target="media/image33.jpeg"/><Relationship Id="rId66" Type="http://schemas.openxmlformats.org/officeDocument/2006/relationships/image" Target="media/image52.jpeg"/><Relationship Id="rId87" Type="http://schemas.openxmlformats.org/officeDocument/2006/relationships/image" Target="media/image72.jpeg"/><Relationship Id="rId110" Type="http://schemas.openxmlformats.org/officeDocument/2006/relationships/image" Target="media/image95.png"/><Relationship Id="rId131" Type="http://schemas.openxmlformats.org/officeDocument/2006/relationships/image" Target="media/image116.png"/><Relationship Id="rId61" Type="http://schemas.openxmlformats.org/officeDocument/2006/relationships/image" Target="media/image47.wmf"/><Relationship Id="rId82" Type="http://schemas.openxmlformats.org/officeDocument/2006/relationships/image" Target="media/image67.jpeg"/><Relationship Id="rId152" Type="http://schemas.openxmlformats.org/officeDocument/2006/relationships/image" Target="media/image133.jpeg"/><Relationship Id="rId173" Type="http://schemas.openxmlformats.org/officeDocument/2006/relationships/image" Target="media/image145.jpeg"/><Relationship Id="rId194" Type="http://schemas.openxmlformats.org/officeDocument/2006/relationships/image" Target="media/image163.emf"/><Relationship Id="rId199" Type="http://schemas.openxmlformats.org/officeDocument/2006/relationships/image" Target="media/image168.jpeg"/><Relationship Id="rId203" Type="http://schemas.openxmlformats.org/officeDocument/2006/relationships/chart" Target="charts/chart19.xml"/><Relationship Id="rId208" Type="http://schemas.openxmlformats.org/officeDocument/2006/relationships/header" Target="header1.xml"/><Relationship Id="rId19" Type="http://schemas.openxmlformats.org/officeDocument/2006/relationships/image" Target="media/image9.emf"/><Relationship Id="rId14" Type="http://schemas.openxmlformats.org/officeDocument/2006/relationships/oleObject" Target="embeddings/Microsoft_Excel_97-2003_Worksheet1.xls"/><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1.png"/><Relationship Id="rId147" Type="http://schemas.openxmlformats.org/officeDocument/2006/relationships/image" Target="media/image128.png"/><Relationship Id="rId168" Type="http://schemas.openxmlformats.org/officeDocument/2006/relationships/chart" Target="charts/chart15.xml"/><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image" Target="media/image58.jpeg"/><Relationship Id="rId93" Type="http://schemas.openxmlformats.org/officeDocument/2006/relationships/image" Target="media/image78.jpe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chart" Target="charts/chart6.xml"/><Relationship Id="rId163" Type="http://schemas.openxmlformats.org/officeDocument/2006/relationships/image" Target="media/image140.jpeg"/><Relationship Id="rId184" Type="http://schemas.openxmlformats.org/officeDocument/2006/relationships/image" Target="media/image153.emf"/><Relationship Id="rId189" Type="http://schemas.openxmlformats.org/officeDocument/2006/relationships/image" Target="media/image158.jpeg"/><Relationship Id="rId3" Type="http://schemas.openxmlformats.org/officeDocument/2006/relationships/styles" Target="styles.xml"/><Relationship Id="rId25" Type="http://schemas.openxmlformats.org/officeDocument/2006/relationships/chart" Target="charts/chart2.xml"/><Relationship Id="rId46" Type="http://schemas.openxmlformats.org/officeDocument/2006/relationships/image" Target="media/image34.jpeg"/><Relationship Id="rId67" Type="http://schemas.openxmlformats.org/officeDocument/2006/relationships/image" Target="media/image53.jpeg"/><Relationship Id="rId116" Type="http://schemas.openxmlformats.org/officeDocument/2006/relationships/image" Target="media/image101.jpeg"/><Relationship Id="rId137" Type="http://schemas.openxmlformats.org/officeDocument/2006/relationships/image" Target="media/image121.emf"/><Relationship Id="rId158" Type="http://schemas.openxmlformats.org/officeDocument/2006/relationships/image" Target="media/image135.jpeg"/><Relationship Id="rId20" Type="http://schemas.openxmlformats.org/officeDocument/2006/relationships/image" Target="media/image10.emf"/><Relationship Id="rId41" Type="http://schemas.openxmlformats.org/officeDocument/2006/relationships/image" Target="media/image29.jpeg"/><Relationship Id="rId62" Type="http://schemas.openxmlformats.org/officeDocument/2006/relationships/image" Target="media/image48.emf"/><Relationship Id="rId83" Type="http://schemas.openxmlformats.org/officeDocument/2006/relationships/image" Target="media/image68.jpeg"/><Relationship Id="rId88" Type="http://schemas.openxmlformats.org/officeDocument/2006/relationships/image" Target="media/image73.jpeg"/><Relationship Id="rId111" Type="http://schemas.openxmlformats.org/officeDocument/2006/relationships/image" Target="media/image96.emf"/><Relationship Id="rId132" Type="http://schemas.openxmlformats.org/officeDocument/2006/relationships/image" Target="media/image117.png"/><Relationship Id="rId153" Type="http://schemas.openxmlformats.org/officeDocument/2006/relationships/chart" Target="charts/chart7.xml"/><Relationship Id="rId174" Type="http://schemas.openxmlformats.org/officeDocument/2006/relationships/image" Target="media/image146.jpeg"/><Relationship Id="rId179" Type="http://schemas.openxmlformats.org/officeDocument/2006/relationships/image" Target="media/image151.png"/><Relationship Id="rId195" Type="http://schemas.openxmlformats.org/officeDocument/2006/relationships/image" Target="media/image164.jpeg"/><Relationship Id="rId209" Type="http://schemas.openxmlformats.org/officeDocument/2006/relationships/footer" Target="footer1.xml"/><Relationship Id="rId190" Type="http://schemas.openxmlformats.org/officeDocument/2006/relationships/image" Target="media/image159.jpeg"/><Relationship Id="rId204" Type="http://schemas.openxmlformats.org/officeDocument/2006/relationships/chart" Target="charts/chart20.xml"/><Relationship Id="rId15" Type="http://schemas.openxmlformats.org/officeDocument/2006/relationships/image" Target="media/image5.emf"/><Relationship Id="rId36" Type="http://schemas.openxmlformats.org/officeDocument/2006/relationships/image" Target="media/image25.png"/><Relationship Id="rId57" Type="http://schemas.openxmlformats.org/officeDocument/2006/relationships/image" Target="media/image43.jpeg"/><Relationship Id="rId106" Type="http://schemas.openxmlformats.org/officeDocument/2006/relationships/image" Target="media/image91.jpeg"/><Relationship Id="rId127" Type="http://schemas.openxmlformats.org/officeDocument/2006/relationships/image" Target="media/image112.png"/><Relationship Id="rId10" Type="http://schemas.openxmlformats.org/officeDocument/2006/relationships/image" Target="media/image2.png"/><Relationship Id="rId31" Type="http://schemas.openxmlformats.org/officeDocument/2006/relationships/image" Target="media/image20.jpeg"/><Relationship Id="rId52" Type="http://schemas.openxmlformats.org/officeDocument/2006/relationships/image" Target="media/image38.jpeg"/><Relationship Id="rId73" Type="http://schemas.openxmlformats.org/officeDocument/2006/relationships/image" Target="media/image59.jpeg"/><Relationship Id="rId78" Type="http://schemas.openxmlformats.org/officeDocument/2006/relationships/oleObject" Target="embeddings/oleObject1.bin"/><Relationship Id="rId94" Type="http://schemas.openxmlformats.org/officeDocument/2006/relationships/image" Target="media/image79.jpeg"/><Relationship Id="rId99" Type="http://schemas.openxmlformats.org/officeDocument/2006/relationships/image" Target="media/image84.png"/><Relationship Id="rId101" Type="http://schemas.openxmlformats.org/officeDocument/2006/relationships/image" Target="media/image86.jpeg"/><Relationship Id="rId122" Type="http://schemas.openxmlformats.org/officeDocument/2006/relationships/image" Target="media/image107.png"/><Relationship Id="rId143" Type="http://schemas.openxmlformats.org/officeDocument/2006/relationships/image" Target="media/image124.jpeg"/><Relationship Id="rId148" Type="http://schemas.openxmlformats.org/officeDocument/2006/relationships/image" Target="media/image129.jpeg"/><Relationship Id="rId164" Type="http://schemas.openxmlformats.org/officeDocument/2006/relationships/chart" Target="charts/chart11.xml"/><Relationship Id="rId169" Type="http://schemas.openxmlformats.org/officeDocument/2006/relationships/image" Target="media/image141.png"/><Relationship Id="rId185" Type="http://schemas.openxmlformats.org/officeDocument/2006/relationships/image" Target="media/image154.jpeg"/><Relationship Id="rId4" Type="http://schemas.openxmlformats.org/officeDocument/2006/relationships/settings" Target="settings.xml"/><Relationship Id="rId9" Type="http://schemas.openxmlformats.org/officeDocument/2006/relationships/image" Target="http://web.presidencia.gov.co/asiescolombia/escudocolgar.jpg" TargetMode="External"/><Relationship Id="rId180" Type="http://schemas.openxmlformats.org/officeDocument/2006/relationships/image" Target="media/image152.emf"/><Relationship Id="rId210" Type="http://schemas.openxmlformats.org/officeDocument/2006/relationships/fontTable" Target="fontTable.xml"/><Relationship Id="rId26" Type="http://schemas.openxmlformats.org/officeDocument/2006/relationships/image" Target="media/image15.jpeg"/><Relationship Id="rId47" Type="http://schemas.openxmlformats.org/officeDocument/2006/relationships/image" Target="media/image35.png"/><Relationship Id="rId68" Type="http://schemas.openxmlformats.org/officeDocument/2006/relationships/image" Target="media/image54.emf"/><Relationship Id="rId89" Type="http://schemas.openxmlformats.org/officeDocument/2006/relationships/image" Target="media/image74.jpe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chart" Target="charts/chart8.xml"/><Relationship Id="rId175" Type="http://schemas.openxmlformats.org/officeDocument/2006/relationships/image" Target="media/image147.jpeg"/><Relationship Id="rId196" Type="http://schemas.openxmlformats.org/officeDocument/2006/relationships/image" Target="media/image165.emf"/><Relationship Id="rId200" Type="http://schemas.openxmlformats.org/officeDocument/2006/relationships/image" Target="media/image169.jpeg"/><Relationship Id="rId16" Type="http://schemas.openxmlformats.org/officeDocument/2006/relationships/image" Target="media/image6.emf"/><Relationship Id="rId37" Type="http://schemas.openxmlformats.org/officeDocument/2006/relationships/image" Target="cid:6ded9049-9e59-446e-ad46-c798684ca8f4" TargetMode="External"/><Relationship Id="rId58" Type="http://schemas.openxmlformats.org/officeDocument/2006/relationships/image" Target="media/image44.png"/><Relationship Id="rId79" Type="http://schemas.openxmlformats.org/officeDocument/2006/relationships/image" Target="media/image64.jpeg"/><Relationship Id="rId102" Type="http://schemas.openxmlformats.org/officeDocument/2006/relationships/image" Target="media/image87.jpeg"/><Relationship Id="rId123" Type="http://schemas.openxmlformats.org/officeDocument/2006/relationships/image" Target="media/image108.png"/><Relationship Id="rId144" Type="http://schemas.openxmlformats.org/officeDocument/2006/relationships/image" Target="media/image125.jpeg"/><Relationship Id="rId90" Type="http://schemas.openxmlformats.org/officeDocument/2006/relationships/image" Target="media/image75.jpeg"/><Relationship Id="rId165" Type="http://schemas.openxmlformats.org/officeDocument/2006/relationships/chart" Target="charts/chart12.xml"/><Relationship Id="rId186" Type="http://schemas.openxmlformats.org/officeDocument/2006/relationships/image" Target="media/image155.emf"/><Relationship Id="rId211" Type="http://schemas.openxmlformats.org/officeDocument/2006/relationships/theme" Target="theme/theme1.xml"/><Relationship Id="rId27" Type="http://schemas.openxmlformats.org/officeDocument/2006/relationships/image" Target="media/image16.jpeg"/><Relationship Id="rId48" Type="http://schemas.microsoft.com/office/2007/relationships/hdphoto" Target="media/hdphoto1.wdp"/><Relationship Id="rId69" Type="http://schemas.openxmlformats.org/officeDocument/2006/relationships/image" Target="media/image55.png"/><Relationship Id="rId113" Type="http://schemas.openxmlformats.org/officeDocument/2006/relationships/image" Target="media/image98.jpeg"/><Relationship Id="rId134" Type="http://schemas.openxmlformats.org/officeDocument/2006/relationships/image" Target="media/image119.png"/><Relationship Id="rId80" Type="http://schemas.openxmlformats.org/officeDocument/2006/relationships/image" Target="media/image65.jpeg"/><Relationship Id="rId155" Type="http://schemas.openxmlformats.org/officeDocument/2006/relationships/chart" Target="charts/chart9.xml"/><Relationship Id="rId176" Type="http://schemas.openxmlformats.org/officeDocument/2006/relationships/image" Target="media/image148.jpeg"/><Relationship Id="rId197" Type="http://schemas.openxmlformats.org/officeDocument/2006/relationships/image" Target="media/image166.jpeg"/><Relationship Id="rId201" Type="http://schemas.openxmlformats.org/officeDocument/2006/relationships/image" Target="media/image170.jpeg"/><Relationship Id="rId17" Type="http://schemas.openxmlformats.org/officeDocument/2006/relationships/image" Target="media/image7.emf"/><Relationship Id="rId38" Type="http://schemas.openxmlformats.org/officeDocument/2006/relationships/image" Target="media/image26.emf"/><Relationship Id="rId59" Type="http://schemas.openxmlformats.org/officeDocument/2006/relationships/image" Target="media/image45.png"/><Relationship Id="rId103" Type="http://schemas.openxmlformats.org/officeDocument/2006/relationships/image" Target="media/image88.jpeg"/><Relationship Id="rId124" Type="http://schemas.openxmlformats.org/officeDocument/2006/relationships/image" Target="media/image109.emf"/><Relationship Id="rId70" Type="http://schemas.openxmlformats.org/officeDocument/2006/relationships/image" Target="media/image56.png"/><Relationship Id="rId91" Type="http://schemas.openxmlformats.org/officeDocument/2006/relationships/image" Target="media/image76.jpeg"/><Relationship Id="rId145" Type="http://schemas.openxmlformats.org/officeDocument/2006/relationships/image" Target="media/image126.png"/><Relationship Id="rId166" Type="http://schemas.openxmlformats.org/officeDocument/2006/relationships/chart" Target="charts/chart13.xml"/><Relationship Id="rId187" Type="http://schemas.openxmlformats.org/officeDocument/2006/relationships/image" Target="media/image156.jpeg"/><Relationship Id="rId1" Type="http://schemas.openxmlformats.org/officeDocument/2006/relationships/customXml" Target="../customXml/item1.xml"/><Relationship Id="rId28" Type="http://schemas.openxmlformats.org/officeDocument/2006/relationships/image" Target="media/image17.jpeg"/><Relationship Id="rId49" Type="http://schemas.openxmlformats.org/officeDocument/2006/relationships/image" Target="media/image36.png"/><Relationship Id="rId114" Type="http://schemas.openxmlformats.org/officeDocument/2006/relationships/image" Target="media/image99.jpeg"/><Relationship Id="rId60" Type="http://schemas.openxmlformats.org/officeDocument/2006/relationships/image" Target="media/image46.jpeg"/><Relationship Id="rId81" Type="http://schemas.openxmlformats.org/officeDocument/2006/relationships/image" Target="media/image66.jpeg"/><Relationship Id="rId135" Type="http://schemas.openxmlformats.org/officeDocument/2006/relationships/chart" Target="charts/chart3.xml"/><Relationship Id="rId156" Type="http://schemas.openxmlformats.org/officeDocument/2006/relationships/chart" Target="charts/chart10.xml"/><Relationship Id="rId177" Type="http://schemas.openxmlformats.org/officeDocument/2006/relationships/image" Target="media/image149.jpeg"/><Relationship Id="rId198" Type="http://schemas.openxmlformats.org/officeDocument/2006/relationships/image" Target="media/image167.png"/><Relationship Id="rId202" Type="http://schemas.openxmlformats.org/officeDocument/2006/relationships/image" Target="media/image171.jpeg"/><Relationship Id="rId18" Type="http://schemas.openxmlformats.org/officeDocument/2006/relationships/image" Target="media/image8.emf"/><Relationship Id="rId39" Type="http://schemas.openxmlformats.org/officeDocument/2006/relationships/image" Target="media/image27.jpeg"/><Relationship Id="rId50" Type="http://schemas.microsoft.com/office/2007/relationships/hdphoto" Target="media/hdphoto2.wdp"/><Relationship Id="rId104" Type="http://schemas.openxmlformats.org/officeDocument/2006/relationships/image" Target="media/image89.png"/><Relationship Id="rId125" Type="http://schemas.openxmlformats.org/officeDocument/2006/relationships/image" Target="media/image110.emf"/><Relationship Id="rId146" Type="http://schemas.openxmlformats.org/officeDocument/2006/relationships/image" Target="media/image127.jpeg"/><Relationship Id="rId167" Type="http://schemas.openxmlformats.org/officeDocument/2006/relationships/chart" Target="charts/chart14.xml"/><Relationship Id="rId188" Type="http://schemas.openxmlformats.org/officeDocument/2006/relationships/image" Target="media/image157.emf"/><Relationship Id="rId71" Type="http://schemas.openxmlformats.org/officeDocument/2006/relationships/image" Target="media/image57.jpe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18.jpeg"/><Relationship Id="rId40" Type="http://schemas.openxmlformats.org/officeDocument/2006/relationships/image" Target="media/image28.jpeg"/><Relationship Id="rId115" Type="http://schemas.openxmlformats.org/officeDocument/2006/relationships/image" Target="media/image100.jpeg"/><Relationship Id="rId136" Type="http://schemas.openxmlformats.org/officeDocument/2006/relationships/image" Target="media/image120.png"/><Relationship Id="rId157" Type="http://schemas.openxmlformats.org/officeDocument/2006/relationships/image" Target="media/image134.jpeg"/><Relationship Id="rId178" Type="http://schemas.openxmlformats.org/officeDocument/2006/relationships/image" Target="media/image15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franco\Documents\ENCUESTA%20PERCEPCION%20ABRIL%20A%20JUNIO%20-1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Users\jrueda\AppData\Local\Microsoft\Windows\Temporary%20Internet%20Files\Content.Outlook\FES6BMPG\Historico%20toneladas%20transportadas.xls"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jrueda\AppData\Local\Microsoft\Windows\Temporary%20Internet%20Files\Content.Outlook\FES6BMPG\Historico%20toneladas%20transportadas.xls"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jrueda\AppData\Local\Microsoft\Windows\Temporary%20Internet%20Files\Content.Outlook\5CB6F1VF\Historico%20toneladas%20transportadas%20(4).xls" TargetMode="External"/><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2.xml"/><Relationship Id="rId4" Type="http://schemas.openxmlformats.org/officeDocument/2006/relationships/oleObject" Target="file:///C:\Users\jrueda\AppData\Local\Microsoft\Windows\Temporary%20Internet%20Files\Content.Outlook\5CB6F1VF\Historico%20toneladas%20transportadas%20(4).xls" TargetMode="Externa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JOSELUIS\trabajo\MODULOS%201%20Y%202%20T_DESAFECTADOS\AVANCE%20DRACOL\avances\Avance%20financiero%20y%20fisico%20cont%20356%20DRACOL%20corte%2030%20junio.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JOSELUIS\trabajo\MODULOS%201%20Y%202%20T_DESAFECTADOS\AVANCE%20DRACOL\avances\Avance%20financiero%20y%20fisico%20cont%20356%20DRACOL%20corte%2030%20junio.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2.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D:\ANGELA\PERSONALES\PAGOS\Contrato%20103%20de%202014\cuenta%202\grafico%20para%20inform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Gr&#225;fico%20en%20Microsoft%20Office%20Word"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D:\ANGELA\INFORMES\grafico%20para%20informe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anionline-my.sharepoint.com/personal/carboleda_ani_gov_co/Documents/Movilizaci&#243;n%20de%20Carga%20Red%20F&#233;rrea%20Pac&#237;fico.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Proyeccion%20UTFC%202015.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npaez\Desktop\Back%20up%20info%20Juan%20Diego\Balances%20de%20ejecuci&#243;n\Flujo%20de%20ejecuci&#243;n%20Totales%2001.07.2015-%20Contrato%20418.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npaez\Desktop\Back%20up%20info%20Juan%20Diego\Balances%20de%20ejecuci&#243;n\Flujo%20de%20ejecuci&#243;n%20Totales%2001.07.2015-%20Contrato%20418.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b="1">
                <a:solidFill>
                  <a:srgbClr val="F33F07"/>
                </a:solidFill>
              </a:rPr>
              <a:t>ENCUESTA</a:t>
            </a:r>
            <a:r>
              <a:rPr lang="es-CO" b="1" baseline="0">
                <a:solidFill>
                  <a:srgbClr val="F33F07"/>
                </a:solidFill>
              </a:rPr>
              <a:t> PERCEPCIÓN WEB</a:t>
            </a:r>
            <a:endParaRPr lang="es-CO" b="1">
              <a:solidFill>
                <a:srgbClr val="F33F07"/>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dLbl>
              <c:idx val="0"/>
              <c:tx>
                <c:rich>
                  <a:bodyPr/>
                  <a:lstStyle/>
                  <a:p>
                    <a:r>
                      <a:rPr lang="en-US"/>
                      <a:t>1 </a:t>
                    </a:r>
                  </a:p>
                  <a:p>
                    <a:r>
                      <a:rPr lang="en-US"/>
                      <a:t>75%</a:t>
                    </a:r>
                  </a:p>
                </c:rich>
              </c:tx>
              <c:showLegendKey val="0"/>
              <c:showVal val="0"/>
              <c:showCatName val="1"/>
              <c:showSerName val="0"/>
              <c:showPercent val="1"/>
              <c:showBubbleSize val="0"/>
              <c:extLst>
                <c:ext xmlns:c15="http://schemas.microsoft.com/office/drawing/2012/chart" uri="{CE6537A1-D6FC-4f65-9D91-7224C49458BB}"/>
              </c:extLst>
            </c:dLbl>
            <c:dLbl>
              <c:idx val="1"/>
              <c:tx>
                <c:rich>
                  <a:bodyPr/>
                  <a:lstStyle/>
                  <a:p>
                    <a:fld id="{1716CC53-25E7-4915-A1A5-EE54CD2E9583}" type="CATEGORYNAME">
                      <a:rPr lang="en-US"/>
                      <a:pPr/>
                      <a:t>[NOMBRE DE CATEGORÍA]</a:t>
                    </a:fld>
                    <a:r>
                      <a:rPr lang="en-US" baseline="0"/>
                      <a:t>
25%</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Hoja1!$J$8:$K$8</c:f>
              <c:numCache>
                <c:formatCode>0%</c:formatCode>
                <c:ptCount val="2"/>
                <c:pt idx="0" formatCode="General">
                  <c:v>6</c:v>
                </c:pt>
                <c:pt idx="1">
                  <c:v>0.75</c:v>
                </c:pt>
              </c:numCache>
            </c:numRef>
          </c:val>
        </c:ser>
        <c:ser>
          <c:idx val="1"/>
          <c:order val="1"/>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Hoja1!$J$9:$K$9</c:f>
              <c:numCache>
                <c:formatCode>0%</c:formatCode>
                <c:ptCount val="2"/>
                <c:pt idx="0" formatCode="General">
                  <c:v>2</c:v>
                </c:pt>
                <c:pt idx="1">
                  <c:v>0.25</c:v>
                </c:pt>
              </c:numCache>
            </c:numRef>
          </c:val>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sz="1200">
                <a:solidFill>
                  <a:sysClr val="windowText" lastClr="000000"/>
                </a:solidFill>
              </a:rPr>
              <a:t>Limpieza de cunetas</a:t>
            </a:r>
          </a:p>
        </c:rich>
      </c:tx>
      <c:layout>
        <c:manualLayout>
          <c:xMode val="edge"/>
          <c:yMode val="edge"/>
          <c:x val="0.28060514734114494"/>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809524778394958E-2"/>
          <c:y val="0.21157426948248842"/>
          <c:w val="0.94389373808894061"/>
          <c:h val="0.676843698604218"/>
        </c:manualLayout>
      </c:layout>
      <c:pie3DChart>
        <c:varyColors val="1"/>
        <c:ser>
          <c:idx val="0"/>
          <c:order val="0"/>
          <c:explosion val="16"/>
          <c:dPt>
            <c:idx val="0"/>
            <c:bubble3D val="0"/>
            <c:spPr>
              <a:solidFill>
                <a:srgbClr val="00B050"/>
              </a:solidFill>
              <a:ln>
                <a:noFill/>
              </a:ln>
              <a:effectLst>
                <a:outerShdw blurRad="57150" dist="19050" dir="5400000" algn="ctr" rotWithShape="0">
                  <a:srgbClr val="000000">
                    <a:alpha val="63000"/>
                  </a:srgbClr>
                </a:outerShdw>
              </a:effectLst>
              <a:sp3d/>
            </c:spPr>
          </c:dPt>
          <c:dPt>
            <c:idx val="1"/>
            <c:bubble3D val="0"/>
            <c:spPr>
              <a:solidFill>
                <a:srgbClr val="FFC000"/>
              </a:solidFill>
              <a:ln>
                <a:noFill/>
              </a:ln>
              <a:effectLst>
                <a:outerShdw blurRad="57150" dist="19050" dir="5400000" algn="ctr" rotWithShape="0">
                  <a:srgbClr val="000000">
                    <a:alpha val="63000"/>
                  </a:srgbClr>
                </a:outerShdw>
              </a:effectLst>
              <a:sp3d/>
            </c:spPr>
          </c:dPt>
          <c:dPt>
            <c:idx val="2"/>
            <c:bubble3D val="0"/>
            <c:spPr>
              <a:solidFill>
                <a:schemeClr val="accent1">
                  <a:lumMod val="75000"/>
                </a:schemeClr>
              </a:solidFill>
              <a:ln>
                <a:noFill/>
              </a:ln>
              <a:effectLst>
                <a:outerShdw blurRad="57150" dist="19050" dir="5400000" algn="ctr" rotWithShape="0">
                  <a:srgbClr val="000000">
                    <a:alpha val="63000"/>
                  </a:srgbClr>
                </a:outerShdw>
              </a:effectLst>
              <a:sp3d/>
            </c:spPr>
          </c:dPt>
          <c:dPt>
            <c:idx val="3"/>
            <c:bubble3D val="0"/>
            <c:spPr>
              <a:solidFill>
                <a:srgbClr val="FF0000"/>
              </a:solidFill>
              <a:ln>
                <a:noFill/>
              </a:ln>
              <a:effectLst>
                <a:outerShdw blurRad="57150" dist="19050" dir="5400000" algn="ctr" rotWithShape="0">
                  <a:srgbClr val="000000">
                    <a:alpha val="63000"/>
                  </a:srgbClr>
                </a:outerShdw>
              </a:effectLst>
              <a:sp3d/>
            </c:spPr>
          </c:dPt>
          <c:dLbls>
            <c:dLbl>
              <c:idx val="2"/>
              <c:layout>
                <c:manualLayout>
                  <c:x val="-5.1775174758386763E-2"/>
                  <c:y val="6.5935683273235703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8.346919756814275E-2"/>
                  <c:y val="4.9989722924982426E-3"/>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Hoja2!$J$16:$J$19</c:f>
              <c:strCache>
                <c:ptCount val="4"/>
                <c:pt idx="0">
                  <c:v>Bueno</c:v>
                </c:pt>
                <c:pt idx="1">
                  <c:v>Regular</c:v>
                </c:pt>
                <c:pt idx="2">
                  <c:v>Malo</c:v>
                </c:pt>
                <c:pt idx="3">
                  <c:v>No se ha efectuado</c:v>
                </c:pt>
              </c:strCache>
            </c:strRef>
          </c:cat>
          <c:val>
            <c:numRef>
              <c:f>Hoja2!$K$16:$K$19</c:f>
              <c:numCache>
                <c:formatCode>0.0%</c:formatCode>
                <c:ptCount val="4"/>
                <c:pt idx="0">
                  <c:v>0.65116279069767447</c:v>
                </c:pt>
                <c:pt idx="1">
                  <c:v>0.31627906976744186</c:v>
                </c:pt>
                <c:pt idx="2">
                  <c:v>1.3953488372093023E-2</c:v>
                </c:pt>
                <c:pt idx="3">
                  <c:v>1.8604651162790697E-2</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333333"/>
                </a:solidFill>
                <a:latin typeface="Calibri"/>
                <a:ea typeface="Calibri"/>
                <a:cs typeface="Calibri"/>
              </a:defRPr>
            </a:pPr>
            <a:r>
              <a:rPr lang="es-MX" sz="1100"/>
              <a:t>Meta de Carga</a:t>
            </a:r>
            <a:r>
              <a:rPr lang="es-MX" sz="1100" baseline="0"/>
              <a:t> </a:t>
            </a:r>
            <a:r>
              <a:rPr lang="es-MX" sz="1100"/>
              <a:t>2015 -</a:t>
            </a:r>
            <a:r>
              <a:rPr lang="es-MX" sz="1100" baseline="0"/>
              <a:t> Acumulado Junio -2015</a:t>
            </a:r>
            <a:endParaRPr lang="es-MX" sz="1100"/>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'Proyecciones V.S. ejecutado'!$C$33</c:f>
              <c:strCache>
                <c:ptCount val="1"/>
                <c:pt idx="0">
                  <c:v>CARGA MOVILIZADA A JUNIO 2015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dLbls>
            <c:numFmt formatCode="#,##0.00" sourceLinked="0"/>
            <c:spPr>
              <a:noFill/>
              <a:ln w="25400">
                <a:noFill/>
              </a:ln>
              <a:scene3d>
                <a:camera prst="orthographicFront"/>
                <a:lightRig rig="threePt" dir="t"/>
              </a:scene3d>
              <a:sp3d>
                <a:bevelT/>
              </a:sp3d>
            </c:spPr>
            <c:txPr>
              <a:bodyPr wrap="square" lIns="38100" tIns="19050" rIns="38100" bIns="19050" anchor="ctr">
                <a:spAutoFit/>
              </a:bodyPr>
              <a:lstStyle/>
              <a:p>
                <a:pPr>
                  <a:defRPr sz="8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'Proyecciones V.S. ejecutado'!$C$34</c:f>
              <c:numCache>
                <c:formatCode>_ * #,##0_ ;_ * \-#,##0_ ;_ * "-"??_ ;_ @_ </c:formatCode>
                <c:ptCount val="1"/>
                <c:pt idx="0">
                  <c:v>22263160.439999998</c:v>
                </c:pt>
              </c:numCache>
            </c:numRef>
          </c:val>
        </c:ser>
        <c:ser>
          <c:idx val="1"/>
          <c:order val="1"/>
          <c:tx>
            <c:strRef>
              <c:f>'Proyecciones V.S. ejecutado'!$D$33</c:f>
              <c:strCache>
                <c:ptCount val="1"/>
                <c:pt idx="0">
                  <c:v>CARGA PENDIENTE POR MOVILIZAR 2015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dPt>
          <c:dLbls>
            <c:numFmt formatCode="#,##0.00" sourceLinked="0"/>
            <c:spPr>
              <a:noFill/>
              <a:ln w="25400">
                <a:noFill/>
              </a:ln>
            </c:spPr>
            <c:txPr>
              <a:bodyPr wrap="square" lIns="38100" tIns="19050" rIns="38100" bIns="19050" anchor="ctr">
                <a:spAutoFit/>
              </a:bodyPr>
              <a:lstStyle/>
              <a:p>
                <a:pPr>
                  <a:defRPr sz="8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'Proyecciones V.S. ejecutado'!$D$34</c:f>
              <c:numCache>
                <c:formatCode>_ * #,##0_ ;_ * \-#,##0_ ;_ * "-"??_ ;_ @_ </c:formatCode>
                <c:ptCount val="1"/>
                <c:pt idx="0">
                  <c:v>20928760.56000001</c:v>
                </c:pt>
              </c:numCache>
            </c:numRef>
          </c:val>
        </c:ser>
        <c:dLbls>
          <c:showLegendKey val="0"/>
          <c:showVal val="0"/>
          <c:showCatName val="0"/>
          <c:showSerName val="0"/>
          <c:showPercent val="0"/>
          <c:showBubbleSize val="0"/>
        </c:dLbls>
        <c:gapWidth val="150"/>
        <c:shape val="box"/>
        <c:axId val="316885456"/>
        <c:axId val="316886016"/>
        <c:axId val="0"/>
      </c:bar3DChart>
      <c:catAx>
        <c:axId val="316885456"/>
        <c:scaling>
          <c:orientation val="minMax"/>
        </c:scaling>
        <c:delete val="1"/>
        <c:axPos val="b"/>
        <c:majorTickMark val="out"/>
        <c:minorTickMark val="none"/>
        <c:tickLblPos val="nextTo"/>
        <c:crossAx val="316886016"/>
        <c:crosses val="autoZero"/>
        <c:auto val="1"/>
        <c:lblAlgn val="ctr"/>
        <c:lblOffset val="100"/>
        <c:noMultiLvlLbl val="0"/>
      </c:catAx>
      <c:valAx>
        <c:axId val="316886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700" b="0" i="0" u="none" strike="noStrike" baseline="0">
                    <a:solidFill>
                      <a:srgbClr val="333333"/>
                    </a:solidFill>
                    <a:latin typeface="Calibri"/>
                    <a:ea typeface="Calibri"/>
                    <a:cs typeface="Calibri"/>
                  </a:defRPr>
                </a:pPr>
                <a:r>
                  <a:rPr lang="es-MX" sz="700"/>
                  <a:t>Millones de </a:t>
                </a:r>
                <a:r>
                  <a:rPr lang="es-MX" sz="800"/>
                  <a:t>toneladas</a:t>
                </a:r>
                <a:endParaRPr lang="es-MX" sz="700"/>
              </a:p>
            </c:rich>
          </c:tx>
          <c:layout>
            <c:manualLayout>
              <c:xMode val="edge"/>
              <c:yMode val="edge"/>
              <c:x val="5.0727409073865762E-2"/>
              <c:y val="0.37875447387258415"/>
            </c:manualLayout>
          </c:layout>
          <c:overlay val="0"/>
          <c:spPr>
            <a:noFill/>
            <a:ln w="25400">
              <a:noFill/>
            </a:ln>
          </c:spPr>
        </c:title>
        <c:numFmt formatCode="_ * #,##0_ ;_ * \-#,##0_ ;_ * &quot;-&quot;??_ ;_ @_ " sourceLinked="1"/>
        <c:majorTickMark val="out"/>
        <c:minorTickMark val="none"/>
        <c:tickLblPos val="nextTo"/>
        <c:spPr>
          <a:ln w="9525">
            <a:noFill/>
          </a:ln>
        </c:spPr>
        <c:txPr>
          <a:bodyPr rot="0" vert="horz"/>
          <a:lstStyle/>
          <a:p>
            <a:pPr>
              <a:defRPr sz="800" b="0" i="0" u="none" strike="noStrike" baseline="0">
                <a:solidFill>
                  <a:srgbClr val="333333"/>
                </a:solidFill>
                <a:latin typeface="Calibri"/>
                <a:ea typeface="Calibri"/>
                <a:cs typeface="Calibri"/>
              </a:defRPr>
            </a:pPr>
            <a:endParaRPr lang="es-CO"/>
          </a:p>
        </c:txPr>
        <c:crossAx val="316885456"/>
        <c:crosses val="autoZero"/>
        <c:crossBetween val="between"/>
        <c:dispUnits>
          <c:builtInUnit val="millions"/>
        </c:dispUnits>
      </c:valAx>
      <c:spPr>
        <a:noFill/>
        <a:ln w="25400">
          <a:noFill/>
        </a:ln>
      </c:spPr>
    </c:plotArea>
    <c:legend>
      <c:legendPos val="b"/>
      <c:overlay val="0"/>
      <c:spPr>
        <a:noFill/>
        <a:ln w="25400">
          <a:noFill/>
        </a:ln>
      </c:spPr>
      <c:txPr>
        <a:bodyPr/>
        <a:lstStyle/>
        <a:p>
          <a:pPr>
            <a:defRPr sz="630" b="0" i="0" u="none" strike="noStrike" baseline="0">
              <a:solidFill>
                <a:srgbClr val="333333"/>
              </a:solidFill>
              <a:latin typeface="Calibri"/>
              <a:ea typeface="Calibri"/>
              <a:cs typeface="Calibri"/>
            </a:defRPr>
          </a:pPr>
          <a:endParaRPr lang="es-CO"/>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es-CO"/>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333333"/>
                </a:solidFill>
                <a:latin typeface="Calibri"/>
                <a:ea typeface="Calibri"/>
                <a:cs typeface="Calibri"/>
              </a:defRPr>
            </a:pPr>
            <a:r>
              <a:rPr lang="es-MX" sz="1100"/>
              <a:t>Proyección</a:t>
            </a:r>
            <a:r>
              <a:rPr lang="es-MX" sz="1100" baseline="0"/>
              <a:t> Carga Proyectada Vs Ejecutada - 2015</a:t>
            </a:r>
            <a:endParaRPr lang="es-MX" sz="1100"/>
          </a:p>
        </c:rich>
      </c:tx>
      <c:layout>
        <c:manualLayout>
          <c:xMode val="edge"/>
          <c:yMode val="edge"/>
          <c:x val="0.21309449400864805"/>
          <c:y val="3.4103937007874015E-2"/>
        </c:manualLayout>
      </c:layout>
      <c:overlay val="0"/>
      <c:spPr>
        <a:noFill/>
        <a:ln w="25400">
          <a:noFill/>
        </a:ln>
      </c:spPr>
    </c:title>
    <c:autoTitleDeleted val="0"/>
    <c:plotArea>
      <c:layout>
        <c:manualLayout>
          <c:layoutTarget val="inner"/>
          <c:xMode val="edge"/>
          <c:yMode val="edge"/>
          <c:x val="0.13647541150379458"/>
          <c:y val="0.16593495934959349"/>
          <c:w val="0.80409306394840185"/>
          <c:h val="0.67396069393764801"/>
        </c:manualLayout>
      </c:layout>
      <c:lineChart>
        <c:grouping val="standard"/>
        <c:varyColors val="0"/>
        <c:ser>
          <c:idx val="0"/>
          <c:order val="0"/>
          <c:tx>
            <c:strRef>
              <c:f>'Proyecciones V.S. ejecutado'!$C$3</c:f>
              <c:strCache>
                <c:ptCount val="1"/>
                <c:pt idx="0">
                  <c:v>PROYECTADO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7.7519379844961716E-3"/>
                  <c:y val="2.845528455284552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1679586563307496E-3"/>
                  <c:y val="2.845528455284552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7372407099609276E-17"/>
                  <c:y val="2.845528455284552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7.7519379844962185E-3"/>
                  <c:y val="2.8455284552845527E-2"/>
                </c:manualLayout>
              </c:layout>
              <c:showLegendKey val="0"/>
              <c:showVal val="1"/>
              <c:showCatName val="0"/>
              <c:showSerName val="0"/>
              <c:showPercent val="0"/>
              <c:showBubbleSize val="0"/>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numFmt formatCode="#,##0.00" sourceLinked="0"/>
            <c:spPr>
              <a:noFill/>
              <a:ln>
                <a:noFill/>
              </a:ln>
              <a:effectLst/>
            </c:spPr>
            <c:txPr>
              <a:bodyPr wrap="square" lIns="38100" tIns="19050" rIns="38100" bIns="19050" anchor="ctr">
                <a:spAutoFit/>
              </a:bodyPr>
              <a:lstStyle/>
              <a:p>
                <a:pPr>
                  <a:defRPr sz="700"/>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'Proyecciones V.S. ejecutado'!$B$4:$B$15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'Proyecciones V.S. ejecutado'!$C$4:$C$15</c:f>
              <c:numCache>
                <c:formatCode>#,##0</c:formatCode>
                <c:ptCount val="12"/>
                <c:pt idx="0">
                  <c:v>2935645.2282828283</c:v>
                </c:pt>
                <c:pt idx="1">
                  <c:v>3354554.3191919196</c:v>
                </c:pt>
                <c:pt idx="2">
                  <c:v>3354554.3191919196</c:v>
                </c:pt>
                <c:pt idx="3">
                  <c:v>3354554.3191919196</c:v>
                </c:pt>
                <c:pt idx="4">
                  <c:v>3354554.3191919196</c:v>
                </c:pt>
                <c:pt idx="5">
                  <c:v>3766677.8283867249</c:v>
                </c:pt>
                <c:pt idx="6">
                  <c:v>3845230.1110937949</c:v>
                </c:pt>
                <c:pt idx="7">
                  <c:v>3845230.1110937949</c:v>
                </c:pt>
                <c:pt idx="8">
                  <c:v>3845230.1110937949</c:v>
                </c:pt>
                <c:pt idx="9">
                  <c:v>3845230.1110937949</c:v>
                </c:pt>
                <c:pt idx="10">
                  <c:v>3845230.1110937949</c:v>
                </c:pt>
                <c:pt idx="11">
                  <c:v>3845230.1110937949</c:v>
                </c:pt>
              </c:numCache>
            </c:numRef>
          </c:val>
          <c:smooth val="0"/>
        </c:ser>
        <c:ser>
          <c:idx val="1"/>
          <c:order val="1"/>
          <c:tx>
            <c:strRef>
              <c:f>'Proyecciones V.S. ejecutado'!$D$3</c:f>
              <c:strCache>
                <c:ptCount val="1"/>
                <c:pt idx="0">
                  <c:v>EJECUTADO</c:v>
                </c:pt>
              </c:strCache>
            </c:strRef>
          </c:tx>
          <c:spPr>
            <a:ln w="28575" cap="rnd">
              <a:solidFill>
                <a:srgbClr val="F68426"/>
              </a:solidFill>
              <a:round/>
            </a:ln>
            <a:effectLst/>
          </c:spPr>
          <c:marker>
            <c:symbol val="circle"/>
            <c:size val="5"/>
            <c:spPr>
              <a:solidFill>
                <a:schemeClr val="accent2"/>
              </a:solidFill>
              <a:ln w="9525">
                <a:solidFill>
                  <a:srgbClr val="F68426"/>
                </a:solidFill>
              </a:ln>
              <a:effectLst/>
            </c:spPr>
          </c:marker>
          <c:dLbls>
            <c:dLbl>
              <c:idx val="3"/>
              <c:layout>
                <c:manualLayout>
                  <c:x val="-7.7519379844961716E-3"/>
                  <c:y val="-3.28205128205128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1679586563308441E-3"/>
                  <c:y val="-3.2520325203252036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2919896640826873E-2"/>
                  <c:y val="2.0325203252032447E-2"/>
                </c:manualLayout>
              </c:layout>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txPr>
              <a:bodyPr wrap="square" lIns="38100" tIns="19050" rIns="38100" bIns="19050" anchor="ctr">
                <a:spAutoFit/>
              </a:bodyPr>
              <a:lstStyle/>
              <a:p>
                <a:pPr>
                  <a:defRPr sz="700"/>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'Proyecciones V.S. ejecutado'!$B$4:$B$15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'Proyecciones V.S. ejecutado'!$D$4:$D$15</c:f>
              <c:numCache>
                <c:formatCode>#,##0</c:formatCode>
                <c:ptCount val="12"/>
                <c:pt idx="0">
                  <c:v>3951455.74</c:v>
                </c:pt>
                <c:pt idx="1">
                  <c:v>3701450.7</c:v>
                </c:pt>
                <c:pt idx="2">
                  <c:v>4071982.4199999995</c:v>
                </c:pt>
                <c:pt idx="3">
                  <c:v>3576834.9399999995</c:v>
                </c:pt>
                <c:pt idx="4">
                  <c:v>3680285.5799999991</c:v>
                </c:pt>
                <c:pt idx="5">
                  <c:v>3281151.06</c:v>
                </c:pt>
              </c:numCache>
            </c:numRef>
          </c:val>
          <c:smooth val="1"/>
        </c:ser>
        <c:dLbls>
          <c:showLegendKey val="0"/>
          <c:showVal val="0"/>
          <c:showCatName val="0"/>
          <c:showSerName val="0"/>
          <c:showPercent val="0"/>
          <c:showBubbleSize val="0"/>
        </c:dLbls>
        <c:marker val="1"/>
        <c:smooth val="0"/>
        <c:axId val="225502416"/>
        <c:axId val="225502976"/>
      </c:lineChart>
      <c:catAx>
        <c:axId val="22550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800" b="0" i="0" u="none" strike="noStrike" baseline="0">
                <a:solidFill>
                  <a:srgbClr val="333333"/>
                </a:solidFill>
                <a:latin typeface="Calibri"/>
                <a:ea typeface="Calibri"/>
                <a:cs typeface="Calibri"/>
              </a:defRPr>
            </a:pPr>
            <a:endParaRPr lang="es-CO"/>
          </a:p>
        </c:txPr>
        <c:crossAx val="225502976"/>
        <c:crosses val="autoZero"/>
        <c:auto val="1"/>
        <c:lblAlgn val="ctr"/>
        <c:lblOffset val="100"/>
        <c:noMultiLvlLbl val="0"/>
      </c:catAx>
      <c:valAx>
        <c:axId val="225502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ln w="9525">
            <a:noFill/>
          </a:ln>
        </c:spPr>
        <c:txPr>
          <a:bodyPr rot="0" vert="horz"/>
          <a:lstStyle/>
          <a:p>
            <a:pPr>
              <a:defRPr sz="800" b="0" i="0" u="none" strike="noStrike" baseline="0">
                <a:solidFill>
                  <a:srgbClr val="333333"/>
                </a:solidFill>
                <a:latin typeface="Calibri"/>
                <a:ea typeface="Calibri"/>
                <a:cs typeface="Calibri"/>
              </a:defRPr>
            </a:pPr>
            <a:endParaRPr lang="es-CO"/>
          </a:p>
        </c:txPr>
        <c:crossAx val="225502416"/>
        <c:crosses val="autoZero"/>
        <c:crossBetween val="between"/>
        <c:dispUnits>
          <c:builtInUnit val="millions"/>
          <c:dispUnitsLbl>
            <c:layout>
              <c:manualLayout>
                <c:xMode val="edge"/>
                <c:yMode val="edge"/>
                <c:x val="1.7063554555680541E-2"/>
                <c:y val="0.27355322962678447"/>
              </c:manualLayout>
            </c:layout>
            <c:tx>
              <c:rich>
                <a:bodyPr rot="-5400000" vert="horz"/>
                <a:lstStyle/>
                <a:p>
                  <a:pPr algn="ctr">
                    <a:defRPr sz="800" b="0" i="0" u="none" strike="noStrike" baseline="0">
                      <a:solidFill>
                        <a:srgbClr val="333333"/>
                      </a:solidFill>
                      <a:latin typeface="Calibri"/>
                      <a:ea typeface="Calibri"/>
                      <a:cs typeface="Calibri"/>
                    </a:defRPr>
                  </a:pPr>
                  <a:r>
                    <a:rPr lang="es-MX" sz="800"/>
                    <a:t>Millones Toneladas</a:t>
                  </a:r>
                </a:p>
              </c:rich>
            </c:tx>
            <c:spPr>
              <a:noFill/>
              <a:ln w="25400">
                <a:noFill/>
              </a:ln>
            </c:spPr>
          </c:dispUnitsLbl>
        </c:dispUnits>
      </c:valAx>
      <c:spPr>
        <a:noFill/>
        <a:ln w="25400">
          <a:noFill/>
        </a:ln>
      </c:spPr>
    </c:plotArea>
    <c:legend>
      <c:legendPos val="b"/>
      <c:overlay val="0"/>
      <c:spPr>
        <a:noFill/>
        <a:ln w="25400">
          <a:noFill/>
        </a:ln>
      </c:spPr>
      <c:txPr>
        <a:bodyPr/>
        <a:lstStyle/>
        <a:p>
          <a:pPr>
            <a:defRPr sz="500" b="0" i="0" u="none" strike="noStrike" baseline="0">
              <a:solidFill>
                <a:srgbClr val="333333"/>
              </a:solidFill>
              <a:latin typeface="Calibri"/>
              <a:ea typeface="Calibri"/>
              <a:cs typeface="Calibri"/>
            </a:defRPr>
          </a:pPr>
          <a:endParaRPr lang="es-CO"/>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es-CO"/>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Calibri"/>
                <a:ea typeface="Calibri"/>
                <a:cs typeface="Calibri"/>
              </a:defRPr>
            </a:pPr>
            <a:r>
              <a:rPr lang="es-MX" sz="1100" smtClean="0">
                <a:solidFill>
                  <a:srgbClr val="000000"/>
                </a:solidFill>
              </a:rPr>
              <a:t>Proyección de Carga Proyectada</a:t>
            </a:r>
            <a:r>
              <a:rPr lang="es-MX" sz="1100" baseline="0" smtClean="0">
                <a:solidFill>
                  <a:srgbClr val="000000"/>
                </a:solidFill>
              </a:rPr>
              <a:t> Vs Ejecutada 2015</a:t>
            </a:r>
            <a:endParaRPr lang="es-MX" sz="1100" dirty="0">
              <a:solidFill>
                <a:srgbClr val="000000"/>
              </a:solidFill>
            </a:endParaRPr>
          </a:p>
        </c:rich>
      </c:tx>
      <c:layout>
        <c:manualLayout>
          <c:xMode val="edge"/>
          <c:yMode val="edge"/>
          <c:x val="0.16332292768927315"/>
          <c:y val="4.2030077332205276E-2"/>
        </c:manualLayout>
      </c:layout>
      <c:overlay val="0"/>
      <c:spPr>
        <a:noFill/>
        <a:ln w="25400">
          <a:noFill/>
        </a:ln>
      </c:spPr>
    </c:title>
    <c:autoTitleDeleted val="0"/>
    <c:view3D>
      <c:rotX val="0"/>
      <c:rotY val="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0.12732123570969345"/>
          <c:y val="0.17430046912653108"/>
          <c:w val="0.84087446567867685"/>
          <c:h val="0.65823276661073904"/>
        </c:manualLayout>
      </c:layout>
      <c:bar3DChart>
        <c:barDir val="col"/>
        <c:grouping val="clustered"/>
        <c:varyColors val="0"/>
        <c:ser>
          <c:idx val="0"/>
          <c:order val="0"/>
          <c:tx>
            <c:strRef>
              <c:f>'Proyecciones V.S. ejecutado'!$C$3</c:f>
              <c:strCache>
                <c:ptCount val="1"/>
                <c:pt idx="0">
                  <c:v>PROYECTADO</c:v>
                </c:pt>
              </c:strCache>
            </c:strRef>
          </c:tx>
          <c:spPr>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0655891071621851E-2"/>
                  <c:y val="1.006063313861651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3279455358109257E-3"/>
                  <c:y val="2.515158284654123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319863839527315E-2"/>
                  <c:y val="2.012126627723302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447395644564084E-2"/>
                  <c:y val="1.0060633138616512E-2"/>
                </c:manualLayout>
              </c:layout>
              <c:numFmt formatCode="#,##0.00" sourceLinked="0"/>
              <c:spPr>
                <a:noFill/>
                <a:ln>
                  <a:noFill/>
                </a:ln>
                <a:effectLst/>
              </c:spPr>
              <c:txPr>
                <a:bodyPr wrap="square" lIns="38100" tIns="19050" rIns="38100" bIns="19050" anchor="ctr">
                  <a:noAutofit/>
                </a:bodyPr>
                <a:lstStyle/>
                <a:p>
                  <a:pPr>
                    <a:defRPr sz="700">
                      <a:solidFill>
                        <a:schemeClr val="bg2">
                          <a:lumMod val="50000"/>
                        </a:schemeClr>
                      </a:solidFill>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6.9296262163948977E-2"/>
                      <c:h val="4.8014569698006729E-2"/>
                    </c:manualLayout>
                  </c15:layout>
                </c:ext>
              </c:extLst>
            </c:dLbl>
            <c:dLbl>
              <c:idx val="4"/>
              <c:layout>
                <c:manualLayout>
                  <c:x val="-1.3319863839527267E-2"/>
                  <c:y val="2.515158284654123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7.9919183037162906E-3"/>
                  <c:y val="2.5151582846541235E-2"/>
                </c:manualLayout>
              </c:layout>
              <c:showLegendKey val="0"/>
              <c:showVal val="1"/>
              <c:showCatName val="0"/>
              <c:showSerName val="0"/>
              <c:showPercent val="0"/>
              <c:showBubbleSize val="0"/>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numFmt formatCode="#,##0.00" sourceLinked="0"/>
            <c:spPr>
              <a:noFill/>
              <a:ln>
                <a:noFill/>
              </a:ln>
              <a:effectLst/>
            </c:spPr>
            <c:txPr>
              <a:bodyPr wrap="square" lIns="38100" tIns="19050" rIns="38100" bIns="19050" anchor="ctr">
                <a:spAutoFit/>
              </a:bodyPr>
              <a:lstStyle/>
              <a:p>
                <a:pPr>
                  <a:defRPr sz="700">
                    <a:solidFill>
                      <a:schemeClr val="bg2">
                        <a:lumMod val="50000"/>
                      </a:schemeClr>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'Proyecciones V.S. ejecutado'!$B$4:$B$9</c:f>
              <c:strCache>
                <c:ptCount val="6"/>
                <c:pt idx="0">
                  <c:v>Ene.</c:v>
                </c:pt>
                <c:pt idx="1">
                  <c:v>Feb.</c:v>
                </c:pt>
                <c:pt idx="2">
                  <c:v>Mar.</c:v>
                </c:pt>
                <c:pt idx="3">
                  <c:v>Abr.</c:v>
                </c:pt>
                <c:pt idx="4">
                  <c:v>May.</c:v>
                </c:pt>
                <c:pt idx="5">
                  <c:v>Jun.</c:v>
                </c:pt>
              </c:strCache>
            </c:strRef>
          </c:cat>
          <c:val>
            <c:numRef>
              <c:f>'Proyecciones V.S. ejecutado'!$C$4:$C$9</c:f>
              <c:numCache>
                <c:formatCode>#,##0</c:formatCode>
                <c:ptCount val="6"/>
                <c:pt idx="0">
                  <c:v>2935645.2282828283</c:v>
                </c:pt>
                <c:pt idx="1">
                  <c:v>3354554.3191919196</c:v>
                </c:pt>
                <c:pt idx="2">
                  <c:v>3354554.3191919196</c:v>
                </c:pt>
                <c:pt idx="3">
                  <c:v>3354554.3191919196</c:v>
                </c:pt>
                <c:pt idx="4">
                  <c:v>3354554.3191919196</c:v>
                </c:pt>
                <c:pt idx="5">
                  <c:v>3766677.8283867249</c:v>
                </c:pt>
              </c:numCache>
            </c:numRef>
          </c:val>
        </c:ser>
        <c:ser>
          <c:idx val="1"/>
          <c:order val="1"/>
          <c:tx>
            <c:strRef>
              <c:f>'Proyecciones V.S. ejecutado'!$D$3</c:f>
              <c:strCache>
                <c:ptCount val="1"/>
                <c:pt idx="0">
                  <c:v>EJECUTADO</c:v>
                </c:pt>
              </c:strCache>
            </c:strRef>
          </c:tx>
          <c:spPr>
            <a:solidFill>
              <a:schemeClr val="accent2">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5.030316569308233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6639727679054143E-3"/>
                  <c:y val="1.509094970792472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509094970792474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8838936553370836E-17"/>
                  <c:y val="-4.6110702543888451E-1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6639727679055119E-3"/>
                  <c:y val="1.006063313861646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8647809375338241E-2"/>
                  <c:y val="2.515158284654128E-2"/>
                </c:manualLayout>
              </c:layout>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txPr>
              <a:bodyPr wrap="square" lIns="38100" tIns="19050" rIns="38100" bIns="19050" anchor="ctr">
                <a:spAutoFit/>
              </a:bodyPr>
              <a:lstStyle/>
              <a:p>
                <a:pPr>
                  <a:defRPr sz="700">
                    <a:solidFill>
                      <a:schemeClr val="bg2">
                        <a:lumMod val="50000"/>
                      </a:schemeClr>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'Proyecciones V.S. ejecutado'!$B$4:$B$9</c:f>
              <c:strCache>
                <c:ptCount val="6"/>
                <c:pt idx="0">
                  <c:v>Ene.</c:v>
                </c:pt>
                <c:pt idx="1">
                  <c:v>Feb.</c:v>
                </c:pt>
                <c:pt idx="2">
                  <c:v>Mar.</c:v>
                </c:pt>
                <c:pt idx="3">
                  <c:v>Abr.</c:v>
                </c:pt>
                <c:pt idx="4">
                  <c:v>May.</c:v>
                </c:pt>
                <c:pt idx="5">
                  <c:v>Jun.</c:v>
                </c:pt>
              </c:strCache>
            </c:strRef>
          </c:cat>
          <c:val>
            <c:numRef>
              <c:f>'Proyecciones V.S. ejecutado'!$D$4:$D$9</c:f>
              <c:numCache>
                <c:formatCode>#,##0</c:formatCode>
                <c:ptCount val="6"/>
                <c:pt idx="0">
                  <c:v>3951455.74</c:v>
                </c:pt>
                <c:pt idx="1">
                  <c:v>3701450.7</c:v>
                </c:pt>
                <c:pt idx="2">
                  <c:v>4071982.4199999995</c:v>
                </c:pt>
                <c:pt idx="3">
                  <c:v>3576834.9399999995</c:v>
                </c:pt>
                <c:pt idx="4">
                  <c:v>3680285.5799999991</c:v>
                </c:pt>
                <c:pt idx="5">
                  <c:v>3281151.06</c:v>
                </c:pt>
              </c:numCache>
            </c:numRef>
          </c:val>
        </c:ser>
        <c:dLbls>
          <c:showLegendKey val="0"/>
          <c:showVal val="0"/>
          <c:showCatName val="0"/>
          <c:showSerName val="0"/>
          <c:showPercent val="0"/>
          <c:showBubbleSize val="0"/>
        </c:dLbls>
        <c:gapWidth val="150"/>
        <c:shape val="box"/>
        <c:axId val="312160288"/>
        <c:axId val="312160848"/>
        <c:axId val="0"/>
      </c:bar3DChart>
      <c:catAx>
        <c:axId val="31216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800" b="0" i="0" u="none" strike="noStrike" baseline="0">
                <a:solidFill>
                  <a:schemeClr val="bg2">
                    <a:lumMod val="50000"/>
                  </a:schemeClr>
                </a:solidFill>
                <a:latin typeface="Calibri"/>
                <a:ea typeface="Calibri"/>
                <a:cs typeface="Calibri"/>
              </a:defRPr>
            </a:pPr>
            <a:endParaRPr lang="es-CO"/>
          </a:p>
        </c:txPr>
        <c:crossAx val="312160848"/>
        <c:crosses val="autoZero"/>
        <c:auto val="1"/>
        <c:lblAlgn val="ctr"/>
        <c:lblOffset val="100"/>
        <c:noMultiLvlLbl val="0"/>
      </c:catAx>
      <c:valAx>
        <c:axId val="312160848"/>
        <c:scaling>
          <c:orientation val="minMax"/>
        </c:scaling>
        <c:delete val="0"/>
        <c:axPos val="l"/>
        <c:majorGridlines>
          <c:spPr>
            <a:ln w="0" cap="flat" cmpd="sng" algn="ctr">
              <a:solidFill>
                <a:schemeClr val="bg1">
                  <a:lumMod val="85000"/>
                </a:schemeClr>
              </a:solidFill>
              <a:round/>
            </a:ln>
            <a:effectLst/>
          </c:spPr>
        </c:majorGridlines>
        <c:numFmt formatCode="#,##0.0" sourceLinked="0"/>
        <c:majorTickMark val="none"/>
        <c:minorTickMark val="none"/>
        <c:tickLblPos val="nextTo"/>
        <c:spPr>
          <a:ln w="9525">
            <a:noFill/>
          </a:ln>
        </c:spPr>
        <c:txPr>
          <a:bodyPr rot="0" vert="horz"/>
          <a:lstStyle/>
          <a:p>
            <a:pPr>
              <a:defRPr sz="800" b="0" i="0" u="none" strike="noStrike" baseline="0">
                <a:solidFill>
                  <a:schemeClr val="bg2">
                    <a:lumMod val="50000"/>
                  </a:schemeClr>
                </a:solidFill>
                <a:latin typeface="Calibri"/>
                <a:ea typeface="Calibri"/>
                <a:cs typeface="Calibri"/>
              </a:defRPr>
            </a:pPr>
            <a:endParaRPr lang="es-CO"/>
          </a:p>
        </c:txPr>
        <c:crossAx val="312160288"/>
        <c:crosses val="autoZero"/>
        <c:crossBetween val="between"/>
        <c:dispUnits>
          <c:builtInUnit val="millions"/>
          <c:dispUnitsLbl>
            <c:layout>
              <c:manualLayout>
                <c:xMode val="edge"/>
                <c:yMode val="edge"/>
                <c:x val="2.2846104254607452E-2"/>
                <c:y val="0.33964991786098681"/>
              </c:manualLayout>
            </c:layout>
            <c:tx>
              <c:rich>
                <a:bodyPr rot="-5400000" vert="horz"/>
                <a:lstStyle/>
                <a:p>
                  <a:pPr algn="ctr">
                    <a:defRPr sz="900" b="0" i="0" u="none" strike="noStrike" baseline="0">
                      <a:solidFill>
                        <a:schemeClr val="bg2">
                          <a:lumMod val="50000"/>
                        </a:schemeClr>
                      </a:solidFill>
                      <a:latin typeface="Calibri"/>
                      <a:ea typeface="Calibri"/>
                      <a:cs typeface="Calibri"/>
                    </a:defRPr>
                  </a:pPr>
                  <a:r>
                    <a:rPr lang="es-MX" sz="900" b="0">
                      <a:solidFill>
                        <a:schemeClr val="bg2">
                          <a:lumMod val="50000"/>
                        </a:schemeClr>
                      </a:solidFill>
                    </a:rPr>
                    <a:t>Millones Toneladas</a:t>
                  </a:r>
                </a:p>
              </c:rich>
            </c:tx>
            <c:spPr>
              <a:noFill/>
              <a:ln w="25400">
                <a:noFill/>
              </a:ln>
            </c:spPr>
          </c:dispUnitsLbl>
        </c:dispUnits>
      </c:valAx>
    </c:plotArea>
    <c:legend>
      <c:legendPos val="b"/>
      <c:layout>
        <c:manualLayout>
          <c:xMode val="edge"/>
          <c:yMode val="edge"/>
          <c:x val="0.37447751707005233"/>
          <c:y val="0.91473732241398154"/>
          <c:w val="0.25104473819848794"/>
          <c:h val="6.5141411308785382E-2"/>
        </c:manualLayout>
      </c:layout>
      <c:overlay val="0"/>
      <c:spPr>
        <a:noFill/>
        <a:ln w="25400">
          <a:noFill/>
        </a:ln>
      </c:spPr>
      <c:txPr>
        <a:bodyPr/>
        <a:lstStyle/>
        <a:p>
          <a:pPr>
            <a:defRPr sz="575" b="0" i="0" u="none" strike="noStrike" baseline="0">
              <a:solidFill>
                <a:srgbClr val="FF0000"/>
              </a:solidFill>
              <a:latin typeface="Calibri"/>
              <a:ea typeface="Calibri"/>
              <a:cs typeface="Calibri"/>
            </a:defRPr>
          </a:pPr>
          <a:endParaRPr lang="es-CO"/>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es-CO"/>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rgbClr val="000000"/>
                </a:solidFill>
                <a:effectLst/>
                <a:latin typeface="+mn-lt"/>
                <a:ea typeface="+mn-ea"/>
                <a:cs typeface="+mn-cs"/>
              </a:defRPr>
            </a:pPr>
            <a:r>
              <a:rPr lang="es-MX" sz="1100" b="1" smtClean="0">
                <a:solidFill>
                  <a:srgbClr val="000000"/>
                </a:solidFill>
                <a:effectLst/>
              </a:rPr>
              <a:t>Promedio Trenes movilizados mes</a:t>
            </a:r>
            <a:endParaRPr lang="es-MX" sz="1100" b="1" dirty="0">
              <a:solidFill>
                <a:srgbClr val="000000"/>
              </a:solidFill>
              <a:effectLst/>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0000"/>
              </a:solidFill>
              <a:effectLst/>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986496946605204E-2"/>
          <c:y val="0.16835215249974564"/>
          <c:w val="0.86920920444176497"/>
          <c:h val="0.65191566107713517"/>
        </c:manualLayout>
      </c:layout>
      <c:bar3DChart>
        <c:barDir val="col"/>
        <c:grouping val="clustered"/>
        <c:varyColors val="0"/>
        <c:ser>
          <c:idx val="0"/>
          <c:order val="0"/>
          <c:spPr>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459015864417223E-2"/>
                  <c:y val="-1.23839009287925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369432540282409E-3"/>
                  <c:y val="-1.732568473907771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206234110891672E-2"/>
                  <c:y val="-2.918419664082753E-5"/>
                </c:manualLayout>
              </c:layout>
              <c:showLegendKey val="0"/>
              <c:showVal val="1"/>
              <c:showCatName val="0"/>
              <c:showSerName val="0"/>
              <c:showPercent val="0"/>
              <c:showBubbleSize val="0"/>
              <c:extLst>
                <c:ext xmlns:c15="http://schemas.microsoft.com/office/drawing/2012/chart" uri="{CE6537A1-D6FC-4f65-9D91-7224C49458BB}">
                  <c15:layout>
                    <c:manualLayout>
                      <c:w val="5.2849410565166059E-2"/>
                      <c:h val="5.2112079767024505E-2"/>
                    </c:manualLayout>
                  </c15:layout>
                </c:ext>
              </c:extLst>
            </c:dLbl>
            <c:dLbl>
              <c:idx val="3"/>
              <c:layout>
                <c:manualLayout>
                  <c:x val="1.092895939740988E-2"/>
                  <c:y val="-1.23839009287925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639343909611472E-2"/>
                  <c:y val="-1.23839009287925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6.8595975674833942E-2"/>
                  <c:y val="5.761583013085415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'Proyecciones V.S. ejecutado'!$O$69:$O$74</c:f>
              <c:strCache>
                <c:ptCount val="6"/>
                <c:pt idx="0">
                  <c:v>ene</c:v>
                </c:pt>
                <c:pt idx="1">
                  <c:v>feb.</c:v>
                </c:pt>
                <c:pt idx="2">
                  <c:v>mar.</c:v>
                </c:pt>
                <c:pt idx="3">
                  <c:v>abr.</c:v>
                </c:pt>
                <c:pt idx="4">
                  <c:v>may.</c:v>
                </c:pt>
                <c:pt idx="5">
                  <c:v>jun.</c:v>
                </c:pt>
              </c:strCache>
            </c:strRef>
          </c:cat>
          <c:val>
            <c:numRef>
              <c:f>'Proyecciones V.S. ejecutado'!$N$69:$N$74</c:f>
              <c:numCache>
                <c:formatCode>General</c:formatCode>
                <c:ptCount val="6"/>
                <c:pt idx="0">
                  <c:v>21</c:v>
                </c:pt>
                <c:pt idx="1">
                  <c:v>21</c:v>
                </c:pt>
                <c:pt idx="2">
                  <c:v>20</c:v>
                </c:pt>
                <c:pt idx="3">
                  <c:v>18</c:v>
                </c:pt>
                <c:pt idx="4">
                  <c:v>18</c:v>
                </c:pt>
                <c:pt idx="5">
                  <c:v>15</c:v>
                </c:pt>
              </c:numCache>
            </c:numRef>
          </c:val>
        </c:ser>
        <c:dLbls>
          <c:showLegendKey val="0"/>
          <c:showVal val="0"/>
          <c:showCatName val="0"/>
          <c:showSerName val="0"/>
          <c:showPercent val="0"/>
          <c:showBubbleSize val="0"/>
        </c:dLbls>
        <c:gapWidth val="140"/>
        <c:gapDepth val="190"/>
        <c:shape val="box"/>
        <c:axId val="312163088"/>
        <c:axId val="311915984"/>
        <c:axId val="0"/>
      </c:bar3DChart>
      <c:catAx>
        <c:axId val="312163088"/>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bg2">
                        <a:lumMod val="50000"/>
                      </a:schemeClr>
                    </a:solidFill>
                    <a:latin typeface="+mn-lt"/>
                    <a:ea typeface="+mn-ea"/>
                    <a:cs typeface="+mn-cs"/>
                  </a:defRPr>
                </a:pPr>
                <a:r>
                  <a:rPr lang="es-MX" sz="800" b="1" smtClean="0"/>
                  <a:t>Promedio trenes cargados mes</a:t>
                </a:r>
                <a:endParaRPr lang="es-MX" sz="800" b="1" dirty="0"/>
              </a:p>
            </c:rich>
          </c:tx>
          <c:layout>
            <c:manualLayout>
              <c:xMode val="edge"/>
              <c:yMode val="edge"/>
              <c:x val="0.35328654631594608"/>
              <c:y val="0.9100738680137028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bg2">
                      <a:lumMod val="50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2">
                    <a:lumMod val="50000"/>
                  </a:schemeClr>
                </a:solidFill>
                <a:latin typeface="+mn-lt"/>
                <a:ea typeface="+mn-ea"/>
                <a:cs typeface="+mn-cs"/>
              </a:defRPr>
            </a:pPr>
            <a:endParaRPr lang="es-CO"/>
          </a:p>
        </c:txPr>
        <c:crossAx val="311915984"/>
        <c:crosses val="autoZero"/>
        <c:auto val="1"/>
        <c:lblAlgn val="ctr"/>
        <c:lblOffset val="100"/>
        <c:noMultiLvlLbl val="0"/>
      </c:catAx>
      <c:valAx>
        <c:axId val="311915984"/>
        <c:scaling>
          <c:orientation val="minMax"/>
        </c:scaling>
        <c:delete val="0"/>
        <c:axPos val="l"/>
        <c:majorGridlines>
          <c:spPr>
            <a:ln w="0" cap="flat" cmpd="sng" algn="ctr">
              <a:solidFill>
                <a:schemeClr val="bg1">
                  <a:lumMod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bg2">
                        <a:lumMod val="50000"/>
                      </a:schemeClr>
                    </a:solidFill>
                    <a:latin typeface="+mn-lt"/>
                    <a:ea typeface="+mn-ea"/>
                    <a:cs typeface="+mn-cs"/>
                  </a:defRPr>
                </a:pPr>
                <a:r>
                  <a:rPr lang="es-MX" sz="900" smtClean="0"/>
                  <a:t>Numero de Trenes</a:t>
                </a:r>
                <a:endParaRPr lang="es-MX" sz="900" dirty="0"/>
              </a:p>
            </c:rich>
          </c:tx>
          <c:layout>
            <c:manualLayout>
              <c:xMode val="edge"/>
              <c:yMode val="edge"/>
              <c:x val="1.6330608074512663E-2"/>
              <c:y val="0.3077784997600366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bg2">
                      <a:lumMod val="50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2">
                    <a:lumMod val="50000"/>
                  </a:schemeClr>
                </a:solidFill>
                <a:latin typeface="+mn-lt"/>
                <a:ea typeface="+mn-ea"/>
                <a:cs typeface="+mn-cs"/>
              </a:defRPr>
            </a:pPr>
            <a:endParaRPr lang="es-CO"/>
          </a:p>
        </c:txPr>
        <c:crossAx val="312163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bg2">
              <a:lumMod val="50000"/>
            </a:schemeClr>
          </a:solidFill>
        </a:defRPr>
      </a:pPr>
      <a:endParaRPr lang="es-CO"/>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1050" b="1"/>
              <a:t>FAMILIAS</a:t>
            </a:r>
            <a:r>
              <a:rPr lang="en-US" sz="1050" b="1" baseline="0"/>
              <a:t> QUE PROCEDEN A REASENTAMIENTO EN OTRO SITIO - ROS</a:t>
            </a:r>
            <a:endParaRPr lang="en-US" sz="1050" b="1"/>
          </a:p>
        </c:rich>
      </c:tx>
      <c:layout>
        <c:manualLayout>
          <c:xMode val="edge"/>
          <c:yMode val="edge"/>
          <c:x val="0.1430021383566836"/>
          <c:y val="1.5561909130290753E-2"/>
        </c:manualLayout>
      </c:layout>
      <c:overlay val="0"/>
      <c:spPr>
        <a:noFill/>
        <a:ln>
          <a:noFill/>
        </a:ln>
        <a:effectLst/>
      </c:spPr>
    </c:title>
    <c:autoTitleDeleted val="0"/>
    <c:view3D>
      <c:rotX val="0"/>
      <c:rotY val="0"/>
      <c:rAngAx val="0"/>
    </c:view3D>
    <c:floor>
      <c:thickness val="0"/>
    </c:floor>
    <c:sideWall>
      <c:thickness val="0"/>
      <c:spPr>
        <a:noFill/>
        <a:ln w="25352">
          <a:noFill/>
        </a:ln>
      </c:spPr>
    </c:sideWall>
    <c:backWall>
      <c:thickness val="0"/>
      <c:spPr>
        <a:noFill/>
        <a:ln w="25352">
          <a:noFill/>
        </a:ln>
      </c:spPr>
    </c:backWall>
    <c:plotArea>
      <c:layout/>
      <c:bar3DChart>
        <c:barDir val="col"/>
        <c:grouping val="clustered"/>
        <c:varyColors val="0"/>
        <c:ser>
          <c:idx val="0"/>
          <c:order val="0"/>
          <c:tx>
            <c:strRef>
              <c:f>Hoja3!$B$9</c:f>
              <c:strCache>
                <c:ptCount val="1"/>
                <c:pt idx="0">
                  <c:v>UNIDADES SOCIALES CONCERTADAS CON FIRMA DE ACTA DE COMPROMISO</c:v>
                </c:pt>
              </c:strCache>
            </c:strRef>
          </c:tx>
          <c:spPr>
            <a:solidFill>
              <a:schemeClr val="accent1"/>
            </a:solidFill>
            <a:ln>
              <a:noFill/>
            </a:ln>
            <a:effectLst/>
            <a:scene3d>
              <a:camera prst="orthographicFront"/>
              <a:lightRig rig="threePt" dir="t"/>
            </a:scene3d>
            <a:sp3d>
              <a:bevelT w="38100"/>
            </a:sp3d>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dLbl>
              <c:idx val="1"/>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Hoja3!$A$10:$A$12</c:f>
              <c:strCache>
                <c:ptCount val="3"/>
                <c:pt idx="0">
                  <c:v>LOMA COLORADA</c:v>
                </c:pt>
                <c:pt idx="1">
                  <c:v>LA ESTACION</c:v>
                </c:pt>
                <c:pt idx="2">
                  <c:v>TOTAL UNIDADES SOCIALES QUE PROC EDEN A ROS</c:v>
                </c:pt>
              </c:strCache>
            </c:strRef>
          </c:cat>
          <c:val>
            <c:numRef>
              <c:f>Hoja3!$B$10:$B$12</c:f>
              <c:numCache>
                <c:formatCode>General</c:formatCode>
                <c:ptCount val="3"/>
                <c:pt idx="0">
                  <c:v>14</c:v>
                </c:pt>
                <c:pt idx="1">
                  <c:v>8</c:v>
                </c:pt>
                <c:pt idx="2">
                  <c:v>22</c:v>
                </c:pt>
              </c:numCache>
            </c:numRef>
          </c:val>
        </c:ser>
        <c:ser>
          <c:idx val="1"/>
          <c:order val="1"/>
          <c:tx>
            <c:strRef>
              <c:f>Hoja3!$C$9</c:f>
              <c:strCache>
                <c:ptCount val="1"/>
                <c:pt idx="0">
                  <c:v>UNIDADES SOCIALES TRASLADADAS A LAS VIVIENDAS CON OPCION DE COMPRA</c:v>
                </c:pt>
              </c:strCache>
            </c:strRef>
          </c:tx>
          <c:spPr>
            <a:solidFill>
              <a:schemeClr val="accent2"/>
            </a:solidFill>
            <a:ln>
              <a:noFill/>
            </a:ln>
            <a:effectLst/>
            <a:scene3d>
              <a:camera prst="orthographicFront"/>
              <a:lightRig rig="threePt" dir="t"/>
            </a:scene3d>
            <a:sp3d>
              <a:bevelT w="38100"/>
            </a:sp3d>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dLbl>
              <c:idx val="1"/>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Hoja3!$A$10:$A$12</c:f>
              <c:strCache>
                <c:ptCount val="3"/>
                <c:pt idx="0">
                  <c:v>LOMA COLORADA</c:v>
                </c:pt>
                <c:pt idx="1">
                  <c:v>LA ESTACION</c:v>
                </c:pt>
                <c:pt idx="2">
                  <c:v>TOTAL UNIDADES SOCIALES QUE PROC EDEN A ROS</c:v>
                </c:pt>
              </c:strCache>
            </c:strRef>
          </c:cat>
          <c:val>
            <c:numRef>
              <c:f>Hoja3!$C$10:$C$12</c:f>
              <c:numCache>
                <c:formatCode>General</c:formatCode>
                <c:ptCount val="3"/>
                <c:pt idx="0">
                  <c:v>5</c:v>
                </c:pt>
                <c:pt idx="1">
                  <c:v>2</c:v>
                </c:pt>
                <c:pt idx="2">
                  <c:v>7</c:v>
                </c:pt>
              </c:numCache>
            </c:numRef>
          </c:val>
        </c:ser>
        <c:ser>
          <c:idx val="2"/>
          <c:order val="2"/>
          <c:tx>
            <c:strRef>
              <c:f>Hoja3!$D$9</c:f>
              <c:strCache>
                <c:ptCount val="1"/>
                <c:pt idx="0">
                  <c:v>TOTAL DE UNIDADES SOCIALES CON VIVIENDA SELECCIONADA</c:v>
                </c:pt>
              </c:strCache>
            </c:strRef>
          </c:tx>
          <c:spPr>
            <a:solidFill>
              <a:schemeClr val="accent3"/>
            </a:solidFill>
            <a:ln>
              <a:noFill/>
            </a:ln>
            <a:effectLst/>
          </c:spPr>
          <c:invertIfNegative val="0"/>
          <c:cat>
            <c:strRef>
              <c:f>Hoja3!$A$10:$A$12</c:f>
              <c:strCache>
                <c:ptCount val="3"/>
                <c:pt idx="0">
                  <c:v>LOMA COLORADA</c:v>
                </c:pt>
                <c:pt idx="1">
                  <c:v>LA ESTACION</c:v>
                </c:pt>
                <c:pt idx="2">
                  <c:v>TOTAL UNIDADES SOCIALES QUE PROC EDEN A ROS</c:v>
                </c:pt>
              </c:strCache>
            </c:strRef>
          </c:cat>
          <c:val>
            <c:numRef>
              <c:f>Hoja3!$D$10:$D$12</c:f>
            </c:numRef>
          </c:val>
        </c:ser>
        <c:ser>
          <c:idx val="3"/>
          <c:order val="3"/>
          <c:tx>
            <c:strRef>
              <c:f>Hoja3!$E$9</c:f>
              <c:strCache>
                <c:ptCount val="1"/>
                <c:pt idx="0">
                  <c:v>META A CUMPLIR SEGÚN DOCUMENTO POA </c:v>
                </c:pt>
              </c:strCache>
            </c:strRef>
          </c:tx>
          <c:spPr>
            <a:solidFill>
              <a:schemeClr val="accent4"/>
            </a:solidFill>
            <a:ln>
              <a:noFill/>
            </a:ln>
            <a:effectLst/>
          </c:spPr>
          <c:invertIfNegative val="0"/>
          <c:cat>
            <c:strRef>
              <c:f>Hoja3!$A$10:$A$12</c:f>
              <c:strCache>
                <c:ptCount val="3"/>
                <c:pt idx="0">
                  <c:v>LOMA COLORADA</c:v>
                </c:pt>
                <c:pt idx="1">
                  <c:v>LA ESTACION</c:v>
                </c:pt>
                <c:pt idx="2">
                  <c:v>TOTAL UNIDADES SOCIALES QUE PROC EDEN A ROS</c:v>
                </c:pt>
              </c:strCache>
            </c:strRef>
          </c:cat>
          <c:val>
            <c:numRef>
              <c:f>Hoja3!$E$10:$E$12</c:f>
            </c:numRef>
          </c:val>
        </c:ser>
        <c:ser>
          <c:idx val="4"/>
          <c:order val="4"/>
          <c:tx>
            <c:strRef>
              <c:f>Hoja3!$F$9</c:f>
              <c:strCache>
                <c:ptCount val="1"/>
                <c:pt idx="0">
                  <c:v>PORCENTAJE DE CUMPLIMIENTO </c:v>
                </c:pt>
              </c:strCache>
            </c:strRef>
          </c:tx>
          <c:spPr>
            <a:solidFill>
              <a:schemeClr val="accent5"/>
            </a:solidFill>
            <a:ln>
              <a:noFill/>
            </a:ln>
            <a:effectLst/>
          </c:spPr>
          <c:invertIfNegative val="0"/>
          <c:cat>
            <c:strRef>
              <c:f>Hoja3!$A$10:$A$12</c:f>
              <c:strCache>
                <c:ptCount val="3"/>
                <c:pt idx="0">
                  <c:v>LOMA COLORADA</c:v>
                </c:pt>
                <c:pt idx="1">
                  <c:v>LA ESTACION</c:v>
                </c:pt>
                <c:pt idx="2">
                  <c:v>TOTAL UNIDADES SOCIALES QUE PROC EDEN A ROS</c:v>
                </c:pt>
              </c:strCache>
            </c:strRef>
          </c:cat>
          <c:val>
            <c:numRef>
              <c:f>Hoja3!$F$10:$F$12</c:f>
            </c:numRef>
          </c:val>
        </c:ser>
        <c:ser>
          <c:idx val="5"/>
          <c:order val="5"/>
          <c:tx>
            <c:strRef>
              <c:f>Hoja3!$G$9</c:f>
              <c:strCache>
                <c:ptCount val="1"/>
                <c:pt idx="0">
                  <c:v>UNIDADES SOCIALES CON FIRMA DE ESCRITURA DE COMPRAVENTA </c:v>
                </c:pt>
              </c:strCache>
            </c:strRef>
          </c:tx>
          <c:spPr>
            <a:solidFill>
              <a:schemeClr val="accent6"/>
            </a:solidFill>
            <a:ln>
              <a:noFill/>
            </a:ln>
            <a:effectLst/>
            <a:scene3d>
              <a:camera prst="orthographicFront"/>
              <a:lightRig rig="threePt" dir="t"/>
            </a:scene3d>
            <a:sp3d>
              <a:bevelT w="38100" h="38100"/>
            </a:sp3d>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dLbl>
              <c:idx val="1"/>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Hoja3!$A$10:$A$12</c:f>
              <c:strCache>
                <c:ptCount val="3"/>
                <c:pt idx="0">
                  <c:v>LOMA COLORADA</c:v>
                </c:pt>
                <c:pt idx="1">
                  <c:v>LA ESTACION</c:v>
                </c:pt>
                <c:pt idx="2">
                  <c:v>TOTAL UNIDADES SOCIALES QUE PROC EDEN A ROS</c:v>
                </c:pt>
              </c:strCache>
            </c:strRef>
          </c:cat>
          <c:val>
            <c:numRef>
              <c:f>Hoja3!$G$10:$G$12</c:f>
              <c:numCache>
                <c:formatCode>General</c:formatCode>
                <c:ptCount val="3"/>
                <c:pt idx="0">
                  <c:v>4</c:v>
                </c:pt>
                <c:pt idx="1">
                  <c:v>1</c:v>
                </c:pt>
                <c:pt idx="2">
                  <c:v>5</c:v>
                </c:pt>
              </c:numCache>
            </c:numRef>
          </c:val>
        </c:ser>
        <c:dLbls>
          <c:showLegendKey val="0"/>
          <c:showVal val="0"/>
          <c:showCatName val="0"/>
          <c:showSerName val="0"/>
          <c:showPercent val="0"/>
          <c:showBubbleSize val="0"/>
        </c:dLbls>
        <c:gapWidth val="219"/>
        <c:shape val="box"/>
        <c:axId val="477828384"/>
        <c:axId val="477828944"/>
        <c:axId val="0"/>
      </c:bar3DChart>
      <c:catAx>
        <c:axId val="477828384"/>
        <c:scaling>
          <c:orientation val="minMax"/>
        </c:scaling>
        <c:delete val="0"/>
        <c:axPos val="b"/>
        <c:numFmt formatCode="General" sourceLinked="1"/>
        <c:majorTickMark val="none"/>
        <c:minorTickMark val="none"/>
        <c:tickLblPos val="nextTo"/>
        <c:spPr>
          <a:noFill/>
          <a:ln w="9507"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O"/>
          </a:p>
        </c:txPr>
        <c:crossAx val="477828944"/>
        <c:crosses val="autoZero"/>
        <c:auto val="1"/>
        <c:lblAlgn val="ctr"/>
        <c:lblOffset val="100"/>
        <c:noMultiLvlLbl val="0"/>
      </c:catAx>
      <c:valAx>
        <c:axId val="477828944"/>
        <c:scaling>
          <c:orientation val="minMax"/>
        </c:scaling>
        <c:delete val="0"/>
        <c:axPos val="l"/>
        <c:majorGridlines>
          <c:spPr>
            <a:ln w="9507"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477828384"/>
        <c:crosses val="autoZero"/>
        <c:crossBetween val="between"/>
      </c:valAx>
      <c:spPr>
        <a:scene3d>
          <a:camera prst="orthographicFront"/>
          <a:lightRig rig="threePt" dir="t"/>
        </a:scene3d>
        <a:sp3d>
          <a:bevelT/>
        </a:sp3d>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noFill/>
    <a:ln>
      <a:noFill/>
    </a:ln>
    <a:effectLst/>
  </c:spPr>
  <c:txPr>
    <a:bodyPr/>
    <a:lstStyle/>
    <a:p>
      <a:pPr>
        <a:defRPr/>
      </a:pPr>
      <a:endParaRPr lang="es-CO"/>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r>
              <a:rPr lang="es-MX" sz="1000"/>
              <a:t>Balance Ejecución Financiera del Contrato 356 de 2013 a 30 de junio 2015</a:t>
            </a:r>
          </a:p>
          <a:p>
            <a:pPr>
              <a:defRPr sz="1000"/>
            </a:pPr>
            <a:endParaRPr lang="es-CO" sz="1000"/>
          </a:p>
        </c:rich>
      </c:tx>
      <c:layout>
        <c:manualLayout>
          <c:xMode val="edge"/>
          <c:yMode val="edge"/>
          <c:x val="0.12453316162266581"/>
          <c:y val="2.4645130502382217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es-CO"/>
        </a:p>
      </c:txPr>
    </c:title>
    <c:autoTitleDeleted val="0"/>
    <c:plotArea>
      <c:layout>
        <c:manualLayout>
          <c:layoutTarget val="inner"/>
          <c:xMode val="edge"/>
          <c:yMode val="edge"/>
          <c:x val="0.13216314705392915"/>
          <c:y val="0.15688038709805338"/>
          <c:w val="0.77997782122590886"/>
          <c:h val="0.62431377256354925"/>
        </c:manualLayout>
      </c:layout>
      <c:barChart>
        <c:barDir val="col"/>
        <c:grouping val="clustered"/>
        <c:varyColors val="0"/>
        <c:ser>
          <c:idx val="4"/>
          <c:order val="0"/>
          <c:tx>
            <c:strRef>
              <c:f>'AVANCE FINANCIERO 356 '!$D$53</c:f>
              <c:strCache>
                <c:ptCount val="1"/>
                <c:pt idx="0">
                  <c:v>PROG MES</c:v>
                </c:pt>
              </c:strCache>
            </c:strRef>
          </c:tx>
          <c:spPr>
            <a:solidFill>
              <a:srgbClr val="00B0F0"/>
            </a:solidFill>
            <a:ln>
              <a:solidFill>
                <a:schemeClr val="accent1">
                  <a:lumMod val="75000"/>
                </a:schemeClr>
              </a:solidFill>
            </a:ln>
            <a:effectLst>
              <a:outerShdw blurRad="57150" dist="19050" dir="5400000" algn="ctr" rotWithShape="0">
                <a:srgbClr val="000000">
                  <a:alpha val="63000"/>
                </a:srgbClr>
              </a:outerShdw>
            </a:effectLst>
            <a:scene3d>
              <a:camera prst="orthographicFront"/>
              <a:lightRig rig="threePt" dir="t"/>
            </a:scene3d>
            <a:sp3d prstMaterial="softEdge">
              <a:bevelT/>
            </a:sp3d>
          </c:spPr>
          <c:invertIfNegative val="0"/>
          <c:cat>
            <c:numRef>
              <c:f>'AVANCE FINANCIERO 356 '!$C$54:$C$80</c:f>
              <c:numCache>
                <c:formatCode>mmm\-yy</c:formatCode>
                <c:ptCount val="27"/>
                <c:pt idx="0">
                  <c:v>41579</c:v>
                </c:pt>
                <c:pt idx="1">
                  <c:v>41609</c:v>
                </c:pt>
                <c:pt idx="2">
                  <c:v>41640</c:v>
                </c:pt>
                <c:pt idx="3">
                  <c:v>41671</c:v>
                </c:pt>
                <c:pt idx="4">
                  <c:v>41699</c:v>
                </c:pt>
                <c:pt idx="5">
                  <c:v>41730</c:v>
                </c:pt>
                <c:pt idx="6">
                  <c:v>41760</c:v>
                </c:pt>
                <c:pt idx="7">
                  <c:v>41791</c:v>
                </c:pt>
                <c:pt idx="8">
                  <c:v>41821</c:v>
                </c:pt>
                <c:pt idx="9">
                  <c:v>41852</c:v>
                </c:pt>
                <c:pt idx="10">
                  <c:v>41883</c:v>
                </c:pt>
                <c:pt idx="11">
                  <c:v>41913</c:v>
                </c:pt>
                <c:pt idx="12">
                  <c:v>41944</c:v>
                </c:pt>
                <c:pt idx="13">
                  <c:v>41974</c:v>
                </c:pt>
                <c:pt idx="14">
                  <c:v>42005</c:v>
                </c:pt>
                <c:pt idx="15">
                  <c:v>42036</c:v>
                </c:pt>
                <c:pt idx="16">
                  <c:v>42064</c:v>
                </c:pt>
                <c:pt idx="17">
                  <c:v>42095</c:v>
                </c:pt>
                <c:pt idx="18">
                  <c:v>42095</c:v>
                </c:pt>
                <c:pt idx="19">
                  <c:v>42125</c:v>
                </c:pt>
                <c:pt idx="20">
                  <c:v>42156</c:v>
                </c:pt>
                <c:pt idx="21">
                  <c:v>42186</c:v>
                </c:pt>
                <c:pt idx="22">
                  <c:v>42217</c:v>
                </c:pt>
                <c:pt idx="23">
                  <c:v>42248</c:v>
                </c:pt>
                <c:pt idx="24">
                  <c:v>42278</c:v>
                </c:pt>
                <c:pt idx="25">
                  <c:v>42309</c:v>
                </c:pt>
                <c:pt idx="26">
                  <c:v>42339</c:v>
                </c:pt>
              </c:numCache>
            </c:numRef>
          </c:cat>
          <c:val>
            <c:numRef>
              <c:f>'AVANCE FINANCIERO 356 '!$D$54:$D$80</c:f>
              <c:numCache>
                <c:formatCode>_("$"\ * #,##0_);_("$"\ * \(#,##0\);_("$"\ * "-"??_);_(@_)</c:formatCode>
                <c:ptCount val="27"/>
                <c:pt idx="0">
                  <c:v>1589603185.8299999</c:v>
                </c:pt>
                <c:pt idx="1">
                  <c:v>1589603185.9500003</c:v>
                </c:pt>
                <c:pt idx="2">
                  <c:v>1589603185.9000001</c:v>
                </c:pt>
                <c:pt idx="3">
                  <c:v>1589603185.8899994</c:v>
                </c:pt>
                <c:pt idx="4">
                  <c:v>1658773043.5799999</c:v>
                </c:pt>
                <c:pt idx="5">
                  <c:v>1880480723.460001</c:v>
                </c:pt>
                <c:pt idx="6">
                  <c:v>1886731671.8299999</c:v>
                </c:pt>
                <c:pt idx="7">
                  <c:v>1700490312.7699986</c:v>
                </c:pt>
                <c:pt idx="8">
                  <c:v>2995332076.4000015</c:v>
                </c:pt>
                <c:pt idx="9">
                  <c:v>4793833851.25</c:v>
                </c:pt>
                <c:pt idx="10">
                  <c:v>5909244089.2799988</c:v>
                </c:pt>
                <c:pt idx="11">
                  <c:v>7275400010.6050911</c:v>
                </c:pt>
                <c:pt idx="12">
                  <c:v>4519646091.6573668</c:v>
                </c:pt>
                <c:pt idx="13">
                  <c:v>4908750346.0182056</c:v>
                </c:pt>
                <c:pt idx="14">
                  <c:v>4115487738.2498994</c:v>
                </c:pt>
                <c:pt idx="15">
                  <c:v>3643091692.5000238</c:v>
                </c:pt>
                <c:pt idx="16">
                  <c:v>4103858720.2304726</c:v>
                </c:pt>
                <c:pt idx="17">
                  <c:v>2910260897.0905156</c:v>
                </c:pt>
                <c:pt idx="18">
                  <c:v>0</c:v>
                </c:pt>
                <c:pt idx="19">
                  <c:v>3989613638.8000078</c:v>
                </c:pt>
                <c:pt idx="20">
                  <c:v>6374232472.3611441</c:v>
                </c:pt>
                <c:pt idx="21">
                  <c:v>8085545340.685668</c:v>
                </c:pt>
                <c:pt idx="22">
                  <c:v>9044407330.555933</c:v>
                </c:pt>
                <c:pt idx="23">
                  <c:v>12605623311.23502</c:v>
                </c:pt>
                <c:pt idx="24">
                  <c:v>8452904007.9381914</c:v>
                </c:pt>
                <c:pt idx="25">
                  <c:v>8206228805.3774719</c:v>
                </c:pt>
                <c:pt idx="26">
                  <c:v>7951513120.871541</c:v>
                </c:pt>
              </c:numCache>
            </c:numRef>
          </c:val>
        </c:ser>
        <c:ser>
          <c:idx val="5"/>
          <c:order val="1"/>
          <c:tx>
            <c:strRef>
              <c:f>'AVANCE FINANCIERO 356 '!$G$53</c:f>
              <c:strCache>
                <c:ptCount val="1"/>
                <c:pt idx="0">
                  <c:v>EJEC MES</c:v>
                </c:pt>
              </c:strCache>
            </c:strRef>
          </c:tx>
          <c:spPr>
            <a:solidFill>
              <a:schemeClr val="accent4">
                <a:lumMod val="50000"/>
              </a:schemeClr>
            </a:solidFill>
            <a:ln>
              <a:solidFill>
                <a:schemeClr val="accent4">
                  <a:lumMod val="40000"/>
                  <a:lumOff val="60000"/>
                </a:schemeClr>
              </a:solidFill>
            </a:ln>
            <a:effectLst>
              <a:outerShdw blurRad="57150" dist="19050" dir="5400000" algn="ctr" rotWithShape="0">
                <a:srgbClr val="000000">
                  <a:alpha val="63000"/>
                </a:srgbClr>
              </a:outerShdw>
            </a:effectLst>
            <a:scene3d>
              <a:camera prst="orthographicFront"/>
              <a:lightRig rig="sunrise" dir="t"/>
            </a:scene3d>
            <a:sp3d>
              <a:bevelT w="50800" h="50800"/>
            </a:sp3d>
          </c:spPr>
          <c:invertIfNegative val="0"/>
          <c:cat>
            <c:numRef>
              <c:f>'AVANCE FINANCIERO 356 '!$C$54:$C$80</c:f>
              <c:numCache>
                <c:formatCode>mmm\-yy</c:formatCode>
                <c:ptCount val="27"/>
                <c:pt idx="0">
                  <c:v>41579</c:v>
                </c:pt>
                <c:pt idx="1">
                  <c:v>41609</c:v>
                </c:pt>
                <c:pt idx="2">
                  <c:v>41640</c:v>
                </c:pt>
                <c:pt idx="3">
                  <c:v>41671</c:v>
                </c:pt>
                <c:pt idx="4">
                  <c:v>41699</c:v>
                </c:pt>
                <c:pt idx="5">
                  <c:v>41730</c:v>
                </c:pt>
                <c:pt idx="6">
                  <c:v>41760</c:v>
                </c:pt>
                <c:pt idx="7">
                  <c:v>41791</c:v>
                </c:pt>
                <c:pt idx="8">
                  <c:v>41821</c:v>
                </c:pt>
                <c:pt idx="9">
                  <c:v>41852</c:v>
                </c:pt>
                <c:pt idx="10">
                  <c:v>41883</c:v>
                </c:pt>
                <c:pt idx="11">
                  <c:v>41913</c:v>
                </c:pt>
                <c:pt idx="12">
                  <c:v>41944</c:v>
                </c:pt>
                <c:pt idx="13">
                  <c:v>41974</c:v>
                </c:pt>
                <c:pt idx="14">
                  <c:v>42005</c:v>
                </c:pt>
                <c:pt idx="15">
                  <c:v>42036</c:v>
                </c:pt>
                <c:pt idx="16">
                  <c:v>42064</c:v>
                </c:pt>
                <c:pt idx="17">
                  <c:v>42095</c:v>
                </c:pt>
                <c:pt idx="18">
                  <c:v>42095</c:v>
                </c:pt>
                <c:pt idx="19">
                  <c:v>42125</c:v>
                </c:pt>
                <c:pt idx="20">
                  <c:v>42156</c:v>
                </c:pt>
                <c:pt idx="21">
                  <c:v>42186</c:v>
                </c:pt>
                <c:pt idx="22">
                  <c:v>42217</c:v>
                </c:pt>
                <c:pt idx="23">
                  <c:v>42248</c:v>
                </c:pt>
                <c:pt idx="24">
                  <c:v>42278</c:v>
                </c:pt>
                <c:pt idx="25">
                  <c:v>42309</c:v>
                </c:pt>
                <c:pt idx="26">
                  <c:v>42339</c:v>
                </c:pt>
              </c:numCache>
            </c:numRef>
          </c:cat>
          <c:val>
            <c:numRef>
              <c:f>'AVANCE FINANCIERO 356 '!$G$54:$G$78</c:f>
              <c:numCache>
                <c:formatCode>_("$"\ * #,##0_);_("$"\ * \(#,##0\);_("$"\ * "-"??_);_(@_)</c:formatCode>
                <c:ptCount val="25"/>
                <c:pt idx="0">
                  <c:v>1579575737.5999999</c:v>
                </c:pt>
                <c:pt idx="1">
                  <c:v>1474688729.5999999</c:v>
                </c:pt>
                <c:pt idx="2">
                  <c:v>1718668157.8</c:v>
                </c:pt>
                <c:pt idx="3">
                  <c:v>1312371597.04</c:v>
                </c:pt>
                <c:pt idx="4">
                  <c:v>1690638849.1199999</c:v>
                </c:pt>
                <c:pt idx="5">
                  <c:v>1738690260.6600001</c:v>
                </c:pt>
                <c:pt idx="6">
                  <c:v>1854137081.7959998</c:v>
                </c:pt>
                <c:pt idx="7">
                  <c:v>2069889974.8100002</c:v>
                </c:pt>
                <c:pt idx="8">
                  <c:v>2101804348.51</c:v>
                </c:pt>
                <c:pt idx="9">
                  <c:v>2478342619.8899999</c:v>
                </c:pt>
                <c:pt idx="10">
                  <c:v>2373681010.5079999</c:v>
                </c:pt>
                <c:pt idx="11">
                  <c:v>5236681866.9699993</c:v>
                </c:pt>
                <c:pt idx="12">
                  <c:v>4316589348.6940002</c:v>
                </c:pt>
                <c:pt idx="13">
                  <c:v>4028341853.4960003</c:v>
                </c:pt>
                <c:pt idx="14">
                  <c:v>2361879875</c:v>
                </c:pt>
                <c:pt idx="15">
                  <c:v>5257931633</c:v>
                </c:pt>
                <c:pt idx="16">
                  <c:v>3657805668.71</c:v>
                </c:pt>
                <c:pt idx="17">
                  <c:v>3410548101.1420002</c:v>
                </c:pt>
                <c:pt idx="18">
                  <c:v>0</c:v>
                </c:pt>
                <c:pt idx="19">
                  <c:v>9256197710.8299999</c:v>
                </c:pt>
                <c:pt idx="20">
                  <c:v>5532332351.6378498</c:v>
                </c:pt>
              </c:numCache>
            </c:numRef>
          </c:val>
        </c:ser>
        <c:dLbls>
          <c:showLegendKey val="0"/>
          <c:showVal val="0"/>
          <c:showCatName val="0"/>
          <c:showSerName val="0"/>
          <c:showPercent val="0"/>
          <c:showBubbleSize val="0"/>
        </c:dLbls>
        <c:gapWidth val="150"/>
        <c:axId val="311739328"/>
        <c:axId val="311739888"/>
      </c:barChart>
      <c:lineChart>
        <c:grouping val="standard"/>
        <c:varyColors val="0"/>
        <c:ser>
          <c:idx val="6"/>
          <c:order val="2"/>
          <c:tx>
            <c:strRef>
              <c:f>'AVANCE FINANCIERO 356 '!$F$53</c:f>
              <c:strCache>
                <c:ptCount val="1"/>
                <c:pt idx="0">
                  <c:v>% PROG ACUM</c:v>
                </c:pt>
              </c:strCache>
            </c:strRef>
          </c:tx>
          <c:spPr>
            <a:ln w="34925" cap="rnd">
              <a:solidFill>
                <a:srgbClr val="FF0000"/>
              </a:solidFill>
              <a:round/>
            </a:ln>
            <a:effectLst>
              <a:outerShdw blurRad="57150" dist="19050" dir="5400000" algn="ctr" rotWithShape="0">
                <a:srgbClr val="000000">
                  <a:alpha val="63000"/>
                </a:srgbClr>
              </a:outerShdw>
            </a:effectLst>
          </c:spPr>
          <c:marker>
            <c:symbol val="circle"/>
            <c:size val="6"/>
            <c:spPr>
              <a:solidFill>
                <a:srgbClr val="FF0000"/>
              </a:solidFill>
              <a:ln w="9525">
                <a:solidFill>
                  <a:schemeClr val="accent1">
                    <a:lumMod val="50000"/>
                  </a:schemeClr>
                </a:solidFill>
                <a:round/>
              </a:ln>
              <a:effectLst>
                <a:outerShdw blurRad="57150" dist="19050" dir="5400000" algn="ctr" rotWithShape="0">
                  <a:srgbClr val="000000">
                    <a:alpha val="63000"/>
                  </a:srgbClr>
                </a:outerShdw>
              </a:effectLst>
            </c:spPr>
          </c:marker>
          <c:dPt>
            <c:idx val="0"/>
            <c:marker>
              <c:symbol val="circle"/>
              <c:size val="6"/>
              <c:spPr>
                <a:solidFill>
                  <a:srgbClr val="FF0000"/>
                </a:solidFill>
                <a:ln w="9525">
                  <a:solidFill>
                    <a:schemeClr val="accent1">
                      <a:lumMod val="50000"/>
                    </a:schemeClr>
                  </a:solidFill>
                  <a:round/>
                </a:ln>
                <a:effectLst>
                  <a:outerShdw blurRad="57150" dist="19050" dir="5400000" algn="ctr" rotWithShape="0">
                    <a:srgbClr val="000000">
                      <a:alpha val="63000"/>
                    </a:srgbClr>
                  </a:outerShdw>
                </a:effectLst>
              </c:spPr>
            </c:marker>
            <c:bubble3D val="0"/>
            <c:spPr>
              <a:ln w="6350" cap="rnd">
                <a:solidFill>
                  <a:srgbClr val="FF0000"/>
                </a:solidFill>
                <a:round/>
              </a:ln>
              <a:effectLst>
                <a:outerShdw blurRad="57150" dist="19050" dir="5400000" algn="ctr" rotWithShape="0">
                  <a:srgbClr val="000000">
                    <a:alpha val="63000"/>
                  </a:srgbClr>
                </a:outerShdw>
              </a:effectLst>
            </c:spPr>
          </c:dPt>
          <c:dPt>
            <c:idx val="26"/>
            <c:marker>
              <c:symbol val="circle"/>
              <c:size val="6"/>
              <c:spPr>
                <a:solidFill>
                  <a:srgbClr val="FF0000"/>
                </a:solidFill>
                <a:ln w="9525">
                  <a:solidFill>
                    <a:schemeClr val="accent1">
                      <a:lumMod val="50000"/>
                    </a:schemeClr>
                  </a:solidFill>
                  <a:round/>
                </a:ln>
                <a:effectLst>
                  <a:outerShdw blurRad="57150" dist="19050" dir="5400000" algn="ctr" rotWithShape="0">
                    <a:srgbClr val="000000">
                      <a:alpha val="63000"/>
                    </a:srgbClr>
                  </a:outerShdw>
                </a:effectLst>
              </c:spPr>
            </c:marker>
            <c:bubble3D val="0"/>
            <c:spPr>
              <a:ln w="19050" cap="rnd">
                <a:solidFill>
                  <a:srgbClr val="FF0000"/>
                </a:solidFill>
                <a:round/>
              </a:ln>
              <a:effectLst>
                <a:outerShdw blurRad="57150" dist="19050" dir="5400000" algn="ctr" rotWithShape="0">
                  <a:srgbClr val="000000">
                    <a:alpha val="63000"/>
                  </a:srgbClr>
                </a:outerShdw>
              </a:effectLst>
            </c:spPr>
          </c:dPt>
          <c:val>
            <c:numRef>
              <c:f>'AVANCE FINANCIERO 356 '!$F$54:$F$80</c:f>
              <c:numCache>
                <c:formatCode>0.00%</c:formatCode>
                <c:ptCount val="27"/>
                <c:pt idx="0">
                  <c:v>1.8394200636243804E-2</c:v>
                </c:pt>
                <c:pt idx="1">
                  <c:v>3.6788401273876205E-2</c:v>
                </c:pt>
                <c:pt idx="2">
                  <c:v>5.5182601910930017E-2</c:v>
                </c:pt>
                <c:pt idx="3">
                  <c:v>7.3576802547868109E-2</c:v>
                </c:pt>
                <c:pt idx="4">
                  <c:v>9.2771406865216524E-2</c:v>
                </c:pt>
                <c:pt idx="5">
                  <c:v>0.1145315165757738</c:v>
                </c:pt>
                <c:pt idx="6">
                  <c:v>0.13636395955762137</c:v>
                </c:pt>
                <c:pt idx="7">
                  <c:v>0.15604129807323849</c:v>
                </c:pt>
                <c:pt idx="8">
                  <c:v>0.19070198551814319</c:v>
                </c:pt>
                <c:pt idx="9">
                  <c:v>0.24617415773241058</c:v>
                </c:pt>
                <c:pt idx="10">
                  <c:v>0.31455337485759477</c:v>
                </c:pt>
                <c:pt idx="11">
                  <c:v>0.39874115750482469</c:v>
                </c:pt>
                <c:pt idx="12">
                  <c:v>0.45104054753866651</c:v>
                </c:pt>
                <c:pt idx="13">
                  <c:v>0.50784248373429919</c:v>
                </c:pt>
                <c:pt idx="14">
                  <c:v>0.55546512808238735</c:v>
                </c:pt>
                <c:pt idx="15">
                  <c:v>0.59762140967859501</c:v>
                </c:pt>
                <c:pt idx="16">
                  <c:v>0.64510948805917712</c:v>
                </c:pt>
                <c:pt idx="17">
                  <c:v>0.67878576860648021</c:v>
                </c:pt>
                <c:pt idx="18">
                  <c:v>0.42922523228451387</c:v>
                </c:pt>
                <c:pt idx="19">
                  <c:v>0.46441559550560402</c:v>
                </c:pt>
                <c:pt idx="20">
                  <c:v>0.52063947487491657</c:v>
                </c:pt>
                <c:pt idx="21">
                  <c:v>0.59195797915617399</c:v>
                </c:pt>
                <c:pt idx="22">
                  <c:v>0.67173411987978648</c:v>
                </c:pt>
                <c:pt idx="23">
                  <c:v>0.78292194484521982</c:v>
                </c:pt>
                <c:pt idx="24">
                  <c:v>0.85748073405214231</c:v>
                </c:pt>
                <c:pt idx="25">
                  <c:v>0.92986372611135948</c:v>
                </c:pt>
                <c:pt idx="26">
                  <c:v>1</c:v>
                </c:pt>
              </c:numCache>
            </c:numRef>
          </c:val>
          <c:smooth val="1"/>
        </c:ser>
        <c:ser>
          <c:idx val="7"/>
          <c:order val="3"/>
          <c:tx>
            <c:strRef>
              <c:f>'AVANCE FINANCIERO 356 '!$I$53</c:f>
              <c:strCache>
                <c:ptCount val="1"/>
                <c:pt idx="0">
                  <c:v>% EJEC, ACUM</c:v>
                </c:pt>
              </c:strCache>
            </c:strRef>
          </c:tx>
          <c:spPr>
            <a:ln w="34925" cap="rnd">
              <a:solidFill>
                <a:schemeClr val="accent6">
                  <a:lumMod val="75000"/>
                </a:schemeClr>
              </a:solidFill>
              <a:round/>
            </a:ln>
            <a:effectLst>
              <a:outerShdw blurRad="57150" dist="19050" dir="5400000" algn="ctr" rotWithShape="0">
                <a:srgbClr val="000000">
                  <a:alpha val="63000"/>
                </a:srgbClr>
              </a:outerShdw>
            </a:effectLst>
          </c:spPr>
          <c:marker>
            <c:symbol val="circle"/>
            <c:size val="5"/>
            <c:spPr>
              <a:solidFill>
                <a:srgbClr val="00B050">
                  <a:alpha val="60000"/>
                </a:srgbClr>
              </a:solidFill>
              <a:ln w="0">
                <a:solidFill>
                  <a:schemeClr val="tx1">
                    <a:alpha val="60000"/>
                  </a:schemeClr>
                </a:solidFill>
                <a:round/>
              </a:ln>
              <a:effectLst>
                <a:outerShdw blurRad="57150" dist="19050" dir="5400000" algn="ctr" rotWithShape="0">
                  <a:srgbClr val="000000">
                    <a:alpha val="63000"/>
                  </a:srgbClr>
                </a:outerShdw>
              </a:effectLst>
            </c:spPr>
          </c:marker>
          <c:val>
            <c:numRef>
              <c:f>'AVANCE FINANCIERO 356 '!$I$54:$I$78</c:f>
              <c:numCache>
                <c:formatCode>0.00%</c:formatCode>
                <c:ptCount val="25"/>
                <c:pt idx="0">
                  <c:v>1.8278167341735867E-2</c:v>
                </c:pt>
                <c:pt idx="1">
                  <c:v>3.534262758569693E-2</c:v>
                </c:pt>
                <c:pt idx="2">
                  <c:v>5.5230312262920293E-2</c:v>
                </c:pt>
                <c:pt idx="3">
                  <c:v>7.0416508843582609E-2</c:v>
                </c:pt>
                <c:pt idx="4">
                  <c:v>8.9979850482146337E-2</c:v>
                </c:pt>
                <c:pt idx="5">
                  <c:v>0.11009922227502809</c:v>
                </c:pt>
                <c:pt idx="6">
                  <c:v>0.13155449475666151</c:v>
                </c:pt>
                <c:pt idx="7">
                  <c:v>0.15550636641306154</c:v>
                </c:pt>
                <c:pt idx="8">
                  <c:v>0.17982753740042093</c:v>
                </c:pt>
                <c:pt idx="9">
                  <c:v>0.20850584642872588</c:v>
                </c:pt>
                <c:pt idx="10">
                  <c:v>0.23597305657458897</c:v>
                </c:pt>
                <c:pt idx="11">
                  <c:v>0.2965696745153934</c:v>
                </c:pt>
                <c:pt idx="12">
                  <c:v>0.34651937973235425</c:v>
                </c:pt>
                <c:pt idx="13">
                  <c:v>0.39313360958865262</c:v>
                </c:pt>
                <c:pt idx="14">
                  <c:v>0.4204642620978648</c:v>
                </c:pt>
                <c:pt idx="15">
                  <c:v>0.48130677314162307</c:v>
                </c:pt>
                <c:pt idx="16">
                  <c:v>0.52363331850741546</c:v>
                </c:pt>
                <c:pt idx="17">
                  <c:v>0.56309870622882341</c:v>
                </c:pt>
                <c:pt idx="18">
                  <c:v>0.42922523228451387</c:v>
                </c:pt>
                <c:pt idx="19">
                  <c:v>0.51086946878965644</c:v>
                </c:pt>
                <c:pt idx="20">
                  <c:v>0.55966737318334625</c:v>
                </c:pt>
              </c:numCache>
            </c:numRef>
          </c:val>
          <c:smooth val="0"/>
        </c:ser>
        <c:dLbls>
          <c:showLegendKey val="0"/>
          <c:showVal val="0"/>
          <c:showCatName val="0"/>
          <c:showSerName val="0"/>
          <c:showPercent val="0"/>
          <c:showBubbleSize val="0"/>
        </c:dLbls>
        <c:marker val="1"/>
        <c:smooth val="0"/>
        <c:axId val="311741008"/>
        <c:axId val="311740448"/>
      </c:lineChart>
      <c:dateAx>
        <c:axId val="311739328"/>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dk1"/>
                    </a:solidFill>
                    <a:latin typeface="+mn-lt"/>
                    <a:ea typeface="+mn-ea"/>
                    <a:cs typeface="+mn-cs"/>
                  </a:defRPr>
                </a:pPr>
                <a:r>
                  <a:rPr lang="es-MX" sz="700"/>
                  <a:t>MESES</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mn-lt"/>
                  <a:ea typeface="+mn-ea"/>
                  <a:cs typeface="+mn-cs"/>
                </a:defRPr>
              </a:pPr>
              <a:endParaRPr lang="es-CO"/>
            </a:p>
          </c:txPr>
        </c:title>
        <c:numFmt formatCode="mmm\-yy" sourceLinked="0"/>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600" b="0" i="0" u="none" strike="noStrike" kern="1200" baseline="0">
                <a:solidFill>
                  <a:schemeClr val="dk1"/>
                </a:solidFill>
                <a:latin typeface="+mn-lt"/>
                <a:ea typeface="+mn-ea"/>
                <a:cs typeface="+mn-cs"/>
              </a:defRPr>
            </a:pPr>
            <a:endParaRPr lang="es-CO"/>
          </a:p>
        </c:txPr>
        <c:crossAx val="311739888"/>
        <c:crosses val="autoZero"/>
        <c:auto val="1"/>
        <c:lblOffset val="100"/>
        <c:baseTimeUnit val="months"/>
      </c:dateAx>
      <c:valAx>
        <c:axId val="311739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dk1"/>
                    </a:solidFill>
                    <a:latin typeface="+mn-lt"/>
                    <a:ea typeface="+mn-ea"/>
                    <a:cs typeface="+mn-cs"/>
                  </a:defRPr>
                </a:pPr>
                <a:r>
                  <a:rPr lang="es-MX" sz="700"/>
                  <a:t>Valor Inversión</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dk1"/>
                  </a:solidFill>
                  <a:latin typeface="+mn-lt"/>
                  <a:ea typeface="+mn-ea"/>
                  <a:cs typeface="+mn-cs"/>
                </a:defRPr>
              </a:pPr>
              <a:endParaRPr lang="es-CO"/>
            </a:p>
          </c:txPr>
        </c:title>
        <c:numFmt formatCode="_(&quot;$&quot;\ * #,##0_);_(&quot;$&quot;\ * \(#,##0\);_(&quot;$&quot;\ * &quot;-&quot;??_);_(@_)" sourceLinked="1"/>
        <c:majorTickMark val="none"/>
        <c:minorTickMark val="none"/>
        <c:tickLblPos val="nextTo"/>
        <c:spPr>
          <a:noFill/>
          <a:ln>
            <a:noFill/>
          </a:ln>
          <a:effectLst/>
        </c:spPr>
        <c:txPr>
          <a:bodyPr rot="0" spcFirstLastPara="1" vertOverflow="ellipsis" wrap="square" anchor="ctr" anchorCtr="1"/>
          <a:lstStyle/>
          <a:p>
            <a:pPr>
              <a:defRPr sz="500" b="0" i="0" u="none" strike="noStrike" kern="1200" baseline="0">
                <a:solidFill>
                  <a:schemeClr val="dk1"/>
                </a:solidFill>
                <a:latin typeface="+mn-lt"/>
                <a:ea typeface="+mn-ea"/>
                <a:cs typeface="+mn-cs"/>
              </a:defRPr>
            </a:pPr>
            <a:endParaRPr lang="es-CO"/>
          </a:p>
        </c:txPr>
        <c:crossAx val="311739328"/>
        <c:crosses val="autoZero"/>
        <c:crossBetween val="between"/>
      </c:valAx>
      <c:valAx>
        <c:axId val="311740448"/>
        <c:scaling>
          <c:orientation val="minMax"/>
          <c:max val="1.2"/>
        </c:scaling>
        <c:delete val="0"/>
        <c:axPos val="r"/>
        <c:title>
          <c:tx>
            <c:rich>
              <a:bodyPr rot="-5400000" spcFirstLastPara="1" vertOverflow="ellipsis" vert="horz" wrap="square" anchor="ctr" anchorCtr="1"/>
              <a:lstStyle/>
              <a:p>
                <a:pPr>
                  <a:defRPr sz="600" b="0" i="0" u="none" strike="noStrike" kern="1200" baseline="0">
                    <a:solidFill>
                      <a:schemeClr val="dk1"/>
                    </a:solidFill>
                    <a:latin typeface="+mn-lt"/>
                    <a:ea typeface="+mn-ea"/>
                    <a:cs typeface="+mn-cs"/>
                  </a:defRPr>
                </a:pPr>
                <a:r>
                  <a:rPr lang="es-CO" sz="600"/>
                  <a:t>Porcentaje de avance</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dk1"/>
                  </a:solidFill>
                  <a:latin typeface="+mn-lt"/>
                  <a:ea typeface="+mn-ea"/>
                  <a:cs typeface="+mn-cs"/>
                </a:defRPr>
              </a:pPr>
              <a:endParaRPr lang="es-CO"/>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solidFill>
                <a:latin typeface="+mn-lt"/>
                <a:ea typeface="+mn-ea"/>
                <a:cs typeface="+mn-cs"/>
              </a:defRPr>
            </a:pPr>
            <a:endParaRPr lang="es-CO"/>
          </a:p>
        </c:txPr>
        <c:crossAx val="311741008"/>
        <c:crosses val="max"/>
        <c:crossBetween val="between"/>
      </c:valAx>
      <c:catAx>
        <c:axId val="311741008"/>
        <c:scaling>
          <c:orientation val="minMax"/>
        </c:scaling>
        <c:delete val="1"/>
        <c:axPos val="b"/>
        <c:numFmt formatCode="General" sourceLinked="1"/>
        <c:majorTickMark val="out"/>
        <c:minorTickMark val="none"/>
        <c:tickLblPos val="nextTo"/>
        <c:crossAx val="311740448"/>
        <c:crosses val="autoZero"/>
        <c:auto val="1"/>
        <c:lblAlgn val="ctr"/>
        <c:lblOffset val="100"/>
        <c:noMultiLvlLbl val="0"/>
      </c:catAx>
      <c:spPr>
        <a:noFill/>
        <a:ln w="25400">
          <a:noFill/>
        </a:ln>
        <a:effectLst/>
      </c:spPr>
    </c:plotArea>
    <c:legend>
      <c:legendPos val="b"/>
      <c:layout>
        <c:manualLayout>
          <c:xMode val="edge"/>
          <c:yMode val="edge"/>
          <c:x val="0.17702409864575044"/>
          <c:y val="0.91299420417022636"/>
          <c:w val="0.67170820002940712"/>
          <c:h val="5.1815179993996353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mn-lt"/>
              <a:ea typeface="+mn-ea"/>
              <a:cs typeface="+mn-cs"/>
            </a:defRPr>
          </a:pPr>
          <a:endParaRPr lang="es-CO"/>
        </a:p>
      </c:txPr>
    </c:legend>
    <c:plotVisOnly val="1"/>
    <c:dispBlanksAs val="gap"/>
    <c:showDLblsOverMax val="0"/>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s-CO"/>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r>
              <a:rPr lang="es-MX" sz="1000"/>
              <a:t>Balance Ejecución Financiera de obra del contrato 356 de 2013 a 30 de junio 2015</a:t>
            </a:r>
          </a:p>
          <a:p>
            <a:pPr>
              <a:defRPr sz="1000"/>
            </a:pPr>
            <a:endParaRPr lang="es-CO" sz="1000"/>
          </a:p>
        </c:rich>
      </c:tx>
      <c:layout>
        <c:manualLayout>
          <c:xMode val="edge"/>
          <c:yMode val="edge"/>
          <c:x val="0.1341492767726902"/>
          <c:y val="2.7506732041280131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es-CO"/>
        </a:p>
      </c:txPr>
    </c:title>
    <c:autoTitleDeleted val="0"/>
    <c:plotArea>
      <c:layout>
        <c:manualLayout>
          <c:layoutTarget val="inner"/>
          <c:xMode val="edge"/>
          <c:yMode val="edge"/>
          <c:x val="0.11354990382560379"/>
          <c:y val="0.19393929265220011"/>
          <c:w val="0.80270554035070973"/>
          <c:h val="0.58320898521590414"/>
        </c:manualLayout>
      </c:layout>
      <c:barChart>
        <c:barDir val="col"/>
        <c:grouping val="clustered"/>
        <c:varyColors val="0"/>
        <c:ser>
          <c:idx val="4"/>
          <c:order val="0"/>
          <c:tx>
            <c:strRef>
              <c:f>'AVANCE FINANCIERO 356 '!$D$87</c:f>
              <c:strCache>
                <c:ptCount val="1"/>
                <c:pt idx="0">
                  <c:v>PROG MES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cat>
            <c:numRef>
              <c:f>'AVANCE FINANCIERO 356 '!$C$88:$C$139</c:f>
              <c:numCache>
                <c:formatCode>mmm\-yy</c:formatCode>
                <c:ptCount val="23"/>
                <c:pt idx="0">
                  <c:v>41699</c:v>
                </c:pt>
                <c:pt idx="1">
                  <c:v>41730</c:v>
                </c:pt>
                <c:pt idx="2">
                  <c:v>41760</c:v>
                </c:pt>
                <c:pt idx="3">
                  <c:v>41791</c:v>
                </c:pt>
                <c:pt idx="4">
                  <c:v>41821</c:v>
                </c:pt>
                <c:pt idx="5">
                  <c:v>41852</c:v>
                </c:pt>
                <c:pt idx="6">
                  <c:v>41883</c:v>
                </c:pt>
                <c:pt idx="7">
                  <c:v>41913</c:v>
                </c:pt>
                <c:pt idx="8">
                  <c:v>41944</c:v>
                </c:pt>
                <c:pt idx="9">
                  <c:v>41974</c:v>
                </c:pt>
                <c:pt idx="10">
                  <c:v>42005</c:v>
                </c:pt>
                <c:pt idx="11">
                  <c:v>42036</c:v>
                </c:pt>
                <c:pt idx="12">
                  <c:v>42064</c:v>
                </c:pt>
                <c:pt idx="13">
                  <c:v>42095</c:v>
                </c:pt>
                <c:pt idx="14">
                  <c:v>42095</c:v>
                </c:pt>
                <c:pt idx="15">
                  <c:v>42125</c:v>
                </c:pt>
                <c:pt idx="16">
                  <c:v>42156</c:v>
                </c:pt>
                <c:pt idx="17">
                  <c:v>42186</c:v>
                </c:pt>
                <c:pt idx="18">
                  <c:v>42217</c:v>
                </c:pt>
                <c:pt idx="19">
                  <c:v>42248</c:v>
                </c:pt>
                <c:pt idx="20">
                  <c:v>42278</c:v>
                </c:pt>
                <c:pt idx="21">
                  <c:v>42309</c:v>
                </c:pt>
                <c:pt idx="22">
                  <c:v>42339</c:v>
                </c:pt>
              </c:numCache>
            </c:numRef>
          </c:cat>
          <c:val>
            <c:numRef>
              <c:f>'AVANCE FINANCIERO 356 '!$D$88:$D$139</c:f>
              <c:numCache>
                <c:formatCode>_("$"\ * #,##0_);_("$"\ * \(#,##0\);_("$"\ * "-"??_);_(@_)</c:formatCode>
                <c:ptCount val="23"/>
                <c:pt idx="0">
                  <c:v>69169858</c:v>
                </c:pt>
                <c:pt idx="1">
                  <c:v>388137092.81820875</c:v>
                </c:pt>
                <c:pt idx="2">
                  <c:v>491647596.43587881</c:v>
                </c:pt>
                <c:pt idx="3">
                  <c:v>305406237.38580012</c:v>
                </c:pt>
                <c:pt idx="4">
                  <c:v>1600248001.0085709</c:v>
                </c:pt>
                <c:pt idx="5">
                  <c:v>3398749775.8574572</c:v>
                </c:pt>
                <c:pt idx="6">
                  <c:v>4514160013.8928547</c:v>
                </c:pt>
                <c:pt idx="7">
                  <c:v>5880315935.2150908</c:v>
                </c:pt>
                <c:pt idx="8">
                  <c:v>2807974692.3473659</c:v>
                </c:pt>
                <c:pt idx="9">
                  <c:v>3197078946.7082052</c:v>
                </c:pt>
                <c:pt idx="10">
                  <c:v>2403816338.939899</c:v>
                </c:pt>
                <c:pt idx="11">
                  <c:v>1931420293.1900239</c:v>
                </c:pt>
                <c:pt idx="12">
                  <c:v>2392187320.9204721</c:v>
                </c:pt>
                <c:pt idx="13">
                  <c:v>1198589497.7805154</c:v>
                </c:pt>
                <c:pt idx="14">
                  <c:v>0</c:v>
                </c:pt>
                <c:pt idx="15">
                  <c:v>2599661070.4905853</c:v>
                </c:pt>
                <c:pt idx="16">
                  <c:v>4984279904.0517263</c:v>
                </c:pt>
                <c:pt idx="17">
                  <c:v>6695592772.3762436</c:v>
                </c:pt>
                <c:pt idx="18">
                  <c:v>6295748103.342515</c:v>
                </c:pt>
                <c:pt idx="19">
                  <c:v>9856964084.0215988</c:v>
                </c:pt>
                <c:pt idx="20">
                  <c:v>4995687367.7247782</c:v>
                </c:pt>
                <c:pt idx="21">
                  <c:v>4749012165.1640577</c:v>
                </c:pt>
                <c:pt idx="22">
                  <c:v>5200722082.7924929</c:v>
                </c:pt>
              </c:numCache>
            </c:numRef>
          </c:val>
        </c:ser>
        <c:ser>
          <c:idx val="5"/>
          <c:order val="1"/>
          <c:tx>
            <c:strRef>
              <c:f>'AVANCE FINANCIERO 356 '!$G$87</c:f>
              <c:strCache>
                <c:ptCount val="1"/>
                <c:pt idx="0">
                  <c:v>EJEC MES</c:v>
                </c:pt>
              </c:strCache>
            </c:strRef>
          </c:tx>
          <c:spPr>
            <a:solidFill>
              <a:schemeClr val="accent4">
                <a:lumMod val="60000"/>
                <a:lumOff val="40000"/>
              </a:schemeClr>
            </a:solidFill>
            <a:ln>
              <a:noFill/>
            </a:ln>
            <a:effectLst>
              <a:outerShdw blurRad="57150" dist="19050" dir="5400000" algn="ctr" rotWithShape="0">
                <a:srgbClr val="000000">
                  <a:alpha val="63000"/>
                </a:srgbClr>
              </a:outerShdw>
            </a:effectLst>
            <a:scene3d>
              <a:camera prst="orthographicFront"/>
              <a:lightRig rig="threePt" dir="t"/>
            </a:scene3d>
            <a:sp3d>
              <a:bevelT w="139700" h="139700" prst="divot"/>
            </a:sp3d>
          </c:spPr>
          <c:invertIfNegative val="0"/>
          <c:cat>
            <c:numRef>
              <c:f>'AVANCE FINANCIERO 356 '!$C$88:$C$139</c:f>
              <c:numCache>
                <c:formatCode>mmm\-yy</c:formatCode>
                <c:ptCount val="23"/>
                <c:pt idx="0">
                  <c:v>41699</c:v>
                </c:pt>
                <c:pt idx="1">
                  <c:v>41730</c:v>
                </c:pt>
                <c:pt idx="2">
                  <c:v>41760</c:v>
                </c:pt>
                <c:pt idx="3">
                  <c:v>41791</c:v>
                </c:pt>
                <c:pt idx="4">
                  <c:v>41821</c:v>
                </c:pt>
                <c:pt idx="5">
                  <c:v>41852</c:v>
                </c:pt>
                <c:pt idx="6">
                  <c:v>41883</c:v>
                </c:pt>
                <c:pt idx="7">
                  <c:v>41913</c:v>
                </c:pt>
                <c:pt idx="8">
                  <c:v>41944</c:v>
                </c:pt>
                <c:pt idx="9">
                  <c:v>41974</c:v>
                </c:pt>
                <c:pt idx="10">
                  <c:v>42005</c:v>
                </c:pt>
                <c:pt idx="11">
                  <c:v>42036</c:v>
                </c:pt>
                <c:pt idx="12">
                  <c:v>42064</c:v>
                </c:pt>
                <c:pt idx="13">
                  <c:v>42095</c:v>
                </c:pt>
                <c:pt idx="14">
                  <c:v>42095</c:v>
                </c:pt>
                <c:pt idx="15">
                  <c:v>42125</c:v>
                </c:pt>
                <c:pt idx="16">
                  <c:v>42156</c:v>
                </c:pt>
                <c:pt idx="17">
                  <c:v>42186</c:v>
                </c:pt>
                <c:pt idx="18">
                  <c:v>42217</c:v>
                </c:pt>
                <c:pt idx="19">
                  <c:v>42248</c:v>
                </c:pt>
                <c:pt idx="20">
                  <c:v>42278</c:v>
                </c:pt>
                <c:pt idx="21">
                  <c:v>42309</c:v>
                </c:pt>
                <c:pt idx="22">
                  <c:v>42339</c:v>
                </c:pt>
              </c:numCache>
            </c:numRef>
          </c:cat>
          <c:val>
            <c:numRef>
              <c:f>'AVANCE FINANCIERO 356 '!$G$88:$G$139</c:f>
              <c:numCache>
                <c:formatCode>_("$"\ * #,##0_);_("$"\ * \(#,##0\);_("$"\ * "-"??_);_(@_)</c:formatCode>
                <c:ptCount val="23"/>
                <c:pt idx="0">
                  <c:v>147266903</c:v>
                </c:pt>
                <c:pt idx="1">
                  <c:v>399594715</c:v>
                </c:pt>
                <c:pt idx="2">
                  <c:v>440418068</c:v>
                </c:pt>
                <c:pt idx="3">
                  <c:v>777746151</c:v>
                </c:pt>
                <c:pt idx="4">
                  <c:v>804612944</c:v>
                </c:pt>
                <c:pt idx="5">
                  <c:v>1171534772</c:v>
                </c:pt>
                <c:pt idx="6">
                  <c:v>1138786937</c:v>
                </c:pt>
                <c:pt idx="7">
                  <c:v>4063123379</c:v>
                </c:pt>
                <c:pt idx="8">
                  <c:v>3427490395</c:v>
                </c:pt>
                <c:pt idx="9">
                  <c:v>2854783365</c:v>
                </c:pt>
                <c:pt idx="10">
                  <c:v>1024531303.658</c:v>
                </c:pt>
                <c:pt idx="11">
                  <c:v>4062448929.6659999</c:v>
                </c:pt>
                <c:pt idx="12">
                  <c:v>2185072815.8499999</c:v>
                </c:pt>
                <c:pt idx="13">
                  <c:v>2236989612.862</c:v>
                </c:pt>
                <c:pt idx="15">
                  <c:v>7809724908.5860004</c:v>
                </c:pt>
                <c:pt idx="16">
                  <c:v>4322929648.1858501</c:v>
                </c:pt>
              </c:numCache>
            </c:numRef>
          </c:val>
        </c:ser>
        <c:dLbls>
          <c:showLegendKey val="0"/>
          <c:showVal val="0"/>
          <c:showCatName val="0"/>
          <c:showSerName val="0"/>
          <c:showPercent val="0"/>
          <c:showBubbleSize val="0"/>
        </c:dLbls>
        <c:gapWidth val="65"/>
        <c:axId val="315323680"/>
        <c:axId val="315324240"/>
      </c:barChart>
      <c:lineChart>
        <c:grouping val="standard"/>
        <c:varyColors val="0"/>
        <c:ser>
          <c:idx val="6"/>
          <c:order val="2"/>
          <c:tx>
            <c:strRef>
              <c:f>'AVANCE FINANCIERO 356 '!$F$87</c:f>
              <c:strCache>
                <c:ptCount val="1"/>
                <c:pt idx="0">
                  <c:v>% PROG  ACOM</c:v>
                </c:pt>
              </c:strCache>
            </c:strRef>
          </c:tx>
          <c:spPr>
            <a:ln w="19050" cap="rnd">
              <a:solidFill>
                <a:srgbClr val="C00000"/>
              </a:solidFill>
              <a:round/>
              <a:headEnd type="oval" w="med" len="med"/>
              <a:tailEnd type="oval" w="med" len="med"/>
            </a:ln>
            <a:effectLst>
              <a:outerShdw blurRad="57150" dist="19050" dir="5400000" algn="ctr" rotWithShape="0">
                <a:srgbClr val="000000">
                  <a:alpha val="63000"/>
                </a:srgbClr>
              </a:outerShdw>
            </a:effectLst>
          </c:spPr>
          <c:marker>
            <c:symbol val="none"/>
          </c:marker>
          <c:val>
            <c:numRef>
              <c:f>'AVANCE FINANCIERO 356 '!$F$88:$F$139</c:f>
              <c:numCache>
                <c:formatCode>0.00%</c:formatCode>
                <c:ptCount val="23"/>
                <c:pt idx="0">
                  <c:v>2.2325615377138302E-3</c:v>
                </c:pt>
                <c:pt idx="1">
                  <c:v>1.4760271870529544E-2</c:v>
                </c:pt>
                <c:pt idx="2">
                  <c:v>3.0628939895150819E-2</c:v>
                </c:pt>
                <c:pt idx="3">
                  <c:v>4.0486387035861118E-2</c:v>
                </c:pt>
                <c:pt idx="4">
                  <c:v>9.2136805891067916E-2</c:v>
                </c:pt>
                <c:pt idx="5">
                  <c:v>0.2018365832983435</c:v>
                </c:pt>
                <c:pt idx="6">
                  <c:v>0.34753790918660704</c:v>
                </c:pt>
                <c:pt idx="7">
                  <c:v>0.53733397883542644</c:v>
                </c:pt>
                <c:pt idx="8">
                  <c:v>0.62796559899877202</c:v>
                </c:pt>
                <c:pt idx="9">
                  <c:v>0.731156146093077</c:v>
                </c:pt>
                <c:pt idx="10">
                  <c:v>0.80874294556352389</c:v>
                </c:pt>
                <c:pt idx="11">
                  <c:v>0.87108244985650685</c:v>
                </c:pt>
                <c:pt idx="12">
                  <c:v>0.94829390522329005</c:v>
                </c:pt>
                <c:pt idx="13">
                  <c:v>0.98698018982217584</c:v>
                </c:pt>
                <c:pt idx="14">
                  <c:v>0.35278377963589119</c:v>
                </c:pt>
                <c:pt idx="15">
                  <c:v>0.38986243314795266</c:v>
                </c:pt>
                <c:pt idx="16">
                  <c:v>0.46095261858300596</c:v>
                </c:pt>
                <c:pt idx="17">
                  <c:v>0.55645105385324356</c:v>
                </c:pt>
                <c:pt idx="18">
                  <c:v>0.64624655264840103</c:v>
                </c:pt>
                <c:pt idx="19">
                  <c:v>0.78683524711359931</c:v>
                </c:pt>
                <c:pt idx="20">
                  <c:v>0.85808813583247123</c:v>
                </c:pt>
                <c:pt idx="21">
                  <c:v>0.92582272577401825</c:v>
                </c:pt>
                <c:pt idx="22">
                  <c:v>1</c:v>
                </c:pt>
              </c:numCache>
            </c:numRef>
          </c:val>
          <c:smooth val="1"/>
        </c:ser>
        <c:ser>
          <c:idx val="7"/>
          <c:order val="3"/>
          <c:tx>
            <c:strRef>
              <c:f>'AVANCE FINANCIERO 356 '!$I$87</c:f>
              <c:strCache>
                <c:ptCount val="1"/>
                <c:pt idx="0">
                  <c:v>% EJEC  ACOM</c:v>
                </c:pt>
              </c:strCache>
            </c:strRef>
          </c:tx>
          <c:spPr>
            <a:ln w="22225" cap="rnd">
              <a:solidFill>
                <a:schemeClr val="accent6">
                  <a:lumMod val="75000"/>
                </a:schemeClr>
              </a:solidFill>
              <a:round/>
              <a:headEnd type="oval" w="med" len="med"/>
              <a:tailEnd type="oval" w="med" len="med"/>
            </a:ln>
            <a:effectLst>
              <a:outerShdw blurRad="57150" dist="19050" dir="5400000" algn="ctr" rotWithShape="0">
                <a:srgbClr val="000000">
                  <a:alpha val="63000"/>
                </a:srgbClr>
              </a:outerShdw>
            </a:effectLst>
          </c:spPr>
          <c:marker>
            <c:symbol val="none"/>
          </c:marker>
          <c:val>
            <c:numRef>
              <c:f>'AVANCE FINANCIERO 356 '!$I$88:$I$139</c:f>
              <c:numCache>
                <c:formatCode>0.00%</c:formatCode>
                <c:ptCount val="23"/>
                <c:pt idx="0">
                  <c:v>4.7532615061322437E-3</c:v>
                </c:pt>
                <c:pt idx="1">
                  <c:v>1.7650783883331855E-2</c:v>
                </c:pt>
                <c:pt idx="2">
                  <c:v>3.1865941577179285E-2</c:v>
                </c:pt>
                <c:pt idx="3">
                  <c:v>5.6968872145976644E-2</c:v>
                </c:pt>
                <c:pt idx="4">
                  <c:v>8.2938968998294768E-2</c:v>
                </c:pt>
                <c:pt idx="5">
                  <c:v>0.12075202149959587</c:v>
                </c:pt>
                <c:pt idx="6">
                  <c:v>0.15750808821289086</c:v>
                </c:pt>
                <c:pt idx="7">
                  <c:v>0.28865152613842854</c:v>
                </c:pt>
                <c:pt idx="8">
                  <c:v>0.39927895039540157</c:v>
                </c:pt>
                <c:pt idx="9">
                  <c:v>0.49142139109846422</c:v>
                </c:pt>
                <c:pt idx="10">
                  <c:v>0.52448968484471803</c:v>
                </c:pt>
                <c:pt idx="11">
                  <c:v>0.65561135390032066</c:v>
                </c:pt>
                <c:pt idx="12">
                  <c:v>0.72613787609978442</c:v>
                </c:pt>
                <c:pt idx="13">
                  <c:v>0.79834009126033967</c:v>
                </c:pt>
                <c:pt idx="14">
                  <c:v>0.35278377963589119</c:v>
                </c:pt>
                <c:pt idx="15">
                  <c:v>0.4641729477074546</c:v>
                </c:pt>
                <c:pt idx="16">
                  <c:v>0.52583037390103626</c:v>
                </c:pt>
              </c:numCache>
            </c:numRef>
          </c:val>
          <c:smooth val="0"/>
        </c:ser>
        <c:dLbls>
          <c:showLegendKey val="0"/>
          <c:showVal val="0"/>
          <c:showCatName val="0"/>
          <c:showSerName val="0"/>
          <c:showPercent val="0"/>
          <c:showBubbleSize val="0"/>
        </c:dLbls>
        <c:marker val="1"/>
        <c:smooth val="0"/>
        <c:axId val="470406656"/>
        <c:axId val="470406096"/>
      </c:lineChart>
      <c:dateAx>
        <c:axId val="315323680"/>
        <c:scaling>
          <c:orientation val="minMax"/>
        </c:scaling>
        <c:delete val="0"/>
        <c:axPos val="b"/>
        <c:title>
          <c:tx>
            <c:rich>
              <a:bodyPr rot="0" spcFirstLastPara="1" vertOverflow="ellipsis" vert="horz" wrap="square" anchor="ctr" anchorCtr="1"/>
              <a:lstStyle/>
              <a:p>
                <a:pPr>
                  <a:defRPr sz="600" b="0" i="0" u="none" strike="noStrike" kern="1200" baseline="0">
                    <a:solidFill>
                      <a:schemeClr val="dk1"/>
                    </a:solidFill>
                    <a:latin typeface="+mn-lt"/>
                    <a:ea typeface="+mn-ea"/>
                    <a:cs typeface="+mn-cs"/>
                  </a:defRPr>
                </a:pPr>
                <a:r>
                  <a:rPr lang="es-MX" sz="600"/>
                  <a:t>Mes</a:t>
                </a:r>
              </a:p>
            </c:rich>
          </c:tx>
          <c:overlay val="0"/>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mn-lt"/>
                  <a:ea typeface="+mn-ea"/>
                  <a:cs typeface="+mn-cs"/>
                </a:defRPr>
              </a:pPr>
              <a:endParaRPr lang="es-CO"/>
            </a:p>
          </c:txPr>
        </c:title>
        <c:numFmt formatCode="mmm\-yy" sourceLinked="0"/>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450" b="0" i="0" u="none" strike="noStrike" kern="1200" baseline="0">
                <a:solidFill>
                  <a:schemeClr val="dk1"/>
                </a:solidFill>
                <a:latin typeface="+mn-lt"/>
                <a:ea typeface="+mn-ea"/>
                <a:cs typeface="+mn-cs"/>
              </a:defRPr>
            </a:pPr>
            <a:endParaRPr lang="es-CO"/>
          </a:p>
        </c:txPr>
        <c:crossAx val="315324240"/>
        <c:crosses val="autoZero"/>
        <c:auto val="1"/>
        <c:lblOffset val="100"/>
        <c:baseTimeUnit val="months"/>
        <c:majorUnit val="1"/>
        <c:majorTimeUnit val="months"/>
        <c:minorUnit val="1"/>
        <c:minorTimeUnit val="months"/>
      </c:dateAx>
      <c:valAx>
        <c:axId val="315324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dk1"/>
                    </a:solidFill>
                    <a:latin typeface="+mn-lt"/>
                    <a:ea typeface="+mn-ea"/>
                    <a:cs typeface="+mn-cs"/>
                  </a:defRPr>
                </a:pPr>
                <a:r>
                  <a:rPr lang="es-MX" sz="700"/>
                  <a:t>Valor Inversión</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dk1"/>
                  </a:solidFill>
                  <a:latin typeface="+mn-lt"/>
                  <a:ea typeface="+mn-ea"/>
                  <a:cs typeface="+mn-cs"/>
                </a:defRPr>
              </a:pPr>
              <a:endParaRPr lang="es-CO"/>
            </a:p>
          </c:txPr>
        </c:title>
        <c:numFmt formatCode="_(&quot;$&quot;\ * #,##0_);_(&quot;$&quot;\ * \(#,##0\);_(&quot;$&quot;\ * &quot;-&quot;??_);_(@_)" sourceLinked="1"/>
        <c:majorTickMark val="none"/>
        <c:minorTickMark val="none"/>
        <c:tickLblPos val="nextTo"/>
        <c:spPr>
          <a:noFill/>
          <a:ln>
            <a:noFill/>
          </a:ln>
          <a:effectLst/>
        </c:spPr>
        <c:txPr>
          <a:bodyPr rot="0" spcFirstLastPara="1" vertOverflow="ellipsis" wrap="square" anchor="ctr" anchorCtr="1"/>
          <a:lstStyle/>
          <a:p>
            <a:pPr>
              <a:defRPr sz="400" b="0" i="0" u="none" strike="noStrike" kern="1200" baseline="0">
                <a:solidFill>
                  <a:schemeClr val="dk1"/>
                </a:solidFill>
                <a:latin typeface="+mn-lt"/>
                <a:ea typeface="+mn-ea"/>
                <a:cs typeface="+mn-cs"/>
              </a:defRPr>
            </a:pPr>
            <a:endParaRPr lang="es-CO"/>
          </a:p>
        </c:txPr>
        <c:crossAx val="315323680"/>
        <c:crosses val="autoZero"/>
        <c:crossBetween val="between"/>
      </c:valAx>
      <c:valAx>
        <c:axId val="470406096"/>
        <c:scaling>
          <c:orientation val="minMax"/>
          <c:max val="1.2"/>
        </c:scaling>
        <c:delete val="0"/>
        <c:axPos val="r"/>
        <c:title>
          <c:tx>
            <c:rich>
              <a:bodyPr rot="-5400000" spcFirstLastPara="1" vertOverflow="ellipsis" vert="horz" wrap="square" anchor="ctr" anchorCtr="1"/>
              <a:lstStyle/>
              <a:p>
                <a:pPr>
                  <a:defRPr sz="600" b="0" i="0" u="none" strike="noStrike" kern="1200" baseline="0">
                    <a:solidFill>
                      <a:schemeClr val="dk1"/>
                    </a:solidFill>
                    <a:latin typeface="+mn-lt"/>
                    <a:ea typeface="+mn-ea"/>
                    <a:cs typeface="+mn-cs"/>
                  </a:defRPr>
                </a:pPr>
                <a:r>
                  <a:rPr lang="es-CO" sz="600"/>
                  <a:t>Porcentaje de avance</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dk1"/>
                  </a:solidFill>
                  <a:latin typeface="+mn-lt"/>
                  <a:ea typeface="+mn-ea"/>
                  <a:cs typeface="+mn-cs"/>
                </a:defRPr>
              </a:pPr>
              <a:endParaRPr lang="es-CO"/>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400" b="0" i="0" u="none" strike="noStrike" kern="1200" baseline="0">
                <a:solidFill>
                  <a:schemeClr val="dk1"/>
                </a:solidFill>
                <a:latin typeface="+mn-lt"/>
                <a:ea typeface="+mn-ea"/>
                <a:cs typeface="+mn-cs"/>
              </a:defRPr>
            </a:pPr>
            <a:endParaRPr lang="es-CO"/>
          </a:p>
        </c:txPr>
        <c:crossAx val="470406656"/>
        <c:crosses val="max"/>
        <c:crossBetween val="between"/>
      </c:valAx>
      <c:catAx>
        <c:axId val="470406656"/>
        <c:scaling>
          <c:orientation val="minMax"/>
        </c:scaling>
        <c:delete val="1"/>
        <c:axPos val="b"/>
        <c:numFmt formatCode="General" sourceLinked="1"/>
        <c:majorTickMark val="none"/>
        <c:minorTickMark val="none"/>
        <c:tickLblPos val="nextTo"/>
        <c:crossAx val="4704060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400" b="0" i="0" u="none" strike="noStrike" kern="1200" baseline="0">
              <a:solidFill>
                <a:schemeClr val="dk1"/>
              </a:solidFill>
              <a:latin typeface="+mn-lt"/>
              <a:ea typeface="+mn-ea"/>
              <a:cs typeface="+mn-cs"/>
            </a:defRPr>
          </a:pPr>
          <a:endParaRPr lang="es-CO"/>
        </a:p>
      </c:txPr>
    </c:legend>
    <c:plotVisOnly val="1"/>
    <c:dispBlanksAs val="gap"/>
    <c:showDLblsOverMax val="0"/>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s-CO"/>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baseline="0">
                <a:solidFill>
                  <a:schemeClr val="dk1"/>
                </a:solidFill>
                <a:latin typeface="+mn-lt"/>
                <a:ea typeface="+mn-ea"/>
                <a:cs typeface="+mn-cs"/>
              </a:defRPr>
            </a:pPr>
            <a:r>
              <a:rPr lang="es-MX" sz="1050"/>
              <a:t>Avance físico de obra del contrato 356 de 2013 a 30 de junio. 2014</a:t>
            </a:r>
          </a:p>
          <a:p>
            <a:pPr>
              <a:defRPr sz="1050"/>
            </a:pPr>
            <a:endParaRPr lang="es-CO" sz="1050"/>
          </a:p>
        </c:rich>
      </c:tx>
      <c:layout>
        <c:manualLayout>
          <c:xMode val="edge"/>
          <c:yMode val="edge"/>
          <c:x val="0.15739569806915968"/>
          <c:y val="3.3149950796762917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dk1"/>
              </a:solidFill>
              <a:latin typeface="+mn-lt"/>
              <a:ea typeface="+mn-ea"/>
              <a:cs typeface="+mn-cs"/>
            </a:defRPr>
          </a:pPr>
          <a:endParaRPr lang="es-CO"/>
        </a:p>
      </c:txPr>
    </c:title>
    <c:autoTitleDeleted val="0"/>
    <c:plotArea>
      <c:layout>
        <c:manualLayout>
          <c:layoutTarget val="inner"/>
          <c:xMode val="edge"/>
          <c:yMode val="edge"/>
          <c:x val="8.7711660589508259E-2"/>
          <c:y val="0.18302423462485853"/>
          <c:w val="0.86982234233097033"/>
          <c:h val="0.60107504240647636"/>
        </c:manualLayout>
      </c:layout>
      <c:barChart>
        <c:barDir val="col"/>
        <c:grouping val="clustered"/>
        <c:varyColors val="0"/>
        <c:ser>
          <c:idx val="4"/>
          <c:order val="0"/>
          <c:tx>
            <c:strRef>
              <c:f>'[Avance financiero y fisico cont 356 DRACOL JULIO intermendia (Jose Luis Rincon Pinzon).xlsx]AVANCE FISICO 356  '!$E$107</c:f>
              <c:strCache>
                <c:ptCount val="1"/>
                <c:pt idx="0">
                  <c:v>% PROG ACUMU</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'[Avance financiero y fisico cont 356 DRACOL JULIO intermendia (Jose Luis Rincon Pinzon).xlsx]AVANCE FISICO 356  '!$C$108:$C$126</c:f>
              <c:numCache>
                <c:formatCode>mmm\-yy</c:formatCode>
                <c:ptCount val="19"/>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numCache>
            </c:numRef>
          </c:cat>
          <c:val>
            <c:numRef>
              <c:f>'[Avance financiero y fisico cont 356 DRACOL JULIO intermendia (Jose Luis Rincon Pinzon).xlsx]AVANCE FISICO 356  '!$E$108:$E$126</c:f>
            </c:numRef>
          </c:val>
        </c:ser>
        <c:ser>
          <c:idx val="7"/>
          <c:order val="1"/>
          <c:tx>
            <c:strRef>
              <c:f>'[Avance financiero y fisico cont 356 DRACOL JULIO intermendia (Jose Luis Rincon Pinzon).xlsx]AVANCE FISICO 356  '!$G$107</c:f>
              <c:strCache>
                <c:ptCount val="1"/>
                <c:pt idx="0">
                  <c:v>% EJEC ACUM</c:v>
                </c:pt>
              </c:strCache>
            </c:strRef>
          </c:tx>
          <c:spPr>
            <a:solidFill>
              <a:schemeClr val="accent5">
                <a:lumMod val="60000"/>
                <a:lumOff val="40000"/>
              </a:schemeClr>
            </a:solidFill>
            <a:ln>
              <a:solidFill>
                <a:schemeClr val="accent3">
                  <a:lumMod val="75000"/>
                </a:schemeClr>
              </a:solidFill>
            </a:ln>
            <a:effectLst>
              <a:outerShdw blurRad="57150" dist="19050" dir="5400000" algn="ctr" rotWithShape="0">
                <a:srgbClr val="000000">
                  <a:alpha val="63000"/>
                </a:srgbClr>
              </a:outerShdw>
            </a:effectLst>
            <a:scene3d>
              <a:camera prst="orthographicFront"/>
              <a:lightRig rig="threePt" dir="t"/>
            </a:scene3d>
            <a:sp3d prstMaterial="metal">
              <a:bevelT/>
              <a:bevelB w="165100" prst="coolSlant"/>
            </a:sp3d>
          </c:spPr>
          <c:invertIfNegative val="0"/>
          <c:cat>
            <c:numRef>
              <c:f>'[Avance financiero y fisico cont 356 DRACOL JULIO intermendia (Jose Luis Rincon Pinzon).xlsx]AVANCE FISICO 356  '!$C$108:$C$126</c:f>
              <c:numCache>
                <c:formatCode>mmm\-yy</c:formatCode>
                <c:ptCount val="19"/>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numCache>
            </c:numRef>
          </c:cat>
          <c:val>
            <c:numRef>
              <c:f>'[Avance financiero y fisico cont 356 DRACOL JULIO intermendia (Jose Luis Rincon Pinzon).xlsx]AVANCE FISICO 356  '!$G$108:$G$126</c:f>
              <c:numCache>
                <c:formatCode>0.00%</c:formatCode>
                <c:ptCount val="19"/>
                <c:pt idx="0">
                  <c:v>1.77E-2</c:v>
                </c:pt>
                <c:pt idx="1">
                  <c:v>4.9599999999999998E-2</c:v>
                </c:pt>
                <c:pt idx="2">
                  <c:v>8.8900000000000007E-2</c:v>
                </c:pt>
                <c:pt idx="3">
                  <c:v>0.1399</c:v>
                </c:pt>
                <c:pt idx="4">
                  <c:v>0.19369999999999998</c:v>
                </c:pt>
                <c:pt idx="5">
                  <c:v>0.22829999999999998</c:v>
                </c:pt>
                <c:pt idx="6">
                  <c:v>0.30619999999999997</c:v>
                </c:pt>
                <c:pt idx="7">
                  <c:v>0.39749999999999996</c:v>
                </c:pt>
                <c:pt idx="8">
                  <c:v>0.70019999999999993</c:v>
                </c:pt>
                <c:pt idx="9">
                  <c:v>0.72</c:v>
                </c:pt>
                <c:pt idx="10">
                  <c:v>0.77500000000000002</c:v>
                </c:pt>
                <c:pt idx="11" formatCode="0%">
                  <c:v>0.78</c:v>
                </c:pt>
                <c:pt idx="12">
                  <c:v>0.84166666666666634</c:v>
                </c:pt>
                <c:pt idx="13">
                  <c:v>0.44541666666666646</c:v>
                </c:pt>
                <c:pt idx="14">
                  <c:v>0.50138888888888877</c:v>
                </c:pt>
              </c:numCache>
            </c:numRef>
          </c:val>
        </c:ser>
        <c:dLbls>
          <c:showLegendKey val="0"/>
          <c:showVal val="0"/>
          <c:showCatName val="0"/>
          <c:showSerName val="0"/>
          <c:showPercent val="0"/>
          <c:showBubbleSize val="0"/>
        </c:dLbls>
        <c:gapWidth val="150"/>
        <c:axId val="315318080"/>
        <c:axId val="470407216"/>
      </c:barChart>
      <c:lineChart>
        <c:grouping val="standard"/>
        <c:varyColors val="0"/>
        <c:ser>
          <c:idx val="0"/>
          <c:order val="2"/>
          <c:tx>
            <c:strRef>
              <c:f>'[Avance financiero y fisico cont 356 DRACOL JULIO intermendia (Jose Luis Rincon Pinzon).xlsx]AVANCE FISICO 356  '!$J$106</c:f>
              <c:strCache>
                <c:ptCount val="1"/>
                <c:pt idx="0">
                  <c:v>OBRAS TERMINADAS ACUM</c:v>
                </c:pt>
              </c:strCache>
            </c:strRef>
          </c:tx>
          <c:spPr>
            <a:ln w="34925" cap="rnd">
              <a:solidFill>
                <a:srgbClr val="FF0000"/>
              </a:solidFill>
              <a:round/>
            </a:ln>
            <a:effectLst>
              <a:outerShdw blurRad="57150" dist="19050" dir="5400000" algn="ctr" rotWithShape="0">
                <a:srgbClr val="000000">
                  <a:alpha val="63000"/>
                </a:srgbClr>
              </a:outerShdw>
            </a:effectLst>
          </c:spPr>
          <c:marker>
            <c:symbol val="circle"/>
            <c:size val="6"/>
            <c:spPr>
              <a:solidFill>
                <a:srgbClr val="FF0000"/>
              </a:solidFill>
              <a:ln w="9525">
                <a:solidFill>
                  <a:srgbClr val="002060">
                    <a:alpha val="97000"/>
                  </a:srgbClr>
                </a:solidFill>
                <a:round/>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dLbls>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'[Avance financiero y fisico cont 356 DRACOL JULIO intermendia (Jose Luis Rincon Pinzon).xlsx]AVANCE FISICO 356  '!$J$108:$J$126</c:f>
              <c:numCache>
                <c:formatCode>General</c:formatCode>
                <c:ptCount val="19"/>
                <c:pt idx="0">
                  <c:v>0</c:v>
                </c:pt>
                <c:pt idx="1">
                  <c:v>1</c:v>
                </c:pt>
                <c:pt idx="2">
                  <c:v>2</c:v>
                </c:pt>
                <c:pt idx="3">
                  <c:v>4</c:v>
                </c:pt>
                <c:pt idx="4">
                  <c:v>6</c:v>
                </c:pt>
                <c:pt idx="5">
                  <c:v>7</c:v>
                </c:pt>
                <c:pt idx="6">
                  <c:v>8</c:v>
                </c:pt>
                <c:pt idx="7">
                  <c:v>14</c:v>
                </c:pt>
                <c:pt idx="8">
                  <c:v>17</c:v>
                </c:pt>
                <c:pt idx="9">
                  <c:v>17</c:v>
                </c:pt>
                <c:pt idx="10">
                  <c:v>20</c:v>
                </c:pt>
                <c:pt idx="11">
                  <c:v>21</c:v>
                </c:pt>
                <c:pt idx="12">
                  <c:v>30</c:v>
                </c:pt>
                <c:pt idx="13">
                  <c:v>34</c:v>
                </c:pt>
                <c:pt idx="14">
                  <c:v>35</c:v>
                </c:pt>
              </c:numCache>
            </c:numRef>
          </c:val>
          <c:smooth val="0"/>
        </c:ser>
        <c:dLbls>
          <c:showLegendKey val="0"/>
          <c:showVal val="0"/>
          <c:showCatName val="0"/>
          <c:showSerName val="0"/>
          <c:showPercent val="0"/>
          <c:showBubbleSize val="0"/>
        </c:dLbls>
        <c:marker val="1"/>
        <c:smooth val="0"/>
        <c:axId val="470408336"/>
        <c:axId val="470407776"/>
      </c:lineChart>
      <c:dateAx>
        <c:axId val="315318080"/>
        <c:scaling>
          <c:orientation val="minMax"/>
        </c:scaling>
        <c:delete val="0"/>
        <c:axPos val="b"/>
        <c:title>
          <c:tx>
            <c:rich>
              <a:bodyPr rot="0" spcFirstLastPara="1" vertOverflow="ellipsis" vert="horz" wrap="square" anchor="ctr" anchorCtr="1"/>
              <a:lstStyle/>
              <a:p>
                <a:pPr>
                  <a:defRPr sz="600" b="0" i="0" u="none" strike="noStrike" kern="1200" baseline="0">
                    <a:solidFill>
                      <a:schemeClr val="dk1"/>
                    </a:solidFill>
                    <a:latin typeface="+mn-lt"/>
                    <a:ea typeface="+mn-ea"/>
                    <a:cs typeface="+mn-cs"/>
                  </a:defRPr>
                </a:pPr>
                <a:r>
                  <a:rPr lang="es-MX" sz="600"/>
                  <a:t>Mes</a:t>
                </a:r>
              </a:p>
            </c:rich>
          </c:tx>
          <c:overlay val="0"/>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mn-lt"/>
                  <a:ea typeface="+mn-ea"/>
                  <a:cs typeface="+mn-cs"/>
                </a:defRPr>
              </a:pPr>
              <a:endParaRPr lang="es-CO"/>
            </a:p>
          </c:txPr>
        </c:title>
        <c:numFmt formatCode="mmm\-yy" sourceLinked="0"/>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dk1"/>
                </a:solidFill>
                <a:latin typeface="+mn-lt"/>
                <a:ea typeface="+mn-ea"/>
                <a:cs typeface="+mn-cs"/>
              </a:defRPr>
            </a:pPr>
            <a:endParaRPr lang="es-CO"/>
          </a:p>
        </c:txPr>
        <c:crossAx val="470407216"/>
        <c:crosses val="autoZero"/>
        <c:auto val="1"/>
        <c:lblOffset val="100"/>
        <c:baseTimeUnit val="months"/>
        <c:majorUnit val="1"/>
        <c:majorTimeUnit val="months"/>
      </c:dateAx>
      <c:valAx>
        <c:axId val="470407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dk1"/>
                    </a:solidFill>
                    <a:latin typeface="+mn-lt"/>
                    <a:ea typeface="+mn-ea"/>
                    <a:cs typeface="+mn-cs"/>
                  </a:defRPr>
                </a:pPr>
                <a:r>
                  <a:rPr lang="es-MX" sz="700"/>
                  <a:t>Porcentaje de avance</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dk1"/>
                  </a:solidFill>
                  <a:latin typeface="+mn-lt"/>
                  <a:ea typeface="+mn-ea"/>
                  <a:cs typeface="+mn-cs"/>
                </a:defRPr>
              </a:pPr>
              <a:endParaRPr lang="es-CO"/>
            </a:p>
          </c:txPr>
        </c:title>
        <c:numFmt formatCode="0.00%" sourceLinked="1"/>
        <c:majorTickMark val="none"/>
        <c:minorTickMark val="none"/>
        <c:tickLblPos val="nextTo"/>
        <c:spPr>
          <a:noFill/>
          <a:ln>
            <a:noFill/>
          </a:ln>
          <a:effectLst/>
        </c:spPr>
        <c:txPr>
          <a:bodyPr rot="0" spcFirstLastPara="1" vertOverflow="ellipsis" wrap="square" anchor="ctr" anchorCtr="1"/>
          <a:lstStyle/>
          <a:p>
            <a:pPr>
              <a:defRPr sz="500" b="0" i="0" u="none" strike="noStrike" kern="1200" baseline="0">
                <a:solidFill>
                  <a:schemeClr val="dk1"/>
                </a:solidFill>
                <a:latin typeface="+mn-lt"/>
                <a:ea typeface="+mn-ea"/>
                <a:cs typeface="+mn-cs"/>
              </a:defRPr>
            </a:pPr>
            <a:endParaRPr lang="es-CO"/>
          </a:p>
        </c:txPr>
        <c:crossAx val="315318080"/>
        <c:crosses val="autoZero"/>
        <c:crossBetween val="midCat"/>
      </c:valAx>
      <c:valAx>
        <c:axId val="470407776"/>
        <c:scaling>
          <c:orientation val="minMax"/>
          <c:max val="39"/>
        </c:scaling>
        <c:delete val="0"/>
        <c:axPos val="r"/>
        <c:title>
          <c:tx>
            <c:rich>
              <a:bodyPr rot="-5400000" spcFirstLastPara="1" vertOverflow="ellipsis" vert="horz" wrap="square" anchor="ctr" anchorCtr="1"/>
              <a:lstStyle/>
              <a:p>
                <a:pPr>
                  <a:defRPr sz="600" b="0" i="0" u="none" strike="noStrike" kern="1200" baseline="0">
                    <a:solidFill>
                      <a:schemeClr val="dk1"/>
                    </a:solidFill>
                    <a:latin typeface="+mn-lt"/>
                    <a:ea typeface="+mn-ea"/>
                    <a:cs typeface="+mn-cs"/>
                  </a:defRPr>
                </a:pPr>
                <a:r>
                  <a:rPr lang="en-US" sz="600"/>
                  <a:t>Obras terminadas</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dk1"/>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dk1"/>
                </a:solidFill>
                <a:latin typeface="+mn-lt"/>
                <a:ea typeface="+mn-ea"/>
                <a:cs typeface="+mn-cs"/>
              </a:defRPr>
            </a:pPr>
            <a:endParaRPr lang="es-CO"/>
          </a:p>
        </c:txPr>
        <c:crossAx val="470408336"/>
        <c:crosses val="max"/>
        <c:crossBetween val="between"/>
      </c:valAx>
      <c:catAx>
        <c:axId val="470408336"/>
        <c:scaling>
          <c:orientation val="minMax"/>
        </c:scaling>
        <c:delete val="1"/>
        <c:axPos val="b"/>
        <c:numFmt formatCode="General" sourceLinked="1"/>
        <c:majorTickMark val="out"/>
        <c:minorTickMark val="none"/>
        <c:tickLblPos val="nextTo"/>
        <c:crossAx val="470407776"/>
        <c:crosses val="autoZero"/>
        <c:auto val="1"/>
        <c:lblAlgn val="ctr"/>
        <c:lblOffset val="100"/>
        <c:noMultiLvlLbl val="0"/>
      </c:catAx>
      <c:spPr>
        <a:noFill/>
        <a:ln w="25400">
          <a:noFill/>
        </a:ln>
        <a:effectLst/>
      </c:spPr>
    </c:plotArea>
    <c:legend>
      <c:legendPos val="b"/>
      <c:layout>
        <c:manualLayout>
          <c:xMode val="edge"/>
          <c:yMode val="edge"/>
          <c:x val="0.28498262223505727"/>
          <c:y val="0.92675772385975075"/>
          <c:w val="0.46081167591932515"/>
          <c:h val="5.0415568892769894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dk1"/>
              </a:solidFill>
              <a:latin typeface="+mn-lt"/>
              <a:ea typeface="+mn-ea"/>
              <a:cs typeface="+mn-cs"/>
            </a:defRPr>
          </a:pPr>
          <a:endParaRPr lang="es-CO"/>
        </a:p>
      </c:txPr>
    </c:legend>
    <c:plotVisOnly val="1"/>
    <c:dispBlanksAs val="gap"/>
    <c:showDLblsOverMax val="0"/>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s-CO"/>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s-CO" sz="1200" b="1" i="0" u="none" strike="noStrike" baseline="0">
                <a:effectLst/>
              </a:rPr>
              <a:t>Avance General del Proyecto</a:t>
            </a:r>
            <a:endParaRPr lang="es-CO" sz="1200" b="1"/>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Hoja1!$A$6:$A$7</c:f>
              <c:strCache>
                <c:ptCount val="2"/>
                <c:pt idx="0">
                  <c:v>% PROGRAMADO</c:v>
                </c:pt>
                <c:pt idx="1">
                  <c:v>% EJECUTADO</c:v>
                </c:pt>
              </c:strCache>
            </c:strRef>
          </c:cat>
          <c:val>
            <c:numRef>
              <c:f>Hoja1!$B$6:$B$7</c:f>
              <c:numCache>
                <c:formatCode>General</c:formatCode>
                <c:ptCount val="2"/>
                <c:pt idx="0" formatCode="0.00">
                  <c:v>100</c:v>
                </c:pt>
                <c:pt idx="1">
                  <c:v>47.97</c:v>
                </c:pt>
              </c:numCache>
            </c:numRef>
          </c:val>
        </c:ser>
        <c:dLbls>
          <c:showLegendKey val="0"/>
          <c:showVal val="0"/>
          <c:showCatName val="0"/>
          <c:showSerName val="0"/>
          <c:showPercent val="0"/>
          <c:showBubbleSize val="0"/>
        </c:dLbls>
        <c:gapWidth val="182"/>
        <c:axId val="470410576"/>
        <c:axId val="470411136"/>
      </c:barChart>
      <c:catAx>
        <c:axId val="470410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70411136"/>
        <c:crosses val="autoZero"/>
        <c:auto val="1"/>
        <c:lblAlgn val="ctr"/>
        <c:lblOffset val="100"/>
        <c:noMultiLvlLbl val="0"/>
      </c:catAx>
      <c:valAx>
        <c:axId val="4704111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70410576"/>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20"/>
      <c:rAngAx val="0"/>
    </c:view3D>
    <c:floor>
      <c:thickness val="0"/>
    </c:floor>
    <c:sideWall>
      <c:thickness val="0"/>
      <c:spPr>
        <a:noFill/>
        <a:ln>
          <a:noFill/>
        </a:ln>
        <a:effectLst/>
      </c:spPr>
    </c:sideWall>
    <c:backWall>
      <c:thickness val="0"/>
      <c:spPr>
        <a:noFill/>
        <a:ln>
          <a:noFill/>
        </a:ln>
        <a:effectLst/>
      </c:spPr>
    </c:backWall>
    <c:plotArea>
      <c:layout>
        <c:manualLayout>
          <c:layoutTarget val="inner"/>
          <c:xMode val="edge"/>
          <c:yMode val="edge"/>
          <c:x val="0.11870456870857245"/>
          <c:y val="8.0893216423656822E-2"/>
          <c:w val="0.85617624671916071"/>
          <c:h val="0.8104142994071456"/>
        </c:manualLayout>
      </c:layout>
      <c:bar3DChart>
        <c:barDir val="bar"/>
        <c:grouping val="clustered"/>
        <c:varyColors val="0"/>
        <c:ser>
          <c:idx val="0"/>
          <c:order val="0"/>
          <c:tx>
            <c:strRef>
              <c:f>'[Gráfico en Microsoft Office Word]Hoja1'!$A$8</c:f>
              <c:strCache>
                <c:ptCount val="1"/>
                <c:pt idx="0">
                  <c:v>Pólizas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3.0713640469738051E-2"/>
                  <c:y val="0"/>
                </c:manualLayout>
              </c:layout>
              <c:tx>
                <c:rich>
                  <a:bodyPr/>
                  <a:lstStyle/>
                  <a:p>
                    <a:r>
                      <a:rPr lang="en-US"/>
                      <a:t>Pólizas, 29</a:t>
                    </a:r>
                  </a:p>
                </c:rich>
              </c:tx>
              <c:showLegendKey val="0"/>
              <c:showVal val="1"/>
              <c:showCatName val="0"/>
              <c:showSerName val="1"/>
              <c:showPercent val="0"/>
              <c:showBubbleSize val="0"/>
              <c:extLst>
                <c:ext xmlns:c15="http://schemas.microsoft.com/office/drawing/2012/chart" uri="{CE6537A1-D6FC-4f65-9D91-7224C49458BB}"/>
              </c:extLst>
            </c:dLbl>
            <c:dLbl>
              <c:idx val="1"/>
              <c:layout>
                <c:manualLayout>
                  <c:x val="2.8906955736224035E-2"/>
                  <c:y val="-6.2893066188019131E-3"/>
                </c:manualLayout>
              </c:layout>
              <c:showLegendKey val="0"/>
              <c:showVal val="1"/>
              <c:showCatName val="0"/>
              <c:showSerName val="1"/>
              <c:showPercent val="0"/>
              <c:showBubbleSize val="0"/>
              <c:extLst>
                <c:ext xmlns:c15="http://schemas.microsoft.com/office/drawing/2012/chart" uri="{CE6537A1-D6FC-4f65-9D91-7224C49458BB}"/>
              </c:extLst>
            </c:dLbl>
            <c:dLbl>
              <c:idx val="3"/>
              <c:layout>
                <c:manualLayout>
                  <c:x val="5.419911941901643E-3"/>
                  <c:y val="3.1447028315003178E-2"/>
                </c:manualLayout>
              </c:layout>
              <c:showLegendKey val="0"/>
              <c:showVal val="1"/>
              <c:showCatName val="0"/>
              <c:showSerName val="1"/>
              <c:showPercent val="0"/>
              <c:showBubbleSize val="0"/>
              <c:extLst>
                <c:ext xmlns:c15="http://schemas.microsoft.com/office/drawing/2012/chart" uri="{CE6537A1-D6FC-4f65-9D91-7224C49458BB}"/>
              </c:extLst>
            </c:dLbl>
            <c:dLbl>
              <c:idx val="4"/>
              <c:layout>
                <c:manualLayout>
                  <c:x val="7.2267389340560113E-3"/>
                  <c:y val="5.345935387031301E-2"/>
                </c:manualLayout>
              </c:layout>
              <c:showLegendKey val="0"/>
              <c:showVal val="1"/>
              <c:showCatName val="0"/>
              <c:showSerName val="1"/>
              <c:showPercent val="0"/>
              <c:showBubbleSize val="0"/>
              <c:extLst>
                <c:ext xmlns:c15="http://schemas.microsoft.com/office/drawing/2012/chart" uri="{CE6537A1-D6FC-4f65-9D91-7224C49458BB}"/>
              </c:extLst>
            </c:dLbl>
            <c:dLbl>
              <c:idx val="5"/>
              <c:layout>
                <c:manualLayout>
                  <c:x val="2.9357915626400371E-3"/>
                  <c:y val="5.6902376254063136E-2"/>
                </c:manualLayout>
              </c:layout>
              <c:tx>
                <c:rich>
                  <a:bodyPr/>
                  <a:lstStyle/>
                  <a:p>
                    <a:r>
                      <a:rPr lang="en-US"/>
                      <a:t>Pólizas, 39</a:t>
                    </a:r>
                  </a:p>
                </c:rich>
              </c:tx>
              <c:showLegendKey val="0"/>
              <c:showVal val="1"/>
              <c:showCatName val="0"/>
              <c:showSerName val="1"/>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mn-lt"/>
                    <a:ea typeface="+mn-ea"/>
                    <a:cs typeface="+mn-cs"/>
                  </a:defRPr>
                </a:pPr>
                <a:endParaRPr lang="es-CO"/>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'[Gráfico en Microsoft Office Word]Hoja1'!$B$7:$G$7</c:f>
              <c:strCache>
                <c:ptCount val="6"/>
                <c:pt idx="0">
                  <c:v>enero </c:v>
                </c:pt>
                <c:pt idx="1">
                  <c:v>Febrero </c:v>
                </c:pt>
                <c:pt idx="2">
                  <c:v>marzo </c:v>
                </c:pt>
                <c:pt idx="3">
                  <c:v>Abril </c:v>
                </c:pt>
                <c:pt idx="4">
                  <c:v>Mayo </c:v>
                </c:pt>
                <c:pt idx="5">
                  <c:v>Junio </c:v>
                </c:pt>
              </c:strCache>
            </c:strRef>
          </c:cat>
          <c:val>
            <c:numRef>
              <c:f>'[Gráfico en Microsoft Office Word]Hoja1'!$B$8:$G$8</c:f>
              <c:numCache>
                <c:formatCode>General</c:formatCode>
                <c:ptCount val="6"/>
                <c:pt idx="0">
                  <c:v>30</c:v>
                </c:pt>
                <c:pt idx="1">
                  <c:v>45</c:v>
                </c:pt>
                <c:pt idx="2">
                  <c:v>32</c:v>
                </c:pt>
                <c:pt idx="3">
                  <c:v>32</c:v>
                </c:pt>
                <c:pt idx="4">
                  <c:v>50</c:v>
                </c:pt>
                <c:pt idx="5">
                  <c:v>36</c:v>
                </c:pt>
              </c:numCache>
            </c:numRef>
          </c:val>
        </c:ser>
        <c:ser>
          <c:idx val="1"/>
          <c:order val="1"/>
          <c:tx>
            <c:strRef>
              <c:f>'[Gráfico en Microsoft Office Word]Hoja1'!$A$9</c:f>
              <c:strCache>
                <c:ptCount val="1"/>
                <c:pt idx="0">
                  <c:v>Otorgamiento</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4.8780487804878127E-2"/>
                  <c:y val="0"/>
                </c:manualLayout>
              </c:layout>
              <c:showLegendKey val="0"/>
              <c:showVal val="1"/>
              <c:showCatName val="0"/>
              <c:showSerName val="1"/>
              <c:showPercent val="0"/>
              <c:showBubbleSize val="0"/>
              <c:extLst>
                <c:ext xmlns:c15="http://schemas.microsoft.com/office/drawing/2012/chart" uri="{CE6537A1-D6FC-4f65-9D91-7224C49458BB}"/>
              </c:extLst>
            </c:dLbl>
            <c:dLbl>
              <c:idx val="1"/>
              <c:layout>
                <c:manualLayout>
                  <c:x val="-3.6133694670280056E-3"/>
                  <c:y val="-1.5723266547004768E-2"/>
                </c:manualLayout>
              </c:layout>
              <c:showLegendKey val="0"/>
              <c:showVal val="1"/>
              <c:showCatName val="0"/>
              <c:showSerName val="1"/>
              <c:showPercent val="0"/>
              <c:showBubbleSize val="0"/>
              <c:extLst>
                <c:ext xmlns:c15="http://schemas.microsoft.com/office/drawing/2012/chart" uri="{CE6537A1-D6FC-4f65-9D91-7224C49458BB}"/>
              </c:extLst>
            </c:dLbl>
            <c:dLbl>
              <c:idx val="2"/>
              <c:layout>
                <c:manualLayout>
                  <c:x val="8.596405124156237E-3"/>
                  <c:y val="-2.8301879784608595E-2"/>
                </c:manualLayout>
              </c:layout>
              <c:showLegendKey val="0"/>
              <c:showVal val="1"/>
              <c:showCatName val="0"/>
              <c:showSerName val="1"/>
              <c:showPercent val="0"/>
              <c:showBubbleSize val="0"/>
              <c:extLst>
                <c:ext xmlns:c15="http://schemas.microsoft.com/office/drawing/2012/chart" uri="{CE6537A1-D6FC-4f65-9D91-7224C49458BB}"/>
              </c:extLst>
            </c:dLbl>
            <c:dLbl>
              <c:idx val="3"/>
              <c:layout>
                <c:manualLayout>
                  <c:x val="9.1789542567341717E-3"/>
                  <c:y val="-2.2012573165806685E-2"/>
                </c:manualLayout>
              </c:layout>
              <c:showLegendKey val="0"/>
              <c:showVal val="1"/>
              <c:showCatName val="0"/>
              <c:showSerName val="1"/>
              <c:showPercent val="0"/>
              <c:showBubbleSize val="0"/>
              <c:extLst>
                <c:ext xmlns:c15="http://schemas.microsoft.com/office/drawing/2012/chart" uri="{CE6537A1-D6FC-4f65-9D91-7224C49458BB}"/>
              </c:extLst>
            </c:dLbl>
            <c:dLbl>
              <c:idx val="4"/>
              <c:layout>
                <c:manualLayout>
                  <c:x val="-1.8066847335140028E-3"/>
                  <c:y val="-6.2893066188019131E-3"/>
                </c:manualLayout>
              </c:layout>
              <c:showLegendKey val="0"/>
              <c:showVal val="1"/>
              <c:showCatName val="0"/>
              <c:showSerName val="1"/>
              <c:showPercent val="0"/>
              <c:showBubbleSize val="0"/>
              <c:extLst>
                <c:ext xmlns:c15="http://schemas.microsoft.com/office/drawing/2012/chart" uri="{CE6537A1-D6FC-4f65-9D91-7224C49458BB}"/>
              </c:extLst>
            </c:dLbl>
            <c:dLbl>
              <c:idx val="5"/>
              <c:layout>
                <c:manualLayout>
                  <c:x val="7.2267389340560113E-3"/>
                  <c:y val="4.717004725151111E-2"/>
                </c:manualLayout>
              </c:layout>
              <c:showLegendKey val="0"/>
              <c:showVal val="1"/>
              <c:showCatName val="0"/>
              <c:showSerName val="1"/>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mn-lt"/>
                    <a:ea typeface="+mn-ea"/>
                    <a:cs typeface="+mn-cs"/>
                  </a:defRPr>
                </a:pPr>
                <a:endParaRPr lang="es-CO"/>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'[Gráfico en Microsoft Office Word]Hoja1'!$B$7:$G$7</c:f>
              <c:strCache>
                <c:ptCount val="6"/>
                <c:pt idx="0">
                  <c:v>enero </c:v>
                </c:pt>
                <c:pt idx="1">
                  <c:v>Febrero </c:v>
                </c:pt>
                <c:pt idx="2">
                  <c:v>marzo </c:v>
                </c:pt>
                <c:pt idx="3">
                  <c:v>Abril </c:v>
                </c:pt>
                <c:pt idx="4">
                  <c:v>Mayo </c:v>
                </c:pt>
                <c:pt idx="5">
                  <c:v>Junio </c:v>
                </c:pt>
              </c:strCache>
            </c:strRef>
          </c:cat>
          <c:val>
            <c:numRef>
              <c:f>'[Gráfico en Microsoft Office Word]Hoja1'!$B$9:$G$9</c:f>
              <c:numCache>
                <c:formatCode>General</c:formatCode>
                <c:ptCount val="6"/>
                <c:pt idx="0">
                  <c:v>9</c:v>
                </c:pt>
                <c:pt idx="1">
                  <c:v>26</c:v>
                </c:pt>
                <c:pt idx="2">
                  <c:v>28</c:v>
                </c:pt>
                <c:pt idx="3">
                  <c:v>12</c:v>
                </c:pt>
                <c:pt idx="4">
                  <c:v>12</c:v>
                </c:pt>
                <c:pt idx="5">
                  <c:v>22</c:v>
                </c:pt>
              </c:numCache>
            </c:numRef>
          </c:val>
        </c:ser>
        <c:dLbls>
          <c:showLegendKey val="0"/>
          <c:showVal val="1"/>
          <c:showCatName val="0"/>
          <c:showSerName val="0"/>
          <c:showPercent val="0"/>
          <c:showBubbleSize val="0"/>
        </c:dLbls>
        <c:gapWidth val="65"/>
        <c:shape val="cylinder"/>
        <c:axId val="422456704"/>
        <c:axId val="422457264"/>
        <c:axId val="0"/>
      </c:bar3DChart>
      <c:catAx>
        <c:axId val="4224567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s-ES" sz="900" b="0" i="0" u="none" strike="noStrike" kern="1200" cap="all" baseline="0">
                <a:solidFill>
                  <a:schemeClr val="dk1">
                    <a:lumMod val="75000"/>
                    <a:lumOff val="25000"/>
                  </a:schemeClr>
                </a:solidFill>
                <a:latin typeface="+mn-lt"/>
                <a:ea typeface="+mn-ea"/>
                <a:cs typeface="+mn-cs"/>
              </a:defRPr>
            </a:pPr>
            <a:endParaRPr lang="es-CO"/>
          </a:p>
        </c:txPr>
        <c:crossAx val="422457264"/>
        <c:crosses val="autoZero"/>
        <c:auto val="1"/>
        <c:lblAlgn val="ctr"/>
        <c:lblOffset val="100"/>
        <c:noMultiLvlLbl val="0"/>
      </c:catAx>
      <c:valAx>
        <c:axId val="42245726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CO"/>
          </a:p>
        </c:txPr>
        <c:crossAx val="422456704"/>
        <c:crosses val="autoZero"/>
        <c:crossBetween val="between"/>
      </c:valAx>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CO" sz="1100" b="1">
                <a:effectLst/>
              </a:rPr>
              <a:t>Avance del Proyecto (Sin incluir tramo 1)</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layout>
                <c:manualLayout>
                  <c:x val="-0.1000000000000001"/>
                  <c:y val="-4.629629629629799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4444444444444442E-2"/>
                  <c:y val="4.2437781360066642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Hoja1!$A$1:$A$2</c:f>
              <c:strCache>
                <c:ptCount val="2"/>
                <c:pt idx="0">
                  <c:v>% PROGRAMADO</c:v>
                </c:pt>
                <c:pt idx="1">
                  <c:v>% EJECUTADO</c:v>
                </c:pt>
              </c:strCache>
            </c:strRef>
          </c:cat>
          <c:val>
            <c:numRef>
              <c:f>Hoja1!$B$1:$B$2</c:f>
              <c:numCache>
                <c:formatCode>General</c:formatCode>
                <c:ptCount val="2"/>
                <c:pt idx="0">
                  <c:v>48.24</c:v>
                </c:pt>
                <c:pt idx="1">
                  <c:v>48.23</c:v>
                </c:pt>
              </c:numCache>
            </c:numRef>
          </c:val>
        </c:ser>
        <c:dLbls>
          <c:showLegendKey val="0"/>
          <c:showVal val="0"/>
          <c:showCatName val="0"/>
          <c:showSerName val="0"/>
          <c:showPercent val="0"/>
          <c:showBubbleSize val="0"/>
        </c:dLbls>
        <c:gapWidth val="182"/>
        <c:axId val="470413376"/>
        <c:axId val="477299136"/>
      </c:barChart>
      <c:catAx>
        <c:axId val="470413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77299136"/>
        <c:crosses val="autoZero"/>
        <c:auto val="1"/>
        <c:lblAlgn val="ctr"/>
        <c:lblOffset val="100"/>
        <c:noMultiLvlLbl val="0"/>
      </c:catAx>
      <c:valAx>
        <c:axId val="47729913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70413376"/>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'Modo Férreo_2015'!$B$32</c:f>
              <c:strCache>
                <c:ptCount val="1"/>
                <c:pt idx="0">
                  <c:v>Enero</c:v>
                </c:pt>
              </c:strCache>
            </c:strRef>
          </c:tx>
          <c:spPr>
            <a:solidFill>
              <a:schemeClr val="accent1">
                <a:shade val="40000"/>
                <a:alpha val="85000"/>
              </a:schemeClr>
            </a:solidFill>
            <a:ln w="9525" cap="flat" cmpd="sng" algn="ctr">
              <a:solidFill>
                <a:schemeClr val="accent1">
                  <a:shade val="40000"/>
                  <a:lumMod val="75000"/>
                </a:schemeClr>
              </a:solidFill>
              <a:round/>
            </a:ln>
            <a:effectLst/>
            <a:sp3d contourW="9525">
              <a:contourClr>
                <a:schemeClr val="accent1">
                  <a:shade val="40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Férreo_2015'!$C$32</c:f>
              <c:numCache>
                <c:formatCode>#,##0</c:formatCode>
                <c:ptCount val="1"/>
                <c:pt idx="0">
                  <c:v>16521</c:v>
                </c:pt>
              </c:numCache>
            </c:numRef>
          </c:val>
        </c:ser>
        <c:ser>
          <c:idx val="1"/>
          <c:order val="1"/>
          <c:tx>
            <c:strRef>
              <c:f>'Modo Férreo_2015'!$B$33</c:f>
              <c:strCache>
                <c:ptCount val="1"/>
                <c:pt idx="0">
                  <c:v>Febrero</c:v>
                </c:pt>
              </c:strCache>
            </c:strRef>
          </c:tx>
          <c:spPr>
            <a:solidFill>
              <a:schemeClr val="accent1">
                <a:shade val="51000"/>
                <a:alpha val="85000"/>
              </a:schemeClr>
            </a:solidFill>
            <a:ln w="9525" cap="flat" cmpd="sng" algn="ctr">
              <a:solidFill>
                <a:schemeClr val="accent1">
                  <a:shade val="51000"/>
                  <a:lumMod val="75000"/>
                </a:schemeClr>
              </a:solidFill>
              <a:round/>
            </a:ln>
            <a:effectLst/>
            <a:sp3d contourW="9525">
              <a:contourClr>
                <a:schemeClr val="accent1">
                  <a:shade val="51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Férreo_2015'!$C$33</c:f>
              <c:numCache>
                <c:formatCode>#,##0</c:formatCode>
                <c:ptCount val="1"/>
                <c:pt idx="0">
                  <c:v>18060</c:v>
                </c:pt>
              </c:numCache>
            </c:numRef>
          </c:val>
        </c:ser>
        <c:ser>
          <c:idx val="2"/>
          <c:order val="2"/>
          <c:tx>
            <c:strRef>
              <c:f>'Modo Férreo_2015'!$B$34</c:f>
              <c:strCache>
                <c:ptCount val="1"/>
                <c:pt idx="0">
                  <c:v>Marzo</c:v>
                </c:pt>
              </c:strCache>
            </c:strRef>
          </c:tx>
          <c:spPr>
            <a:solidFill>
              <a:schemeClr val="accent1">
                <a:shade val="62000"/>
                <a:alpha val="85000"/>
              </a:schemeClr>
            </a:solidFill>
            <a:ln w="9525" cap="flat" cmpd="sng" algn="ctr">
              <a:solidFill>
                <a:schemeClr val="accent1">
                  <a:shade val="62000"/>
                  <a:lumMod val="75000"/>
                </a:schemeClr>
              </a:solidFill>
              <a:round/>
            </a:ln>
            <a:effectLst/>
            <a:sp3d contourW="9525">
              <a:contourClr>
                <a:schemeClr val="accent1">
                  <a:shade val="62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Férreo_2015'!$C$34</c:f>
              <c:numCache>
                <c:formatCode>#,##0</c:formatCode>
                <c:ptCount val="1"/>
                <c:pt idx="0">
                  <c:v>22876</c:v>
                </c:pt>
              </c:numCache>
            </c:numRef>
          </c:val>
        </c:ser>
        <c:ser>
          <c:idx val="3"/>
          <c:order val="3"/>
          <c:tx>
            <c:strRef>
              <c:f>'Modo Férreo_2015'!$B$35</c:f>
              <c:strCache>
                <c:ptCount val="1"/>
                <c:pt idx="0">
                  <c:v>Abril</c:v>
                </c:pt>
              </c:strCache>
            </c:strRef>
          </c:tx>
          <c:spPr>
            <a:solidFill>
              <a:schemeClr val="accent1">
                <a:shade val="73000"/>
                <a:alpha val="85000"/>
              </a:schemeClr>
            </a:solidFill>
            <a:ln w="9525" cap="flat" cmpd="sng" algn="ctr">
              <a:solidFill>
                <a:schemeClr val="accent1">
                  <a:shade val="73000"/>
                  <a:lumMod val="75000"/>
                </a:schemeClr>
              </a:solidFill>
              <a:round/>
            </a:ln>
            <a:effectLst/>
            <a:sp3d contourW="9525">
              <a:contourClr>
                <a:schemeClr val="accent1">
                  <a:shade val="73000"/>
                  <a:lumMod val="75000"/>
                </a:schemeClr>
              </a:contourClr>
            </a:sp3d>
          </c:spPr>
          <c:invertIfNegative val="0"/>
          <c:dLbls>
            <c:dLbl>
              <c:idx val="0"/>
              <c:layout>
                <c:manualLayout>
                  <c:x val="0"/>
                  <c:y val="-1.6675131200270865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Férreo_2015'!$C$35</c:f>
              <c:numCache>
                <c:formatCode>#,##0</c:formatCode>
                <c:ptCount val="1"/>
                <c:pt idx="0">
                  <c:v>23553</c:v>
                </c:pt>
              </c:numCache>
            </c:numRef>
          </c:val>
        </c:ser>
        <c:ser>
          <c:idx val="4"/>
          <c:order val="4"/>
          <c:tx>
            <c:strRef>
              <c:f>'Modo Férreo_2015'!$B$36</c:f>
              <c:strCache>
                <c:ptCount val="1"/>
                <c:pt idx="0">
                  <c:v>Mayo</c:v>
                </c:pt>
              </c:strCache>
            </c:strRef>
          </c:tx>
          <c:spPr>
            <a:solidFill>
              <a:schemeClr val="accent1">
                <a:shade val="83000"/>
                <a:alpha val="85000"/>
              </a:schemeClr>
            </a:solidFill>
            <a:ln w="9525" cap="flat" cmpd="sng" algn="ctr">
              <a:solidFill>
                <a:schemeClr val="accent1">
                  <a:shade val="83000"/>
                  <a:lumMod val="75000"/>
                </a:schemeClr>
              </a:solidFill>
              <a:round/>
            </a:ln>
            <a:effectLst/>
            <a:sp3d contourW="9525">
              <a:contourClr>
                <a:schemeClr val="accent1">
                  <a:shade val="83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Férreo_2015'!$C$36</c:f>
              <c:numCache>
                <c:formatCode>#,##0</c:formatCode>
                <c:ptCount val="1"/>
                <c:pt idx="0">
                  <c:v>21424</c:v>
                </c:pt>
              </c:numCache>
            </c:numRef>
          </c:val>
        </c:ser>
        <c:ser>
          <c:idx val="5"/>
          <c:order val="5"/>
          <c:tx>
            <c:strRef>
              <c:f>'Modo Férreo_2015'!$B$37</c:f>
              <c:strCache>
                <c:ptCount val="1"/>
                <c:pt idx="0">
                  <c:v>Junio</c:v>
                </c:pt>
              </c:strCache>
            </c:strRef>
          </c:tx>
          <c:spPr>
            <a:solidFill>
              <a:schemeClr val="accent1">
                <a:shade val="94000"/>
                <a:alpha val="85000"/>
              </a:schemeClr>
            </a:solidFill>
            <a:ln w="9525" cap="flat" cmpd="sng" algn="ctr">
              <a:solidFill>
                <a:schemeClr val="accent1">
                  <a:shade val="94000"/>
                  <a:lumMod val="75000"/>
                </a:schemeClr>
              </a:solidFill>
              <a:round/>
            </a:ln>
            <a:effectLst/>
            <a:sp3d contourW="9525">
              <a:contourClr>
                <a:schemeClr val="accent1">
                  <a:shade val="94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Férreo_2015'!$C$37</c:f>
              <c:numCache>
                <c:formatCode>#,##0</c:formatCode>
                <c:ptCount val="1"/>
                <c:pt idx="0">
                  <c:v>16549</c:v>
                </c:pt>
              </c:numCache>
            </c:numRef>
          </c:val>
        </c:ser>
        <c:ser>
          <c:idx val="6"/>
          <c:order val="6"/>
          <c:tx>
            <c:strRef>
              <c:f>'Modo Férreo_2015'!$B$38</c:f>
              <c:strCache>
                <c:ptCount val="1"/>
                <c:pt idx="0">
                  <c:v>Julio</c:v>
                </c:pt>
              </c:strCache>
            </c:strRef>
          </c:tx>
          <c:spPr>
            <a:solidFill>
              <a:schemeClr val="accent1">
                <a:tint val="95000"/>
                <a:alpha val="85000"/>
              </a:schemeClr>
            </a:solidFill>
            <a:ln w="9525" cap="flat" cmpd="sng" algn="ctr">
              <a:solidFill>
                <a:schemeClr val="accent1">
                  <a:tint val="95000"/>
                  <a:lumMod val="75000"/>
                </a:schemeClr>
              </a:solidFill>
              <a:round/>
            </a:ln>
            <a:effectLst/>
            <a:sp3d contourW="9525">
              <a:contourClr>
                <a:schemeClr val="accent1">
                  <a:tint val="95000"/>
                  <a:lumMod val="75000"/>
                </a:schemeClr>
              </a:contourClr>
            </a:sp3d>
          </c:spPr>
          <c:invertIfNegative val="0"/>
          <c:dLbls>
            <c:dLbl>
              <c:idx val="0"/>
              <c:layout>
                <c:manualLayout>
                  <c:x val="0"/>
                  <c:y val="-0.1320969375604353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Férreo_2015'!$C$38</c:f>
              <c:numCache>
                <c:formatCode>#,##0</c:formatCode>
                <c:ptCount val="1"/>
                <c:pt idx="0">
                  <c:v>1256</c:v>
                </c:pt>
              </c:numCache>
            </c:numRef>
          </c:val>
        </c:ser>
        <c:ser>
          <c:idx val="7"/>
          <c:order val="7"/>
          <c:tx>
            <c:strRef>
              <c:f>'Modo Férreo_2015'!$B$39</c:f>
              <c:strCache>
                <c:ptCount val="1"/>
                <c:pt idx="0">
                  <c:v>Agosto</c:v>
                </c:pt>
              </c:strCache>
            </c:strRef>
          </c:tx>
          <c:spPr>
            <a:solidFill>
              <a:schemeClr val="accent1">
                <a:tint val="84000"/>
                <a:alpha val="85000"/>
              </a:schemeClr>
            </a:solidFill>
            <a:ln w="9525" cap="flat" cmpd="sng" algn="ctr">
              <a:solidFill>
                <a:schemeClr val="accent1">
                  <a:tint val="84000"/>
                  <a:lumMod val="75000"/>
                </a:schemeClr>
              </a:solidFill>
              <a:round/>
            </a:ln>
            <a:effectLst/>
            <a:sp3d contourW="9525">
              <a:contourClr>
                <a:schemeClr val="accent1">
                  <a:tint val="84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Férreo_2015'!$C$39</c:f>
              <c:numCache>
                <c:formatCode>#,##0</c:formatCode>
                <c:ptCount val="1"/>
              </c:numCache>
            </c:numRef>
          </c:val>
        </c:ser>
        <c:ser>
          <c:idx val="8"/>
          <c:order val="8"/>
          <c:tx>
            <c:strRef>
              <c:f>'Modo Férreo_2015'!$B$40</c:f>
              <c:strCache>
                <c:ptCount val="1"/>
                <c:pt idx="0">
                  <c:v>Septiembre</c:v>
                </c:pt>
              </c:strCache>
            </c:strRef>
          </c:tx>
          <c:spPr>
            <a:solidFill>
              <a:schemeClr val="accent1">
                <a:tint val="74000"/>
                <a:alpha val="85000"/>
              </a:schemeClr>
            </a:solidFill>
            <a:ln w="9525" cap="flat" cmpd="sng" algn="ctr">
              <a:solidFill>
                <a:schemeClr val="accent1">
                  <a:tint val="74000"/>
                  <a:lumMod val="75000"/>
                </a:schemeClr>
              </a:solidFill>
              <a:round/>
            </a:ln>
            <a:effectLst/>
            <a:sp3d contourW="9525">
              <a:contourClr>
                <a:schemeClr val="accent1">
                  <a:tint val="74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Férreo_2015'!$C$40</c:f>
              <c:numCache>
                <c:formatCode>#,##0</c:formatCode>
                <c:ptCount val="1"/>
              </c:numCache>
            </c:numRef>
          </c:val>
        </c:ser>
        <c:ser>
          <c:idx val="9"/>
          <c:order val="9"/>
          <c:tx>
            <c:strRef>
              <c:f>'Modo Férreo_2015'!$B$41</c:f>
              <c:strCache>
                <c:ptCount val="1"/>
                <c:pt idx="0">
                  <c:v>Octubre</c:v>
                </c:pt>
              </c:strCache>
            </c:strRef>
          </c:tx>
          <c:spPr>
            <a:solidFill>
              <a:schemeClr val="accent1">
                <a:tint val="63000"/>
                <a:alpha val="85000"/>
              </a:schemeClr>
            </a:solidFill>
            <a:ln w="9525" cap="flat" cmpd="sng" algn="ctr">
              <a:solidFill>
                <a:schemeClr val="accent1">
                  <a:tint val="63000"/>
                  <a:lumMod val="75000"/>
                </a:schemeClr>
              </a:solidFill>
              <a:round/>
            </a:ln>
            <a:effectLst/>
            <a:sp3d contourW="9525">
              <a:contourClr>
                <a:schemeClr val="accent1">
                  <a:tint val="63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Férreo_2015'!$C$41</c:f>
              <c:numCache>
                <c:formatCode>#,##0</c:formatCode>
                <c:ptCount val="1"/>
              </c:numCache>
            </c:numRef>
          </c:val>
        </c:ser>
        <c:ser>
          <c:idx val="10"/>
          <c:order val="10"/>
          <c:tx>
            <c:strRef>
              <c:f>'Modo Férreo_2015'!$B$42</c:f>
              <c:strCache>
                <c:ptCount val="1"/>
                <c:pt idx="0">
                  <c:v>Noviembre</c:v>
                </c:pt>
              </c:strCache>
            </c:strRef>
          </c:tx>
          <c:spPr>
            <a:solidFill>
              <a:schemeClr val="accent1">
                <a:tint val="52000"/>
                <a:alpha val="85000"/>
              </a:schemeClr>
            </a:solidFill>
            <a:ln w="9525" cap="flat" cmpd="sng" algn="ctr">
              <a:solidFill>
                <a:schemeClr val="accent1">
                  <a:tint val="52000"/>
                  <a:lumMod val="75000"/>
                </a:schemeClr>
              </a:solidFill>
              <a:round/>
            </a:ln>
            <a:effectLst/>
            <a:sp3d contourW="9525">
              <a:contourClr>
                <a:schemeClr val="accent1">
                  <a:tint val="52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Férreo_2015'!$C$42</c:f>
              <c:numCache>
                <c:formatCode>#,##0</c:formatCode>
                <c:ptCount val="1"/>
              </c:numCache>
            </c:numRef>
          </c:val>
        </c:ser>
        <c:ser>
          <c:idx val="11"/>
          <c:order val="11"/>
          <c:tx>
            <c:strRef>
              <c:f>'Modo Férreo_2015'!$B$43</c:f>
              <c:strCache>
                <c:ptCount val="1"/>
                <c:pt idx="0">
                  <c:v>Diciembre</c:v>
                </c:pt>
              </c:strCache>
            </c:strRef>
          </c:tx>
          <c:spPr>
            <a:solidFill>
              <a:schemeClr val="accent1">
                <a:tint val="41000"/>
                <a:alpha val="85000"/>
              </a:schemeClr>
            </a:solidFill>
            <a:ln w="9525" cap="flat" cmpd="sng" algn="ctr">
              <a:solidFill>
                <a:schemeClr val="accent1">
                  <a:tint val="41000"/>
                  <a:lumMod val="75000"/>
                </a:schemeClr>
              </a:solidFill>
              <a:round/>
            </a:ln>
            <a:effectLst/>
            <a:sp3d contourW="9525">
              <a:contourClr>
                <a:schemeClr val="accent1">
                  <a:tint val="410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'Modo Férreo_2015'!$C$43</c:f>
              <c:numCache>
                <c:formatCode>#,##0</c:formatCode>
                <c:ptCount val="1"/>
              </c:numCache>
            </c:numRef>
          </c:val>
        </c:ser>
        <c:dLbls>
          <c:showLegendKey val="0"/>
          <c:showVal val="1"/>
          <c:showCatName val="0"/>
          <c:showSerName val="0"/>
          <c:showPercent val="0"/>
          <c:showBubbleSize val="0"/>
        </c:dLbls>
        <c:gapWidth val="75"/>
        <c:shape val="box"/>
        <c:axId val="318519232"/>
        <c:axId val="318519792"/>
        <c:axId val="0"/>
      </c:bar3DChart>
      <c:catAx>
        <c:axId val="3185192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318519792"/>
        <c:crosses val="autoZero"/>
        <c:auto val="1"/>
        <c:lblAlgn val="ctr"/>
        <c:lblOffset val="100"/>
        <c:noMultiLvlLbl val="0"/>
      </c:catAx>
      <c:valAx>
        <c:axId val="3185197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3185192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MX" sz="1200" b="1" i="0" baseline="0">
                <a:effectLst/>
              </a:rPr>
              <a:t>Ejecución Contrato Obra 418 de 2013 a Jun. 2015 </a:t>
            </a:r>
            <a:endParaRPr lang="es-MX" sz="12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MX" b="1"/>
          </a:p>
        </c:rich>
      </c:tx>
      <c:layout>
        <c:manualLayout>
          <c:xMode val="edge"/>
          <c:yMode val="edge"/>
          <c:x val="0.11331076718858418"/>
          <c:y val="2.1702446281038526E-2"/>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683200173397667"/>
          <c:y val="0.13614099008832123"/>
          <c:w val="0.63591131712211268"/>
          <c:h val="0.78459526749387676"/>
        </c:manualLayout>
      </c:layout>
      <c:bar3DChart>
        <c:barDir val="bar"/>
        <c:grouping val="clustered"/>
        <c:varyColors val="0"/>
        <c:ser>
          <c:idx val="0"/>
          <c:order val="0"/>
          <c:tx>
            <c:strRef>
              <c:f>'Ejecución Contrato+Otrosi UTFC'!$C$25</c:f>
              <c:strCache>
                <c:ptCount val="1"/>
                <c:pt idx="0">
                  <c:v>Contractual</c:v>
                </c:pt>
              </c:strCache>
            </c:strRef>
          </c:tx>
          <c:spPr>
            <a:solidFill>
              <a:srgbClr val="00B050"/>
            </a:solidFill>
            <a:ln>
              <a:noFill/>
            </a:ln>
            <a:effectLst>
              <a:outerShdw blurRad="57150" dist="19050" dir="5400000" algn="ctr" rotWithShape="0">
                <a:srgbClr val="000000">
                  <a:alpha val="63000"/>
                </a:srgbClr>
              </a:outerShdw>
            </a:effectLst>
            <a:scene3d>
              <a:camera prst="orthographicFront"/>
              <a:lightRig rig="threePt" dir="t"/>
            </a:scene3d>
            <a:sp3d>
              <a:bevelT w="38100" h="38100"/>
            </a:sp3d>
          </c:spPr>
          <c:invertIfNegative val="0"/>
          <c:cat>
            <c:strRef>
              <c:f>'Ejecución Contrato+Otrosi UTFC'!$B$26:$B$37</c:f>
              <c:strCache>
                <c:ptCount val="12"/>
                <c:pt idx="0">
                  <c:v>Intervención p. críticos</c:v>
                </c:pt>
                <c:pt idx="1">
                  <c:v>Estudios y Diseños </c:v>
                </c:pt>
                <c:pt idx="2">
                  <c:v>Mantenimiento de Vía</c:v>
                </c:pt>
                <c:pt idx="3">
                  <c:v>Mejoramiento de vía</c:v>
                </c:pt>
                <c:pt idx="4">
                  <c:v>Mant. Mat. rodante</c:v>
                </c:pt>
                <c:pt idx="5">
                  <c:v>Atención Emergencias</c:v>
                </c:pt>
                <c:pt idx="6">
                  <c:v>Recuperación Estaciones</c:v>
                </c:pt>
                <c:pt idx="7">
                  <c:v>Señalización Corredor</c:v>
                </c:pt>
                <c:pt idx="8">
                  <c:v>Gastos Administración </c:v>
                </c:pt>
                <c:pt idx="9">
                  <c:v>Control de tráfico</c:v>
                </c:pt>
                <c:pt idx="10">
                  <c:v>Vigilancia</c:v>
                </c:pt>
                <c:pt idx="11">
                  <c:v>Prog. Socio-ambientales</c:v>
                </c:pt>
              </c:strCache>
            </c:strRef>
          </c:cat>
          <c:val>
            <c:numRef>
              <c:f>'Ejecución Contrato+Otrosi UTFC'!$C$26:$C$37</c:f>
              <c:numCache>
                <c:formatCode>_("$"* #,##0.00_);_("$"* \(#,##0.00\);_("$"* "-"??_);_(@_)</c:formatCode>
                <c:ptCount val="12"/>
                <c:pt idx="0">
                  <c:v>48967.867705848395</c:v>
                </c:pt>
                <c:pt idx="1">
                  <c:v>1475.6186829200001</c:v>
                </c:pt>
                <c:pt idx="2">
                  <c:v>7917.9798792096008</c:v>
                </c:pt>
                <c:pt idx="3">
                  <c:v>17910.599862340801</c:v>
                </c:pt>
                <c:pt idx="4">
                  <c:v>1712.950632</c:v>
                </c:pt>
                <c:pt idx="5">
                  <c:v>2239.0631013744</c:v>
                </c:pt>
                <c:pt idx="6">
                  <c:v>1243.836</c:v>
                </c:pt>
                <c:pt idx="7">
                  <c:v>565.15384800000004</c:v>
                </c:pt>
                <c:pt idx="8">
                  <c:v>10167.652012319999</c:v>
                </c:pt>
                <c:pt idx="9">
                  <c:v>3455.3945625599999</c:v>
                </c:pt>
                <c:pt idx="10">
                  <c:v>1921.5871795200001</c:v>
                </c:pt>
                <c:pt idx="11">
                  <c:v>2054.0933484799998</c:v>
                </c:pt>
              </c:numCache>
            </c:numRef>
          </c:val>
        </c:ser>
        <c:ser>
          <c:idx val="1"/>
          <c:order val="1"/>
          <c:tx>
            <c:strRef>
              <c:f>'Ejecución Contrato+Otrosi UTFC'!$D$25</c:f>
              <c:strCache>
                <c:ptCount val="1"/>
                <c:pt idx="0">
                  <c:v>Avance al 30 de Junio de 2015</c:v>
                </c:pt>
              </c:strCache>
            </c:strRef>
          </c:tx>
          <c:spPr>
            <a:solidFill>
              <a:srgbClr val="0070C0"/>
            </a:solidFill>
            <a:ln>
              <a:noFill/>
            </a:ln>
            <a:effectLst/>
            <a:scene3d>
              <a:camera prst="orthographicFront"/>
              <a:lightRig rig="threePt" dir="t"/>
            </a:scene3d>
            <a:sp3d>
              <a:bevelT w="38100" h="38100"/>
            </a:sp3d>
          </c:spPr>
          <c:invertIfNegative val="0"/>
          <c:cat>
            <c:strRef>
              <c:f>'Ejecución Contrato+Otrosi UTFC'!$B$26:$B$37</c:f>
              <c:strCache>
                <c:ptCount val="12"/>
                <c:pt idx="0">
                  <c:v>Intervención p. críticos</c:v>
                </c:pt>
                <c:pt idx="1">
                  <c:v>Estudios y Diseños </c:v>
                </c:pt>
                <c:pt idx="2">
                  <c:v>Mantenimiento de Vía</c:v>
                </c:pt>
                <c:pt idx="3">
                  <c:v>Mejoramiento de vía</c:v>
                </c:pt>
                <c:pt idx="4">
                  <c:v>Mant. Mat. rodante</c:v>
                </c:pt>
                <c:pt idx="5">
                  <c:v>Atención Emergencias</c:v>
                </c:pt>
                <c:pt idx="6">
                  <c:v>Recuperación Estaciones</c:v>
                </c:pt>
                <c:pt idx="7">
                  <c:v>Señalización Corredor</c:v>
                </c:pt>
                <c:pt idx="8">
                  <c:v>Gastos Administración </c:v>
                </c:pt>
                <c:pt idx="9">
                  <c:v>Control de tráfico</c:v>
                </c:pt>
                <c:pt idx="10">
                  <c:v>Vigilancia</c:v>
                </c:pt>
                <c:pt idx="11">
                  <c:v>Prog. Socio-ambientales</c:v>
                </c:pt>
              </c:strCache>
            </c:strRef>
          </c:cat>
          <c:val>
            <c:numRef>
              <c:f>'Ejecución Contrato+Otrosi UTFC'!$D$26:$D$37</c:f>
              <c:numCache>
                <c:formatCode>_("$"* #,##0.00_);_("$"* \(#,##0.00\);_("$"* "-"??_);_(@_)</c:formatCode>
                <c:ptCount val="12"/>
                <c:pt idx="0">
                  <c:v>47739.946157690392</c:v>
                </c:pt>
                <c:pt idx="1">
                  <c:v>1475.6186823599999</c:v>
                </c:pt>
                <c:pt idx="2">
                  <c:v>7167.2818215095976</c:v>
                </c:pt>
                <c:pt idx="3">
                  <c:v>10613.5229639556</c:v>
                </c:pt>
                <c:pt idx="4">
                  <c:v>1712.950632</c:v>
                </c:pt>
                <c:pt idx="5">
                  <c:v>0</c:v>
                </c:pt>
                <c:pt idx="6">
                  <c:v>621.91800000000001</c:v>
                </c:pt>
                <c:pt idx="7">
                  <c:v>565.15384800000004</c:v>
                </c:pt>
                <c:pt idx="8">
                  <c:v>9575.1730606000001</c:v>
                </c:pt>
                <c:pt idx="9">
                  <c:v>3455.3945625600004</c:v>
                </c:pt>
                <c:pt idx="10">
                  <c:v>1909.9085292000002</c:v>
                </c:pt>
                <c:pt idx="11">
                  <c:v>2003.5607208800002</c:v>
                </c:pt>
              </c:numCache>
            </c:numRef>
          </c:val>
        </c:ser>
        <c:dLbls>
          <c:showLegendKey val="0"/>
          <c:showVal val="0"/>
          <c:showCatName val="0"/>
          <c:showSerName val="0"/>
          <c:showPercent val="0"/>
          <c:showBubbleSize val="0"/>
        </c:dLbls>
        <c:gapWidth val="75"/>
        <c:gapDepth val="189"/>
        <c:shape val="box"/>
        <c:axId val="431991888"/>
        <c:axId val="431992448"/>
        <c:axId val="0"/>
      </c:bar3DChart>
      <c:catAx>
        <c:axId val="431991888"/>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431992448"/>
        <c:crosses val="autoZero"/>
        <c:auto val="1"/>
        <c:lblAlgn val="ctr"/>
        <c:lblOffset val="100"/>
        <c:noMultiLvlLbl val="0"/>
      </c:catAx>
      <c:valAx>
        <c:axId val="43199244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431991888"/>
        <c:crosses val="autoZero"/>
        <c:crossBetween val="between"/>
      </c:valAx>
      <c:spPr>
        <a:noFill/>
        <a:ln>
          <a:noFill/>
        </a:ln>
        <a:effectLst/>
      </c:spPr>
    </c:plotArea>
    <c:legend>
      <c:legendPos val="b"/>
      <c:layout>
        <c:manualLayout>
          <c:xMode val="edge"/>
          <c:yMode val="edge"/>
          <c:x val="0.30291419933772712"/>
          <c:y val="0.92280366691348159"/>
          <c:w val="0.62046527668128937"/>
          <c:h val="6.677965092288908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3175" cap="flat" cmpd="sng" algn="ctr">
      <a:solidFill>
        <a:schemeClr val="bg1">
          <a:lumMod val="65000"/>
        </a:schemeClr>
      </a:solidFill>
      <a:miter lim="800000"/>
    </a:ln>
    <a:effectLst>
      <a:outerShdw blurRad="50800" dist="38100" dir="2700000" algn="tl" rotWithShape="0">
        <a:prstClr val="black">
          <a:alpha val="40000"/>
        </a:prstClr>
      </a:outerShdw>
    </a:effectLst>
  </c:spPr>
  <c:txPr>
    <a:bodyPr/>
    <a:lstStyle/>
    <a:p>
      <a:pPr>
        <a:defRPr/>
      </a:pPr>
      <a:endParaRPr lang="es-C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Arial Narrow"/>
                <a:cs typeface="Arial Narrow"/>
              </a:defRPr>
            </a:pPr>
            <a:r>
              <a:rPr lang="es-MX" sz="1200" b="1">
                <a:solidFill>
                  <a:schemeClr val="tx1">
                    <a:lumMod val="75000"/>
                    <a:lumOff val="25000"/>
                  </a:schemeClr>
                </a:solidFill>
                <a:latin typeface="+mn-lt"/>
              </a:rPr>
              <a:t>Balance General Ejecución Contrato 418 de 2013 a 30</a:t>
            </a:r>
            <a:r>
              <a:rPr lang="es-MX" sz="1200" b="1" baseline="0">
                <a:solidFill>
                  <a:schemeClr val="tx1">
                    <a:lumMod val="75000"/>
                    <a:lumOff val="25000"/>
                  </a:schemeClr>
                </a:solidFill>
                <a:latin typeface="+mn-lt"/>
              </a:rPr>
              <a:t> de Junio -2015</a:t>
            </a:r>
            <a:endParaRPr lang="es-CO" sz="1200" b="1">
              <a:solidFill>
                <a:schemeClr val="tx1">
                  <a:lumMod val="75000"/>
                  <a:lumOff val="25000"/>
                </a:schemeClr>
              </a:solidFill>
              <a:latin typeface="+mn-lt"/>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Arial Narrow"/>
              <a:cs typeface="Arial Narrow"/>
            </a:defRPr>
          </a:pPr>
          <a:endParaRPr lang="es-CO"/>
        </a:p>
      </c:txPr>
    </c:title>
    <c:autoTitleDeleted val="0"/>
    <c:plotArea>
      <c:layout>
        <c:manualLayout>
          <c:layoutTarget val="inner"/>
          <c:xMode val="edge"/>
          <c:yMode val="edge"/>
          <c:x val="0.15121494561879939"/>
          <c:y val="0.16332129963898917"/>
          <c:w val="0.71614387023112591"/>
          <c:h val="0.59568719974985074"/>
        </c:manualLayout>
      </c:layout>
      <c:barChart>
        <c:barDir val="col"/>
        <c:grouping val="clustered"/>
        <c:varyColors val="0"/>
        <c:ser>
          <c:idx val="0"/>
          <c:order val="0"/>
          <c:tx>
            <c:strRef>
              <c:f>'5. Plan Inversión UTFC Nov 2013'!$A$343</c:f>
              <c:strCache>
                <c:ptCount val="1"/>
                <c:pt idx="0">
                  <c:v>Valor Programado</c:v>
                </c:pt>
              </c:strCache>
            </c:strRef>
          </c:tx>
          <c:spPr>
            <a:solidFill>
              <a:srgbClr val="E36B1A"/>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'5. Plan Inversión UTFC Nov 2013'!$E$5:$AB$5</c:f>
              <c:numCache>
                <c:formatCode>mmm\-yy</c:formatCode>
                <c:ptCount val="24"/>
                <c:pt idx="0">
                  <c:v>41579</c:v>
                </c:pt>
                <c:pt idx="1">
                  <c:v>41609</c:v>
                </c:pt>
                <c:pt idx="2">
                  <c:v>41640</c:v>
                </c:pt>
                <c:pt idx="3">
                  <c:v>41671</c:v>
                </c:pt>
                <c:pt idx="4">
                  <c:v>41699</c:v>
                </c:pt>
                <c:pt idx="5">
                  <c:v>41730</c:v>
                </c:pt>
                <c:pt idx="6">
                  <c:v>41760</c:v>
                </c:pt>
                <c:pt idx="7">
                  <c:v>41791</c:v>
                </c:pt>
                <c:pt idx="8">
                  <c:v>41821</c:v>
                </c:pt>
                <c:pt idx="9">
                  <c:v>41852</c:v>
                </c:pt>
                <c:pt idx="10">
                  <c:v>41883</c:v>
                </c:pt>
                <c:pt idx="11">
                  <c:v>41913</c:v>
                </c:pt>
                <c:pt idx="12">
                  <c:v>41944</c:v>
                </c:pt>
                <c:pt idx="13">
                  <c:v>41974</c:v>
                </c:pt>
                <c:pt idx="14">
                  <c:v>42005</c:v>
                </c:pt>
                <c:pt idx="15">
                  <c:v>42036</c:v>
                </c:pt>
                <c:pt idx="16">
                  <c:v>42064</c:v>
                </c:pt>
                <c:pt idx="17">
                  <c:v>42095</c:v>
                </c:pt>
                <c:pt idx="18">
                  <c:v>42125</c:v>
                </c:pt>
                <c:pt idx="19">
                  <c:v>42156</c:v>
                </c:pt>
                <c:pt idx="20">
                  <c:v>42186</c:v>
                </c:pt>
                <c:pt idx="21">
                  <c:v>42217</c:v>
                </c:pt>
                <c:pt idx="22">
                  <c:v>42248</c:v>
                </c:pt>
                <c:pt idx="23">
                  <c:v>42278</c:v>
                </c:pt>
              </c:numCache>
            </c:numRef>
          </c:cat>
          <c:val>
            <c:numRef>
              <c:f>'5. Plan Inversión UTFC Nov 2013'!$E$343:$AB$343</c:f>
              <c:numCache>
                <c:formatCode>_(* #,##0_);_(* \(#,##0\);_(* "-"??_);_(@_)</c:formatCode>
                <c:ptCount val="24"/>
                <c:pt idx="0">
                  <c:v>984817006.7428</c:v>
                </c:pt>
                <c:pt idx="1">
                  <c:v>1353306824.6187999</c:v>
                </c:pt>
                <c:pt idx="2">
                  <c:v>1599920715.3443999</c:v>
                </c:pt>
                <c:pt idx="3">
                  <c:v>1394182705.8931999</c:v>
                </c:pt>
                <c:pt idx="4">
                  <c:v>1176621442.8080001</c:v>
                </c:pt>
                <c:pt idx="5">
                  <c:v>1215859455.6724</c:v>
                </c:pt>
                <c:pt idx="6">
                  <c:v>1848539585.4904001</c:v>
                </c:pt>
                <c:pt idx="7">
                  <c:v>2830323762.4052</c:v>
                </c:pt>
                <c:pt idx="8">
                  <c:v>5279500090.8439999</c:v>
                </c:pt>
                <c:pt idx="9">
                  <c:v>9370630819.9447994</c:v>
                </c:pt>
                <c:pt idx="10">
                  <c:v>10147814518.3568</c:v>
                </c:pt>
                <c:pt idx="11">
                  <c:v>9788516575.5178776</c:v>
                </c:pt>
                <c:pt idx="12">
                  <c:v>6824125662.5086765</c:v>
                </c:pt>
                <c:pt idx="13">
                  <c:v>4209038239.1822801</c:v>
                </c:pt>
                <c:pt idx="14">
                  <c:v>3224693613.4902802</c:v>
                </c:pt>
                <c:pt idx="15">
                  <c:v>4079587272.2902803</c:v>
                </c:pt>
                <c:pt idx="16">
                  <c:v>5789374589.8902798</c:v>
                </c:pt>
                <c:pt idx="17">
                  <c:v>1514906295.8902769</c:v>
                </c:pt>
                <c:pt idx="18">
                  <c:v>1514906295.8902769</c:v>
                </c:pt>
                <c:pt idx="19">
                  <c:v>5097026268.3584366</c:v>
                </c:pt>
                <c:pt idx="20">
                  <c:v>5097026268.3584366</c:v>
                </c:pt>
                <c:pt idx="21">
                  <c:v>5097026268.3584366</c:v>
                </c:pt>
                <c:pt idx="22">
                  <c:v>5097026268.3584366</c:v>
                </c:pt>
                <c:pt idx="23">
                  <c:v>5097026268.3584366</c:v>
                </c:pt>
              </c:numCache>
            </c:numRef>
          </c:val>
        </c:ser>
        <c:ser>
          <c:idx val="1"/>
          <c:order val="1"/>
          <c:tx>
            <c:strRef>
              <c:f>'5. Plan Inversión UTFC Nov 2013'!$A$346</c:f>
              <c:strCache>
                <c:ptCount val="1"/>
                <c:pt idx="0">
                  <c:v>Valor ejecutado Acta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'5. Plan Inversión UTFC Nov 2013'!$E$5:$AB$5</c:f>
              <c:numCache>
                <c:formatCode>mmm\-yy</c:formatCode>
                <c:ptCount val="24"/>
                <c:pt idx="0">
                  <c:v>41579</c:v>
                </c:pt>
                <c:pt idx="1">
                  <c:v>41609</c:v>
                </c:pt>
                <c:pt idx="2">
                  <c:v>41640</c:v>
                </c:pt>
                <c:pt idx="3">
                  <c:v>41671</c:v>
                </c:pt>
                <c:pt idx="4">
                  <c:v>41699</c:v>
                </c:pt>
                <c:pt idx="5">
                  <c:v>41730</c:v>
                </c:pt>
                <c:pt idx="6">
                  <c:v>41760</c:v>
                </c:pt>
                <c:pt idx="7">
                  <c:v>41791</c:v>
                </c:pt>
                <c:pt idx="8">
                  <c:v>41821</c:v>
                </c:pt>
                <c:pt idx="9">
                  <c:v>41852</c:v>
                </c:pt>
                <c:pt idx="10">
                  <c:v>41883</c:v>
                </c:pt>
                <c:pt idx="11">
                  <c:v>41913</c:v>
                </c:pt>
                <c:pt idx="12">
                  <c:v>41944</c:v>
                </c:pt>
                <c:pt idx="13">
                  <c:v>41974</c:v>
                </c:pt>
                <c:pt idx="14">
                  <c:v>42005</c:v>
                </c:pt>
                <c:pt idx="15">
                  <c:v>42036</c:v>
                </c:pt>
                <c:pt idx="16">
                  <c:v>42064</c:v>
                </c:pt>
                <c:pt idx="17">
                  <c:v>42095</c:v>
                </c:pt>
                <c:pt idx="18">
                  <c:v>42125</c:v>
                </c:pt>
                <c:pt idx="19">
                  <c:v>42156</c:v>
                </c:pt>
                <c:pt idx="20">
                  <c:v>42186</c:v>
                </c:pt>
                <c:pt idx="21">
                  <c:v>42217</c:v>
                </c:pt>
                <c:pt idx="22">
                  <c:v>42248</c:v>
                </c:pt>
                <c:pt idx="23">
                  <c:v>42278</c:v>
                </c:pt>
              </c:numCache>
            </c:numRef>
          </c:cat>
          <c:val>
            <c:numRef>
              <c:f>'5. Plan Inversión UTFC Nov 2013'!$E$346:$X$346</c:f>
              <c:numCache>
                <c:formatCode>_("$"* #,##0.00_);_("$"* \(#,##0.00\);_("$"* "-"??_);_(@_)</c:formatCode>
                <c:ptCount val="20"/>
                <c:pt idx="0">
                  <c:v>547173829</c:v>
                </c:pt>
                <c:pt idx="1">
                  <c:v>996041391</c:v>
                </c:pt>
                <c:pt idx="2">
                  <c:v>1459508668</c:v>
                </c:pt>
                <c:pt idx="3">
                  <c:v>949517528</c:v>
                </c:pt>
                <c:pt idx="4">
                  <c:v>1001034214</c:v>
                </c:pt>
                <c:pt idx="5">
                  <c:v>1128596213</c:v>
                </c:pt>
                <c:pt idx="6">
                  <c:v>1543008589</c:v>
                </c:pt>
                <c:pt idx="7">
                  <c:v>1426969597</c:v>
                </c:pt>
                <c:pt idx="8">
                  <c:v>3809534410</c:v>
                </c:pt>
                <c:pt idx="9">
                  <c:v>4854894260</c:v>
                </c:pt>
                <c:pt idx="10">
                  <c:v>3994034749</c:v>
                </c:pt>
                <c:pt idx="11">
                  <c:v>6217536163</c:v>
                </c:pt>
                <c:pt idx="12">
                  <c:v>4476715121</c:v>
                </c:pt>
                <c:pt idx="13">
                  <c:v>12808639418</c:v>
                </c:pt>
                <c:pt idx="14">
                  <c:v>2261138928</c:v>
                </c:pt>
                <c:pt idx="15">
                  <c:v>3154907838</c:v>
                </c:pt>
                <c:pt idx="16">
                  <c:v>4735838046</c:v>
                </c:pt>
                <c:pt idx="17">
                  <c:v>2667490571</c:v>
                </c:pt>
                <c:pt idx="18">
                  <c:v>3848081469</c:v>
                </c:pt>
                <c:pt idx="19">
                  <c:v>5756532930</c:v>
                </c:pt>
              </c:numCache>
            </c:numRef>
          </c:val>
        </c:ser>
        <c:dLbls>
          <c:showLegendKey val="0"/>
          <c:showVal val="0"/>
          <c:showCatName val="0"/>
          <c:showSerName val="0"/>
          <c:showPercent val="0"/>
          <c:showBubbleSize val="0"/>
        </c:dLbls>
        <c:gapWidth val="150"/>
        <c:axId val="416560752"/>
        <c:axId val="416561312"/>
      </c:barChart>
      <c:lineChart>
        <c:grouping val="standard"/>
        <c:varyColors val="0"/>
        <c:ser>
          <c:idx val="2"/>
          <c:order val="2"/>
          <c:tx>
            <c:strRef>
              <c:f>'5. Plan Inversión UTFC Nov 2013'!$A$345</c:f>
              <c:strCache>
                <c:ptCount val="1"/>
                <c:pt idx="0">
                  <c:v>Porcentaje de avance esperado</c:v>
                </c:pt>
              </c:strCache>
            </c:strRef>
          </c:tx>
          <c:spPr>
            <a:ln w="28575" cap="rnd" cmpd="sng" algn="ctr">
              <a:solidFill>
                <a:srgbClr val="0099CC">
                  <a:alpha val="60000"/>
                </a:srgbClr>
              </a:solidFill>
              <a:prstDash val="solid"/>
              <a:round/>
            </a:ln>
            <a:effectLst/>
          </c:spPr>
          <c:marker>
            <c:symbol val="circle"/>
            <c:size val="6"/>
            <c:spPr>
              <a:solidFill>
                <a:srgbClr val="00B0F0"/>
              </a:solidFill>
              <a:ln w="9525" cap="flat" cmpd="sng" algn="ctr">
                <a:solidFill>
                  <a:schemeClr val="accent5">
                    <a:lumMod val="50000"/>
                  </a:schemeClr>
                </a:solidFill>
                <a:prstDash val="solid"/>
                <a:round/>
              </a:ln>
              <a:effectLst/>
            </c:spPr>
          </c:marker>
          <c:dLbls>
            <c:dLbl>
              <c:idx val="19"/>
              <c:layout>
                <c:manualLayout>
                  <c:x val="0"/>
                  <c:y val="1.76321445935818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2">
                        <a:lumMod val="50000"/>
                      </a:schemeClr>
                    </a:solidFill>
                    <a:latin typeface="+mn-lt"/>
                    <a:ea typeface="Arial Narrow"/>
                    <a:cs typeface="Arial Narrow"/>
                  </a:defRPr>
                </a:pPr>
                <a:endParaRPr lang="es-CO"/>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'5. Plan Inversión UTFC Nov 2013'!$E$5:$AB$5</c:f>
              <c:numCache>
                <c:formatCode>mmm\-yy</c:formatCode>
                <c:ptCount val="24"/>
                <c:pt idx="0">
                  <c:v>41579</c:v>
                </c:pt>
                <c:pt idx="1">
                  <c:v>41609</c:v>
                </c:pt>
                <c:pt idx="2">
                  <c:v>41640</c:v>
                </c:pt>
                <c:pt idx="3">
                  <c:v>41671</c:v>
                </c:pt>
                <c:pt idx="4">
                  <c:v>41699</c:v>
                </c:pt>
                <c:pt idx="5">
                  <c:v>41730</c:v>
                </c:pt>
                <c:pt idx="6">
                  <c:v>41760</c:v>
                </c:pt>
                <c:pt idx="7">
                  <c:v>41791</c:v>
                </c:pt>
                <c:pt idx="8">
                  <c:v>41821</c:v>
                </c:pt>
                <c:pt idx="9">
                  <c:v>41852</c:v>
                </c:pt>
                <c:pt idx="10">
                  <c:v>41883</c:v>
                </c:pt>
                <c:pt idx="11">
                  <c:v>41913</c:v>
                </c:pt>
                <c:pt idx="12">
                  <c:v>41944</c:v>
                </c:pt>
                <c:pt idx="13">
                  <c:v>41974</c:v>
                </c:pt>
                <c:pt idx="14">
                  <c:v>42005</c:v>
                </c:pt>
                <c:pt idx="15">
                  <c:v>42036</c:v>
                </c:pt>
                <c:pt idx="16">
                  <c:v>42064</c:v>
                </c:pt>
                <c:pt idx="17">
                  <c:v>42095</c:v>
                </c:pt>
                <c:pt idx="18">
                  <c:v>42125</c:v>
                </c:pt>
                <c:pt idx="19">
                  <c:v>42156</c:v>
                </c:pt>
                <c:pt idx="20">
                  <c:v>42186</c:v>
                </c:pt>
                <c:pt idx="21">
                  <c:v>42217</c:v>
                </c:pt>
                <c:pt idx="22">
                  <c:v>42248</c:v>
                </c:pt>
                <c:pt idx="23">
                  <c:v>42278</c:v>
                </c:pt>
              </c:numCache>
            </c:numRef>
          </c:cat>
          <c:val>
            <c:numRef>
              <c:f>'5. Plan Inversión UTFC Nov 2013'!$E$345:$AB$345</c:f>
              <c:numCache>
                <c:formatCode>0.00%</c:formatCode>
                <c:ptCount val="24"/>
                <c:pt idx="0">
                  <c:v>9.8845653519193631E-3</c:v>
                </c:pt>
                <c:pt idx="1">
                  <c:v>2.3467646937183426E-2</c:v>
                </c:pt>
                <c:pt idx="2">
                  <c:v>3.9525981389607744E-2</c:v>
                </c:pt>
                <c:pt idx="3">
                  <c:v>5.3519332412754923E-2</c:v>
                </c:pt>
                <c:pt idx="4">
                  <c:v>6.5329030525475257E-2</c:v>
                </c:pt>
                <c:pt idx="5">
                  <c:v>7.7532558862269799E-2</c:v>
                </c:pt>
                <c:pt idx="6">
                  <c:v>9.6086270072866103E-2</c:v>
                </c:pt>
                <c:pt idx="7">
                  <c:v>0.12449410625465028</c:v>
                </c:pt>
                <c:pt idx="8">
                  <c:v>0.17748421844413317</c:v>
                </c:pt>
                <c:pt idx="9">
                  <c:v>0.27153683136031576</c:v>
                </c:pt>
                <c:pt idx="10">
                  <c:v>0.37339000316693399</c:v>
                </c:pt>
                <c:pt idx="11">
                  <c:v>0.47163691718912598</c:v>
                </c:pt>
                <c:pt idx="12">
                  <c:v>0.5401303688851663</c:v>
                </c:pt>
                <c:pt idx="13">
                  <c:v>0.58237630214897984</c:v>
                </c:pt>
                <c:pt idx="14">
                  <c:v>0.61474241132888174</c:v>
                </c:pt>
                <c:pt idx="15">
                  <c:v>0.65568905088294793</c:v>
                </c:pt>
                <c:pt idx="16">
                  <c:v>0.71379675118534236</c:v>
                </c:pt>
                <c:pt idx="17">
                  <c:v>0.7290017996169158</c:v>
                </c:pt>
                <c:pt idx="18">
                  <c:v>0.74420684804848924</c:v>
                </c:pt>
                <c:pt idx="19">
                  <c:v>0.79536547843879157</c:v>
                </c:pt>
                <c:pt idx="20">
                  <c:v>0.84652410882909368</c:v>
                </c:pt>
                <c:pt idx="21">
                  <c:v>0.89768273921939579</c:v>
                </c:pt>
                <c:pt idx="22">
                  <c:v>0.94884136960969789</c:v>
                </c:pt>
                <c:pt idx="23">
                  <c:v>1</c:v>
                </c:pt>
              </c:numCache>
            </c:numRef>
          </c:val>
          <c:smooth val="1"/>
        </c:ser>
        <c:ser>
          <c:idx val="3"/>
          <c:order val="3"/>
          <c:tx>
            <c:strRef>
              <c:f>'5. Plan Inversión UTFC Nov 2013'!$A$348</c:f>
              <c:strCache>
                <c:ptCount val="1"/>
                <c:pt idx="0">
                  <c:v>Porcentaje de avance ejecutado</c:v>
                </c:pt>
              </c:strCache>
            </c:strRef>
          </c:tx>
          <c:spPr>
            <a:ln w="28575" cap="rnd" cmpd="sng" algn="ctr">
              <a:solidFill>
                <a:srgbClr val="00B050">
                  <a:alpha val="60000"/>
                </a:srgbClr>
              </a:solidFill>
              <a:prstDash val="solid"/>
              <a:round/>
            </a:ln>
            <a:effectLst/>
          </c:spPr>
          <c:marker>
            <c:symbol val="circle"/>
            <c:size val="6"/>
            <c:spPr>
              <a:solidFill>
                <a:srgbClr val="00B050"/>
              </a:solidFill>
              <a:ln w="9525" cap="flat" cmpd="sng" algn="ctr">
                <a:solidFill>
                  <a:schemeClr val="accent6">
                    <a:lumMod val="50000"/>
                  </a:schemeClr>
                </a:solidFill>
                <a:prstDash val="solid"/>
                <a:round/>
              </a:ln>
              <a:effectLst/>
            </c:spPr>
          </c:marker>
          <c:dLbls>
            <c:dLbl>
              <c:idx val="19"/>
              <c:layout>
                <c:manualLayout>
                  <c:x val="0"/>
                  <c:y val="1.41057156748654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2">
                        <a:lumMod val="50000"/>
                      </a:schemeClr>
                    </a:solidFill>
                    <a:latin typeface="+mn-lt"/>
                    <a:ea typeface="Arial Narrow"/>
                    <a:cs typeface="Arial Narrow"/>
                  </a:defRPr>
                </a:pPr>
                <a:endParaRPr lang="es-CO"/>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'5. Plan Inversión UTFC Nov 2013'!$E$5:$AB$5</c:f>
              <c:numCache>
                <c:formatCode>mmm\-yy</c:formatCode>
                <c:ptCount val="24"/>
                <c:pt idx="0">
                  <c:v>41579</c:v>
                </c:pt>
                <c:pt idx="1">
                  <c:v>41609</c:v>
                </c:pt>
                <c:pt idx="2">
                  <c:v>41640</c:v>
                </c:pt>
                <c:pt idx="3">
                  <c:v>41671</c:v>
                </c:pt>
                <c:pt idx="4">
                  <c:v>41699</c:v>
                </c:pt>
                <c:pt idx="5">
                  <c:v>41730</c:v>
                </c:pt>
                <c:pt idx="6">
                  <c:v>41760</c:v>
                </c:pt>
                <c:pt idx="7">
                  <c:v>41791</c:v>
                </c:pt>
                <c:pt idx="8">
                  <c:v>41821</c:v>
                </c:pt>
                <c:pt idx="9">
                  <c:v>41852</c:v>
                </c:pt>
                <c:pt idx="10">
                  <c:v>41883</c:v>
                </c:pt>
                <c:pt idx="11">
                  <c:v>41913</c:v>
                </c:pt>
                <c:pt idx="12">
                  <c:v>41944</c:v>
                </c:pt>
                <c:pt idx="13">
                  <c:v>41974</c:v>
                </c:pt>
                <c:pt idx="14">
                  <c:v>42005</c:v>
                </c:pt>
                <c:pt idx="15">
                  <c:v>42036</c:v>
                </c:pt>
                <c:pt idx="16">
                  <c:v>42064</c:v>
                </c:pt>
                <c:pt idx="17">
                  <c:v>42095</c:v>
                </c:pt>
                <c:pt idx="18">
                  <c:v>42125</c:v>
                </c:pt>
                <c:pt idx="19">
                  <c:v>42156</c:v>
                </c:pt>
                <c:pt idx="20">
                  <c:v>42186</c:v>
                </c:pt>
                <c:pt idx="21">
                  <c:v>42217</c:v>
                </c:pt>
                <c:pt idx="22">
                  <c:v>42248</c:v>
                </c:pt>
                <c:pt idx="23">
                  <c:v>42278</c:v>
                </c:pt>
              </c:numCache>
            </c:numRef>
          </c:cat>
          <c:val>
            <c:numRef>
              <c:f>'5. Plan Inversión UTFC Nov 2013'!$E$348:$X$348</c:f>
              <c:numCache>
                <c:formatCode>0.00%</c:formatCode>
                <c:ptCount val="20"/>
                <c:pt idx="0">
                  <c:v>5.4919598611511211E-3</c:v>
                </c:pt>
                <c:pt idx="1">
                  <c:v>1.5489183868400066E-2</c:v>
                </c:pt>
                <c:pt idx="2">
                  <c:v>3.0138208724554392E-2</c:v>
                </c:pt>
                <c:pt idx="3">
                  <c:v>3.9668474747631008E-2</c:v>
                </c:pt>
                <c:pt idx="4">
                  <c:v>4.9715811501609718E-2</c:v>
                </c:pt>
                <c:pt idx="5">
                  <c:v>6.1043482476975684E-2</c:v>
                </c:pt>
                <c:pt idx="6">
                  <c:v>7.6530592399039282E-2</c:v>
                </c:pt>
                <c:pt idx="7">
                  <c:v>9.0853024018492684E-2</c:v>
                </c:pt>
                <c:pt idx="8">
                  <c:v>0.12908915476990335</c:v>
                </c:pt>
                <c:pt idx="9">
                  <c:v>0.17781751675092378</c:v>
                </c:pt>
                <c:pt idx="10">
                  <c:v>0.21790546935940058</c:v>
                </c:pt>
                <c:pt idx="11">
                  <c:v>0.28031060870032387</c:v>
                </c:pt>
                <c:pt idx="12">
                  <c:v>0.3252432031543987</c:v>
                </c:pt>
                <c:pt idx="13">
                  <c:v>0.45380295844856877</c:v>
                </c:pt>
                <c:pt idx="14">
                  <c:v>0.47649791126778024</c:v>
                </c:pt>
                <c:pt idx="15">
                  <c:v>0.50816358366222336</c:v>
                </c:pt>
                <c:pt idx="16">
                  <c:v>0.55569698361499109</c:v>
                </c:pt>
                <c:pt idx="17">
                  <c:v>0.5824704701552823</c:v>
                </c:pt>
                <c:pt idx="18">
                  <c:v>0.62109349605696051</c:v>
                </c:pt>
                <c:pt idx="19">
                  <c:v>0.67887156605115728</c:v>
                </c:pt>
              </c:numCache>
            </c:numRef>
          </c:val>
          <c:smooth val="0"/>
        </c:ser>
        <c:dLbls>
          <c:showLegendKey val="0"/>
          <c:showVal val="0"/>
          <c:showCatName val="0"/>
          <c:showSerName val="0"/>
          <c:showPercent val="0"/>
          <c:showBubbleSize val="0"/>
        </c:dLbls>
        <c:marker val="1"/>
        <c:smooth val="0"/>
        <c:axId val="477720736"/>
        <c:axId val="477721296"/>
      </c:lineChart>
      <c:dateAx>
        <c:axId val="41656075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bg2">
                        <a:lumMod val="50000"/>
                      </a:schemeClr>
                    </a:solidFill>
                    <a:latin typeface="+mn-lt"/>
                    <a:ea typeface="Arial Narrow"/>
                    <a:cs typeface="Arial Narrow"/>
                  </a:defRPr>
                </a:pPr>
                <a:r>
                  <a:rPr lang="es-MX" sz="800" dirty="0">
                    <a:latin typeface="+mn-lt"/>
                  </a:rPr>
                  <a:t>Mes</a:t>
                </a:r>
              </a:p>
            </c:rich>
          </c:tx>
          <c:layout>
            <c:manualLayout>
              <c:xMode val="edge"/>
              <c:yMode val="edge"/>
              <c:x val="0.49356835445997821"/>
              <c:y val="0.85179529940908716"/>
            </c:manualLayout>
          </c:layout>
          <c:overlay val="0"/>
          <c:spPr>
            <a:noFill/>
            <a:ln w="25400">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mn-lt"/>
                  <a:ea typeface="Arial Narrow"/>
                  <a:cs typeface="Arial Narrow"/>
                </a:defRPr>
              </a:pPr>
              <a:endParaRPr lang="es-CO"/>
            </a:p>
          </c:txPr>
        </c:title>
        <c:numFmt formatCode="mmm\-yy"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1" vertOverflow="ellipsis" wrap="square" anchor="ctr" anchorCtr="1"/>
          <a:lstStyle/>
          <a:p>
            <a:pPr>
              <a:defRPr sz="900" b="0" i="0" u="none" strike="noStrike" kern="1200" baseline="0">
                <a:solidFill>
                  <a:schemeClr val="bg2">
                    <a:lumMod val="50000"/>
                  </a:schemeClr>
                </a:solidFill>
                <a:latin typeface="+mn-lt"/>
                <a:ea typeface="Arial Narrow"/>
                <a:cs typeface="Arial Narrow"/>
              </a:defRPr>
            </a:pPr>
            <a:endParaRPr lang="es-CO"/>
          </a:p>
        </c:txPr>
        <c:crossAx val="416561312"/>
        <c:crosses val="autoZero"/>
        <c:auto val="1"/>
        <c:lblOffset val="100"/>
        <c:baseTimeUnit val="months"/>
        <c:majorUnit val="3"/>
        <c:majorTimeUnit val="months"/>
      </c:dateAx>
      <c:valAx>
        <c:axId val="41656131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lgn="ctr" rtl="0">
                  <a:defRPr sz="900" b="0" i="0" u="none" strike="noStrike" kern="1200" baseline="0">
                    <a:solidFill>
                      <a:schemeClr val="bg2">
                        <a:lumMod val="50000"/>
                      </a:schemeClr>
                    </a:solidFill>
                    <a:latin typeface="+mn-lt"/>
                    <a:ea typeface="Arial Narrow"/>
                    <a:cs typeface="Arial Narrow"/>
                  </a:defRPr>
                </a:pPr>
                <a:r>
                  <a:rPr lang="es-MX" sz="900" dirty="0">
                    <a:latin typeface="+mn-lt"/>
                  </a:rPr>
                  <a:t>Valor </a:t>
                </a:r>
                <a:r>
                  <a:rPr lang="es-MX" sz="900" dirty="0" smtClean="0">
                    <a:latin typeface="+mn-lt"/>
                  </a:rPr>
                  <a:t>Inversión - Millones de Pesos </a:t>
                </a:r>
                <a:endParaRPr lang="es-MX" sz="900" dirty="0">
                  <a:latin typeface="+mn-lt"/>
                </a:endParaRPr>
              </a:p>
            </c:rich>
          </c:tx>
          <c:layout>
            <c:manualLayout>
              <c:xMode val="edge"/>
              <c:yMode val="edge"/>
              <c:x val="1.3847910207387902E-2"/>
              <c:y val="0.18063923882448296"/>
            </c:manualLayout>
          </c:layout>
          <c:overlay val="0"/>
          <c:spPr>
            <a:noFill/>
            <a:ln w="25400">
              <a:noFill/>
            </a:ln>
            <a:effectLst/>
          </c:spPr>
          <c:txPr>
            <a:bodyPr rot="-5400000" spcFirstLastPara="1" vertOverflow="ellipsis" vert="horz" wrap="square" anchor="ctr" anchorCtr="1"/>
            <a:lstStyle/>
            <a:p>
              <a:pPr algn="ctr" rtl="0">
                <a:defRPr sz="900" b="0" i="0" u="none" strike="noStrike" kern="1200" baseline="0">
                  <a:solidFill>
                    <a:schemeClr val="bg2">
                      <a:lumMod val="50000"/>
                    </a:schemeClr>
                  </a:solidFill>
                  <a:latin typeface="+mn-lt"/>
                  <a:ea typeface="Arial Narrow"/>
                  <a:cs typeface="Arial Narrow"/>
                </a:defRPr>
              </a:pPr>
              <a:endParaRPr lang="es-CO"/>
            </a:p>
          </c:txPr>
        </c:title>
        <c:numFmt formatCode="_(* #,##0_);_(* \(#,##0\);_(* &quot;-&quot;??_);_(@_)" sourceLinked="1"/>
        <c:majorTickMark val="none"/>
        <c:minorTickMark val="none"/>
        <c:tickLblPos val="nextTo"/>
        <c:spPr>
          <a:noFill/>
          <a:ln w="9525" cap="flat" cmpd="sng" algn="ctr">
            <a:noFill/>
            <a:prstDash val="solid"/>
            <a:round/>
          </a:ln>
          <a:effectLst/>
        </c:spPr>
        <c:txPr>
          <a:bodyPr rot="0" spcFirstLastPara="1" vertOverflow="ellipsis" wrap="square" anchor="ctr" anchorCtr="1"/>
          <a:lstStyle/>
          <a:p>
            <a:pPr>
              <a:defRPr sz="800" b="0" i="0" u="none" strike="noStrike" kern="1200" baseline="0">
                <a:solidFill>
                  <a:schemeClr val="bg2">
                    <a:lumMod val="50000"/>
                  </a:schemeClr>
                </a:solidFill>
                <a:latin typeface="+mn-lt"/>
                <a:ea typeface="Arial Narrow"/>
                <a:cs typeface="Arial Narrow"/>
              </a:defRPr>
            </a:pPr>
            <a:endParaRPr lang="es-CO"/>
          </a:p>
        </c:txPr>
        <c:crossAx val="416560752"/>
        <c:crosses val="autoZero"/>
        <c:crossBetween val="between"/>
        <c:dispUnits>
          <c:builtInUnit val="millions"/>
        </c:dispUnits>
      </c:valAx>
      <c:dateAx>
        <c:axId val="477720736"/>
        <c:scaling>
          <c:orientation val="minMax"/>
        </c:scaling>
        <c:delete val="1"/>
        <c:axPos val="b"/>
        <c:numFmt formatCode="mmm\-yy" sourceLinked="1"/>
        <c:majorTickMark val="out"/>
        <c:minorTickMark val="none"/>
        <c:tickLblPos val="nextTo"/>
        <c:crossAx val="477721296"/>
        <c:crosses val="autoZero"/>
        <c:auto val="1"/>
        <c:lblOffset val="100"/>
        <c:baseTimeUnit val="months"/>
      </c:dateAx>
      <c:valAx>
        <c:axId val="477721296"/>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bg2">
                        <a:lumMod val="50000"/>
                      </a:schemeClr>
                    </a:solidFill>
                    <a:latin typeface="+mj-lt"/>
                    <a:ea typeface="Arial Narrow"/>
                    <a:cs typeface="Arial Narrow"/>
                  </a:defRPr>
                </a:pPr>
                <a:r>
                  <a:rPr lang="es-MX" sz="900"/>
                  <a:t>Porcentaje de Avance</a:t>
                </a:r>
              </a:p>
            </c:rich>
          </c:tx>
          <c:layout>
            <c:manualLayout>
              <c:xMode val="edge"/>
              <c:yMode val="edge"/>
              <c:x val="0.94547778581403497"/>
              <c:y val="0.28290504503263625"/>
            </c:manualLayout>
          </c:layout>
          <c:overlay val="0"/>
          <c:spPr>
            <a:noFill/>
            <a:ln w="25400">
              <a:noFill/>
            </a:ln>
            <a:effectLst/>
          </c:spPr>
          <c:txPr>
            <a:bodyPr rot="-5400000" spcFirstLastPara="1" vertOverflow="ellipsis" vert="horz" wrap="square" anchor="ctr" anchorCtr="1"/>
            <a:lstStyle/>
            <a:p>
              <a:pPr>
                <a:defRPr sz="900" b="0" i="0" u="none" strike="noStrike" kern="1200" baseline="0">
                  <a:solidFill>
                    <a:schemeClr val="bg2">
                      <a:lumMod val="50000"/>
                    </a:schemeClr>
                  </a:solidFill>
                  <a:latin typeface="+mj-lt"/>
                  <a:ea typeface="Arial Narrow"/>
                  <a:cs typeface="Arial Narrow"/>
                </a:defRPr>
              </a:pPr>
              <a:endParaRPr lang="es-CO"/>
            </a:p>
          </c:txPr>
        </c:title>
        <c:numFmt formatCode="0%" sourceLinked="0"/>
        <c:majorTickMark val="out"/>
        <c:minorTickMark val="none"/>
        <c:tickLblPos val="nextTo"/>
        <c:spPr>
          <a:noFill/>
          <a:ln w="9525" cap="flat" cmpd="sng" algn="ctr">
            <a:noFill/>
            <a:prstDash val="solid"/>
            <a:round/>
          </a:ln>
          <a:effectLst/>
        </c:spPr>
        <c:txPr>
          <a:bodyPr rot="0" spcFirstLastPara="1" vertOverflow="ellipsis" wrap="square" anchor="ctr" anchorCtr="1"/>
          <a:lstStyle/>
          <a:p>
            <a:pPr>
              <a:defRPr sz="800" b="0" i="0" u="none" strike="noStrike" kern="1200" baseline="0">
                <a:solidFill>
                  <a:schemeClr val="bg2">
                    <a:lumMod val="50000"/>
                  </a:schemeClr>
                </a:solidFill>
                <a:latin typeface="+mn-lt"/>
                <a:ea typeface="Arial Narrow"/>
                <a:cs typeface="Arial Narrow"/>
              </a:defRPr>
            </a:pPr>
            <a:endParaRPr lang="es-CO"/>
          </a:p>
        </c:txPr>
        <c:crossAx val="477720736"/>
        <c:crosses val="max"/>
        <c:crossBetween val="between"/>
      </c:valAx>
      <c:spPr>
        <a:noFill/>
        <a:ln w="25400">
          <a:noFill/>
        </a:ln>
        <a:effectLst/>
      </c:spPr>
    </c:plotArea>
    <c:legend>
      <c:legendPos val="b"/>
      <c:layout>
        <c:manualLayout>
          <c:xMode val="edge"/>
          <c:yMode val="edge"/>
          <c:x val="8.7810514153668404E-2"/>
          <c:y val="0.88663169670934205"/>
          <c:w val="0.85673021374927782"/>
          <c:h val="0.113368374407744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mn-lt"/>
              <a:ea typeface="Arial Narrow"/>
              <a:cs typeface="Arial Narrow"/>
            </a:defRPr>
          </a:pPr>
          <a:endParaRPr lang="es-CO"/>
        </a:p>
      </c:txPr>
    </c:legend>
    <c:plotVisOnly val="1"/>
    <c:dispBlanksAs val="gap"/>
    <c:showDLblsOverMax val="0"/>
  </c:chart>
  <c:spPr>
    <a:solidFill>
      <a:schemeClr val="bg1"/>
    </a:solidFill>
    <a:ln w="9525" cap="flat" cmpd="sng" algn="ctr">
      <a:solidFill>
        <a:schemeClr val="bg1">
          <a:lumMod val="75000"/>
        </a:schemeClr>
      </a:solidFill>
      <a:prstDash val="solid"/>
      <a:round/>
    </a:ln>
    <a:effectLst>
      <a:outerShdw blurRad="50800" dist="38100" dir="2700000" algn="tl" rotWithShape="0">
        <a:prstClr val="black">
          <a:alpha val="40000"/>
        </a:prstClr>
      </a:outerShdw>
    </a:effectLst>
  </c:spPr>
  <c:txPr>
    <a:bodyPr/>
    <a:lstStyle/>
    <a:p>
      <a:pPr>
        <a:defRPr sz="1000" b="0" i="0" u="none" strike="noStrike" baseline="0">
          <a:solidFill>
            <a:schemeClr val="bg2">
              <a:lumMod val="50000"/>
            </a:schemeClr>
          </a:solidFill>
          <a:latin typeface="+mj-lt"/>
          <a:ea typeface="Arial Narrow"/>
          <a:cs typeface="Arial Narrow"/>
        </a:defRPr>
      </a:pPr>
      <a:endParaRPr lang="es-C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75000"/>
                    <a:lumOff val="25000"/>
                  </a:schemeClr>
                </a:solidFill>
                <a:latin typeface="+mn-lt"/>
                <a:ea typeface="+mn-ea"/>
                <a:cs typeface="+mn-cs"/>
              </a:defRPr>
            </a:pPr>
            <a:r>
              <a:rPr lang="es-MX" sz="1200" b="1">
                <a:solidFill>
                  <a:schemeClr val="tx1">
                    <a:lumMod val="75000"/>
                    <a:lumOff val="25000"/>
                  </a:schemeClr>
                </a:solidFill>
                <a:latin typeface="+mn-lt"/>
              </a:rPr>
              <a:t>Avance Físico de Obras Contrato 418 de 2013</a:t>
            </a:r>
            <a:r>
              <a:rPr lang="es-MX" sz="1200" b="1" baseline="0">
                <a:solidFill>
                  <a:schemeClr val="tx1">
                    <a:lumMod val="75000"/>
                    <a:lumOff val="25000"/>
                  </a:schemeClr>
                </a:solidFill>
                <a:latin typeface="+mn-lt"/>
              </a:rPr>
              <a:t> a 30 de Junio 2015</a:t>
            </a:r>
            <a:endParaRPr lang="es-CO" sz="1200" b="1">
              <a:solidFill>
                <a:schemeClr val="tx1">
                  <a:lumMod val="75000"/>
                  <a:lumOff val="25000"/>
                </a:schemeClr>
              </a:solidFill>
              <a:latin typeface="+mn-lt"/>
            </a:endParaRPr>
          </a:p>
        </c:rich>
      </c:tx>
      <c:layout>
        <c:manualLayout>
          <c:xMode val="edge"/>
          <c:yMode val="edge"/>
          <c:x val="0.12736042141073828"/>
          <c:y val="3.267459988554062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75000"/>
                  <a:lumOff val="25000"/>
                </a:schemeClr>
              </a:solidFill>
              <a:latin typeface="+mn-lt"/>
              <a:ea typeface="+mn-ea"/>
              <a:cs typeface="+mn-cs"/>
            </a:defRPr>
          </a:pPr>
          <a:endParaRPr lang="es-CO"/>
        </a:p>
      </c:txPr>
    </c:title>
    <c:autoTitleDeleted val="0"/>
    <c:plotArea>
      <c:layout>
        <c:manualLayout>
          <c:layoutTarget val="inner"/>
          <c:xMode val="edge"/>
          <c:yMode val="edge"/>
          <c:x val="0.11908646438995041"/>
          <c:y val="0.20576756852761824"/>
          <c:w val="0.77816949710554473"/>
          <c:h val="0.57001637953150597"/>
        </c:manualLayout>
      </c:layout>
      <c:barChart>
        <c:barDir val="col"/>
        <c:grouping val="clustered"/>
        <c:varyColors val="0"/>
        <c:ser>
          <c:idx val="0"/>
          <c:order val="0"/>
          <c:tx>
            <c:strRef>
              <c:f>'VERSION REPORTES CIVF'!$F$58</c:f>
              <c:strCache>
                <c:ptCount val="1"/>
                <c:pt idx="0">
                  <c:v>Porcentaje de avance</c:v>
                </c:pt>
              </c:strCache>
            </c:strRef>
          </c:tx>
          <c:spPr>
            <a:gradFill rotWithShape="1">
              <a:gsLst>
                <a:gs pos="0">
                  <a:schemeClr val="accent5">
                    <a:satMod val="103000"/>
                    <a:lumMod val="102000"/>
                    <a:tint val="94000"/>
                    <a:alpha val="96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9.7171854710582691E-18"/>
                  <c:y val="-2.309612221563776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201376854139702E-3"/>
                  <c:y val="-2.969501427724855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360413056241911E-3"/>
                  <c:y val="-4.28927984004701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2402753708279404E-3"/>
                  <c:y val="-2.3096122215637765E-2"/>
                </c:manualLayout>
              </c:layout>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'VERSION REPORTES CIVF'!$E$59:$E$72</c:f>
              <c:numCache>
                <c:formatCode>mmm\-yy</c:formatCode>
                <c:ptCount val="14"/>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numCache>
            </c:numRef>
          </c:cat>
          <c:val>
            <c:numRef>
              <c:f>'VERSION REPORTES CIVF'!$F$59:$F$72</c:f>
              <c:numCache>
                <c:formatCode>0.00%</c:formatCode>
                <c:ptCount val="14"/>
                <c:pt idx="0">
                  <c:v>2.5517272283743235E-3</c:v>
                </c:pt>
                <c:pt idx="1">
                  <c:v>1.7036928668307066E-2</c:v>
                </c:pt>
                <c:pt idx="2">
                  <c:v>2.833935257806431E-2</c:v>
                </c:pt>
                <c:pt idx="3">
                  <c:v>8.4795639554123045E-2</c:v>
                </c:pt>
                <c:pt idx="4">
                  <c:v>0.23292898660601469</c:v>
                </c:pt>
                <c:pt idx="5">
                  <c:v>0.33320192064695475</c:v>
                </c:pt>
                <c:pt idx="6">
                  <c:v>0.46122567601718473</c:v>
                </c:pt>
                <c:pt idx="7">
                  <c:v>0.52602729340409393</c:v>
                </c:pt>
                <c:pt idx="8">
                  <c:v>0.62827899924184993</c:v>
                </c:pt>
                <c:pt idx="9">
                  <c:v>0.72725044225423308</c:v>
                </c:pt>
                <c:pt idx="10">
                  <c:v>0.81736416477129137</c:v>
                </c:pt>
                <c:pt idx="11">
                  <c:v>0.93620000000000003</c:v>
                </c:pt>
                <c:pt idx="12">
                  <c:v>0.96809999999999996</c:v>
                </c:pt>
                <c:pt idx="13">
                  <c:v>1</c:v>
                </c:pt>
              </c:numCache>
            </c:numRef>
          </c:val>
        </c:ser>
        <c:dLbls>
          <c:showLegendKey val="0"/>
          <c:showVal val="1"/>
          <c:showCatName val="0"/>
          <c:showSerName val="0"/>
          <c:showPercent val="0"/>
          <c:showBubbleSize val="0"/>
        </c:dLbls>
        <c:gapWidth val="150"/>
        <c:axId val="477724096"/>
        <c:axId val="314758448"/>
      </c:barChart>
      <c:lineChart>
        <c:grouping val="standard"/>
        <c:varyColors val="0"/>
        <c:ser>
          <c:idx val="1"/>
          <c:order val="1"/>
          <c:tx>
            <c:strRef>
              <c:f>'VERSION REPORTES CIVF'!$G$58</c:f>
              <c:strCache>
                <c:ptCount val="1"/>
                <c:pt idx="0">
                  <c:v>Obras ejecutadas</c:v>
                </c:pt>
              </c:strCache>
            </c:strRef>
          </c:tx>
          <c:spPr>
            <a:ln w="28575" cap="rnd">
              <a:solidFill>
                <a:schemeClr val="accent2">
                  <a:lumMod val="75000"/>
                  <a:alpha val="61000"/>
                </a:schemeClr>
              </a:solidFill>
              <a:round/>
            </a:ln>
            <a:effectLst/>
          </c:spPr>
          <c:marker>
            <c:symbol val="circle"/>
            <c:size val="6"/>
            <c:spPr>
              <a:solidFill>
                <a:srgbClr val="E36B1A"/>
              </a:solidFill>
              <a:ln w="9525">
                <a:solidFill>
                  <a:srgbClr val="C00000"/>
                </a:solidFill>
              </a:ln>
              <a:effectLst/>
            </c:spPr>
          </c:marker>
          <c:dLbls>
            <c:dLbl>
              <c:idx val="0"/>
              <c:layout>
                <c:manualLayout>
                  <c:x val="-1.9434370942116538E-17"/>
                  <c:y val="1.64972301540268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201376854139702E-3"/>
                  <c:y val="2.639556824644315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8868741884233077E-17"/>
                  <c:y val="3.2994460308053947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4724105815221633E-4"/>
                  <c:y val="2.08801799800022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mj-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'VERSION REPORTES CIVF'!$E$59:$E$72</c:f>
              <c:numCache>
                <c:formatCode>mmm\-yy</c:formatCode>
                <c:ptCount val="14"/>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numCache>
            </c:numRef>
          </c:cat>
          <c:val>
            <c:numRef>
              <c:f>'VERSION REPORTES CIVF'!$G$59:$G$72</c:f>
              <c:numCache>
                <c:formatCode>General</c:formatCode>
                <c:ptCount val="14"/>
                <c:pt idx="0">
                  <c:v>0</c:v>
                </c:pt>
                <c:pt idx="1">
                  <c:v>0</c:v>
                </c:pt>
                <c:pt idx="2">
                  <c:v>2</c:v>
                </c:pt>
                <c:pt idx="3">
                  <c:v>4</c:v>
                </c:pt>
                <c:pt idx="4">
                  <c:v>7</c:v>
                </c:pt>
                <c:pt idx="5">
                  <c:v>7</c:v>
                </c:pt>
                <c:pt idx="6">
                  <c:v>12</c:v>
                </c:pt>
                <c:pt idx="7">
                  <c:v>19</c:v>
                </c:pt>
                <c:pt idx="8">
                  <c:v>26</c:v>
                </c:pt>
                <c:pt idx="9">
                  <c:v>29</c:v>
                </c:pt>
                <c:pt idx="10">
                  <c:v>32</c:v>
                </c:pt>
                <c:pt idx="11">
                  <c:v>39</c:v>
                </c:pt>
                <c:pt idx="12">
                  <c:v>42</c:v>
                </c:pt>
                <c:pt idx="13">
                  <c:v>47</c:v>
                </c:pt>
              </c:numCache>
            </c:numRef>
          </c:val>
          <c:smooth val="1"/>
        </c:ser>
        <c:dLbls>
          <c:showLegendKey val="0"/>
          <c:showVal val="1"/>
          <c:showCatName val="0"/>
          <c:showSerName val="0"/>
          <c:showPercent val="0"/>
          <c:showBubbleSize val="0"/>
        </c:dLbls>
        <c:marker val="1"/>
        <c:smooth val="0"/>
        <c:axId val="314759568"/>
        <c:axId val="314759008"/>
      </c:lineChart>
      <c:dateAx>
        <c:axId val="4777240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bg2">
                        <a:lumMod val="50000"/>
                      </a:schemeClr>
                    </a:solidFill>
                    <a:latin typeface="+mn-lt"/>
                    <a:ea typeface="+mn-ea"/>
                    <a:cs typeface="+mn-cs"/>
                  </a:defRPr>
                </a:pPr>
                <a:r>
                  <a:rPr lang="es-MX" sz="800" dirty="0" smtClean="0">
                    <a:latin typeface="+mn-lt"/>
                  </a:rPr>
                  <a:t>Plazo de ejecución</a:t>
                </a:r>
                <a:endParaRPr lang="es-MX" sz="800" dirty="0">
                  <a:latin typeface="+mn-lt"/>
                </a:endParaRPr>
              </a:p>
            </c:rich>
          </c:tx>
          <c:layout>
            <c:manualLayout>
              <c:xMode val="edge"/>
              <c:yMode val="edge"/>
              <c:x val="0.45469779692172624"/>
              <c:y val="0.8708439205835466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mn-lt"/>
                  <a:ea typeface="+mn-ea"/>
                  <a:cs typeface="+mn-cs"/>
                </a:defRPr>
              </a:pPr>
              <a:endParaRPr lang="es-CO"/>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bg2">
                    <a:lumMod val="50000"/>
                  </a:schemeClr>
                </a:solidFill>
                <a:latin typeface="+mn-lt"/>
                <a:ea typeface="+mn-ea"/>
                <a:cs typeface="+mn-cs"/>
              </a:defRPr>
            </a:pPr>
            <a:endParaRPr lang="es-CO"/>
          </a:p>
        </c:txPr>
        <c:crossAx val="314758448"/>
        <c:crosses val="autoZero"/>
        <c:auto val="1"/>
        <c:lblOffset val="100"/>
        <c:baseTimeUnit val="months"/>
        <c:majorUnit val="2"/>
        <c:majorTimeUnit val="months"/>
      </c:dateAx>
      <c:valAx>
        <c:axId val="31475844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bg2">
                        <a:lumMod val="50000"/>
                      </a:schemeClr>
                    </a:solidFill>
                    <a:latin typeface="+mn-lt"/>
                    <a:ea typeface="+mn-ea"/>
                    <a:cs typeface="+mn-cs"/>
                  </a:defRPr>
                </a:pPr>
                <a:r>
                  <a:rPr lang="es-MX" sz="900" dirty="0" smtClean="0">
                    <a:latin typeface="+mn-lt"/>
                  </a:rPr>
                  <a:t>% avance de obra</a:t>
                </a:r>
                <a:endParaRPr lang="es-MX" sz="900" dirty="0">
                  <a:latin typeface="+mn-lt"/>
                </a:endParaRPr>
              </a:p>
            </c:rich>
          </c:tx>
          <c:layout>
            <c:manualLayout>
              <c:xMode val="edge"/>
              <c:yMode val="edge"/>
              <c:x val="1.9687965833539104E-2"/>
              <c:y val="0.3368346134647279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bg2">
                      <a:lumMod val="50000"/>
                    </a:schemeClr>
                  </a:solidFill>
                  <a:latin typeface="+mn-lt"/>
                  <a:ea typeface="+mn-ea"/>
                  <a:cs typeface="+mn-cs"/>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2">
                    <a:lumMod val="50000"/>
                  </a:schemeClr>
                </a:solidFill>
                <a:latin typeface="+mn-lt"/>
                <a:ea typeface="+mn-ea"/>
                <a:cs typeface="+mn-cs"/>
              </a:defRPr>
            </a:pPr>
            <a:endParaRPr lang="es-CO"/>
          </a:p>
        </c:txPr>
        <c:crossAx val="477724096"/>
        <c:crosses val="autoZero"/>
        <c:crossBetween val="between"/>
      </c:valAx>
      <c:valAx>
        <c:axId val="314759008"/>
        <c:scaling>
          <c:orientation val="minMax"/>
          <c:max val="47"/>
          <c:min val="0"/>
        </c:scaling>
        <c:delete val="0"/>
        <c:axPos val="r"/>
        <c:title>
          <c:tx>
            <c:rich>
              <a:bodyPr rot="-5400000" spcFirstLastPara="1" vertOverflow="ellipsis" vert="horz" wrap="square" anchor="ctr" anchorCtr="1"/>
              <a:lstStyle/>
              <a:p>
                <a:pPr>
                  <a:defRPr sz="900" b="0" i="0" u="none" strike="noStrike" kern="1200" baseline="0">
                    <a:solidFill>
                      <a:schemeClr val="bg2">
                        <a:lumMod val="50000"/>
                      </a:schemeClr>
                    </a:solidFill>
                    <a:latin typeface="+mn-lt"/>
                    <a:ea typeface="+mn-ea"/>
                    <a:cs typeface="+mn-cs"/>
                  </a:defRPr>
                </a:pPr>
                <a:r>
                  <a:rPr lang="es-MX" sz="900" dirty="0" smtClean="0">
                    <a:latin typeface="+mn-lt"/>
                  </a:rPr>
                  <a:t>Obras culminadas</a:t>
                </a:r>
                <a:endParaRPr lang="es-MX" sz="900" dirty="0">
                  <a:latin typeface="+mn-lt"/>
                </a:endParaRPr>
              </a:p>
            </c:rich>
          </c:tx>
          <c:layout>
            <c:manualLayout>
              <c:xMode val="edge"/>
              <c:yMode val="edge"/>
              <c:x val="0.95928267228163722"/>
              <c:y val="0.3533010437940407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bg2">
                      <a:lumMod val="50000"/>
                    </a:schemeClr>
                  </a:solidFill>
                  <a:latin typeface="+mn-lt"/>
                  <a:ea typeface="+mn-ea"/>
                  <a:cs typeface="+mn-cs"/>
                </a:defRPr>
              </a:pPr>
              <a:endParaRPr lang="es-C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2">
                    <a:lumMod val="50000"/>
                  </a:schemeClr>
                </a:solidFill>
                <a:latin typeface="+mn-lt"/>
                <a:ea typeface="+mn-ea"/>
                <a:cs typeface="+mn-cs"/>
              </a:defRPr>
            </a:pPr>
            <a:endParaRPr lang="es-CO"/>
          </a:p>
        </c:txPr>
        <c:crossAx val="314759568"/>
        <c:crosses val="max"/>
        <c:crossBetween val="between"/>
      </c:valAx>
      <c:dateAx>
        <c:axId val="314759568"/>
        <c:scaling>
          <c:orientation val="minMax"/>
        </c:scaling>
        <c:delete val="1"/>
        <c:axPos val="b"/>
        <c:numFmt formatCode="mmm\-yy" sourceLinked="1"/>
        <c:majorTickMark val="out"/>
        <c:minorTickMark val="none"/>
        <c:tickLblPos val="nextTo"/>
        <c:crossAx val="314759008"/>
        <c:crosses val="autoZero"/>
        <c:auto val="1"/>
        <c:lblOffset val="100"/>
        <c:baseTimeUnit val="months"/>
        <c:majorUnit val="1"/>
        <c:minorUnit val="1"/>
      </c:dateAx>
      <c:spPr>
        <a:noFill/>
        <a:ln>
          <a:noFill/>
        </a:ln>
        <a:effectLst/>
      </c:spPr>
    </c:plotArea>
    <c:legend>
      <c:legendPos val="b"/>
      <c:layout>
        <c:manualLayout>
          <c:xMode val="edge"/>
          <c:yMode val="edge"/>
          <c:x val="0.28834173013585407"/>
          <c:y val="0.93909010109987778"/>
          <c:w val="0.48268022797990778"/>
          <c:h val="5.56785414681911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bg1">
          <a:lumMod val="75000"/>
        </a:schemeClr>
      </a:solidFill>
      <a:round/>
    </a:ln>
    <a:effectLst>
      <a:outerShdw blurRad="50800" dist="38100" dir="2700000" algn="tl" rotWithShape="0">
        <a:prstClr val="black">
          <a:alpha val="40000"/>
        </a:prstClr>
      </a:outerShdw>
    </a:effectLst>
  </c:spPr>
  <c:txPr>
    <a:bodyPr/>
    <a:lstStyle/>
    <a:p>
      <a:pPr>
        <a:defRPr>
          <a:solidFill>
            <a:schemeClr val="bg2">
              <a:lumMod val="50000"/>
            </a:schemeClr>
          </a:solidFill>
          <a:latin typeface="+mj-lt"/>
        </a:defRPr>
      </a:pPr>
      <a:endParaRPr lang="es-C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s-CO" sz="1200">
                <a:solidFill>
                  <a:schemeClr val="tx1"/>
                </a:solidFill>
              </a:rPr>
              <a:t>Total de Kilómetros de actividades de mantenimiento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Hoja2!$O$5</c:f>
              <c:strCache>
                <c:ptCount val="1"/>
                <c:pt idx="0">
                  <c:v>Bueno</c:v>
                </c:pt>
              </c:strCache>
            </c:strRef>
          </c:tx>
          <c:spPr>
            <a:solidFill>
              <a:srgbClr val="00B05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Hoja2!$N$6:$N$8</c:f>
              <c:strCache>
                <c:ptCount val="3"/>
                <c:pt idx="0">
                  <c:v>Deshierbe y rocería</c:v>
                </c:pt>
                <c:pt idx="1">
                  <c:v>Riego químico</c:v>
                </c:pt>
                <c:pt idx="2">
                  <c:v>Limpieza de cunetas</c:v>
                </c:pt>
              </c:strCache>
            </c:strRef>
          </c:cat>
          <c:val>
            <c:numRef>
              <c:f>Hoja2!$O$6:$O$8</c:f>
              <c:numCache>
                <c:formatCode>General</c:formatCode>
                <c:ptCount val="3"/>
                <c:pt idx="0">
                  <c:v>120</c:v>
                </c:pt>
                <c:pt idx="1">
                  <c:v>120</c:v>
                </c:pt>
                <c:pt idx="2">
                  <c:v>67</c:v>
                </c:pt>
              </c:numCache>
            </c:numRef>
          </c:val>
          <c:shape val="cylinder"/>
        </c:ser>
        <c:ser>
          <c:idx val="1"/>
          <c:order val="1"/>
          <c:tx>
            <c:strRef>
              <c:f>Hoja2!$P$5</c:f>
              <c:strCache>
                <c:ptCount val="1"/>
                <c:pt idx="0">
                  <c:v>Regular</c:v>
                </c:pt>
              </c:strCache>
            </c:strRef>
          </c:tx>
          <c:spPr>
            <a:solidFill>
              <a:srgbClr val="FFC00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Hoja2!$N$6:$N$8</c:f>
              <c:strCache>
                <c:ptCount val="3"/>
                <c:pt idx="0">
                  <c:v>Deshierbe y rocería</c:v>
                </c:pt>
                <c:pt idx="1">
                  <c:v>Riego químico</c:v>
                </c:pt>
                <c:pt idx="2">
                  <c:v>Limpieza de cunetas</c:v>
                </c:pt>
              </c:strCache>
            </c:strRef>
          </c:cat>
          <c:val>
            <c:numRef>
              <c:f>Hoja2!$P$6:$P$8</c:f>
              <c:numCache>
                <c:formatCode>General</c:formatCode>
                <c:ptCount val="3"/>
                <c:pt idx="0">
                  <c:v>75</c:v>
                </c:pt>
                <c:pt idx="1">
                  <c:v>75</c:v>
                </c:pt>
                <c:pt idx="2">
                  <c:v>45</c:v>
                </c:pt>
              </c:numCache>
            </c:numRef>
          </c:val>
          <c:shape val="cylinder"/>
        </c:ser>
        <c:ser>
          <c:idx val="2"/>
          <c:order val="2"/>
          <c:tx>
            <c:strRef>
              <c:f>Hoja2!$Q$5</c:f>
              <c:strCache>
                <c:ptCount val="1"/>
                <c:pt idx="0">
                  <c:v>Malo</c:v>
                </c:pt>
              </c:strCache>
            </c:strRef>
          </c:tx>
          <c:spPr>
            <a:solidFill>
              <a:schemeClr val="accent1">
                <a:lumMod val="75000"/>
              </a:schemeClr>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Hoja2!$N$6:$N$8</c:f>
              <c:strCache>
                <c:ptCount val="3"/>
                <c:pt idx="0">
                  <c:v>Deshierbe y rocería</c:v>
                </c:pt>
                <c:pt idx="1">
                  <c:v>Riego químico</c:v>
                </c:pt>
                <c:pt idx="2">
                  <c:v>Limpieza de cunetas</c:v>
                </c:pt>
              </c:strCache>
            </c:strRef>
          </c:cat>
          <c:val>
            <c:numRef>
              <c:f>Hoja2!$Q$6:$Q$8</c:f>
              <c:numCache>
                <c:formatCode>General</c:formatCode>
                <c:ptCount val="3"/>
                <c:pt idx="0">
                  <c:v>20</c:v>
                </c:pt>
                <c:pt idx="1">
                  <c:v>20</c:v>
                </c:pt>
                <c:pt idx="2">
                  <c:v>3</c:v>
                </c:pt>
              </c:numCache>
            </c:numRef>
          </c:val>
          <c:shape val="cylinder"/>
        </c:ser>
        <c:ser>
          <c:idx val="3"/>
          <c:order val="3"/>
          <c:tx>
            <c:strRef>
              <c:f>Hoja2!$R$5</c:f>
              <c:strCache>
                <c:ptCount val="1"/>
                <c:pt idx="0">
                  <c:v>No se ha efectuado</c:v>
                </c:pt>
              </c:strCache>
            </c:strRef>
          </c:tx>
          <c:spPr>
            <a:solidFill>
              <a:srgbClr val="FF000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Hoja2!$N$6:$N$8</c:f>
              <c:strCache>
                <c:ptCount val="3"/>
                <c:pt idx="0">
                  <c:v>Deshierbe y rocería</c:v>
                </c:pt>
                <c:pt idx="1">
                  <c:v>Riego químico</c:v>
                </c:pt>
                <c:pt idx="2">
                  <c:v>Limpieza de cunetas</c:v>
                </c:pt>
              </c:strCache>
            </c:strRef>
          </c:cat>
          <c:val>
            <c:numRef>
              <c:f>Hoja2!$R$6:$R$8</c:f>
              <c:numCache>
                <c:formatCode>General</c:formatCode>
                <c:ptCount val="3"/>
                <c:pt idx="0">
                  <c:v>0</c:v>
                </c:pt>
                <c:pt idx="1">
                  <c:v>0</c:v>
                </c:pt>
                <c:pt idx="2">
                  <c:v>4</c:v>
                </c:pt>
              </c:numCache>
            </c:numRef>
          </c:val>
          <c:shape val="cylinder"/>
        </c:ser>
        <c:dLbls>
          <c:showLegendKey val="0"/>
          <c:showVal val="1"/>
          <c:showCatName val="0"/>
          <c:showSerName val="0"/>
          <c:showPercent val="0"/>
          <c:showBubbleSize val="0"/>
        </c:dLbls>
        <c:gapWidth val="150"/>
        <c:shape val="box"/>
        <c:axId val="417377344"/>
        <c:axId val="417377904"/>
        <c:axId val="0"/>
      </c:bar3DChart>
      <c:catAx>
        <c:axId val="4173773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417377904"/>
        <c:crosses val="autoZero"/>
        <c:auto val="1"/>
        <c:lblAlgn val="ctr"/>
        <c:lblOffset val="100"/>
        <c:noMultiLvlLbl val="0"/>
      </c:catAx>
      <c:valAx>
        <c:axId val="417377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CO"/>
                  <a:t>Kilómetros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41737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solidFill>
                <a:latin typeface="+mn-lt"/>
                <a:ea typeface="+mn-ea"/>
                <a:cs typeface="+mn-cs"/>
              </a:defRPr>
            </a:pPr>
            <a:r>
              <a:rPr lang="en-US" sz="1200"/>
              <a:t>Deshierbe y Roceria</a:t>
            </a:r>
          </a:p>
        </c:rich>
      </c:tx>
      <c:layout>
        <c:manualLayout>
          <c:xMode val="edge"/>
          <c:yMode val="edge"/>
          <c:x val="0.26180553731078016"/>
          <c:y val="2.131628030908606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411020683981665E-2"/>
          <c:y val="0.17077146881566491"/>
          <c:w val="0.93746878305323778"/>
          <c:h val="0.69571868032624951"/>
        </c:manualLayout>
      </c:layout>
      <c:pie3DChart>
        <c:varyColors val="1"/>
        <c:ser>
          <c:idx val="0"/>
          <c:order val="0"/>
          <c:spPr>
            <a:solidFill>
              <a:srgbClr val="00B050"/>
            </a:solidFill>
          </c:spPr>
          <c:explosion val="10"/>
          <c:dPt>
            <c:idx val="0"/>
            <c:bubble3D val="0"/>
            <c:spPr>
              <a:solidFill>
                <a:srgbClr val="00B050"/>
              </a:solidFill>
              <a:ln>
                <a:noFill/>
              </a:ln>
              <a:effectLst>
                <a:outerShdw blurRad="57150" dist="19050" dir="5400000" algn="ctr" rotWithShape="0">
                  <a:srgbClr val="000000">
                    <a:alpha val="63000"/>
                  </a:srgbClr>
                </a:outerShdw>
              </a:effectLst>
              <a:sp3d/>
            </c:spPr>
          </c:dPt>
          <c:dPt>
            <c:idx val="1"/>
            <c:bubble3D val="0"/>
            <c:spPr>
              <a:solidFill>
                <a:srgbClr val="FFC000"/>
              </a:solidFill>
              <a:ln>
                <a:noFill/>
              </a:ln>
              <a:effectLst>
                <a:outerShdw blurRad="57150" dist="19050" dir="5400000" algn="ctr" rotWithShape="0">
                  <a:srgbClr val="000000">
                    <a:alpha val="63000"/>
                  </a:srgbClr>
                </a:outerShdw>
              </a:effectLst>
              <a:sp3d/>
            </c:spPr>
          </c:dPt>
          <c:dPt>
            <c:idx val="2"/>
            <c:bubble3D val="0"/>
            <c:spPr>
              <a:solidFill>
                <a:schemeClr val="accent1">
                  <a:lumMod val="75000"/>
                </a:schemeClr>
              </a:solidFill>
              <a:ln>
                <a:noFill/>
              </a:ln>
              <a:effectLst>
                <a:outerShdw blurRad="57150" dist="19050" dir="5400000" algn="ctr" rotWithShape="0">
                  <a:srgbClr val="000000">
                    <a:alpha val="63000"/>
                  </a:srgbClr>
                </a:outerShdw>
              </a:effectLst>
              <a:sp3d/>
            </c:spPr>
          </c:dPt>
          <c:dPt>
            <c:idx val="3"/>
            <c:bubble3D val="0"/>
            <c:spPr>
              <a:solidFill>
                <a:srgbClr val="00B050"/>
              </a:soli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Hoja2!$J$6:$J$9</c:f>
              <c:strCache>
                <c:ptCount val="4"/>
                <c:pt idx="0">
                  <c:v>Bueno</c:v>
                </c:pt>
                <c:pt idx="1">
                  <c:v>Regular</c:v>
                </c:pt>
                <c:pt idx="2">
                  <c:v>Malo</c:v>
                </c:pt>
                <c:pt idx="3">
                  <c:v>No se ha efectuado</c:v>
                </c:pt>
              </c:strCache>
            </c:strRef>
          </c:cat>
          <c:val>
            <c:numRef>
              <c:f>Hoja2!$K$6:$K$9</c:f>
              <c:numCache>
                <c:formatCode>0.0%</c:formatCode>
                <c:ptCount val="4"/>
                <c:pt idx="0">
                  <c:v>0.55813953488372092</c:v>
                </c:pt>
                <c:pt idx="1">
                  <c:v>0.34883720930232559</c:v>
                </c:pt>
                <c:pt idx="2">
                  <c:v>9.3023255813953487E-2</c:v>
                </c:pt>
              </c:numCache>
            </c:numRef>
          </c:val>
        </c:ser>
        <c:dLbls>
          <c:dLblPos val="bestFit"/>
          <c:showLegendKey val="0"/>
          <c:showVal val="1"/>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s-CO"/>
        </a:p>
      </c:txPr>
    </c:legend>
    <c:plotVisOnly val="1"/>
    <c:dispBlanksAs val="gap"/>
    <c:showDLblsOverMax val="0"/>
  </c:chart>
  <c:spPr>
    <a:solidFill>
      <a:schemeClr val="lt1"/>
    </a:solidFill>
    <a:ln w="12700" cap="flat" cmpd="sng" algn="ctr">
      <a:noFill/>
      <a:prstDash val="solid"/>
      <a:miter lim="800000"/>
    </a:ln>
    <a:effectLst/>
  </c:spPr>
  <c:txPr>
    <a:bodyPr/>
    <a:lstStyle/>
    <a:p>
      <a:pPr>
        <a:defRPr>
          <a:solidFill>
            <a:schemeClr val="dk1"/>
          </a:solidFill>
          <a:latin typeface="+mn-lt"/>
          <a:ea typeface="+mn-ea"/>
          <a:cs typeface="+mn-cs"/>
        </a:defRPr>
      </a:pPr>
      <a:endParaRPr lang="es-C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solidFill>
                <a:latin typeface="+mn-lt"/>
                <a:ea typeface="+mn-ea"/>
                <a:cs typeface="+mn-cs"/>
              </a:defRPr>
            </a:pPr>
            <a:r>
              <a:rPr lang="en-US" sz="1200"/>
              <a:t>Riego Químico </a:t>
            </a:r>
          </a:p>
        </c:rich>
      </c:tx>
      <c:layout>
        <c:manualLayout>
          <c:xMode val="edge"/>
          <c:yMode val="edge"/>
          <c:x val="0.32068666049096806"/>
          <c:y val="1.011497928241203E-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5450030284675956E-2"/>
          <c:y val="0.13097034512476985"/>
          <c:w val="0.98454996971532405"/>
          <c:h val="0.74285318812760348"/>
        </c:manualLayout>
      </c:layout>
      <c:pie3DChart>
        <c:varyColors val="1"/>
        <c:ser>
          <c:idx val="0"/>
          <c:order val="0"/>
          <c:explosion val="10"/>
          <c:dPt>
            <c:idx val="0"/>
            <c:bubble3D val="0"/>
            <c:spPr>
              <a:solidFill>
                <a:srgbClr val="00B050"/>
              </a:solidFill>
              <a:ln>
                <a:noFill/>
              </a:ln>
              <a:effectLst>
                <a:outerShdw blurRad="57150" dist="19050" dir="5400000" algn="ctr" rotWithShape="0">
                  <a:srgbClr val="000000">
                    <a:alpha val="63000"/>
                  </a:srgbClr>
                </a:outerShdw>
              </a:effectLst>
              <a:sp3d/>
            </c:spPr>
          </c:dPt>
          <c:dPt>
            <c:idx val="1"/>
            <c:bubble3D val="0"/>
            <c:spPr>
              <a:solidFill>
                <a:srgbClr val="FFC000"/>
              </a:solidFill>
              <a:ln>
                <a:noFill/>
              </a:ln>
              <a:effectLst>
                <a:outerShdw blurRad="57150" dist="19050" dir="5400000" algn="ctr" rotWithShape="0">
                  <a:srgbClr val="000000">
                    <a:alpha val="63000"/>
                  </a:srgbClr>
                </a:outerShdw>
              </a:effectLst>
              <a:sp3d/>
            </c:spPr>
          </c:dPt>
          <c:dPt>
            <c:idx val="2"/>
            <c:bubble3D val="0"/>
            <c:spPr>
              <a:solidFill>
                <a:schemeClr val="accent1">
                  <a:lumMod val="75000"/>
                </a:schemeClr>
              </a:solidFill>
              <a:ln>
                <a:noFill/>
              </a:ln>
              <a:effectLst>
                <a:outerShdw blurRad="57150" dist="19050" dir="5400000" algn="ctr" rotWithShape="0">
                  <a:srgbClr val="000000">
                    <a:alpha val="63000"/>
                  </a:srgbClr>
                </a:outerShdw>
              </a:effectLst>
              <a:sp3d/>
            </c:spPr>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Hoja2!$J$11:$J$14</c:f>
              <c:strCache>
                <c:ptCount val="4"/>
                <c:pt idx="0">
                  <c:v>Bueno</c:v>
                </c:pt>
                <c:pt idx="1">
                  <c:v>Regular</c:v>
                </c:pt>
                <c:pt idx="2">
                  <c:v>Malo</c:v>
                </c:pt>
                <c:pt idx="3">
                  <c:v>No se ha efectuado</c:v>
                </c:pt>
              </c:strCache>
            </c:strRef>
          </c:cat>
          <c:val>
            <c:numRef>
              <c:f>Hoja2!$K$11:$K$14</c:f>
              <c:numCache>
                <c:formatCode>0.0%</c:formatCode>
                <c:ptCount val="4"/>
                <c:pt idx="0">
                  <c:v>0.55813953488372092</c:v>
                </c:pt>
                <c:pt idx="1">
                  <c:v>0.34883720930232559</c:v>
                </c:pt>
                <c:pt idx="2">
                  <c:v>9.3023255813953487E-2</c:v>
                </c:pt>
              </c:numCache>
            </c:numRef>
          </c:val>
        </c:ser>
        <c:dLbls>
          <c:dLblPos val="bestFit"/>
          <c:showLegendKey val="0"/>
          <c:showVal val="1"/>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es-CO"/>
        </a:p>
      </c:txPr>
    </c:legend>
    <c:plotVisOnly val="1"/>
    <c:dispBlanksAs val="gap"/>
    <c:showDLblsOverMax val="0"/>
  </c:chart>
  <c:spPr>
    <a:solidFill>
      <a:schemeClr val="lt1"/>
    </a:solidFill>
    <a:ln w="12700" cap="flat" cmpd="sng" algn="ctr">
      <a:noFill/>
      <a:prstDash val="solid"/>
      <a:miter lim="800000"/>
    </a:ln>
    <a:effectLst/>
  </c:spPr>
  <c:txPr>
    <a:bodyPr/>
    <a:lstStyle/>
    <a:p>
      <a:pPr>
        <a:defRPr>
          <a:solidFill>
            <a:schemeClr val="dk1"/>
          </a:solidFill>
          <a:latin typeface="+mn-lt"/>
          <a:ea typeface="+mn-ea"/>
          <a:cs typeface="+mn-cs"/>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0.40984</cdr:x>
      <cdr:y>0.91444</cdr:y>
    </cdr:from>
    <cdr:to>
      <cdr:x>0.5082</cdr:x>
      <cdr:y>0.97148</cdr:y>
    </cdr:to>
    <cdr:sp macro="" textlink="">
      <cdr:nvSpPr>
        <cdr:cNvPr id="3" name="Rectángulo 2"/>
        <cdr:cNvSpPr/>
      </cdr:nvSpPr>
      <cdr:spPr>
        <a:xfrm xmlns:a="http://schemas.openxmlformats.org/drawingml/2006/main">
          <a:off x="1800200" y="2308668"/>
          <a:ext cx="432048" cy="144016"/>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MX"/>
        </a:p>
      </cdr:txBody>
    </cdr:sp>
  </cdr:relSizeAnchor>
  <cdr:relSizeAnchor xmlns:cdr="http://schemas.openxmlformats.org/drawingml/2006/chartDrawing">
    <cdr:from>
      <cdr:x>0.53489</cdr:x>
      <cdr:y>0.91077</cdr:y>
    </cdr:from>
    <cdr:to>
      <cdr:x>0.61474</cdr:x>
      <cdr:y>0.96875</cdr:y>
    </cdr:to>
    <cdr:sp macro="" textlink="">
      <cdr:nvSpPr>
        <cdr:cNvPr id="4" name="Rectángulo 3"/>
        <cdr:cNvSpPr/>
      </cdr:nvSpPr>
      <cdr:spPr>
        <a:xfrm xmlns:a="http://schemas.openxmlformats.org/drawingml/2006/main">
          <a:off x="2349500" y="2299406"/>
          <a:ext cx="350756" cy="146397"/>
        </a:xfrm>
        <a:custGeom xmlns:a="http://schemas.openxmlformats.org/drawingml/2006/main">
          <a:avLst/>
          <a:gdLst>
            <a:gd name="connsiteX0" fmla="*/ 0 w 396000"/>
            <a:gd name="connsiteY0" fmla="*/ 0 h 144016"/>
            <a:gd name="connsiteX1" fmla="*/ 396000 w 396000"/>
            <a:gd name="connsiteY1" fmla="*/ 0 h 144016"/>
            <a:gd name="connsiteX2" fmla="*/ 396000 w 396000"/>
            <a:gd name="connsiteY2" fmla="*/ 144016 h 144016"/>
            <a:gd name="connsiteX3" fmla="*/ 0 w 396000"/>
            <a:gd name="connsiteY3" fmla="*/ 144016 h 144016"/>
            <a:gd name="connsiteX4" fmla="*/ 0 w 396000"/>
            <a:gd name="connsiteY4" fmla="*/ 0 h 144016"/>
            <a:gd name="connsiteX0" fmla="*/ 0 w 396000"/>
            <a:gd name="connsiteY0" fmla="*/ 0 h 146397"/>
            <a:gd name="connsiteX1" fmla="*/ 396000 w 396000"/>
            <a:gd name="connsiteY1" fmla="*/ 0 h 146397"/>
            <a:gd name="connsiteX2" fmla="*/ 396000 w 396000"/>
            <a:gd name="connsiteY2" fmla="*/ 144016 h 146397"/>
            <a:gd name="connsiteX3" fmla="*/ 19050 w 396000"/>
            <a:gd name="connsiteY3" fmla="*/ 146397 h 146397"/>
            <a:gd name="connsiteX4" fmla="*/ 0 w 396000"/>
            <a:gd name="connsiteY4" fmla="*/ 0 h 146397"/>
            <a:gd name="connsiteX0" fmla="*/ 0 w 376950"/>
            <a:gd name="connsiteY0" fmla="*/ 0 h 146397"/>
            <a:gd name="connsiteX1" fmla="*/ 376950 w 376950"/>
            <a:gd name="connsiteY1" fmla="*/ 0 h 146397"/>
            <a:gd name="connsiteX2" fmla="*/ 376950 w 376950"/>
            <a:gd name="connsiteY2" fmla="*/ 144016 h 146397"/>
            <a:gd name="connsiteX3" fmla="*/ 0 w 376950"/>
            <a:gd name="connsiteY3" fmla="*/ 146397 h 146397"/>
            <a:gd name="connsiteX4" fmla="*/ 0 w 376950"/>
            <a:gd name="connsiteY4" fmla="*/ 0 h 146397"/>
            <a:gd name="connsiteX0" fmla="*/ 0 w 376950"/>
            <a:gd name="connsiteY0" fmla="*/ 0 h 146397"/>
            <a:gd name="connsiteX1" fmla="*/ 376950 w 376950"/>
            <a:gd name="connsiteY1" fmla="*/ 0 h 146397"/>
            <a:gd name="connsiteX2" fmla="*/ 376950 w 376950"/>
            <a:gd name="connsiteY2" fmla="*/ 144016 h 146397"/>
            <a:gd name="connsiteX3" fmla="*/ 26194 w 376950"/>
            <a:gd name="connsiteY3" fmla="*/ 146397 h 146397"/>
            <a:gd name="connsiteX4" fmla="*/ 0 w 376950"/>
            <a:gd name="connsiteY4" fmla="*/ 0 h 146397"/>
            <a:gd name="connsiteX0" fmla="*/ 0 w 365044"/>
            <a:gd name="connsiteY0" fmla="*/ 4762 h 146397"/>
            <a:gd name="connsiteX1" fmla="*/ 365044 w 365044"/>
            <a:gd name="connsiteY1" fmla="*/ 0 h 146397"/>
            <a:gd name="connsiteX2" fmla="*/ 365044 w 365044"/>
            <a:gd name="connsiteY2" fmla="*/ 144016 h 146397"/>
            <a:gd name="connsiteX3" fmla="*/ 14288 w 365044"/>
            <a:gd name="connsiteY3" fmla="*/ 146397 h 146397"/>
            <a:gd name="connsiteX4" fmla="*/ 0 w 365044"/>
            <a:gd name="connsiteY4" fmla="*/ 4762 h 146397"/>
            <a:gd name="connsiteX0" fmla="*/ 0 w 350756"/>
            <a:gd name="connsiteY0" fmla="*/ 9524 h 146397"/>
            <a:gd name="connsiteX1" fmla="*/ 350756 w 350756"/>
            <a:gd name="connsiteY1" fmla="*/ 0 h 146397"/>
            <a:gd name="connsiteX2" fmla="*/ 350756 w 350756"/>
            <a:gd name="connsiteY2" fmla="*/ 144016 h 146397"/>
            <a:gd name="connsiteX3" fmla="*/ 0 w 350756"/>
            <a:gd name="connsiteY3" fmla="*/ 146397 h 146397"/>
            <a:gd name="connsiteX4" fmla="*/ 0 w 350756"/>
            <a:gd name="connsiteY4" fmla="*/ 9524 h 1463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0756" h="146397">
              <a:moveTo>
                <a:pt x="0" y="9524"/>
              </a:moveTo>
              <a:lnTo>
                <a:pt x="350756" y="0"/>
              </a:lnTo>
              <a:lnTo>
                <a:pt x="350756" y="144016"/>
              </a:lnTo>
              <a:lnTo>
                <a:pt x="0" y="146397"/>
              </a:lnTo>
              <a:lnTo>
                <a:pt x="0" y="9524"/>
              </a:lnTo>
              <a:close/>
            </a:path>
          </a:pathLst>
        </a:cu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s-MX"/>
        </a:p>
      </cdr:txBody>
    </cdr:sp>
  </cdr:relSizeAnchor>
</c:userShapes>
</file>

<file path=word/drawings/drawing2.xml><?xml version="1.0" encoding="utf-8"?>
<c:userShapes xmlns:c="http://schemas.openxmlformats.org/drawingml/2006/chart">
  <cdr:relSizeAnchor xmlns:cdr="http://schemas.openxmlformats.org/drawingml/2006/chartDrawing">
    <cdr:from>
      <cdr:x>0.3404</cdr:x>
      <cdr:y>0.33482</cdr:y>
    </cdr:from>
    <cdr:to>
      <cdr:x>0.83919</cdr:x>
      <cdr:y>0.48966</cdr:y>
    </cdr:to>
    <cdr:cxnSp macro="">
      <cdr:nvCxnSpPr>
        <cdr:cNvPr id="3" name="Conector recto 2"/>
        <cdr:cNvCxnSpPr/>
      </cdr:nvCxnSpPr>
      <cdr:spPr>
        <a:xfrm xmlns:a="http://schemas.openxmlformats.org/drawingml/2006/main">
          <a:off x="1443584" y="860445"/>
          <a:ext cx="2115279" cy="397929"/>
        </a:xfrm>
        <a:prstGeom xmlns:a="http://schemas.openxmlformats.org/drawingml/2006/main" prst="line">
          <a:avLst/>
        </a:prstGeom>
        <a:ln xmlns:a="http://schemas.openxmlformats.org/drawingml/2006/main" w="12700">
          <a:solidFill>
            <a:srgbClr val="FF0000"/>
          </a:solidFill>
          <a:prstDash val="dash"/>
          <a:tailEnd type="triangle" w="med" len="lg"/>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5B23A-69FD-4040-9BE5-1FE91B842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1849</TotalTime>
  <Pages>1</Pages>
  <Words>73092</Words>
  <Characters>402007</Characters>
  <Application>Microsoft Office Word</Application>
  <DocSecurity>0</DocSecurity>
  <Lines>3350</Lines>
  <Paragraphs>948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fhernandez</dc:creator>
  <cp:lastModifiedBy>Ricardo Aguilera Wilches</cp:lastModifiedBy>
  <cp:revision>147</cp:revision>
  <cp:lastPrinted>2014-12-19T20:20:00Z</cp:lastPrinted>
  <dcterms:created xsi:type="dcterms:W3CDTF">2015-08-04T14:40:00Z</dcterms:created>
  <dcterms:modified xsi:type="dcterms:W3CDTF">2015-08-05T22:47:00Z</dcterms:modified>
</cp:coreProperties>
</file>