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B7" w:rsidRDefault="001A5EB7">
      <w:pPr>
        <w:keepNext/>
        <w:tabs>
          <w:tab w:val="left" w:pos="4253"/>
        </w:tabs>
        <w:jc w:val="center"/>
        <w:rPr>
          <w:rFonts w:ascii="Times New Roman" w:eastAsia="Times New Roman" w:hAnsi="Times New Roman" w:cs="Times New Roman"/>
          <w:b/>
          <w:lang w:val="es" w:eastAsia="es-ES"/>
        </w:rPr>
      </w:pPr>
      <w:bookmarkStart w:id="0" w:name="_GoBack"/>
      <w:bookmarkEnd w:id="0"/>
    </w:p>
    <w:p w:rsidR="001A5EB7" w:rsidRDefault="001A5EB7">
      <w:pPr>
        <w:keepNext/>
        <w:tabs>
          <w:tab w:val="left" w:pos="4253"/>
        </w:tabs>
        <w:jc w:val="center"/>
        <w:rPr>
          <w:rFonts w:ascii="Times New Roman" w:eastAsia="Times New Roman" w:hAnsi="Times New Roman" w:cs="Times New Roman"/>
          <w:b/>
          <w:lang w:val="es" w:eastAsia="es-ES"/>
        </w:rPr>
      </w:pPr>
    </w:p>
    <w:p w:rsidR="001A5EB7" w:rsidRDefault="001A5EB7">
      <w:pPr>
        <w:keepNext/>
        <w:tabs>
          <w:tab w:val="left" w:pos="4253"/>
        </w:tabs>
        <w:jc w:val="center"/>
        <w:rPr>
          <w:rFonts w:ascii="Times New Roman" w:eastAsia="Times New Roman" w:hAnsi="Times New Roman" w:cs="Times New Roman"/>
          <w:b/>
          <w:lang w:val="es" w:eastAsia="es-ES"/>
        </w:rPr>
      </w:pPr>
    </w:p>
    <w:p w:rsidR="001A5EB7" w:rsidRDefault="001A5EB7">
      <w:pPr>
        <w:keepNext/>
        <w:tabs>
          <w:tab w:val="left" w:pos="4253"/>
        </w:tabs>
        <w:jc w:val="center"/>
        <w:rPr>
          <w:rFonts w:ascii="Times New Roman" w:eastAsia="Times New Roman" w:hAnsi="Times New Roman" w:cs="Times New Roman"/>
          <w:b/>
          <w:lang w:val="es" w:eastAsia="es-ES"/>
        </w:rPr>
      </w:pPr>
    </w:p>
    <w:p w:rsidR="001A5EB7" w:rsidRDefault="00365004">
      <w:pPr>
        <w:keepNext/>
        <w:tabs>
          <w:tab w:val="left" w:pos="4253"/>
        </w:tabs>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RESOLUCIÓN  NÚMERO                                          DE 2015</w:t>
      </w:r>
    </w:p>
    <w:p w:rsidR="001A5EB7" w:rsidRDefault="001A5EB7">
      <w:pPr>
        <w:jc w:val="center"/>
        <w:rPr>
          <w:rFonts w:ascii="Times New Roman" w:eastAsia="Times New Roman" w:hAnsi="Times New Roman" w:cs="Times New Roman"/>
          <w:lang w:val="es" w:eastAsia="es-ES"/>
        </w:rPr>
      </w:pPr>
    </w:p>
    <w:p w:rsidR="001A5EB7" w:rsidRDefault="001A5EB7">
      <w:pPr>
        <w:jc w:val="center"/>
        <w:rPr>
          <w:rFonts w:ascii="Times New Roman" w:eastAsia="Times New Roman" w:hAnsi="Times New Roman" w:cs="Times New Roman"/>
          <w:b/>
          <w:lang w:val="es" w:eastAsia="es-ES"/>
        </w:rPr>
      </w:pPr>
    </w:p>
    <w:p w:rsidR="001A5EB7" w:rsidRDefault="00365004">
      <w:pPr>
        <w:jc w:val="center"/>
      </w:pPr>
      <w:r>
        <w:rPr>
          <w:rFonts w:ascii="Times New Roman" w:eastAsia="Times New Roman" w:hAnsi="Times New Roman" w:cs="Times New Roman"/>
          <w:b/>
          <w:lang w:val="es" w:eastAsia="es-ES"/>
        </w:rPr>
        <w:t xml:space="preserve">(                                             </w:t>
      </w:r>
      <w:r>
        <w:rPr>
          <w:rFonts w:ascii="Times New Roman" w:eastAsia="Times New Roman" w:hAnsi="Times New Roman" w:cs="Times New Roman"/>
          <w:lang w:val="es" w:eastAsia="es-ES"/>
        </w:rPr>
        <w:t>)</w:t>
      </w:r>
    </w:p>
    <w:p w:rsidR="001A5EB7" w:rsidRDefault="001A5EB7">
      <w:pPr>
        <w:autoSpaceDE w:val="0"/>
        <w:jc w:val="center"/>
        <w:rPr>
          <w:rFonts w:ascii="Times New Roman" w:eastAsia="Times New Roman" w:hAnsi="Times New Roman" w:cs="Times New Roman"/>
          <w:color w:val="000000"/>
          <w:lang w:eastAsia="es-ES"/>
        </w:rPr>
      </w:pPr>
    </w:p>
    <w:p w:rsidR="001A5EB7" w:rsidRDefault="001A5EB7">
      <w:pPr>
        <w:autoSpaceDE w:val="0"/>
        <w:jc w:val="center"/>
        <w:rPr>
          <w:rFonts w:ascii="Times New Roman" w:eastAsia="Times New Roman" w:hAnsi="Times New Roman" w:cs="Times New Roman"/>
          <w:color w:val="000000"/>
          <w:lang w:eastAsia="es-ES"/>
        </w:rPr>
      </w:pPr>
    </w:p>
    <w:p w:rsidR="001A5EB7" w:rsidRDefault="00365004">
      <w:pPr>
        <w:autoSpaceDE w:val="0"/>
        <w:jc w:val="center"/>
      </w:pPr>
      <w:r>
        <w:rPr>
          <w:rFonts w:ascii="Times New Roman" w:eastAsia="Times New Roman" w:hAnsi="Times New Roman" w:cs="Times New Roman"/>
          <w:color w:val="000000"/>
          <w:lang w:eastAsia="es-ES"/>
        </w:rPr>
        <w:t>“Por la cual se establecen las tarifas plenas y especiales a</w:t>
      </w:r>
      <w:r>
        <w:rPr>
          <w:rFonts w:ascii="Times New Roman" w:eastAsia="Times New Roman" w:hAnsi="Times New Roman" w:cs="Times New Roman"/>
          <w:color w:val="000000"/>
          <w:lang w:eastAsia="es-ES"/>
        </w:rPr>
        <w:t xml:space="preserve"> cobrar  en las estaciones de Peaje El Carmen ubicada en el PR60+665 y Calamar ubicada en el PR 131+040 de la Ruta 2515 del corredor vial Puerta de Hierro – Palmar de Varela y Carreto – Cruz del Viso”</w:t>
      </w:r>
    </w:p>
    <w:p w:rsidR="001A5EB7" w:rsidRDefault="001A5EB7">
      <w:pPr>
        <w:autoSpaceDE w:val="0"/>
        <w:jc w:val="center"/>
        <w:rPr>
          <w:rFonts w:ascii="Times New Roman" w:eastAsia="Times New Roman" w:hAnsi="Times New Roman" w:cs="Times New Roman"/>
          <w:color w:val="000000"/>
          <w:lang w:eastAsia="es-ES"/>
        </w:rPr>
      </w:pPr>
    </w:p>
    <w:p w:rsidR="001A5EB7" w:rsidRDefault="001A5EB7">
      <w:pPr>
        <w:jc w:val="center"/>
        <w:rPr>
          <w:rFonts w:ascii="Times New Roman" w:eastAsia="Times New Roman" w:hAnsi="Times New Roman" w:cs="Times New Roman"/>
          <w:b/>
          <w:i/>
          <w:lang w:eastAsia="es-ES"/>
        </w:rPr>
      </w:pPr>
    </w:p>
    <w:p w:rsidR="001A5EB7" w:rsidRDefault="00365004">
      <w:pPr>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LA MINISTRA DE TRANSPORTE</w:t>
      </w:r>
    </w:p>
    <w:p w:rsidR="001A5EB7" w:rsidRDefault="001A5EB7">
      <w:pPr>
        <w:jc w:val="center"/>
        <w:rPr>
          <w:rFonts w:ascii="Times New Roman" w:eastAsia="Times New Roman" w:hAnsi="Times New Roman" w:cs="Times New Roman"/>
          <w:lang w:val="es" w:eastAsia="es-ES"/>
        </w:rPr>
      </w:pPr>
    </w:p>
    <w:p w:rsidR="001A5EB7" w:rsidRDefault="001A5EB7">
      <w:pPr>
        <w:jc w:val="center"/>
        <w:rPr>
          <w:rFonts w:ascii="Times New Roman" w:eastAsia="Times New Roman" w:hAnsi="Times New Roman" w:cs="Times New Roman"/>
          <w:lang w:val="es" w:eastAsia="es-ES"/>
        </w:rPr>
      </w:pPr>
    </w:p>
    <w:p w:rsidR="001A5EB7" w:rsidRDefault="00365004">
      <w:pPr>
        <w:jc w:val="center"/>
      </w:pPr>
      <w:r>
        <w:rPr>
          <w:rFonts w:ascii="Times New Roman" w:eastAsia="Times New Roman" w:hAnsi="Times New Roman" w:cs="Times New Roman"/>
          <w:lang w:eastAsia="es-ES"/>
        </w:rPr>
        <w:t>En ejercicio de las facul</w:t>
      </w:r>
      <w:r>
        <w:rPr>
          <w:rFonts w:ascii="Times New Roman" w:eastAsia="Times New Roman" w:hAnsi="Times New Roman" w:cs="Times New Roman"/>
          <w:lang w:eastAsia="es-ES"/>
        </w:rPr>
        <w:t>tades legales y en especial las conferidas por el artículo 21 de la Ley 105 de 1993 modificado por el artículo 1 de la Ley 787 de 2002 y el numeral 6.15 del artículo 6  del Decreto 087 de 2011, y</w:t>
      </w:r>
    </w:p>
    <w:p w:rsidR="001A5EB7" w:rsidRDefault="001A5EB7">
      <w:pPr>
        <w:jc w:val="center"/>
        <w:rPr>
          <w:rFonts w:ascii="Times New Roman" w:eastAsia="Times New Roman" w:hAnsi="Times New Roman" w:cs="Times New Roman"/>
          <w:b/>
          <w:lang w:val="es" w:eastAsia="es-ES"/>
        </w:rPr>
      </w:pPr>
    </w:p>
    <w:p w:rsidR="001A5EB7" w:rsidRDefault="00365004">
      <w:pPr>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CONSIDERANDO</w:t>
      </w:r>
    </w:p>
    <w:p w:rsidR="001A5EB7" w:rsidRDefault="001A5EB7">
      <w:pPr>
        <w:jc w:val="both"/>
        <w:rPr>
          <w:rFonts w:ascii="Times New Roman" w:eastAsia="Times New Roman" w:hAnsi="Times New Roman" w:cs="Times New Roman"/>
          <w:i/>
          <w:lang w:val="es" w:eastAsia="es-ES"/>
        </w:rPr>
      </w:pPr>
    </w:p>
    <w:p w:rsidR="001A5EB7" w:rsidRDefault="00365004">
      <w:pPr>
        <w:pStyle w:val="Prrafodelista"/>
        <w:ind w:left="0"/>
        <w:jc w:val="both"/>
      </w:pPr>
      <w:r>
        <w:rPr>
          <w:rFonts w:ascii="Times New Roman" w:hAnsi="Times New Roman" w:cs="Times New Roman"/>
          <w:szCs w:val="24"/>
        </w:rPr>
        <w:t xml:space="preserve">Que la Ley 105 de 1993, </w:t>
      </w:r>
      <w:r>
        <w:rPr>
          <w:rFonts w:ascii="Times New Roman" w:hAnsi="Times New Roman" w:cs="Times New Roman"/>
          <w:i/>
          <w:szCs w:val="24"/>
        </w:rPr>
        <w:t xml:space="preserve">“Por la cual se </w:t>
      </w:r>
      <w:r>
        <w:rPr>
          <w:rFonts w:ascii="Times New Roman" w:hAnsi="Times New Roman" w:cs="Times New Roman"/>
          <w:i/>
          <w:szCs w:val="24"/>
        </w:rPr>
        <w:t>dictan disposiciones básicas sobre el transporte, se redistribuyen competencias y recursos entre la Nación y las Entidades Territoriales, se reglamenta la planeación en el sector transporte y se dictan otras disposiciones”</w:t>
      </w:r>
      <w:r>
        <w:rPr>
          <w:rFonts w:ascii="Times New Roman" w:hAnsi="Times New Roman" w:cs="Times New Roman"/>
          <w:szCs w:val="24"/>
        </w:rPr>
        <w:t xml:space="preserve"> en su Artículo 21 –modificado par</w:t>
      </w:r>
      <w:r>
        <w:rPr>
          <w:rFonts w:ascii="Times New Roman" w:hAnsi="Times New Roman" w:cs="Times New Roman"/>
          <w:szCs w:val="24"/>
        </w:rPr>
        <w:t>cialmente por el Artículo 1 de la Ley 787 de 2002- establece que para la construcción y conservación de la infraestructura de transporte a cargo de la Nación, ésta podrá establecer peajes para los usuarios de las vías siempre y cuando se observen los sigui</w:t>
      </w:r>
      <w:r>
        <w:rPr>
          <w:rFonts w:ascii="Times New Roman" w:hAnsi="Times New Roman" w:cs="Times New Roman"/>
          <w:szCs w:val="24"/>
        </w:rPr>
        <w:t>entes principios:</w:t>
      </w:r>
    </w:p>
    <w:p w:rsidR="001A5EB7" w:rsidRDefault="001A5EB7">
      <w:pPr>
        <w:pStyle w:val="Prrafodelista"/>
        <w:ind w:left="0"/>
        <w:jc w:val="both"/>
        <w:rPr>
          <w:rFonts w:ascii="Times New Roman" w:hAnsi="Times New Roman" w:cs="Times New Roman"/>
          <w:szCs w:val="24"/>
        </w:rPr>
      </w:pPr>
    </w:p>
    <w:p w:rsidR="001A5EB7" w:rsidRDefault="00365004">
      <w:pPr>
        <w:pStyle w:val="Prrafodelista"/>
        <w:numPr>
          <w:ilvl w:val="0"/>
          <w:numId w:val="20"/>
        </w:numPr>
        <w:suppressAutoHyphens w:val="0"/>
        <w:spacing w:after="200" w:line="276" w:lineRule="auto"/>
        <w:jc w:val="both"/>
        <w:textAlignment w:val="auto"/>
        <w:rPr>
          <w:rFonts w:ascii="Times New Roman" w:hAnsi="Times New Roman" w:cs="Times New Roman"/>
          <w:i/>
          <w:szCs w:val="24"/>
        </w:rPr>
      </w:pPr>
      <w:r>
        <w:rPr>
          <w:rFonts w:ascii="Times New Roman" w:hAnsi="Times New Roman" w:cs="Times New Roman"/>
          <w:i/>
          <w:szCs w:val="24"/>
        </w:rPr>
        <w:t>Los ingresos provenientes de la utilización de la infraestructura de transporte, deberán garantizar su adecuado mantenimiento, operación y desarrollo.</w:t>
      </w:r>
    </w:p>
    <w:p w:rsidR="001A5EB7" w:rsidRDefault="001A5EB7">
      <w:pPr>
        <w:pStyle w:val="Prrafodelista"/>
        <w:ind w:left="1080"/>
        <w:jc w:val="both"/>
        <w:rPr>
          <w:rFonts w:ascii="Times New Roman" w:hAnsi="Times New Roman" w:cs="Times New Roman"/>
          <w:i/>
          <w:szCs w:val="24"/>
        </w:rPr>
      </w:pPr>
    </w:p>
    <w:p w:rsidR="001A5EB7" w:rsidRDefault="00365004">
      <w:pPr>
        <w:pStyle w:val="Prrafodelista"/>
        <w:numPr>
          <w:ilvl w:val="0"/>
          <w:numId w:val="20"/>
        </w:numPr>
        <w:suppressAutoHyphens w:val="0"/>
        <w:spacing w:after="200" w:line="276" w:lineRule="auto"/>
        <w:jc w:val="both"/>
        <w:textAlignment w:val="auto"/>
      </w:pPr>
      <w:r>
        <w:rPr>
          <w:rFonts w:ascii="Times New Roman" w:hAnsi="Times New Roman" w:cs="Times New Roman"/>
          <w:i/>
          <w:szCs w:val="24"/>
        </w:rPr>
        <w:t>Deberá cobrarse a todos los usuarios, con excepción de las motocicletas y bicicletas,</w:t>
      </w:r>
      <w:r>
        <w:rPr>
          <w:rFonts w:ascii="Times New Roman" w:hAnsi="Times New Roman" w:cs="Times New Roman"/>
          <w:i/>
          <w:szCs w:val="24"/>
        </w:rPr>
        <w:t xml:space="preserve"> máquinas extintoras de incendios de los Cuerpos de Bomberos Voluntarios, Cuerpo de Bomberos Oficiales, ambulancias pertenecientes a la Cruz Roja, Defensa Civil, Hospitales Oficiales, Vehículos de las Fuerzas Militares y de la Policía Nacional, vehículos o</w:t>
      </w:r>
      <w:r>
        <w:rPr>
          <w:rFonts w:ascii="Times New Roman" w:hAnsi="Times New Roman" w:cs="Times New Roman"/>
          <w:i/>
          <w:szCs w:val="24"/>
        </w:rPr>
        <w:t>ficiales del Instituto Nacional Penitenciario y Carcelario - INPEC, y de las demás instituciones que prestan funciones de Policía Judicial;  </w:t>
      </w:r>
    </w:p>
    <w:p w:rsidR="001A5EB7" w:rsidRDefault="001A5EB7">
      <w:pPr>
        <w:pStyle w:val="Prrafodelista"/>
        <w:rPr>
          <w:rFonts w:ascii="Times New Roman" w:hAnsi="Times New Roman" w:cs="Times New Roman"/>
          <w:i/>
          <w:szCs w:val="24"/>
        </w:rPr>
      </w:pPr>
    </w:p>
    <w:p w:rsidR="001A5EB7" w:rsidRDefault="00365004">
      <w:pPr>
        <w:pStyle w:val="Prrafodelista"/>
        <w:numPr>
          <w:ilvl w:val="0"/>
          <w:numId w:val="20"/>
        </w:numPr>
        <w:suppressAutoHyphens w:val="0"/>
        <w:spacing w:after="200" w:line="276" w:lineRule="auto"/>
        <w:jc w:val="both"/>
        <w:textAlignment w:val="auto"/>
      </w:pPr>
      <w:r>
        <w:rPr>
          <w:rFonts w:ascii="Times New Roman" w:hAnsi="Times New Roman" w:cs="Times New Roman"/>
          <w:i/>
          <w:szCs w:val="24"/>
          <w:u w:val="single"/>
        </w:rPr>
        <w:t>El valor de las tasas o tarifas será determinado por la autoridad competente; su recaudo estará a cargo de las en</w:t>
      </w:r>
      <w:r>
        <w:rPr>
          <w:rFonts w:ascii="Times New Roman" w:hAnsi="Times New Roman" w:cs="Times New Roman"/>
          <w:i/>
          <w:szCs w:val="24"/>
          <w:u w:val="single"/>
        </w:rPr>
        <w:t>tidades públicas o privadas, responsables de la prestación del servicio;</w:t>
      </w:r>
    </w:p>
    <w:p w:rsidR="001A5EB7" w:rsidRDefault="001A5EB7">
      <w:pPr>
        <w:pStyle w:val="Prrafodelista"/>
        <w:jc w:val="both"/>
        <w:rPr>
          <w:rFonts w:ascii="Times New Roman" w:hAnsi="Times New Roman" w:cs="Times New Roman"/>
          <w:i/>
          <w:szCs w:val="24"/>
          <w:u w:val="single"/>
        </w:rPr>
      </w:pPr>
    </w:p>
    <w:p w:rsidR="001A5EB7" w:rsidRDefault="00365004">
      <w:pPr>
        <w:pStyle w:val="Prrafodelista"/>
        <w:numPr>
          <w:ilvl w:val="0"/>
          <w:numId w:val="20"/>
        </w:numPr>
        <w:suppressAutoHyphens w:val="0"/>
        <w:spacing w:after="200" w:line="276" w:lineRule="auto"/>
        <w:jc w:val="both"/>
        <w:textAlignment w:val="auto"/>
      </w:pPr>
      <w:r>
        <w:rPr>
          <w:rFonts w:ascii="Times New Roman" w:hAnsi="Times New Roman" w:cs="Times New Roman"/>
          <w:i/>
          <w:szCs w:val="24"/>
          <w:u w:val="single"/>
        </w:rPr>
        <w:t>Las tasas de peajes serán diferenciales, es decir, se fijarán en proporción a las distancias recorridas, las características vehiculares y sus respectivos costos de operación.</w:t>
      </w:r>
    </w:p>
    <w:p w:rsidR="001A5EB7" w:rsidRDefault="001A5EB7">
      <w:pPr>
        <w:pStyle w:val="Prrafodelista"/>
        <w:jc w:val="both"/>
        <w:rPr>
          <w:rFonts w:ascii="Times New Roman" w:hAnsi="Times New Roman" w:cs="Times New Roman"/>
          <w:i/>
          <w:szCs w:val="24"/>
          <w:u w:val="single"/>
        </w:rPr>
      </w:pPr>
    </w:p>
    <w:p w:rsidR="001A5EB7" w:rsidRDefault="00365004">
      <w:pPr>
        <w:pStyle w:val="Prrafodelista"/>
        <w:numPr>
          <w:ilvl w:val="0"/>
          <w:numId w:val="20"/>
        </w:numPr>
        <w:suppressAutoHyphens w:val="0"/>
        <w:spacing w:after="200" w:line="276" w:lineRule="auto"/>
        <w:jc w:val="both"/>
        <w:textAlignment w:val="auto"/>
        <w:rPr>
          <w:rFonts w:ascii="Times New Roman" w:hAnsi="Times New Roman" w:cs="Times New Roman"/>
          <w:i/>
          <w:szCs w:val="24"/>
        </w:rPr>
      </w:pPr>
      <w:r>
        <w:rPr>
          <w:rFonts w:ascii="Times New Roman" w:hAnsi="Times New Roman" w:cs="Times New Roman"/>
          <w:i/>
          <w:szCs w:val="24"/>
        </w:rPr>
        <w:t xml:space="preserve">Para </w:t>
      </w:r>
      <w:r>
        <w:rPr>
          <w:rFonts w:ascii="Times New Roman" w:hAnsi="Times New Roman" w:cs="Times New Roman"/>
          <w:i/>
          <w:szCs w:val="24"/>
        </w:rPr>
        <w:t>la determinación del valor del peaje y de las tasas de valorización, en las vías nacionales, se tendrá en cuenta un criterio de equidad fiscal.</w:t>
      </w:r>
    </w:p>
    <w:p w:rsidR="001A5EB7" w:rsidRDefault="00365004">
      <w:pPr>
        <w:pStyle w:val="NormalWeb"/>
        <w:jc w:val="both"/>
      </w:pPr>
      <w:r>
        <w:t>Que el Artículo 30 de la Ley 105 de 1994, señala que La Nación, los Departamentos, los Distritos y los Municipio</w:t>
      </w:r>
      <w:r>
        <w:t>s, en sus respectivos perímetros, podrán en forma individual o combinada o a través de sus entidades descentralizadas del sector de transporte, otorgar concesiones a particulares para la construcción, rehabilitación y conservación de proyectos de infraestr</w:t>
      </w:r>
      <w:r>
        <w:t>uctura vial.</w:t>
      </w:r>
    </w:p>
    <w:p w:rsidR="001A5EB7" w:rsidRDefault="00365004">
      <w:pPr>
        <w:pStyle w:val="NormalWeb"/>
        <w:jc w:val="both"/>
      </w:pPr>
      <w:r>
        <w:t>Igualmente la misma norma señala que para la recuperación de la inversión, la Nación, los Departamentos, los Distritos y los Municipios podrán establecer peajes y/o valorización y que la fórmula para la recuperación de la inversión quedará est</w:t>
      </w:r>
      <w:r>
        <w:t>ablecida en el contrato y será de obligatorio cumplimiento para las partes</w:t>
      </w:r>
    </w:p>
    <w:p w:rsidR="001A5EB7" w:rsidRDefault="001A5EB7">
      <w:pPr>
        <w:jc w:val="both"/>
        <w:rPr>
          <w:rFonts w:ascii="Times New Roman" w:eastAsia="Times New Roman" w:hAnsi="Times New Roman" w:cs="Times New Roman"/>
          <w:i/>
          <w:lang w:val="es-CO" w:eastAsia="es-ES"/>
        </w:rPr>
      </w:pPr>
    </w:p>
    <w:p w:rsidR="001A5EB7" w:rsidRDefault="00365004">
      <w:pPr>
        <w:tabs>
          <w:tab w:val="left" w:pos="0"/>
        </w:tabs>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Que el Decreto 087 de 2011 “Por el cual se modifica la estructura del Ministerio de Transporte, y se determinan las funciones de sus dependencias” estableció en el numeral 6.15 del</w:t>
      </w:r>
      <w:r>
        <w:rPr>
          <w:rFonts w:ascii="Times New Roman" w:eastAsia="Times New Roman" w:hAnsi="Times New Roman" w:cs="Times New Roman"/>
          <w:lang w:val="es" w:eastAsia="es-ES"/>
        </w:rPr>
        <w:t xml:space="preserve"> artículo 6:</w:t>
      </w: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ind w:left="851" w:right="616"/>
        <w:jc w:val="both"/>
        <w:rPr>
          <w:rFonts w:ascii="Times New Roman" w:eastAsia="Times New Roman" w:hAnsi="Times New Roman" w:cs="Times New Roman"/>
          <w:i/>
          <w:lang w:val="es" w:eastAsia="es-ES"/>
        </w:rPr>
      </w:pPr>
      <w:r>
        <w:rPr>
          <w:rFonts w:ascii="Times New Roman" w:eastAsia="Times New Roman" w:hAnsi="Times New Roman" w:cs="Times New Roman"/>
          <w:i/>
          <w:lang w:val="es" w:eastAsia="es-ES"/>
        </w:rPr>
        <w:t>“6.15. Establecer los peajes, tarifas, tasas y derechos a cobrar por el uso de la infraestructura de los modos de transporte, excepto el aéreo.”</w:t>
      </w: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tabs>
          <w:tab w:val="left" w:pos="0"/>
        </w:tabs>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Que los numerales 1 y 5 del artículo 4 del Decreto 4165 de 2011, establecen que le corresponde a</w:t>
      </w:r>
      <w:r>
        <w:rPr>
          <w:rFonts w:ascii="Times New Roman" w:eastAsia="Times New Roman" w:hAnsi="Times New Roman" w:cs="Times New Roman"/>
          <w:lang w:val="es" w:eastAsia="es-ES"/>
        </w:rPr>
        <w:t xml:space="preserve"> la Agencia Nacional de Infraestructura ANI identificar, evaluar la viabilidad y proponer iniciativas de concesión u otras formas de Asociación Público Privada para el desarrollo de la infraestructura de transporte y de los servicios conexos y relacionados</w:t>
      </w:r>
      <w:r>
        <w:rPr>
          <w:rFonts w:ascii="Times New Roman" w:eastAsia="Times New Roman" w:hAnsi="Times New Roman" w:cs="Times New Roman"/>
          <w:lang w:val="es" w:eastAsia="es-ES"/>
        </w:rPr>
        <w:t xml:space="preserve"> así como elaborar los estudios para definir los peajes, tasas, tarifas, contribución de valorización y otras modalidades de retribución por el diseño, construcción, operación, explotación, mantenimiento o rehabilitación de la infraestructura relacionada c</w:t>
      </w:r>
      <w:r>
        <w:rPr>
          <w:rFonts w:ascii="Times New Roman" w:eastAsia="Times New Roman" w:hAnsi="Times New Roman" w:cs="Times New Roman"/>
          <w:lang w:val="es" w:eastAsia="es-ES"/>
        </w:rPr>
        <w:t>on los proyectos de concesión u otras formas de Asociación Público Privada a su cargo.</w:t>
      </w: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tabs>
          <w:tab w:val="left" w:pos="0"/>
        </w:tabs>
        <w:jc w:val="both"/>
      </w:pPr>
      <w:r>
        <w:rPr>
          <w:rFonts w:ascii="Times New Roman" w:eastAsia="Times New Roman" w:hAnsi="Times New Roman" w:cs="Times New Roman"/>
          <w:lang w:val="es" w:eastAsia="es-ES"/>
        </w:rPr>
        <w:t xml:space="preserve">Que de conformidad con los artículos 1 y 5 de la Ley 1508 de 2012, las Asociaciones Público Privadas son un instrumento de vinculación de capital privado, que se </w:t>
      </w:r>
      <w:r>
        <w:rPr>
          <w:rFonts w:ascii="Times New Roman" w:eastAsia="Times New Roman" w:hAnsi="Times New Roman" w:cs="Times New Roman"/>
          <w:lang w:val="es" w:eastAsia="es-ES"/>
        </w:rPr>
        <w:t>materializa en un contrato entre una entidad estatal y una persona natural o jurídica, en el cual se involucran mecanismos de pago relacionados con la disponibilidad, el nivel de servicio de la infraestructura y/o servicio</w:t>
      </w:r>
      <w:r>
        <w:rPr>
          <w:rFonts w:ascii="Times New Roman" w:hAnsi="Times New Roman" w:cs="Times New Roman"/>
          <w:color w:val="000000"/>
        </w:rPr>
        <w:t>; igualmente se contempla el derec</w:t>
      </w:r>
      <w:r>
        <w:rPr>
          <w:rFonts w:ascii="Times New Roman" w:hAnsi="Times New Roman" w:cs="Times New Roman"/>
          <w:color w:val="000000"/>
        </w:rPr>
        <w:t xml:space="preserve">ho al recaudo de recursos de explotación económica del proyecto. </w:t>
      </w:r>
    </w:p>
    <w:p w:rsidR="001A5EB7" w:rsidRDefault="001A5EB7">
      <w:pPr>
        <w:autoSpaceDE w:val="0"/>
        <w:jc w:val="both"/>
        <w:rPr>
          <w:rFonts w:ascii="Times New Roman" w:eastAsia="Calibri" w:hAnsi="Times New Roman" w:cs="Times New Roman"/>
          <w:color w:val="000000"/>
          <w:lang w:val="es-MX" w:eastAsia="en-US"/>
        </w:rPr>
      </w:pPr>
    </w:p>
    <w:p w:rsidR="001A5EB7" w:rsidRDefault="00365004">
      <w:pPr>
        <w:autoSpaceDE w:val="0"/>
        <w:jc w:val="both"/>
      </w:pPr>
      <w:r>
        <w:rPr>
          <w:rFonts w:ascii="Times New Roman" w:hAnsi="Times New Roman" w:cs="Times New Roman"/>
          <w:color w:val="000000"/>
        </w:rPr>
        <w:t xml:space="preserve">Que como parte de la estructuración del proyecto “Grupo 4 Norte”, que adelanta la Agencia Nacional de Infraestructura, se encuentra el Corredor Vial </w:t>
      </w:r>
      <w:r>
        <w:rPr>
          <w:rFonts w:ascii="Times New Roman" w:eastAsia="Times New Roman" w:hAnsi="Times New Roman" w:cs="Times New Roman"/>
          <w:color w:val="000000"/>
          <w:lang w:eastAsia="es-ES"/>
        </w:rPr>
        <w:t>Puerta de Hierro – Palmar de Varela y Ca</w:t>
      </w:r>
      <w:r>
        <w:rPr>
          <w:rFonts w:ascii="Times New Roman" w:eastAsia="Times New Roman" w:hAnsi="Times New Roman" w:cs="Times New Roman"/>
          <w:color w:val="000000"/>
          <w:lang w:eastAsia="es-ES"/>
        </w:rPr>
        <w:t xml:space="preserve">rreto – Cruz del Viso, que tiene </w:t>
      </w:r>
      <w:r>
        <w:rPr>
          <w:rFonts w:ascii="Times New Roman" w:hAnsi="Times New Roman" w:cs="Times New Roman"/>
          <w:color w:val="000000"/>
        </w:rPr>
        <w:t>una longitud total estimada origen – destino de 202,6 kilómetros discriminados como se indica a co</w:t>
      </w:r>
      <w:r>
        <w:rPr>
          <w:rFonts w:ascii="Times New Roman" w:eastAsia="Times New Roman" w:hAnsi="Times New Roman" w:cs="Times New Roman"/>
          <w:color w:val="000000"/>
          <w:lang w:eastAsia="es-ES"/>
        </w:rPr>
        <w:t>ntinuación, atravesando</w:t>
      </w:r>
      <w:r>
        <w:rPr>
          <w:rFonts w:ascii="Times New Roman" w:hAnsi="Times New Roman" w:cs="Times New Roman"/>
          <w:color w:val="000000"/>
        </w:rPr>
        <w:t xml:space="preserve"> </w:t>
      </w:r>
      <w:r>
        <w:rPr>
          <w:rFonts w:ascii="Times New Roman" w:hAnsi="Times New Roman" w:cs="Times New Roman"/>
          <w:color w:val="000000"/>
        </w:rPr>
        <w:lastRenderedPageBreak/>
        <w:t>los departamentos de Sucre, Bolívar y Atlántico</w:t>
      </w:r>
      <w:r>
        <w:rPr>
          <w:rFonts w:ascii="Times New Roman" w:eastAsia="Times New Roman" w:hAnsi="Times New Roman" w:cs="Times New Roman"/>
          <w:color w:val="000000"/>
          <w:lang w:eastAsia="es-ES"/>
        </w:rPr>
        <w:t xml:space="preserve"> :</w:t>
      </w:r>
    </w:p>
    <w:p w:rsidR="001A5EB7" w:rsidRDefault="001A5EB7">
      <w:pPr>
        <w:autoSpaceDE w:val="0"/>
        <w:jc w:val="both"/>
        <w:rPr>
          <w:rFonts w:ascii="Times New Roman" w:eastAsia="Times New Roman" w:hAnsi="Times New Roman" w:cs="Times New Roman"/>
          <w:color w:val="000000"/>
          <w:lang w:eastAsia="es-ES"/>
        </w:rPr>
      </w:pPr>
    </w:p>
    <w:tbl>
      <w:tblPr>
        <w:tblW w:w="5572" w:type="dxa"/>
        <w:jc w:val="center"/>
        <w:tblCellMar>
          <w:left w:w="10" w:type="dxa"/>
          <w:right w:w="10" w:type="dxa"/>
        </w:tblCellMar>
        <w:tblLook w:val="04A0" w:firstRow="1" w:lastRow="0" w:firstColumn="1" w:lastColumn="0" w:noHBand="0" w:noVBand="1"/>
      </w:tblPr>
      <w:tblGrid>
        <w:gridCol w:w="3969"/>
        <w:gridCol w:w="1603"/>
      </w:tblGrid>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Puerta de Hierro – Carmen de Bolívar</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41,1 Km</w:t>
            </w:r>
          </w:p>
        </w:tc>
      </w:tr>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Vari</w:t>
            </w:r>
            <w:r>
              <w:rPr>
                <w:rFonts w:ascii="Times New Roman" w:hAnsi="Times New Roman" w:cs="Times New Roman"/>
              </w:rPr>
              <w:t>ante Carmen de Bolívar</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6,4 Km</w:t>
            </w:r>
          </w:p>
        </w:tc>
      </w:tr>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Carmen de Bolívar – Carreto</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41,9 Km</w:t>
            </w:r>
          </w:p>
        </w:tc>
      </w:tr>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Carreto – Cruz del Viso</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25,1 Km</w:t>
            </w:r>
          </w:p>
        </w:tc>
      </w:tr>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Carreto – Calamar</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30,5 Km</w:t>
            </w:r>
          </w:p>
        </w:tc>
      </w:tr>
      <w:tr w:rsidR="001A5EB7">
        <w:tblPrEx>
          <w:tblCellMar>
            <w:top w:w="0" w:type="dxa"/>
            <w:bottom w:w="0" w:type="dxa"/>
          </w:tblCellMar>
        </w:tblPrEx>
        <w:trPr>
          <w:trHeight w:hRule="exact" w:val="397"/>
          <w:jc w:val="center"/>
        </w:trPr>
        <w:tc>
          <w:tcPr>
            <w:tcW w:w="3969" w:type="dxa"/>
            <w:shd w:val="clear" w:color="auto" w:fill="auto"/>
            <w:tcMar>
              <w:top w:w="0" w:type="dxa"/>
              <w:left w:w="70" w:type="dxa"/>
              <w:bottom w:w="0" w:type="dxa"/>
              <w:right w:w="70" w:type="dxa"/>
            </w:tcMar>
            <w:vAlign w:val="center"/>
          </w:tcPr>
          <w:p w:rsidR="001A5EB7" w:rsidRDefault="00365004">
            <w:pPr>
              <w:autoSpaceDE w:val="0"/>
              <w:jc w:val="both"/>
              <w:rPr>
                <w:rFonts w:ascii="Times New Roman" w:hAnsi="Times New Roman" w:cs="Times New Roman"/>
              </w:rPr>
            </w:pPr>
            <w:r>
              <w:rPr>
                <w:rFonts w:ascii="Times New Roman" w:hAnsi="Times New Roman" w:cs="Times New Roman"/>
              </w:rPr>
              <w:t>Calamar - Palmar de Varela</w:t>
            </w:r>
          </w:p>
        </w:tc>
        <w:tc>
          <w:tcPr>
            <w:tcW w:w="1603" w:type="dxa"/>
            <w:shd w:val="clear" w:color="auto" w:fill="auto"/>
            <w:tcMar>
              <w:top w:w="0" w:type="dxa"/>
              <w:left w:w="70" w:type="dxa"/>
              <w:bottom w:w="0" w:type="dxa"/>
              <w:right w:w="70" w:type="dxa"/>
            </w:tcMar>
            <w:vAlign w:val="center"/>
          </w:tcPr>
          <w:p w:rsidR="001A5EB7" w:rsidRDefault="00365004">
            <w:pPr>
              <w:autoSpaceDE w:val="0"/>
              <w:jc w:val="center"/>
              <w:rPr>
                <w:rFonts w:ascii="Times New Roman" w:hAnsi="Times New Roman" w:cs="Times New Roman"/>
              </w:rPr>
            </w:pPr>
            <w:r>
              <w:rPr>
                <w:rFonts w:ascii="Times New Roman" w:hAnsi="Times New Roman" w:cs="Times New Roman"/>
              </w:rPr>
              <w:t>57,6 Km</w:t>
            </w:r>
          </w:p>
        </w:tc>
      </w:tr>
    </w:tbl>
    <w:p w:rsidR="001A5EB7" w:rsidRDefault="001A5EB7">
      <w:pPr>
        <w:autoSpaceDE w:val="0"/>
        <w:jc w:val="both"/>
        <w:rPr>
          <w:rFonts w:ascii="Times New Roman" w:hAnsi="Times New Roman" w:cs="Times New Roman"/>
        </w:rPr>
      </w:pPr>
    </w:p>
    <w:p w:rsidR="001A5EB7" w:rsidRDefault="00365004">
      <w:pPr>
        <w:jc w:val="both"/>
      </w:pPr>
      <w:r>
        <w:rPr>
          <w:rFonts w:ascii="Times New Roman" w:hAnsi="Times New Roman" w:cs="Times New Roman"/>
        </w:rPr>
        <w:t xml:space="preserve">Que el propósito fundamental del corredor es desarrollar vías de altas especificaciones </w:t>
      </w:r>
      <w:r>
        <w:rPr>
          <w:rFonts w:ascii="Times New Roman" w:hAnsi="Times New Roman" w:cs="Times New Roman"/>
        </w:rPr>
        <w:t xml:space="preserve">para garantizar la conexión entre  </w:t>
      </w:r>
      <w:r>
        <w:rPr>
          <w:rFonts w:ascii="Times New Roman" w:eastAsia="Times New Roman" w:hAnsi="Times New Roman" w:cs="Times New Roman"/>
          <w:lang w:eastAsia="es-ES"/>
        </w:rPr>
        <w:t>Puerta de Hierro – Palmar de Varela y Carreto – Cruz del Viso</w:t>
      </w:r>
      <w:r>
        <w:rPr>
          <w:rFonts w:ascii="Times New Roman" w:hAnsi="Times New Roman" w:cs="Times New Roman"/>
        </w:rPr>
        <w:t xml:space="preserve"> con un Nivel de Servicio Óptimo. </w:t>
      </w:r>
    </w:p>
    <w:p w:rsidR="001A5EB7" w:rsidRDefault="001A5EB7">
      <w:pPr>
        <w:rPr>
          <w:rFonts w:ascii="Times New Roman" w:hAnsi="Times New Roman" w:cs="Times New Roman"/>
        </w:rPr>
      </w:pPr>
    </w:p>
    <w:p w:rsidR="001A5EB7" w:rsidRDefault="00365004">
      <w:pPr>
        <w:jc w:val="both"/>
      </w:pPr>
      <w:r>
        <w:rPr>
          <w:rFonts w:ascii="Times New Roman" w:eastAsia="Times New Roman" w:hAnsi="Times New Roman" w:cs="Times New Roman"/>
          <w:lang w:val="es" w:eastAsia="es-ES"/>
        </w:rPr>
        <w:t>Que la Agencia Nacional de Infraestructura ha identificado que el proyecto cuenta con las estaciones de peaje El Carmen y Ca</w:t>
      </w:r>
      <w:r>
        <w:rPr>
          <w:rFonts w:ascii="Times New Roman" w:eastAsia="Times New Roman" w:hAnsi="Times New Roman" w:cs="Times New Roman"/>
          <w:lang w:val="es" w:eastAsia="es-ES"/>
        </w:rPr>
        <w:t>lamar, la primera actualmente se encuentra en operación sobre la vía en la cual se ubica la Unidad Funcional 1 Puerta del Hierro-Carmen de Bolívar, la cual está ubicada en el PR 60+665 y la segunda ubicada en la Unidad Funcional 3 Carreto - Palmar de Varel</w:t>
      </w:r>
      <w:r>
        <w:rPr>
          <w:rFonts w:ascii="Times New Roman" w:eastAsia="Times New Roman" w:hAnsi="Times New Roman" w:cs="Times New Roman"/>
          <w:lang w:val="es" w:eastAsia="es-ES"/>
        </w:rPr>
        <w:t xml:space="preserve">a, en el PR 131+040 de la Ruta 2515, una vez se haga la entrega de la infraestructura por parte del INVIAS, el derecho al recaudo sobre las estaciones de peaje se llevará a cabo de acuerdo a las condiciones </w:t>
      </w:r>
      <w:r>
        <w:rPr>
          <w:rFonts w:ascii="Times New Roman" w:hAnsi="Times New Roman"/>
          <w:lang w:val="es-CO"/>
        </w:rPr>
        <w:t>establecidas en la Parte General y Especial del C</w:t>
      </w:r>
      <w:r>
        <w:rPr>
          <w:rFonts w:ascii="Times New Roman" w:hAnsi="Times New Roman"/>
          <w:lang w:val="es-CO"/>
        </w:rPr>
        <w:t xml:space="preserve">ontrato que se suscriba. </w:t>
      </w: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tabs>
          <w:tab w:val="left" w:pos="0"/>
        </w:tabs>
        <w:jc w:val="both"/>
      </w:pPr>
      <w:r>
        <w:rPr>
          <w:rFonts w:ascii="Times New Roman" w:eastAsia="Times New Roman" w:hAnsi="Times New Roman" w:cs="Times New Roman"/>
          <w:lang w:eastAsia="es-ES"/>
        </w:rPr>
        <w:t xml:space="preserve">Que dentro de la estructuración financiera del nuevo proyecto de Concesión  se contempla como una de las fuentes de retribución para el nuevo Concesionario, el recaudo de peajes, una vez se cumplan los requisitos que en el </w:t>
      </w:r>
      <w:r>
        <w:rPr>
          <w:rFonts w:ascii="Times New Roman" w:hAnsi="Times New Roman" w:cs="Times New Roman"/>
        </w:rPr>
        <w:t>capítu</w:t>
      </w:r>
      <w:r>
        <w:rPr>
          <w:rFonts w:ascii="Times New Roman" w:hAnsi="Times New Roman" w:cs="Times New Roman"/>
        </w:rPr>
        <w:t>lo IV  de la minuta del contrato de concesión Parte Especial anexo a los pliegos de licitación se establecen,</w:t>
      </w:r>
      <w:r>
        <w:rPr>
          <w:rFonts w:ascii="Times New Roman" w:eastAsia="Times New Roman" w:hAnsi="Times New Roman" w:cs="Times New Roman"/>
          <w:lang w:eastAsia="es-ES"/>
        </w:rPr>
        <w:t xml:space="preserve"> razón por la cual para la presentación de las ofertas económicas dentro del proceso de selección, se requiere que los precalificados y los oferent</w:t>
      </w:r>
      <w:r>
        <w:rPr>
          <w:rFonts w:ascii="Times New Roman" w:eastAsia="Times New Roman" w:hAnsi="Times New Roman" w:cs="Times New Roman"/>
          <w:lang w:eastAsia="es-ES"/>
        </w:rPr>
        <w:t xml:space="preserve">es, </w:t>
      </w:r>
      <w:r>
        <w:rPr>
          <w:rFonts w:ascii="Times New Roman" w:hAnsi="Times New Roman" w:cs="Times New Roman"/>
        </w:rPr>
        <w:t>tengan certeza sobre las tarifas</w:t>
      </w:r>
      <w:r>
        <w:rPr>
          <w:rFonts w:ascii="Times New Roman" w:eastAsia="Times New Roman" w:hAnsi="Times New Roman" w:cs="Times New Roman"/>
          <w:lang w:eastAsia="es-ES"/>
        </w:rPr>
        <w:t xml:space="preserve"> que podrán ser cobradas en la mismas.</w:t>
      </w:r>
    </w:p>
    <w:p w:rsidR="001A5EB7" w:rsidRDefault="001A5EB7">
      <w:pPr>
        <w:tabs>
          <w:tab w:val="left" w:pos="0"/>
        </w:tabs>
        <w:jc w:val="both"/>
        <w:rPr>
          <w:rFonts w:ascii="Times New Roman" w:eastAsia="Times New Roman" w:hAnsi="Times New Roman" w:cs="Times New Roman"/>
          <w:lang w:eastAsia="es-ES"/>
        </w:rPr>
      </w:pPr>
    </w:p>
    <w:p w:rsidR="001A5EB7" w:rsidRDefault="00365004">
      <w:pPr>
        <w:tabs>
          <w:tab w:val="left" w:pos="0"/>
        </w:tabs>
        <w:jc w:val="both"/>
      </w:pPr>
      <w:r>
        <w:rPr>
          <w:rFonts w:ascii="Times New Roman" w:eastAsia="Times New Roman" w:hAnsi="Times New Roman" w:cs="Times New Roman"/>
          <w:lang w:val="es" w:eastAsia="es-ES"/>
        </w:rPr>
        <w:t xml:space="preserve">Que las nuevas tarifas a aplicar, son el resultado de </w:t>
      </w:r>
      <w:r>
        <w:rPr>
          <w:rFonts w:ascii="Times New Roman" w:hAnsi="Times New Roman" w:cs="Times New Roman"/>
        </w:rPr>
        <w:t xml:space="preserve">un estudio de tráfico </w:t>
      </w:r>
      <w:r>
        <w:rPr>
          <w:rFonts w:ascii="Times New Roman" w:eastAsia="Times New Roman" w:hAnsi="Times New Roman" w:cs="Times New Roman"/>
          <w:lang w:val="es" w:eastAsia="es-ES"/>
        </w:rPr>
        <w:t xml:space="preserve">específico realizado por el estructurador para el proyecto de Concesión </w:t>
      </w:r>
      <w:r>
        <w:rPr>
          <w:rFonts w:ascii="Times New Roman" w:eastAsia="Times New Roman" w:hAnsi="Times New Roman" w:cs="Times New Roman"/>
          <w:color w:val="000000"/>
          <w:lang w:eastAsia="es-ES"/>
        </w:rPr>
        <w:t xml:space="preserve">Puerta de Hierro – Palmar de </w:t>
      </w:r>
      <w:r>
        <w:rPr>
          <w:rFonts w:ascii="Times New Roman" w:eastAsia="Times New Roman" w:hAnsi="Times New Roman" w:cs="Times New Roman"/>
          <w:color w:val="000000"/>
          <w:lang w:eastAsia="es-ES"/>
        </w:rPr>
        <w:t>Varela y Carreto – Cruz del Viso</w:t>
      </w:r>
      <w:r>
        <w:rPr>
          <w:rFonts w:ascii="Times New Roman" w:eastAsia="Times New Roman" w:hAnsi="Times New Roman" w:cs="Times New Roman"/>
          <w:lang w:val="es" w:eastAsia="es-ES"/>
        </w:rPr>
        <w:t xml:space="preserve">, </w:t>
      </w:r>
      <w:r>
        <w:rPr>
          <w:rFonts w:ascii="Times New Roman" w:hAnsi="Times New Roman" w:cs="Times New Roman"/>
        </w:rPr>
        <w:t xml:space="preserve">donde son utilizadas para determinar  </w:t>
      </w:r>
      <w:r>
        <w:rPr>
          <w:rFonts w:ascii="Times New Roman" w:eastAsia="Times New Roman" w:hAnsi="Times New Roman" w:cs="Times New Roman"/>
          <w:lang w:val="es" w:eastAsia="es-ES"/>
        </w:rPr>
        <w:t xml:space="preserve">los ingresos del modelo financiero de estructuración de la concesión, constituyéndose en uno de los parámetros necesarios para la obtención de la viabilidad financiera del proyecto. </w:t>
      </w: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tabs>
          <w:tab w:val="left" w:pos="0"/>
        </w:tabs>
        <w:jc w:val="both"/>
        <w:rPr>
          <w:rFonts w:ascii="Times New Roman" w:hAnsi="Times New Roman"/>
          <w:lang w:val="es-MX"/>
        </w:rPr>
      </w:pPr>
      <w:r>
        <w:rPr>
          <w:rFonts w:ascii="Times New Roman" w:hAnsi="Times New Roman"/>
          <w:lang w:val="es-MX"/>
        </w:rPr>
        <w:t>Que el contenido de la presente Resolución, fue publicado en la página web de la Agencia Nacional de Infraestructura ANI, el día 20 de marzo del 2015 en cumplimiento a lo determinado en el numeral 8 del artículo 8 de la Ley 1437 de 2011, con el objeto de r</w:t>
      </w:r>
      <w:r>
        <w:rPr>
          <w:rFonts w:ascii="Times New Roman" w:hAnsi="Times New Roman"/>
          <w:lang w:val="es-MX"/>
        </w:rPr>
        <w:t xml:space="preserve">ecibir opiniones, sugerencias o propuestas alternativas.  </w:t>
      </w:r>
    </w:p>
    <w:p w:rsidR="001A5EB7" w:rsidRDefault="001A5EB7">
      <w:pPr>
        <w:tabs>
          <w:tab w:val="left" w:pos="0"/>
        </w:tabs>
        <w:jc w:val="both"/>
        <w:rPr>
          <w:rFonts w:ascii="Times New Roman" w:hAnsi="Times New Roman"/>
          <w:lang w:val="es-MX"/>
        </w:rPr>
      </w:pPr>
    </w:p>
    <w:p w:rsidR="001A5EB7" w:rsidRDefault="00365004">
      <w:pPr>
        <w:tabs>
          <w:tab w:val="left" w:pos="0"/>
        </w:tabs>
        <w:jc w:val="both"/>
        <w:rPr>
          <w:rFonts w:ascii="Times New Roman" w:hAnsi="Times New Roman"/>
          <w:lang w:val="es-MX"/>
        </w:rPr>
      </w:pPr>
      <w:r>
        <w:rPr>
          <w:rFonts w:ascii="Times New Roman" w:hAnsi="Times New Roman"/>
          <w:lang w:val="es-MX"/>
        </w:rPr>
        <w:t>Que los comentarios recibidos fueron evaluados, atendidos y los pertinentes fueron incorporados en el contenido del presente acto administrativo.</w:t>
      </w:r>
    </w:p>
    <w:p w:rsidR="001A5EB7" w:rsidRDefault="001A5EB7">
      <w:pPr>
        <w:tabs>
          <w:tab w:val="left" w:pos="0"/>
        </w:tabs>
        <w:jc w:val="both"/>
        <w:rPr>
          <w:rFonts w:ascii="Times New Roman" w:eastAsia="Times New Roman" w:hAnsi="Times New Roman" w:cs="Times New Roman"/>
          <w:lang w:eastAsia="es-ES"/>
        </w:rPr>
      </w:pPr>
    </w:p>
    <w:p w:rsidR="001A5EB7" w:rsidRDefault="001A5EB7">
      <w:pPr>
        <w:tabs>
          <w:tab w:val="left" w:pos="0"/>
        </w:tabs>
        <w:jc w:val="both"/>
        <w:rPr>
          <w:rFonts w:ascii="Times New Roman" w:eastAsia="Times New Roman" w:hAnsi="Times New Roman" w:cs="Times New Roman"/>
          <w:lang w:eastAsia="es-ES"/>
        </w:rPr>
      </w:pPr>
    </w:p>
    <w:p w:rsidR="001A5EB7" w:rsidRDefault="001A5EB7">
      <w:pPr>
        <w:tabs>
          <w:tab w:val="left" w:pos="0"/>
        </w:tabs>
        <w:jc w:val="both"/>
        <w:rPr>
          <w:rFonts w:ascii="Times New Roman" w:eastAsia="Times New Roman" w:hAnsi="Times New Roman" w:cs="Times New Roman"/>
          <w:lang w:eastAsia="es-ES"/>
        </w:rPr>
      </w:pPr>
    </w:p>
    <w:p w:rsidR="001A5EB7" w:rsidRDefault="00365004">
      <w:pPr>
        <w:jc w:val="both"/>
      </w:pPr>
      <w:r>
        <w:rPr>
          <w:rFonts w:ascii="Times New Roman" w:eastAsia="Times New Roman" w:hAnsi="Times New Roman" w:cs="Times New Roman"/>
          <w:lang w:val="es-CO" w:eastAsia="es-ES"/>
        </w:rPr>
        <w:t xml:space="preserve">En mérito de lo expuesto, </w:t>
      </w:r>
    </w:p>
    <w:p w:rsidR="001A5EB7" w:rsidRDefault="00365004">
      <w:pPr>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RESUELVE:</w:t>
      </w:r>
    </w:p>
    <w:p w:rsidR="001A5EB7" w:rsidRDefault="001A5EB7">
      <w:pPr>
        <w:jc w:val="both"/>
        <w:rPr>
          <w:rFonts w:ascii="Times New Roman" w:eastAsia="Times New Roman" w:hAnsi="Times New Roman" w:cs="Times New Roman"/>
          <w:b/>
          <w:lang w:val="es" w:eastAsia="es-ES"/>
        </w:rPr>
      </w:pPr>
    </w:p>
    <w:p w:rsidR="001A5EB7" w:rsidRDefault="00365004">
      <w:pPr>
        <w:jc w:val="both"/>
      </w:pPr>
      <w:r>
        <w:rPr>
          <w:rFonts w:ascii="Times New Roman" w:eastAsia="Times New Roman" w:hAnsi="Times New Roman" w:cs="Times New Roman"/>
          <w:b/>
          <w:lang w:val="es" w:eastAsia="es-ES"/>
        </w:rPr>
        <w:t xml:space="preserve">ARTÍCULO </w:t>
      </w:r>
      <w:r>
        <w:rPr>
          <w:rFonts w:ascii="Times New Roman" w:eastAsia="Times New Roman" w:hAnsi="Times New Roman" w:cs="Times New Roman"/>
          <w:b/>
          <w:lang w:val="es" w:eastAsia="es-ES"/>
        </w:rPr>
        <w:t>PRIMERO:</w:t>
      </w:r>
      <w:r>
        <w:rPr>
          <w:rFonts w:ascii="Times New Roman" w:eastAsia="Times New Roman" w:hAnsi="Times New Roman" w:cs="Times New Roman"/>
          <w:lang w:val="es" w:eastAsia="es-ES"/>
        </w:rPr>
        <w:t xml:space="preserve"> Establecer las siguientes categorías y tarifas de peaje, como  las tarifas especiales  a cobrar en las estaciones de Peaje “El Carmen” ubicada en el PR60+665 y “Calamar” ubicada en el PR 131+040 de la Ruta 2515 según categorías vehiculares, que se</w:t>
      </w:r>
      <w:r>
        <w:rPr>
          <w:rFonts w:ascii="Times New Roman" w:eastAsia="Times New Roman" w:hAnsi="Times New Roman" w:cs="Times New Roman"/>
          <w:lang w:val="es" w:eastAsia="es-ES"/>
        </w:rPr>
        <w:t>rán cobradas en forma bidireccional</w:t>
      </w:r>
      <w:r>
        <w:rPr>
          <w:rFonts w:ascii="Times New Roman" w:eastAsia="Times New Roman" w:hAnsi="Times New Roman"/>
          <w:lang w:val="es" w:eastAsia="es-ES"/>
        </w:rPr>
        <w:t>.</w:t>
      </w:r>
    </w:p>
    <w:p w:rsidR="001A5EB7" w:rsidRDefault="001A5EB7">
      <w:pPr>
        <w:jc w:val="both"/>
        <w:rPr>
          <w:rFonts w:ascii="Times New Roman" w:eastAsia="Times New Roman" w:hAnsi="Times New Roman" w:cs="Times New Roman"/>
          <w:lang w:val="es" w:eastAsia="es-ES"/>
        </w:rPr>
      </w:pPr>
    </w:p>
    <w:p w:rsidR="001A5EB7" w:rsidRDefault="001A5EB7">
      <w:pPr>
        <w:jc w:val="both"/>
        <w:rPr>
          <w:rFonts w:ascii="Times New Roman" w:eastAsia="Times New Roman" w:hAnsi="Times New Roman" w:cs="Times New Roman"/>
          <w:lang w:val="es" w:eastAsia="es-ES"/>
        </w:rPr>
      </w:pPr>
    </w:p>
    <w:p w:rsidR="001A5EB7" w:rsidRDefault="00365004">
      <w:pPr>
        <w:pStyle w:val="Normal1"/>
        <w:tabs>
          <w:tab w:val="left" w:pos="708"/>
        </w:tabs>
        <w:ind w:left="864" w:firstLine="0"/>
        <w:rPr>
          <w:b/>
        </w:rPr>
      </w:pPr>
      <w:r>
        <w:rPr>
          <w:b/>
        </w:rPr>
        <w:t>Tarifas al usuario para la estación de peaje El Carmen</w:t>
      </w:r>
    </w:p>
    <w:p w:rsidR="001A5EB7" w:rsidRDefault="001A5EB7">
      <w:pPr>
        <w:pStyle w:val="Normal1"/>
        <w:tabs>
          <w:tab w:val="left" w:pos="708"/>
        </w:tabs>
        <w:ind w:left="864" w:firstLine="0"/>
        <w:rPr>
          <w:b/>
        </w:rPr>
      </w:pPr>
    </w:p>
    <w:tbl>
      <w:tblPr>
        <w:tblW w:w="8333" w:type="dxa"/>
        <w:tblInd w:w="421" w:type="dxa"/>
        <w:tblLayout w:type="fixed"/>
        <w:tblCellMar>
          <w:left w:w="10" w:type="dxa"/>
          <w:right w:w="10" w:type="dxa"/>
        </w:tblCellMar>
        <w:tblLook w:val="04A0" w:firstRow="1" w:lastRow="0" w:firstColumn="1" w:lastColumn="0" w:noHBand="0" w:noVBand="1"/>
      </w:tblPr>
      <w:tblGrid>
        <w:gridCol w:w="1842"/>
        <w:gridCol w:w="4962"/>
        <w:gridCol w:w="1529"/>
      </w:tblGrid>
      <w:tr w:rsidR="001A5EB7">
        <w:tblPrEx>
          <w:tblCellMar>
            <w:top w:w="0" w:type="dxa"/>
            <w:bottom w:w="0" w:type="dxa"/>
          </w:tblCellMar>
        </w:tblPrEx>
        <w:trPr>
          <w:trHeight w:val="7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CO" w:eastAsia="es-ES"/>
              </w:rPr>
            </w:pPr>
            <w:r>
              <w:rPr>
                <w:rFonts w:ascii="Times New Roman" w:eastAsia="Times New Roman" w:hAnsi="Times New Roman" w:cs="Times New Roman"/>
                <w:lang w:val="es-CO" w:eastAsia="es-ES"/>
              </w:rPr>
              <w:t>DESCRIPCIÓN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pPr>
            <w:r>
              <w:rPr>
                <w:rFonts w:ascii="Times New Roman" w:eastAsia="Times New Roman" w:hAnsi="Times New Roman" w:cs="Times New Roman"/>
                <w:lang w:val="es" w:eastAsia="es-ES"/>
              </w:rPr>
              <w:t>TARIFAS (Pesos de 2013)</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r>
              <w:rPr>
                <w:rFonts w:ascii="Times New Roman" w:eastAsia="Times New Roman" w:hAnsi="Times New Roman" w:cs="Times New Roman"/>
                <w:lang w:val="es" w:eastAsia="es-ES"/>
              </w:rPr>
              <w:t>Automóviles, camperos, camionetas, motocarros y microbuses con ejes de llanta sencilla</w:t>
            </w:r>
          </w:p>
          <w:p w:rsidR="001A5EB7" w:rsidRDefault="001A5EB7">
            <w:pPr>
              <w:rPr>
                <w:rFonts w:ascii="Times New Roman" w:eastAsia="Times New Roman" w:hAnsi="Times New Roman" w:cs="Times New Roman"/>
                <w:lang w:val="es" w:eastAsia="es-E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10,200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Buses, busetas, microbuses con eje trasero de doble llanta y camiones de dos ejes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12,600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IE y IIE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r>
              <w:rPr>
                <w:rFonts w:ascii="Times New Roman" w:eastAsia="Times New Roman" w:hAnsi="Times New Roman" w:cs="Times New Roman"/>
                <w:lang w:val="es" w:eastAsia="es-ES"/>
              </w:rPr>
              <w:t xml:space="preserve">La clasificación Vehicular corresponde al grupo de vehículos conformado por los pertenecientes a la Categoría I de los residentes del </w:t>
            </w:r>
            <w:r>
              <w:rPr>
                <w:rFonts w:ascii="Times New Roman" w:eastAsia="Times New Roman" w:hAnsi="Times New Roman" w:cs="Times New Roman"/>
                <w:lang w:val="es" w:eastAsia="es-ES"/>
              </w:rPr>
              <w:t xml:space="preserve">municipio del Carmen del Bolívar y a los carro tanques que transportan agua al municipio del Carmen de Bolívar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1A5EB7">
            <w:pPr>
              <w:jc w:val="center"/>
              <w:rPr>
                <w:rFonts w:ascii="Times New Roman" w:eastAsia="Times New Roman" w:hAnsi="Times New Roman" w:cs="Times New Roman"/>
                <w:lang w:val="es" w:eastAsia="es-ES"/>
              </w:rPr>
            </w:pPr>
          </w:p>
          <w:p w:rsidR="001A5EB7" w:rsidRDefault="001A5EB7">
            <w:pPr>
              <w:jc w:val="center"/>
              <w:rPr>
                <w:rFonts w:ascii="Times New Roman" w:eastAsia="Times New Roman" w:hAnsi="Times New Roman" w:cs="Times New Roman"/>
                <w:lang w:val="es" w:eastAsia="es-ES"/>
              </w:rPr>
            </w:pPr>
          </w:p>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1,100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pasajeros y de carga de tres y cuatro ejes.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15,700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carga de cinco ejes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19,800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carga de seis ejes.</w:t>
            </w:r>
          </w:p>
          <w:p w:rsidR="001A5EB7" w:rsidRDefault="001A5EB7">
            <w:pPr>
              <w:rPr>
                <w:rFonts w:ascii="Times New Roman" w:eastAsia="Times New Roman" w:hAnsi="Times New Roman" w:cs="Times New Roman"/>
                <w:lang w:val="es" w:eastAsia="es-E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30,400</w:t>
            </w:r>
          </w:p>
        </w:tc>
      </w:tr>
    </w:tbl>
    <w:p w:rsidR="001A5EB7" w:rsidRDefault="001A5EB7">
      <w:pPr>
        <w:pStyle w:val="Normal1"/>
        <w:tabs>
          <w:tab w:val="left" w:pos="708"/>
        </w:tabs>
        <w:ind w:left="864" w:firstLine="0"/>
        <w:rPr>
          <w:b/>
        </w:rPr>
      </w:pPr>
    </w:p>
    <w:p w:rsidR="001A5EB7" w:rsidRDefault="001A5EB7">
      <w:pPr>
        <w:pStyle w:val="Normal1"/>
        <w:tabs>
          <w:tab w:val="left" w:pos="708"/>
        </w:tabs>
        <w:ind w:left="864" w:firstLine="0"/>
        <w:rPr>
          <w:b/>
        </w:rPr>
      </w:pPr>
    </w:p>
    <w:p w:rsidR="001A5EB7" w:rsidRDefault="00365004">
      <w:pPr>
        <w:pStyle w:val="Normal1"/>
        <w:tabs>
          <w:tab w:val="left" w:pos="708"/>
        </w:tabs>
        <w:ind w:left="864" w:firstLine="0"/>
        <w:rPr>
          <w:b/>
        </w:rPr>
      </w:pPr>
      <w:r>
        <w:rPr>
          <w:b/>
        </w:rPr>
        <w:t>Tarifas al usuario para la estación de peaje Calamar</w:t>
      </w:r>
    </w:p>
    <w:p w:rsidR="001A5EB7" w:rsidRDefault="001A5EB7">
      <w:pPr>
        <w:pStyle w:val="Normal1"/>
        <w:tabs>
          <w:tab w:val="left" w:pos="708"/>
        </w:tabs>
        <w:ind w:left="864" w:firstLine="0"/>
        <w:rPr>
          <w:b/>
        </w:rPr>
      </w:pPr>
    </w:p>
    <w:tbl>
      <w:tblPr>
        <w:tblW w:w="8333" w:type="dxa"/>
        <w:tblInd w:w="421" w:type="dxa"/>
        <w:tblLayout w:type="fixed"/>
        <w:tblCellMar>
          <w:left w:w="10" w:type="dxa"/>
          <w:right w:w="10" w:type="dxa"/>
        </w:tblCellMar>
        <w:tblLook w:val="04A0" w:firstRow="1" w:lastRow="0" w:firstColumn="1" w:lastColumn="0" w:noHBand="0" w:noVBand="1"/>
      </w:tblPr>
      <w:tblGrid>
        <w:gridCol w:w="1842"/>
        <w:gridCol w:w="5215"/>
        <w:gridCol w:w="1276"/>
      </w:tblGrid>
      <w:tr w:rsidR="001A5EB7">
        <w:tblPrEx>
          <w:tblCellMar>
            <w:top w:w="0" w:type="dxa"/>
            <w:bottom w:w="0" w:type="dxa"/>
          </w:tblCellMar>
        </w:tblPrEx>
        <w:trPr>
          <w:trHeight w:val="40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CATEGORÍAS</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CO" w:eastAsia="es-ES"/>
              </w:rPr>
            </w:pPr>
            <w:r>
              <w:rPr>
                <w:rFonts w:ascii="Times New Roman" w:eastAsia="Times New Roman" w:hAnsi="Times New Roman" w:cs="Times New Roman"/>
                <w:lang w:val="es-CO" w:eastAsia="es-ES"/>
              </w:rPr>
              <w:t>DESCRIPCIÓN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jc w:val="center"/>
              <w:rPr>
                <w:rFonts w:ascii="Times New Roman" w:eastAsia="Times New Roman" w:hAnsi="Times New Roman" w:cs="Times New Roman"/>
                <w:lang w:val="es" w:eastAsia="es-ES"/>
              </w:rPr>
            </w:pPr>
            <w:r>
              <w:rPr>
                <w:rFonts w:ascii="Times New Roman" w:eastAsia="Times New Roman" w:hAnsi="Times New Roman" w:cs="Times New Roman"/>
                <w:lang w:val="es" w:eastAsia="es-ES"/>
              </w:rPr>
              <w:t>TARIFAS</w:t>
            </w:r>
          </w:p>
          <w:p w:rsidR="001A5EB7" w:rsidRDefault="00365004">
            <w:pPr>
              <w:jc w:val="center"/>
            </w:pPr>
            <w:r>
              <w:rPr>
                <w:rFonts w:ascii="Times New Roman" w:eastAsia="Times New Roman" w:hAnsi="Times New Roman" w:cs="Times New Roman"/>
                <w:lang w:val="es" w:eastAsia="es-ES"/>
              </w:rPr>
              <w:t>(Pesos de 2013)</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r>
              <w:rPr>
                <w:rFonts w:ascii="Times New Roman" w:eastAsia="Times New Roman" w:hAnsi="Times New Roman" w:cs="Times New Roman"/>
                <w:lang w:val="es" w:eastAsia="es-ES"/>
              </w:rPr>
              <w:t>Automóviles, camperos, camionetas, motocarros y microbuses con ejes de llanta sencilla</w:t>
            </w:r>
          </w:p>
          <w:p w:rsidR="001A5EB7" w:rsidRDefault="001A5EB7">
            <w:pPr>
              <w:rPr>
                <w:rFonts w:ascii="Times New Roman" w:eastAsia="Times New Roman" w:hAnsi="Times New Roman" w:cs="Times New Roman"/>
                <w:lang w:val="es" w:eastAsia="es-E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10,200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r>
              <w:rPr>
                <w:rFonts w:ascii="Times New Roman" w:eastAsia="Times New Roman" w:hAnsi="Times New Roman" w:cs="Times New Roman"/>
                <w:lang w:val="es" w:eastAsia="es-ES"/>
              </w:rPr>
              <w:t>Categoría IE</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r>
              <w:rPr>
                <w:rFonts w:ascii="Times New Roman" w:eastAsia="Times New Roman" w:hAnsi="Times New Roman" w:cs="Times New Roman"/>
                <w:lang w:val="es" w:eastAsia="es-ES"/>
              </w:rPr>
              <w:t>La clasificación Vehicular corresponde al grupo de vehículos conformado por los pertenecientes a la Categoría 1 de los residentes del municipio del Carmen del Bolívar y a los carro tanques que transportan agua al municipio del Carmen</w:t>
            </w:r>
            <w:r>
              <w:rPr>
                <w:rFonts w:ascii="Times New Roman" w:eastAsia="Times New Roman" w:hAnsi="Times New Roman" w:cs="Times New Roman"/>
                <w:lang w:val="es" w:eastAsia="es-ES"/>
              </w:rPr>
              <w:t xml:space="preserve"> de Bolívar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1A5EB7">
            <w:pPr>
              <w:rPr>
                <w:rFonts w:ascii="Times New Roman" w:eastAsia="Times New Roman" w:hAnsi="Times New Roman" w:cs="Times New Roman"/>
                <w:lang w:val="es" w:eastAsia="es-ES"/>
              </w:rPr>
            </w:pPr>
          </w:p>
          <w:p w:rsidR="001A5EB7" w:rsidRDefault="001A5EB7">
            <w:pPr>
              <w:rPr>
                <w:rFonts w:ascii="Times New Roman" w:eastAsia="Times New Roman" w:hAnsi="Times New Roman" w:cs="Times New Roman"/>
                <w:lang w:val="es" w:eastAsia="es-ES"/>
              </w:rPr>
            </w:pPr>
          </w:p>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2.200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lastRenderedPageBreak/>
              <w:t>Categoría II</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Buses, busetas, microbuses con eje trasero de doble llanta y camiones de dos ejes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12,600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III</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pasajeros y de carga de tres y cuatro ejes.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15,700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IV</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carga de cinco ejes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19,800</w:t>
            </w:r>
          </w:p>
        </w:tc>
      </w:tr>
      <w:tr w:rsidR="001A5EB7">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Categoría V</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Vehículos de carga de seis ejes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EB7" w:rsidRDefault="00365004">
            <w:pPr>
              <w:rPr>
                <w:rFonts w:ascii="Times New Roman" w:eastAsia="Times New Roman" w:hAnsi="Times New Roman" w:cs="Times New Roman"/>
                <w:lang w:val="es" w:eastAsia="es-ES"/>
              </w:rPr>
            </w:pPr>
            <w:r>
              <w:rPr>
                <w:rFonts w:ascii="Times New Roman" w:eastAsia="Times New Roman" w:hAnsi="Times New Roman" w:cs="Times New Roman"/>
                <w:lang w:val="es" w:eastAsia="es-ES"/>
              </w:rPr>
              <w:t>30,400</w:t>
            </w:r>
          </w:p>
        </w:tc>
      </w:tr>
    </w:tbl>
    <w:p w:rsidR="001A5EB7" w:rsidRDefault="001A5EB7">
      <w:pPr>
        <w:tabs>
          <w:tab w:val="left" w:pos="0"/>
        </w:tabs>
        <w:jc w:val="both"/>
        <w:rPr>
          <w:rFonts w:ascii="Times New Roman" w:eastAsia="Times New Roman" w:hAnsi="Times New Roman" w:cs="Times New Roman"/>
          <w:b/>
          <w:lang w:val="es" w:eastAsia="es-ES"/>
        </w:rPr>
      </w:pPr>
    </w:p>
    <w:p w:rsidR="001A5EB7" w:rsidRDefault="00365004">
      <w:pPr>
        <w:tabs>
          <w:tab w:val="left" w:pos="0"/>
        </w:tabs>
        <w:jc w:val="both"/>
      </w:pPr>
      <w:r>
        <w:rPr>
          <w:rFonts w:ascii="Times New Roman" w:hAnsi="Times New Roman"/>
          <w:b/>
        </w:rPr>
        <w:t>PARÁGRAFO</w:t>
      </w:r>
      <w:r>
        <w:rPr>
          <w:rFonts w:ascii="Times New Roman" w:hAnsi="Times New Roman"/>
        </w:rPr>
        <w:t>: De conformidad con las disposiciones establecidas en los documentos del Contrato del proceso VJ-VE-IP-LP-016-2013, el derecho a percibir la retribución por recaudo de peajes, sólo procederá u</w:t>
      </w:r>
      <w:r>
        <w:rPr>
          <w:rFonts w:ascii="Times New Roman" w:hAnsi="Times New Roman"/>
        </w:rPr>
        <w:t>na vez se cumplan los presupuestos establecidos en el mismo documento.</w:t>
      </w:r>
    </w:p>
    <w:p w:rsidR="001A5EB7" w:rsidRDefault="001A5EB7">
      <w:pPr>
        <w:tabs>
          <w:tab w:val="left" w:pos="0"/>
        </w:tabs>
        <w:jc w:val="both"/>
        <w:rPr>
          <w:rFonts w:ascii="Times New Roman" w:hAnsi="Times New Roman"/>
        </w:rPr>
      </w:pPr>
    </w:p>
    <w:p w:rsidR="001A5EB7" w:rsidRDefault="00365004">
      <w:pPr>
        <w:tabs>
          <w:tab w:val="left" w:pos="0"/>
        </w:tabs>
        <w:jc w:val="both"/>
      </w:pPr>
      <w:r>
        <w:rPr>
          <w:rFonts w:ascii="Times New Roman" w:hAnsi="Times New Roman"/>
          <w:b/>
        </w:rPr>
        <w:t>PARÁGRAFO</w:t>
      </w:r>
      <w:r>
        <w:rPr>
          <w:rFonts w:ascii="Times New Roman" w:hAnsi="Times New Roman"/>
        </w:rPr>
        <w:t>: las tarifas establecidas en la Resolución 0036 de 2015, se actualizarán de conformidad con la fórmula establecida en los documentos del Contrato del proceso VJ-VE-IP-LP-016-</w:t>
      </w:r>
      <w:r>
        <w:rPr>
          <w:rFonts w:ascii="Times New Roman" w:hAnsi="Times New Roman"/>
        </w:rPr>
        <w:t xml:space="preserve">2013.  </w:t>
      </w:r>
    </w:p>
    <w:p w:rsidR="001A5EB7" w:rsidRDefault="001A5EB7">
      <w:pPr>
        <w:tabs>
          <w:tab w:val="left" w:pos="0"/>
        </w:tabs>
        <w:jc w:val="both"/>
        <w:rPr>
          <w:rFonts w:ascii="Times New Roman" w:hAnsi="Times New Roman"/>
          <w:b/>
        </w:rPr>
      </w:pPr>
    </w:p>
    <w:p w:rsidR="001A5EB7" w:rsidRDefault="00365004">
      <w:pPr>
        <w:tabs>
          <w:tab w:val="left" w:pos="0"/>
        </w:tabs>
        <w:jc w:val="both"/>
      </w:pPr>
      <w:r>
        <w:rPr>
          <w:rFonts w:ascii="Times New Roman" w:hAnsi="Times New Roman"/>
          <w:b/>
        </w:rPr>
        <w:t>ARTÍCULO SEGUNDO :</w:t>
      </w:r>
      <w:r>
        <w:rPr>
          <w:rFonts w:ascii="Times New Roman" w:hAnsi="Times New Roman"/>
        </w:rPr>
        <w:t xml:space="preserve"> Las tarifas de peaje de que trata el presente artículo, incluyen el valor de Doscientos pesos ($200)   por cada vehículo que transite por las estaciones de peaje, destinado a  adelantar programas de seguridad en las carreteras a</w:t>
      </w:r>
      <w:r>
        <w:rPr>
          <w:rFonts w:ascii="Times New Roman" w:hAnsi="Times New Roman"/>
        </w:rPr>
        <w:t xml:space="preserve"> cargo de la Nación..</w:t>
      </w:r>
    </w:p>
    <w:p w:rsidR="001A5EB7" w:rsidRDefault="001A5EB7">
      <w:pPr>
        <w:jc w:val="both"/>
        <w:rPr>
          <w:rFonts w:ascii="Times New Roman" w:eastAsia="Times New Roman" w:hAnsi="Times New Roman" w:cs="Times New Roman"/>
          <w:b/>
          <w:lang w:val="es" w:eastAsia="es-ES"/>
        </w:rPr>
      </w:pPr>
    </w:p>
    <w:p w:rsidR="001A5EB7" w:rsidRDefault="00365004">
      <w:pPr>
        <w:tabs>
          <w:tab w:val="left" w:pos="0"/>
        </w:tabs>
        <w:jc w:val="both"/>
      </w:pPr>
      <w:r>
        <w:rPr>
          <w:rFonts w:ascii="Times New Roman" w:hAnsi="Times New Roman"/>
          <w:b/>
        </w:rPr>
        <w:t>ARTÍCULO TERCERO:</w:t>
      </w:r>
      <w:r>
        <w:rPr>
          <w:rFonts w:ascii="Times New Roman" w:hAnsi="Times New Roman"/>
        </w:rPr>
        <w:t xml:space="preserve"> La Estaciones de Peaje anteriormente mencionadas se encuentran actualmente operando dentro del Contrato 250 de 2011, celebrado entre el INVIAS y ODINSA,   una vez se efectúe la entrega de la infraestructura por part</w:t>
      </w:r>
      <w:r>
        <w:rPr>
          <w:rFonts w:ascii="Times New Roman" w:hAnsi="Times New Roman"/>
        </w:rPr>
        <w:t>e del INVIAS a la ANI, el recaudo se llevará acabo de conformidad con las condiciones establecidas en la parte general y especial del contrato de concesión que se llegare a suscribir entre la ANI y el futuro concesionario.</w:t>
      </w:r>
    </w:p>
    <w:p w:rsidR="001A5EB7" w:rsidRDefault="001A5EB7">
      <w:pPr>
        <w:jc w:val="both"/>
        <w:rPr>
          <w:rFonts w:ascii="Times New Roman" w:hAnsi="Times New Roman"/>
        </w:rPr>
      </w:pPr>
    </w:p>
    <w:p w:rsidR="001A5EB7" w:rsidRDefault="00365004">
      <w:pPr>
        <w:jc w:val="both"/>
      </w:pPr>
      <w:r>
        <w:rPr>
          <w:rFonts w:ascii="Times New Roman" w:hAnsi="Times New Roman"/>
          <w:b/>
        </w:rPr>
        <w:t xml:space="preserve">ARTÍCULO CUARTO: </w:t>
      </w:r>
      <w:r>
        <w:rPr>
          <w:rFonts w:ascii="Times New Roman" w:hAnsi="Times New Roman"/>
          <w:color w:val="000000"/>
          <w:lang w:eastAsia="es-CO"/>
        </w:rPr>
        <w:t xml:space="preserve">Las tarifas de </w:t>
      </w:r>
      <w:r>
        <w:rPr>
          <w:rFonts w:ascii="Times New Roman" w:hAnsi="Times New Roman"/>
          <w:color w:val="000000"/>
          <w:lang w:eastAsia="es-CO"/>
        </w:rPr>
        <w:t>peajes de que trata la presente resolución se actualizarán cada año, de acuerdo a lo establecido en la minuta del contrato de concesión y deberán ser ajustadas a la centena más cercana, con el fin de facilitar el recaudo por parte del Concesionario.</w:t>
      </w:r>
    </w:p>
    <w:p w:rsidR="001A5EB7" w:rsidRDefault="001A5EB7">
      <w:pPr>
        <w:jc w:val="both"/>
        <w:rPr>
          <w:rFonts w:ascii="Times New Roman" w:hAnsi="Times New Roman"/>
          <w:color w:val="000000"/>
          <w:lang w:eastAsia="es-CO"/>
        </w:rPr>
      </w:pPr>
    </w:p>
    <w:p w:rsidR="001A5EB7" w:rsidRDefault="00365004">
      <w:pPr>
        <w:tabs>
          <w:tab w:val="left" w:pos="0"/>
        </w:tabs>
        <w:jc w:val="both"/>
      </w:pPr>
      <w:r>
        <w:rPr>
          <w:rFonts w:ascii="Times New Roman" w:hAnsi="Times New Roman"/>
          <w:b/>
        </w:rPr>
        <w:t>ARTÍC</w:t>
      </w:r>
      <w:r>
        <w:rPr>
          <w:rFonts w:ascii="Times New Roman" w:hAnsi="Times New Roman"/>
          <w:b/>
        </w:rPr>
        <w:t>ULO QUINTO</w:t>
      </w:r>
      <w:r>
        <w:rPr>
          <w:rFonts w:ascii="Times New Roman" w:hAnsi="Times New Roman"/>
        </w:rPr>
        <w:t>: Seis meses antes de la instalación de las casetas de peaje, la Agencia Nacional de Infraestructura y el concesionario deberá socializarlas con las comunidades del sector, así como determinar cuáles son las condiciones que deberán cumplir los be</w:t>
      </w:r>
      <w:r>
        <w:rPr>
          <w:rFonts w:ascii="Times New Roman" w:hAnsi="Times New Roman"/>
        </w:rPr>
        <w:t xml:space="preserve">neficiarios de las tarifas especiales de que trata la presente resolución. </w:t>
      </w:r>
    </w:p>
    <w:p w:rsidR="001A5EB7" w:rsidRDefault="001A5EB7">
      <w:pPr>
        <w:jc w:val="both"/>
        <w:rPr>
          <w:rFonts w:ascii="Times New Roman" w:eastAsia="Times New Roman" w:hAnsi="Times New Roman" w:cs="Times New Roman"/>
          <w:color w:val="000000"/>
          <w:lang w:val="es" w:eastAsia="es-CO"/>
        </w:rPr>
      </w:pPr>
    </w:p>
    <w:p w:rsidR="001A5EB7" w:rsidRDefault="00365004">
      <w:pPr>
        <w:tabs>
          <w:tab w:val="left" w:pos="0"/>
        </w:tabs>
        <w:jc w:val="both"/>
      </w:pPr>
      <w:r>
        <w:rPr>
          <w:rFonts w:ascii="Times New Roman" w:eastAsia="Times New Roman" w:hAnsi="Times New Roman" w:cs="Times New Roman"/>
          <w:b/>
          <w:lang w:val="es" w:eastAsia="es-ES"/>
        </w:rPr>
        <w:t xml:space="preserve">ARTÍCULO SEXTO: </w:t>
      </w:r>
      <w:r>
        <w:rPr>
          <w:rFonts w:ascii="Times New Roman" w:eastAsia="Times New Roman" w:hAnsi="Times New Roman" w:cs="Times New Roman"/>
          <w:lang w:val="es" w:eastAsia="es-ES"/>
        </w:rPr>
        <w:t xml:space="preserve">La presente Resolución rige a partir de la fecha de su publicación. </w:t>
      </w:r>
    </w:p>
    <w:p w:rsidR="001A5EB7" w:rsidRDefault="001A5EB7">
      <w:pPr>
        <w:jc w:val="both"/>
        <w:rPr>
          <w:rFonts w:ascii="Times New Roman" w:eastAsia="Times New Roman" w:hAnsi="Times New Roman" w:cs="Times New Roman"/>
          <w:lang w:val="es" w:eastAsia="es-ES"/>
        </w:rPr>
      </w:pPr>
    </w:p>
    <w:p w:rsidR="001A5EB7" w:rsidRDefault="001A5EB7">
      <w:pPr>
        <w:jc w:val="both"/>
        <w:rPr>
          <w:rFonts w:ascii="Times New Roman" w:eastAsia="Times New Roman" w:hAnsi="Times New Roman" w:cs="Times New Roman"/>
          <w:b/>
          <w:lang w:val="es" w:eastAsia="es-ES"/>
        </w:rPr>
      </w:pPr>
    </w:p>
    <w:p w:rsidR="001A5EB7" w:rsidRDefault="00365004">
      <w:pPr>
        <w:pStyle w:val="Standard"/>
        <w:autoSpaceDE w:val="0"/>
      </w:pPr>
      <w:r>
        <w:rPr>
          <w:rFonts w:ascii="Times New Roman" w:hAnsi="Times New Roman" w:cs="Times New Roman"/>
          <w:b/>
          <w:bCs/>
          <w:szCs w:val="24"/>
        </w:rPr>
        <w:t xml:space="preserve"> PUBLÍQUESE </w:t>
      </w:r>
      <w:r>
        <w:rPr>
          <w:rFonts w:ascii="Times New Roman" w:eastAsia="Futura Bk BT" w:hAnsi="Times New Roman" w:cs="Times New Roman"/>
          <w:b/>
          <w:bCs/>
          <w:szCs w:val="24"/>
        </w:rPr>
        <w:t xml:space="preserve"> </w:t>
      </w:r>
      <w:r>
        <w:rPr>
          <w:rFonts w:ascii="Times New Roman" w:hAnsi="Times New Roman" w:cs="Times New Roman"/>
          <w:b/>
          <w:bCs/>
          <w:szCs w:val="24"/>
        </w:rPr>
        <w:t>Y</w:t>
      </w:r>
      <w:r>
        <w:rPr>
          <w:rFonts w:ascii="Times New Roman" w:eastAsia="Futura Bk BT" w:hAnsi="Times New Roman" w:cs="Times New Roman"/>
          <w:b/>
          <w:bCs/>
          <w:szCs w:val="24"/>
        </w:rPr>
        <w:t xml:space="preserve"> </w:t>
      </w:r>
      <w:r>
        <w:rPr>
          <w:rFonts w:ascii="Times New Roman" w:hAnsi="Times New Roman" w:cs="Times New Roman"/>
          <w:b/>
          <w:bCs/>
          <w:szCs w:val="24"/>
        </w:rPr>
        <w:t>CÚMPLASE,</w:t>
      </w:r>
    </w:p>
    <w:p w:rsidR="001A5EB7" w:rsidRDefault="001A5EB7">
      <w:pPr>
        <w:pStyle w:val="Standard"/>
        <w:autoSpaceDE w:val="0"/>
        <w:rPr>
          <w:rFonts w:ascii="Times New Roman" w:hAnsi="Times New Roman" w:cs="Times New Roman"/>
          <w:szCs w:val="24"/>
        </w:rPr>
      </w:pPr>
    </w:p>
    <w:p w:rsidR="001A5EB7" w:rsidRDefault="00365004">
      <w:pPr>
        <w:tabs>
          <w:tab w:val="left" w:pos="0"/>
        </w:tabs>
        <w:rPr>
          <w:rFonts w:ascii="Times New Roman" w:eastAsia="Times New Roman" w:hAnsi="Times New Roman" w:cs="Times New Roman"/>
          <w:lang w:val="es" w:eastAsia="es-ES"/>
        </w:rPr>
      </w:pPr>
      <w:r>
        <w:rPr>
          <w:rFonts w:ascii="Times New Roman" w:eastAsia="Times New Roman" w:hAnsi="Times New Roman" w:cs="Times New Roman"/>
          <w:lang w:val="es" w:eastAsia="es-ES"/>
        </w:rPr>
        <w:t xml:space="preserve">Dada en Bogotá D.C., a los </w:t>
      </w:r>
    </w:p>
    <w:p w:rsidR="001A5EB7" w:rsidRDefault="001A5EB7">
      <w:pPr>
        <w:tabs>
          <w:tab w:val="left" w:pos="0"/>
        </w:tabs>
        <w:jc w:val="both"/>
        <w:rPr>
          <w:rFonts w:ascii="Times New Roman" w:eastAsia="Times New Roman" w:hAnsi="Times New Roman" w:cs="Times New Roman"/>
          <w:lang w:val="es" w:eastAsia="es-ES"/>
        </w:rPr>
      </w:pPr>
    </w:p>
    <w:p w:rsidR="001A5EB7" w:rsidRDefault="001A5EB7">
      <w:pPr>
        <w:tabs>
          <w:tab w:val="left" w:pos="0"/>
        </w:tabs>
        <w:jc w:val="both"/>
        <w:rPr>
          <w:rFonts w:ascii="Times New Roman" w:eastAsia="Times New Roman" w:hAnsi="Times New Roman" w:cs="Times New Roman"/>
          <w:lang w:val="es" w:eastAsia="es-ES"/>
        </w:rPr>
      </w:pPr>
    </w:p>
    <w:p w:rsidR="001A5EB7" w:rsidRDefault="001A5EB7">
      <w:pPr>
        <w:tabs>
          <w:tab w:val="left" w:pos="0"/>
        </w:tabs>
        <w:jc w:val="both"/>
        <w:rPr>
          <w:rFonts w:ascii="Times New Roman" w:eastAsia="Times New Roman" w:hAnsi="Times New Roman" w:cs="Times New Roman"/>
          <w:lang w:val="es" w:eastAsia="es-ES"/>
        </w:rPr>
      </w:pPr>
    </w:p>
    <w:p w:rsidR="001A5EB7" w:rsidRDefault="001A5EB7">
      <w:pPr>
        <w:tabs>
          <w:tab w:val="left" w:pos="0"/>
        </w:tabs>
        <w:jc w:val="both"/>
        <w:rPr>
          <w:rFonts w:ascii="Times New Roman" w:eastAsia="Times New Roman" w:hAnsi="Times New Roman" w:cs="Times New Roman"/>
          <w:lang w:val="es" w:eastAsia="es-ES"/>
        </w:rPr>
      </w:pPr>
    </w:p>
    <w:p w:rsidR="001A5EB7" w:rsidRDefault="001A5EB7">
      <w:pPr>
        <w:tabs>
          <w:tab w:val="left" w:pos="0"/>
        </w:tabs>
        <w:jc w:val="both"/>
        <w:rPr>
          <w:rFonts w:ascii="Times New Roman" w:eastAsia="Times New Roman" w:hAnsi="Times New Roman" w:cs="Times New Roman"/>
          <w:lang w:val="es" w:eastAsia="es-ES"/>
        </w:rPr>
      </w:pPr>
    </w:p>
    <w:p w:rsidR="001A5EB7" w:rsidRDefault="001A5EB7">
      <w:pPr>
        <w:tabs>
          <w:tab w:val="left" w:pos="0"/>
        </w:tabs>
        <w:jc w:val="both"/>
        <w:rPr>
          <w:rFonts w:ascii="Times New Roman" w:eastAsia="Times New Roman" w:hAnsi="Times New Roman" w:cs="Times New Roman"/>
          <w:lang w:val="es" w:eastAsia="es-ES"/>
        </w:rPr>
      </w:pPr>
    </w:p>
    <w:p w:rsidR="001A5EB7" w:rsidRDefault="00365004">
      <w:pPr>
        <w:tabs>
          <w:tab w:val="left" w:pos="0"/>
        </w:tabs>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NATALIA ABELLO VIVES</w:t>
      </w:r>
    </w:p>
    <w:p w:rsidR="001A5EB7" w:rsidRDefault="00365004">
      <w:pPr>
        <w:tabs>
          <w:tab w:val="left" w:pos="0"/>
        </w:tabs>
        <w:jc w:val="center"/>
      </w:pPr>
      <w:r>
        <w:rPr>
          <w:rFonts w:ascii="Times New Roman" w:eastAsia="Times New Roman" w:hAnsi="Times New Roman" w:cs="Times New Roman"/>
          <w:b/>
          <w:lang w:val="es" w:eastAsia="es-ES"/>
        </w:rPr>
        <w:t>Ministra de</w:t>
      </w:r>
      <w:r>
        <w:rPr>
          <w:rFonts w:ascii="Times New Roman" w:eastAsia="Times New Roman" w:hAnsi="Times New Roman" w:cs="Times New Roman"/>
          <w:b/>
          <w:lang w:val="es" w:eastAsia="es-ES"/>
        </w:rPr>
        <w:t xml:space="preserve"> Transporte</w:t>
      </w:r>
    </w:p>
    <w:p w:rsidR="001A5EB7" w:rsidRDefault="001A5EB7">
      <w:pPr>
        <w:rPr>
          <w:rFonts w:ascii="Times New Roman" w:eastAsia="Calibri" w:hAnsi="Times New Roman" w:cs="Times New Roman"/>
          <w:lang w:val="es-MX" w:eastAsia="en-US"/>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lang w:val="es-MX"/>
        </w:rPr>
      </w:pPr>
    </w:p>
    <w:p w:rsidR="001A5EB7" w:rsidRDefault="001A5EB7">
      <w:pPr>
        <w:pStyle w:val="Standard"/>
        <w:jc w:val="center"/>
        <w:rPr>
          <w:rFonts w:ascii="Times New Roman" w:hAnsi="Times New Roman" w:cs="Times New Roman"/>
          <w:szCs w:val="24"/>
        </w:rPr>
      </w:pPr>
    </w:p>
    <w:p w:rsidR="001A5EB7" w:rsidRDefault="00365004">
      <w:pPr>
        <w:tabs>
          <w:tab w:val="left" w:pos="-720"/>
        </w:tabs>
        <w:jc w:val="both"/>
      </w:pPr>
      <w:r>
        <w:rPr>
          <w:rFonts w:ascii="Times New Roman" w:eastAsia="Times New Roman" w:hAnsi="Times New Roman" w:cs="Times New Roman"/>
          <w:spacing w:val="-3"/>
          <w:lang w:eastAsia="es-ES"/>
        </w:rPr>
        <w:tab/>
      </w:r>
    </w:p>
    <w:p w:rsidR="001A5EB7" w:rsidRDefault="00365004">
      <w:pPr>
        <w:tabs>
          <w:tab w:val="left" w:pos="-720"/>
        </w:tabs>
        <w:jc w:val="both"/>
      </w:pPr>
      <w:r>
        <w:rPr>
          <w:rFonts w:ascii="Times New Roman" w:eastAsia="Times New Roman" w:hAnsi="Times New Roman" w:cs="Times New Roman"/>
          <w:spacing w:val="-3"/>
          <w:lang w:eastAsia="es-ES"/>
        </w:rPr>
        <w:t xml:space="preserve">             Revisaron: </w:t>
      </w:r>
      <w:r>
        <w:rPr>
          <w:rFonts w:ascii="Times New Roman" w:eastAsia="Times New Roman" w:hAnsi="Times New Roman" w:cs="Times New Roman"/>
          <w:spacing w:val="-3"/>
          <w:sz w:val="16"/>
          <w:szCs w:val="16"/>
          <w:lang w:eastAsia="es-ES"/>
        </w:rPr>
        <w:t>Camilo Jaramillo Berrocal – Vicepresidente de Estructuración (E) -ANI</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Pr>
          <w:rFonts w:ascii="Times New Roman" w:eastAsia="Times New Roman" w:hAnsi="Times New Roman" w:cs="Times New Roman"/>
          <w:spacing w:val="-3"/>
          <w:sz w:val="16"/>
          <w:szCs w:val="16"/>
          <w:lang w:eastAsia="es-ES"/>
        </w:rPr>
        <w:tab/>
      </w:r>
      <w:r>
        <w:rPr>
          <w:rFonts w:ascii="Times New Roman" w:eastAsia="Times New Roman" w:hAnsi="Times New Roman" w:cs="Times New Roman"/>
          <w:spacing w:val="-3"/>
          <w:sz w:val="16"/>
          <w:szCs w:val="16"/>
          <w:lang w:eastAsia="es-ES"/>
        </w:rPr>
        <w:tab/>
        <w:t xml:space="preserve">          Hector Jaime Pinilla Ortiz-Vicepresidente Jurídico -ANI</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Diego </w:t>
      </w:r>
      <w:r>
        <w:rPr>
          <w:rFonts w:ascii="Times New Roman" w:eastAsia="Times New Roman" w:hAnsi="Times New Roman" w:cs="Times New Roman"/>
          <w:spacing w:val="-3"/>
          <w:sz w:val="16"/>
          <w:szCs w:val="16"/>
          <w:lang w:eastAsia="es-ES"/>
        </w:rPr>
        <w:t xml:space="preserve">Andrés Beltran Hernández –Gerencia Jurídica de Estructuración- ANI </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Daniel Antonio Hinestrosa Grisales-Jefe Oficina Asesora Jurídica MT</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Lucas Rodriguez Gómez-</w:t>
      </w:r>
      <w:r>
        <w:rPr>
          <w:rFonts w:ascii="Times New Roman" w:eastAsia="Times New Roman" w:hAnsi="Times New Roman" w:cs="Times New Roman"/>
          <w:spacing w:val="-3"/>
          <w:sz w:val="16"/>
          <w:szCs w:val="16"/>
          <w:lang w:eastAsia="es-ES"/>
        </w:rPr>
        <w:t xml:space="preserve">Jefe Oficina Regulación Económica Ministerio de Transporte. </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Proyectarón:        Juan José Aguilar Higuera – Experto G3-07 –Gerencia Jurídica de Estructuración</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Camilo Andres Salazar Camacho</w:t>
      </w:r>
      <w:r>
        <w:rPr>
          <w:rFonts w:ascii="Times New Roman" w:eastAsia="Times New Roman" w:hAnsi="Times New Roman" w:cs="Times New Roman"/>
          <w:spacing w:val="-3"/>
          <w:sz w:val="16"/>
          <w:szCs w:val="16"/>
          <w:lang w:eastAsia="es-ES"/>
        </w:rPr>
        <w:t>- Contratista Gerencia Jurídica de Estructuración</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Oscar Gerardo Cifuentes Correa- Experto G3-07 Vicepresidencia de Estructuración. </w:t>
      </w:r>
    </w:p>
    <w:p w:rsidR="001A5EB7" w:rsidRDefault="00365004">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p>
    <w:p w:rsidR="001A5EB7" w:rsidRDefault="001A5EB7">
      <w:pPr>
        <w:pStyle w:val="Standard"/>
        <w:rPr>
          <w:rFonts w:ascii="Times New Roman" w:hAnsi="Times New Roman" w:cs="Times New Roman"/>
          <w:sz w:val="16"/>
          <w:szCs w:val="16"/>
        </w:rPr>
      </w:pPr>
    </w:p>
    <w:p w:rsidR="001A5EB7" w:rsidRDefault="001A5EB7">
      <w:pPr>
        <w:pStyle w:val="Standard"/>
        <w:jc w:val="center"/>
        <w:rPr>
          <w:rFonts w:ascii="Times New Roman" w:hAnsi="Times New Roman" w:cs="Times New Roman"/>
          <w:sz w:val="16"/>
          <w:szCs w:val="16"/>
        </w:rPr>
      </w:pPr>
    </w:p>
    <w:p w:rsidR="001A5EB7" w:rsidRDefault="001A5EB7">
      <w:pPr>
        <w:pStyle w:val="Standard"/>
        <w:jc w:val="center"/>
        <w:rPr>
          <w:rFonts w:ascii="Times New Roman" w:hAnsi="Times New Roman" w:cs="Times New Roman"/>
          <w:szCs w:val="24"/>
        </w:rPr>
      </w:pPr>
    </w:p>
    <w:p w:rsidR="001A5EB7" w:rsidRDefault="001A5EB7">
      <w:pPr>
        <w:pStyle w:val="Standard"/>
        <w:jc w:val="center"/>
        <w:rPr>
          <w:rFonts w:ascii="Times New Roman" w:hAnsi="Times New Roman" w:cs="Times New Roman"/>
          <w:szCs w:val="24"/>
        </w:rPr>
      </w:pPr>
    </w:p>
    <w:sectPr w:rsidR="001A5EB7">
      <w:headerReference w:type="default" r:id="rId7"/>
      <w:headerReference w:type="first" r:id="rId8"/>
      <w:pgSz w:w="11906"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04" w:rsidRDefault="00365004">
      <w:r>
        <w:separator/>
      </w:r>
    </w:p>
  </w:endnote>
  <w:endnote w:type="continuationSeparator" w:id="0">
    <w:p w:rsidR="00365004" w:rsidRDefault="0036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04" w:rsidRDefault="00365004">
      <w:r>
        <w:rPr>
          <w:color w:val="000000"/>
        </w:rPr>
        <w:separator/>
      </w:r>
    </w:p>
  </w:footnote>
  <w:footnote w:type="continuationSeparator" w:id="0">
    <w:p w:rsidR="00365004" w:rsidRDefault="0036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6A" w:rsidRDefault="00365004">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A66149">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AC576A" w:rsidRDefault="00365004">
    <w:pPr>
      <w:pStyle w:val="Standard"/>
      <w:ind w:right="360"/>
      <w:jc w:val="both"/>
      <w:rPr>
        <w:rFonts w:ascii="Garamond" w:hAnsi="Garamond" w:cs="Garamond"/>
        <w:i/>
        <w:spacing w:val="-3"/>
        <w:sz w:val="22"/>
        <w:szCs w:val="22"/>
      </w:rPr>
    </w:pPr>
  </w:p>
  <w:p w:rsidR="00AC576A" w:rsidRDefault="00365004">
    <w:pPr>
      <w:pStyle w:val="Standard"/>
      <w:rPr>
        <w:rFonts w:ascii="Garamond" w:hAnsi="Garamond" w:cs="Garamond"/>
        <w:i/>
        <w:sz w:val="22"/>
        <w:szCs w:val="22"/>
      </w:rPr>
    </w:pPr>
  </w:p>
  <w:p w:rsidR="00AC576A" w:rsidRDefault="00365004">
    <w:pPr>
      <w:autoSpaceDE w:val="0"/>
      <w:jc w:val="center"/>
      <w:rPr>
        <w:rFonts w:ascii="Times New Roman" w:eastAsia="Times New Roman" w:hAnsi="Times New Roman"/>
        <w:color w:val="000000"/>
        <w:lang w:eastAsia="es-ES"/>
      </w:rPr>
    </w:pPr>
  </w:p>
  <w:p w:rsidR="00AC576A" w:rsidRDefault="00365004">
    <w:pPr>
      <w:autoSpaceDE w:val="0"/>
      <w:jc w:val="center"/>
    </w:pPr>
    <w:r>
      <w:rPr>
        <w:rFonts w:ascii="Times New Roman" w:eastAsia="Times New Roman" w:hAnsi="Times New Roman"/>
        <w:color w:val="000000"/>
        <w:lang w:eastAsia="es-ES"/>
      </w:rPr>
      <w:t xml:space="preserve">“Por la cual se establecen las tarifas plenas y especiales a cobrar  en las estaciones de Peaje El Carmen ubicada </w:t>
    </w:r>
    <w:r>
      <w:rPr>
        <w:rFonts w:ascii="Times New Roman" w:eastAsia="Times New Roman" w:hAnsi="Times New Roman"/>
        <w:color w:val="000000"/>
        <w:lang w:eastAsia="es-ES"/>
      </w:rPr>
      <w:t>en el PR60+665 y Calamar ubicada en el PR 131+040 de la Ruta 2515 del corredor vial Puerta de Hierro – Palmar de Varela y Carreto – Cruz del Viso”</w:t>
    </w:r>
  </w:p>
  <w:p w:rsidR="00AC576A" w:rsidRDefault="00365004">
    <w:pPr>
      <w:autoSpaceDE w:val="0"/>
      <w:jc w:val="center"/>
      <w:rPr>
        <w:rFonts w:ascii="Times New Roman" w:eastAsia="Times New Roman" w:hAnsi="Times New Roman"/>
        <w:color w:val="000000"/>
        <w:lang w:eastAsia="es-ES"/>
      </w:rPr>
    </w:pPr>
  </w:p>
  <w:p w:rsidR="00AC576A" w:rsidRDefault="00365004">
    <w:pPr>
      <w:autoSpaceDE w:val="0"/>
      <w:jc w:val="center"/>
      <w:rPr>
        <w:rFonts w:ascii="Times New Roman" w:eastAsia="Times New Roman" w:hAnsi="Times New Roman"/>
        <w:color w:val="000000"/>
        <w:lang w:eastAsia="es-ES"/>
      </w:rPr>
    </w:pPr>
  </w:p>
  <w:p w:rsidR="00AC576A" w:rsidRDefault="00365004">
    <w:pPr>
      <w:pStyle w:val="Standard"/>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6A" w:rsidRDefault="00365004">
    <w:pPr>
      <w:pStyle w:val="Encabezado"/>
    </w:pPr>
    <w:r>
      <w:rPr>
        <w:noProof/>
        <w:lang w:val="es-CO" w:eastAsia="es-CO" w:bidi="ar-SA"/>
      </w:rPr>
      <w:drawing>
        <wp:anchor distT="0" distB="0" distL="114300" distR="114300" simplePos="0" relativeHeight="251659264" behindDoc="0" locked="0" layoutInCell="1" allowOverlap="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AC576A" w:rsidRDefault="00365004">
    <w:pPr>
      <w:pStyle w:val="Encabezado"/>
    </w:pPr>
  </w:p>
  <w:p w:rsidR="00AC576A" w:rsidRDefault="00365004">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AC576A" w:rsidRDefault="00365004">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AC576A" w:rsidRDefault="00365004">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319"/>
    <w:multiLevelType w:val="multilevel"/>
    <w:tmpl w:val="3F0057FC"/>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25270E"/>
    <w:multiLevelType w:val="multilevel"/>
    <w:tmpl w:val="1884EB4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58382B"/>
    <w:multiLevelType w:val="multilevel"/>
    <w:tmpl w:val="F026618E"/>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7945F3"/>
    <w:multiLevelType w:val="multilevel"/>
    <w:tmpl w:val="69762D6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D8C36F9"/>
    <w:multiLevelType w:val="multilevel"/>
    <w:tmpl w:val="5ADC2F7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8F16FD"/>
    <w:multiLevelType w:val="multilevel"/>
    <w:tmpl w:val="5260A91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09041A9"/>
    <w:multiLevelType w:val="multilevel"/>
    <w:tmpl w:val="86EA2D0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13D373A"/>
    <w:multiLevelType w:val="multilevel"/>
    <w:tmpl w:val="D0E6A386"/>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7782A6D"/>
    <w:multiLevelType w:val="multilevel"/>
    <w:tmpl w:val="C26636D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AA22215"/>
    <w:multiLevelType w:val="multilevel"/>
    <w:tmpl w:val="6982043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9494776"/>
    <w:multiLevelType w:val="multilevel"/>
    <w:tmpl w:val="863AFC9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BAE70A6"/>
    <w:multiLevelType w:val="multilevel"/>
    <w:tmpl w:val="A5B6A628"/>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C3449B0"/>
    <w:multiLevelType w:val="multilevel"/>
    <w:tmpl w:val="38A20B7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CD1508E"/>
    <w:multiLevelType w:val="multilevel"/>
    <w:tmpl w:val="3F343E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2E926BC"/>
    <w:multiLevelType w:val="multilevel"/>
    <w:tmpl w:val="842C1E3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6696EA4"/>
    <w:multiLevelType w:val="multilevel"/>
    <w:tmpl w:val="B96CEC3C"/>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776360AB"/>
    <w:multiLevelType w:val="multilevel"/>
    <w:tmpl w:val="9BB29302"/>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B8313F4"/>
    <w:multiLevelType w:val="multilevel"/>
    <w:tmpl w:val="7BF6023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D713A36"/>
    <w:multiLevelType w:val="multilevel"/>
    <w:tmpl w:val="B11E713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7EC65714"/>
    <w:multiLevelType w:val="multilevel"/>
    <w:tmpl w:val="AAD8A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7"/>
  </w:num>
  <w:num w:numId="4">
    <w:abstractNumId w:val="1"/>
  </w:num>
  <w:num w:numId="5">
    <w:abstractNumId w:val="10"/>
  </w:num>
  <w:num w:numId="6">
    <w:abstractNumId w:val="2"/>
  </w:num>
  <w:num w:numId="7">
    <w:abstractNumId w:val="14"/>
  </w:num>
  <w:num w:numId="8">
    <w:abstractNumId w:val="11"/>
  </w:num>
  <w:num w:numId="9">
    <w:abstractNumId w:val="18"/>
  </w:num>
  <w:num w:numId="10">
    <w:abstractNumId w:val="16"/>
  </w:num>
  <w:num w:numId="11">
    <w:abstractNumId w:val="3"/>
  </w:num>
  <w:num w:numId="12">
    <w:abstractNumId w:val="5"/>
  </w:num>
  <w:num w:numId="13">
    <w:abstractNumId w:val="7"/>
  </w:num>
  <w:num w:numId="14">
    <w:abstractNumId w:val="12"/>
  </w:num>
  <w:num w:numId="15">
    <w:abstractNumId w:val="6"/>
  </w:num>
  <w:num w:numId="16">
    <w:abstractNumId w:val="13"/>
  </w:num>
  <w:num w:numId="17">
    <w:abstractNumId w:val="9"/>
  </w:num>
  <w:num w:numId="18">
    <w:abstractNumId w:val="15"/>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A5EB7"/>
    <w:rsid w:val="001A5EB7"/>
    <w:rsid w:val="00365004"/>
    <w:rsid w:val="00A661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D65FC-8C4F-4C8B-9207-81A2039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PrrafodelistaCar">
    <w:name w:val="Párrafo de lista Car"/>
    <w:rPr>
      <w:rFonts w:ascii="Courier New" w:eastAsia="Times New Roman" w:hAnsi="Courier New" w:cs="Courier New"/>
      <w:szCs w:val="20"/>
      <w:lang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Revisin">
    <w:name w:val="Revision"/>
    <w:pPr>
      <w:widowControl/>
      <w:textAlignment w:val="auto"/>
    </w:pPr>
    <w:rPr>
      <w:rFonts w:cs="Mangal"/>
      <w:szCs w:val="21"/>
    </w:rPr>
  </w:style>
  <w:style w:type="paragraph" w:customStyle="1" w:styleId="Default">
    <w:name w:val="Default"/>
    <w:pPr>
      <w:widowControl/>
      <w:autoSpaceDE w:val="0"/>
      <w:textAlignment w:val="auto"/>
    </w:pPr>
    <w:rPr>
      <w:rFonts w:ascii="Verdana" w:eastAsia="Times New Roman" w:hAnsi="Verdana" w:cs="Verdana"/>
      <w:color w:val="000000"/>
      <w:kern w:val="0"/>
      <w:lang w:eastAsia="es-ES"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Javier Alonso Zuñiga Gómez</cp:lastModifiedBy>
  <cp:revision>2</cp:revision>
  <cp:lastPrinted>2015-02-20T17:25:00Z</cp:lastPrinted>
  <dcterms:created xsi:type="dcterms:W3CDTF">2015-03-20T21:02:00Z</dcterms:created>
  <dcterms:modified xsi:type="dcterms:W3CDTF">2015-03-20T21:02:00Z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