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1828C4" w14:textId="77777777" w:rsidR="003E2F00" w:rsidRDefault="003E2F00" w:rsidP="00762DF6">
      <w:pPr>
        <w:pStyle w:val="Ttulo"/>
        <w:tabs>
          <w:tab w:val="left" w:pos="1843"/>
        </w:tabs>
        <w:rPr>
          <w:rFonts w:ascii="Arial Narrow" w:hAnsi="Arial Narrow" w:cs="Gisha"/>
          <w:color w:val="auto"/>
          <w:sz w:val="22"/>
          <w:szCs w:val="22"/>
        </w:rPr>
      </w:pPr>
      <w:bookmarkStart w:id="0" w:name="_Hlk9937997"/>
      <w:r>
        <w:rPr>
          <w:rFonts w:ascii="Arial Narrow" w:hAnsi="Arial Narrow" w:cs="Gisha"/>
          <w:color w:val="auto"/>
          <w:sz w:val="22"/>
          <w:szCs w:val="22"/>
        </w:rPr>
        <w:t>AGENCIA NACIONAL DE INFRAESTRUCTURA</w:t>
      </w:r>
    </w:p>
    <w:p w14:paraId="67E08D57" w14:textId="77777777" w:rsidR="00762DF6" w:rsidRPr="00712834" w:rsidRDefault="00762DF6" w:rsidP="00762DF6">
      <w:pPr>
        <w:pStyle w:val="Ttulo"/>
        <w:tabs>
          <w:tab w:val="left" w:pos="1843"/>
        </w:tabs>
        <w:rPr>
          <w:rFonts w:ascii="Arial Narrow" w:hAnsi="Arial Narrow" w:cs="Gisha"/>
          <w:color w:val="auto"/>
          <w:sz w:val="22"/>
          <w:szCs w:val="22"/>
        </w:rPr>
      </w:pPr>
      <w:r w:rsidRPr="00712834">
        <w:rPr>
          <w:rFonts w:ascii="Arial Narrow" w:hAnsi="Arial Narrow" w:cs="Gisha"/>
          <w:color w:val="auto"/>
          <w:sz w:val="22"/>
          <w:szCs w:val="22"/>
        </w:rPr>
        <w:t xml:space="preserve">NOTAS EXPLICATIVAS A LOS ESTADOS </w:t>
      </w:r>
      <w:r w:rsidR="003E2F00">
        <w:rPr>
          <w:rFonts w:ascii="Arial Narrow" w:hAnsi="Arial Narrow" w:cs="Gisha"/>
          <w:color w:val="auto"/>
          <w:sz w:val="22"/>
          <w:szCs w:val="22"/>
        </w:rPr>
        <w:t>FINANCIEROS</w:t>
      </w:r>
    </w:p>
    <w:p w14:paraId="2C9B2DE7" w14:textId="49D1B312" w:rsidR="00762DF6" w:rsidRDefault="00762DF6" w:rsidP="00762DF6">
      <w:pPr>
        <w:pStyle w:val="Ttulo"/>
        <w:rPr>
          <w:rFonts w:ascii="Arial Narrow" w:hAnsi="Arial Narrow" w:cs="Gisha"/>
          <w:color w:val="auto"/>
          <w:sz w:val="22"/>
          <w:szCs w:val="22"/>
        </w:rPr>
      </w:pPr>
      <w:r w:rsidRPr="00712834">
        <w:rPr>
          <w:rFonts w:ascii="Arial Narrow" w:hAnsi="Arial Narrow" w:cs="Gisha"/>
          <w:color w:val="auto"/>
          <w:sz w:val="22"/>
          <w:szCs w:val="22"/>
        </w:rPr>
        <w:t xml:space="preserve">A FECHA DE CORTE </w:t>
      </w:r>
      <w:r w:rsidR="00E85882">
        <w:rPr>
          <w:rFonts w:ascii="Arial Narrow" w:hAnsi="Arial Narrow" w:cs="Gisha"/>
          <w:color w:val="auto"/>
          <w:sz w:val="22"/>
          <w:szCs w:val="22"/>
        </w:rPr>
        <w:t>OCTUBRE</w:t>
      </w:r>
      <w:r w:rsidR="003E2F00">
        <w:rPr>
          <w:rFonts w:ascii="Arial Narrow" w:hAnsi="Arial Narrow" w:cs="Gisha"/>
          <w:color w:val="auto"/>
          <w:sz w:val="22"/>
          <w:szCs w:val="22"/>
        </w:rPr>
        <w:t xml:space="preserve"> </w:t>
      </w:r>
      <w:r w:rsidRPr="00712834">
        <w:rPr>
          <w:rFonts w:ascii="Arial Narrow" w:hAnsi="Arial Narrow" w:cs="Gisha"/>
          <w:color w:val="auto"/>
          <w:sz w:val="22"/>
          <w:szCs w:val="22"/>
        </w:rPr>
        <w:t>3</w:t>
      </w:r>
      <w:r w:rsidR="00E85882">
        <w:rPr>
          <w:rFonts w:ascii="Arial Narrow" w:hAnsi="Arial Narrow" w:cs="Gisha"/>
          <w:color w:val="auto"/>
          <w:sz w:val="22"/>
          <w:szCs w:val="22"/>
        </w:rPr>
        <w:t>1</w:t>
      </w:r>
      <w:r w:rsidRPr="00712834">
        <w:rPr>
          <w:rFonts w:ascii="Arial Narrow" w:hAnsi="Arial Narrow" w:cs="Gisha"/>
          <w:color w:val="auto"/>
          <w:sz w:val="22"/>
          <w:szCs w:val="22"/>
        </w:rPr>
        <w:t xml:space="preserve"> DE 2019</w:t>
      </w:r>
    </w:p>
    <w:p w14:paraId="583CD4F4" w14:textId="77777777" w:rsidR="006147BE" w:rsidRPr="006147BE" w:rsidRDefault="006147BE" w:rsidP="00762DF6">
      <w:pPr>
        <w:pStyle w:val="Ttulo"/>
        <w:rPr>
          <w:rFonts w:ascii="Arial Narrow" w:hAnsi="Arial Narrow" w:cs="Gisha"/>
          <w:color w:val="auto"/>
          <w:sz w:val="18"/>
          <w:szCs w:val="18"/>
        </w:rPr>
      </w:pPr>
    </w:p>
    <w:bookmarkEnd w:id="0"/>
    <w:p w14:paraId="30C26CE8" w14:textId="77777777" w:rsidR="00762DF6" w:rsidRPr="006807EE" w:rsidRDefault="00762DF6" w:rsidP="008D0B2D">
      <w:pPr>
        <w:jc w:val="center"/>
        <w:rPr>
          <w:rFonts w:ascii="Arial Narrow" w:hAnsi="Arial Narrow" w:cs="Gisha"/>
          <w:b/>
          <w:bCs/>
          <w:sz w:val="22"/>
          <w:szCs w:val="22"/>
        </w:rPr>
      </w:pPr>
      <w:r w:rsidRPr="006807EE">
        <w:rPr>
          <w:rFonts w:ascii="Arial Narrow" w:hAnsi="Arial Narrow" w:cs="Gisha"/>
          <w:b/>
          <w:bCs/>
          <w:sz w:val="22"/>
          <w:szCs w:val="22"/>
        </w:rPr>
        <w:t>NOTAS DE CARACTER ESPECÍFICO</w:t>
      </w:r>
    </w:p>
    <w:p w14:paraId="2DD8D913" w14:textId="77777777" w:rsidR="00762DF6" w:rsidRDefault="00762DF6" w:rsidP="008D0B2D">
      <w:pPr>
        <w:jc w:val="center"/>
        <w:rPr>
          <w:rFonts w:ascii="Arial Narrow" w:hAnsi="Arial Narrow" w:cs="Gisha"/>
          <w:b/>
          <w:bCs/>
          <w:sz w:val="22"/>
          <w:szCs w:val="22"/>
        </w:rPr>
      </w:pPr>
      <w:r w:rsidRPr="006807EE">
        <w:rPr>
          <w:rFonts w:ascii="Arial Narrow" w:hAnsi="Arial Narrow" w:cs="Gisha"/>
          <w:b/>
          <w:bCs/>
          <w:sz w:val="22"/>
          <w:szCs w:val="22"/>
        </w:rPr>
        <w:t>RELATIVAS A SITUACIONES PARTICULARES DE LOS GRUPOS, CLASES, CUENTAS Y SUBCUENTAS</w:t>
      </w:r>
    </w:p>
    <w:p w14:paraId="730C6ABE" w14:textId="77777777" w:rsidR="002F2119" w:rsidRDefault="002F2119" w:rsidP="008D0B2D">
      <w:pPr>
        <w:jc w:val="center"/>
        <w:rPr>
          <w:rFonts w:ascii="Arial Narrow" w:hAnsi="Arial Narrow" w:cs="Gisha"/>
          <w:b/>
          <w:bCs/>
          <w:sz w:val="22"/>
          <w:szCs w:val="22"/>
        </w:rPr>
      </w:pPr>
    </w:p>
    <w:p w14:paraId="3E67E7BF" w14:textId="77777777" w:rsidR="008D0B2D" w:rsidRDefault="00980E75" w:rsidP="00762DF6">
      <w:pPr>
        <w:jc w:val="both"/>
        <w:rPr>
          <w:rFonts w:ascii="Arial Narrow" w:hAnsi="Arial Narrow" w:cs="Gisha"/>
          <w:b/>
          <w:bCs/>
          <w:sz w:val="22"/>
          <w:szCs w:val="22"/>
        </w:rPr>
      </w:pPr>
      <w:r w:rsidRPr="0062163A">
        <w:rPr>
          <w:rFonts w:ascii="Arial Narrow" w:hAnsi="Arial Narrow" w:cs="Gisha"/>
          <w:b/>
          <w:bCs/>
          <w:sz w:val="22"/>
          <w:szCs w:val="22"/>
        </w:rPr>
        <w:t xml:space="preserve">NOTA </w:t>
      </w:r>
      <w:r w:rsidR="002C4CB6" w:rsidRPr="0062163A">
        <w:rPr>
          <w:rFonts w:ascii="Arial Narrow" w:hAnsi="Arial Narrow" w:cs="Gisha"/>
          <w:b/>
          <w:bCs/>
          <w:sz w:val="22"/>
          <w:szCs w:val="22"/>
        </w:rPr>
        <w:t xml:space="preserve">1.  </w:t>
      </w:r>
      <w:r w:rsidR="008D0B2D" w:rsidRPr="0062163A">
        <w:rPr>
          <w:rFonts w:ascii="Arial Narrow" w:hAnsi="Arial Narrow" w:cs="Gisha"/>
          <w:b/>
          <w:bCs/>
          <w:sz w:val="22"/>
          <w:szCs w:val="22"/>
        </w:rPr>
        <w:t>ACTIVOS</w:t>
      </w:r>
    </w:p>
    <w:p w14:paraId="33325371" w14:textId="77777777" w:rsidR="00FF1B2C" w:rsidRPr="00642802" w:rsidRDefault="00FF1B2C" w:rsidP="00762DF6">
      <w:pPr>
        <w:jc w:val="both"/>
        <w:rPr>
          <w:rFonts w:ascii="Arial Narrow" w:hAnsi="Arial Narrow" w:cs="Gisha"/>
          <w:b/>
          <w:bCs/>
          <w:sz w:val="16"/>
          <w:szCs w:val="16"/>
        </w:rPr>
      </w:pPr>
    </w:p>
    <w:p w14:paraId="2CB7F3B6" w14:textId="378AC8F7" w:rsidR="00622C07" w:rsidRDefault="00622C07" w:rsidP="00622C07">
      <w:pPr>
        <w:jc w:val="center"/>
        <w:rPr>
          <w:rFonts w:ascii="Arial Narrow" w:hAnsi="Arial Narrow" w:cs="Gisha"/>
          <w:b/>
          <w:bCs/>
          <w:sz w:val="22"/>
          <w:szCs w:val="22"/>
        </w:rPr>
      </w:pPr>
      <w:r w:rsidRPr="006807EE">
        <w:rPr>
          <w:rFonts w:ascii="Arial Narrow" w:hAnsi="Arial Narrow" w:cs="Gisha"/>
          <w:b/>
          <w:bCs/>
          <w:sz w:val="22"/>
          <w:szCs w:val="22"/>
        </w:rPr>
        <w:t xml:space="preserve">VARIACIONES ACTIVOS </w:t>
      </w:r>
      <w:r w:rsidR="000A3110">
        <w:rPr>
          <w:rFonts w:ascii="Arial Narrow" w:hAnsi="Arial Narrow" w:cs="Gisha"/>
          <w:b/>
          <w:bCs/>
          <w:sz w:val="22"/>
          <w:szCs w:val="22"/>
        </w:rPr>
        <w:t>OCTU</w:t>
      </w:r>
      <w:r w:rsidR="00331C68">
        <w:rPr>
          <w:rFonts w:ascii="Arial Narrow" w:hAnsi="Arial Narrow" w:cs="Gisha"/>
          <w:b/>
          <w:bCs/>
          <w:sz w:val="22"/>
          <w:szCs w:val="22"/>
        </w:rPr>
        <w:t>BRE</w:t>
      </w:r>
      <w:r w:rsidRPr="006807EE">
        <w:rPr>
          <w:rFonts w:ascii="Arial Narrow" w:hAnsi="Arial Narrow" w:cs="Gisha"/>
          <w:b/>
          <w:bCs/>
          <w:sz w:val="22"/>
          <w:szCs w:val="22"/>
        </w:rPr>
        <w:t xml:space="preserve"> DE 2019 - </w:t>
      </w:r>
      <w:r w:rsidR="000A3110">
        <w:rPr>
          <w:rFonts w:ascii="Arial Narrow" w:hAnsi="Arial Narrow" w:cs="Gisha"/>
          <w:b/>
          <w:bCs/>
          <w:sz w:val="22"/>
          <w:szCs w:val="22"/>
        </w:rPr>
        <w:t>OCTU</w:t>
      </w:r>
      <w:r w:rsidR="00331C68">
        <w:rPr>
          <w:rFonts w:ascii="Arial Narrow" w:hAnsi="Arial Narrow" w:cs="Gisha"/>
          <w:b/>
          <w:bCs/>
          <w:sz w:val="22"/>
          <w:szCs w:val="22"/>
        </w:rPr>
        <w:t>BRE</w:t>
      </w:r>
      <w:r w:rsidRPr="006807EE">
        <w:rPr>
          <w:rFonts w:ascii="Arial Narrow" w:hAnsi="Arial Narrow" w:cs="Gisha"/>
          <w:b/>
          <w:bCs/>
          <w:sz w:val="22"/>
          <w:szCs w:val="22"/>
        </w:rPr>
        <w:t xml:space="preserve"> DE 2018</w:t>
      </w:r>
    </w:p>
    <w:p w14:paraId="280D68E8" w14:textId="624C9022" w:rsidR="00A35358" w:rsidRDefault="00A35358" w:rsidP="00622C07">
      <w:pPr>
        <w:jc w:val="center"/>
        <w:rPr>
          <w:rFonts w:ascii="Arial Narrow" w:hAnsi="Arial Narrow" w:cs="Gisha"/>
          <w:b/>
          <w:bCs/>
          <w:sz w:val="22"/>
          <w:szCs w:val="22"/>
        </w:rPr>
      </w:pPr>
    </w:p>
    <w:p w14:paraId="2E42517A" w14:textId="0D56D9CC" w:rsidR="000A3110" w:rsidRDefault="000A3110" w:rsidP="00622C07">
      <w:pPr>
        <w:jc w:val="center"/>
        <w:rPr>
          <w:rFonts w:ascii="Arial Narrow" w:hAnsi="Arial Narrow" w:cs="Gisha"/>
          <w:b/>
          <w:bCs/>
          <w:sz w:val="22"/>
          <w:szCs w:val="22"/>
        </w:rPr>
      </w:pPr>
      <w:r w:rsidRPr="000A3110">
        <w:rPr>
          <w:noProof/>
        </w:rPr>
        <w:drawing>
          <wp:inline distT="0" distB="0" distL="0" distR="0" wp14:anchorId="0ACD330D" wp14:editId="6750EBA9">
            <wp:extent cx="4991100" cy="2009881"/>
            <wp:effectExtent l="19050" t="19050" r="19050" b="2857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146867" cy="2072607"/>
                    </a:xfrm>
                    <a:prstGeom prst="rect">
                      <a:avLst/>
                    </a:prstGeom>
                    <a:noFill/>
                    <a:ln w="19050" cmpd="thinThick">
                      <a:solidFill>
                        <a:schemeClr val="tx1"/>
                      </a:solidFill>
                    </a:ln>
                  </pic:spPr>
                </pic:pic>
              </a:graphicData>
            </a:graphic>
          </wp:inline>
        </w:drawing>
      </w:r>
    </w:p>
    <w:p w14:paraId="4A64140B" w14:textId="3CD49E93" w:rsidR="000A3110" w:rsidRPr="00A812A2" w:rsidRDefault="000A3110" w:rsidP="00622C07">
      <w:pPr>
        <w:jc w:val="center"/>
        <w:rPr>
          <w:rFonts w:ascii="Arial Narrow" w:hAnsi="Arial Narrow" w:cs="Gisha"/>
          <w:b/>
          <w:bCs/>
          <w:sz w:val="22"/>
          <w:szCs w:val="22"/>
        </w:rPr>
      </w:pPr>
    </w:p>
    <w:p w14:paraId="534EBD21" w14:textId="51644D8D" w:rsidR="00980E75" w:rsidRDefault="00980E75" w:rsidP="00980E75">
      <w:pPr>
        <w:jc w:val="both"/>
        <w:rPr>
          <w:rFonts w:ascii="Arial Narrow" w:hAnsi="Arial Narrow" w:cs="Arial"/>
          <w:sz w:val="22"/>
          <w:szCs w:val="22"/>
        </w:rPr>
      </w:pPr>
      <w:r w:rsidRPr="002D1B3A">
        <w:rPr>
          <w:rFonts w:ascii="Arial Narrow" w:hAnsi="Arial Narrow" w:cs="Arial"/>
          <w:sz w:val="22"/>
          <w:szCs w:val="22"/>
        </w:rPr>
        <w:t xml:space="preserve">Los activos </w:t>
      </w:r>
      <w:r w:rsidR="004A46D2">
        <w:rPr>
          <w:rFonts w:ascii="Arial Narrow" w:hAnsi="Arial Narrow" w:cs="Arial"/>
          <w:sz w:val="22"/>
          <w:szCs w:val="22"/>
        </w:rPr>
        <w:t>en el</w:t>
      </w:r>
      <w:r w:rsidRPr="002D1B3A">
        <w:rPr>
          <w:rFonts w:ascii="Arial Narrow" w:hAnsi="Arial Narrow" w:cs="Arial"/>
          <w:sz w:val="22"/>
          <w:szCs w:val="22"/>
        </w:rPr>
        <w:t xml:space="preserve"> mes de </w:t>
      </w:r>
      <w:r w:rsidR="000E2386">
        <w:rPr>
          <w:rFonts w:ascii="Arial Narrow" w:hAnsi="Arial Narrow" w:cs="Arial"/>
          <w:sz w:val="22"/>
          <w:szCs w:val="22"/>
        </w:rPr>
        <w:t>octu</w:t>
      </w:r>
      <w:r w:rsidR="00A35358">
        <w:rPr>
          <w:rFonts w:ascii="Arial Narrow" w:hAnsi="Arial Narrow" w:cs="Arial"/>
          <w:sz w:val="22"/>
          <w:szCs w:val="22"/>
        </w:rPr>
        <w:t>bre</w:t>
      </w:r>
      <w:r w:rsidRPr="002D1B3A">
        <w:rPr>
          <w:rFonts w:ascii="Arial Narrow" w:hAnsi="Arial Narrow" w:cs="Arial"/>
          <w:sz w:val="22"/>
          <w:szCs w:val="22"/>
        </w:rPr>
        <w:t xml:space="preserve"> de 2019 presentan</w:t>
      </w:r>
      <w:r>
        <w:rPr>
          <w:rFonts w:ascii="Arial Narrow" w:hAnsi="Arial Narrow" w:cs="Arial"/>
          <w:sz w:val="22"/>
          <w:szCs w:val="22"/>
        </w:rPr>
        <w:t xml:space="preserve"> una variación de </w:t>
      </w:r>
      <w:r w:rsidR="000E0672">
        <w:rPr>
          <w:rFonts w:ascii="Arial Narrow" w:hAnsi="Arial Narrow" w:cs="Arial"/>
          <w:sz w:val="22"/>
          <w:szCs w:val="22"/>
        </w:rPr>
        <w:t>2.</w:t>
      </w:r>
      <w:r w:rsidR="004B2CC6">
        <w:rPr>
          <w:rFonts w:ascii="Arial Narrow" w:hAnsi="Arial Narrow" w:cs="Arial"/>
          <w:sz w:val="22"/>
          <w:szCs w:val="22"/>
        </w:rPr>
        <w:t>63</w:t>
      </w:r>
      <w:r w:rsidR="000E2386">
        <w:rPr>
          <w:rFonts w:ascii="Arial Narrow" w:hAnsi="Arial Narrow" w:cs="Arial"/>
          <w:sz w:val="22"/>
          <w:szCs w:val="22"/>
        </w:rPr>
        <w:t>2</w:t>
      </w:r>
      <w:r w:rsidR="000E0672">
        <w:rPr>
          <w:rFonts w:ascii="Arial Narrow" w:hAnsi="Arial Narrow" w:cs="Arial"/>
          <w:sz w:val="22"/>
          <w:szCs w:val="22"/>
        </w:rPr>
        <w:t>.</w:t>
      </w:r>
      <w:r w:rsidR="000E2386">
        <w:rPr>
          <w:rFonts w:ascii="Arial Narrow" w:hAnsi="Arial Narrow" w:cs="Arial"/>
          <w:sz w:val="22"/>
          <w:szCs w:val="22"/>
        </w:rPr>
        <w:t>777</w:t>
      </w:r>
      <w:r w:rsidR="000E0672">
        <w:rPr>
          <w:rFonts w:ascii="Arial Narrow" w:hAnsi="Arial Narrow" w:cs="Arial"/>
          <w:sz w:val="22"/>
          <w:szCs w:val="22"/>
        </w:rPr>
        <w:t>.</w:t>
      </w:r>
      <w:r w:rsidR="000E2386">
        <w:rPr>
          <w:rFonts w:ascii="Arial Narrow" w:hAnsi="Arial Narrow" w:cs="Arial"/>
          <w:sz w:val="22"/>
          <w:szCs w:val="22"/>
        </w:rPr>
        <w:t>396</w:t>
      </w:r>
      <w:r w:rsidRPr="002D1B3A">
        <w:rPr>
          <w:rFonts w:ascii="Arial Narrow" w:hAnsi="Arial Narrow" w:cs="Arial"/>
          <w:sz w:val="22"/>
          <w:szCs w:val="22"/>
        </w:rPr>
        <w:t xml:space="preserve"> mile</w:t>
      </w:r>
      <w:r w:rsidR="00FF3129">
        <w:rPr>
          <w:rFonts w:ascii="Arial Narrow" w:hAnsi="Arial Narrow" w:cs="Arial"/>
          <w:sz w:val="22"/>
          <w:szCs w:val="22"/>
        </w:rPr>
        <w:t xml:space="preserve">s </w:t>
      </w:r>
      <w:r w:rsidR="003C26EA">
        <w:rPr>
          <w:rFonts w:ascii="Arial Narrow" w:hAnsi="Arial Narrow" w:cs="Arial"/>
          <w:sz w:val="22"/>
          <w:szCs w:val="22"/>
        </w:rPr>
        <w:t xml:space="preserve">con relación a los activos del mes de </w:t>
      </w:r>
      <w:r w:rsidR="000E2386">
        <w:rPr>
          <w:rFonts w:ascii="Arial Narrow" w:hAnsi="Arial Narrow" w:cs="Arial"/>
          <w:sz w:val="22"/>
          <w:szCs w:val="22"/>
        </w:rPr>
        <w:t>octu</w:t>
      </w:r>
      <w:r w:rsidR="004B2CC6">
        <w:rPr>
          <w:rFonts w:ascii="Arial Narrow" w:hAnsi="Arial Narrow" w:cs="Arial"/>
          <w:sz w:val="22"/>
          <w:szCs w:val="22"/>
        </w:rPr>
        <w:t>bre</w:t>
      </w:r>
      <w:r w:rsidR="003C26EA">
        <w:rPr>
          <w:rFonts w:ascii="Arial Narrow" w:hAnsi="Arial Narrow" w:cs="Arial"/>
          <w:sz w:val="22"/>
          <w:szCs w:val="22"/>
        </w:rPr>
        <w:t xml:space="preserve"> de 2018 </w:t>
      </w:r>
      <w:r>
        <w:rPr>
          <w:rFonts w:ascii="Arial Narrow" w:hAnsi="Arial Narrow" w:cs="Arial"/>
          <w:sz w:val="22"/>
          <w:szCs w:val="22"/>
        </w:rPr>
        <w:t>y</w:t>
      </w:r>
      <w:r w:rsidRPr="002D1B3A">
        <w:rPr>
          <w:rFonts w:ascii="Arial Narrow" w:hAnsi="Arial Narrow" w:cs="Arial"/>
          <w:sz w:val="22"/>
          <w:szCs w:val="22"/>
        </w:rPr>
        <w:t xml:space="preserve"> un incremento del </w:t>
      </w:r>
      <w:r w:rsidR="004A46D2">
        <w:rPr>
          <w:rFonts w:ascii="Arial Narrow" w:hAnsi="Arial Narrow" w:cs="Arial"/>
          <w:sz w:val="22"/>
          <w:szCs w:val="22"/>
        </w:rPr>
        <w:t>5.</w:t>
      </w:r>
      <w:r w:rsidR="004B2CC6">
        <w:rPr>
          <w:rFonts w:ascii="Arial Narrow" w:hAnsi="Arial Narrow" w:cs="Arial"/>
          <w:sz w:val="22"/>
          <w:szCs w:val="22"/>
        </w:rPr>
        <w:t>88</w:t>
      </w:r>
      <w:r w:rsidRPr="002D1B3A">
        <w:rPr>
          <w:rFonts w:ascii="Arial Narrow" w:hAnsi="Arial Narrow" w:cs="Arial"/>
          <w:sz w:val="22"/>
          <w:szCs w:val="22"/>
        </w:rPr>
        <w:t xml:space="preserve">% </w:t>
      </w:r>
      <w:r>
        <w:rPr>
          <w:rFonts w:ascii="Arial Narrow" w:hAnsi="Arial Narrow" w:cs="Arial"/>
          <w:sz w:val="22"/>
          <w:szCs w:val="22"/>
        </w:rPr>
        <w:t>en términos corrientes</w:t>
      </w:r>
      <w:r w:rsidR="003C26EA">
        <w:rPr>
          <w:rFonts w:ascii="Arial Narrow" w:hAnsi="Arial Narrow" w:cs="Arial"/>
          <w:sz w:val="22"/>
          <w:szCs w:val="22"/>
        </w:rPr>
        <w:t>.</w:t>
      </w:r>
      <w:r w:rsidR="003D679C">
        <w:rPr>
          <w:rFonts w:ascii="Arial Narrow" w:hAnsi="Arial Narrow" w:cs="Arial"/>
          <w:sz w:val="22"/>
          <w:szCs w:val="22"/>
        </w:rPr>
        <w:t xml:space="preserve">  </w:t>
      </w:r>
      <w:r w:rsidR="003C26EA">
        <w:rPr>
          <w:rFonts w:ascii="Arial Narrow" w:hAnsi="Arial Narrow" w:cs="Arial"/>
          <w:sz w:val="22"/>
          <w:szCs w:val="22"/>
        </w:rPr>
        <w:t xml:space="preserve">Esta variación </w:t>
      </w:r>
      <w:r w:rsidR="002C4CB6">
        <w:rPr>
          <w:rFonts w:ascii="Arial Narrow" w:hAnsi="Arial Narrow" w:cs="Arial"/>
          <w:sz w:val="22"/>
          <w:szCs w:val="22"/>
        </w:rPr>
        <w:t>está representad</w:t>
      </w:r>
      <w:r w:rsidR="003C26EA">
        <w:rPr>
          <w:rFonts w:ascii="Arial Narrow" w:hAnsi="Arial Narrow" w:cs="Arial"/>
          <w:sz w:val="22"/>
          <w:szCs w:val="22"/>
        </w:rPr>
        <w:t>a</w:t>
      </w:r>
      <w:r w:rsidRPr="002D1B3A">
        <w:rPr>
          <w:rFonts w:ascii="Arial Narrow" w:hAnsi="Arial Narrow" w:cs="Arial"/>
          <w:sz w:val="22"/>
          <w:szCs w:val="22"/>
        </w:rPr>
        <w:t xml:space="preserve"> principalmente </w:t>
      </w:r>
      <w:r w:rsidR="00FF3129">
        <w:rPr>
          <w:rFonts w:ascii="Arial Narrow" w:hAnsi="Arial Narrow" w:cs="Arial"/>
          <w:sz w:val="22"/>
          <w:szCs w:val="22"/>
        </w:rPr>
        <w:t>por</w:t>
      </w:r>
      <w:r w:rsidR="002C4CB6">
        <w:rPr>
          <w:rFonts w:ascii="Arial Narrow" w:hAnsi="Arial Narrow" w:cs="Arial"/>
          <w:sz w:val="22"/>
          <w:szCs w:val="22"/>
        </w:rPr>
        <w:t xml:space="preserve"> un</w:t>
      </w:r>
      <w:r w:rsidR="003C26EA">
        <w:rPr>
          <w:rFonts w:ascii="Arial Narrow" w:hAnsi="Arial Narrow" w:cs="Arial"/>
          <w:sz w:val="22"/>
          <w:szCs w:val="22"/>
        </w:rPr>
        <w:t xml:space="preserve"> incremento </w:t>
      </w:r>
      <w:r w:rsidR="00215474">
        <w:rPr>
          <w:rFonts w:ascii="Arial Narrow" w:hAnsi="Arial Narrow" w:cs="Arial"/>
          <w:sz w:val="22"/>
          <w:szCs w:val="22"/>
        </w:rPr>
        <w:t xml:space="preserve">en el activo corriente y no corriente de la cuenta Otros activos </w:t>
      </w:r>
      <w:r w:rsidR="0060576C">
        <w:rPr>
          <w:rFonts w:ascii="Arial Narrow" w:hAnsi="Arial Narrow" w:cs="Arial"/>
          <w:sz w:val="22"/>
          <w:szCs w:val="22"/>
        </w:rPr>
        <w:t xml:space="preserve">por valor </w:t>
      </w:r>
      <w:r w:rsidR="00062F65">
        <w:rPr>
          <w:rFonts w:ascii="Arial Narrow" w:hAnsi="Arial Narrow" w:cs="Arial"/>
          <w:sz w:val="22"/>
          <w:szCs w:val="22"/>
        </w:rPr>
        <w:t>de $</w:t>
      </w:r>
      <w:r w:rsidR="009B4A57">
        <w:rPr>
          <w:rFonts w:ascii="Arial Narrow" w:hAnsi="Arial Narrow" w:cs="Arial"/>
          <w:sz w:val="22"/>
          <w:szCs w:val="22"/>
        </w:rPr>
        <w:t>3</w:t>
      </w:r>
      <w:r w:rsidR="000E0672">
        <w:rPr>
          <w:rFonts w:ascii="Arial Narrow" w:hAnsi="Arial Narrow" w:cs="Arial"/>
          <w:sz w:val="22"/>
          <w:szCs w:val="22"/>
        </w:rPr>
        <w:t>.</w:t>
      </w:r>
      <w:r w:rsidR="009B4A57">
        <w:rPr>
          <w:rFonts w:ascii="Arial Narrow" w:hAnsi="Arial Narrow" w:cs="Arial"/>
          <w:sz w:val="22"/>
          <w:szCs w:val="22"/>
        </w:rPr>
        <w:t>9</w:t>
      </w:r>
      <w:r w:rsidR="00E15229">
        <w:rPr>
          <w:rFonts w:ascii="Arial Narrow" w:hAnsi="Arial Narrow" w:cs="Arial"/>
          <w:sz w:val="22"/>
          <w:szCs w:val="22"/>
        </w:rPr>
        <w:t>21</w:t>
      </w:r>
      <w:r w:rsidR="000E0672">
        <w:rPr>
          <w:rFonts w:ascii="Arial Narrow" w:hAnsi="Arial Narrow" w:cs="Arial"/>
          <w:sz w:val="22"/>
          <w:szCs w:val="22"/>
        </w:rPr>
        <w:t>.</w:t>
      </w:r>
      <w:r w:rsidR="00E15229">
        <w:rPr>
          <w:rFonts w:ascii="Arial Narrow" w:hAnsi="Arial Narrow" w:cs="Arial"/>
          <w:sz w:val="22"/>
          <w:szCs w:val="22"/>
        </w:rPr>
        <w:t>141</w:t>
      </w:r>
      <w:r w:rsidR="000E0672">
        <w:rPr>
          <w:rFonts w:ascii="Arial Narrow" w:hAnsi="Arial Narrow" w:cs="Arial"/>
          <w:sz w:val="22"/>
          <w:szCs w:val="22"/>
        </w:rPr>
        <w:t>.</w:t>
      </w:r>
      <w:r w:rsidR="00E15229">
        <w:rPr>
          <w:rFonts w:ascii="Arial Narrow" w:hAnsi="Arial Narrow" w:cs="Arial"/>
          <w:sz w:val="22"/>
          <w:szCs w:val="22"/>
        </w:rPr>
        <w:t>3</w:t>
      </w:r>
      <w:r w:rsidR="004B2CC6">
        <w:rPr>
          <w:rFonts w:ascii="Arial Narrow" w:hAnsi="Arial Narrow" w:cs="Arial"/>
          <w:sz w:val="22"/>
          <w:szCs w:val="22"/>
        </w:rPr>
        <w:t>48</w:t>
      </w:r>
      <w:r w:rsidR="00062F65">
        <w:rPr>
          <w:rFonts w:ascii="Arial Narrow" w:hAnsi="Arial Narrow" w:cs="Arial"/>
          <w:sz w:val="22"/>
          <w:szCs w:val="22"/>
        </w:rPr>
        <w:t xml:space="preserve"> miles </w:t>
      </w:r>
      <w:r w:rsidR="001002FB">
        <w:rPr>
          <w:rFonts w:ascii="Arial Narrow" w:hAnsi="Arial Narrow" w:cs="Arial"/>
          <w:sz w:val="22"/>
          <w:szCs w:val="22"/>
        </w:rPr>
        <w:t>(1)</w:t>
      </w:r>
      <w:r w:rsidR="002C4CB6">
        <w:rPr>
          <w:rFonts w:ascii="Arial Narrow" w:hAnsi="Arial Narrow" w:cs="Arial"/>
          <w:sz w:val="22"/>
          <w:szCs w:val="22"/>
        </w:rPr>
        <w:t xml:space="preserve">, un incremento </w:t>
      </w:r>
      <w:r w:rsidR="00215474">
        <w:rPr>
          <w:rFonts w:ascii="Arial Narrow" w:hAnsi="Arial Narrow" w:cs="Arial"/>
          <w:sz w:val="22"/>
          <w:szCs w:val="22"/>
        </w:rPr>
        <w:t xml:space="preserve">por valor </w:t>
      </w:r>
      <w:r w:rsidR="001002FB">
        <w:rPr>
          <w:rFonts w:ascii="Arial Narrow" w:hAnsi="Arial Narrow" w:cs="Arial"/>
          <w:sz w:val="22"/>
          <w:szCs w:val="22"/>
        </w:rPr>
        <w:t>de $</w:t>
      </w:r>
      <w:r w:rsidR="004A46D2">
        <w:rPr>
          <w:rFonts w:ascii="Arial Narrow" w:hAnsi="Arial Narrow" w:cs="Arial"/>
          <w:sz w:val="22"/>
          <w:szCs w:val="22"/>
        </w:rPr>
        <w:t>1.</w:t>
      </w:r>
      <w:r w:rsidR="000E0672">
        <w:rPr>
          <w:rFonts w:ascii="Arial Narrow" w:hAnsi="Arial Narrow" w:cs="Arial"/>
          <w:sz w:val="22"/>
          <w:szCs w:val="22"/>
        </w:rPr>
        <w:t>890</w:t>
      </w:r>
      <w:r w:rsidR="004A46D2">
        <w:rPr>
          <w:rFonts w:ascii="Arial Narrow" w:hAnsi="Arial Narrow" w:cs="Arial"/>
          <w:sz w:val="22"/>
          <w:szCs w:val="22"/>
        </w:rPr>
        <w:t>.</w:t>
      </w:r>
      <w:r w:rsidR="00E15229">
        <w:rPr>
          <w:rFonts w:ascii="Arial Narrow" w:hAnsi="Arial Narrow" w:cs="Arial"/>
          <w:sz w:val="22"/>
          <w:szCs w:val="22"/>
        </w:rPr>
        <w:t>877</w:t>
      </w:r>
      <w:r w:rsidR="004A46D2">
        <w:rPr>
          <w:rFonts w:ascii="Arial Narrow" w:hAnsi="Arial Narrow" w:cs="Arial"/>
          <w:sz w:val="22"/>
          <w:szCs w:val="22"/>
        </w:rPr>
        <w:t>.</w:t>
      </w:r>
      <w:r w:rsidR="00E15229">
        <w:rPr>
          <w:rFonts w:ascii="Arial Narrow" w:hAnsi="Arial Narrow" w:cs="Arial"/>
          <w:sz w:val="22"/>
          <w:szCs w:val="22"/>
        </w:rPr>
        <w:t>310</w:t>
      </w:r>
      <w:r w:rsidR="001002FB">
        <w:rPr>
          <w:rFonts w:ascii="Arial Narrow" w:hAnsi="Arial Narrow" w:cs="Arial"/>
          <w:sz w:val="22"/>
          <w:szCs w:val="22"/>
        </w:rPr>
        <w:t xml:space="preserve"> miles </w:t>
      </w:r>
      <w:r w:rsidR="002C4CB6">
        <w:rPr>
          <w:rFonts w:ascii="Arial Narrow" w:hAnsi="Arial Narrow" w:cs="Arial"/>
          <w:sz w:val="22"/>
          <w:szCs w:val="22"/>
        </w:rPr>
        <w:t xml:space="preserve">en </w:t>
      </w:r>
      <w:r w:rsidR="001002FB">
        <w:rPr>
          <w:rFonts w:ascii="Arial Narrow" w:hAnsi="Arial Narrow" w:cs="Arial"/>
          <w:sz w:val="22"/>
          <w:szCs w:val="22"/>
        </w:rPr>
        <w:t xml:space="preserve">la cuenta </w:t>
      </w:r>
      <w:r w:rsidR="004A46D2">
        <w:rPr>
          <w:rFonts w:ascii="Arial Narrow" w:hAnsi="Arial Narrow" w:cs="Arial"/>
          <w:sz w:val="22"/>
          <w:szCs w:val="22"/>
        </w:rPr>
        <w:t>Propiedad</w:t>
      </w:r>
      <w:r w:rsidR="00A67F7F">
        <w:rPr>
          <w:rFonts w:ascii="Arial Narrow" w:hAnsi="Arial Narrow" w:cs="Arial"/>
          <w:sz w:val="22"/>
          <w:szCs w:val="22"/>
        </w:rPr>
        <w:t>es</w:t>
      </w:r>
      <w:r w:rsidR="004A46D2">
        <w:rPr>
          <w:rFonts w:ascii="Arial Narrow" w:hAnsi="Arial Narrow" w:cs="Arial"/>
          <w:sz w:val="22"/>
          <w:szCs w:val="22"/>
        </w:rPr>
        <w:t>, Planta y Equipo (2</w:t>
      </w:r>
      <w:r w:rsidR="00215474">
        <w:rPr>
          <w:rFonts w:ascii="Arial Narrow" w:hAnsi="Arial Narrow" w:cs="Arial"/>
          <w:sz w:val="22"/>
          <w:szCs w:val="22"/>
        </w:rPr>
        <w:t>)</w:t>
      </w:r>
      <w:r w:rsidR="001002FB">
        <w:rPr>
          <w:rFonts w:ascii="Arial Narrow" w:hAnsi="Arial Narrow" w:cs="Arial"/>
          <w:sz w:val="22"/>
          <w:szCs w:val="22"/>
        </w:rPr>
        <w:t xml:space="preserve"> y</w:t>
      </w:r>
      <w:r w:rsidR="00215474">
        <w:rPr>
          <w:rFonts w:ascii="Arial Narrow" w:hAnsi="Arial Narrow" w:cs="Arial"/>
          <w:sz w:val="22"/>
          <w:szCs w:val="22"/>
        </w:rPr>
        <w:t xml:space="preserve"> una disminución neta en</w:t>
      </w:r>
      <w:r w:rsidR="000E0672">
        <w:rPr>
          <w:rFonts w:ascii="Arial Narrow" w:hAnsi="Arial Narrow" w:cs="Arial"/>
          <w:sz w:val="22"/>
          <w:szCs w:val="22"/>
        </w:rPr>
        <w:t>tre</w:t>
      </w:r>
      <w:r w:rsidR="00215474">
        <w:rPr>
          <w:rFonts w:ascii="Arial Narrow" w:hAnsi="Arial Narrow" w:cs="Arial"/>
          <w:sz w:val="22"/>
          <w:szCs w:val="22"/>
        </w:rPr>
        <w:t xml:space="preserve"> los rubros corriente y no corriente de la cuenta Cuentas por cobrar por valor de -$</w:t>
      </w:r>
      <w:r w:rsidR="007361AD">
        <w:rPr>
          <w:rFonts w:ascii="Arial Narrow" w:hAnsi="Arial Narrow" w:cs="Arial"/>
          <w:sz w:val="22"/>
          <w:szCs w:val="22"/>
        </w:rPr>
        <w:t>2</w:t>
      </w:r>
      <w:r w:rsidR="00215474">
        <w:rPr>
          <w:rFonts w:ascii="Arial Narrow" w:hAnsi="Arial Narrow" w:cs="Arial"/>
          <w:sz w:val="22"/>
          <w:szCs w:val="22"/>
        </w:rPr>
        <w:t>.</w:t>
      </w:r>
      <w:r w:rsidR="007361AD">
        <w:rPr>
          <w:rFonts w:ascii="Arial Narrow" w:hAnsi="Arial Narrow" w:cs="Arial"/>
          <w:sz w:val="22"/>
          <w:szCs w:val="22"/>
        </w:rPr>
        <w:t>37</w:t>
      </w:r>
      <w:r w:rsidR="00E15229">
        <w:rPr>
          <w:rFonts w:ascii="Arial Narrow" w:hAnsi="Arial Narrow" w:cs="Arial"/>
          <w:sz w:val="22"/>
          <w:szCs w:val="22"/>
        </w:rPr>
        <w:t>7</w:t>
      </w:r>
      <w:r w:rsidR="00215474">
        <w:rPr>
          <w:rFonts w:ascii="Arial Narrow" w:hAnsi="Arial Narrow" w:cs="Arial"/>
          <w:sz w:val="22"/>
          <w:szCs w:val="22"/>
        </w:rPr>
        <w:t>.</w:t>
      </w:r>
      <w:r w:rsidR="00E15229">
        <w:rPr>
          <w:rFonts w:ascii="Arial Narrow" w:hAnsi="Arial Narrow" w:cs="Arial"/>
          <w:sz w:val="22"/>
          <w:szCs w:val="22"/>
        </w:rPr>
        <w:t>013</w:t>
      </w:r>
      <w:r w:rsidR="00215474">
        <w:rPr>
          <w:rFonts w:ascii="Arial Narrow" w:hAnsi="Arial Narrow" w:cs="Arial"/>
          <w:sz w:val="22"/>
          <w:szCs w:val="22"/>
        </w:rPr>
        <w:t>.</w:t>
      </w:r>
      <w:r w:rsidR="00E15229">
        <w:rPr>
          <w:rFonts w:ascii="Arial Narrow" w:hAnsi="Arial Narrow" w:cs="Arial"/>
          <w:sz w:val="22"/>
          <w:szCs w:val="22"/>
        </w:rPr>
        <w:t>216</w:t>
      </w:r>
      <w:r w:rsidR="00215474">
        <w:rPr>
          <w:rFonts w:ascii="Arial Narrow" w:hAnsi="Arial Narrow" w:cs="Arial"/>
          <w:sz w:val="22"/>
          <w:szCs w:val="22"/>
        </w:rPr>
        <w:t xml:space="preserve"> miles (3).</w:t>
      </w:r>
    </w:p>
    <w:p w14:paraId="0EBA7DF9" w14:textId="43395620" w:rsidR="00980E75" w:rsidRDefault="00A140F5" w:rsidP="00762DF6">
      <w:pPr>
        <w:jc w:val="both"/>
        <w:rPr>
          <w:rFonts w:ascii="Arial Narrow" w:hAnsi="Arial Narrow" w:cs="Arial"/>
          <w:sz w:val="18"/>
          <w:szCs w:val="18"/>
        </w:rPr>
      </w:pPr>
      <w:r>
        <w:rPr>
          <w:rFonts w:ascii="Arial Narrow" w:hAnsi="Arial Narrow" w:cs="Arial"/>
          <w:sz w:val="18"/>
          <w:szCs w:val="18"/>
        </w:rPr>
        <w:tab/>
      </w:r>
      <w:r>
        <w:rPr>
          <w:rFonts w:ascii="Arial Narrow" w:hAnsi="Arial Narrow" w:cs="Arial"/>
          <w:sz w:val="18"/>
          <w:szCs w:val="18"/>
        </w:rPr>
        <w:tab/>
      </w:r>
    </w:p>
    <w:p w14:paraId="09A9DC20" w14:textId="77777777" w:rsidR="00A812A2" w:rsidRDefault="00A812A2" w:rsidP="00762DF6">
      <w:pPr>
        <w:jc w:val="both"/>
        <w:rPr>
          <w:rFonts w:ascii="Arial Narrow" w:hAnsi="Arial Narrow" w:cs="Arial"/>
          <w:sz w:val="18"/>
          <w:szCs w:val="18"/>
        </w:rPr>
      </w:pPr>
    </w:p>
    <w:p w14:paraId="6A3541FC" w14:textId="77777777" w:rsidR="002852E6" w:rsidRPr="00586B26" w:rsidRDefault="00586B26" w:rsidP="00762DF6">
      <w:pPr>
        <w:jc w:val="both"/>
        <w:rPr>
          <w:rFonts w:ascii="Arial Narrow" w:hAnsi="Arial Narrow" w:cs="Arial"/>
          <w:sz w:val="22"/>
          <w:szCs w:val="22"/>
        </w:rPr>
      </w:pPr>
      <w:r w:rsidRPr="00586B26">
        <w:rPr>
          <w:rFonts w:ascii="Arial Narrow" w:hAnsi="Arial Narrow" w:cs="Arial"/>
          <w:sz w:val="22"/>
          <w:szCs w:val="22"/>
        </w:rPr>
        <w:t>A continuación</w:t>
      </w:r>
      <w:r w:rsidR="00817E6D">
        <w:rPr>
          <w:rFonts w:ascii="Arial Narrow" w:hAnsi="Arial Narrow" w:cs="Arial"/>
          <w:sz w:val="22"/>
          <w:szCs w:val="22"/>
        </w:rPr>
        <w:t>,</w:t>
      </w:r>
      <w:r w:rsidRPr="00586B26">
        <w:rPr>
          <w:rFonts w:ascii="Arial Narrow" w:hAnsi="Arial Narrow" w:cs="Arial"/>
          <w:sz w:val="22"/>
          <w:szCs w:val="22"/>
        </w:rPr>
        <w:t xml:space="preserve"> se detallan las situaciones particulares de </w:t>
      </w:r>
      <w:r w:rsidR="000E31A9">
        <w:rPr>
          <w:rFonts w:ascii="Arial Narrow" w:hAnsi="Arial Narrow" w:cs="Arial"/>
          <w:sz w:val="22"/>
          <w:szCs w:val="22"/>
        </w:rPr>
        <w:t xml:space="preserve">estas variaciones </w:t>
      </w:r>
      <w:r w:rsidRPr="00586B26">
        <w:rPr>
          <w:rFonts w:ascii="Arial Narrow" w:hAnsi="Arial Narrow" w:cs="Arial"/>
          <w:sz w:val="22"/>
          <w:szCs w:val="22"/>
        </w:rPr>
        <w:t>del activo</w:t>
      </w:r>
      <w:r>
        <w:rPr>
          <w:rFonts w:ascii="Arial Narrow" w:hAnsi="Arial Narrow" w:cs="Arial"/>
          <w:sz w:val="22"/>
          <w:szCs w:val="22"/>
        </w:rPr>
        <w:t>:</w:t>
      </w:r>
    </w:p>
    <w:p w14:paraId="18315C7B" w14:textId="2D6B5158" w:rsidR="00586B26" w:rsidRDefault="00586B26" w:rsidP="00762DF6">
      <w:pPr>
        <w:jc w:val="both"/>
        <w:rPr>
          <w:rFonts w:ascii="Arial Narrow" w:hAnsi="Arial Narrow" w:cs="Arial"/>
          <w:sz w:val="22"/>
          <w:szCs w:val="22"/>
        </w:rPr>
      </w:pPr>
    </w:p>
    <w:p w14:paraId="38B59ECB" w14:textId="77777777" w:rsidR="002852E6" w:rsidRDefault="002852E6" w:rsidP="002852E6">
      <w:pPr>
        <w:pStyle w:val="Textoindependiente2"/>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color w:val="auto"/>
          <w:sz w:val="22"/>
          <w:szCs w:val="22"/>
          <w:lang w:val="es-ES"/>
        </w:rPr>
      </w:pPr>
      <w:r>
        <w:rPr>
          <w:rFonts w:ascii="Arial Narrow" w:hAnsi="Arial Narrow" w:cs="Gisha"/>
          <w:color w:val="auto"/>
          <w:sz w:val="22"/>
          <w:szCs w:val="22"/>
          <w:lang w:val="es-ES"/>
        </w:rPr>
        <w:t>Otros activos</w:t>
      </w:r>
    </w:p>
    <w:p w14:paraId="2A99AFDC" w14:textId="77777777" w:rsidR="002852E6" w:rsidRPr="00A812A2" w:rsidRDefault="002852E6" w:rsidP="002852E6">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color w:val="auto"/>
          <w:sz w:val="22"/>
          <w:szCs w:val="22"/>
          <w:lang w:val="es-ES"/>
        </w:rPr>
      </w:pPr>
    </w:p>
    <w:p w14:paraId="64FC43CA" w14:textId="23455C1C" w:rsidR="002852E6" w:rsidRDefault="002852E6" w:rsidP="002852E6">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color w:val="auto"/>
          <w:sz w:val="22"/>
          <w:szCs w:val="22"/>
          <w:lang w:val="es-ES"/>
        </w:rPr>
      </w:pPr>
      <w:r>
        <w:rPr>
          <w:rFonts w:ascii="Arial Narrow" w:hAnsi="Arial Narrow" w:cs="Gisha"/>
          <w:b w:val="0"/>
          <w:color w:val="auto"/>
          <w:sz w:val="22"/>
          <w:szCs w:val="22"/>
          <w:lang w:val="es-ES"/>
        </w:rPr>
        <w:t xml:space="preserve">El incremento </w:t>
      </w:r>
      <w:r w:rsidR="0060576C" w:rsidRPr="0060576C">
        <w:rPr>
          <w:rFonts w:ascii="Arial Narrow" w:hAnsi="Arial Narrow"/>
          <w:b w:val="0"/>
          <w:sz w:val="22"/>
          <w:szCs w:val="22"/>
        </w:rPr>
        <w:t>en el activo corriente y no corriente</w:t>
      </w:r>
      <w:r w:rsidR="0060576C">
        <w:rPr>
          <w:rFonts w:ascii="Arial Narrow" w:hAnsi="Arial Narrow"/>
          <w:b w:val="0"/>
          <w:sz w:val="22"/>
          <w:szCs w:val="22"/>
        </w:rPr>
        <w:t xml:space="preserve"> de la cuenta Otros activos por valor total</w:t>
      </w:r>
      <w:r w:rsidR="0060576C">
        <w:rPr>
          <w:rFonts w:ascii="Arial Narrow" w:hAnsi="Arial Narrow"/>
          <w:sz w:val="22"/>
          <w:szCs w:val="22"/>
        </w:rPr>
        <w:t xml:space="preserve"> </w:t>
      </w:r>
      <w:r>
        <w:rPr>
          <w:rFonts w:ascii="Arial Narrow" w:hAnsi="Arial Narrow" w:cs="Gisha"/>
          <w:b w:val="0"/>
          <w:color w:val="auto"/>
          <w:sz w:val="22"/>
          <w:szCs w:val="22"/>
          <w:lang w:val="es-ES"/>
        </w:rPr>
        <w:t xml:space="preserve">de </w:t>
      </w:r>
      <w:r w:rsidRPr="007F7F95">
        <w:rPr>
          <w:rFonts w:ascii="Arial Narrow" w:hAnsi="Arial Narrow" w:cs="Gisha"/>
          <w:b w:val="0"/>
          <w:color w:val="auto"/>
          <w:sz w:val="22"/>
          <w:szCs w:val="22"/>
          <w:lang w:val="es-ES"/>
        </w:rPr>
        <w:t>$</w:t>
      </w:r>
      <w:r w:rsidRPr="00B32CC5">
        <w:rPr>
          <w:rFonts w:ascii="Arial Narrow" w:hAnsi="Arial Narrow" w:cs="Gisha"/>
          <w:b w:val="0"/>
          <w:color w:val="auto"/>
          <w:sz w:val="22"/>
          <w:szCs w:val="22"/>
          <w:lang w:val="es-ES"/>
        </w:rPr>
        <w:t xml:space="preserve"> </w:t>
      </w:r>
      <w:r w:rsidR="00A67F7F" w:rsidRPr="00A67F7F">
        <w:rPr>
          <w:rFonts w:ascii="Arial Narrow" w:hAnsi="Arial Narrow" w:cs="Gisha"/>
          <w:b w:val="0"/>
          <w:color w:val="auto"/>
          <w:sz w:val="22"/>
          <w:szCs w:val="22"/>
          <w:lang w:val="es-ES"/>
        </w:rPr>
        <w:t>3.</w:t>
      </w:r>
      <w:r w:rsidR="00DF4D2C">
        <w:rPr>
          <w:rFonts w:ascii="Arial Narrow" w:hAnsi="Arial Narrow" w:cs="Gisha"/>
          <w:b w:val="0"/>
          <w:color w:val="auto"/>
          <w:sz w:val="22"/>
          <w:szCs w:val="22"/>
          <w:lang w:val="es-ES"/>
        </w:rPr>
        <w:t>921</w:t>
      </w:r>
      <w:r w:rsidR="00A67F7F" w:rsidRPr="00A67F7F">
        <w:rPr>
          <w:rFonts w:ascii="Arial Narrow" w:hAnsi="Arial Narrow" w:cs="Gisha"/>
          <w:b w:val="0"/>
          <w:color w:val="auto"/>
          <w:sz w:val="22"/>
          <w:szCs w:val="22"/>
          <w:lang w:val="es-ES"/>
        </w:rPr>
        <w:t>.</w:t>
      </w:r>
      <w:r w:rsidR="00DF4D2C">
        <w:rPr>
          <w:rFonts w:ascii="Arial Narrow" w:hAnsi="Arial Narrow" w:cs="Gisha"/>
          <w:b w:val="0"/>
          <w:color w:val="auto"/>
          <w:sz w:val="22"/>
          <w:szCs w:val="22"/>
          <w:lang w:val="es-ES"/>
        </w:rPr>
        <w:t>141</w:t>
      </w:r>
      <w:r w:rsidR="00A67F7F" w:rsidRPr="00A67F7F">
        <w:rPr>
          <w:rFonts w:ascii="Arial Narrow" w:hAnsi="Arial Narrow" w:cs="Gisha"/>
          <w:b w:val="0"/>
          <w:color w:val="auto"/>
          <w:sz w:val="22"/>
          <w:szCs w:val="22"/>
          <w:lang w:val="es-ES"/>
        </w:rPr>
        <w:t>.</w:t>
      </w:r>
      <w:r w:rsidR="00DF4D2C">
        <w:rPr>
          <w:rFonts w:ascii="Arial Narrow" w:hAnsi="Arial Narrow" w:cs="Gisha"/>
          <w:b w:val="0"/>
          <w:color w:val="auto"/>
          <w:sz w:val="22"/>
          <w:szCs w:val="22"/>
          <w:lang w:val="es-ES"/>
        </w:rPr>
        <w:t>3</w:t>
      </w:r>
      <w:r w:rsidR="008B4AC3">
        <w:rPr>
          <w:rFonts w:ascii="Arial Narrow" w:hAnsi="Arial Narrow" w:cs="Gisha"/>
          <w:b w:val="0"/>
          <w:color w:val="auto"/>
          <w:sz w:val="22"/>
          <w:szCs w:val="22"/>
          <w:lang w:val="es-ES"/>
        </w:rPr>
        <w:t>48</w:t>
      </w:r>
      <w:r w:rsidR="000F0E22">
        <w:rPr>
          <w:rFonts w:ascii="Arial Narrow" w:hAnsi="Arial Narrow" w:cs="Gisha"/>
          <w:b w:val="0"/>
          <w:color w:val="auto"/>
          <w:sz w:val="22"/>
          <w:szCs w:val="22"/>
          <w:lang w:val="es-ES"/>
        </w:rPr>
        <w:t xml:space="preserve"> </w:t>
      </w:r>
      <w:r w:rsidRPr="007F7F95">
        <w:rPr>
          <w:rFonts w:ascii="Arial Narrow" w:hAnsi="Arial Narrow" w:cs="Gisha"/>
          <w:b w:val="0"/>
          <w:color w:val="auto"/>
          <w:sz w:val="22"/>
          <w:szCs w:val="22"/>
          <w:lang w:val="es-ES"/>
        </w:rPr>
        <w:t>miles</w:t>
      </w:r>
      <w:r>
        <w:rPr>
          <w:rFonts w:ascii="Arial Narrow" w:hAnsi="Arial Narrow" w:cs="Gisha"/>
          <w:b w:val="0"/>
          <w:color w:val="auto"/>
          <w:sz w:val="22"/>
          <w:szCs w:val="22"/>
          <w:lang w:val="es-ES"/>
        </w:rPr>
        <w:t>, del</w:t>
      </w:r>
      <w:r w:rsidR="0060576C">
        <w:rPr>
          <w:rFonts w:ascii="Arial Narrow" w:hAnsi="Arial Narrow" w:cs="Gisha"/>
          <w:b w:val="0"/>
          <w:color w:val="auto"/>
          <w:sz w:val="22"/>
          <w:szCs w:val="22"/>
          <w:lang w:val="es-ES"/>
        </w:rPr>
        <w:t xml:space="preserve"> mes de </w:t>
      </w:r>
      <w:r w:rsidR="00DF4D2C">
        <w:rPr>
          <w:rFonts w:ascii="Arial Narrow" w:hAnsi="Arial Narrow" w:cs="Gisha"/>
          <w:b w:val="0"/>
          <w:color w:val="auto"/>
          <w:sz w:val="22"/>
          <w:szCs w:val="22"/>
          <w:lang w:val="es-ES"/>
        </w:rPr>
        <w:t>octu</w:t>
      </w:r>
      <w:r w:rsidR="008B4AC3">
        <w:rPr>
          <w:rFonts w:ascii="Arial Narrow" w:hAnsi="Arial Narrow" w:cs="Gisha"/>
          <w:b w:val="0"/>
          <w:color w:val="auto"/>
          <w:sz w:val="22"/>
          <w:szCs w:val="22"/>
          <w:lang w:val="es-ES"/>
        </w:rPr>
        <w:t>bre</w:t>
      </w:r>
      <w:r w:rsidR="0060576C">
        <w:rPr>
          <w:rFonts w:ascii="Arial Narrow" w:hAnsi="Arial Narrow" w:cs="Gisha"/>
          <w:b w:val="0"/>
          <w:color w:val="auto"/>
          <w:sz w:val="22"/>
          <w:szCs w:val="22"/>
          <w:lang w:val="es-ES"/>
        </w:rPr>
        <w:t xml:space="preserve"> de</w:t>
      </w:r>
      <w:r>
        <w:rPr>
          <w:rFonts w:ascii="Arial Narrow" w:hAnsi="Arial Narrow" w:cs="Gisha"/>
          <w:b w:val="0"/>
          <w:color w:val="auto"/>
          <w:sz w:val="22"/>
          <w:szCs w:val="22"/>
          <w:lang w:val="es-ES"/>
        </w:rPr>
        <w:t xml:space="preserve"> 2019 frente a</w:t>
      </w:r>
      <w:r w:rsidR="0060576C">
        <w:rPr>
          <w:rFonts w:ascii="Arial Narrow" w:hAnsi="Arial Narrow" w:cs="Gisha"/>
          <w:b w:val="0"/>
          <w:color w:val="auto"/>
          <w:sz w:val="22"/>
          <w:szCs w:val="22"/>
          <w:lang w:val="es-ES"/>
        </w:rPr>
        <w:t xml:space="preserve"> </w:t>
      </w:r>
      <w:r w:rsidR="00DF4D2C">
        <w:rPr>
          <w:rFonts w:ascii="Arial Narrow" w:hAnsi="Arial Narrow" w:cs="Gisha"/>
          <w:b w:val="0"/>
          <w:color w:val="auto"/>
          <w:sz w:val="22"/>
          <w:szCs w:val="22"/>
          <w:lang w:val="es-ES"/>
        </w:rPr>
        <w:t>octu</w:t>
      </w:r>
      <w:r w:rsidR="008B4AC3">
        <w:rPr>
          <w:rFonts w:ascii="Arial Narrow" w:hAnsi="Arial Narrow" w:cs="Gisha"/>
          <w:b w:val="0"/>
          <w:color w:val="auto"/>
          <w:sz w:val="22"/>
          <w:szCs w:val="22"/>
          <w:lang w:val="es-ES"/>
        </w:rPr>
        <w:t>bre</w:t>
      </w:r>
      <w:r w:rsidR="0060576C">
        <w:rPr>
          <w:rFonts w:ascii="Arial Narrow" w:hAnsi="Arial Narrow" w:cs="Gisha"/>
          <w:b w:val="0"/>
          <w:color w:val="auto"/>
          <w:sz w:val="22"/>
          <w:szCs w:val="22"/>
          <w:lang w:val="es-ES"/>
        </w:rPr>
        <w:t xml:space="preserve"> de</w:t>
      </w:r>
      <w:r>
        <w:rPr>
          <w:rFonts w:ascii="Arial Narrow" w:hAnsi="Arial Narrow" w:cs="Gisha"/>
          <w:b w:val="0"/>
          <w:color w:val="auto"/>
          <w:sz w:val="22"/>
          <w:szCs w:val="22"/>
          <w:lang w:val="es-ES"/>
        </w:rPr>
        <w:t xml:space="preserve"> 2018</w:t>
      </w:r>
      <w:r w:rsidR="0060576C">
        <w:rPr>
          <w:rFonts w:ascii="Arial Narrow" w:hAnsi="Arial Narrow" w:cs="Gisha"/>
          <w:b w:val="0"/>
          <w:color w:val="auto"/>
          <w:sz w:val="22"/>
          <w:szCs w:val="22"/>
          <w:lang w:val="es-ES"/>
        </w:rPr>
        <w:t>,</w:t>
      </w:r>
      <w:r>
        <w:rPr>
          <w:rFonts w:ascii="Arial Narrow" w:hAnsi="Arial Narrow" w:cs="Gisha"/>
          <w:b w:val="0"/>
          <w:color w:val="auto"/>
          <w:sz w:val="22"/>
          <w:szCs w:val="22"/>
          <w:lang w:val="es-ES"/>
        </w:rPr>
        <w:t xml:space="preserve"> se presenta </w:t>
      </w:r>
      <w:r w:rsidR="006564CA">
        <w:rPr>
          <w:rFonts w:ascii="Arial Narrow" w:hAnsi="Arial Narrow" w:cs="Gisha"/>
          <w:b w:val="0"/>
          <w:color w:val="auto"/>
          <w:sz w:val="22"/>
          <w:szCs w:val="22"/>
          <w:lang w:val="es-ES"/>
        </w:rPr>
        <w:t xml:space="preserve">principalmente </w:t>
      </w:r>
      <w:r>
        <w:rPr>
          <w:rFonts w:ascii="Arial Narrow" w:hAnsi="Arial Narrow" w:cs="Gisha"/>
          <w:b w:val="0"/>
          <w:color w:val="auto"/>
          <w:sz w:val="22"/>
          <w:szCs w:val="22"/>
          <w:lang w:val="es-ES"/>
        </w:rPr>
        <w:t>por</w:t>
      </w:r>
      <w:r w:rsidR="005B3BAE">
        <w:rPr>
          <w:rFonts w:ascii="Arial Narrow" w:hAnsi="Arial Narrow" w:cs="Gisha"/>
          <w:b w:val="0"/>
          <w:color w:val="auto"/>
          <w:sz w:val="22"/>
          <w:szCs w:val="22"/>
          <w:lang w:val="es-ES"/>
        </w:rPr>
        <w:t xml:space="preserve"> un incremento por valor de $</w:t>
      </w:r>
      <w:r w:rsidR="005B3BAE" w:rsidRPr="005B3BAE">
        <w:rPr>
          <w:rFonts w:ascii="Arial Narrow" w:hAnsi="Arial Narrow" w:cs="Gisha"/>
          <w:b w:val="0"/>
          <w:color w:val="auto"/>
          <w:sz w:val="22"/>
          <w:szCs w:val="22"/>
          <w:lang w:val="es-ES"/>
        </w:rPr>
        <w:t xml:space="preserve"> 3.</w:t>
      </w:r>
      <w:r w:rsidR="00AE7B17">
        <w:rPr>
          <w:rFonts w:ascii="Arial Narrow" w:hAnsi="Arial Narrow" w:cs="Gisha"/>
          <w:b w:val="0"/>
          <w:color w:val="auto"/>
          <w:sz w:val="22"/>
          <w:szCs w:val="22"/>
          <w:lang w:val="es-ES"/>
        </w:rPr>
        <w:t>1</w:t>
      </w:r>
      <w:r w:rsidR="008B4AC3">
        <w:rPr>
          <w:rFonts w:ascii="Arial Narrow" w:hAnsi="Arial Narrow" w:cs="Gisha"/>
          <w:b w:val="0"/>
          <w:color w:val="auto"/>
          <w:sz w:val="22"/>
          <w:szCs w:val="22"/>
          <w:lang w:val="es-ES"/>
        </w:rPr>
        <w:t>92</w:t>
      </w:r>
      <w:r w:rsidR="005B3BAE" w:rsidRPr="005B3BAE">
        <w:rPr>
          <w:rFonts w:ascii="Arial Narrow" w:hAnsi="Arial Narrow" w:cs="Gisha"/>
          <w:b w:val="0"/>
          <w:color w:val="auto"/>
          <w:sz w:val="22"/>
          <w:szCs w:val="22"/>
          <w:lang w:val="es-ES"/>
        </w:rPr>
        <w:t>.</w:t>
      </w:r>
      <w:r w:rsidR="008B4AC3">
        <w:rPr>
          <w:rFonts w:ascii="Arial Narrow" w:hAnsi="Arial Narrow" w:cs="Gisha"/>
          <w:b w:val="0"/>
          <w:color w:val="auto"/>
          <w:sz w:val="22"/>
          <w:szCs w:val="22"/>
          <w:lang w:val="es-ES"/>
        </w:rPr>
        <w:t>910</w:t>
      </w:r>
      <w:r w:rsidR="005B3BAE" w:rsidRPr="005B3BAE">
        <w:rPr>
          <w:rFonts w:ascii="Arial Narrow" w:hAnsi="Arial Narrow" w:cs="Gisha"/>
          <w:b w:val="0"/>
          <w:color w:val="auto"/>
          <w:sz w:val="22"/>
          <w:szCs w:val="22"/>
          <w:lang w:val="es-ES"/>
        </w:rPr>
        <w:t>.</w:t>
      </w:r>
      <w:r w:rsidR="008B4AC3">
        <w:rPr>
          <w:rFonts w:ascii="Arial Narrow" w:hAnsi="Arial Narrow" w:cs="Gisha"/>
          <w:b w:val="0"/>
          <w:color w:val="auto"/>
          <w:sz w:val="22"/>
          <w:szCs w:val="22"/>
          <w:lang w:val="es-ES"/>
        </w:rPr>
        <w:t>575</w:t>
      </w:r>
      <w:r w:rsidR="005B3BAE" w:rsidRPr="005B3BAE">
        <w:rPr>
          <w:rFonts w:ascii="Arial Narrow" w:hAnsi="Arial Narrow" w:cs="Gisha"/>
          <w:b w:val="0"/>
          <w:color w:val="auto"/>
          <w:sz w:val="22"/>
          <w:szCs w:val="22"/>
          <w:lang w:val="es-ES"/>
        </w:rPr>
        <w:t xml:space="preserve"> </w:t>
      </w:r>
      <w:r w:rsidR="005B3BAE">
        <w:rPr>
          <w:rFonts w:ascii="Arial Narrow" w:hAnsi="Arial Narrow" w:cs="Gisha"/>
          <w:b w:val="0"/>
          <w:color w:val="auto"/>
          <w:sz w:val="22"/>
          <w:szCs w:val="22"/>
          <w:lang w:val="es-ES"/>
        </w:rPr>
        <w:t xml:space="preserve">miles por </w:t>
      </w:r>
      <w:r w:rsidR="00747789">
        <w:rPr>
          <w:rFonts w:ascii="Arial Narrow" w:hAnsi="Arial Narrow" w:cs="Gisha"/>
          <w:b w:val="0"/>
          <w:color w:val="auto"/>
          <w:sz w:val="22"/>
          <w:szCs w:val="22"/>
          <w:lang w:val="es-ES"/>
        </w:rPr>
        <w:t xml:space="preserve">los </w:t>
      </w:r>
      <w:r>
        <w:rPr>
          <w:rFonts w:ascii="Arial Narrow" w:hAnsi="Arial Narrow" w:cs="Gisha"/>
          <w:b w:val="0"/>
          <w:color w:val="auto"/>
          <w:sz w:val="22"/>
          <w:szCs w:val="22"/>
          <w:lang w:val="es-ES"/>
        </w:rPr>
        <w:t>recursos incorporados</w:t>
      </w:r>
      <w:r w:rsidR="00747789">
        <w:rPr>
          <w:rFonts w:ascii="Arial Narrow" w:hAnsi="Arial Narrow" w:cs="Gisha"/>
          <w:b w:val="0"/>
          <w:color w:val="auto"/>
          <w:sz w:val="22"/>
          <w:szCs w:val="22"/>
          <w:lang w:val="es-ES"/>
        </w:rPr>
        <w:t xml:space="preserve"> y actualizados</w:t>
      </w:r>
      <w:r>
        <w:rPr>
          <w:rFonts w:ascii="Arial Narrow" w:hAnsi="Arial Narrow" w:cs="Gisha"/>
          <w:b w:val="0"/>
          <w:color w:val="auto"/>
          <w:sz w:val="22"/>
          <w:szCs w:val="22"/>
          <w:lang w:val="es-ES"/>
        </w:rPr>
        <w:t xml:space="preserve"> a la subcuenta </w:t>
      </w:r>
      <w:r w:rsidRPr="007F7F95">
        <w:rPr>
          <w:rFonts w:ascii="Arial Narrow" w:hAnsi="Arial Narrow" w:cs="Gisha"/>
          <w:b w:val="0"/>
          <w:color w:val="auto"/>
          <w:sz w:val="22"/>
          <w:szCs w:val="22"/>
          <w:lang w:val="es-ES"/>
        </w:rPr>
        <w:t>Recursos de la entidad concedente en patrimonios autónomos constituidos por los concesionarios</w:t>
      </w:r>
      <w:r w:rsidR="00EF1A3D">
        <w:rPr>
          <w:rFonts w:ascii="Arial Narrow" w:hAnsi="Arial Narrow" w:cs="Gisha"/>
          <w:b w:val="0"/>
          <w:color w:val="auto"/>
          <w:sz w:val="22"/>
          <w:szCs w:val="22"/>
          <w:lang w:val="es-ES"/>
        </w:rPr>
        <w:t>,</w:t>
      </w:r>
      <w:r>
        <w:rPr>
          <w:rFonts w:ascii="Arial Narrow" w:hAnsi="Arial Narrow" w:cs="Gisha"/>
          <w:b w:val="0"/>
          <w:color w:val="auto"/>
          <w:sz w:val="22"/>
          <w:szCs w:val="22"/>
          <w:lang w:val="es-ES"/>
        </w:rPr>
        <w:t xml:space="preserve"> </w:t>
      </w:r>
      <w:r w:rsidR="00482955">
        <w:rPr>
          <w:rFonts w:ascii="Arial Narrow" w:hAnsi="Arial Narrow" w:cs="Gisha"/>
          <w:b w:val="0"/>
          <w:color w:val="auto"/>
          <w:sz w:val="22"/>
          <w:szCs w:val="22"/>
          <w:lang w:val="es-ES"/>
        </w:rPr>
        <w:t>resulta</w:t>
      </w:r>
      <w:r w:rsidR="00EF1A3D">
        <w:rPr>
          <w:rFonts w:ascii="Arial Narrow" w:hAnsi="Arial Narrow" w:cs="Gisha"/>
          <w:b w:val="0"/>
          <w:color w:val="auto"/>
          <w:sz w:val="22"/>
          <w:szCs w:val="22"/>
          <w:lang w:val="es-ES"/>
        </w:rPr>
        <w:t>do</w:t>
      </w:r>
      <w:r>
        <w:rPr>
          <w:rFonts w:ascii="Arial Narrow" w:hAnsi="Arial Narrow" w:cs="Gisha"/>
          <w:b w:val="0"/>
          <w:color w:val="auto"/>
          <w:sz w:val="22"/>
          <w:szCs w:val="22"/>
          <w:lang w:val="es-ES"/>
        </w:rPr>
        <w:t xml:space="preserve"> de la reclasificación de la subcuenta otras cuentas por cobrar </w:t>
      </w:r>
      <w:r w:rsidR="0025067A">
        <w:rPr>
          <w:rFonts w:ascii="Arial Narrow" w:hAnsi="Arial Narrow" w:cs="Gisha"/>
          <w:b w:val="0"/>
          <w:color w:val="auto"/>
          <w:sz w:val="22"/>
          <w:szCs w:val="22"/>
          <w:lang w:val="es-ES"/>
        </w:rPr>
        <w:t>e igualmente por</w:t>
      </w:r>
      <w:r>
        <w:rPr>
          <w:rFonts w:ascii="Arial Narrow" w:hAnsi="Arial Narrow" w:cs="Gisha"/>
          <w:b w:val="0"/>
          <w:color w:val="auto"/>
          <w:sz w:val="22"/>
          <w:szCs w:val="22"/>
          <w:lang w:val="es-ES"/>
        </w:rPr>
        <w:t xml:space="preserve"> </w:t>
      </w:r>
      <w:r w:rsidR="00747789">
        <w:rPr>
          <w:rFonts w:ascii="Arial Narrow" w:hAnsi="Arial Narrow" w:cs="Gisha"/>
          <w:b w:val="0"/>
          <w:color w:val="auto"/>
          <w:sz w:val="22"/>
          <w:szCs w:val="22"/>
          <w:lang w:val="es-ES"/>
        </w:rPr>
        <w:t>los</w:t>
      </w:r>
      <w:r w:rsidRPr="00AD5D67">
        <w:rPr>
          <w:rFonts w:ascii="Arial Narrow" w:hAnsi="Arial Narrow" w:cs="Gisha"/>
          <w:b w:val="0"/>
          <w:color w:val="auto"/>
          <w:sz w:val="22"/>
          <w:szCs w:val="22"/>
          <w:lang w:val="es-ES"/>
        </w:rPr>
        <w:t xml:space="preserve"> recursos entregados por la Agencia en virtud de las obligaciones contractuales de las concesiones del modo carretero, lo anterior </w:t>
      </w:r>
      <w:r>
        <w:rPr>
          <w:rFonts w:ascii="Arial Narrow" w:hAnsi="Arial Narrow" w:cs="Gisha"/>
          <w:b w:val="0"/>
          <w:color w:val="auto"/>
          <w:sz w:val="22"/>
          <w:szCs w:val="22"/>
          <w:lang w:val="es-ES"/>
        </w:rPr>
        <w:t>en</w:t>
      </w:r>
      <w:r w:rsidRPr="00AD5D67">
        <w:rPr>
          <w:rFonts w:ascii="Arial Narrow" w:hAnsi="Arial Narrow" w:cs="Gisha"/>
          <w:b w:val="0"/>
          <w:color w:val="auto"/>
          <w:sz w:val="22"/>
          <w:szCs w:val="22"/>
          <w:lang w:val="es-ES"/>
        </w:rPr>
        <w:t xml:space="preserve"> cumplimiento al numeral 2 del artículo 6 de la Resolución 602 del 13 de diciembre de 2018, mediante la cual se incorporó al Marco Normativo</w:t>
      </w:r>
      <w:r>
        <w:rPr>
          <w:rFonts w:ascii="Arial Narrow" w:hAnsi="Arial Narrow" w:cs="Gisha"/>
          <w:b w:val="0"/>
          <w:color w:val="auto"/>
          <w:sz w:val="22"/>
          <w:szCs w:val="22"/>
          <w:lang w:val="es-ES"/>
        </w:rPr>
        <w:t xml:space="preserve"> para Entidades de Gobierno</w:t>
      </w:r>
      <w:r w:rsidRPr="00AD5D67">
        <w:rPr>
          <w:rFonts w:ascii="Arial Narrow" w:hAnsi="Arial Narrow" w:cs="Gisha"/>
          <w:b w:val="0"/>
          <w:color w:val="auto"/>
          <w:sz w:val="22"/>
          <w:szCs w:val="22"/>
          <w:lang w:val="es-ES"/>
        </w:rPr>
        <w:t xml:space="preserve">, el </w:t>
      </w:r>
      <w:r>
        <w:rPr>
          <w:rFonts w:ascii="Arial Narrow" w:hAnsi="Arial Narrow" w:cs="Gisha"/>
          <w:b w:val="0"/>
          <w:color w:val="auto"/>
          <w:sz w:val="22"/>
          <w:szCs w:val="22"/>
          <w:lang w:val="es-ES"/>
        </w:rPr>
        <w:t>p</w:t>
      </w:r>
      <w:r w:rsidRPr="00AD5D67">
        <w:rPr>
          <w:rFonts w:ascii="Arial Narrow" w:hAnsi="Arial Narrow" w:cs="Gisha"/>
          <w:b w:val="0"/>
          <w:color w:val="auto"/>
          <w:sz w:val="22"/>
          <w:szCs w:val="22"/>
          <w:lang w:val="es-ES"/>
        </w:rPr>
        <w:t xml:space="preserve">rocedimiento contable para el registro de los hechos </w:t>
      </w:r>
      <w:r>
        <w:rPr>
          <w:rFonts w:ascii="Arial Narrow" w:hAnsi="Arial Narrow" w:cs="Gisha"/>
          <w:b w:val="0"/>
          <w:color w:val="auto"/>
          <w:sz w:val="22"/>
          <w:szCs w:val="22"/>
          <w:lang w:val="es-ES"/>
        </w:rPr>
        <w:t xml:space="preserve">económicos </w:t>
      </w:r>
      <w:r w:rsidRPr="00AD5D67">
        <w:rPr>
          <w:rFonts w:ascii="Arial Narrow" w:hAnsi="Arial Narrow" w:cs="Gisha"/>
          <w:b w:val="0"/>
          <w:color w:val="auto"/>
          <w:sz w:val="22"/>
          <w:szCs w:val="22"/>
          <w:lang w:val="es-ES"/>
        </w:rPr>
        <w:t>relacionados con los acuerdos de concesión</w:t>
      </w:r>
      <w:r>
        <w:rPr>
          <w:rFonts w:ascii="Arial Narrow" w:hAnsi="Arial Narrow" w:cs="Gisha"/>
          <w:b w:val="0"/>
          <w:color w:val="auto"/>
          <w:sz w:val="22"/>
          <w:szCs w:val="22"/>
          <w:lang w:val="es-ES"/>
        </w:rPr>
        <w:t xml:space="preserve"> de infraestructura de transporte.</w:t>
      </w:r>
    </w:p>
    <w:p w14:paraId="3CC1976A" w14:textId="77777777" w:rsidR="00FD45E8" w:rsidRDefault="00FD45E8" w:rsidP="002852E6">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color w:val="auto"/>
          <w:sz w:val="22"/>
          <w:szCs w:val="22"/>
          <w:lang w:val="es-ES"/>
        </w:rPr>
      </w:pPr>
    </w:p>
    <w:p w14:paraId="0362B232" w14:textId="5F94B453" w:rsidR="00A67F7F" w:rsidRDefault="00A67F7F" w:rsidP="00385252">
      <w:pPr>
        <w:pStyle w:val="Textoindependiente2"/>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color w:val="auto"/>
          <w:sz w:val="22"/>
          <w:szCs w:val="22"/>
          <w:lang w:val="es-ES"/>
        </w:rPr>
      </w:pPr>
      <w:r>
        <w:rPr>
          <w:rFonts w:ascii="Arial Narrow" w:hAnsi="Arial Narrow" w:cs="Gisha"/>
          <w:color w:val="auto"/>
          <w:sz w:val="22"/>
          <w:szCs w:val="22"/>
          <w:lang w:val="es-ES"/>
        </w:rPr>
        <w:t xml:space="preserve">Propiedades, </w:t>
      </w:r>
      <w:r w:rsidR="00016390">
        <w:rPr>
          <w:rFonts w:ascii="Arial Narrow" w:hAnsi="Arial Narrow" w:cs="Gisha"/>
          <w:color w:val="auto"/>
          <w:sz w:val="22"/>
          <w:szCs w:val="22"/>
          <w:lang w:val="es-ES"/>
        </w:rPr>
        <w:t>P</w:t>
      </w:r>
      <w:r>
        <w:rPr>
          <w:rFonts w:ascii="Arial Narrow" w:hAnsi="Arial Narrow" w:cs="Gisha"/>
          <w:color w:val="auto"/>
          <w:sz w:val="22"/>
          <w:szCs w:val="22"/>
          <w:lang w:val="es-ES"/>
        </w:rPr>
        <w:t xml:space="preserve">lanta y </w:t>
      </w:r>
      <w:r w:rsidR="00016390">
        <w:rPr>
          <w:rFonts w:ascii="Arial Narrow" w:hAnsi="Arial Narrow" w:cs="Gisha"/>
          <w:color w:val="auto"/>
          <w:sz w:val="22"/>
          <w:szCs w:val="22"/>
          <w:lang w:val="es-ES"/>
        </w:rPr>
        <w:t>E</w:t>
      </w:r>
      <w:r>
        <w:rPr>
          <w:rFonts w:ascii="Arial Narrow" w:hAnsi="Arial Narrow" w:cs="Gisha"/>
          <w:color w:val="auto"/>
          <w:sz w:val="22"/>
          <w:szCs w:val="22"/>
          <w:lang w:val="es-ES"/>
        </w:rPr>
        <w:t>quipo</w:t>
      </w:r>
    </w:p>
    <w:p w14:paraId="66D6BEA0" w14:textId="77777777" w:rsidR="00A812A2" w:rsidRDefault="00A812A2" w:rsidP="00A812A2">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color w:val="auto"/>
          <w:sz w:val="22"/>
          <w:szCs w:val="22"/>
          <w:lang w:val="es-ES"/>
        </w:rPr>
      </w:pPr>
    </w:p>
    <w:p w14:paraId="44CB72B3" w14:textId="76F1AFC9" w:rsidR="00251556" w:rsidRPr="00DD47D8" w:rsidRDefault="00C22D50" w:rsidP="002A028A">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b w:val="0"/>
          <w:sz w:val="22"/>
          <w:szCs w:val="22"/>
        </w:rPr>
      </w:pPr>
      <w:r>
        <w:rPr>
          <w:rFonts w:ascii="Arial Narrow" w:hAnsi="Arial Narrow"/>
          <w:b w:val="0"/>
          <w:sz w:val="22"/>
          <w:szCs w:val="22"/>
        </w:rPr>
        <w:lastRenderedPageBreak/>
        <w:t xml:space="preserve">El </w:t>
      </w:r>
      <w:r w:rsidRPr="002F7E0C">
        <w:rPr>
          <w:rFonts w:ascii="Arial Narrow" w:hAnsi="Arial Narrow"/>
          <w:b w:val="0"/>
          <w:sz w:val="22"/>
          <w:szCs w:val="22"/>
        </w:rPr>
        <w:t xml:space="preserve">incremento </w:t>
      </w:r>
      <w:r>
        <w:rPr>
          <w:rFonts w:ascii="Arial Narrow" w:hAnsi="Arial Narrow"/>
          <w:b w:val="0"/>
          <w:sz w:val="22"/>
          <w:szCs w:val="22"/>
        </w:rPr>
        <w:t>registrado del año 2019 frente a</w:t>
      </w:r>
      <w:r w:rsidR="00391865">
        <w:rPr>
          <w:rFonts w:ascii="Arial Narrow" w:hAnsi="Arial Narrow"/>
          <w:b w:val="0"/>
          <w:sz w:val="22"/>
          <w:szCs w:val="22"/>
        </w:rPr>
        <w:t>l</w:t>
      </w:r>
      <w:r>
        <w:rPr>
          <w:rFonts w:ascii="Arial Narrow" w:hAnsi="Arial Narrow"/>
          <w:b w:val="0"/>
          <w:sz w:val="22"/>
          <w:szCs w:val="22"/>
        </w:rPr>
        <w:t xml:space="preserve"> año 201</w:t>
      </w:r>
      <w:r w:rsidR="00391865">
        <w:rPr>
          <w:rFonts w:ascii="Arial Narrow" w:hAnsi="Arial Narrow"/>
          <w:b w:val="0"/>
          <w:sz w:val="22"/>
          <w:szCs w:val="22"/>
        </w:rPr>
        <w:t>8</w:t>
      </w:r>
      <w:r>
        <w:rPr>
          <w:rFonts w:ascii="Arial Narrow" w:hAnsi="Arial Narrow"/>
          <w:b w:val="0"/>
          <w:sz w:val="22"/>
          <w:szCs w:val="22"/>
        </w:rPr>
        <w:t xml:space="preserve"> </w:t>
      </w:r>
      <w:r w:rsidRPr="002F7E0C">
        <w:rPr>
          <w:rFonts w:ascii="Arial Narrow" w:hAnsi="Arial Narrow"/>
          <w:b w:val="0"/>
          <w:sz w:val="22"/>
          <w:szCs w:val="22"/>
        </w:rPr>
        <w:t>por valor de $1.8</w:t>
      </w:r>
      <w:r w:rsidR="005F0F7E">
        <w:rPr>
          <w:rFonts w:ascii="Arial Narrow" w:hAnsi="Arial Narrow"/>
          <w:b w:val="0"/>
          <w:sz w:val="22"/>
          <w:szCs w:val="22"/>
        </w:rPr>
        <w:t>90</w:t>
      </w:r>
      <w:r w:rsidRPr="002F7E0C">
        <w:rPr>
          <w:rFonts w:ascii="Arial Narrow" w:hAnsi="Arial Narrow"/>
          <w:b w:val="0"/>
          <w:sz w:val="22"/>
          <w:szCs w:val="22"/>
        </w:rPr>
        <w:t>.</w:t>
      </w:r>
      <w:r w:rsidR="00812955">
        <w:rPr>
          <w:rFonts w:ascii="Arial Narrow" w:hAnsi="Arial Narrow"/>
          <w:b w:val="0"/>
          <w:sz w:val="22"/>
          <w:szCs w:val="22"/>
        </w:rPr>
        <w:t>877</w:t>
      </w:r>
      <w:r w:rsidRPr="002F7E0C">
        <w:rPr>
          <w:rFonts w:ascii="Arial Narrow" w:hAnsi="Arial Narrow"/>
          <w:b w:val="0"/>
          <w:sz w:val="22"/>
          <w:szCs w:val="22"/>
        </w:rPr>
        <w:t>.</w:t>
      </w:r>
      <w:r w:rsidR="00812955">
        <w:rPr>
          <w:rFonts w:ascii="Arial Narrow" w:hAnsi="Arial Narrow"/>
          <w:b w:val="0"/>
          <w:sz w:val="22"/>
          <w:szCs w:val="22"/>
        </w:rPr>
        <w:t>310</w:t>
      </w:r>
      <w:r w:rsidRPr="002F7E0C">
        <w:rPr>
          <w:rFonts w:ascii="Arial Narrow" w:hAnsi="Arial Narrow"/>
          <w:b w:val="0"/>
          <w:sz w:val="22"/>
          <w:szCs w:val="22"/>
        </w:rPr>
        <w:t xml:space="preserve"> miles en </w:t>
      </w:r>
      <w:r w:rsidR="00360DBC">
        <w:rPr>
          <w:rFonts w:ascii="Arial Narrow" w:hAnsi="Arial Narrow"/>
          <w:b w:val="0"/>
          <w:sz w:val="22"/>
          <w:szCs w:val="22"/>
        </w:rPr>
        <w:t>el grupo</w:t>
      </w:r>
      <w:r w:rsidRPr="002F7E0C">
        <w:rPr>
          <w:rFonts w:ascii="Arial Narrow" w:hAnsi="Arial Narrow"/>
          <w:b w:val="0"/>
          <w:sz w:val="22"/>
          <w:szCs w:val="22"/>
        </w:rPr>
        <w:t xml:space="preserve"> Propiedades, Planta y Equipo</w:t>
      </w:r>
      <w:r>
        <w:rPr>
          <w:rFonts w:ascii="Arial Narrow" w:hAnsi="Arial Narrow"/>
          <w:b w:val="0"/>
          <w:sz w:val="22"/>
          <w:szCs w:val="22"/>
        </w:rPr>
        <w:t xml:space="preserve"> obedece principalmente </w:t>
      </w:r>
      <w:r w:rsidR="00A66011">
        <w:rPr>
          <w:rFonts w:ascii="Arial Narrow" w:hAnsi="Arial Narrow"/>
          <w:b w:val="0"/>
          <w:sz w:val="22"/>
          <w:szCs w:val="22"/>
        </w:rPr>
        <w:t xml:space="preserve">a </w:t>
      </w:r>
      <w:r w:rsidR="002A028A">
        <w:rPr>
          <w:rFonts w:ascii="Arial Narrow" w:hAnsi="Arial Narrow"/>
          <w:b w:val="0"/>
          <w:sz w:val="22"/>
          <w:szCs w:val="22"/>
        </w:rPr>
        <w:t>u</w:t>
      </w:r>
      <w:r w:rsidR="00C37766">
        <w:rPr>
          <w:rFonts w:ascii="Arial Narrow" w:hAnsi="Arial Narrow"/>
          <w:b w:val="0"/>
          <w:sz w:val="22"/>
          <w:szCs w:val="22"/>
        </w:rPr>
        <w:t>n incremento neto</w:t>
      </w:r>
      <w:r w:rsidR="00103FBB">
        <w:rPr>
          <w:rFonts w:ascii="Arial Narrow" w:hAnsi="Arial Narrow"/>
          <w:b w:val="0"/>
          <w:sz w:val="22"/>
          <w:szCs w:val="22"/>
        </w:rPr>
        <w:t xml:space="preserve"> en la cuenta </w:t>
      </w:r>
      <w:r w:rsidR="00103FBB" w:rsidRPr="00103FBB">
        <w:rPr>
          <w:rFonts w:ascii="Arial Narrow" w:hAnsi="Arial Narrow"/>
          <w:b w:val="0"/>
          <w:sz w:val="22"/>
          <w:szCs w:val="22"/>
        </w:rPr>
        <w:t>Propiedades, planta y equipo en concesión</w:t>
      </w:r>
      <w:r w:rsidR="00C37766">
        <w:rPr>
          <w:rFonts w:ascii="Arial Narrow" w:hAnsi="Arial Narrow"/>
          <w:b w:val="0"/>
          <w:sz w:val="22"/>
          <w:szCs w:val="22"/>
        </w:rPr>
        <w:t xml:space="preserve"> de $</w:t>
      </w:r>
      <w:r w:rsidR="00C37766" w:rsidRPr="002F7E0C">
        <w:rPr>
          <w:rFonts w:ascii="Arial Narrow" w:hAnsi="Arial Narrow"/>
          <w:b w:val="0"/>
          <w:sz w:val="22"/>
          <w:szCs w:val="22"/>
        </w:rPr>
        <w:t xml:space="preserve"> </w:t>
      </w:r>
      <w:r w:rsidR="00042954">
        <w:rPr>
          <w:rFonts w:ascii="Arial Narrow" w:hAnsi="Arial Narrow"/>
          <w:b w:val="0"/>
          <w:sz w:val="22"/>
          <w:szCs w:val="22"/>
        </w:rPr>
        <w:t>1.89</w:t>
      </w:r>
      <w:r w:rsidR="00103FBB">
        <w:rPr>
          <w:rFonts w:ascii="Arial Narrow" w:hAnsi="Arial Narrow"/>
          <w:b w:val="0"/>
          <w:sz w:val="22"/>
          <w:szCs w:val="22"/>
        </w:rPr>
        <w:t>2</w:t>
      </w:r>
      <w:r w:rsidR="00042954">
        <w:rPr>
          <w:rFonts w:ascii="Arial Narrow" w:hAnsi="Arial Narrow"/>
          <w:b w:val="0"/>
          <w:sz w:val="22"/>
          <w:szCs w:val="22"/>
        </w:rPr>
        <w:t>.</w:t>
      </w:r>
      <w:r w:rsidR="00103FBB">
        <w:rPr>
          <w:rFonts w:ascii="Arial Narrow" w:hAnsi="Arial Narrow"/>
          <w:b w:val="0"/>
          <w:sz w:val="22"/>
          <w:szCs w:val="22"/>
        </w:rPr>
        <w:t>592</w:t>
      </w:r>
      <w:r w:rsidR="00042954">
        <w:rPr>
          <w:rFonts w:ascii="Arial Narrow" w:hAnsi="Arial Narrow"/>
          <w:b w:val="0"/>
          <w:sz w:val="22"/>
          <w:szCs w:val="22"/>
        </w:rPr>
        <w:t>.</w:t>
      </w:r>
      <w:r w:rsidR="00103FBB">
        <w:rPr>
          <w:rFonts w:ascii="Arial Narrow" w:hAnsi="Arial Narrow"/>
          <w:b w:val="0"/>
          <w:sz w:val="22"/>
          <w:szCs w:val="22"/>
        </w:rPr>
        <w:t>121</w:t>
      </w:r>
      <w:r w:rsidR="00C37766">
        <w:rPr>
          <w:rFonts w:ascii="Arial Narrow" w:hAnsi="Arial Narrow"/>
          <w:b w:val="0"/>
          <w:sz w:val="22"/>
          <w:szCs w:val="22"/>
        </w:rPr>
        <w:t xml:space="preserve"> miles, por r</w:t>
      </w:r>
      <w:r w:rsidR="00C37766" w:rsidRPr="002F7E0C">
        <w:rPr>
          <w:rFonts w:ascii="Arial Narrow" w:hAnsi="Arial Narrow"/>
          <w:b w:val="0"/>
          <w:sz w:val="22"/>
          <w:szCs w:val="22"/>
        </w:rPr>
        <w:t xml:space="preserve">eclasificaciones de la cuenta Bienes de Uso Público en servicio </w:t>
      </w:r>
      <w:r w:rsidR="00042954">
        <w:rPr>
          <w:rFonts w:ascii="Arial Narrow" w:hAnsi="Arial Narrow"/>
          <w:b w:val="0"/>
          <w:sz w:val="22"/>
          <w:szCs w:val="22"/>
        </w:rPr>
        <w:t xml:space="preserve">concesiones </w:t>
      </w:r>
      <w:r w:rsidR="00C37766" w:rsidRPr="002F7E0C">
        <w:rPr>
          <w:rFonts w:ascii="Arial Narrow" w:hAnsi="Arial Narrow"/>
          <w:b w:val="0"/>
          <w:sz w:val="22"/>
          <w:szCs w:val="22"/>
        </w:rPr>
        <w:t>-</w:t>
      </w:r>
      <w:r w:rsidR="00042954">
        <w:rPr>
          <w:rFonts w:ascii="Arial Narrow" w:hAnsi="Arial Narrow"/>
          <w:b w:val="0"/>
          <w:sz w:val="22"/>
          <w:szCs w:val="22"/>
        </w:rPr>
        <w:t xml:space="preserve"> </w:t>
      </w:r>
      <w:r w:rsidR="00C37766" w:rsidRPr="002F7E0C">
        <w:rPr>
          <w:rFonts w:ascii="Arial Narrow" w:hAnsi="Arial Narrow"/>
          <w:b w:val="0"/>
          <w:sz w:val="22"/>
          <w:szCs w:val="22"/>
        </w:rPr>
        <w:t>Red marítima a la cuenta Propiedades, planta y equipo en concesión, subcuentas:</w:t>
      </w:r>
      <w:r w:rsidR="00042954">
        <w:rPr>
          <w:rFonts w:ascii="Arial Narrow" w:hAnsi="Arial Narrow"/>
          <w:b w:val="0"/>
          <w:sz w:val="22"/>
          <w:szCs w:val="22"/>
        </w:rPr>
        <w:t xml:space="preserve"> </w:t>
      </w:r>
      <w:r w:rsidR="00C37766" w:rsidRPr="002F7E0C">
        <w:rPr>
          <w:rFonts w:ascii="Arial Narrow" w:hAnsi="Arial Narrow"/>
          <w:b w:val="0"/>
          <w:sz w:val="22"/>
          <w:szCs w:val="22"/>
        </w:rPr>
        <w:t>Maquinaria y equipo,</w:t>
      </w:r>
      <w:r w:rsidR="007B3BE7">
        <w:rPr>
          <w:rFonts w:ascii="Arial Narrow" w:hAnsi="Arial Narrow"/>
          <w:b w:val="0"/>
          <w:sz w:val="22"/>
          <w:szCs w:val="22"/>
        </w:rPr>
        <w:t xml:space="preserve"> </w:t>
      </w:r>
      <w:r w:rsidR="001960E9">
        <w:rPr>
          <w:rFonts w:ascii="Arial Narrow" w:hAnsi="Arial Narrow"/>
          <w:b w:val="0"/>
          <w:sz w:val="22"/>
          <w:szCs w:val="22"/>
        </w:rPr>
        <w:t xml:space="preserve">Equipos de comunicación y computación, </w:t>
      </w:r>
      <w:r w:rsidR="00C37766" w:rsidRPr="002F7E0C">
        <w:rPr>
          <w:rFonts w:ascii="Arial Narrow" w:hAnsi="Arial Narrow"/>
          <w:b w:val="0"/>
          <w:sz w:val="22"/>
          <w:szCs w:val="22"/>
        </w:rPr>
        <w:t>Equipos de transporte, tracción y elevación</w:t>
      </w:r>
      <w:r w:rsidR="00F161DD">
        <w:rPr>
          <w:rFonts w:ascii="Arial Narrow" w:hAnsi="Arial Narrow"/>
          <w:b w:val="0"/>
          <w:sz w:val="22"/>
          <w:szCs w:val="22"/>
        </w:rPr>
        <w:t xml:space="preserve"> y </w:t>
      </w:r>
      <w:r w:rsidR="00741E7B">
        <w:rPr>
          <w:rFonts w:ascii="Arial Narrow" w:hAnsi="Arial Narrow"/>
          <w:b w:val="0"/>
          <w:sz w:val="22"/>
          <w:szCs w:val="22"/>
        </w:rPr>
        <w:t>las</w:t>
      </w:r>
      <w:r w:rsidR="00C37766">
        <w:rPr>
          <w:rFonts w:ascii="Arial Narrow" w:hAnsi="Arial Narrow"/>
          <w:b w:val="0"/>
          <w:sz w:val="22"/>
          <w:szCs w:val="22"/>
        </w:rPr>
        <w:t xml:space="preserve"> </w:t>
      </w:r>
      <w:r w:rsidR="00C37766" w:rsidRPr="002F7E0C">
        <w:rPr>
          <w:rFonts w:ascii="Arial Narrow" w:hAnsi="Arial Narrow"/>
          <w:b w:val="0"/>
          <w:sz w:val="22"/>
          <w:szCs w:val="22"/>
        </w:rPr>
        <w:t>actualiza</w:t>
      </w:r>
      <w:r w:rsidR="00C37766">
        <w:rPr>
          <w:rFonts w:ascii="Arial Narrow" w:hAnsi="Arial Narrow"/>
          <w:b w:val="0"/>
          <w:sz w:val="22"/>
          <w:szCs w:val="22"/>
        </w:rPr>
        <w:t xml:space="preserve">ciones </w:t>
      </w:r>
      <w:r w:rsidR="00251556">
        <w:rPr>
          <w:rFonts w:ascii="Arial Narrow" w:hAnsi="Arial Narrow"/>
          <w:b w:val="0"/>
          <w:sz w:val="22"/>
          <w:szCs w:val="22"/>
        </w:rPr>
        <w:t>de</w:t>
      </w:r>
      <w:r w:rsidR="00251556" w:rsidRPr="002F7E0C">
        <w:rPr>
          <w:rFonts w:ascii="Arial Narrow" w:hAnsi="Arial Narrow"/>
          <w:b w:val="0"/>
          <w:sz w:val="22"/>
          <w:szCs w:val="22"/>
        </w:rPr>
        <w:t xml:space="preserve"> la inversión realizada por las concesiones portuaria</w:t>
      </w:r>
      <w:r w:rsidR="00251556">
        <w:rPr>
          <w:rFonts w:ascii="Arial Narrow" w:hAnsi="Arial Narrow"/>
          <w:b w:val="0"/>
          <w:sz w:val="22"/>
          <w:szCs w:val="22"/>
        </w:rPr>
        <w:t xml:space="preserve">s y </w:t>
      </w:r>
      <w:r w:rsidR="00C37766">
        <w:rPr>
          <w:rFonts w:ascii="Arial Narrow" w:hAnsi="Arial Narrow"/>
          <w:b w:val="0"/>
          <w:sz w:val="22"/>
          <w:szCs w:val="22"/>
        </w:rPr>
        <w:t>registrada</w:t>
      </w:r>
      <w:r w:rsidR="00251556">
        <w:rPr>
          <w:rFonts w:ascii="Arial Narrow" w:hAnsi="Arial Narrow"/>
          <w:b w:val="0"/>
          <w:sz w:val="22"/>
          <w:szCs w:val="22"/>
        </w:rPr>
        <w:t xml:space="preserve">s </w:t>
      </w:r>
      <w:r w:rsidR="00C37766">
        <w:rPr>
          <w:rFonts w:ascii="Arial Narrow" w:hAnsi="Arial Narrow"/>
          <w:b w:val="0"/>
          <w:sz w:val="22"/>
          <w:szCs w:val="22"/>
        </w:rPr>
        <w:t>en estas subcuentas</w:t>
      </w:r>
      <w:r w:rsidR="00251556">
        <w:rPr>
          <w:rFonts w:ascii="Arial Narrow" w:hAnsi="Arial Narrow"/>
          <w:b w:val="0"/>
          <w:sz w:val="22"/>
          <w:szCs w:val="22"/>
        </w:rPr>
        <w:t xml:space="preserve"> según formato </w:t>
      </w:r>
      <w:r w:rsidR="00251556" w:rsidRPr="00C22D50">
        <w:rPr>
          <w:rFonts w:ascii="Arial Narrow" w:hAnsi="Arial Narrow" w:cs="Gisha"/>
          <w:b w:val="0"/>
          <w:color w:val="auto"/>
          <w:sz w:val="22"/>
          <w:szCs w:val="22"/>
          <w:lang w:val="es-ES"/>
        </w:rPr>
        <w:t>GCSP-F011 “INFORME DE INVERSIÓN DE CAPITAL PRIVADO EN BIENES DE USO PÚBLICO DEL MODO PORTUARIO SEGÚN EL MARCO NORMATIVO PARA ENTIDADES DEL GOBIERNO”</w:t>
      </w:r>
      <w:r w:rsidR="00741E7B">
        <w:rPr>
          <w:rFonts w:ascii="Arial Narrow" w:hAnsi="Arial Narrow" w:cs="Gisha"/>
          <w:b w:val="0"/>
          <w:color w:val="auto"/>
          <w:sz w:val="22"/>
          <w:szCs w:val="22"/>
          <w:lang w:val="es-ES"/>
        </w:rPr>
        <w:t>.</w:t>
      </w:r>
    </w:p>
    <w:p w14:paraId="4BFC0B7A" w14:textId="77777777" w:rsidR="00DD47D8" w:rsidRPr="007662F2" w:rsidRDefault="00DD47D8" w:rsidP="00DD47D8">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20"/>
        <w:rPr>
          <w:rFonts w:ascii="Arial Narrow" w:hAnsi="Arial Narrow" w:cs="Gisha"/>
          <w:b w:val="0"/>
          <w:color w:val="auto"/>
          <w:sz w:val="16"/>
          <w:szCs w:val="16"/>
          <w:lang w:val="es-ES"/>
        </w:rPr>
      </w:pPr>
    </w:p>
    <w:p w14:paraId="1F5127FB" w14:textId="1AE18181" w:rsidR="00480DE4" w:rsidRPr="00C22D50" w:rsidRDefault="00597DA2" w:rsidP="002A028A">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color w:val="auto"/>
          <w:sz w:val="22"/>
          <w:szCs w:val="22"/>
          <w:lang w:val="es-ES"/>
        </w:rPr>
      </w:pPr>
      <w:r>
        <w:rPr>
          <w:rFonts w:ascii="Arial Narrow" w:hAnsi="Arial Narrow" w:cs="Gisha"/>
          <w:b w:val="0"/>
          <w:color w:val="auto"/>
          <w:sz w:val="22"/>
          <w:szCs w:val="22"/>
          <w:lang w:val="es-ES"/>
        </w:rPr>
        <w:t xml:space="preserve">Es importante resaltar que </w:t>
      </w:r>
      <w:r w:rsidR="00B77101">
        <w:rPr>
          <w:rFonts w:ascii="Arial Narrow" w:hAnsi="Arial Narrow" w:cs="Gisha"/>
          <w:b w:val="0"/>
          <w:color w:val="auto"/>
          <w:sz w:val="22"/>
          <w:szCs w:val="22"/>
          <w:lang w:val="es-ES"/>
        </w:rPr>
        <w:t xml:space="preserve">como </w:t>
      </w:r>
      <w:r w:rsidR="00480DE4">
        <w:rPr>
          <w:rFonts w:ascii="Arial Narrow" w:hAnsi="Arial Narrow" w:cs="Gisha"/>
          <w:b w:val="0"/>
          <w:color w:val="auto"/>
          <w:sz w:val="22"/>
          <w:szCs w:val="22"/>
          <w:lang w:val="es-ES"/>
        </w:rPr>
        <w:t>parte de las actividades que adelanta la Agencia Nacional de Infraestructura en observancia a</w:t>
      </w:r>
      <w:r w:rsidR="00480DE4" w:rsidRPr="00C22D50">
        <w:rPr>
          <w:rFonts w:ascii="Arial Narrow" w:hAnsi="Arial Narrow" w:cs="Gisha"/>
          <w:b w:val="0"/>
          <w:color w:val="auto"/>
          <w:sz w:val="22"/>
          <w:szCs w:val="22"/>
          <w:lang w:val="es-ES"/>
        </w:rPr>
        <w:t>l Plan de Trabajo remitido a la Contaduría General de la Nación</w:t>
      </w:r>
      <w:r w:rsidR="00E12177">
        <w:rPr>
          <w:rFonts w:ascii="Arial Narrow" w:hAnsi="Arial Narrow" w:cs="Gisha"/>
          <w:b w:val="0"/>
          <w:color w:val="auto"/>
          <w:sz w:val="22"/>
          <w:szCs w:val="22"/>
          <w:lang w:val="es-ES"/>
        </w:rPr>
        <w:t>,</w:t>
      </w:r>
      <w:r w:rsidR="00480DE4" w:rsidRPr="00C22D50">
        <w:rPr>
          <w:rFonts w:ascii="Arial Narrow" w:hAnsi="Arial Narrow" w:cs="Gisha"/>
          <w:b w:val="0"/>
          <w:color w:val="auto"/>
          <w:sz w:val="22"/>
          <w:szCs w:val="22"/>
          <w:lang w:val="es-ES"/>
        </w:rPr>
        <w:t xml:space="preserve"> el 1 de agosto de 2018</w:t>
      </w:r>
      <w:r w:rsidR="00E12177">
        <w:rPr>
          <w:rFonts w:ascii="Arial Narrow" w:hAnsi="Arial Narrow" w:cs="Gisha"/>
          <w:b w:val="0"/>
          <w:color w:val="auto"/>
          <w:sz w:val="22"/>
          <w:szCs w:val="22"/>
          <w:lang w:val="es-ES"/>
        </w:rPr>
        <w:t xml:space="preserve"> </w:t>
      </w:r>
      <w:r w:rsidR="00480DE4">
        <w:rPr>
          <w:rFonts w:ascii="Arial Narrow" w:hAnsi="Arial Narrow" w:cs="Gisha"/>
          <w:b w:val="0"/>
          <w:color w:val="auto"/>
          <w:sz w:val="22"/>
          <w:szCs w:val="22"/>
          <w:lang w:val="es-ES"/>
        </w:rPr>
        <w:t xml:space="preserve">para dar </w:t>
      </w:r>
      <w:r w:rsidR="00480DE4" w:rsidRPr="00C22D50">
        <w:rPr>
          <w:rFonts w:ascii="Arial Narrow" w:hAnsi="Arial Narrow" w:cs="Gisha"/>
          <w:b w:val="0"/>
          <w:color w:val="auto"/>
          <w:sz w:val="22"/>
          <w:szCs w:val="22"/>
          <w:lang w:val="es-ES"/>
        </w:rPr>
        <w:t xml:space="preserve">cumplimiento </w:t>
      </w:r>
      <w:r w:rsidR="00480DE4">
        <w:rPr>
          <w:rFonts w:ascii="Arial Narrow" w:hAnsi="Arial Narrow" w:cs="Gisha"/>
          <w:b w:val="0"/>
          <w:color w:val="auto"/>
          <w:sz w:val="22"/>
          <w:szCs w:val="22"/>
          <w:lang w:val="es-ES"/>
        </w:rPr>
        <w:t xml:space="preserve">al </w:t>
      </w:r>
      <w:r w:rsidR="00480DE4" w:rsidRPr="00C22D50">
        <w:rPr>
          <w:rFonts w:ascii="Arial Narrow" w:hAnsi="Arial Narrow" w:cs="Gisha"/>
          <w:b w:val="0"/>
          <w:color w:val="auto"/>
          <w:sz w:val="22"/>
          <w:szCs w:val="22"/>
          <w:lang w:val="es-ES"/>
        </w:rPr>
        <w:t>Nuevo Marco Normativo para Entidades de Gobierno – Norma de concesiones</w:t>
      </w:r>
      <w:r w:rsidR="00480DE4">
        <w:rPr>
          <w:rFonts w:ascii="Arial Narrow" w:hAnsi="Arial Narrow" w:cs="Gisha"/>
          <w:b w:val="0"/>
          <w:color w:val="auto"/>
          <w:sz w:val="22"/>
          <w:szCs w:val="22"/>
          <w:lang w:val="es-ES"/>
        </w:rPr>
        <w:t xml:space="preserve">, se modificó </w:t>
      </w:r>
      <w:r>
        <w:rPr>
          <w:rFonts w:ascii="Arial Narrow" w:hAnsi="Arial Narrow" w:cs="Gisha"/>
          <w:b w:val="0"/>
          <w:color w:val="auto"/>
          <w:sz w:val="22"/>
          <w:szCs w:val="22"/>
          <w:lang w:val="es-ES"/>
        </w:rPr>
        <w:t>p</w:t>
      </w:r>
      <w:r w:rsidR="00DD47D8">
        <w:rPr>
          <w:rFonts w:ascii="Arial Narrow" w:hAnsi="Arial Narrow" w:cs="Gisha"/>
          <w:b w:val="0"/>
          <w:color w:val="auto"/>
          <w:sz w:val="22"/>
          <w:szCs w:val="22"/>
          <w:lang w:val="es-ES"/>
        </w:rPr>
        <w:t xml:space="preserve">ara el </w:t>
      </w:r>
      <w:r w:rsidR="005D292A">
        <w:rPr>
          <w:rFonts w:ascii="Arial Narrow" w:hAnsi="Arial Narrow" w:cs="Gisha"/>
          <w:b w:val="0"/>
          <w:color w:val="auto"/>
          <w:sz w:val="22"/>
          <w:szCs w:val="22"/>
          <w:lang w:val="es-ES"/>
        </w:rPr>
        <w:t xml:space="preserve">reporte de información del </w:t>
      </w:r>
      <w:r w:rsidR="00DD47D8">
        <w:rPr>
          <w:rFonts w:ascii="Arial Narrow" w:hAnsi="Arial Narrow" w:cs="Gisha"/>
          <w:b w:val="0"/>
          <w:color w:val="auto"/>
          <w:sz w:val="22"/>
          <w:szCs w:val="22"/>
          <w:lang w:val="es-ES"/>
        </w:rPr>
        <w:t xml:space="preserve">primer semestre de 2019 </w:t>
      </w:r>
      <w:r w:rsidR="009B5511">
        <w:rPr>
          <w:rFonts w:ascii="Arial Narrow" w:hAnsi="Arial Narrow" w:cs="Gisha"/>
          <w:b w:val="0"/>
          <w:color w:val="auto"/>
          <w:sz w:val="22"/>
          <w:szCs w:val="22"/>
          <w:lang w:val="es-ES"/>
        </w:rPr>
        <w:t xml:space="preserve">el </w:t>
      </w:r>
      <w:r w:rsidR="00576F86">
        <w:rPr>
          <w:rFonts w:ascii="Arial Narrow" w:hAnsi="Arial Narrow" w:cs="Gisha"/>
          <w:b w:val="0"/>
          <w:color w:val="auto"/>
          <w:sz w:val="22"/>
          <w:szCs w:val="22"/>
          <w:lang w:val="es-ES"/>
        </w:rPr>
        <w:t xml:space="preserve">formato </w:t>
      </w:r>
      <w:r w:rsidR="00DD47D8" w:rsidRPr="00C22D50">
        <w:rPr>
          <w:rFonts w:ascii="Arial Narrow" w:hAnsi="Arial Narrow" w:cs="Gisha"/>
          <w:b w:val="0"/>
          <w:color w:val="auto"/>
          <w:sz w:val="22"/>
          <w:szCs w:val="22"/>
          <w:lang w:val="es-ES"/>
        </w:rPr>
        <w:t>GCSP-F011</w:t>
      </w:r>
      <w:r w:rsidR="009B5511">
        <w:rPr>
          <w:rFonts w:ascii="Arial Narrow" w:hAnsi="Arial Narrow" w:cs="Gisha"/>
          <w:b w:val="0"/>
          <w:color w:val="auto"/>
          <w:sz w:val="22"/>
          <w:szCs w:val="22"/>
          <w:lang w:val="es-ES"/>
        </w:rPr>
        <w:t>,</w:t>
      </w:r>
      <w:r w:rsidR="00480DE4">
        <w:rPr>
          <w:rFonts w:ascii="Arial Narrow" w:hAnsi="Arial Narrow" w:cs="Gisha"/>
          <w:b w:val="0"/>
          <w:color w:val="auto"/>
          <w:sz w:val="22"/>
          <w:szCs w:val="22"/>
          <w:lang w:val="es-ES"/>
        </w:rPr>
        <w:t xml:space="preserve"> resultado de las mesas de trabajo efectuadas </w:t>
      </w:r>
      <w:r w:rsidR="009B5511">
        <w:rPr>
          <w:rFonts w:ascii="Arial Narrow" w:hAnsi="Arial Narrow" w:cs="Gisha"/>
          <w:b w:val="0"/>
          <w:color w:val="auto"/>
          <w:sz w:val="22"/>
          <w:szCs w:val="22"/>
          <w:lang w:val="es-ES"/>
        </w:rPr>
        <w:t>por</w:t>
      </w:r>
      <w:r w:rsidR="00480DE4">
        <w:rPr>
          <w:rFonts w:ascii="Arial Narrow" w:hAnsi="Arial Narrow" w:cs="Gisha"/>
          <w:b w:val="0"/>
          <w:color w:val="auto"/>
          <w:sz w:val="22"/>
          <w:szCs w:val="22"/>
          <w:lang w:val="es-ES"/>
        </w:rPr>
        <w:t xml:space="preserve"> </w:t>
      </w:r>
      <w:r w:rsidR="00480DE4" w:rsidRPr="00C22D50">
        <w:rPr>
          <w:rFonts w:ascii="Arial Narrow" w:hAnsi="Arial Narrow" w:cs="Gisha"/>
          <w:b w:val="0"/>
          <w:color w:val="auto"/>
          <w:sz w:val="22"/>
          <w:szCs w:val="22"/>
          <w:lang w:val="es-ES"/>
        </w:rPr>
        <w:t>el equipo de puertos de la Vicepresidencia de Gestión contractual y el área contable de la Vicepresidencia Administrativa y Financiera de la Agencia</w:t>
      </w:r>
      <w:r w:rsidR="00480DE4">
        <w:rPr>
          <w:rFonts w:ascii="Arial Narrow" w:hAnsi="Arial Narrow" w:cs="Gisha"/>
          <w:b w:val="0"/>
          <w:color w:val="auto"/>
          <w:sz w:val="22"/>
          <w:szCs w:val="22"/>
          <w:lang w:val="es-ES"/>
        </w:rPr>
        <w:t>.</w:t>
      </w:r>
    </w:p>
    <w:p w14:paraId="077787CD" w14:textId="77777777" w:rsidR="003D5481" w:rsidRDefault="003D5481" w:rsidP="003D3F63">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b w:val="0"/>
          <w:sz w:val="22"/>
          <w:szCs w:val="22"/>
        </w:rPr>
      </w:pPr>
    </w:p>
    <w:p w14:paraId="0FA17F1E" w14:textId="77777777" w:rsidR="00D429E0" w:rsidRDefault="00000085" w:rsidP="00D429E0">
      <w:pPr>
        <w:pStyle w:val="Textoindependiente2"/>
        <w:numPr>
          <w:ilvl w:val="0"/>
          <w:numId w:val="2"/>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color w:val="auto"/>
          <w:sz w:val="22"/>
          <w:szCs w:val="22"/>
          <w:lang w:val="es-ES"/>
        </w:rPr>
      </w:pPr>
      <w:r>
        <w:rPr>
          <w:rFonts w:ascii="Arial Narrow" w:hAnsi="Arial Narrow" w:cs="Gisha"/>
          <w:color w:val="auto"/>
          <w:sz w:val="22"/>
          <w:szCs w:val="22"/>
          <w:lang w:val="es-ES"/>
        </w:rPr>
        <w:t>C</w:t>
      </w:r>
      <w:r w:rsidR="00D429E0">
        <w:rPr>
          <w:rFonts w:ascii="Arial Narrow" w:hAnsi="Arial Narrow" w:cs="Gisha"/>
          <w:color w:val="auto"/>
          <w:sz w:val="22"/>
          <w:szCs w:val="22"/>
          <w:lang w:val="es-ES"/>
        </w:rPr>
        <w:t>uentas por cobrar</w:t>
      </w:r>
    </w:p>
    <w:p w14:paraId="41966BDA" w14:textId="77777777" w:rsidR="00385252" w:rsidRPr="00112759" w:rsidRDefault="00385252" w:rsidP="00385252">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color w:val="auto"/>
          <w:sz w:val="22"/>
          <w:szCs w:val="22"/>
          <w:lang w:val="es-ES"/>
        </w:rPr>
      </w:pPr>
    </w:p>
    <w:p w14:paraId="42B46EC0" w14:textId="3B17B650" w:rsidR="00D429E0" w:rsidRDefault="00D429E0" w:rsidP="00D429E0">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color w:val="auto"/>
          <w:sz w:val="22"/>
          <w:szCs w:val="22"/>
          <w:lang w:val="es-ES"/>
        </w:rPr>
      </w:pPr>
      <w:r w:rsidRPr="00FE31AA">
        <w:rPr>
          <w:rFonts w:ascii="Arial Narrow" w:hAnsi="Arial Narrow" w:cs="Gisha"/>
          <w:b w:val="0"/>
          <w:color w:val="auto"/>
          <w:sz w:val="22"/>
          <w:szCs w:val="22"/>
          <w:lang w:val="es-ES"/>
        </w:rPr>
        <w:t>La</w:t>
      </w:r>
      <w:r>
        <w:rPr>
          <w:rFonts w:ascii="Arial Narrow" w:hAnsi="Arial Narrow" w:cs="Gisha"/>
          <w:b w:val="0"/>
          <w:color w:val="auto"/>
          <w:sz w:val="22"/>
          <w:szCs w:val="22"/>
          <w:lang w:val="es-ES"/>
        </w:rPr>
        <w:t xml:space="preserve"> disminución neta presentada en este grupo de activos</w:t>
      </w:r>
      <w:r w:rsidR="002B5478">
        <w:rPr>
          <w:rFonts w:ascii="Arial Narrow" w:hAnsi="Arial Narrow" w:cs="Gisha"/>
          <w:b w:val="0"/>
          <w:color w:val="auto"/>
          <w:sz w:val="22"/>
          <w:szCs w:val="22"/>
          <w:lang w:val="es-ES"/>
        </w:rPr>
        <w:t>,</w:t>
      </w:r>
      <w:r>
        <w:rPr>
          <w:rFonts w:ascii="Arial Narrow" w:hAnsi="Arial Narrow" w:cs="Gisha"/>
          <w:b w:val="0"/>
          <w:color w:val="auto"/>
          <w:sz w:val="22"/>
          <w:szCs w:val="22"/>
          <w:lang w:val="es-ES"/>
        </w:rPr>
        <w:t xml:space="preserve"> de </w:t>
      </w:r>
      <w:r w:rsidR="0090622C">
        <w:rPr>
          <w:rFonts w:ascii="Arial Narrow" w:hAnsi="Arial Narrow" w:cs="Gisha"/>
          <w:b w:val="0"/>
          <w:color w:val="auto"/>
          <w:sz w:val="22"/>
          <w:szCs w:val="22"/>
          <w:lang w:val="es-ES"/>
        </w:rPr>
        <w:t>octu</w:t>
      </w:r>
      <w:r w:rsidR="00326DC2">
        <w:rPr>
          <w:rFonts w:ascii="Arial Narrow" w:hAnsi="Arial Narrow" w:cs="Gisha"/>
          <w:b w:val="0"/>
          <w:color w:val="auto"/>
          <w:sz w:val="22"/>
          <w:szCs w:val="22"/>
          <w:lang w:val="es-ES"/>
        </w:rPr>
        <w:t>bre</w:t>
      </w:r>
      <w:r>
        <w:rPr>
          <w:rFonts w:ascii="Arial Narrow" w:hAnsi="Arial Narrow" w:cs="Gisha"/>
          <w:b w:val="0"/>
          <w:color w:val="auto"/>
          <w:sz w:val="22"/>
          <w:szCs w:val="22"/>
          <w:lang w:val="es-ES"/>
        </w:rPr>
        <w:t xml:space="preserve"> de 201</w:t>
      </w:r>
      <w:r w:rsidR="00000085">
        <w:rPr>
          <w:rFonts w:ascii="Arial Narrow" w:hAnsi="Arial Narrow" w:cs="Gisha"/>
          <w:b w:val="0"/>
          <w:color w:val="auto"/>
          <w:sz w:val="22"/>
          <w:szCs w:val="22"/>
          <w:lang w:val="es-ES"/>
        </w:rPr>
        <w:t>8</w:t>
      </w:r>
      <w:r>
        <w:rPr>
          <w:rFonts w:ascii="Arial Narrow" w:hAnsi="Arial Narrow" w:cs="Gisha"/>
          <w:b w:val="0"/>
          <w:color w:val="auto"/>
          <w:sz w:val="22"/>
          <w:szCs w:val="22"/>
          <w:lang w:val="es-ES"/>
        </w:rPr>
        <w:t xml:space="preserve"> a </w:t>
      </w:r>
      <w:r w:rsidR="0090622C">
        <w:rPr>
          <w:rFonts w:ascii="Arial Narrow" w:hAnsi="Arial Narrow" w:cs="Gisha"/>
          <w:b w:val="0"/>
          <w:color w:val="auto"/>
          <w:sz w:val="22"/>
          <w:szCs w:val="22"/>
          <w:lang w:val="es-ES"/>
        </w:rPr>
        <w:t>octu</w:t>
      </w:r>
      <w:r w:rsidR="00326DC2">
        <w:rPr>
          <w:rFonts w:ascii="Arial Narrow" w:hAnsi="Arial Narrow" w:cs="Gisha"/>
          <w:b w:val="0"/>
          <w:color w:val="auto"/>
          <w:sz w:val="22"/>
          <w:szCs w:val="22"/>
          <w:lang w:val="es-ES"/>
        </w:rPr>
        <w:t>bre</w:t>
      </w:r>
      <w:r>
        <w:rPr>
          <w:rFonts w:ascii="Arial Narrow" w:hAnsi="Arial Narrow" w:cs="Gisha"/>
          <w:b w:val="0"/>
          <w:color w:val="auto"/>
          <w:sz w:val="22"/>
          <w:szCs w:val="22"/>
          <w:lang w:val="es-ES"/>
        </w:rPr>
        <w:t xml:space="preserve"> de 2019</w:t>
      </w:r>
      <w:r w:rsidR="002B5478">
        <w:rPr>
          <w:rFonts w:ascii="Arial Narrow" w:hAnsi="Arial Narrow" w:cs="Gisha"/>
          <w:b w:val="0"/>
          <w:color w:val="auto"/>
          <w:sz w:val="22"/>
          <w:szCs w:val="22"/>
          <w:lang w:val="es-ES"/>
        </w:rPr>
        <w:t>, por valor</w:t>
      </w:r>
      <w:r>
        <w:rPr>
          <w:rFonts w:ascii="Arial Narrow" w:hAnsi="Arial Narrow" w:cs="Gisha"/>
          <w:b w:val="0"/>
          <w:color w:val="auto"/>
          <w:sz w:val="22"/>
          <w:szCs w:val="22"/>
          <w:lang w:val="es-ES"/>
        </w:rPr>
        <w:t xml:space="preserve"> </w:t>
      </w:r>
      <w:r w:rsidR="00000085" w:rsidRPr="00000085">
        <w:rPr>
          <w:rFonts w:ascii="Arial Narrow" w:hAnsi="Arial Narrow" w:cs="Gisha"/>
          <w:b w:val="0"/>
          <w:color w:val="auto"/>
          <w:sz w:val="22"/>
          <w:szCs w:val="22"/>
          <w:lang w:val="es-ES"/>
        </w:rPr>
        <w:t>de -$2.</w:t>
      </w:r>
      <w:r w:rsidR="00AE3AC5">
        <w:rPr>
          <w:rFonts w:ascii="Arial Narrow" w:hAnsi="Arial Narrow" w:cs="Gisha"/>
          <w:b w:val="0"/>
          <w:color w:val="auto"/>
          <w:sz w:val="22"/>
          <w:szCs w:val="22"/>
          <w:lang w:val="es-ES"/>
        </w:rPr>
        <w:t>3</w:t>
      </w:r>
      <w:r w:rsidR="00326DC2">
        <w:rPr>
          <w:rFonts w:ascii="Arial Narrow" w:hAnsi="Arial Narrow" w:cs="Gisha"/>
          <w:b w:val="0"/>
          <w:color w:val="auto"/>
          <w:sz w:val="22"/>
          <w:szCs w:val="22"/>
          <w:lang w:val="es-ES"/>
        </w:rPr>
        <w:t>7</w:t>
      </w:r>
      <w:r w:rsidR="00FB49EE">
        <w:rPr>
          <w:rFonts w:ascii="Arial Narrow" w:hAnsi="Arial Narrow" w:cs="Gisha"/>
          <w:b w:val="0"/>
          <w:color w:val="auto"/>
          <w:sz w:val="22"/>
          <w:szCs w:val="22"/>
          <w:lang w:val="es-ES"/>
        </w:rPr>
        <w:t>7</w:t>
      </w:r>
      <w:r w:rsidR="00000085" w:rsidRPr="00000085">
        <w:rPr>
          <w:rFonts w:ascii="Arial Narrow" w:hAnsi="Arial Narrow" w:cs="Gisha"/>
          <w:b w:val="0"/>
          <w:color w:val="auto"/>
          <w:sz w:val="22"/>
          <w:szCs w:val="22"/>
          <w:lang w:val="es-ES"/>
        </w:rPr>
        <w:t>.</w:t>
      </w:r>
      <w:r w:rsidR="00FB49EE">
        <w:rPr>
          <w:rFonts w:ascii="Arial Narrow" w:hAnsi="Arial Narrow" w:cs="Gisha"/>
          <w:b w:val="0"/>
          <w:color w:val="auto"/>
          <w:sz w:val="22"/>
          <w:szCs w:val="22"/>
          <w:lang w:val="es-ES"/>
        </w:rPr>
        <w:t>013</w:t>
      </w:r>
      <w:r w:rsidR="00000085" w:rsidRPr="00000085">
        <w:rPr>
          <w:rFonts w:ascii="Arial Narrow" w:hAnsi="Arial Narrow" w:cs="Gisha"/>
          <w:b w:val="0"/>
          <w:color w:val="auto"/>
          <w:sz w:val="22"/>
          <w:szCs w:val="22"/>
          <w:lang w:val="es-ES"/>
        </w:rPr>
        <w:t>.</w:t>
      </w:r>
      <w:r w:rsidR="00326DC2">
        <w:rPr>
          <w:rFonts w:ascii="Arial Narrow" w:hAnsi="Arial Narrow" w:cs="Gisha"/>
          <w:b w:val="0"/>
          <w:color w:val="auto"/>
          <w:sz w:val="22"/>
          <w:szCs w:val="22"/>
          <w:lang w:val="es-ES"/>
        </w:rPr>
        <w:t>2</w:t>
      </w:r>
      <w:r w:rsidR="00FB49EE">
        <w:rPr>
          <w:rFonts w:ascii="Arial Narrow" w:hAnsi="Arial Narrow" w:cs="Gisha"/>
          <w:b w:val="0"/>
          <w:color w:val="auto"/>
          <w:sz w:val="22"/>
          <w:szCs w:val="22"/>
          <w:lang w:val="es-ES"/>
        </w:rPr>
        <w:t>16</w:t>
      </w:r>
      <w:r w:rsidR="00000085" w:rsidRPr="00000085">
        <w:rPr>
          <w:rFonts w:ascii="Arial Narrow" w:hAnsi="Arial Narrow" w:cs="Gisha"/>
          <w:b w:val="0"/>
          <w:color w:val="auto"/>
          <w:sz w:val="22"/>
          <w:szCs w:val="22"/>
          <w:lang w:val="es-ES"/>
        </w:rPr>
        <w:t xml:space="preserve"> miles</w:t>
      </w:r>
      <w:r w:rsidR="00EF4107">
        <w:rPr>
          <w:rFonts w:ascii="Arial Narrow" w:hAnsi="Arial Narrow" w:cs="Gisha"/>
          <w:b w:val="0"/>
          <w:color w:val="auto"/>
          <w:sz w:val="22"/>
          <w:szCs w:val="22"/>
          <w:lang w:val="es-ES"/>
        </w:rPr>
        <w:t>,</w:t>
      </w:r>
      <w:r w:rsidR="00000085" w:rsidRPr="00000085">
        <w:rPr>
          <w:rFonts w:ascii="Arial Narrow" w:hAnsi="Arial Narrow" w:cs="Gisha"/>
          <w:b w:val="0"/>
          <w:color w:val="auto"/>
          <w:sz w:val="22"/>
          <w:szCs w:val="22"/>
          <w:lang w:val="es-ES"/>
        </w:rPr>
        <w:t xml:space="preserve"> </w:t>
      </w:r>
      <w:r>
        <w:rPr>
          <w:rFonts w:ascii="Arial Narrow" w:hAnsi="Arial Narrow" w:cs="Gisha"/>
          <w:b w:val="0"/>
          <w:color w:val="auto"/>
          <w:sz w:val="22"/>
          <w:szCs w:val="22"/>
          <w:lang w:val="es-ES"/>
        </w:rPr>
        <w:t xml:space="preserve">se debe en gran parte a la actualización y reclasificación de la subcuenta Otras cuentas por cobrar a la subcuenta </w:t>
      </w:r>
      <w:r w:rsidRPr="006543F5">
        <w:rPr>
          <w:rFonts w:ascii="Arial Narrow" w:hAnsi="Arial Narrow" w:cs="Gisha"/>
          <w:b w:val="0"/>
          <w:color w:val="auto"/>
          <w:sz w:val="22"/>
          <w:szCs w:val="22"/>
          <w:lang w:val="es-ES"/>
        </w:rPr>
        <w:t>Recursos de la entidad concedente en patrimonios autónomos constituidos por los concesionarios</w:t>
      </w:r>
      <w:r>
        <w:rPr>
          <w:rFonts w:ascii="Arial Narrow" w:hAnsi="Arial Narrow" w:cs="Gisha"/>
          <w:b w:val="0"/>
          <w:color w:val="auto"/>
          <w:sz w:val="22"/>
          <w:szCs w:val="22"/>
          <w:lang w:val="es-ES"/>
        </w:rPr>
        <w:t xml:space="preserve"> de los </w:t>
      </w:r>
      <w:r w:rsidRPr="00AD5D67">
        <w:rPr>
          <w:rFonts w:ascii="Arial Narrow" w:hAnsi="Arial Narrow" w:cs="Gisha"/>
          <w:b w:val="0"/>
          <w:color w:val="auto"/>
          <w:sz w:val="22"/>
          <w:szCs w:val="22"/>
          <w:lang w:val="es-ES"/>
        </w:rPr>
        <w:t xml:space="preserve">recursos </w:t>
      </w:r>
      <w:r>
        <w:rPr>
          <w:rFonts w:ascii="Arial Narrow" w:hAnsi="Arial Narrow" w:cs="Gisha"/>
          <w:b w:val="0"/>
          <w:color w:val="auto"/>
          <w:sz w:val="22"/>
          <w:szCs w:val="22"/>
          <w:lang w:val="es-ES"/>
        </w:rPr>
        <w:t xml:space="preserve">en efectivo que </w:t>
      </w:r>
      <w:r w:rsidRPr="00AD5D67">
        <w:rPr>
          <w:rFonts w:ascii="Arial Narrow" w:hAnsi="Arial Narrow" w:cs="Gisha"/>
          <w:b w:val="0"/>
          <w:color w:val="auto"/>
          <w:sz w:val="22"/>
          <w:szCs w:val="22"/>
          <w:lang w:val="es-ES"/>
        </w:rPr>
        <w:t xml:space="preserve">controla la </w:t>
      </w:r>
      <w:r>
        <w:rPr>
          <w:rFonts w:ascii="Arial Narrow" w:hAnsi="Arial Narrow" w:cs="Gisha"/>
          <w:b w:val="0"/>
          <w:color w:val="auto"/>
          <w:sz w:val="22"/>
          <w:szCs w:val="22"/>
          <w:lang w:val="es-ES"/>
        </w:rPr>
        <w:t>Agencia</w:t>
      </w:r>
      <w:r w:rsidRPr="00AD5D67">
        <w:rPr>
          <w:rFonts w:ascii="Arial Narrow" w:hAnsi="Arial Narrow" w:cs="Gisha"/>
          <w:b w:val="0"/>
          <w:color w:val="auto"/>
          <w:sz w:val="22"/>
          <w:szCs w:val="22"/>
          <w:lang w:val="es-ES"/>
        </w:rPr>
        <w:t xml:space="preserve"> en patrimonios autónomos constituidos por los concesionarios, </w:t>
      </w:r>
      <w:r>
        <w:rPr>
          <w:rFonts w:ascii="Arial Narrow" w:hAnsi="Arial Narrow" w:cs="Gisha"/>
          <w:b w:val="0"/>
          <w:color w:val="auto"/>
          <w:sz w:val="22"/>
          <w:szCs w:val="22"/>
          <w:lang w:val="es-ES"/>
        </w:rPr>
        <w:t xml:space="preserve">que </w:t>
      </w:r>
      <w:r w:rsidRPr="00AD5D67">
        <w:rPr>
          <w:rFonts w:ascii="Arial Narrow" w:hAnsi="Arial Narrow" w:cs="Gisha"/>
          <w:b w:val="0"/>
          <w:color w:val="auto"/>
          <w:sz w:val="22"/>
          <w:szCs w:val="22"/>
          <w:lang w:val="es-ES"/>
        </w:rPr>
        <w:t xml:space="preserve">provienen de recursos entregados por la Agencia en virtud de las obligaciones contractuales de las concesiones del modo carretero cuarta generación, lo anterior </w:t>
      </w:r>
      <w:r>
        <w:rPr>
          <w:rFonts w:ascii="Arial Narrow" w:hAnsi="Arial Narrow" w:cs="Gisha"/>
          <w:b w:val="0"/>
          <w:color w:val="auto"/>
          <w:sz w:val="22"/>
          <w:szCs w:val="22"/>
          <w:lang w:val="es-ES"/>
        </w:rPr>
        <w:t>en</w:t>
      </w:r>
      <w:r w:rsidRPr="00AD5D67">
        <w:rPr>
          <w:rFonts w:ascii="Arial Narrow" w:hAnsi="Arial Narrow" w:cs="Gisha"/>
          <w:b w:val="0"/>
          <w:color w:val="auto"/>
          <w:sz w:val="22"/>
          <w:szCs w:val="22"/>
          <w:lang w:val="es-ES"/>
        </w:rPr>
        <w:t xml:space="preserve"> cumplimiento al numeral 2 del artículo 6 de la Resolución 602 del 13 de diciembre de 2018, mediante la cual se incorporó al Marco Normativo</w:t>
      </w:r>
      <w:r>
        <w:rPr>
          <w:rFonts w:ascii="Arial Narrow" w:hAnsi="Arial Narrow" w:cs="Gisha"/>
          <w:b w:val="0"/>
          <w:color w:val="auto"/>
          <w:sz w:val="22"/>
          <w:szCs w:val="22"/>
          <w:lang w:val="es-ES"/>
        </w:rPr>
        <w:t xml:space="preserve"> para Entidades de Gobierno</w:t>
      </w:r>
      <w:r w:rsidRPr="00AD5D67">
        <w:rPr>
          <w:rFonts w:ascii="Arial Narrow" w:hAnsi="Arial Narrow" w:cs="Gisha"/>
          <w:b w:val="0"/>
          <w:color w:val="auto"/>
          <w:sz w:val="22"/>
          <w:szCs w:val="22"/>
          <w:lang w:val="es-ES"/>
        </w:rPr>
        <w:t xml:space="preserve">, el </w:t>
      </w:r>
      <w:r>
        <w:rPr>
          <w:rFonts w:ascii="Arial Narrow" w:hAnsi="Arial Narrow" w:cs="Gisha"/>
          <w:b w:val="0"/>
          <w:color w:val="auto"/>
          <w:sz w:val="22"/>
          <w:szCs w:val="22"/>
          <w:lang w:val="es-ES"/>
        </w:rPr>
        <w:t>P</w:t>
      </w:r>
      <w:r w:rsidRPr="00AD5D67">
        <w:rPr>
          <w:rFonts w:ascii="Arial Narrow" w:hAnsi="Arial Narrow" w:cs="Gisha"/>
          <w:b w:val="0"/>
          <w:color w:val="auto"/>
          <w:sz w:val="22"/>
          <w:szCs w:val="22"/>
          <w:lang w:val="es-ES"/>
        </w:rPr>
        <w:t xml:space="preserve">rocedimiento contable para el registro de los hechos </w:t>
      </w:r>
      <w:r>
        <w:rPr>
          <w:rFonts w:ascii="Arial Narrow" w:hAnsi="Arial Narrow" w:cs="Gisha"/>
          <w:b w:val="0"/>
          <w:color w:val="auto"/>
          <w:sz w:val="22"/>
          <w:szCs w:val="22"/>
          <w:lang w:val="es-ES"/>
        </w:rPr>
        <w:t xml:space="preserve">económicos </w:t>
      </w:r>
      <w:r w:rsidRPr="00AD5D67">
        <w:rPr>
          <w:rFonts w:ascii="Arial Narrow" w:hAnsi="Arial Narrow" w:cs="Gisha"/>
          <w:b w:val="0"/>
          <w:color w:val="auto"/>
          <w:sz w:val="22"/>
          <w:szCs w:val="22"/>
          <w:lang w:val="es-ES"/>
        </w:rPr>
        <w:t>relacionados con los acuerdos de concesión</w:t>
      </w:r>
      <w:r>
        <w:rPr>
          <w:rFonts w:ascii="Arial Narrow" w:hAnsi="Arial Narrow" w:cs="Gisha"/>
          <w:b w:val="0"/>
          <w:color w:val="auto"/>
          <w:sz w:val="22"/>
          <w:szCs w:val="22"/>
          <w:lang w:val="es-ES"/>
        </w:rPr>
        <w:t xml:space="preserve"> de infraestructura de transporte.</w:t>
      </w:r>
    </w:p>
    <w:p w14:paraId="1F098C73" w14:textId="77777777" w:rsidR="00223AEC" w:rsidRDefault="00223AEC" w:rsidP="00D429E0">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color w:val="auto"/>
          <w:sz w:val="22"/>
          <w:szCs w:val="22"/>
          <w:lang w:val="es-ES"/>
        </w:rPr>
      </w:pPr>
    </w:p>
    <w:p w14:paraId="4C5DE34E" w14:textId="77777777" w:rsidR="002F2119" w:rsidRDefault="002F2119" w:rsidP="006B66F7">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color w:val="auto"/>
          <w:sz w:val="22"/>
          <w:szCs w:val="22"/>
          <w:lang w:val="es-ES"/>
        </w:rPr>
      </w:pPr>
    </w:p>
    <w:p w14:paraId="48E604C5" w14:textId="12AE4AF7" w:rsidR="00622C07" w:rsidRPr="006807EE" w:rsidRDefault="00622C07" w:rsidP="00622C07">
      <w:pPr>
        <w:jc w:val="center"/>
        <w:rPr>
          <w:rFonts w:ascii="Arial Narrow" w:hAnsi="Arial Narrow" w:cs="Gisha"/>
          <w:b/>
          <w:bCs/>
          <w:sz w:val="22"/>
          <w:szCs w:val="22"/>
        </w:rPr>
      </w:pPr>
      <w:r w:rsidRPr="006807EE">
        <w:rPr>
          <w:rFonts w:ascii="Arial Narrow" w:hAnsi="Arial Narrow" w:cs="Gisha"/>
          <w:b/>
          <w:bCs/>
          <w:sz w:val="22"/>
          <w:szCs w:val="22"/>
        </w:rPr>
        <w:t xml:space="preserve">SITUACIONES PARTICULARES EN EL MES DE </w:t>
      </w:r>
      <w:r w:rsidR="001F0B69">
        <w:rPr>
          <w:rFonts w:ascii="Arial Narrow" w:hAnsi="Arial Narrow" w:cs="Gisha"/>
          <w:b/>
          <w:bCs/>
          <w:sz w:val="22"/>
          <w:szCs w:val="22"/>
        </w:rPr>
        <w:t>OCTU</w:t>
      </w:r>
      <w:r w:rsidR="005560C8">
        <w:rPr>
          <w:rFonts w:ascii="Arial Narrow" w:hAnsi="Arial Narrow" w:cs="Gisha"/>
          <w:b/>
          <w:bCs/>
          <w:sz w:val="22"/>
          <w:szCs w:val="22"/>
        </w:rPr>
        <w:t>BRE</w:t>
      </w:r>
      <w:r w:rsidRPr="006807EE">
        <w:rPr>
          <w:rFonts w:ascii="Arial Narrow" w:hAnsi="Arial Narrow" w:cs="Gisha"/>
          <w:b/>
          <w:bCs/>
          <w:sz w:val="22"/>
          <w:szCs w:val="22"/>
        </w:rPr>
        <w:t xml:space="preserve"> DE 2019 DE LOS ACTIVOS</w:t>
      </w:r>
    </w:p>
    <w:p w14:paraId="50108CF5" w14:textId="77777777" w:rsidR="00223AEC" w:rsidRPr="00935DD0" w:rsidRDefault="00223AEC" w:rsidP="00622C07">
      <w:pPr>
        <w:jc w:val="center"/>
        <w:rPr>
          <w:rFonts w:ascii="Arial Narrow" w:hAnsi="Arial Narrow" w:cs="Gisha"/>
          <w:b/>
          <w:bCs/>
          <w:sz w:val="22"/>
          <w:szCs w:val="22"/>
        </w:rPr>
      </w:pPr>
    </w:p>
    <w:p w14:paraId="2214465E" w14:textId="77777777" w:rsidR="00406B31" w:rsidRDefault="0065138B" w:rsidP="00406B31">
      <w:pPr>
        <w:pStyle w:val="Prrafodelista"/>
        <w:numPr>
          <w:ilvl w:val="0"/>
          <w:numId w:val="33"/>
        </w:numPr>
        <w:jc w:val="both"/>
        <w:rPr>
          <w:rFonts w:ascii="Arial Narrow" w:hAnsi="Arial Narrow"/>
          <w:sz w:val="22"/>
          <w:szCs w:val="22"/>
        </w:rPr>
      </w:pPr>
      <w:r w:rsidRPr="00406B31">
        <w:rPr>
          <w:rFonts w:ascii="Arial Narrow" w:hAnsi="Arial Narrow"/>
          <w:sz w:val="22"/>
          <w:szCs w:val="22"/>
        </w:rPr>
        <w:t xml:space="preserve">En la Cuenta </w:t>
      </w:r>
      <w:r w:rsidR="00C368C5" w:rsidRPr="00406B31">
        <w:rPr>
          <w:rFonts w:ascii="Arial Narrow" w:hAnsi="Arial Narrow"/>
          <w:sz w:val="22"/>
          <w:szCs w:val="22"/>
        </w:rPr>
        <w:t>Contribuciones Tasas e Ingresos no tributarios</w:t>
      </w:r>
      <w:r w:rsidR="007E701D" w:rsidRPr="00406B31">
        <w:rPr>
          <w:rFonts w:ascii="Arial Narrow" w:hAnsi="Arial Narrow"/>
          <w:sz w:val="22"/>
          <w:szCs w:val="22"/>
        </w:rPr>
        <w:t>, subcuenta</w:t>
      </w:r>
      <w:r w:rsidR="00406B31">
        <w:rPr>
          <w:rFonts w:ascii="Arial Narrow" w:hAnsi="Arial Narrow"/>
          <w:sz w:val="22"/>
          <w:szCs w:val="22"/>
        </w:rPr>
        <w:t xml:space="preserve">s </w:t>
      </w:r>
      <w:r w:rsidR="007E701D" w:rsidRPr="00406B31">
        <w:rPr>
          <w:rFonts w:ascii="Arial Narrow" w:hAnsi="Arial Narrow"/>
          <w:sz w:val="22"/>
          <w:szCs w:val="22"/>
        </w:rPr>
        <w:t>tasas</w:t>
      </w:r>
      <w:r w:rsidR="00406B31">
        <w:rPr>
          <w:rFonts w:ascii="Arial Narrow" w:hAnsi="Arial Narrow"/>
          <w:sz w:val="22"/>
          <w:szCs w:val="22"/>
        </w:rPr>
        <w:t xml:space="preserve"> y sanciones</w:t>
      </w:r>
      <w:r w:rsidR="007E701D" w:rsidRPr="00406B31">
        <w:rPr>
          <w:rFonts w:ascii="Arial Narrow" w:hAnsi="Arial Narrow"/>
          <w:sz w:val="22"/>
          <w:szCs w:val="22"/>
        </w:rPr>
        <w:t xml:space="preserve"> se re</w:t>
      </w:r>
      <w:r w:rsidR="00521486" w:rsidRPr="00406B31">
        <w:rPr>
          <w:rFonts w:ascii="Arial Narrow" w:hAnsi="Arial Narrow"/>
          <w:sz w:val="22"/>
          <w:szCs w:val="22"/>
        </w:rPr>
        <w:t>gistró</w:t>
      </w:r>
      <w:r w:rsidR="00406B31">
        <w:rPr>
          <w:rFonts w:ascii="Arial Narrow" w:hAnsi="Arial Narrow"/>
          <w:sz w:val="22"/>
          <w:szCs w:val="22"/>
        </w:rPr>
        <w:t xml:space="preserve"> para el mes de octubre de 2019, entre otros:</w:t>
      </w:r>
    </w:p>
    <w:p w14:paraId="62517B28" w14:textId="77777777" w:rsidR="00406B31" w:rsidRPr="00406B31" w:rsidRDefault="00406B31" w:rsidP="00406B31">
      <w:pPr>
        <w:ind w:left="360"/>
        <w:jc w:val="both"/>
        <w:rPr>
          <w:rFonts w:ascii="Arial Narrow" w:hAnsi="Arial Narrow"/>
          <w:sz w:val="22"/>
          <w:szCs w:val="22"/>
        </w:rPr>
      </w:pPr>
    </w:p>
    <w:p w14:paraId="25FC7337" w14:textId="53A20D56" w:rsidR="00861043" w:rsidRPr="00406B31" w:rsidRDefault="00AD09D7" w:rsidP="00406B31">
      <w:pPr>
        <w:pStyle w:val="Prrafodelista"/>
        <w:numPr>
          <w:ilvl w:val="0"/>
          <w:numId w:val="42"/>
        </w:numPr>
        <w:jc w:val="both"/>
        <w:rPr>
          <w:rFonts w:ascii="Arial Narrow" w:hAnsi="Arial Narrow"/>
          <w:sz w:val="22"/>
          <w:szCs w:val="22"/>
        </w:rPr>
      </w:pPr>
      <w:r>
        <w:rPr>
          <w:rFonts w:ascii="Arial Narrow" w:hAnsi="Arial Narrow"/>
          <w:sz w:val="22"/>
          <w:szCs w:val="22"/>
        </w:rPr>
        <w:t>En la subcuenta tasas se registró l</w:t>
      </w:r>
      <w:r w:rsidR="00406B31" w:rsidRPr="00406B31">
        <w:rPr>
          <w:rFonts w:ascii="Arial Narrow" w:hAnsi="Arial Narrow"/>
          <w:sz w:val="22"/>
          <w:szCs w:val="22"/>
        </w:rPr>
        <w:t xml:space="preserve">as </w:t>
      </w:r>
      <w:r w:rsidR="007E701D" w:rsidRPr="00406B31">
        <w:rPr>
          <w:rFonts w:ascii="Arial Narrow" w:hAnsi="Arial Narrow"/>
          <w:sz w:val="22"/>
          <w:szCs w:val="22"/>
        </w:rPr>
        <w:t>c</w:t>
      </w:r>
      <w:r w:rsidR="00AF04BE" w:rsidRPr="00406B31">
        <w:rPr>
          <w:rFonts w:ascii="Arial Narrow" w:hAnsi="Arial Narrow"/>
          <w:sz w:val="22"/>
          <w:szCs w:val="22"/>
        </w:rPr>
        <w:t xml:space="preserve">uentas por cobrar </w:t>
      </w:r>
      <w:r w:rsidR="00CA1D9A" w:rsidRPr="00406B31">
        <w:rPr>
          <w:rFonts w:ascii="Arial Narrow" w:hAnsi="Arial Narrow"/>
          <w:sz w:val="22"/>
          <w:szCs w:val="22"/>
        </w:rPr>
        <w:t xml:space="preserve">y recaudo </w:t>
      </w:r>
      <w:r w:rsidR="007A3D5C" w:rsidRPr="00406B31">
        <w:rPr>
          <w:rFonts w:ascii="Arial Narrow" w:hAnsi="Arial Narrow"/>
          <w:sz w:val="22"/>
          <w:szCs w:val="22"/>
        </w:rPr>
        <w:t xml:space="preserve">de </w:t>
      </w:r>
      <w:r w:rsidR="00CA1D9A" w:rsidRPr="00406B31">
        <w:rPr>
          <w:rFonts w:ascii="Arial Narrow" w:hAnsi="Arial Narrow"/>
          <w:sz w:val="22"/>
          <w:szCs w:val="22"/>
        </w:rPr>
        <w:t xml:space="preserve">los </w:t>
      </w:r>
      <w:r w:rsidR="00FA6992" w:rsidRPr="00406B31">
        <w:rPr>
          <w:rFonts w:ascii="Arial Narrow" w:hAnsi="Arial Narrow"/>
          <w:sz w:val="22"/>
          <w:szCs w:val="22"/>
        </w:rPr>
        <w:t>ingresos</w:t>
      </w:r>
      <w:r w:rsidR="00406B31" w:rsidRPr="00406B31">
        <w:rPr>
          <w:rFonts w:ascii="Arial Narrow" w:hAnsi="Arial Narrow"/>
          <w:sz w:val="22"/>
          <w:szCs w:val="22"/>
        </w:rPr>
        <w:t xml:space="preserve"> </w:t>
      </w:r>
      <w:r w:rsidR="00FA6992" w:rsidRPr="00406B31">
        <w:rPr>
          <w:rFonts w:ascii="Arial Narrow" w:hAnsi="Arial Narrow"/>
          <w:sz w:val="22"/>
          <w:szCs w:val="22"/>
        </w:rPr>
        <w:t xml:space="preserve">que se </w:t>
      </w:r>
      <w:r w:rsidR="00CA1D9A" w:rsidRPr="00406B31">
        <w:rPr>
          <w:rFonts w:ascii="Arial Narrow" w:hAnsi="Arial Narrow"/>
          <w:sz w:val="22"/>
          <w:szCs w:val="22"/>
        </w:rPr>
        <w:t xml:space="preserve">perciben </w:t>
      </w:r>
      <w:r w:rsidR="00FA6992" w:rsidRPr="00406B31">
        <w:rPr>
          <w:rFonts w:ascii="Arial Narrow" w:hAnsi="Arial Narrow"/>
          <w:sz w:val="22"/>
          <w:szCs w:val="22"/>
        </w:rPr>
        <w:t>por</w:t>
      </w:r>
      <w:r w:rsidR="00B361E1" w:rsidRPr="00406B31">
        <w:rPr>
          <w:rFonts w:ascii="Arial Narrow" w:hAnsi="Arial Narrow"/>
          <w:sz w:val="22"/>
          <w:szCs w:val="22"/>
        </w:rPr>
        <w:t xml:space="preserve"> la tarifa básica por tonelada de carbón</w:t>
      </w:r>
      <w:r w:rsidR="00591078" w:rsidRPr="00406B31">
        <w:rPr>
          <w:rFonts w:ascii="Arial Narrow" w:hAnsi="Arial Narrow"/>
          <w:sz w:val="22"/>
          <w:szCs w:val="22"/>
        </w:rPr>
        <w:t xml:space="preserve"> transportada</w:t>
      </w:r>
      <w:r w:rsidR="00B361E1" w:rsidRPr="00406B31">
        <w:rPr>
          <w:rFonts w:ascii="Arial Narrow" w:hAnsi="Arial Narrow"/>
          <w:sz w:val="22"/>
          <w:szCs w:val="22"/>
        </w:rPr>
        <w:t>, para dar acceso al uso de la infraestructura férrea</w:t>
      </w:r>
      <w:r w:rsidR="00406B31" w:rsidRPr="00406B31">
        <w:rPr>
          <w:rFonts w:ascii="Arial Narrow" w:hAnsi="Arial Narrow"/>
          <w:sz w:val="22"/>
          <w:szCs w:val="22"/>
        </w:rPr>
        <w:t xml:space="preserve"> </w:t>
      </w:r>
      <w:r w:rsidR="00B361E1" w:rsidRPr="00406B31">
        <w:rPr>
          <w:rFonts w:ascii="Arial Narrow" w:hAnsi="Arial Narrow"/>
          <w:sz w:val="22"/>
          <w:szCs w:val="22"/>
        </w:rPr>
        <w:t xml:space="preserve">de conformidad con el contrato suscrito entre </w:t>
      </w:r>
      <w:proofErr w:type="spellStart"/>
      <w:r w:rsidR="00B361E1" w:rsidRPr="00406B31">
        <w:rPr>
          <w:rFonts w:ascii="Arial Narrow" w:hAnsi="Arial Narrow"/>
          <w:sz w:val="22"/>
          <w:szCs w:val="22"/>
        </w:rPr>
        <w:t>Fenoco</w:t>
      </w:r>
      <w:proofErr w:type="spellEnd"/>
      <w:r w:rsidR="00B361E1" w:rsidRPr="00406B31">
        <w:rPr>
          <w:rFonts w:ascii="Arial Narrow" w:hAnsi="Arial Narrow"/>
          <w:sz w:val="22"/>
          <w:szCs w:val="22"/>
        </w:rPr>
        <w:t xml:space="preserve"> y</w:t>
      </w:r>
      <w:r w:rsidR="00FA6992" w:rsidRPr="00406B31">
        <w:rPr>
          <w:rFonts w:ascii="Arial Narrow" w:hAnsi="Arial Narrow"/>
          <w:sz w:val="22"/>
          <w:szCs w:val="22"/>
        </w:rPr>
        <w:t xml:space="preserve"> los operadores Drummond, </w:t>
      </w:r>
      <w:proofErr w:type="spellStart"/>
      <w:r w:rsidR="00FA6992" w:rsidRPr="00406B31">
        <w:rPr>
          <w:rFonts w:ascii="Arial Narrow" w:hAnsi="Arial Narrow"/>
          <w:sz w:val="22"/>
          <w:szCs w:val="22"/>
        </w:rPr>
        <w:t>Prodeco</w:t>
      </w:r>
      <w:proofErr w:type="spellEnd"/>
      <w:r w:rsidR="00FD3893" w:rsidRPr="00406B31">
        <w:rPr>
          <w:rFonts w:ascii="Arial Narrow" w:hAnsi="Arial Narrow"/>
          <w:sz w:val="22"/>
          <w:szCs w:val="22"/>
        </w:rPr>
        <w:t xml:space="preserve">, </w:t>
      </w:r>
      <w:r w:rsidR="00FA6992" w:rsidRPr="00406B31">
        <w:rPr>
          <w:rFonts w:ascii="Arial Narrow" w:hAnsi="Arial Narrow"/>
          <w:sz w:val="22"/>
          <w:szCs w:val="22"/>
        </w:rPr>
        <w:t xml:space="preserve">Comercializadora Internacional </w:t>
      </w:r>
      <w:proofErr w:type="spellStart"/>
      <w:r w:rsidR="00FA6992" w:rsidRPr="00406B31">
        <w:rPr>
          <w:rFonts w:ascii="Arial Narrow" w:hAnsi="Arial Narrow"/>
          <w:sz w:val="22"/>
          <w:szCs w:val="22"/>
        </w:rPr>
        <w:t>Colombian</w:t>
      </w:r>
      <w:proofErr w:type="spellEnd"/>
      <w:r w:rsidR="00FA6992" w:rsidRPr="00406B31">
        <w:rPr>
          <w:rFonts w:ascii="Arial Narrow" w:hAnsi="Arial Narrow"/>
          <w:sz w:val="22"/>
          <w:szCs w:val="22"/>
        </w:rPr>
        <w:t xml:space="preserve"> Natural </w:t>
      </w:r>
      <w:proofErr w:type="spellStart"/>
      <w:r w:rsidR="00FA6992" w:rsidRPr="00406B31">
        <w:rPr>
          <w:rFonts w:ascii="Arial Narrow" w:hAnsi="Arial Narrow"/>
          <w:sz w:val="22"/>
          <w:szCs w:val="22"/>
        </w:rPr>
        <w:t>Resources</w:t>
      </w:r>
      <w:proofErr w:type="spellEnd"/>
      <w:r w:rsidR="00FA6992" w:rsidRPr="00406B31">
        <w:rPr>
          <w:rFonts w:ascii="Arial Narrow" w:hAnsi="Arial Narrow"/>
          <w:sz w:val="22"/>
          <w:szCs w:val="22"/>
        </w:rPr>
        <w:t xml:space="preserve"> S.A.S</w:t>
      </w:r>
      <w:r w:rsidR="00FD3893" w:rsidRPr="00406B31">
        <w:rPr>
          <w:rFonts w:ascii="Arial Narrow" w:hAnsi="Arial Narrow"/>
          <w:sz w:val="22"/>
          <w:szCs w:val="22"/>
        </w:rPr>
        <w:t xml:space="preserve"> y Consorcio </w:t>
      </w:r>
      <w:proofErr w:type="spellStart"/>
      <w:r w:rsidR="00FD3893" w:rsidRPr="00406B31">
        <w:rPr>
          <w:rFonts w:ascii="Arial Narrow" w:hAnsi="Arial Narrow"/>
          <w:sz w:val="22"/>
          <w:szCs w:val="22"/>
        </w:rPr>
        <w:t>Ibines</w:t>
      </w:r>
      <w:proofErr w:type="spellEnd"/>
      <w:r w:rsidR="00FD3893" w:rsidRPr="00406B31">
        <w:rPr>
          <w:rFonts w:ascii="Arial Narrow" w:hAnsi="Arial Narrow"/>
          <w:sz w:val="22"/>
          <w:szCs w:val="22"/>
        </w:rPr>
        <w:t xml:space="preserve"> Férreo</w:t>
      </w:r>
      <w:r w:rsidR="00521486" w:rsidRPr="00406B31">
        <w:rPr>
          <w:rFonts w:ascii="Arial Narrow" w:hAnsi="Arial Narrow"/>
          <w:sz w:val="22"/>
          <w:szCs w:val="22"/>
        </w:rPr>
        <w:t xml:space="preserve">, que para </w:t>
      </w:r>
      <w:r w:rsidR="0065138B" w:rsidRPr="00406B31">
        <w:rPr>
          <w:rFonts w:ascii="Arial Narrow" w:hAnsi="Arial Narrow"/>
          <w:sz w:val="22"/>
          <w:szCs w:val="22"/>
        </w:rPr>
        <w:t xml:space="preserve">el año 2018 </w:t>
      </w:r>
      <w:r w:rsidR="00FA6992" w:rsidRPr="00406B31">
        <w:rPr>
          <w:rFonts w:ascii="Arial Narrow" w:hAnsi="Arial Narrow"/>
          <w:sz w:val="22"/>
          <w:szCs w:val="22"/>
        </w:rPr>
        <w:t>se contabiliz</w:t>
      </w:r>
      <w:r w:rsidR="006A610A" w:rsidRPr="00406B31">
        <w:rPr>
          <w:rFonts w:ascii="Arial Narrow" w:hAnsi="Arial Narrow"/>
          <w:sz w:val="22"/>
          <w:szCs w:val="22"/>
        </w:rPr>
        <w:t xml:space="preserve">ó </w:t>
      </w:r>
      <w:r w:rsidR="00FA6992" w:rsidRPr="00406B31">
        <w:rPr>
          <w:rFonts w:ascii="Arial Narrow" w:hAnsi="Arial Narrow"/>
          <w:sz w:val="22"/>
          <w:szCs w:val="22"/>
        </w:rPr>
        <w:t>en la cuenta</w:t>
      </w:r>
      <w:r w:rsidR="009801AF" w:rsidRPr="00406B31">
        <w:rPr>
          <w:rFonts w:ascii="Arial Narrow" w:hAnsi="Arial Narrow"/>
          <w:sz w:val="22"/>
          <w:szCs w:val="22"/>
        </w:rPr>
        <w:t xml:space="preserve"> Otras cuentas por cobrar</w:t>
      </w:r>
      <w:r w:rsidR="00521486" w:rsidRPr="00406B31">
        <w:rPr>
          <w:rFonts w:ascii="Arial Narrow" w:hAnsi="Arial Narrow"/>
          <w:sz w:val="22"/>
          <w:szCs w:val="22"/>
        </w:rPr>
        <w:t xml:space="preserve">.  </w:t>
      </w:r>
      <w:r w:rsidR="00CA1D9A" w:rsidRPr="00406B31">
        <w:rPr>
          <w:rFonts w:ascii="Arial Narrow" w:hAnsi="Arial Narrow"/>
          <w:sz w:val="22"/>
          <w:szCs w:val="22"/>
        </w:rPr>
        <w:t>Este cambio</w:t>
      </w:r>
      <w:r w:rsidR="00521486" w:rsidRPr="00406B31">
        <w:rPr>
          <w:rFonts w:ascii="Arial Narrow" w:hAnsi="Arial Narrow"/>
          <w:sz w:val="22"/>
          <w:szCs w:val="22"/>
        </w:rPr>
        <w:t xml:space="preserve"> obedece a los </w:t>
      </w:r>
      <w:r w:rsidR="00FA6992" w:rsidRPr="00406B31">
        <w:rPr>
          <w:rFonts w:ascii="Arial Narrow" w:hAnsi="Arial Narrow"/>
          <w:sz w:val="22"/>
          <w:szCs w:val="22"/>
        </w:rPr>
        <w:t>cambios</w:t>
      </w:r>
      <w:r w:rsidR="001561FC" w:rsidRPr="00406B31">
        <w:rPr>
          <w:rFonts w:ascii="Arial Narrow" w:hAnsi="Arial Narrow"/>
          <w:sz w:val="22"/>
          <w:szCs w:val="22"/>
        </w:rPr>
        <w:t xml:space="preserve"> </w:t>
      </w:r>
      <w:r w:rsidR="00D93A78" w:rsidRPr="00406B31">
        <w:rPr>
          <w:rFonts w:ascii="Arial Narrow" w:hAnsi="Arial Narrow"/>
          <w:sz w:val="22"/>
          <w:szCs w:val="22"/>
        </w:rPr>
        <w:t>d</w:t>
      </w:r>
      <w:r w:rsidR="001561FC" w:rsidRPr="00406B31">
        <w:rPr>
          <w:rFonts w:ascii="Arial Narrow" w:hAnsi="Arial Narrow"/>
          <w:sz w:val="22"/>
          <w:szCs w:val="22"/>
        </w:rPr>
        <w:t>el catá</w:t>
      </w:r>
      <w:r w:rsidR="00086001" w:rsidRPr="00406B31">
        <w:rPr>
          <w:rFonts w:ascii="Arial Narrow" w:hAnsi="Arial Narrow"/>
          <w:sz w:val="22"/>
          <w:szCs w:val="22"/>
        </w:rPr>
        <w:t>logo presupuestal y el análisis realizado a los</w:t>
      </w:r>
      <w:r w:rsidR="00FA6992" w:rsidRPr="00406B31">
        <w:rPr>
          <w:rFonts w:ascii="Arial Narrow" w:hAnsi="Arial Narrow"/>
          <w:sz w:val="22"/>
          <w:szCs w:val="22"/>
        </w:rPr>
        <w:t xml:space="preserve"> </w:t>
      </w:r>
      <w:r w:rsidR="00086001" w:rsidRPr="00406B31">
        <w:rPr>
          <w:rFonts w:ascii="Arial Narrow" w:hAnsi="Arial Narrow"/>
          <w:sz w:val="22"/>
          <w:szCs w:val="22"/>
        </w:rPr>
        <w:t>r</w:t>
      </w:r>
      <w:r w:rsidR="00FA6992" w:rsidRPr="00406B31">
        <w:rPr>
          <w:rFonts w:ascii="Arial Narrow" w:hAnsi="Arial Narrow"/>
          <w:sz w:val="22"/>
          <w:szCs w:val="22"/>
        </w:rPr>
        <w:t>ubros presupuestales</w:t>
      </w:r>
      <w:r w:rsidR="007D7C5C" w:rsidRPr="00406B31">
        <w:rPr>
          <w:rFonts w:ascii="Arial Narrow" w:hAnsi="Arial Narrow"/>
          <w:sz w:val="22"/>
          <w:szCs w:val="22"/>
        </w:rPr>
        <w:t>, su comportamiento comparativo es el siguiente</w:t>
      </w:r>
      <w:r w:rsidR="00F35956" w:rsidRPr="00406B31">
        <w:rPr>
          <w:rFonts w:ascii="Arial Narrow" w:hAnsi="Arial Narrow"/>
          <w:sz w:val="22"/>
          <w:szCs w:val="22"/>
        </w:rPr>
        <w:t>:</w:t>
      </w:r>
    </w:p>
    <w:p w14:paraId="329D53D6" w14:textId="6C6341EE" w:rsidR="00305C10" w:rsidRDefault="009F02EB" w:rsidP="009F02EB">
      <w:pPr>
        <w:jc w:val="center"/>
        <w:rPr>
          <w:rFonts w:ascii="Arial Narrow" w:hAnsi="Arial Narrow"/>
          <w:sz w:val="22"/>
          <w:szCs w:val="22"/>
        </w:rPr>
      </w:pPr>
      <w:r>
        <w:rPr>
          <w:rFonts w:ascii="Arial Narrow" w:hAnsi="Arial Narrow"/>
          <w:sz w:val="22"/>
          <w:szCs w:val="22"/>
        </w:rPr>
        <w:lastRenderedPageBreak/>
        <w:t xml:space="preserve">           </w:t>
      </w:r>
      <w:r w:rsidRPr="009F02EB">
        <w:rPr>
          <w:noProof/>
        </w:rPr>
        <w:drawing>
          <wp:inline distT="0" distB="0" distL="0" distR="0" wp14:anchorId="52D9AE9E" wp14:editId="4DBB5AB1">
            <wp:extent cx="4323080" cy="2340610"/>
            <wp:effectExtent l="19050" t="19050" r="20320" b="21590"/>
            <wp:docPr id="21" name="Imagen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323080" cy="2340610"/>
                    </a:xfrm>
                    <a:prstGeom prst="rect">
                      <a:avLst/>
                    </a:prstGeom>
                    <a:noFill/>
                    <a:ln w="19050" cmpd="thinThick">
                      <a:solidFill>
                        <a:schemeClr val="tx1"/>
                      </a:solidFill>
                    </a:ln>
                  </pic:spPr>
                </pic:pic>
              </a:graphicData>
            </a:graphic>
          </wp:inline>
        </w:drawing>
      </w:r>
    </w:p>
    <w:p w14:paraId="3782BD0E" w14:textId="1BD97CEF" w:rsidR="00861043" w:rsidRPr="007E5322" w:rsidRDefault="00305C10" w:rsidP="00B77C8F">
      <w:pPr>
        <w:jc w:val="center"/>
        <w:rPr>
          <w:rFonts w:ascii="Arial Narrow" w:hAnsi="Arial Narrow"/>
          <w:sz w:val="16"/>
          <w:szCs w:val="16"/>
        </w:rPr>
      </w:pPr>
      <w:r>
        <w:rPr>
          <w:rFonts w:ascii="Arial Narrow" w:hAnsi="Arial Narrow"/>
          <w:sz w:val="22"/>
          <w:szCs w:val="22"/>
        </w:rPr>
        <w:t xml:space="preserve">            </w:t>
      </w:r>
      <w:r w:rsidR="005E0ACC">
        <w:rPr>
          <w:rFonts w:ascii="Arial Narrow" w:hAnsi="Arial Narrow"/>
          <w:sz w:val="22"/>
          <w:szCs w:val="22"/>
        </w:rPr>
        <w:t xml:space="preserve">             </w:t>
      </w:r>
    </w:p>
    <w:p w14:paraId="2D9B9568" w14:textId="77777777" w:rsidR="003B576E" w:rsidRDefault="003B576E" w:rsidP="00861043">
      <w:pPr>
        <w:pStyle w:val="Prrafodelista"/>
        <w:ind w:left="708"/>
        <w:rPr>
          <w:rFonts w:ascii="Arial Narrow" w:hAnsi="Arial Narrow"/>
          <w:sz w:val="6"/>
          <w:szCs w:val="6"/>
        </w:rPr>
      </w:pPr>
    </w:p>
    <w:p w14:paraId="44BF9005" w14:textId="77777777" w:rsidR="007E5322" w:rsidRPr="00C66D15" w:rsidRDefault="007E5322" w:rsidP="00861043">
      <w:pPr>
        <w:pStyle w:val="Prrafodelista"/>
        <w:ind w:left="708"/>
        <w:rPr>
          <w:rFonts w:ascii="Arial Narrow" w:hAnsi="Arial Narrow"/>
          <w:sz w:val="6"/>
          <w:szCs w:val="6"/>
        </w:rPr>
      </w:pPr>
    </w:p>
    <w:p w14:paraId="0404F679" w14:textId="463502FD" w:rsidR="00A81D8B" w:rsidRDefault="002A15C1" w:rsidP="00DF42F2">
      <w:pPr>
        <w:ind w:left="705"/>
        <w:jc w:val="both"/>
        <w:rPr>
          <w:rFonts w:ascii="Arial Narrow" w:hAnsi="Arial Narrow"/>
          <w:sz w:val="22"/>
          <w:szCs w:val="22"/>
        </w:rPr>
      </w:pPr>
      <w:r w:rsidRPr="002A15C1">
        <w:rPr>
          <w:rFonts w:ascii="Arial Narrow" w:hAnsi="Arial Narrow"/>
          <w:sz w:val="22"/>
          <w:szCs w:val="22"/>
        </w:rPr>
        <w:t xml:space="preserve">Es importante precisar </w:t>
      </w:r>
      <w:r w:rsidR="00DD603A">
        <w:rPr>
          <w:rFonts w:ascii="Arial Narrow" w:hAnsi="Arial Narrow"/>
          <w:sz w:val="22"/>
          <w:szCs w:val="22"/>
        </w:rPr>
        <w:t xml:space="preserve">que </w:t>
      </w:r>
      <w:r w:rsidR="00DD603A" w:rsidRPr="002A15C1">
        <w:rPr>
          <w:rFonts w:ascii="Arial Narrow" w:hAnsi="Arial Narrow"/>
          <w:sz w:val="22"/>
          <w:szCs w:val="22"/>
        </w:rPr>
        <w:t xml:space="preserve">su incremento obedece a la actualización </w:t>
      </w:r>
      <w:r w:rsidR="007A7A47" w:rsidRPr="002A15C1">
        <w:rPr>
          <w:rFonts w:ascii="Arial Narrow" w:hAnsi="Arial Narrow"/>
          <w:sz w:val="22"/>
          <w:szCs w:val="22"/>
        </w:rPr>
        <w:t>de acuerdo con</w:t>
      </w:r>
      <w:r w:rsidR="00DD603A" w:rsidRPr="002A15C1">
        <w:rPr>
          <w:rFonts w:ascii="Arial Narrow" w:hAnsi="Arial Narrow"/>
          <w:sz w:val="22"/>
          <w:szCs w:val="22"/>
        </w:rPr>
        <w:t xml:space="preserve"> las cláusulas contractuales de la concesión Red Férrea del Atlántico,</w:t>
      </w:r>
      <w:r w:rsidR="00DD603A">
        <w:rPr>
          <w:rFonts w:ascii="Arial Narrow" w:hAnsi="Arial Narrow"/>
          <w:sz w:val="22"/>
          <w:szCs w:val="22"/>
        </w:rPr>
        <w:t xml:space="preserve"> y su saldo </w:t>
      </w:r>
      <w:r w:rsidRPr="002A15C1">
        <w:rPr>
          <w:rFonts w:ascii="Arial Narrow" w:hAnsi="Arial Narrow"/>
          <w:sz w:val="22"/>
          <w:szCs w:val="22"/>
        </w:rPr>
        <w:t xml:space="preserve">presenta una antigüedad menor a </w:t>
      </w:r>
      <w:r w:rsidR="00A01C1A">
        <w:rPr>
          <w:rFonts w:ascii="Arial Narrow" w:hAnsi="Arial Narrow"/>
          <w:sz w:val="22"/>
          <w:szCs w:val="22"/>
        </w:rPr>
        <w:t>dos (</w:t>
      </w:r>
      <w:r w:rsidRPr="002A15C1">
        <w:rPr>
          <w:rFonts w:ascii="Arial Narrow" w:hAnsi="Arial Narrow"/>
          <w:sz w:val="22"/>
          <w:szCs w:val="22"/>
        </w:rPr>
        <w:t>2</w:t>
      </w:r>
      <w:r w:rsidR="00A01C1A">
        <w:rPr>
          <w:rFonts w:ascii="Arial Narrow" w:hAnsi="Arial Narrow"/>
          <w:sz w:val="22"/>
          <w:szCs w:val="22"/>
        </w:rPr>
        <w:t>)</w:t>
      </w:r>
      <w:r w:rsidRPr="002A15C1">
        <w:rPr>
          <w:rFonts w:ascii="Arial Narrow" w:hAnsi="Arial Narrow"/>
          <w:sz w:val="22"/>
          <w:szCs w:val="22"/>
        </w:rPr>
        <w:t xml:space="preserve"> meses, raz</w:t>
      </w:r>
      <w:r w:rsidR="00DD603A">
        <w:rPr>
          <w:rFonts w:ascii="Arial Narrow" w:hAnsi="Arial Narrow"/>
          <w:sz w:val="22"/>
          <w:szCs w:val="22"/>
        </w:rPr>
        <w:t>o</w:t>
      </w:r>
      <w:r w:rsidRPr="002A15C1">
        <w:rPr>
          <w:rFonts w:ascii="Arial Narrow" w:hAnsi="Arial Narrow"/>
          <w:sz w:val="22"/>
          <w:szCs w:val="22"/>
        </w:rPr>
        <w:t>n</w:t>
      </w:r>
      <w:r w:rsidR="00DD603A">
        <w:rPr>
          <w:rFonts w:ascii="Arial Narrow" w:hAnsi="Arial Narrow"/>
          <w:sz w:val="22"/>
          <w:szCs w:val="22"/>
        </w:rPr>
        <w:t>es</w:t>
      </w:r>
      <w:r w:rsidRPr="002A15C1">
        <w:rPr>
          <w:rFonts w:ascii="Arial Narrow" w:hAnsi="Arial Narrow"/>
          <w:sz w:val="22"/>
          <w:szCs w:val="22"/>
        </w:rPr>
        <w:t xml:space="preserve"> por la cual</w:t>
      </w:r>
      <w:r w:rsidR="00DD603A">
        <w:rPr>
          <w:rFonts w:ascii="Arial Narrow" w:hAnsi="Arial Narrow"/>
          <w:sz w:val="22"/>
          <w:szCs w:val="22"/>
        </w:rPr>
        <w:t>es</w:t>
      </w:r>
      <w:r w:rsidRPr="002A15C1">
        <w:rPr>
          <w:rFonts w:ascii="Arial Narrow" w:hAnsi="Arial Narrow"/>
          <w:sz w:val="22"/>
          <w:szCs w:val="22"/>
        </w:rPr>
        <w:t xml:space="preserve"> se considera una cartera de fácil recuperación y no hay indicios de deterioro para el mes de </w:t>
      </w:r>
      <w:r w:rsidR="00BB041F">
        <w:rPr>
          <w:rFonts w:ascii="Arial Narrow" w:hAnsi="Arial Narrow"/>
          <w:sz w:val="22"/>
          <w:szCs w:val="22"/>
        </w:rPr>
        <w:t>octu</w:t>
      </w:r>
      <w:r w:rsidR="005560C8">
        <w:rPr>
          <w:rFonts w:ascii="Arial Narrow" w:hAnsi="Arial Narrow"/>
          <w:sz w:val="22"/>
          <w:szCs w:val="22"/>
        </w:rPr>
        <w:t>bre</w:t>
      </w:r>
      <w:r w:rsidRPr="002A15C1">
        <w:rPr>
          <w:rFonts w:ascii="Arial Narrow" w:hAnsi="Arial Narrow"/>
          <w:sz w:val="22"/>
          <w:szCs w:val="22"/>
        </w:rPr>
        <w:t xml:space="preserve"> de 2019.</w:t>
      </w:r>
    </w:p>
    <w:p w14:paraId="4D702D96" w14:textId="3059D0F1" w:rsidR="00D94DDD" w:rsidRDefault="00D94DDD" w:rsidP="00D94DDD">
      <w:pPr>
        <w:jc w:val="both"/>
        <w:rPr>
          <w:rFonts w:ascii="Arial Narrow" w:hAnsi="Arial Narrow"/>
          <w:sz w:val="22"/>
          <w:szCs w:val="22"/>
        </w:rPr>
      </w:pPr>
    </w:p>
    <w:p w14:paraId="0B1D5724" w14:textId="77E1AF37" w:rsidR="00D27207" w:rsidRPr="00944862" w:rsidRDefault="00406B31" w:rsidP="00944862">
      <w:pPr>
        <w:pStyle w:val="Prrafodelista"/>
        <w:numPr>
          <w:ilvl w:val="0"/>
          <w:numId w:val="42"/>
        </w:numPr>
        <w:jc w:val="both"/>
        <w:rPr>
          <w:rFonts w:ascii="Arial Narrow" w:hAnsi="Arial Narrow"/>
          <w:sz w:val="22"/>
          <w:szCs w:val="22"/>
        </w:rPr>
      </w:pPr>
      <w:r w:rsidRPr="00944862">
        <w:rPr>
          <w:rFonts w:ascii="Arial Narrow" w:hAnsi="Arial Narrow"/>
          <w:sz w:val="22"/>
          <w:szCs w:val="22"/>
        </w:rPr>
        <w:t xml:space="preserve">En la subcuenta sanciones se </w:t>
      </w:r>
      <w:r w:rsidR="004A1F57" w:rsidRPr="00944862">
        <w:rPr>
          <w:rFonts w:ascii="Arial Narrow" w:hAnsi="Arial Narrow"/>
          <w:sz w:val="22"/>
          <w:szCs w:val="22"/>
        </w:rPr>
        <w:t xml:space="preserve">incorporó </w:t>
      </w:r>
      <w:r w:rsidR="00AD09D7" w:rsidRPr="00944862">
        <w:rPr>
          <w:rFonts w:ascii="Arial Narrow" w:hAnsi="Arial Narrow"/>
          <w:sz w:val="22"/>
          <w:szCs w:val="22"/>
        </w:rPr>
        <w:t>un valor de $36.978 miles</w:t>
      </w:r>
      <w:r w:rsidR="00994831" w:rsidRPr="00944862">
        <w:rPr>
          <w:rFonts w:ascii="Arial Narrow" w:hAnsi="Arial Narrow"/>
          <w:sz w:val="22"/>
          <w:szCs w:val="22"/>
        </w:rPr>
        <w:t xml:space="preserve">, </w:t>
      </w:r>
      <w:r w:rsidR="00AD09D7" w:rsidRPr="00944862">
        <w:rPr>
          <w:rFonts w:ascii="Arial Narrow" w:hAnsi="Arial Narrow"/>
          <w:sz w:val="22"/>
          <w:szCs w:val="22"/>
        </w:rPr>
        <w:t>que corresponde a</w:t>
      </w:r>
      <w:r w:rsidR="00994831" w:rsidRPr="00944862">
        <w:rPr>
          <w:rFonts w:ascii="Arial Narrow" w:hAnsi="Arial Narrow"/>
          <w:sz w:val="22"/>
          <w:szCs w:val="22"/>
        </w:rPr>
        <w:t>:</w:t>
      </w:r>
      <w:r w:rsidR="00D27207" w:rsidRPr="00944862">
        <w:rPr>
          <w:rFonts w:ascii="Arial Narrow" w:hAnsi="Arial Narrow"/>
          <w:sz w:val="22"/>
          <w:szCs w:val="22"/>
        </w:rPr>
        <w:t xml:space="preserve"> </w:t>
      </w:r>
      <w:r w:rsidR="00AD09D7" w:rsidRPr="00944862">
        <w:rPr>
          <w:rFonts w:ascii="Arial Narrow" w:hAnsi="Arial Narrow"/>
          <w:sz w:val="22"/>
          <w:szCs w:val="22"/>
        </w:rPr>
        <w:t xml:space="preserve">(i) sanción </w:t>
      </w:r>
      <w:r w:rsidR="003025A3" w:rsidRPr="00944862">
        <w:rPr>
          <w:rFonts w:ascii="Arial Narrow" w:hAnsi="Arial Narrow"/>
          <w:sz w:val="22"/>
          <w:szCs w:val="22"/>
        </w:rPr>
        <w:t xml:space="preserve">por valor de $31.208 miles </w:t>
      </w:r>
      <w:r w:rsidR="00AD09D7" w:rsidRPr="00944862">
        <w:rPr>
          <w:rFonts w:ascii="Arial Narrow" w:hAnsi="Arial Narrow"/>
          <w:sz w:val="22"/>
          <w:szCs w:val="22"/>
        </w:rPr>
        <w:t xml:space="preserve">impuesta a la Sociedad Portuaria la Península PENSOPORT, según Resoluciones No. 770 y </w:t>
      </w:r>
      <w:r w:rsidR="00D27207" w:rsidRPr="00944862">
        <w:rPr>
          <w:rFonts w:ascii="Arial Narrow" w:hAnsi="Arial Narrow"/>
          <w:sz w:val="22"/>
          <w:szCs w:val="22"/>
        </w:rPr>
        <w:t xml:space="preserve">No. </w:t>
      </w:r>
      <w:r w:rsidR="00AD09D7" w:rsidRPr="00944862">
        <w:rPr>
          <w:rFonts w:ascii="Arial Narrow" w:hAnsi="Arial Narrow"/>
          <w:sz w:val="22"/>
          <w:szCs w:val="22"/>
        </w:rPr>
        <w:t>1461 de 2019, por concepto de Incumplimiento de las obligaciones contractuales asumidas por la Sociedad Portuaria la Península</w:t>
      </w:r>
      <w:r w:rsidR="003025A3" w:rsidRPr="00944862">
        <w:rPr>
          <w:rFonts w:ascii="Arial Narrow" w:hAnsi="Arial Narrow"/>
          <w:sz w:val="22"/>
          <w:szCs w:val="22"/>
        </w:rPr>
        <w:t>;</w:t>
      </w:r>
      <w:r w:rsidR="00AD09D7" w:rsidRPr="00944862">
        <w:rPr>
          <w:rFonts w:ascii="Arial Narrow" w:hAnsi="Arial Narrow"/>
          <w:sz w:val="22"/>
          <w:szCs w:val="22"/>
        </w:rPr>
        <w:t xml:space="preserve"> </w:t>
      </w:r>
      <w:r w:rsidR="004C1465" w:rsidRPr="00944862">
        <w:rPr>
          <w:rFonts w:ascii="Arial Narrow" w:hAnsi="Arial Narrow"/>
          <w:sz w:val="22"/>
          <w:szCs w:val="22"/>
        </w:rPr>
        <w:t>“…</w:t>
      </w:r>
      <w:r w:rsidR="001B02B3" w:rsidRPr="00944862">
        <w:rPr>
          <w:rFonts w:ascii="Arial Narrow" w:hAnsi="Arial Narrow"/>
          <w:i/>
          <w:iCs/>
          <w:sz w:val="22"/>
          <w:szCs w:val="22"/>
        </w:rPr>
        <w:t>Incumplimiento del pago de la contraprestaciones portuarias de la anualidades 2014-2015 y 2015-2016 establecidas en el numeral 9.1 “Contraprestación por el uso y goce temporal y exclusivo de las playas</w:t>
      </w:r>
      <w:r w:rsidR="005F0808" w:rsidRPr="00944862">
        <w:rPr>
          <w:rFonts w:ascii="Arial Narrow" w:hAnsi="Arial Narrow"/>
          <w:i/>
          <w:iCs/>
          <w:sz w:val="22"/>
          <w:szCs w:val="22"/>
        </w:rPr>
        <w:t>,</w:t>
      </w:r>
      <w:r w:rsidR="001B02B3" w:rsidRPr="00944862">
        <w:rPr>
          <w:rFonts w:ascii="Arial Narrow" w:hAnsi="Arial Narrow"/>
          <w:i/>
          <w:iCs/>
          <w:sz w:val="22"/>
          <w:szCs w:val="22"/>
        </w:rPr>
        <w:t xml:space="preserve"> terrenos de bajamar y zonas accesorias de uso público” y 9.2 </w:t>
      </w:r>
      <w:r w:rsidR="005F0808" w:rsidRPr="00944862">
        <w:rPr>
          <w:rFonts w:ascii="Arial Narrow" w:hAnsi="Arial Narrow"/>
          <w:i/>
          <w:iCs/>
          <w:sz w:val="22"/>
          <w:szCs w:val="22"/>
        </w:rPr>
        <w:t>“</w:t>
      </w:r>
      <w:r w:rsidR="001B02B3" w:rsidRPr="00944862">
        <w:rPr>
          <w:rFonts w:ascii="Arial Narrow" w:hAnsi="Arial Narrow"/>
          <w:i/>
          <w:iCs/>
          <w:sz w:val="22"/>
          <w:szCs w:val="22"/>
        </w:rPr>
        <w:t>Contraprestación por Infraestructura</w:t>
      </w:r>
      <w:r w:rsidR="005F0808" w:rsidRPr="00944862">
        <w:rPr>
          <w:rFonts w:ascii="Arial Narrow" w:hAnsi="Arial Narrow"/>
          <w:i/>
          <w:iCs/>
          <w:sz w:val="22"/>
          <w:szCs w:val="22"/>
        </w:rPr>
        <w:t>” de la Cláusula Novena “ Valor del contrato y las Contraprestaciones”</w:t>
      </w:r>
      <w:r w:rsidR="001B02B3" w:rsidRPr="00944862">
        <w:rPr>
          <w:rFonts w:ascii="Arial Narrow" w:hAnsi="Arial Narrow"/>
          <w:i/>
          <w:iCs/>
          <w:sz w:val="22"/>
          <w:szCs w:val="22"/>
        </w:rPr>
        <w:t xml:space="preserve"> y el numeral 16.1 de la </w:t>
      </w:r>
      <w:proofErr w:type="spellStart"/>
      <w:r w:rsidR="001B02B3" w:rsidRPr="00944862">
        <w:rPr>
          <w:rFonts w:ascii="Arial Narrow" w:hAnsi="Arial Narrow"/>
          <w:i/>
          <w:iCs/>
          <w:sz w:val="22"/>
          <w:szCs w:val="22"/>
        </w:rPr>
        <w:t>Claúsula</w:t>
      </w:r>
      <w:proofErr w:type="spellEnd"/>
      <w:r w:rsidR="001B02B3" w:rsidRPr="00944862">
        <w:rPr>
          <w:rFonts w:ascii="Arial Narrow" w:hAnsi="Arial Narrow"/>
          <w:i/>
          <w:iCs/>
          <w:sz w:val="22"/>
          <w:szCs w:val="22"/>
        </w:rPr>
        <w:t xml:space="preserve"> Décimo Sexta</w:t>
      </w:r>
      <w:r w:rsidR="005F0808" w:rsidRPr="00944862">
        <w:rPr>
          <w:rFonts w:ascii="Arial Narrow" w:hAnsi="Arial Narrow"/>
          <w:i/>
          <w:iCs/>
          <w:sz w:val="22"/>
          <w:szCs w:val="22"/>
        </w:rPr>
        <w:t xml:space="preserve"> del Contrato </w:t>
      </w:r>
      <w:r w:rsidR="004C1465" w:rsidRPr="00944862">
        <w:rPr>
          <w:rFonts w:ascii="Arial Narrow" w:hAnsi="Arial Narrow"/>
          <w:i/>
          <w:iCs/>
          <w:sz w:val="22"/>
          <w:szCs w:val="22"/>
        </w:rPr>
        <w:t>de Concesión Portuaria No. 009 de 2009</w:t>
      </w:r>
      <w:r w:rsidR="004C1465" w:rsidRPr="00944862">
        <w:rPr>
          <w:rFonts w:ascii="Arial Narrow" w:hAnsi="Arial Narrow"/>
          <w:sz w:val="22"/>
          <w:szCs w:val="22"/>
        </w:rPr>
        <w:t>…”</w:t>
      </w:r>
      <w:r w:rsidR="005F0808" w:rsidRPr="00944862">
        <w:rPr>
          <w:rFonts w:ascii="Arial Narrow" w:hAnsi="Arial Narrow"/>
          <w:sz w:val="22"/>
          <w:szCs w:val="22"/>
        </w:rPr>
        <w:t xml:space="preserve"> </w:t>
      </w:r>
      <w:r w:rsidR="00AD3D05" w:rsidRPr="00944862">
        <w:rPr>
          <w:rFonts w:ascii="Arial Narrow" w:hAnsi="Arial Narrow"/>
          <w:sz w:val="22"/>
          <w:szCs w:val="22"/>
        </w:rPr>
        <w:t xml:space="preserve"> </w:t>
      </w:r>
      <w:r w:rsidR="003025A3" w:rsidRPr="00944862">
        <w:rPr>
          <w:rFonts w:ascii="Arial Narrow" w:hAnsi="Arial Narrow"/>
          <w:sz w:val="22"/>
          <w:szCs w:val="22"/>
        </w:rPr>
        <w:t>V</w:t>
      </w:r>
      <w:r w:rsidR="00AD09D7" w:rsidRPr="00944862">
        <w:rPr>
          <w:rFonts w:ascii="Arial Narrow" w:hAnsi="Arial Narrow"/>
          <w:sz w:val="22"/>
          <w:szCs w:val="22"/>
        </w:rPr>
        <w:t xml:space="preserve">alor en dólares US$8.999.97- TRM </w:t>
      </w:r>
      <w:r w:rsidR="00A90F35" w:rsidRPr="00944862">
        <w:rPr>
          <w:rFonts w:ascii="Arial Narrow" w:hAnsi="Arial Narrow"/>
          <w:sz w:val="22"/>
          <w:szCs w:val="22"/>
        </w:rPr>
        <w:t xml:space="preserve">$3.467,60 </w:t>
      </w:r>
      <w:r w:rsidR="00AD09D7" w:rsidRPr="00944862">
        <w:rPr>
          <w:rFonts w:ascii="Arial Narrow" w:hAnsi="Arial Narrow"/>
          <w:sz w:val="22"/>
          <w:szCs w:val="22"/>
        </w:rPr>
        <w:t xml:space="preserve">del día 4 de octubre </w:t>
      </w:r>
      <w:r w:rsidR="00A90F35" w:rsidRPr="00944862">
        <w:rPr>
          <w:rFonts w:ascii="Arial Narrow" w:hAnsi="Arial Narrow"/>
          <w:sz w:val="22"/>
          <w:szCs w:val="22"/>
        </w:rPr>
        <w:t>de 2019</w:t>
      </w:r>
      <w:r w:rsidR="00353147">
        <w:rPr>
          <w:rFonts w:ascii="Arial Narrow" w:hAnsi="Arial Narrow"/>
          <w:sz w:val="22"/>
          <w:szCs w:val="22"/>
        </w:rPr>
        <w:t>,</w:t>
      </w:r>
      <w:r w:rsidR="00017E4E" w:rsidRPr="00944862">
        <w:rPr>
          <w:rFonts w:ascii="Arial Narrow" w:hAnsi="Arial Narrow"/>
          <w:sz w:val="22"/>
          <w:szCs w:val="22"/>
        </w:rPr>
        <w:t xml:space="preserve"> y</w:t>
      </w:r>
      <w:r w:rsidR="00994831" w:rsidRPr="00944862">
        <w:rPr>
          <w:rFonts w:ascii="Arial Narrow" w:hAnsi="Arial Narrow"/>
          <w:sz w:val="22"/>
          <w:szCs w:val="22"/>
        </w:rPr>
        <w:t xml:space="preserve"> (</w:t>
      </w:r>
      <w:proofErr w:type="spellStart"/>
      <w:r w:rsidR="00994831" w:rsidRPr="00944862">
        <w:rPr>
          <w:rFonts w:ascii="Arial Narrow" w:hAnsi="Arial Narrow"/>
          <w:sz w:val="22"/>
          <w:szCs w:val="22"/>
        </w:rPr>
        <w:t>ii</w:t>
      </w:r>
      <w:proofErr w:type="spellEnd"/>
      <w:r w:rsidR="00994831" w:rsidRPr="00944862">
        <w:rPr>
          <w:rFonts w:ascii="Arial Narrow" w:hAnsi="Arial Narrow"/>
          <w:sz w:val="22"/>
          <w:szCs w:val="22"/>
        </w:rPr>
        <w:t xml:space="preserve">) sanción impuesta a </w:t>
      </w:r>
      <w:r w:rsidR="00D27207" w:rsidRPr="00944862">
        <w:rPr>
          <w:rFonts w:ascii="Arial Narrow" w:hAnsi="Arial Narrow"/>
          <w:sz w:val="22"/>
          <w:szCs w:val="22"/>
        </w:rPr>
        <w:t>GENESIS CONSTRUCCIONES SAS</w:t>
      </w:r>
      <w:r w:rsidR="00353147">
        <w:rPr>
          <w:rFonts w:ascii="Arial Narrow" w:hAnsi="Arial Narrow"/>
          <w:sz w:val="22"/>
          <w:szCs w:val="22"/>
        </w:rPr>
        <w:t xml:space="preserve"> por valor de $5.770 miles</w:t>
      </w:r>
      <w:r w:rsidR="00D27207" w:rsidRPr="00944862">
        <w:rPr>
          <w:rFonts w:ascii="Arial Narrow" w:hAnsi="Arial Narrow"/>
          <w:sz w:val="22"/>
          <w:szCs w:val="22"/>
        </w:rPr>
        <w:t xml:space="preserve">, según Resoluciones No. 1201 y No. 1422 de 2019, </w:t>
      </w:r>
      <w:r w:rsidR="00DC2CE6" w:rsidRPr="00944862">
        <w:rPr>
          <w:rFonts w:ascii="Arial Narrow" w:hAnsi="Arial Narrow"/>
          <w:sz w:val="22"/>
          <w:szCs w:val="22"/>
        </w:rPr>
        <w:t xml:space="preserve">según las consideraciones </w:t>
      </w:r>
      <w:r w:rsidR="00D27207" w:rsidRPr="00944862">
        <w:rPr>
          <w:rFonts w:ascii="Arial Narrow" w:hAnsi="Arial Narrow"/>
          <w:sz w:val="22"/>
          <w:szCs w:val="22"/>
        </w:rPr>
        <w:t xml:space="preserve">por concepto </w:t>
      </w:r>
      <w:r w:rsidR="004C4BF2" w:rsidRPr="00944862">
        <w:rPr>
          <w:rFonts w:ascii="Arial Narrow" w:hAnsi="Arial Narrow"/>
          <w:sz w:val="22"/>
          <w:szCs w:val="22"/>
        </w:rPr>
        <w:t>d</w:t>
      </w:r>
      <w:r w:rsidR="00DC2CE6" w:rsidRPr="00944862">
        <w:rPr>
          <w:rFonts w:ascii="Arial Narrow" w:hAnsi="Arial Narrow"/>
          <w:sz w:val="22"/>
          <w:szCs w:val="22"/>
        </w:rPr>
        <w:t>el</w:t>
      </w:r>
      <w:r w:rsidR="00D27207" w:rsidRPr="00944862">
        <w:rPr>
          <w:rFonts w:ascii="Arial Narrow" w:hAnsi="Arial Narrow"/>
          <w:sz w:val="22"/>
          <w:szCs w:val="22"/>
        </w:rPr>
        <w:t xml:space="preserve"> incumplimiento </w:t>
      </w:r>
      <w:r w:rsidR="00DC2CE6" w:rsidRPr="00944862">
        <w:rPr>
          <w:rFonts w:ascii="Arial Narrow" w:hAnsi="Arial Narrow"/>
          <w:sz w:val="22"/>
          <w:szCs w:val="22"/>
        </w:rPr>
        <w:t>“</w:t>
      </w:r>
      <w:r w:rsidR="00D27207" w:rsidRPr="00944862">
        <w:rPr>
          <w:rFonts w:ascii="Arial Narrow" w:hAnsi="Arial Narrow"/>
          <w:i/>
          <w:iCs/>
          <w:sz w:val="22"/>
          <w:szCs w:val="22"/>
        </w:rPr>
        <w:t>de las obligaciones contractuales pactadas en el contrato de prestación de servicios 468 de 2018</w:t>
      </w:r>
      <w:r w:rsidR="003025A3" w:rsidRPr="00944862">
        <w:rPr>
          <w:rFonts w:ascii="Arial Narrow" w:hAnsi="Arial Narrow"/>
          <w:i/>
          <w:iCs/>
          <w:sz w:val="22"/>
          <w:szCs w:val="22"/>
        </w:rPr>
        <w:t xml:space="preserve"> por el no suministro de los insumos (materiales) enlistado en el escrito de citación, en las condiciones establecidas en el contrato</w:t>
      </w:r>
      <w:r w:rsidR="00DC2CE6" w:rsidRPr="00944862">
        <w:rPr>
          <w:rFonts w:ascii="Arial Narrow" w:hAnsi="Arial Narrow"/>
          <w:i/>
          <w:iCs/>
          <w:sz w:val="22"/>
          <w:szCs w:val="22"/>
        </w:rPr>
        <w:t>,</w:t>
      </w:r>
      <w:r w:rsidR="003025A3" w:rsidRPr="00944862">
        <w:rPr>
          <w:rFonts w:ascii="Arial Narrow" w:hAnsi="Arial Narrow"/>
          <w:i/>
          <w:iCs/>
          <w:sz w:val="22"/>
          <w:szCs w:val="22"/>
        </w:rPr>
        <w:t xml:space="preserve"> </w:t>
      </w:r>
      <w:r w:rsidR="00DC2CE6" w:rsidRPr="00944862">
        <w:rPr>
          <w:rFonts w:ascii="Arial Narrow" w:hAnsi="Arial Narrow"/>
          <w:i/>
          <w:iCs/>
          <w:sz w:val="22"/>
          <w:szCs w:val="22"/>
        </w:rPr>
        <w:t>a</w:t>
      </w:r>
      <w:r w:rsidR="003025A3" w:rsidRPr="00944862">
        <w:rPr>
          <w:rFonts w:ascii="Arial Narrow" w:hAnsi="Arial Narrow"/>
          <w:i/>
          <w:iCs/>
          <w:sz w:val="22"/>
          <w:szCs w:val="22"/>
        </w:rPr>
        <w:t>sí como la no realización de las actividades de mantenimiento con la mano de obra especializada, puntualmente el mantenimiento de la cubierta de la bodega de la Agencia ubicada en Fontibón</w:t>
      </w:r>
      <w:r w:rsidR="00DC2CE6" w:rsidRPr="00944862">
        <w:rPr>
          <w:rFonts w:ascii="Arial Narrow" w:hAnsi="Arial Narrow"/>
          <w:sz w:val="22"/>
          <w:szCs w:val="22"/>
        </w:rPr>
        <w:t>”</w:t>
      </w:r>
      <w:r w:rsidR="003025A3" w:rsidRPr="00944862">
        <w:rPr>
          <w:rFonts w:ascii="Arial Narrow" w:hAnsi="Arial Narrow"/>
          <w:sz w:val="22"/>
          <w:szCs w:val="22"/>
        </w:rPr>
        <w:t>.</w:t>
      </w:r>
    </w:p>
    <w:p w14:paraId="6B137111" w14:textId="77777777" w:rsidR="00D27207" w:rsidRDefault="00D27207" w:rsidP="00D27207">
      <w:pPr>
        <w:pStyle w:val="Prrafodelista"/>
        <w:jc w:val="both"/>
        <w:rPr>
          <w:rFonts w:ascii="Arial Narrow" w:hAnsi="Arial Narrow"/>
          <w:sz w:val="22"/>
          <w:szCs w:val="22"/>
        </w:rPr>
      </w:pPr>
    </w:p>
    <w:p w14:paraId="06D29543" w14:textId="00FEBA4F" w:rsidR="00C709CE" w:rsidRDefault="00F526D1" w:rsidP="0045471E">
      <w:pPr>
        <w:pStyle w:val="Prrafodelista"/>
        <w:numPr>
          <w:ilvl w:val="0"/>
          <w:numId w:val="33"/>
        </w:numPr>
        <w:jc w:val="both"/>
        <w:rPr>
          <w:rFonts w:ascii="Arial Narrow" w:hAnsi="Arial Narrow"/>
          <w:sz w:val="22"/>
          <w:szCs w:val="22"/>
        </w:rPr>
      </w:pPr>
      <w:r>
        <w:rPr>
          <w:rFonts w:ascii="Arial Narrow" w:hAnsi="Arial Narrow"/>
          <w:sz w:val="22"/>
          <w:szCs w:val="22"/>
        </w:rPr>
        <w:t xml:space="preserve">El </w:t>
      </w:r>
      <w:r w:rsidRPr="0045471E">
        <w:rPr>
          <w:rFonts w:ascii="Arial Narrow" w:hAnsi="Arial Narrow"/>
          <w:sz w:val="22"/>
          <w:szCs w:val="22"/>
        </w:rPr>
        <w:t>grupo Propiedades, planta y equipo</w:t>
      </w:r>
      <w:r>
        <w:rPr>
          <w:rFonts w:ascii="Arial Narrow" w:hAnsi="Arial Narrow"/>
          <w:sz w:val="22"/>
          <w:szCs w:val="22"/>
        </w:rPr>
        <w:t xml:space="preserve"> presenta </w:t>
      </w:r>
      <w:r w:rsidR="004A31F0">
        <w:rPr>
          <w:rFonts w:ascii="Arial Narrow" w:hAnsi="Arial Narrow"/>
          <w:sz w:val="22"/>
          <w:szCs w:val="22"/>
        </w:rPr>
        <w:t>para el</w:t>
      </w:r>
      <w:r>
        <w:rPr>
          <w:rFonts w:ascii="Arial Narrow" w:hAnsi="Arial Narrow"/>
          <w:sz w:val="22"/>
          <w:szCs w:val="22"/>
        </w:rPr>
        <w:t xml:space="preserve"> cierre del mes de octubre de 2019 un saldo por valor de </w:t>
      </w:r>
      <w:r w:rsidRPr="00F526D1">
        <w:rPr>
          <w:rFonts w:ascii="Arial Narrow" w:hAnsi="Arial Narrow"/>
          <w:sz w:val="22"/>
          <w:szCs w:val="22"/>
        </w:rPr>
        <w:t>$1.897.964.169</w:t>
      </w:r>
      <w:r>
        <w:rPr>
          <w:rFonts w:ascii="Arial Narrow" w:hAnsi="Arial Narrow"/>
          <w:sz w:val="22"/>
          <w:szCs w:val="22"/>
        </w:rPr>
        <w:t xml:space="preserve"> </w:t>
      </w:r>
      <w:r w:rsidRPr="00F526D1">
        <w:rPr>
          <w:rFonts w:ascii="Arial Narrow" w:hAnsi="Arial Narrow"/>
          <w:sz w:val="22"/>
          <w:szCs w:val="22"/>
        </w:rPr>
        <w:t>miles</w:t>
      </w:r>
      <w:r w:rsidR="008049D0">
        <w:rPr>
          <w:rFonts w:ascii="Arial Narrow" w:hAnsi="Arial Narrow"/>
          <w:sz w:val="22"/>
          <w:szCs w:val="22"/>
        </w:rPr>
        <w:t>,</w:t>
      </w:r>
      <w:r w:rsidRPr="00F526D1">
        <w:rPr>
          <w:rFonts w:ascii="Arial Narrow" w:hAnsi="Arial Narrow"/>
          <w:sz w:val="22"/>
          <w:szCs w:val="22"/>
        </w:rPr>
        <w:t xml:space="preserve"> </w:t>
      </w:r>
      <w:r>
        <w:rPr>
          <w:rFonts w:ascii="Arial Narrow" w:hAnsi="Arial Narrow"/>
          <w:sz w:val="22"/>
          <w:szCs w:val="22"/>
        </w:rPr>
        <w:t xml:space="preserve">conformados por </w:t>
      </w:r>
      <w:r w:rsidRPr="00F526D1">
        <w:rPr>
          <w:rFonts w:ascii="Arial Narrow" w:hAnsi="Arial Narrow"/>
          <w:sz w:val="22"/>
          <w:szCs w:val="22"/>
        </w:rPr>
        <w:t>las Propiedades Planta y Equipo</w:t>
      </w:r>
      <w:r w:rsidR="004A31F0">
        <w:rPr>
          <w:rFonts w:ascii="Arial Narrow" w:hAnsi="Arial Narrow"/>
          <w:sz w:val="22"/>
          <w:szCs w:val="22"/>
        </w:rPr>
        <w:t xml:space="preserve"> en Concesión </w:t>
      </w:r>
      <w:r w:rsidR="00353147">
        <w:rPr>
          <w:rFonts w:ascii="Arial Narrow" w:hAnsi="Arial Narrow"/>
          <w:sz w:val="22"/>
          <w:szCs w:val="22"/>
        </w:rPr>
        <w:t xml:space="preserve">por valor de </w:t>
      </w:r>
      <w:r w:rsidR="004A31F0">
        <w:rPr>
          <w:rFonts w:ascii="Arial Narrow" w:hAnsi="Arial Narrow"/>
          <w:sz w:val="22"/>
          <w:szCs w:val="22"/>
        </w:rPr>
        <w:t>$</w:t>
      </w:r>
      <w:r w:rsidR="004A31F0" w:rsidRPr="004A31F0">
        <w:rPr>
          <w:rFonts w:ascii="Arial Narrow" w:hAnsi="Arial Narrow"/>
          <w:sz w:val="22"/>
          <w:szCs w:val="22"/>
        </w:rPr>
        <w:t xml:space="preserve"> 1.894.342.121</w:t>
      </w:r>
      <w:r w:rsidR="004A31F0">
        <w:rPr>
          <w:rFonts w:ascii="Arial Narrow" w:hAnsi="Arial Narrow"/>
          <w:sz w:val="22"/>
          <w:szCs w:val="22"/>
        </w:rPr>
        <w:t xml:space="preserve"> miles, los bienes muebles para el uso administrativo de la Agencia </w:t>
      </w:r>
      <w:r w:rsidR="00353147">
        <w:rPr>
          <w:rFonts w:ascii="Arial Narrow" w:hAnsi="Arial Narrow"/>
          <w:sz w:val="22"/>
          <w:szCs w:val="22"/>
        </w:rPr>
        <w:t xml:space="preserve">por valor de </w:t>
      </w:r>
      <w:r w:rsidR="004A31F0">
        <w:rPr>
          <w:rFonts w:ascii="Arial Narrow" w:hAnsi="Arial Narrow"/>
          <w:sz w:val="22"/>
          <w:szCs w:val="22"/>
        </w:rPr>
        <w:t xml:space="preserve">$14.003.107 </w:t>
      </w:r>
      <w:r w:rsidR="008049D0">
        <w:rPr>
          <w:rFonts w:ascii="Arial Narrow" w:hAnsi="Arial Narrow"/>
          <w:sz w:val="22"/>
          <w:szCs w:val="22"/>
        </w:rPr>
        <w:t xml:space="preserve">miles </w:t>
      </w:r>
      <w:r w:rsidR="004A31F0">
        <w:rPr>
          <w:rFonts w:ascii="Arial Narrow" w:hAnsi="Arial Narrow"/>
          <w:sz w:val="22"/>
          <w:szCs w:val="22"/>
        </w:rPr>
        <w:t>y la depreciación acumulada de este grupo de activos por valor de -$</w:t>
      </w:r>
      <w:r w:rsidR="004A31F0" w:rsidRPr="004A31F0">
        <w:rPr>
          <w:rFonts w:ascii="Arial Narrow" w:hAnsi="Arial Narrow"/>
          <w:sz w:val="22"/>
          <w:szCs w:val="22"/>
        </w:rPr>
        <w:t>10.381.059</w:t>
      </w:r>
      <w:r w:rsidR="004A31F0">
        <w:rPr>
          <w:rFonts w:ascii="Arial Narrow" w:hAnsi="Arial Narrow"/>
          <w:sz w:val="22"/>
          <w:szCs w:val="22"/>
        </w:rPr>
        <w:t xml:space="preserve"> miles.</w:t>
      </w:r>
    </w:p>
    <w:p w14:paraId="7F2F4CA4" w14:textId="549C2943" w:rsidR="008049D0" w:rsidRDefault="008049D0" w:rsidP="008049D0">
      <w:pPr>
        <w:pStyle w:val="Prrafodelista"/>
        <w:jc w:val="both"/>
        <w:rPr>
          <w:rFonts w:ascii="Arial Narrow" w:hAnsi="Arial Narrow"/>
          <w:sz w:val="22"/>
          <w:szCs w:val="22"/>
        </w:rPr>
      </w:pPr>
    </w:p>
    <w:p w14:paraId="7206F5B7" w14:textId="6B921B27" w:rsidR="00FC0104" w:rsidRDefault="00660C3A" w:rsidP="00660C3A">
      <w:pPr>
        <w:pStyle w:val="Prrafodelista"/>
        <w:jc w:val="both"/>
        <w:rPr>
          <w:rFonts w:ascii="Arial Narrow" w:hAnsi="Arial Narrow"/>
          <w:sz w:val="22"/>
          <w:szCs w:val="22"/>
        </w:rPr>
      </w:pPr>
      <w:r>
        <w:rPr>
          <w:rFonts w:ascii="Arial Narrow" w:hAnsi="Arial Narrow"/>
          <w:sz w:val="22"/>
          <w:szCs w:val="22"/>
        </w:rPr>
        <w:t xml:space="preserve">Por otra parte, el </w:t>
      </w:r>
      <w:r w:rsidR="00D94DDD" w:rsidRPr="0045471E">
        <w:rPr>
          <w:rFonts w:ascii="Arial Narrow" w:hAnsi="Arial Narrow"/>
          <w:sz w:val="22"/>
          <w:szCs w:val="22"/>
        </w:rPr>
        <w:t xml:space="preserve">grupo </w:t>
      </w:r>
      <w:r>
        <w:rPr>
          <w:rFonts w:ascii="Arial Narrow" w:hAnsi="Arial Narrow"/>
          <w:sz w:val="22"/>
          <w:szCs w:val="22"/>
        </w:rPr>
        <w:t xml:space="preserve">de </w:t>
      </w:r>
      <w:r w:rsidR="00D94DDD" w:rsidRPr="0045471E">
        <w:rPr>
          <w:rFonts w:ascii="Arial Narrow" w:hAnsi="Arial Narrow"/>
          <w:sz w:val="22"/>
          <w:szCs w:val="22"/>
        </w:rPr>
        <w:t xml:space="preserve">Propiedades, planta y equipo </w:t>
      </w:r>
      <w:r w:rsidR="008B3409">
        <w:rPr>
          <w:rFonts w:ascii="Arial Narrow" w:hAnsi="Arial Narrow"/>
          <w:sz w:val="22"/>
          <w:szCs w:val="22"/>
        </w:rPr>
        <w:t xml:space="preserve">presenta </w:t>
      </w:r>
      <w:r w:rsidR="00353147">
        <w:rPr>
          <w:rFonts w:ascii="Arial Narrow" w:hAnsi="Arial Narrow"/>
          <w:sz w:val="22"/>
          <w:szCs w:val="22"/>
        </w:rPr>
        <w:t>en</w:t>
      </w:r>
      <w:r w:rsidR="008B3409">
        <w:rPr>
          <w:rFonts w:ascii="Arial Narrow" w:hAnsi="Arial Narrow"/>
          <w:sz w:val="22"/>
          <w:szCs w:val="22"/>
        </w:rPr>
        <w:t xml:space="preserve"> el mes de septiembre de 2019 un saldo de $</w:t>
      </w:r>
      <w:r w:rsidR="008B3409" w:rsidRPr="008B3409">
        <w:rPr>
          <w:rFonts w:ascii="Arial Narrow" w:hAnsi="Arial Narrow"/>
          <w:sz w:val="22"/>
          <w:szCs w:val="22"/>
        </w:rPr>
        <w:t>1.898.145.004</w:t>
      </w:r>
      <w:r w:rsidR="008B3409">
        <w:rPr>
          <w:rFonts w:ascii="Arial Narrow" w:hAnsi="Arial Narrow"/>
          <w:sz w:val="22"/>
          <w:szCs w:val="22"/>
        </w:rPr>
        <w:t xml:space="preserve"> miles, presentando</w:t>
      </w:r>
      <w:r w:rsidR="008B3409" w:rsidRPr="008B3409">
        <w:rPr>
          <w:rFonts w:ascii="Arial Narrow" w:hAnsi="Arial Narrow"/>
          <w:sz w:val="22"/>
          <w:szCs w:val="22"/>
        </w:rPr>
        <w:t xml:space="preserve"> </w:t>
      </w:r>
      <w:r w:rsidR="00D94DDD" w:rsidRPr="0045471E">
        <w:rPr>
          <w:rFonts w:ascii="Arial Narrow" w:hAnsi="Arial Narrow"/>
          <w:sz w:val="22"/>
          <w:szCs w:val="22"/>
        </w:rPr>
        <w:t>una disminución neta</w:t>
      </w:r>
      <w:r w:rsidR="00FE3519" w:rsidRPr="0045471E">
        <w:rPr>
          <w:rFonts w:ascii="Arial Narrow" w:hAnsi="Arial Narrow"/>
          <w:sz w:val="22"/>
          <w:szCs w:val="22"/>
        </w:rPr>
        <w:t xml:space="preserve"> </w:t>
      </w:r>
      <w:r w:rsidR="00353147" w:rsidRPr="0045471E">
        <w:rPr>
          <w:rFonts w:ascii="Arial Narrow" w:hAnsi="Arial Narrow"/>
          <w:sz w:val="22"/>
          <w:szCs w:val="22"/>
        </w:rPr>
        <w:t xml:space="preserve">para el mes de octubre de 2019 </w:t>
      </w:r>
      <w:r w:rsidR="00FE3519" w:rsidRPr="0045471E">
        <w:rPr>
          <w:rFonts w:ascii="Arial Narrow" w:hAnsi="Arial Narrow"/>
          <w:sz w:val="22"/>
          <w:szCs w:val="22"/>
        </w:rPr>
        <w:t>por valor de -$1</w:t>
      </w:r>
      <w:r w:rsidR="006B4827" w:rsidRPr="0045471E">
        <w:rPr>
          <w:rFonts w:ascii="Arial Narrow" w:hAnsi="Arial Narrow"/>
          <w:sz w:val="22"/>
          <w:szCs w:val="22"/>
        </w:rPr>
        <w:t>80</w:t>
      </w:r>
      <w:r w:rsidR="00FE3519" w:rsidRPr="0045471E">
        <w:rPr>
          <w:rFonts w:ascii="Arial Narrow" w:hAnsi="Arial Narrow"/>
          <w:sz w:val="22"/>
          <w:szCs w:val="22"/>
        </w:rPr>
        <w:t>.</w:t>
      </w:r>
      <w:r w:rsidR="006B4827" w:rsidRPr="0045471E">
        <w:rPr>
          <w:rFonts w:ascii="Arial Narrow" w:hAnsi="Arial Narrow"/>
          <w:sz w:val="22"/>
          <w:szCs w:val="22"/>
        </w:rPr>
        <w:t>835</w:t>
      </w:r>
      <w:r w:rsidR="00FE3519" w:rsidRPr="0045471E">
        <w:rPr>
          <w:rFonts w:ascii="Arial Narrow" w:hAnsi="Arial Narrow"/>
          <w:sz w:val="22"/>
          <w:szCs w:val="22"/>
        </w:rPr>
        <w:t xml:space="preserve"> miles</w:t>
      </w:r>
      <w:r w:rsidR="00353147">
        <w:rPr>
          <w:rFonts w:ascii="Arial Narrow" w:hAnsi="Arial Narrow"/>
          <w:sz w:val="22"/>
          <w:szCs w:val="22"/>
        </w:rPr>
        <w:t xml:space="preserve">.  Esta </w:t>
      </w:r>
      <w:r w:rsidR="008B3409">
        <w:rPr>
          <w:rFonts w:ascii="Arial Narrow" w:hAnsi="Arial Narrow"/>
          <w:sz w:val="22"/>
          <w:szCs w:val="22"/>
        </w:rPr>
        <w:t>variación se debe a</w:t>
      </w:r>
      <w:proofErr w:type="gramStart"/>
      <w:r w:rsidR="001F6EA8">
        <w:rPr>
          <w:rFonts w:ascii="Arial Narrow" w:hAnsi="Arial Narrow"/>
          <w:sz w:val="22"/>
          <w:szCs w:val="22"/>
        </w:rPr>
        <w:t>:  (</w:t>
      </w:r>
      <w:proofErr w:type="gramEnd"/>
      <w:r w:rsidR="001F6EA8">
        <w:rPr>
          <w:rFonts w:ascii="Arial Narrow" w:hAnsi="Arial Narrow"/>
          <w:sz w:val="22"/>
          <w:szCs w:val="22"/>
        </w:rPr>
        <w:t>i)</w:t>
      </w:r>
      <w:r w:rsidR="008B3409">
        <w:rPr>
          <w:rFonts w:ascii="Arial Narrow" w:hAnsi="Arial Narrow"/>
          <w:sz w:val="22"/>
          <w:szCs w:val="22"/>
        </w:rPr>
        <w:t xml:space="preserve"> un</w:t>
      </w:r>
      <w:r w:rsidR="00C31EFE">
        <w:rPr>
          <w:rFonts w:ascii="Arial Narrow" w:hAnsi="Arial Narrow"/>
          <w:sz w:val="22"/>
          <w:szCs w:val="22"/>
        </w:rPr>
        <w:t xml:space="preserve"> aumento </w:t>
      </w:r>
      <w:r w:rsidR="001F6EA8">
        <w:rPr>
          <w:rFonts w:ascii="Arial Narrow" w:hAnsi="Arial Narrow"/>
          <w:sz w:val="22"/>
          <w:szCs w:val="22"/>
        </w:rPr>
        <w:t xml:space="preserve">en la cuenta de </w:t>
      </w:r>
      <w:r w:rsidR="00C31EFE" w:rsidRPr="00C31EFE">
        <w:rPr>
          <w:rFonts w:ascii="Arial Narrow" w:hAnsi="Arial Narrow"/>
          <w:sz w:val="22"/>
          <w:szCs w:val="22"/>
        </w:rPr>
        <w:t>Depreciación acumulada de propiedades, planta y equipo</w:t>
      </w:r>
      <w:r w:rsidR="00C31EFE">
        <w:rPr>
          <w:rFonts w:ascii="Arial Narrow" w:hAnsi="Arial Narrow"/>
          <w:sz w:val="22"/>
          <w:szCs w:val="22"/>
        </w:rPr>
        <w:t xml:space="preserve"> </w:t>
      </w:r>
      <w:r w:rsidR="008B3409">
        <w:rPr>
          <w:rFonts w:ascii="Arial Narrow" w:hAnsi="Arial Narrow"/>
          <w:sz w:val="22"/>
          <w:szCs w:val="22"/>
        </w:rPr>
        <w:t>por valor</w:t>
      </w:r>
      <w:r w:rsidR="00C31EFE">
        <w:rPr>
          <w:rFonts w:ascii="Arial Narrow" w:hAnsi="Arial Narrow"/>
          <w:sz w:val="22"/>
          <w:szCs w:val="22"/>
        </w:rPr>
        <w:t xml:space="preserve"> de $938</w:t>
      </w:r>
      <w:r w:rsidR="001F6EA8">
        <w:rPr>
          <w:rFonts w:ascii="Arial Narrow" w:hAnsi="Arial Narrow"/>
          <w:sz w:val="22"/>
          <w:szCs w:val="22"/>
        </w:rPr>
        <w:t>.231 miles resultado de la depreciación mensual y la baja de un vehículo entregado en comodato, (</w:t>
      </w:r>
      <w:proofErr w:type="spellStart"/>
      <w:r w:rsidR="001F6EA8">
        <w:rPr>
          <w:rFonts w:ascii="Arial Narrow" w:hAnsi="Arial Narrow"/>
          <w:sz w:val="22"/>
          <w:szCs w:val="22"/>
        </w:rPr>
        <w:t>ii</w:t>
      </w:r>
      <w:proofErr w:type="spellEnd"/>
      <w:r w:rsidR="001F6EA8">
        <w:rPr>
          <w:rFonts w:ascii="Arial Narrow" w:hAnsi="Arial Narrow"/>
          <w:sz w:val="22"/>
          <w:szCs w:val="22"/>
        </w:rPr>
        <w:t>)  una disminución por valor de</w:t>
      </w:r>
      <w:r w:rsidR="008B3409">
        <w:rPr>
          <w:rFonts w:ascii="Arial Narrow" w:hAnsi="Arial Narrow"/>
          <w:sz w:val="22"/>
          <w:szCs w:val="22"/>
        </w:rPr>
        <w:t xml:space="preserve"> </w:t>
      </w:r>
      <w:r w:rsidR="008D37ED">
        <w:rPr>
          <w:rFonts w:ascii="Arial Narrow" w:hAnsi="Arial Narrow"/>
          <w:sz w:val="22"/>
          <w:szCs w:val="22"/>
        </w:rPr>
        <w:t>-</w:t>
      </w:r>
      <w:r w:rsidR="008B3409">
        <w:rPr>
          <w:rFonts w:ascii="Arial Narrow" w:hAnsi="Arial Narrow"/>
          <w:sz w:val="22"/>
          <w:szCs w:val="22"/>
        </w:rPr>
        <w:t>$</w:t>
      </w:r>
      <w:r w:rsidR="008D37ED">
        <w:rPr>
          <w:rFonts w:ascii="Arial Narrow" w:hAnsi="Arial Narrow"/>
          <w:sz w:val="22"/>
          <w:szCs w:val="22"/>
        </w:rPr>
        <w:t>934</w:t>
      </w:r>
      <w:r w:rsidR="008B3409" w:rsidRPr="008B3409">
        <w:rPr>
          <w:rFonts w:ascii="Arial Narrow" w:hAnsi="Arial Narrow"/>
          <w:sz w:val="22"/>
          <w:szCs w:val="22"/>
        </w:rPr>
        <w:t>. 066</w:t>
      </w:r>
      <w:r w:rsidR="00BE5A10">
        <w:rPr>
          <w:rFonts w:ascii="Arial Narrow" w:hAnsi="Arial Narrow"/>
          <w:sz w:val="22"/>
          <w:szCs w:val="22"/>
        </w:rPr>
        <w:t xml:space="preserve"> </w:t>
      </w:r>
      <w:r w:rsidR="008B3409" w:rsidRPr="008B3409">
        <w:rPr>
          <w:rFonts w:ascii="Arial Narrow" w:hAnsi="Arial Narrow"/>
          <w:sz w:val="22"/>
          <w:szCs w:val="22"/>
        </w:rPr>
        <w:lastRenderedPageBreak/>
        <w:t>miles</w:t>
      </w:r>
      <w:r w:rsidR="008B3409">
        <w:rPr>
          <w:rFonts w:ascii="Arial Narrow" w:hAnsi="Arial Narrow"/>
          <w:sz w:val="22"/>
          <w:szCs w:val="22"/>
        </w:rPr>
        <w:t xml:space="preserve"> </w:t>
      </w:r>
      <w:r w:rsidR="008D37ED">
        <w:rPr>
          <w:rFonts w:ascii="Arial Narrow" w:hAnsi="Arial Narrow"/>
          <w:sz w:val="22"/>
          <w:szCs w:val="22"/>
        </w:rPr>
        <w:t>por</w:t>
      </w:r>
      <w:r w:rsidR="008B3409" w:rsidRPr="008B3409">
        <w:rPr>
          <w:rFonts w:ascii="Arial Narrow" w:hAnsi="Arial Narrow"/>
          <w:sz w:val="22"/>
          <w:szCs w:val="22"/>
        </w:rPr>
        <w:t xml:space="preserve"> </w:t>
      </w:r>
      <w:r w:rsidR="008D37ED">
        <w:rPr>
          <w:rFonts w:ascii="Arial Narrow" w:hAnsi="Arial Narrow"/>
          <w:sz w:val="22"/>
          <w:szCs w:val="22"/>
        </w:rPr>
        <w:t xml:space="preserve">baja </w:t>
      </w:r>
      <w:r w:rsidR="00353147">
        <w:rPr>
          <w:rFonts w:ascii="Arial Narrow" w:hAnsi="Arial Narrow"/>
          <w:sz w:val="22"/>
          <w:szCs w:val="22"/>
        </w:rPr>
        <w:t xml:space="preserve">de elementos </w:t>
      </w:r>
      <w:r w:rsidR="008B3409" w:rsidRPr="008B3409">
        <w:rPr>
          <w:rFonts w:ascii="Arial Narrow" w:hAnsi="Arial Narrow"/>
          <w:sz w:val="22"/>
          <w:szCs w:val="22"/>
        </w:rPr>
        <w:t xml:space="preserve">realizada el 31 de octubre de 2019 </w:t>
      </w:r>
      <w:r w:rsidR="008D37ED">
        <w:rPr>
          <w:rFonts w:ascii="Arial Narrow" w:hAnsi="Arial Narrow"/>
          <w:sz w:val="22"/>
          <w:szCs w:val="22"/>
        </w:rPr>
        <w:t xml:space="preserve">en el formato </w:t>
      </w:r>
      <w:r w:rsidR="008D37ED" w:rsidRPr="008D37ED">
        <w:rPr>
          <w:rFonts w:ascii="Arial Narrow" w:hAnsi="Arial Narrow"/>
          <w:sz w:val="22"/>
          <w:szCs w:val="22"/>
        </w:rPr>
        <w:t xml:space="preserve">Salida por Baja Inservibles </w:t>
      </w:r>
      <w:r w:rsidR="008D37ED">
        <w:rPr>
          <w:rFonts w:ascii="Arial Narrow" w:hAnsi="Arial Narrow"/>
          <w:sz w:val="22"/>
          <w:szCs w:val="22"/>
        </w:rPr>
        <w:t>N</w:t>
      </w:r>
      <w:r w:rsidR="00653D36">
        <w:rPr>
          <w:rFonts w:ascii="Arial Narrow" w:hAnsi="Arial Narrow"/>
          <w:sz w:val="22"/>
          <w:szCs w:val="22"/>
        </w:rPr>
        <w:t>o.</w:t>
      </w:r>
      <w:r w:rsidR="008B3409" w:rsidRPr="008B3409">
        <w:rPr>
          <w:rFonts w:ascii="Arial Narrow" w:hAnsi="Arial Narrow"/>
          <w:sz w:val="22"/>
          <w:szCs w:val="22"/>
        </w:rPr>
        <w:t xml:space="preserve"> 000145</w:t>
      </w:r>
      <w:r w:rsidR="008B3409">
        <w:rPr>
          <w:rFonts w:ascii="Arial Narrow" w:hAnsi="Arial Narrow"/>
          <w:sz w:val="22"/>
          <w:szCs w:val="22"/>
        </w:rPr>
        <w:t xml:space="preserve">, </w:t>
      </w:r>
      <w:r w:rsidR="008D37ED">
        <w:rPr>
          <w:rFonts w:ascii="Arial Narrow" w:hAnsi="Arial Narrow"/>
          <w:sz w:val="22"/>
          <w:szCs w:val="22"/>
        </w:rPr>
        <w:t>y</w:t>
      </w:r>
      <w:r w:rsidR="008B3409">
        <w:rPr>
          <w:rFonts w:ascii="Arial Narrow" w:hAnsi="Arial Narrow"/>
          <w:sz w:val="22"/>
          <w:szCs w:val="22"/>
        </w:rPr>
        <w:t xml:space="preserve"> </w:t>
      </w:r>
      <w:r w:rsidR="001F6EA8">
        <w:rPr>
          <w:rFonts w:ascii="Arial Narrow" w:hAnsi="Arial Narrow"/>
          <w:sz w:val="22"/>
          <w:szCs w:val="22"/>
        </w:rPr>
        <w:t>(</w:t>
      </w:r>
      <w:proofErr w:type="spellStart"/>
      <w:r w:rsidR="001F6EA8">
        <w:rPr>
          <w:rFonts w:ascii="Arial Narrow" w:hAnsi="Arial Narrow"/>
          <w:sz w:val="22"/>
          <w:szCs w:val="22"/>
        </w:rPr>
        <w:t>iii</w:t>
      </w:r>
      <w:proofErr w:type="spellEnd"/>
      <w:r w:rsidR="001F6EA8">
        <w:rPr>
          <w:rFonts w:ascii="Arial Narrow" w:hAnsi="Arial Narrow"/>
          <w:sz w:val="22"/>
          <w:szCs w:val="22"/>
        </w:rPr>
        <w:t xml:space="preserve">) una disminución por valor de -$185.000 miles por la </w:t>
      </w:r>
      <w:r w:rsidR="008B3409">
        <w:rPr>
          <w:rFonts w:ascii="Arial Narrow" w:hAnsi="Arial Narrow"/>
          <w:sz w:val="22"/>
          <w:szCs w:val="22"/>
        </w:rPr>
        <w:t xml:space="preserve">entrega en comodato </w:t>
      </w:r>
      <w:r w:rsidR="00FC0104">
        <w:rPr>
          <w:rFonts w:ascii="Arial Narrow" w:hAnsi="Arial Narrow"/>
          <w:sz w:val="22"/>
          <w:szCs w:val="22"/>
        </w:rPr>
        <w:t>de una camioneta Toyota al Ministerio de Transporte conforme al</w:t>
      </w:r>
      <w:r w:rsidR="008D37ED" w:rsidRPr="008D37ED">
        <w:rPr>
          <w:rFonts w:ascii="Arial Narrow" w:hAnsi="Arial Narrow"/>
          <w:sz w:val="22"/>
          <w:szCs w:val="22"/>
        </w:rPr>
        <w:t xml:space="preserve"> contrato Interadministrativo de Comodato CI-017-2019, celebrado entre la Agencia Nacional de Infraestructura y el Ministerio de Transporte</w:t>
      </w:r>
      <w:r w:rsidR="00E0509F">
        <w:rPr>
          <w:rFonts w:ascii="Arial Narrow" w:hAnsi="Arial Narrow"/>
          <w:sz w:val="22"/>
          <w:szCs w:val="22"/>
        </w:rPr>
        <w:t>.  E</w:t>
      </w:r>
      <w:r w:rsidR="00FC0104">
        <w:rPr>
          <w:rFonts w:ascii="Arial Narrow" w:hAnsi="Arial Narrow"/>
          <w:sz w:val="22"/>
          <w:szCs w:val="22"/>
        </w:rPr>
        <w:t>ste vehículo</w:t>
      </w:r>
      <w:r w:rsidR="00E0509F">
        <w:rPr>
          <w:rFonts w:ascii="Arial Narrow" w:hAnsi="Arial Narrow"/>
          <w:sz w:val="22"/>
          <w:szCs w:val="22"/>
        </w:rPr>
        <w:t>,</w:t>
      </w:r>
      <w:r w:rsidR="00FC0104">
        <w:rPr>
          <w:rFonts w:ascii="Arial Narrow" w:hAnsi="Arial Narrow"/>
          <w:sz w:val="22"/>
          <w:szCs w:val="22"/>
        </w:rPr>
        <w:t xml:space="preserve"> </w:t>
      </w:r>
      <w:r w:rsidR="008D37ED" w:rsidRPr="008D37ED">
        <w:rPr>
          <w:rFonts w:ascii="Arial Narrow" w:hAnsi="Arial Narrow"/>
          <w:sz w:val="22"/>
          <w:szCs w:val="22"/>
        </w:rPr>
        <w:t>se entregó en préstamo y uso por un periodo de tres años</w:t>
      </w:r>
      <w:r w:rsidR="00CB3FF3">
        <w:rPr>
          <w:rFonts w:ascii="Arial Narrow" w:hAnsi="Arial Narrow"/>
          <w:sz w:val="22"/>
          <w:szCs w:val="22"/>
        </w:rPr>
        <w:t>,</w:t>
      </w:r>
      <w:r w:rsidR="00E0509F">
        <w:rPr>
          <w:rFonts w:ascii="Arial Narrow" w:hAnsi="Arial Narrow"/>
          <w:sz w:val="22"/>
          <w:szCs w:val="22"/>
        </w:rPr>
        <w:t xml:space="preserve"> se</w:t>
      </w:r>
      <w:r w:rsidR="00CB3FF3">
        <w:rPr>
          <w:rFonts w:ascii="Arial Narrow" w:hAnsi="Arial Narrow"/>
          <w:sz w:val="22"/>
          <w:szCs w:val="22"/>
        </w:rPr>
        <w:t xml:space="preserve"> </w:t>
      </w:r>
      <w:r w:rsidR="00674EB7" w:rsidRPr="00674EB7">
        <w:rPr>
          <w:rFonts w:ascii="Arial Narrow" w:hAnsi="Arial Narrow"/>
          <w:sz w:val="22"/>
          <w:szCs w:val="22"/>
        </w:rPr>
        <w:t>controla en cuentas de orden deudoras de control</w:t>
      </w:r>
      <w:r w:rsidR="00674EB7">
        <w:rPr>
          <w:rFonts w:ascii="Arial Narrow" w:hAnsi="Arial Narrow"/>
          <w:sz w:val="22"/>
          <w:szCs w:val="22"/>
        </w:rPr>
        <w:t xml:space="preserve"> </w:t>
      </w:r>
      <w:r w:rsidR="00CB3FF3">
        <w:rPr>
          <w:rFonts w:ascii="Arial Narrow" w:hAnsi="Arial Narrow"/>
          <w:sz w:val="22"/>
          <w:szCs w:val="22"/>
        </w:rPr>
        <w:t>y sus especificaciones son</w:t>
      </w:r>
      <w:r w:rsidR="00C00D40">
        <w:rPr>
          <w:rFonts w:ascii="Arial Narrow" w:hAnsi="Arial Narrow"/>
          <w:sz w:val="22"/>
          <w:szCs w:val="22"/>
        </w:rPr>
        <w:t>:</w:t>
      </w:r>
    </w:p>
    <w:p w14:paraId="6D07D1F9" w14:textId="7799F8F3" w:rsidR="00FC0104" w:rsidRDefault="00FC0104" w:rsidP="00660C3A">
      <w:pPr>
        <w:pStyle w:val="Prrafodelista"/>
        <w:jc w:val="both"/>
        <w:rPr>
          <w:rFonts w:ascii="Arial Narrow" w:hAnsi="Arial Narrow"/>
          <w:sz w:val="22"/>
          <w:szCs w:val="22"/>
        </w:rPr>
      </w:pPr>
    </w:p>
    <w:p w14:paraId="68F06BA0" w14:textId="77777777" w:rsidR="00B727F8" w:rsidRDefault="00B727F8" w:rsidP="00660C3A">
      <w:pPr>
        <w:pStyle w:val="Prrafodelista"/>
        <w:jc w:val="both"/>
        <w:rPr>
          <w:rFonts w:ascii="Arial Narrow" w:hAnsi="Arial Narrow"/>
          <w:sz w:val="22"/>
          <w:szCs w:val="22"/>
        </w:rPr>
      </w:pPr>
    </w:p>
    <w:tbl>
      <w:tblPr>
        <w:tblStyle w:val="Tablaconcuadrcula"/>
        <w:tblW w:w="8332" w:type="dxa"/>
        <w:tblInd w:w="737" w:type="dxa"/>
        <w:tblLook w:val="04A0" w:firstRow="1" w:lastRow="0" w:firstColumn="1" w:lastColumn="0" w:noHBand="0" w:noVBand="1"/>
      </w:tblPr>
      <w:tblGrid>
        <w:gridCol w:w="1077"/>
        <w:gridCol w:w="806"/>
        <w:gridCol w:w="969"/>
        <w:gridCol w:w="1205"/>
        <w:gridCol w:w="1346"/>
        <w:gridCol w:w="1663"/>
        <w:gridCol w:w="1266"/>
      </w:tblGrid>
      <w:tr w:rsidR="00CB3FF3" w14:paraId="5531DFD5" w14:textId="77777777" w:rsidTr="00193206">
        <w:trPr>
          <w:trHeight w:val="540"/>
        </w:trPr>
        <w:tc>
          <w:tcPr>
            <w:tcW w:w="1077" w:type="dxa"/>
          </w:tcPr>
          <w:p w14:paraId="465DBF63" w14:textId="77777777" w:rsidR="00CB3FF3" w:rsidRPr="00B727F8" w:rsidRDefault="00CB3FF3" w:rsidP="00CC1975">
            <w:pPr>
              <w:jc w:val="center"/>
              <w:rPr>
                <w:rFonts w:ascii="Arial Narrow" w:hAnsi="Arial Narrow" w:cs="Calibri"/>
                <w:b/>
                <w:color w:val="000000"/>
                <w:sz w:val="18"/>
                <w:szCs w:val="18"/>
                <w:lang w:eastAsia="es-CO"/>
              </w:rPr>
            </w:pPr>
            <w:r w:rsidRPr="00B727F8">
              <w:rPr>
                <w:rFonts w:ascii="Arial Narrow" w:hAnsi="Arial Narrow" w:cs="Calibri"/>
                <w:b/>
                <w:color w:val="000000"/>
                <w:sz w:val="18"/>
                <w:szCs w:val="18"/>
                <w:lang w:eastAsia="es-CO"/>
              </w:rPr>
              <w:t>Vehículo</w:t>
            </w:r>
          </w:p>
          <w:p w14:paraId="3FA307D2" w14:textId="7B60A9C4" w:rsidR="00193206" w:rsidRPr="00B727F8" w:rsidRDefault="00193206" w:rsidP="00CC1975">
            <w:pPr>
              <w:jc w:val="center"/>
              <w:rPr>
                <w:rFonts w:ascii="Arial Narrow" w:hAnsi="Arial Narrow" w:cs="Calibri"/>
                <w:b/>
                <w:color w:val="000000"/>
                <w:sz w:val="18"/>
                <w:szCs w:val="18"/>
                <w:lang w:eastAsia="es-CO"/>
              </w:rPr>
            </w:pPr>
          </w:p>
        </w:tc>
        <w:tc>
          <w:tcPr>
            <w:tcW w:w="806" w:type="dxa"/>
          </w:tcPr>
          <w:p w14:paraId="6C6FC9B8" w14:textId="77777777" w:rsidR="00CB3FF3" w:rsidRPr="00B727F8" w:rsidRDefault="00CB3FF3" w:rsidP="00CC1975">
            <w:pPr>
              <w:jc w:val="center"/>
              <w:rPr>
                <w:rFonts w:ascii="Arial Narrow" w:hAnsi="Arial Narrow" w:cs="Calibri"/>
                <w:b/>
                <w:color w:val="000000"/>
                <w:sz w:val="18"/>
                <w:szCs w:val="18"/>
                <w:lang w:eastAsia="es-CO"/>
              </w:rPr>
            </w:pPr>
            <w:r w:rsidRPr="00B727F8">
              <w:rPr>
                <w:rFonts w:ascii="Arial Narrow" w:hAnsi="Arial Narrow" w:cs="Calibri"/>
                <w:b/>
                <w:color w:val="000000"/>
                <w:sz w:val="18"/>
                <w:szCs w:val="18"/>
                <w:lang w:eastAsia="es-CO"/>
              </w:rPr>
              <w:t>Marca</w:t>
            </w:r>
          </w:p>
        </w:tc>
        <w:tc>
          <w:tcPr>
            <w:tcW w:w="969" w:type="dxa"/>
          </w:tcPr>
          <w:p w14:paraId="179A8E29" w14:textId="77777777" w:rsidR="00CB3FF3" w:rsidRPr="00B727F8" w:rsidRDefault="00CB3FF3" w:rsidP="00CC1975">
            <w:pPr>
              <w:jc w:val="center"/>
              <w:rPr>
                <w:rFonts w:ascii="Arial Narrow" w:hAnsi="Arial Narrow" w:cs="Calibri"/>
                <w:b/>
                <w:color w:val="000000"/>
                <w:sz w:val="18"/>
                <w:szCs w:val="18"/>
                <w:lang w:eastAsia="es-CO"/>
              </w:rPr>
            </w:pPr>
            <w:r w:rsidRPr="00B727F8">
              <w:rPr>
                <w:rFonts w:ascii="Arial Narrow" w:hAnsi="Arial Narrow" w:cs="Calibri"/>
                <w:b/>
                <w:color w:val="000000"/>
                <w:sz w:val="18"/>
                <w:szCs w:val="18"/>
                <w:lang w:eastAsia="es-CO"/>
              </w:rPr>
              <w:t>Placa</w:t>
            </w:r>
          </w:p>
        </w:tc>
        <w:tc>
          <w:tcPr>
            <w:tcW w:w="1205" w:type="dxa"/>
          </w:tcPr>
          <w:p w14:paraId="1F4C672E" w14:textId="77777777" w:rsidR="00CB3FF3" w:rsidRPr="00B727F8" w:rsidRDefault="00CB3FF3" w:rsidP="00CC1975">
            <w:pPr>
              <w:jc w:val="center"/>
              <w:rPr>
                <w:rFonts w:ascii="Arial Narrow" w:hAnsi="Arial Narrow" w:cs="Calibri"/>
                <w:b/>
                <w:color w:val="000000"/>
                <w:sz w:val="18"/>
                <w:szCs w:val="18"/>
                <w:lang w:eastAsia="es-CO"/>
              </w:rPr>
            </w:pPr>
            <w:r w:rsidRPr="00B727F8">
              <w:rPr>
                <w:rFonts w:ascii="Arial Narrow" w:hAnsi="Arial Narrow" w:cs="Calibri"/>
                <w:b/>
                <w:color w:val="000000"/>
                <w:sz w:val="18"/>
                <w:szCs w:val="18"/>
                <w:lang w:eastAsia="es-CO"/>
              </w:rPr>
              <w:t>Motor</w:t>
            </w:r>
          </w:p>
        </w:tc>
        <w:tc>
          <w:tcPr>
            <w:tcW w:w="1346" w:type="dxa"/>
          </w:tcPr>
          <w:p w14:paraId="2EE2D9A8" w14:textId="77777777" w:rsidR="00CB3FF3" w:rsidRPr="00B727F8" w:rsidRDefault="00CB3FF3" w:rsidP="00CC1975">
            <w:pPr>
              <w:jc w:val="center"/>
              <w:rPr>
                <w:rFonts w:ascii="Arial Narrow" w:hAnsi="Arial Narrow" w:cs="Calibri"/>
                <w:b/>
                <w:color w:val="000000"/>
                <w:sz w:val="18"/>
                <w:szCs w:val="18"/>
                <w:lang w:eastAsia="es-CO"/>
              </w:rPr>
            </w:pPr>
            <w:r w:rsidRPr="00B727F8">
              <w:rPr>
                <w:rFonts w:ascii="Arial Narrow" w:hAnsi="Arial Narrow" w:cs="Calibri"/>
                <w:b/>
                <w:color w:val="000000"/>
                <w:sz w:val="18"/>
                <w:szCs w:val="18"/>
                <w:lang w:eastAsia="es-CO"/>
              </w:rPr>
              <w:t>Costo Histórico</w:t>
            </w:r>
          </w:p>
          <w:p w14:paraId="511F1099" w14:textId="01B60B30" w:rsidR="00CB3FF3" w:rsidRPr="00B727F8" w:rsidRDefault="00CB3FF3" w:rsidP="00CC1975">
            <w:pPr>
              <w:jc w:val="center"/>
              <w:rPr>
                <w:rFonts w:ascii="Arial Narrow" w:hAnsi="Arial Narrow" w:cs="Calibri"/>
                <w:b/>
                <w:color w:val="000000"/>
                <w:sz w:val="18"/>
                <w:szCs w:val="18"/>
                <w:lang w:eastAsia="es-CO"/>
              </w:rPr>
            </w:pPr>
            <w:r w:rsidRPr="00B727F8">
              <w:rPr>
                <w:rFonts w:ascii="Arial Narrow" w:hAnsi="Arial Narrow" w:cs="Calibri"/>
                <w:b/>
                <w:color w:val="000000"/>
                <w:sz w:val="18"/>
                <w:szCs w:val="18"/>
                <w:lang w:eastAsia="es-CO"/>
              </w:rPr>
              <w:t>Miles$</w:t>
            </w:r>
          </w:p>
        </w:tc>
        <w:tc>
          <w:tcPr>
            <w:tcW w:w="1663" w:type="dxa"/>
          </w:tcPr>
          <w:p w14:paraId="0DC57BF0" w14:textId="77777777" w:rsidR="00CB3FF3" w:rsidRPr="00B727F8" w:rsidRDefault="00CB3FF3" w:rsidP="00CC1975">
            <w:pPr>
              <w:jc w:val="center"/>
              <w:rPr>
                <w:rFonts w:ascii="Arial Narrow" w:hAnsi="Arial Narrow" w:cs="Calibri"/>
                <w:b/>
                <w:color w:val="000000"/>
                <w:sz w:val="18"/>
                <w:szCs w:val="18"/>
                <w:lang w:eastAsia="es-CO"/>
              </w:rPr>
            </w:pPr>
            <w:r w:rsidRPr="00B727F8">
              <w:rPr>
                <w:rFonts w:ascii="Arial Narrow" w:hAnsi="Arial Narrow" w:cs="Calibri"/>
                <w:b/>
                <w:color w:val="000000"/>
                <w:sz w:val="18"/>
                <w:szCs w:val="18"/>
                <w:lang w:eastAsia="es-CO"/>
              </w:rPr>
              <w:t>Depreciación Acumulada</w:t>
            </w:r>
          </w:p>
          <w:p w14:paraId="2FCCA2F6" w14:textId="2F9609A0" w:rsidR="00CB3FF3" w:rsidRPr="00B727F8" w:rsidRDefault="00CB3FF3" w:rsidP="00CC1975">
            <w:pPr>
              <w:jc w:val="center"/>
              <w:rPr>
                <w:rFonts w:ascii="Arial Narrow" w:hAnsi="Arial Narrow" w:cs="Calibri"/>
                <w:b/>
                <w:color w:val="000000"/>
                <w:sz w:val="18"/>
                <w:szCs w:val="18"/>
                <w:lang w:eastAsia="es-CO"/>
              </w:rPr>
            </w:pPr>
            <w:r w:rsidRPr="00B727F8">
              <w:rPr>
                <w:rFonts w:ascii="Arial Narrow" w:hAnsi="Arial Narrow" w:cs="Calibri"/>
                <w:b/>
                <w:color w:val="000000"/>
                <w:sz w:val="18"/>
                <w:szCs w:val="18"/>
                <w:lang w:eastAsia="es-CO"/>
              </w:rPr>
              <w:t>Miles$</w:t>
            </w:r>
          </w:p>
        </w:tc>
        <w:tc>
          <w:tcPr>
            <w:tcW w:w="1266" w:type="dxa"/>
          </w:tcPr>
          <w:p w14:paraId="45EF3D91" w14:textId="77777777" w:rsidR="00CB3FF3" w:rsidRPr="00B727F8" w:rsidRDefault="00CB3FF3" w:rsidP="00CC1975">
            <w:pPr>
              <w:jc w:val="center"/>
              <w:rPr>
                <w:rFonts w:ascii="Arial Narrow" w:hAnsi="Arial Narrow" w:cs="Calibri"/>
                <w:b/>
                <w:color w:val="000000"/>
                <w:sz w:val="18"/>
                <w:szCs w:val="18"/>
                <w:lang w:eastAsia="es-CO"/>
              </w:rPr>
            </w:pPr>
            <w:r w:rsidRPr="00B727F8">
              <w:rPr>
                <w:rFonts w:ascii="Arial Narrow" w:hAnsi="Arial Narrow" w:cs="Calibri"/>
                <w:b/>
                <w:color w:val="000000"/>
                <w:sz w:val="18"/>
                <w:szCs w:val="18"/>
                <w:lang w:eastAsia="es-CO"/>
              </w:rPr>
              <w:t>Valor Libros</w:t>
            </w:r>
          </w:p>
          <w:p w14:paraId="589487FD" w14:textId="7B2B0347" w:rsidR="00CB3FF3" w:rsidRPr="00B727F8" w:rsidRDefault="00CB3FF3" w:rsidP="00CC1975">
            <w:pPr>
              <w:jc w:val="center"/>
              <w:rPr>
                <w:rFonts w:ascii="Arial Narrow" w:hAnsi="Arial Narrow" w:cs="Calibri"/>
                <w:b/>
                <w:color w:val="000000"/>
                <w:sz w:val="18"/>
                <w:szCs w:val="18"/>
                <w:lang w:eastAsia="es-CO"/>
              </w:rPr>
            </w:pPr>
            <w:r w:rsidRPr="00B727F8">
              <w:rPr>
                <w:rFonts w:ascii="Arial Narrow" w:hAnsi="Arial Narrow" w:cs="Calibri"/>
                <w:b/>
                <w:color w:val="000000"/>
                <w:sz w:val="18"/>
                <w:szCs w:val="18"/>
                <w:lang w:eastAsia="es-CO"/>
              </w:rPr>
              <w:t>Miles$</w:t>
            </w:r>
          </w:p>
        </w:tc>
      </w:tr>
      <w:tr w:rsidR="00CB3FF3" w14:paraId="79708DA9" w14:textId="77777777" w:rsidTr="00B727F8">
        <w:trPr>
          <w:trHeight w:val="992"/>
        </w:trPr>
        <w:tc>
          <w:tcPr>
            <w:tcW w:w="1077" w:type="dxa"/>
          </w:tcPr>
          <w:p w14:paraId="3789F0B2" w14:textId="77777777" w:rsidR="00CB3FF3" w:rsidRPr="00B727F8" w:rsidRDefault="00CB3FF3" w:rsidP="00193206">
            <w:pPr>
              <w:jc w:val="center"/>
              <w:rPr>
                <w:rFonts w:ascii="Arial Narrow" w:hAnsi="Arial Narrow" w:cs="Calibri"/>
                <w:bCs/>
                <w:color w:val="000000"/>
                <w:sz w:val="16"/>
                <w:szCs w:val="16"/>
                <w:lang w:eastAsia="es-CO"/>
              </w:rPr>
            </w:pPr>
            <w:r w:rsidRPr="00B727F8">
              <w:rPr>
                <w:rFonts w:ascii="Arial Narrow" w:hAnsi="Arial Narrow" w:cs="Calibri"/>
                <w:bCs/>
                <w:color w:val="000000"/>
                <w:sz w:val="16"/>
                <w:szCs w:val="16"/>
                <w:lang w:eastAsia="es-CO"/>
              </w:rPr>
              <w:t>Camioneta Toyota Prado 3.0 Diesel Blindada Modelo 2014</w:t>
            </w:r>
          </w:p>
        </w:tc>
        <w:tc>
          <w:tcPr>
            <w:tcW w:w="806" w:type="dxa"/>
            <w:vAlign w:val="center"/>
          </w:tcPr>
          <w:p w14:paraId="41E3B3A8" w14:textId="77777777" w:rsidR="00CB3FF3" w:rsidRPr="00B727F8" w:rsidRDefault="00CB3FF3" w:rsidP="00193206">
            <w:pPr>
              <w:jc w:val="center"/>
              <w:rPr>
                <w:rFonts w:ascii="Arial Narrow" w:hAnsi="Arial Narrow" w:cs="Calibri"/>
                <w:bCs/>
                <w:color w:val="000000"/>
                <w:sz w:val="16"/>
                <w:szCs w:val="16"/>
                <w:lang w:eastAsia="es-CO"/>
              </w:rPr>
            </w:pPr>
            <w:r w:rsidRPr="00B727F8">
              <w:rPr>
                <w:rFonts w:ascii="Arial Narrow" w:hAnsi="Arial Narrow" w:cs="Calibri"/>
                <w:bCs/>
                <w:color w:val="000000"/>
                <w:sz w:val="16"/>
                <w:szCs w:val="16"/>
                <w:lang w:eastAsia="es-CO"/>
              </w:rPr>
              <w:t>Toyota</w:t>
            </w:r>
          </w:p>
        </w:tc>
        <w:tc>
          <w:tcPr>
            <w:tcW w:w="969" w:type="dxa"/>
            <w:vAlign w:val="center"/>
          </w:tcPr>
          <w:p w14:paraId="57700973" w14:textId="77777777" w:rsidR="00CB3FF3" w:rsidRPr="00B727F8" w:rsidRDefault="00CB3FF3" w:rsidP="00193206">
            <w:pPr>
              <w:jc w:val="center"/>
              <w:rPr>
                <w:rFonts w:ascii="Arial Narrow" w:hAnsi="Arial Narrow" w:cs="Calibri"/>
                <w:bCs/>
                <w:color w:val="000000"/>
                <w:sz w:val="16"/>
                <w:szCs w:val="16"/>
                <w:lang w:eastAsia="es-CO"/>
              </w:rPr>
            </w:pPr>
            <w:r w:rsidRPr="00B727F8">
              <w:rPr>
                <w:rFonts w:ascii="Arial Narrow" w:hAnsi="Arial Narrow" w:cs="Calibri"/>
                <w:bCs/>
                <w:color w:val="000000"/>
                <w:sz w:val="16"/>
                <w:szCs w:val="16"/>
                <w:lang w:eastAsia="es-CO"/>
              </w:rPr>
              <w:t>KGG848</w:t>
            </w:r>
          </w:p>
        </w:tc>
        <w:tc>
          <w:tcPr>
            <w:tcW w:w="1205" w:type="dxa"/>
            <w:vAlign w:val="center"/>
          </w:tcPr>
          <w:p w14:paraId="00275D51" w14:textId="77777777" w:rsidR="00CB3FF3" w:rsidRPr="00B727F8" w:rsidRDefault="00CB3FF3" w:rsidP="00193206">
            <w:pPr>
              <w:jc w:val="center"/>
              <w:rPr>
                <w:rFonts w:ascii="Arial Narrow" w:hAnsi="Arial Narrow" w:cs="Calibri"/>
                <w:bCs/>
                <w:color w:val="000000"/>
                <w:sz w:val="16"/>
                <w:szCs w:val="16"/>
                <w:lang w:eastAsia="es-CO"/>
              </w:rPr>
            </w:pPr>
            <w:r w:rsidRPr="00B727F8">
              <w:rPr>
                <w:rFonts w:ascii="Arial Narrow" w:hAnsi="Arial Narrow" w:cs="Calibri"/>
                <w:bCs/>
                <w:color w:val="000000"/>
                <w:sz w:val="16"/>
                <w:szCs w:val="16"/>
                <w:lang w:eastAsia="es-CO"/>
              </w:rPr>
              <w:t>IKD2314236</w:t>
            </w:r>
          </w:p>
        </w:tc>
        <w:tc>
          <w:tcPr>
            <w:tcW w:w="1346" w:type="dxa"/>
            <w:vAlign w:val="center"/>
          </w:tcPr>
          <w:p w14:paraId="0133AC6B" w14:textId="2F0FBD1C" w:rsidR="00CB3FF3" w:rsidRPr="00B727F8" w:rsidRDefault="00CB3FF3" w:rsidP="00193206">
            <w:pPr>
              <w:jc w:val="center"/>
              <w:rPr>
                <w:rFonts w:ascii="Arial Narrow" w:hAnsi="Arial Narrow" w:cs="Calibri"/>
                <w:bCs/>
                <w:color w:val="000000"/>
                <w:sz w:val="16"/>
                <w:szCs w:val="16"/>
                <w:lang w:eastAsia="es-CO"/>
              </w:rPr>
            </w:pPr>
            <w:r w:rsidRPr="00B727F8">
              <w:rPr>
                <w:rFonts w:ascii="Arial Narrow" w:hAnsi="Arial Narrow" w:cs="Calibri"/>
                <w:bCs/>
                <w:color w:val="000000"/>
                <w:sz w:val="16"/>
                <w:szCs w:val="16"/>
                <w:lang w:eastAsia="es-CO"/>
              </w:rPr>
              <w:t>$185.000</w:t>
            </w:r>
          </w:p>
        </w:tc>
        <w:tc>
          <w:tcPr>
            <w:tcW w:w="1663" w:type="dxa"/>
            <w:vAlign w:val="center"/>
          </w:tcPr>
          <w:p w14:paraId="366A3CFF" w14:textId="458DCFC6" w:rsidR="00CB3FF3" w:rsidRPr="00B727F8" w:rsidRDefault="004A3AE5" w:rsidP="00193206">
            <w:pPr>
              <w:jc w:val="center"/>
              <w:rPr>
                <w:rFonts w:ascii="Arial Narrow" w:hAnsi="Arial Narrow" w:cs="Calibri"/>
                <w:bCs/>
                <w:color w:val="000000"/>
                <w:sz w:val="16"/>
                <w:szCs w:val="16"/>
                <w:lang w:eastAsia="es-CO"/>
              </w:rPr>
            </w:pPr>
            <w:r w:rsidRPr="00B727F8">
              <w:rPr>
                <w:rFonts w:ascii="Arial Narrow" w:hAnsi="Arial Narrow" w:cs="Calibri"/>
                <w:bCs/>
                <w:color w:val="000000"/>
                <w:sz w:val="16"/>
                <w:szCs w:val="16"/>
                <w:lang w:eastAsia="es-CO"/>
              </w:rPr>
              <w:t>-</w:t>
            </w:r>
            <w:r w:rsidR="00CB3FF3" w:rsidRPr="00B727F8">
              <w:rPr>
                <w:rFonts w:ascii="Arial Narrow" w:hAnsi="Arial Narrow" w:cs="Calibri"/>
                <w:bCs/>
                <w:color w:val="000000"/>
                <w:sz w:val="16"/>
                <w:szCs w:val="16"/>
                <w:lang w:eastAsia="es-CO"/>
              </w:rPr>
              <w:t>$177.39</w:t>
            </w:r>
            <w:r w:rsidRPr="00B727F8">
              <w:rPr>
                <w:rFonts w:ascii="Arial Narrow" w:hAnsi="Arial Narrow" w:cs="Calibri"/>
                <w:bCs/>
                <w:color w:val="000000"/>
                <w:sz w:val="16"/>
                <w:szCs w:val="16"/>
                <w:lang w:eastAsia="es-CO"/>
              </w:rPr>
              <w:t>8</w:t>
            </w:r>
          </w:p>
        </w:tc>
        <w:tc>
          <w:tcPr>
            <w:tcW w:w="1266" w:type="dxa"/>
            <w:vAlign w:val="center"/>
          </w:tcPr>
          <w:p w14:paraId="24B2C65C" w14:textId="338662EC" w:rsidR="00CB3FF3" w:rsidRPr="00B727F8" w:rsidRDefault="00CB3FF3" w:rsidP="00193206">
            <w:pPr>
              <w:jc w:val="center"/>
              <w:rPr>
                <w:rFonts w:ascii="Arial Narrow" w:hAnsi="Arial Narrow" w:cs="Calibri"/>
                <w:bCs/>
                <w:color w:val="000000"/>
                <w:sz w:val="16"/>
                <w:szCs w:val="16"/>
                <w:lang w:eastAsia="es-CO"/>
              </w:rPr>
            </w:pPr>
            <w:r w:rsidRPr="00B727F8">
              <w:rPr>
                <w:rFonts w:ascii="Arial Narrow" w:hAnsi="Arial Narrow" w:cs="Calibri"/>
                <w:bCs/>
                <w:color w:val="000000"/>
                <w:sz w:val="16"/>
                <w:szCs w:val="16"/>
                <w:lang w:eastAsia="es-CO"/>
              </w:rPr>
              <w:t>$7.60</w:t>
            </w:r>
            <w:r w:rsidR="004A3AE5" w:rsidRPr="00B727F8">
              <w:rPr>
                <w:rFonts w:ascii="Arial Narrow" w:hAnsi="Arial Narrow" w:cs="Calibri"/>
                <w:bCs/>
                <w:color w:val="000000"/>
                <w:sz w:val="16"/>
                <w:szCs w:val="16"/>
                <w:lang w:eastAsia="es-CO"/>
              </w:rPr>
              <w:t>2</w:t>
            </w:r>
          </w:p>
        </w:tc>
      </w:tr>
    </w:tbl>
    <w:p w14:paraId="6A429E8D" w14:textId="6A5DC1F3" w:rsidR="002A4156" w:rsidRDefault="002A4156" w:rsidP="00DF42F2">
      <w:pPr>
        <w:ind w:left="705"/>
        <w:jc w:val="both"/>
        <w:rPr>
          <w:rFonts w:ascii="Arial Narrow" w:hAnsi="Arial Narrow"/>
          <w:sz w:val="22"/>
          <w:szCs w:val="22"/>
        </w:rPr>
      </w:pPr>
    </w:p>
    <w:p w14:paraId="29E6658A" w14:textId="77777777" w:rsidR="00B727F8" w:rsidRDefault="00B727F8" w:rsidP="00DF42F2">
      <w:pPr>
        <w:ind w:left="705"/>
        <w:jc w:val="both"/>
        <w:rPr>
          <w:rFonts w:ascii="Arial Narrow" w:hAnsi="Arial Narrow"/>
          <w:sz w:val="22"/>
          <w:szCs w:val="22"/>
        </w:rPr>
      </w:pPr>
    </w:p>
    <w:p w14:paraId="18C984F4" w14:textId="77777777" w:rsidR="002A4156" w:rsidRDefault="002A4156" w:rsidP="002A4156">
      <w:pPr>
        <w:pStyle w:val="Prrafodelista"/>
        <w:numPr>
          <w:ilvl w:val="0"/>
          <w:numId w:val="33"/>
        </w:numPr>
        <w:jc w:val="both"/>
        <w:rPr>
          <w:rFonts w:ascii="Arial Narrow" w:hAnsi="Arial Narrow"/>
          <w:sz w:val="22"/>
          <w:szCs w:val="22"/>
        </w:rPr>
      </w:pPr>
      <w:r>
        <w:rPr>
          <w:rFonts w:ascii="Arial Narrow" w:hAnsi="Arial Narrow"/>
          <w:sz w:val="22"/>
          <w:szCs w:val="22"/>
        </w:rPr>
        <w:t>En el grupo Bienes de uso público e históricos y culturales se registró principalmente:</w:t>
      </w:r>
    </w:p>
    <w:p w14:paraId="05FE568B" w14:textId="77777777" w:rsidR="002A4156" w:rsidRDefault="002A4156" w:rsidP="002A4156">
      <w:pPr>
        <w:pStyle w:val="Prrafodelista"/>
        <w:jc w:val="both"/>
        <w:rPr>
          <w:rFonts w:ascii="Arial Narrow" w:hAnsi="Arial Narrow"/>
          <w:sz w:val="22"/>
          <w:szCs w:val="22"/>
        </w:rPr>
      </w:pPr>
    </w:p>
    <w:p w14:paraId="213EB28A" w14:textId="316A01DA" w:rsidR="009723A7" w:rsidRPr="009723A7" w:rsidRDefault="001E588A" w:rsidP="009723A7">
      <w:pPr>
        <w:pStyle w:val="Prrafodelista"/>
        <w:numPr>
          <w:ilvl w:val="0"/>
          <w:numId w:val="36"/>
        </w:numPr>
        <w:jc w:val="both"/>
        <w:rPr>
          <w:rFonts w:ascii="Arial Narrow" w:hAnsi="Arial Narrow"/>
          <w:sz w:val="16"/>
          <w:szCs w:val="16"/>
        </w:rPr>
      </w:pPr>
      <w:r w:rsidRPr="001E588A">
        <w:rPr>
          <w:rFonts w:ascii="Arial Narrow" w:hAnsi="Arial Narrow" w:cs="Gisha"/>
          <w:bCs/>
          <w:sz w:val="22"/>
          <w:szCs w:val="22"/>
        </w:rPr>
        <w:t xml:space="preserve">En la cuenta Bienes de uso público en servicio, Red Férrea se registra </w:t>
      </w:r>
      <w:r>
        <w:rPr>
          <w:rFonts w:ascii="Arial Narrow" w:hAnsi="Arial Narrow" w:cs="Gisha"/>
          <w:bCs/>
          <w:sz w:val="22"/>
          <w:szCs w:val="22"/>
        </w:rPr>
        <w:t xml:space="preserve">para </w:t>
      </w:r>
      <w:r w:rsidR="002E45AA">
        <w:rPr>
          <w:rFonts w:ascii="Arial Narrow" w:hAnsi="Arial Narrow" w:cs="Gisha"/>
          <w:bCs/>
          <w:sz w:val="22"/>
          <w:szCs w:val="22"/>
        </w:rPr>
        <w:t xml:space="preserve"> el </w:t>
      </w:r>
      <w:r>
        <w:rPr>
          <w:rFonts w:ascii="Arial Narrow" w:hAnsi="Arial Narrow" w:cs="Gisha"/>
          <w:bCs/>
          <w:sz w:val="22"/>
          <w:szCs w:val="22"/>
        </w:rPr>
        <w:t xml:space="preserve">mes de </w:t>
      </w:r>
      <w:r w:rsidR="00F55DC4">
        <w:rPr>
          <w:rFonts w:ascii="Arial Narrow" w:hAnsi="Arial Narrow" w:cs="Gisha"/>
          <w:bCs/>
          <w:sz w:val="22"/>
          <w:szCs w:val="22"/>
        </w:rPr>
        <w:t>octu</w:t>
      </w:r>
      <w:r>
        <w:rPr>
          <w:rFonts w:ascii="Arial Narrow" w:hAnsi="Arial Narrow" w:cs="Gisha"/>
          <w:bCs/>
          <w:sz w:val="22"/>
          <w:szCs w:val="22"/>
        </w:rPr>
        <w:t xml:space="preserve">bre de 2019 </w:t>
      </w:r>
      <w:r w:rsidRPr="001E588A">
        <w:rPr>
          <w:rFonts w:ascii="Arial Narrow" w:hAnsi="Arial Narrow" w:cs="Gisha"/>
          <w:bCs/>
          <w:sz w:val="22"/>
          <w:szCs w:val="22"/>
        </w:rPr>
        <w:t>un incremento de $</w:t>
      </w:r>
      <w:r w:rsidR="00F55DC4">
        <w:rPr>
          <w:rFonts w:ascii="Arial Narrow" w:hAnsi="Arial Narrow" w:cs="Gisha"/>
          <w:bCs/>
          <w:sz w:val="22"/>
          <w:szCs w:val="22"/>
        </w:rPr>
        <w:t>4</w:t>
      </w:r>
      <w:r w:rsidRPr="001E588A">
        <w:rPr>
          <w:rFonts w:ascii="Arial Narrow" w:hAnsi="Arial Narrow" w:cs="Gisha"/>
          <w:bCs/>
          <w:sz w:val="22"/>
          <w:szCs w:val="22"/>
        </w:rPr>
        <w:t>.</w:t>
      </w:r>
      <w:r w:rsidR="00F55DC4">
        <w:rPr>
          <w:rFonts w:ascii="Arial Narrow" w:hAnsi="Arial Narrow" w:cs="Gisha"/>
          <w:bCs/>
          <w:sz w:val="22"/>
          <w:szCs w:val="22"/>
        </w:rPr>
        <w:t>015</w:t>
      </w:r>
      <w:r w:rsidRPr="001E588A">
        <w:rPr>
          <w:rFonts w:ascii="Arial Narrow" w:hAnsi="Arial Narrow" w:cs="Gisha"/>
          <w:bCs/>
          <w:sz w:val="22"/>
          <w:szCs w:val="22"/>
        </w:rPr>
        <w:t>.</w:t>
      </w:r>
      <w:r w:rsidR="00F55DC4">
        <w:rPr>
          <w:rFonts w:ascii="Arial Narrow" w:hAnsi="Arial Narrow" w:cs="Gisha"/>
          <w:bCs/>
          <w:sz w:val="22"/>
          <w:szCs w:val="22"/>
        </w:rPr>
        <w:t>221</w:t>
      </w:r>
      <w:r w:rsidRPr="001E588A">
        <w:rPr>
          <w:rFonts w:ascii="Arial Narrow" w:hAnsi="Arial Narrow" w:cs="Gisha"/>
          <w:bCs/>
          <w:sz w:val="22"/>
          <w:szCs w:val="22"/>
        </w:rPr>
        <w:t xml:space="preserve"> miles</w:t>
      </w:r>
      <w:r w:rsidR="00983CD1">
        <w:rPr>
          <w:rFonts w:ascii="Arial Narrow" w:hAnsi="Arial Narrow" w:cs="Gisha"/>
          <w:bCs/>
          <w:sz w:val="22"/>
          <w:szCs w:val="22"/>
        </w:rPr>
        <w:t>,</w:t>
      </w:r>
      <w:r w:rsidRPr="001E588A">
        <w:rPr>
          <w:rFonts w:ascii="Arial Narrow" w:hAnsi="Arial Narrow" w:cs="Gisha"/>
          <w:bCs/>
          <w:sz w:val="22"/>
          <w:szCs w:val="22"/>
        </w:rPr>
        <w:t xml:space="preserve"> </w:t>
      </w:r>
      <w:r>
        <w:rPr>
          <w:rFonts w:ascii="Arial Narrow" w:hAnsi="Arial Narrow" w:cs="Gisha"/>
          <w:bCs/>
          <w:sz w:val="22"/>
          <w:szCs w:val="22"/>
        </w:rPr>
        <w:t xml:space="preserve">con respecto al mes de </w:t>
      </w:r>
      <w:r w:rsidR="00A6797F">
        <w:rPr>
          <w:rFonts w:ascii="Arial Narrow" w:hAnsi="Arial Narrow" w:cs="Gisha"/>
          <w:bCs/>
          <w:sz w:val="22"/>
          <w:szCs w:val="22"/>
        </w:rPr>
        <w:t>septiembre</w:t>
      </w:r>
      <w:r w:rsidR="00983CD1">
        <w:rPr>
          <w:rFonts w:ascii="Arial Narrow" w:hAnsi="Arial Narrow" w:cs="Gisha"/>
          <w:bCs/>
          <w:sz w:val="22"/>
          <w:szCs w:val="22"/>
        </w:rPr>
        <w:t xml:space="preserve"> </w:t>
      </w:r>
      <w:r>
        <w:rPr>
          <w:rFonts w:ascii="Arial Narrow" w:hAnsi="Arial Narrow" w:cs="Gisha"/>
          <w:bCs/>
          <w:sz w:val="22"/>
          <w:szCs w:val="22"/>
        </w:rPr>
        <w:t xml:space="preserve"> de la misma vigencia</w:t>
      </w:r>
      <w:r w:rsidR="002E45AA" w:rsidRPr="00AE6741">
        <w:rPr>
          <w:rFonts w:ascii="Arial Narrow" w:hAnsi="Arial Narrow" w:cs="Gisha"/>
          <w:bCs/>
          <w:sz w:val="22"/>
          <w:szCs w:val="22"/>
        </w:rPr>
        <w:t>,</w:t>
      </w:r>
      <w:r w:rsidRPr="00AE6741">
        <w:rPr>
          <w:rFonts w:ascii="Arial Narrow" w:hAnsi="Arial Narrow" w:cs="Gisha"/>
          <w:bCs/>
          <w:sz w:val="22"/>
          <w:szCs w:val="22"/>
        </w:rPr>
        <w:t xml:space="preserve"> por el valor facturado</w:t>
      </w:r>
      <w:r w:rsidR="002E45AA" w:rsidRPr="00AE6741">
        <w:rPr>
          <w:rFonts w:ascii="Arial Narrow" w:hAnsi="Arial Narrow" w:cs="Gisha"/>
          <w:bCs/>
          <w:sz w:val="22"/>
          <w:szCs w:val="22"/>
        </w:rPr>
        <w:t xml:space="preserve"> </w:t>
      </w:r>
      <w:r w:rsidR="00983CD1" w:rsidRPr="00AE6741">
        <w:rPr>
          <w:rFonts w:ascii="Arial Narrow" w:hAnsi="Arial Narrow" w:cs="Gisha"/>
          <w:bCs/>
          <w:sz w:val="22"/>
          <w:szCs w:val="22"/>
        </w:rPr>
        <w:t xml:space="preserve">por el </w:t>
      </w:r>
      <w:r w:rsidR="00F0636A" w:rsidRPr="00AE6741">
        <w:rPr>
          <w:rFonts w:ascii="Arial Narrow" w:hAnsi="Arial Narrow" w:cs="Gisha"/>
          <w:bCs/>
          <w:sz w:val="22"/>
          <w:szCs w:val="22"/>
        </w:rPr>
        <w:t xml:space="preserve">Consorcio </w:t>
      </w:r>
      <w:proofErr w:type="spellStart"/>
      <w:r w:rsidR="00F0636A" w:rsidRPr="00AE6741">
        <w:rPr>
          <w:rFonts w:ascii="Arial Narrow" w:hAnsi="Arial Narrow" w:cs="Gisha"/>
          <w:bCs/>
          <w:sz w:val="22"/>
          <w:szCs w:val="22"/>
        </w:rPr>
        <w:t>Ibines</w:t>
      </w:r>
      <w:proofErr w:type="spellEnd"/>
      <w:r w:rsidR="00F0636A" w:rsidRPr="00AE6741">
        <w:rPr>
          <w:rFonts w:ascii="Arial Narrow" w:hAnsi="Arial Narrow" w:cs="Gisha"/>
          <w:bCs/>
          <w:sz w:val="22"/>
          <w:szCs w:val="22"/>
        </w:rPr>
        <w:t xml:space="preserve"> Férreo </w:t>
      </w:r>
      <w:r w:rsidR="00983CD1" w:rsidRPr="00AE6741">
        <w:rPr>
          <w:rFonts w:ascii="Arial Narrow" w:hAnsi="Arial Narrow" w:cs="Gisha"/>
          <w:bCs/>
          <w:sz w:val="22"/>
          <w:szCs w:val="22"/>
        </w:rPr>
        <w:t xml:space="preserve">del contrato </w:t>
      </w:r>
      <w:r w:rsidR="009723A7" w:rsidRPr="00AE6741">
        <w:rPr>
          <w:rFonts w:ascii="Arial Narrow" w:hAnsi="Arial Narrow" w:cs="Gisha"/>
          <w:bCs/>
          <w:sz w:val="22"/>
          <w:szCs w:val="22"/>
        </w:rPr>
        <w:t>c</w:t>
      </w:r>
      <w:r w:rsidR="00F0636A" w:rsidRPr="00AE6741">
        <w:rPr>
          <w:rFonts w:ascii="Arial Narrow" w:hAnsi="Arial Narrow" w:cs="Gisha"/>
          <w:bCs/>
          <w:sz w:val="22"/>
          <w:szCs w:val="22"/>
        </w:rPr>
        <w:t>uyo objeto es</w:t>
      </w:r>
      <w:r w:rsidR="009723A7" w:rsidRPr="00AE6741">
        <w:rPr>
          <w:rFonts w:ascii="Arial Narrow" w:hAnsi="Arial Narrow" w:cs="Gisha"/>
          <w:bCs/>
          <w:sz w:val="22"/>
          <w:szCs w:val="22"/>
        </w:rPr>
        <w:t xml:space="preserve"> </w:t>
      </w:r>
      <w:r w:rsidR="00F0636A" w:rsidRPr="00AE6741">
        <w:rPr>
          <w:rFonts w:ascii="Arial Narrow" w:hAnsi="Arial Narrow" w:cs="Gisha"/>
          <w:bCs/>
          <w:sz w:val="22"/>
          <w:szCs w:val="22"/>
        </w:rPr>
        <w:t>”La reparación y atención de puntos críticos que presenta la Vía Férrea en los tramos</w:t>
      </w:r>
      <w:r w:rsidR="00F0636A" w:rsidRPr="00F0636A">
        <w:rPr>
          <w:rFonts w:ascii="Arial Narrow" w:hAnsi="Arial Narrow" w:cs="Gisha"/>
          <w:bCs/>
          <w:sz w:val="22"/>
          <w:szCs w:val="22"/>
        </w:rPr>
        <w:t xml:space="preserve"> La Dorada Chiriguaná y Bogotá Belencito, según lo establecen los apéndices técnicos, así como su administración, mantenimiento, vigilancia, operación y control de tráfico entre otras actividades”.  </w:t>
      </w:r>
      <w:r w:rsidR="009723A7">
        <w:rPr>
          <w:rFonts w:ascii="Arial Narrow" w:hAnsi="Arial Narrow" w:cs="Gisha"/>
          <w:bCs/>
          <w:sz w:val="22"/>
          <w:szCs w:val="22"/>
        </w:rPr>
        <w:t xml:space="preserve">Por valor de mantenimiento el Consorcio facturó un valor </w:t>
      </w:r>
      <w:r w:rsidR="009723A7" w:rsidRPr="00AE6741">
        <w:rPr>
          <w:rFonts w:ascii="Arial Narrow" w:hAnsi="Arial Narrow" w:cs="Gisha"/>
          <w:bCs/>
          <w:sz w:val="22"/>
          <w:szCs w:val="22"/>
        </w:rPr>
        <w:t>de $</w:t>
      </w:r>
      <w:r w:rsidR="008232EF" w:rsidRPr="00AE6741">
        <w:rPr>
          <w:rFonts w:ascii="Arial Narrow" w:hAnsi="Arial Narrow" w:cs="Gisha"/>
          <w:bCs/>
          <w:sz w:val="22"/>
          <w:szCs w:val="22"/>
        </w:rPr>
        <w:t>2</w:t>
      </w:r>
      <w:r w:rsidR="009723A7" w:rsidRPr="00AE6741">
        <w:rPr>
          <w:rFonts w:ascii="Arial Narrow" w:hAnsi="Arial Narrow" w:cs="Gisha"/>
          <w:bCs/>
          <w:sz w:val="22"/>
          <w:szCs w:val="22"/>
        </w:rPr>
        <w:t>.</w:t>
      </w:r>
      <w:r w:rsidR="008232EF" w:rsidRPr="00AE6741">
        <w:rPr>
          <w:rFonts w:ascii="Arial Narrow" w:hAnsi="Arial Narrow" w:cs="Gisha"/>
          <w:bCs/>
          <w:sz w:val="22"/>
          <w:szCs w:val="22"/>
        </w:rPr>
        <w:t>997</w:t>
      </w:r>
      <w:r w:rsidR="009723A7" w:rsidRPr="00AE6741">
        <w:rPr>
          <w:rFonts w:ascii="Arial Narrow" w:hAnsi="Arial Narrow" w:cs="Gisha"/>
          <w:bCs/>
          <w:sz w:val="22"/>
          <w:szCs w:val="22"/>
        </w:rPr>
        <w:t>.</w:t>
      </w:r>
      <w:r w:rsidR="008232EF" w:rsidRPr="00AE6741">
        <w:rPr>
          <w:rFonts w:ascii="Arial Narrow" w:hAnsi="Arial Narrow" w:cs="Gisha"/>
          <w:bCs/>
          <w:sz w:val="22"/>
          <w:szCs w:val="22"/>
        </w:rPr>
        <w:t>473</w:t>
      </w:r>
      <w:r w:rsidR="009723A7">
        <w:rPr>
          <w:rFonts w:ascii="Arial Narrow" w:hAnsi="Arial Narrow" w:cs="Gisha"/>
          <w:bCs/>
          <w:sz w:val="22"/>
          <w:szCs w:val="22"/>
        </w:rPr>
        <w:t xml:space="preserve"> miles que se registró en la cuenta de gasto respectiva.</w:t>
      </w:r>
    </w:p>
    <w:p w14:paraId="7D542169" w14:textId="77777777" w:rsidR="000D00C7" w:rsidRPr="0067606B" w:rsidRDefault="009723A7" w:rsidP="009723A7">
      <w:pPr>
        <w:pStyle w:val="Prrafodelista"/>
        <w:ind w:left="1080"/>
        <w:jc w:val="both"/>
        <w:rPr>
          <w:rFonts w:ascii="Arial Narrow" w:hAnsi="Arial Narrow"/>
          <w:sz w:val="16"/>
          <w:szCs w:val="16"/>
        </w:rPr>
      </w:pPr>
      <w:r w:rsidRPr="0067606B">
        <w:rPr>
          <w:rFonts w:ascii="Arial Narrow" w:hAnsi="Arial Narrow"/>
          <w:sz w:val="16"/>
          <w:szCs w:val="16"/>
        </w:rPr>
        <w:t xml:space="preserve"> </w:t>
      </w:r>
    </w:p>
    <w:p w14:paraId="1F92ABB6" w14:textId="666905FC" w:rsidR="000D00C7" w:rsidRDefault="000D00C7" w:rsidP="001E588A">
      <w:pPr>
        <w:pStyle w:val="Prrafodelista"/>
        <w:numPr>
          <w:ilvl w:val="0"/>
          <w:numId w:val="36"/>
        </w:numPr>
        <w:jc w:val="both"/>
        <w:rPr>
          <w:rFonts w:ascii="Arial Narrow" w:hAnsi="Arial Narrow" w:cs="Gisha"/>
          <w:bCs/>
          <w:sz w:val="22"/>
          <w:szCs w:val="22"/>
        </w:rPr>
      </w:pPr>
      <w:r w:rsidRPr="002E7100">
        <w:rPr>
          <w:rFonts w:ascii="Arial Narrow" w:hAnsi="Arial Narrow" w:cs="Gisha"/>
          <w:bCs/>
          <w:sz w:val="22"/>
          <w:szCs w:val="22"/>
        </w:rPr>
        <w:t xml:space="preserve">En la cuenta Bienes de Uso Público en Servicio – Concesiones, subcuenta Red Carretera, se registró en el mes de </w:t>
      </w:r>
      <w:r w:rsidR="00525193">
        <w:rPr>
          <w:rFonts w:ascii="Arial Narrow" w:hAnsi="Arial Narrow" w:cs="Gisha"/>
          <w:bCs/>
          <w:sz w:val="22"/>
          <w:szCs w:val="22"/>
        </w:rPr>
        <w:t>octu</w:t>
      </w:r>
      <w:r w:rsidR="00A0216E">
        <w:rPr>
          <w:rFonts w:ascii="Arial Narrow" w:hAnsi="Arial Narrow" w:cs="Gisha"/>
          <w:bCs/>
          <w:sz w:val="22"/>
          <w:szCs w:val="22"/>
        </w:rPr>
        <w:t>bre</w:t>
      </w:r>
      <w:r w:rsidRPr="002E7100">
        <w:rPr>
          <w:rFonts w:ascii="Arial Narrow" w:hAnsi="Arial Narrow" w:cs="Gisha"/>
          <w:bCs/>
          <w:sz w:val="22"/>
          <w:szCs w:val="22"/>
        </w:rPr>
        <w:t xml:space="preserve"> de 2019, </w:t>
      </w:r>
      <w:r w:rsidR="004A234E">
        <w:rPr>
          <w:rFonts w:ascii="Arial Narrow" w:hAnsi="Arial Narrow" w:cs="Gisha"/>
          <w:bCs/>
          <w:sz w:val="22"/>
          <w:szCs w:val="22"/>
        </w:rPr>
        <w:t>l</w:t>
      </w:r>
      <w:r w:rsidRPr="002E7100">
        <w:rPr>
          <w:rFonts w:ascii="Arial Narrow" w:hAnsi="Arial Narrow" w:cs="Gisha"/>
          <w:bCs/>
          <w:sz w:val="22"/>
          <w:szCs w:val="22"/>
        </w:rPr>
        <w:t xml:space="preserve">a ordenación del pago de las Resoluciones por medio de las cuales se declara y reconoce la ocurrencia de contingencias de acuerdo con la información suministrada por el Coordinador Grupo Interno de Trabajo de Riesgos, comunicación </w:t>
      </w:r>
      <w:r w:rsidR="002D1FEA" w:rsidRPr="002D1FEA">
        <w:rPr>
          <w:rFonts w:ascii="Arial Narrow" w:hAnsi="Arial Narrow" w:cs="Gisha"/>
          <w:bCs/>
          <w:sz w:val="22"/>
          <w:szCs w:val="22"/>
        </w:rPr>
        <w:t>No.</w:t>
      </w:r>
      <w:r w:rsidR="00BD2AF6">
        <w:rPr>
          <w:rFonts w:ascii="Arial Narrow" w:hAnsi="Arial Narrow" w:cs="Gisha"/>
          <w:bCs/>
          <w:sz w:val="22"/>
          <w:szCs w:val="22"/>
        </w:rPr>
        <w:t xml:space="preserve"> </w:t>
      </w:r>
      <w:r w:rsidR="00BD2AF6" w:rsidRPr="00BD2AF6">
        <w:rPr>
          <w:rFonts w:ascii="Arial Narrow" w:hAnsi="Arial Narrow" w:cs="Gisha"/>
          <w:bCs/>
          <w:sz w:val="22"/>
          <w:szCs w:val="22"/>
        </w:rPr>
        <w:t>2019-602-017608-3</w:t>
      </w:r>
      <w:r w:rsidR="002D1FEA" w:rsidRPr="002D1FEA">
        <w:rPr>
          <w:rFonts w:ascii="Arial Narrow" w:hAnsi="Arial Narrow" w:cs="Gisha"/>
          <w:bCs/>
          <w:sz w:val="22"/>
          <w:szCs w:val="22"/>
        </w:rPr>
        <w:t xml:space="preserve"> del 1</w:t>
      </w:r>
      <w:r w:rsidR="00BD2AF6">
        <w:rPr>
          <w:rFonts w:ascii="Arial Narrow" w:hAnsi="Arial Narrow" w:cs="Gisha"/>
          <w:bCs/>
          <w:sz w:val="22"/>
          <w:szCs w:val="22"/>
        </w:rPr>
        <w:t>8</w:t>
      </w:r>
      <w:r w:rsidR="002D1FEA" w:rsidRPr="002D1FEA">
        <w:rPr>
          <w:rFonts w:ascii="Arial Narrow" w:hAnsi="Arial Narrow" w:cs="Gisha"/>
          <w:bCs/>
          <w:sz w:val="22"/>
          <w:szCs w:val="22"/>
        </w:rPr>
        <w:t>/1</w:t>
      </w:r>
      <w:r w:rsidR="00BD2AF6">
        <w:rPr>
          <w:rFonts w:ascii="Arial Narrow" w:hAnsi="Arial Narrow" w:cs="Gisha"/>
          <w:bCs/>
          <w:sz w:val="22"/>
          <w:szCs w:val="22"/>
        </w:rPr>
        <w:t>1</w:t>
      </w:r>
      <w:r w:rsidR="002D1FEA" w:rsidRPr="002D1FEA">
        <w:rPr>
          <w:rFonts w:ascii="Arial Narrow" w:hAnsi="Arial Narrow" w:cs="Gisha"/>
          <w:bCs/>
          <w:sz w:val="22"/>
          <w:szCs w:val="22"/>
        </w:rPr>
        <w:t>/2019</w:t>
      </w:r>
      <w:r w:rsidRPr="002E7100">
        <w:rPr>
          <w:rFonts w:ascii="Arial Narrow" w:hAnsi="Arial Narrow" w:cs="Gisha"/>
          <w:bCs/>
          <w:sz w:val="22"/>
          <w:szCs w:val="22"/>
        </w:rPr>
        <w:t>, por valor de $</w:t>
      </w:r>
      <w:r w:rsidR="002D1FEA">
        <w:rPr>
          <w:rFonts w:ascii="Arial Narrow" w:hAnsi="Arial Narrow" w:cs="Gisha"/>
          <w:bCs/>
          <w:sz w:val="22"/>
          <w:szCs w:val="22"/>
        </w:rPr>
        <w:t>2</w:t>
      </w:r>
      <w:r w:rsidR="00BD2AF6">
        <w:rPr>
          <w:rFonts w:ascii="Arial Narrow" w:hAnsi="Arial Narrow" w:cs="Gisha"/>
          <w:bCs/>
          <w:sz w:val="22"/>
          <w:szCs w:val="22"/>
        </w:rPr>
        <w:t>6</w:t>
      </w:r>
      <w:r w:rsidRPr="002E7100">
        <w:rPr>
          <w:rFonts w:ascii="Arial Narrow" w:hAnsi="Arial Narrow" w:cs="Gisha"/>
          <w:bCs/>
          <w:sz w:val="22"/>
          <w:szCs w:val="22"/>
        </w:rPr>
        <w:t>.</w:t>
      </w:r>
      <w:r w:rsidR="00BD2AF6">
        <w:rPr>
          <w:rFonts w:ascii="Arial Narrow" w:hAnsi="Arial Narrow" w:cs="Gisha"/>
          <w:bCs/>
          <w:sz w:val="22"/>
          <w:szCs w:val="22"/>
        </w:rPr>
        <w:t>639</w:t>
      </w:r>
      <w:r w:rsidRPr="002E7100">
        <w:rPr>
          <w:rFonts w:ascii="Arial Narrow" w:hAnsi="Arial Narrow" w:cs="Gisha"/>
          <w:bCs/>
          <w:sz w:val="22"/>
          <w:szCs w:val="22"/>
        </w:rPr>
        <w:t>.</w:t>
      </w:r>
      <w:r w:rsidR="002D1FEA">
        <w:rPr>
          <w:rFonts w:ascii="Arial Narrow" w:hAnsi="Arial Narrow" w:cs="Gisha"/>
          <w:bCs/>
          <w:sz w:val="22"/>
          <w:szCs w:val="22"/>
        </w:rPr>
        <w:t>1</w:t>
      </w:r>
      <w:r w:rsidR="00BD2AF6">
        <w:rPr>
          <w:rFonts w:ascii="Arial Narrow" w:hAnsi="Arial Narrow" w:cs="Gisha"/>
          <w:bCs/>
          <w:sz w:val="22"/>
          <w:szCs w:val="22"/>
        </w:rPr>
        <w:t>23</w:t>
      </w:r>
      <w:r w:rsidRPr="002E7100">
        <w:rPr>
          <w:rFonts w:ascii="Arial Narrow" w:hAnsi="Arial Narrow" w:cs="Gisha"/>
          <w:bCs/>
          <w:sz w:val="22"/>
          <w:szCs w:val="22"/>
        </w:rPr>
        <w:t xml:space="preserve"> miles.   A continuación, se relaciona los proyectos afectados:</w:t>
      </w:r>
    </w:p>
    <w:p w14:paraId="6D3512D4" w14:textId="77777777" w:rsidR="009A4369" w:rsidRPr="009A4369" w:rsidRDefault="009A4369" w:rsidP="009A4369">
      <w:pPr>
        <w:pStyle w:val="Prrafodelista"/>
        <w:rPr>
          <w:rFonts w:ascii="Arial Narrow" w:hAnsi="Arial Narrow" w:cs="Gisha"/>
          <w:bCs/>
          <w:sz w:val="22"/>
          <w:szCs w:val="22"/>
        </w:rPr>
      </w:pPr>
    </w:p>
    <w:p w14:paraId="3450C8C7" w14:textId="77777777" w:rsidR="00BE5A10" w:rsidRDefault="00BE5A10" w:rsidP="007E4DA3">
      <w:pPr>
        <w:ind w:firstLine="708"/>
        <w:jc w:val="center"/>
        <w:rPr>
          <w:rFonts w:ascii="Arial Narrow" w:hAnsi="Arial Narrow" w:cs="Gisha"/>
          <w:bCs/>
          <w:sz w:val="22"/>
          <w:szCs w:val="22"/>
        </w:rPr>
      </w:pPr>
    </w:p>
    <w:p w14:paraId="58D2349D" w14:textId="5F289E61" w:rsidR="00964456" w:rsidRDefault="007E4DA3" w:rsidP="007E4DA3">
      <w:pPr>
        <w:ind w:firstLine="708"/>
        <w:jc w:val="center"/>
        <w:rPr>
          <w:rFonts w:ascii="Arial Narrow" w:hAnsi="Arial Narrow" w:cs="Gisha"/>
          <w:bCs/>
          <w:sz w:val="22"/>
          <w:szCs w:val="22"/>
        </w:rPr>
      </w:pPr>
      <w:r>
        <w:rPr>
          <w:rFonts w:ascii="Arial Narrow" w:hAnsi="Arial Narrow" w:cs="Gisha"/>
          <w:bCs/>
          <w:sz w:val="22"/>
          <w:szCs w:val="22"/>
        </w:rPr>
        <w:t xml:space="preserve">     </w:t>
      </w:r>
      <w:r w:rsidR="009A4369" w:rsidRPr="009A4369">
        <w:rPr>
          <w:noProof/>
        </w:rPr>
        <w:drawing>
          <wp:inline distT="0" distB="0" distL="0" distR="0" wp14:anchorId="3073EDB0" wp14:editId="2B53C2DA">
            <wp:extent cx="4720006" cy="1700998"/>
            <wp:effectExtent l="19050" t="19050" r="23495" b="1397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68168" cy="1754393"/>
                    </a:xfrm>
                    <a:prstGeom prst="rect">
                      <a:avLst/>
                    </a:prstGeom>
                    <a:noFill/>
                    <a:ln w="19050" cmpd="thinThick">
                      <a:solidFill>
                        <a:schemeClr val="tx1"/>
                      </a:solidFill>
                    </a:ln>
                  </pic:spPr>
                </pic:pic>
              </a:graphicData>
            </a:graphic>
          </wp:inline>
        </w:drawing>
      </w:r>
    </w:p>
    <w:p w14:paraId="104E4CF7" w14:textId="26EB5143" w:rsidR="00B727F8" w:rsidRDefault="00B727F8" w:rsidP="00B727F8">
      <w:pPr>
        <w:pStyle w:val="Prrafodelista"/>
        <w:jc w:val="both"/>
        <w:rPr>
          <w:rFonts w:ascii="Arial Narrow" w:hAnsi="Arial Narrow"/>
          <w:sz w:val="22"/>
          <w:szCs w:val="22"/>
        </w:rPr>
      </w:pPr>
    </w:p>
    <w:p w14:paraId="2C992D4A" w14:textId="77777777" w:rsidR="00B727F8" w:rsidRDefault="00B727F8" w:rsidP="00B727F8">
      <w:pPr>
        <w:pStyle w:val="Prrafodelista"/>
        <w:jc w:val="both"/>
        <w:rPr>
          <w:rFonts w:ascii="Arial Narrow" w:hAnsi="Arial Narrow"/>
          <w:sz w:val="22"/>
          <w:szCs w:val="22"/>
        </w:rPr>
      </w:pPr>
    </w:p>
    <w:p w14:paraId="33F304F4" w14:textId="59DD0D26" w:rsidR="00AB1C22" w:rsidRDefault="00AB1C22" w:rsidP="00FA1E71">
      <w:pPr>
        <w:pStyle w:val="Prrafodelista"/>
        <w:numPr>
          <w:ilvl w:val="0"/>
          <w:numId w:val="12"/>
        </w:numPr>
        <w:jc w:val="both"/>
        <w:rPr>
          <w:rFonts w:ascii="Arial Narrow" w:hAnsi="Arial Narrow"/>
          <w:sz w:val="22"/>
          <w:szCs w:val="22"/>
        </w:rPr>
      </w:pPr>
      <w:r>
        <w:rPr>
          <w:rFonts w:ascii="Arial Narrow" w:hAnsi="Arial Narrow"/>
          <w:sz w:val="22"/>
          <w:szCs w:val="22"/>
        </w:rPr>
        <w:t>En el grupo Otros activos se registró</w:t>
      </w:r>
      <w:r w:rsidR="00147465">
        <w:rPr>
          <w:rFonts w:ascii="Arial Narrow" w:hAnsi="Arial Narrow"/>
          <w:sz w:val="22"/>
          <w:szCs w:val="22"/>
        </w:rPr>
        <w:t>,</w:t>
      </w:r>
      <w:r>
        <w:rPr>
          <w:rFonts w:ascii="Arial Narrow" w:hAnsi="Arial Narrow"/>
          <w:sz w:val="22"/>
          <w:szCs w:val="22"/>
        </w:rPr>
        <w:t xml:space="preserve"> entre otros</w:t>
      </w:r>
      <w:r w:rsidR="00147465">
        <w:rPr>
          <w:rFonts w:ascii="Arial Narrow" w:hAnsi="Arial Narrow"/>
          <w:sz w:val="22"/>
          <w:szCs w:val="22"/>
        </w:rPr>
        <w:t>,</w:t>
      </w:r>
      <w:r>
        <w:rPr>
          <w:rFonts w:ascii="Arial Narrow" w:hAnsi="Arial Narrow"/>
          <w:sz w:val="22"/>
          <w:szCs w:val="22"/>
        </w:rPr>
        <w:t xml:space="preserve"> en el mes de </w:t>
      </w:r>
      <w:r w:rsidR="00B07B89">
        <w:rPr>
          <w:rFonts w:ascii="Arial Narrow" w:hAnsi="Arial Narrow"/>
          <w:sz w:val="22"/>
          <w:szCs w:val="22"/>
        </w:rPr>
        <w:t>octu</w:t>
      </w:r>
      <w:r w:rsidR="00104634">
        <w:rPr>
          <w:rFonts w:ascii="Arial Narrow" w:hAnsi="Arial Narrow"/>
          <w:sz w:val="22"/>
          <w:szCs w:val="22"/>
        </w:rPr>
        <w:t>bre</w:t>
      </w:r>
      <w:r>
        <w:rPr>
          <w:rFonts w:ascii="Arial Narrow" w:hAnsi="Arial Narrow"/>
          <w:sz w:val="22"/>
          <w:szCs w:val="22"/>
        </w:rPr>
        <w:t xml:space="preserve"> de 2019</w:t>
      </w:r>
      <w:r w:rsidR="00147465">
        <w:rPr>
          <w:rFonts w:ascii="Arial Narrow" w:hAnsi="Arial Narrow"/>
          <w:sz w:val="22"/>
          <w:szCs w:val="22"/>
        </w:rPr>
        <w:t>:</w:t>
      </w:r>
    </w:p>
    <w:p w14:paraId="0D11CE60" w14:textId="77777777" w:rsidR="00147465" w:rsidRPr="00A614CB" w:rsidRDefault="00147465" w:rsidP="00147465">
      <w:pPr>
        <w:pStyle w:val="Prrafodelista"/>
        <w:jc w:val="both"/>
        <w:rPr>
          <w:rFonts w:ascii="Arial Narrow" w:hAnsi="Arial Narrow"/>
          <w:sz w:val="16"/>
          <w:szCs w:val="16"/>
        </w:rPr>
      </w:pPr>
    </w:p>
    <w:p w14:paraId="11BF1BF5" w14:textId="0C45EEB0" w:rsidR="00E03224" w:rsidRDefault="00617FB3" w:rsidP="00A614CB">
      <w:pPr>
        <w:pStyle w:val="Prrafodelista"/>
        <w:numPr>
          <w:ilvl w:val="0"/>
          <w:numId w:val="34"/>
        </w:numPr>
        <w:ind w:left="1068"/>
        <w:jc w:val="both"/>
        <w:rPr>
          <w:rFonts w:ascii="Arial Narrow" w:hAnsi="Arial Narrow"/>
          <w:sz w:val="22"/>
          <w:szCs w:val="22"/>
        </w:rPr>
      </w:pPr>
      <w:r w:rsidRPr="00617FB3">
        <w:rPr>
          <w:rFonts w:ascii="Arial Narrow" w:hAnsi="Arial Narrow"/>
          <w:sz w:val="22"/>
          <w:szCs w:val="22"/>
        </w:rPr>
        <w:t>La subcuenta en administración DTN – SCUN, de la cuenta Recursos entregados en administración, presenta a 3</w:t>
      </w:r>
      <w:r w:rsidR="00610751">
        <w:rPr>
          <w:rFonts w:ascii="Arial Narrow" w:hAnsi="Arial Narrow"/>
          <w:sz w:val="22"/>
          <w:szCs w:val="22"/>
        </w:rPr>
        <w:t>1</w:t>
      </w:r>
      <w:r w:rsidRPr="00617FB3">
        <w:rPr>
          <w:rFonts w:ascii="Arial Narrow" w:hAnsi="Arial Narrow"/>
          <w:sz w:val="22"/>
          <w:szCs w:val="22"/>
        </w:rPr>
        <w:t xml:space="preserve"> de </w:t>
      </w:r>
      <w:r w:rsidR="00610751">
        <w:rPr>
          <w:rFonts w:ascii="Arial Narrow" w:hAnsi="Arial Narrow"/>
          <w:sz w:val="22"/>
          <w:szCs w:val="22"/>
        </w:rPr>
        <w:t>octu</w:t>
      </w:r>
      <w:r w:rsidR="004A4E39">
        <w:rPr>
          <w:rFonts w:ascii="Arial Narrow" w:hAnsi="Arial Narrow"/>
          <w:sz w:val="22"/>
          <w:szCs w:val="22"/>
        </w:rPr>
        <w:t>bre</w:t>
      </w:r>
      <w:r w:rsidRPr="00617FB3">
        <w:rPr>
          <w:rFonts w:ascii="Arial Narrow" w:hAnsi="Arial Narrow"/>
          <w:sz w:val="22"/>
          <w:szCs w:val="22"/>
        </w:rPr>
        <w:t xml:space="preserve"> de 2019 un saldo por valor de $ </w:t>
      </w:r>
      <w:r w:rsidR="002F1F9E">
        <w:rPr>
          <w:rFonts w:ascii="Arial Narrow" w:hAnsi="Arial Narrow"/>
          <w:sz w:val="22"/>
          <w:szCs w:val="22"/>
        </w:rPr>
        <w:t>171.465.320</w:t>
      </w:r>
      <w:r w:rsidR="004A4E39" w:rsidRPr="004A4E39">
        <w:rPr>
          <w:rFonts w:ascii="Arial Narrow" w:hAnsi="Arial Narrow"/>
          <w:sz w:val="22"/>
          <w:szCs w:val="22"/>
        </w:rPr>
        <w:t xml:space="preserve"> </w:t>
      </w:r>
      <w:r w:rsidRPr="00617FB3">
        <w:rPr>
          <w:rFonts w:ascii="Arial Narrow" w:hAnsi="Arial Narrow"/>
          <w:sz w:val="22"/>
          <w:szCs w:val="22"/>
        </w:rPr>
        <w:t xml:space="preserve">miles.  Esta subcuenta </w:t>
      </w:r>
      <w:r w:rsidR="00544306" w:rsidRPr="00617FB3">
        <w:rPr>
          <w:rFonts w:ascii="Arial Narrow" w:hAnsi="Arial Narrow"/>
          <w:sz w:val="22"/>
          <w:szCs w:val="22"/>
        </w:rPr>
        <w:t>mensualmente se concilia con la Dirección del Tesoro Nacional en el formato establecido para ello, debido a que esta cuenta genera una operación reciproca</w:t>
      </w:r>
      <w:r w:rsidR="00544306">
        <w:rPr>
          <w:rFonts w:ascii="Arial Narrow" w:hAnsi="Arial Narrow"/>
          <w:sz w:val="22"/>
          <w:szCs w:val="22"/>
        </w:rPr>
        <w:t>.</w:t>
      </w:r>
    </w:p>
    <w:p w14:paraId="6BA0508E" w14:textId="77777777" w:rsidR="00E03224" w:rsidRPr="00A614CB" w:rsidRDefault="00E03224" w:rsidP="00A614CB">
      <w:pPr>
        <w:pStyle w:val="Prrafodelista"/>
        <w:ind w:left="1068"/>
        <w:jc w:val="both"/>
        <w:rPr>
          <w:rFonts w:ascii="Arial Narrow" w:hAnsi="Arial Narrow"/>
          <w:sz w:val="16"/>
          <w:szCs w:val="16"/>
        </w:rPr>
      </w:pPr>
    </w:p>
    <w:p w14:paraId="003F4D87" w14:textId="77777777" w:rsidR="00544306" w:rsidRDefault="00544306" w:rsidP="00A614CB">
      <w:pPr>
        <w:pStyle w:val="Prrafodelista"/>
        <w:ind w:left="1068"/>
        <w:jc w:val="both"/>
        <w:rPr>
          <w:rFonts w:ascii="Arial Narrow" w:hAnsi="Arial Narrow"/>
          <w:sz w:val="22"/>
          <w:szCs w:val="22"/>
        </w:rPr>
      </w:pPr>
      <w:r>
        <w:rPr>
          <w:rFonts w:ascii="Arial Narrow" w:hAnsi="Arial Narrow"/>
          <w:sz w:val="22"/>
          <w:szCs w:val="22"/>
        </w:rPr>
        <w:t xml:space="preserve">El sistema </w:t>
      </w:r>
      <w:r w:rsidRPr="00544306">
        <w:rPr>
          <w:rFonts w:ascii="Arial Narrow" w:hAnsi="Arial Narrow"/>
          <w:sz w:val="22"/>
          <w:szCs w:val="22"/>
        </w:rPr>
        <w:t xml:space="preserve">de cuenta única nacional </w:t>
      </w:r>
      <w:r>
        <w:rPr>
          <w:rFonts w:ascii="Arial Narrow" w:hAnsi="Arial Narrow"/>
          <w:sz w:val="22"/>
          <w:szCs w:val="22"/>
        </w:rPr>
        <w:t xml:space="preserve">– SCUN es definido en </w:t>
      </w:r>
      <w:r w:rsidRPr="00544306">
        <w:rPr>
          <w:rFonts w:ascii="Arial Narrow" w:hAnsi="Arial Narrow"/>
          <w:sz w:val="22"/>
          <w:szCs w:val="22"/>
        </w:rPr>
        <w:t xml:space="preserve">el artículo 1º del Decreto 2785 del 29 de noviembre de 2013 </w:t>
      </w:r>
      <w:r>
        <w:rPr>
          <w:rFonts w:ascii="Arial Narrow" w:hAnsi="Arial Narrow"/>
          <w:sz w:val="22"/>
          <w:szCs w:val="22"/>
        </w:rPr>
        <w:t xml:space="preserve">como </w:t>
      </w:r>
      <w:r w:rsidRPr="00544306">
        <w:rPr>
          <w:rFonts w:ascii="Arial Narrow" w:hAnsi="Arial Narrow"/>
          <w:sz w:val="22"/>
          <w:szCs w:val="22"/>
        </w:rPr>
        <w:t>“el conjunto de procesos de recaudo, traslado, administración y giro de recursos realizados por los órganos que conforman el Presupuesto General de la Nación. Los lineamientos y procedimientos para el traslado de recursos al SCUN, su administración y giro serán establecidos por la dirección general de crédito público y tesoro nacional del Ministerio de Hacienda y Crédito Público, conforme a las normas orgánicas del presupuesto”</w:t>
      </w:r>
    </w:p>
    <w:p w14:paraId="178DE3ED" w14:textId="77777777" w:rsidR="00544306" w:rsidRPr="00A614CB" w:rsidRDefault="00544306" w:rsidP="00A614CB">
      <w:pPr>
        <w:pStyle w:val="Prrafodelista"/>
        <w:ind w:left="1068"/>
        <w:jc w:val="both"/>
        <w:rPr>
          <w:rFonts w:ascii="Arial Narrow" w:hAnsi="Arial Narrow"/>
          <w:sz w:val="16"/>
          <w:szCs w:val="16"/>
        </w:rPr>
      </w:pPr>
    </w:p>
    <w:p w14:paraId="396DB133" w14:textId="14DAAB0A" w:rsidR="00FF1B2C" w:rsidRDefault="00FF1B2C" w:rsidP="00A614CB">
      <w:pPr>
        <w:pStyle w:val="Prrafodelista"/>
        <w:ind w:left="1068"/>
        <w:jc w:val="both"/>
        <w:rPr>
          <w:rFonts w:ascii="Arial Narrow" w:hAnsi="Arial Narrow"/>
          <w:sz w:val="22"/>
          <w:szCs w:val="22"/>
        </w:rPr>
      </w:pPr>
      <w:r>
        <w:rPr>
          <w:rFonts w:ascii="Arial Narrow" w:hAnsi="Arial Narrow"/>
          <w:sz w:val="22"/>
          <w:szCs w:val="22"/>
        </w:rPr>
        <w:t xml:space="preserve">A continuación, </w:t>
      </w:r>
      <w:r w:rsidRPr="00544306">
        <w:rPr>
          <w:rFonts w:ascii="Arial Narrow" w:hAnsi="Arial Narrow"/>
          <w:sz w:val="22"/>
          <w:szCs w:val="22"/>
        </w:rPr>
        <w:t>se detallan los pagos más representativos realizados</w:t>
      </w:r>
      <w:r w:rsidR="00DE424D">
        <w:rPr>
          <w:rFonts w:ascii="Arial Narrow" w:hAnsi="Arial Narrow"/>
          <w:sz w:val="22"/>
          <w:szCs w:val="22"/>
        </w:rPr>
        <w:t>,</w:t>
      </w:r>
      <w:r w:rsidRPr="00544306">
        <w:rPr>
          <w:rFonts w:ascii="Arial Narrow" w:hAnsi="Arial Narrow"/>
          <w:sz w:val="22"/>
          <w:szCs w:val="22"/>
        </w:rPr>
        <w:t xml:space="preserve"> </w:t>
      </w:r>
      <w:r w:rsidR="00544306" w:rsidRPr="00544306">
        <w:rPr>
          <w:rFonts w:ascii="Arial Narrow" w:hAnsi="Arial Narrow"/>
          <w:sz w:val="22"/>
          <w:szCs w:val="22"/>
        </w:rPr>
        <w:t xml:space="preserve">en el mes de </w:t>
      </w:r>
      <w:r w:rsidR="002F1F9E">
        <w:rPr>
          <w:rFonts w:ascii="Arial Narrow" w:hAnsi="Arial Narrow"/>
          <w:sz w:val="22"/>
          <w:szCs w:val="22"/>
        </w:rPr>
        <w:t>octu</w:t>
      </w:r>
      <w:r w:rsidR="004A4E39">
        <w:rPr>
          <w:rFonts w:ascii="Arial Narrow" w:hAnsi="Arial Narrow"/>
          <w:sz w:val="22"/>
          <w:szCs w:val="22"/>
        </w:rPr>
        <w:t>bre</w:t>
      </w:r>
      <w:r w:rsidR="00DE424D">
        <w:rPr>
          <w:rFonts w:ascii="Arial Narrow" w:hAnsi="Arial Narrow"/>
          <w:sz w:val="22"/>
          <w:szCs w:val="22"/>
        </w:rPr>
        <w:t>,</w:t>
      </w:r>
      <w:r w:rsidR="00544306" w:rsidRPr="00544306">
        <w:rPr>
          <w:rFonts w:ascii="Arial Narrow" w:hAnsi="Arial Narrow"/>
          <w:sz w:val="22"/>
          <w:szCs w:val="22"/>
        </w:rPr>
        <w:t xml:space="preserve"> </w:t>
      </w:r>
      <w:r w:rsidRPr="00544306">
        <w:rPr>
          <w:rFonts w:ascii="Arial Narrow" w:hAnsi="Arial Narrow"/>
          <w:sz w:val="22"/>
          <w:szCs w:val="22"/>
        </w:rPr>
        <w:t>por la CUN:</w:t>
      </w:r>
    </w:p>
    <w:p w14:paraId="4033B8EA" w14:textId="77777777" w:rsidR="00767981" w:rsidRPr="0067606B" w:rsidRDefault="00767981" w:rsidP="00767981">
      <w:pPr>
        <w:jc w:val="both"/>
        <w:rPr>
          <w:rFonts w:ascii="Arial Narrow" w:hAnsi="Arial Narrow"/>
          <w:sz w:val="16"/>
          <w:szCs w:val="16"/>
        </w:rPr>
      </w:pPr>
    </w:p>
    <w:p w14:paraId="513D949C" w14:textId="427B0900" w:rsidR="00BE4604" w:rsidRDefault="00BE4604" w:rsidP="00C834BA">
      <w:pPr>
        <w:ind w:left="1134"/>
        <w:jc w:val="center"/>
        <w:rPr>
          <w:rFonts w:ascii="Arial Narrow" w:hAnsi="Arial Narrow"/>
          <w:sz w:val="22"/>
          <w:szCs w:val="22"/>
        </w:rPr>
      </w:pPr>
    </w:p>
    <w:p w14:paraId="4ACB5493" w14:textId="402144C6" w:rsidR="00BE4604" w:rsidRDefault="007E4DA3" w:rsidP="00BE4604">
      <w:pPr>
        <w:ind w:firstLine="284"/>
        <w:rPr>
          <w:rFonts w:ascii="Arial Narrow" w:hAnsi="Arial Narrow"/>
          <w:sz w:val="22"/>
          <w:szCs w:val="22"/>
        </w:rPr>
      </w:pPr>
      <w:r>
        <w:rPr>
          <w:rFonts w:ascii="Arial Narrow" w:hAnsi="Arial Narrow"/>
          <w:sz w:val="22"/>
          <w:szCs w:val="22"/>
        </w:rPr>
        <w:t xml:space="preserve">  </w:t>
      </w:r>
      <w:r w:rsidR="00BE4604" w:rsidRPr="00BE4604">
        <w:rPr>
          <w:noProof/>
        </w:rPr>
        <w:drawing>
          <wp:inline distT="0" distB="0" distL="0" distR="0" wp14:anchorId="0FFCF7A9" wp14:editId="61498AD1">
            <wp:extent cx="4999643" cy="4721886"/>
            <wp:effectExtent l="19050" t="19050" r="10795" b="2159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09559" cy="4731251"/>
                    </a:xfrm>
                    <a:prstGeom prst="rect">
                      <a:avLst/>
                    </a:prstGeom>
                    <a:noFill/>
                    <a:ln w="19050" cmpd="thinThick">
                      <a:solidFill>
                        <a:schemeClr val="tx1"/>
                      </a:solidFill>
                    </a:ln>
                  </pic:spPr>
                </pic:pic>
              </a:graphicData>
            </a:graphic>
          </wp:inline>
        </w:drawing>
      </w:r>
    </w:p>
    <w:p w14:paraId="29716EEF" w14:textId="77777777" w:rsidR="00BE4604" w:rsidRDefault="00BE4604" w:rsidP="00C834BA">
      <w:pPr>
        <w:ind w:left="1134"/>
        <w:jc w:val="center"/>
        <w:rPr>
          <w:rFonts w:ascii="Arial Narrow" w:hAnsi="Arial Narrow"/>
          <w:sz w:val="22"/>
          <w:szCs w:val="22"/>
        </w:rPr>
      </w:pPr>
    </w:p>
    <w:p w14:paraId="0157968E" w14:textId="22D6B468" w:rsidR="00112759" w:rsidRDefault="00B42358" w:rsidP="00112759">
      <w:pPr>
        <w:rPr>
          <w:rFonts w:ascii="Arial Narrow" w:hAnsi="Arial Narrow"/>
          <w:sz w:val="22"/>
          <w:szCs w:val="22"/>
        </w:rPr>
      </w:pPr>
      <w:r>
        <w:rPr>
          <w:rFonts w:ascii="Arial Narrow" w:hAnsi="Arial Narrow"/>
          <w:sz w:val="22"/>
          <w:szCs w:val="22"/>
        </w:rPr>
        <w:t xml:space="preserve">   </w:t>
      </w:r>
    </w:p>
    <w:p w14:paraId="21D3CBC1" w14:textId="77777777" w:rsidR="00B65EF5" w:rsidRDefault="00B65EF5" w:rsidP="00112759">
      <w:pPr>
        <w:rPr>
          <w:rFonts w:ascii="Arial Narrow" w:hAnsi="Arial Narrow"/>
          <w:sz w:val="22"/>
          <w:szCs w:val="22"/>
        </w:rPr>
      </w:pPr>
    </w:p>
    <w:p w14:paraId="4AB4C822" w14:textId="78376CD8" w:rsidR="0035523E" w:rsidRPr="0062163A" w:rsidRDefault="0035523E" w:rsidP="00112759">
      <w:pPr>
        <w:rPr>
          <w:rFonts w:ascii="Arial Narrow" w:hAnsi="Arial Narrow" w:cs="Gisha"/>
          <w:b/>
          <w:bCs/>
          <w:sz w:val="22"/>
          <w:szCs w:val="22"/>
        </w:rPr>
      </w:pPr>
      <w:r w:rsidRPr="0062163A">
        <w:rPr>
          <w:rFonts w:ascii="Arial Narrow" w:hAnsi="Arial Narrow" w:cs="Gisha"/>
          <w:b/>
          <w:bCs/>
          <w:sz w:val="22"/>
          <w:szCs w:val="22"/>
        </w:rPr>
        <w:lastRenderedPageBreak/>
        <w:t>NOTA 2.  PASIVOS</w:t>
      </w:r>
    </w:p>
    <w:p w14:paraId="146E9506" w14:textId="77777777" w:rsidR="00B71A42" w:rsidRDefault="00B71A42" w:rsidP="00762DF6">
      <w:pPr>
        <w:jc w:val="both"/>
        <w:rPr>
          <w:rFonts w:ascii="Arial Narrow" w:hAnsi="Arial Narrow" w:cs="Gisha"/>
          <w:b/>
          <w:bCs/>
          <w:sz w:val="20"/>
          <w:szCs w:val="20"/>
        </w:rPr>
      </w:pPr>
    </w:p>
    <w:p w14:paraId="7157C465" w14:textId="3173891D" w:rsidR="00B71A42" w:rsidRDefault="00B71A42" w:rsidP="00B71A42">
      <w:pPr>
        <w:jc w:val="center"/>
        <w:rPr>
          <w:rFonts w:ascii="Arial Narrow" w:hAnsi="Arial Narrow" w:cs="Gisha"/>
          <w:b/>
          <w:bCs/>
          <w:sz w:val="22"/>
          <w:szCs w:val="22"/>
        </w:rPr>
      </w:pPr>
      <w:r w:rsidRPr="006807EE">
        <w:rPr>
          <w:rFonts w:ascii="Arial Narrow" w:hAnsi="Arial Narrow" w:cs="Gisha"/>
          <w:b/>
          <w:bCs/>
          <w:sz w:val="22"/>
          <w:szCs w:val="22"/>
        </w:rPr>
        <w:t xml:space="preserve">VARIACIONES </w:t>
      </w:r>
      <w:r w:rsidR="004324FE" w:rsidRPr="006807EE">
        <w:rPr>
          <w:rFonts w:ascii="Arial Narrow" w:hAnsi="Arial Narrow" w:cs="Gisha"/>
          <w:b/>
          <w:bCs/>
          <w:sz w:val="22"/>
          <w:szCs w:val="22"/>
        </w:rPr>
        <w:t>PASIVOS</w:t>
      </w:r>
      <w:r w:rsidRPr="006807EE">
        <w:rPr>
          <w:rFonts w:ascii="Arial Narrow" w:hAnsi="Arial Narrow" w:cs="Gisha"/>
          <w:b/>
          <w:bCs/>
          <w:sz w:val="22"/>
          <w:szCs w:val="22"/>
        </w:rPr>
        <w:t xml:space="preserve"> </w:t>
      </w:r>
      <w:r w:rsidR="00F92D81">
        <w:rPr>
          <w:rFonts w:ascii="Arial Narrow" w:hAnsi="Arial Narrow" w:cs="Gisha"/>
          <w:b/>
          <w:bCs/>
          <w:sz w:val="22"/>
          <w:szCs w:val="22"/>
        </w:rPr>
        <w:t>OCTU</w:t>
      </w:r>
      <w:r w:rsidR="004A4E39">
        <w:rPr>
          <w:rFonts w:ascii="Arial Narrow" w:hAnsi="Arial Narrow" w:cs="Gisha"/>
          <w:b/>
          <w:bCs/>
          <w:sz w:val="22"/>
          <w:szCs w:val="22"/>
        </w:rPr>
        <w:t>BRE</w:t>
      </w:r>
      <w:r w:rsidRPr="006807EE">
        <w:rPr>
          <w:rFonts w:ascii="Arial Narrow" w:hAnsi="Arial Narrow" w:cs="Gisha"/>
          <w:b/>
          <w:bCs/>
          <w:sz w:val="22"/>
          <w:szCs w:val="22"/>
        </w:rPr>
        <w:t xml:space="preserve"> DE 2019 - </w:t>
      </w:r>
      <w:r w:rsidR="00F92D81">
        <w:rPr>
          <w:rFonts w:ascii="Arial Narrow" w:hAnsi="Arial Narrow" w:cs="Gisha"/>
          <w:b/>
          <w:bCs/>
          <w:sz w:val="22"/>
          <w:szCs w:val="22"/>
        </w:rPr>
        <w:t>OCTU</w:t>
      </w:r>
      <w:r w:rsidR="004A4E39">
        <w:rPr>
          <w:rFonts w:ascii="Arial Narrow" w:hAnsi="Arial Narrow" w:cs="Gisha"/>
          <w:b/>
          <w:bCs/>
          <w:sz w:val="22"/>
          <w:szCs w:val="22"/>
        </w:rPr>
        <w:t>BRE</w:t>
      </w:r>
      <w:r w:rsidRPr="006807EE">
        <w:rPr>
          <w:rFonts w:ascii="Arial Narrow" w:hAnsi="Arial Narrow" w:cs="Gisha"/>
          <w:b/>
          <w:bCs/>
          <w:sz w:val="22"/>
          <w:szCs w:val="22"/>
        </w:rPr>
        <w:t xml:space="preserve"> DE 2018</w:t>
      </w:r>
    </w:p>
    <w:p w14:paraId="4F163FE4" w14:textId="4F8092FB" w:rsidR="00955EAD" w:rsidRDefault="00955EAD" w:rsidP="00B71A42">
      <w:pPr>
        <w:jc w:val="center"/>
        <w:rPr>
          <w:rFonts w:ascii="Arial Narrow" w:hAnsi="Arial Narrow" w:cs="Gisha"/>
          <w:b/>
          <w:bCs/>
          <w:sz w:val="22"/>
          <w:szCs w:val="22"/>
        </w:rPr>
      </w:pPr>
    </w:p>
    <w:p w14:paraId="12937569" w14:textId="58868E18" w:rsidR="00AD2CAE" w:rsidRDefault="00AD2CAE" w:rsidP="00B71A42">
      <w:pPr>
        <w:jc w:val="center"/>
        <w:rPr>
          <w:rFonts w:ascii="Arial Narrow" w:hAnsi="Arial Narrow" w:cs="Gisha"/>
          <w:b/>
          <w:bCs/>
          <w:sz w:val="22"/>
          <w:szCs w:val="22"/>
        </w:rPr>
      </w:pPr>
      <w:r w:rsidRPr="00AD2CAE">
        <w:rPr>
          <w:noProof/>
        </w:rPr>
        <w:drawing>
          <wp:inline distT="0" distB="0" distL="0" distR="0" wp14:anchorId="17C17C3C" wp14:editId="32798E13">
            <wp:extent cx="5163820" cy="2179929"/>
            <wp:effectExtent l="19050" t="19050" r="17780" b="1143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95978" cy="2193505"/>
                    </a:xfrm>
                    <a:prstGeom prst="rect">
                      <a:avLst/>
                    </a:prstGeom>
                    <a:noFill/>
                    <a:ln w="19050" cmpd="thinThick">
                      <a:solidFill>
                        <a:schemeClr val="tx1"/>
                      </a:solidFill>
                    </a:ln>
                  </pic:spPr>
                </pic:pic>
              </a:graphicData>
            </a:graphic>
          </wp:inline>
        </w:drawing>
      </w:r>
    </w:p>
    <w:p w14:paraId="3D061CDD" w14:textId="77777777" w:rsidR="00AD2CAE" w:rsidRDefault="00AD2CAE" w:rsidP="00B71A42">
      <w:pPr>
        <w:jc w:val="center"/>
        <w:rPr>
          <w:rFonts w:ascii="Arial Narrow" w:hAnsi="Arial Narrow" w:cs="Gisha"/>
          <w:b/>
          <w:bCs/>
          <w:sz w:val="22"/>
          <w:szCs w:val="22"/>
        </w:rPr>
      </w:pPr>
    </w:p>
    <w:p w14:paraId="3BBAA7D3" w14:textId="4AF5552C" w:rsidR="00C21E64" w:rsidRDefault="00D1080F" w:rsidP="00AD2CAE">
      <w:pPr>
        <w:jc w:val="both"/>
        <w:rPr>
          <w:rFonts w:ascii="Arial Narrow" w:hAnsi="Arial Narrow" w:cs="Arial"/>
          <w:sz w:val="22"/>
          <w:szCs w:val="22"/>
        </w:rPr>
      </w:pPr>
      <w:r>
        <w:t xml:space="preserve"> </w:t>
      </w:r>
      <w:r w:rsidR="00CF3505">
        <w:rPr>
          <w:rFonts w:ascii="Arial Narrow" w:hAnsi="Arial Narrow" w:cs="Arial"/>
          <w:sz w:val="22"/>
          <w:szCs w:val="22"/>
        </w:rPr>
        <w:t>Los pasivos en el mes de</w:t>
      </w:r>
      <w:r w:rsidR="00AD2CAE">
        <w:rPr>
          <w:rFonts w:ascii="Arial Narrow" w:hAnsi="Arial Narrow" w:cs="Arial"/>
          <w:sz w:val="22"/>
          <w:szCs w:val="22"/>
        </w:rPr>
        <w:t xml:space="preserve"> octu</w:t>
      </w:r>
      <w:r>
        <w:rPr>
          <w:rFonts w:ascii="Arial Narrow" w:hAnsi="Arial Narrow" w:cs="Arial"/>
          <w:sz w:val="22"/>
          <w:szCs w:val="22"/>
        </w:rPr>
        <w:t>bre</w:t>
      </w:r>
      <w:r w:rsidR="00C533AE">
        <w:rPr>
          <w:rFonts w:ascii="Arial Narrow" w:hAnsi="Arial Narrow" w:cs="Arial"/>
          <w:sz w:val="22"/>
          <w:szCs w:val="22"/>
        </w:rPr>
        <w:t xml:space="preserve"> </w:t>
      </w:r>
      <w:r w:rsidR="00CF3505">
        <w:rPr>
          <w:rFonts w:ascii="Arial Narrow" w:hAnsi="Arial Narrow" w:cs="Arial"/>
          <w:sz w:val="22"/>
          <w:szCs w:val="22"/>
        </w:rPr>
        <w:t>de 2019 presentan</w:t>
      </w:r>
      <w:r w:rsidR="006C25BF">
        <w:rPr>
          <w:rFonts w:ascii="Arial Narrow" w:hAnsi="Arial Narrow" w:cs="Arial"/>
          <w:sz w:val="22"/>
          <w:szCs w:val="22"/>
        </w:rPr>
        <w:t xml:space="preserve"> </w:t>
      </w:r>
      <w:r w:rsidR="00456C6B">
        <w:rPr>
          <w:rFonts w:ascii="Arial Narrow" w:hAnsi="Arial Narrow" w:cs="Arial"/>
          <w:sz w:val="22"/>
          <w:szCs w:val="22"/>
        </w:rPr>
        <w:t xml:space="preserve">un incremento del </w:t>
      </w:r>
      <w:r>
        <w:rPr>
          <w:rFonts w:ascii="Arial Narrow" w:hAnsi="Arial Narrow" w:cs="Arial"/>
          <w:sz w:val="22"/>
          <w:szCs w:val="22"/>
        </w:rPr>
        <w:t>5</w:t>
      </w:r>
      <w:r w:rsidR="0031045D">
        <w:rPr>
          <w:rFonts w:ascii="Arial Narrow" w:hAnsi="Arial Narrow" w:cs="Arial"/>
          <w:sz w:val="22"/>
          <w:szCs w:val="22"/>
        </w:rPr>
        <w:t>,</w:t>
      </w:r>
      <w:r w:rsidR="00352B06">
        <w:rPr>
          <w:rFonts w:ascii="Arial Narrow" w:hAnsi="Arial Narrow" w:cs="Arial"/>
          <w:sz w:val="22"/>
          <w:szCs w:val="22"/>
        </w:rPr>
        <w:t>2</w:t>
      </w:r>
      <w:r>
        <w:rPr>
          <w:rFonts w:ascii="Arial Narrow" w:hAnsi="Arial Narrow" w:cs="Arial"/>
          <w:sz w:val="22"/>
          <w:szCs w:val="22"/>
        </w:rPr>
        <w:t>5</w:t>
      </w:r>
      <w:r w:rsidR="00456C6B">
        <w:rPr>
          <w:rFonts w:ascii="Arial Narrow" w:hAnsi="Arial Narrow" w:cs="Arial"/>
          <w:sz w:val="22"/>
          <w:szCs w:val="22"/>
        </w:rPr>
        <w:t>%</w:t>
      </w:r>
      <w:r w:rsidR="00CB15E3">
        <w:rPr>
          <w:rFonts w:ascii="Arial Narrow" w:hAnsi="Arial Narrow" w:cs="Arial"/>
          <w:sz w:val="22"/>
          <w:szCs w:val="22"/>
        </w:rPr>
        <w:t xml:space="preserve"> en términos corrientes</w:t>
      </w:r>
      <w:r w:rsidR="00456C6B">
        <w:rPr>
          <w:rFonts w:ascii="Arial Narrow" w:hAnsi="Arial Narrow" w:cs="Arial"/>
          <w:sz w:val="22"/>
          <w:szCs w:val="22"/>
        </w:rPr>
        <w:t xml:space="preserve"> y una variación</w:t>
      </w:r>
      <w:r w:rsidR="00FC5D89">
        <w:rPr>
          <w:rFonts w:ascii="Arial Narrow" w:hAnsi="Arial Narrow" w:cs="Arial"/>
          <w:sz w:val="22"/>
          <w:szCs w:val="22"/>
        </w:rPr>
        <w:t xml:space="preserve"> neta</w:t>
      </w:r>
      <w:r w:rsidR="00456C6B">
        <w:rPr>
          <w:rFonts w:ascii="Arial Narrow" w:hAnsi="Arial Narrow" w:cs="Arial"/>
          <w:sz w:val="22"/>
          <w:szCs w:val="22"/>
        </w:rPr>
        <w:t xml:space="preserve"> de $</w:t>
      </w:r>
      <w:r w:rsidR="000C550D">
        <w:rPr>
          <w:rFonts w:ascii="Arial Narrow" w:hAnsi="Arial Narrow" w:cs="Arial"/>
          <w:sz w:val="22"/>
          <w:szCs w:val="22"/>
        </w:rPr>
        <w:t>1.</w:t>
      </w:r>
      <w:r>
        <w:rPr>
          <w:rFonts w:ascii="Arial Narrow" w:hAnsi="Arial Narrow" w:cs="Arial"/>
          <w:sz w:val="22"/>
          <w:szCs w:val="22"/>
        </w:rPr>
        <w:t>26</w:t>
      </w:r>
      <w:r w:rsidR="00AD2CAE">
        <w:rPr>
          <w:rFonts w:ascii="Arial Narrow" w:hAnsi="Arial Narrow" w:cs="Arial"/>
          <w:sz w:val="22"/>
          <w:szCs w:val="22"/>
        </w:rPr>
        <w:t>8</w:t>
      </w:r>
      <w:r w:rsidR="000C550D">
        <w:rPr>
          <w:rFonts w:ascii="Arial Narrow" w:hAnsi="Arial Narrow" w:cs="Arial"/>
          <w:sz w:val="22"/>
          <w:szCs w:val="22"/>
        </w:rPr>
        <w:t>.</w:t>
      </w:r>
      <w:r w:rsidR="00AD2CAE">
        <w:rPr>
          <w:rFonts w:ascii="Arial Narrow" w:hAnsi="Arial Narrow" w:cs="Arial"/>
          <w:sz w:val="22"/>
          <w:szCs w:val="22"/>
        </w:rPr>
        <w:t>406</w:t>
      </w:r>
      <w:r w:rsidR="000C550D">
        <w:rPr>
          <w:rFonts w:ascii="Arial Narrow" w:hAnsi="Arial Narrow" w:cs="Arial"/>
          <w:sz w:val="22"/>
          <w:szCs w:val="22"/>
        </w:rPr>
        <w:t>.</w:t>
      </w:r>
      <w:r w:rsidR="00AD2CAE">
        <w:rPr>
          <w:rFonts w:ascii="Arial Narrow" w:hAnsi="Arial Narrow" w:cs="Arial"/>
          <w:sz w:val="22"/>
          <w:szCs w:val="22"/>
        </w:rPr>
        <w:t>65</w:t>
      </w:r>
      <w:r>
        <w:rPr>
          <w:rFonts w:ascii="Arial Narrow" w:hAnsi="Arial Narrow" w:cs="Arial"/>
          <w:sz w:val="22"/>
          <w:szCs w:val="22"/>
        </w:rPr>
        <w:t>2</w:t>
      </w:r>
      <w:r w:rsidR="00456C6B">
        <w:rPr>
          <w:rFonts w:ascii="Arial Narrow" w:hAnsi="Arial Narrow" w:cs="Arial"/>
          <w:sz w:val="22"/>
          <w:szCs w:val="22"/>
        </w:rPr>
        <w:t xml:space="preserve"> miles </w:t>
      </w:r>
      <w:r w:rsidR="00CF3505">
        <w:rPr>
          <w:rFonts w:ascii="Arial Narrow" w:hAnsi="Arial Narrow" w:cs="Arial"/>
          <w:sz w:val="22"/>
          <w:szCs w:val="22"/>
        </w:rPr>
        <w:t>con relación a l</w:t>
      </w:r>
      <w:r w:rsidR="006C25BF">
        <w:rPr>
          <w:rFonts w:ascii="Arial Narrow" w:hAnsi="Arial Narrow" w:cs="Arial"/>
          <w:sz w:val="22"/>
          <w:szCs w:val="22"/>
        </w:rPr>
        <w:t xml:space="preserve">os pasivos del mes de </w:t>
      </w:r>
      <w:r w:rsidR="00AD2CAE">
        <w:rPr>
          <w:rFonts w:ascii="Arial Narrow" w:hAnsi="Arial Narrow" w:cs="Arial"/>
          <w:sz w:val="22"/>
          <w:szCs w:val="22"/>
        </w:rPr>
        <w:t>octu</w:t>
      </w:r>
      <w:r>
        <w:rPr>
          <w:rFonts w:ascii="Arial Narrow" w:hAnsi="Arial Narrow" w:cs="Arial"/>
          <w:sz w:val="22"/>
          <w:szCs w:val="22"/>
        </w:rPr>
        <w:t>bre</w:t>
      </w:r>
      <w:r w:rsidR="00C533AE">
        <w:rPr>
          <w:rFonts w:ascii="Arial Narrow" w:hAnsi="Arial Narrow" w:cs="Arial"/>
          <w:sz w:val="22"/>
          <w:szCs w:val="22"/>
        </w:rPr>
        <w:t xml:space="preserve"> </w:t>
      </w:r>
      <w:r w:rsidR="006C25BF">
        <w:rPr>
          <w:rFonts w:ascii="Arial Narrow" w:hAnsi="Arial Narrow" w:cs="Arial"/>
          <w:sz w:val="22"/>
          <w:szCs w:val="22"/>
        </w:rPr>
        <w:t>de 2018</w:t>
      </w:r>
      <w:r>
        <w:rPr>
          <w:rFonts w:ascii="Arial Narrow" w:hAnsi="Arial Narrow" w:cs="Arial"/>
          <w:sz w:val="22"/>
          <w:szCs w:val="22"/>
        </w:rPr>
        <w:t>.  E</w:t>
      </w:r>
      <w:r w:rsidR="00CF3505">
        <w:rPr>
          <w:rFonts w:ascii="Arial Narrow" w:hAnsi="Arial Narrow" w:cs="Arial"/>
          <w:sz w:val="22"/>
          <w:szCs w:val="22"/>
        </w:rPr>
        <w:t>ste incremento obedece principalmente a</w:t>
      </w:r>
      <w:r w:rsidR="000C550D">
        <w:rPr>
          <w:rFonts w:ascii="Arial Narrow" w:hAnsi="Arial Narrow" w:cs="Arial"/>
          <w:sz w:val="22"/>
          <w:szCs w:val="22"/>
        </w:rPr>
        <w:t xml:space="preserve"> un incremento en la cuenta Otros pasivos por valor de $1.3</w:t>
      </w:r>
      <w:r>
        <w:rPr>
          <w:rFonts w:ascii="Arial Narrow" w:hAnsi="Arial Narrow" w:cs="Arial"/>
          <w:sz w:val="22"/>
          <w:szCs w:val="22"/>
        </w:rPr>
        <w:t>28</w:t>
      </w:r>
      <w:r w:rsidR="000C550D">
        <w:rPr>
          <w:rFonts w:ascii="Arial Narrow" w:hAnsi="Arial Narrow" w:cs="Arial"/>
          <w:sz w:val="22"/>
          <w:szCs w:val="22"/>
        </w:rPr>
        <w:t>.</w:t>
      </w:r>
      <w:r>
        <w:rPr>
          <w:rFonts w:ascii="Arial Narrow" w:hAnsi="Arial Narrow" w:cs="Arial"/>
          <w:sz w:val="22"/>
          <w:szCs w:val="22"/>
        </w:rPr>
        <w:t>315</w:t>
      </w:r>
      <w:r w:rsidR="000C550D">
        <w:rPr>
          <w:rFonts w:ascii="Arial Narrow" w:hAnsi="Arial Narrow" w:cs="Arial"/>
          <w:sz w:val="22"/>
          <w:szCs w:val="22"/>
        </w:rPr>
        <w:t>.</w:t>
      </w:r>
      <w:r>
        <w:rPr>
          <w:rFonts w:ascii="Arial Narrow" w:hAnsi="Arial Narrow" w:cs="Arial"/>
          <w:sz w:val="22"/>
          <w:szCs w:val="22"/>
        </w:rPr>
        <w:t>292</w:t>
      </w:r>
      <w:r w:rsidR="000C550D">
        <w:rPr>
          <w:rFonts w:ascii="Arial Narrow" w:hAnsi="Arial Narrow" w:cs="Arial"/>
          <w:sz w:val="22"/>
          <w:szCs w:val="22"/>
        </w:rPr>
        <w:t xml:space="preserve"> miles.</w:t>
      </w:r>
    </w:p>
    <w:p w14:paraId="02C51C74" w14:textId="77777777" w:rsidR="00FD5436" w:rsidRDefault="00FD5436" w:rsidP="00C21E64">
      <w:pPr>
        <w:jc w:val="both"/>
        <w:rPr>
          <w:rFonts w:ascii="Arial Narrow" w:hAnsi="Arial Narrow" w:cs="Arial"/>
          <w:sz w:val="16"/>
          <w:szCs w:val="16"/>
        </w:rPr>
      </w:pPr>
    </w:p>
    <w:p w14:paraId="00F88F16" w14:textId="7A27CA69" w:rsidR="00D7755C" w:rsidRPr="00F0240C" w:rsidRDefault="00D7755C" w:rsidP="00366E43">
      <w:pPr>
        <w:jc w:val="both"/>
        <w:rPr>
          <w:rFonts w:ascii="Arial Narrow" w:hAnsi="Arial Narrow"/>
          <w:sz w:val="22"/>
          <w:szCs w:val="22"/>
          <w:lang w:eastAsia="es-CO"/>
        </w:rPr>
      </w:pPr>
      <w:r w:rsidRPr="00D7755C">
        <w:rPr>
          <w:rFonts w:ascii="Arial Narrow" w:hAnsi="Arial Narrow" w:cs="Arial"/>
          <w:sz w:val="22"/>
          <w:szCs w:val="22"/>
        </w:rPr>
        <w:t>El incremento</w:t>
      </w:r>
      <w:r w:rsidR="006C25BF" w:rsidRPr="00D7755C">
        <w:rPr>
          <w:rFonts w:ascii="Arial Narrow" w:hAnsi="Arial Narrow" w:cs="Arial"/>
          <w:sz w:val="22"/>
          <w:szCs w:val="22"/>
        </w:rPr>
        <w:t xml:space="preserve"> de</w:t>
      </w:r>
      <w:r w:rsidR="0031045D" w:rsidRPr="00D7755C">
        <w:rPr>
          <w:rFonts w:ascii="Arial Narrow" w:hAnsi="Arial Narrow" w:cs="Arial"/>
          <w:sz w:val="22"/>
          <w:szCs w:val="22"/>
        </w:rPr>
        <w:t xml:space="preserve"> $1</w:t>
      </w:r>
      <w:r w:rsidR="00785E07" w:rsidRPr="00D7755C">
        <w:rPr>
          <w:rFonts w:ascii="Arial Narrow" w:hAnsi="Arial Narrow" w:cs="Arial"/>
          <w:sz w:val="22"/>
          <w:szCs w:val="22"/>
        </w:rPr>
        <w:t>.</w:t>
      </w:r>
      <w:r w:rsidR="00366E43">
        <w:rPr>
          <w:rFonts w:ascii="Arial Narrow" w:hAnsi="Arial Narrow" w:cs="Arial"/>
          <w:sz w:val="22"/>
          <w:szCs w:val="22"/>
        </w:rPr>
        <w:t>328</w:t>
      </w:r>
      <w:r w:rsidR="00785E07" w:rsidRPr="00D7755C">
        <w:rPr>
          <w:rFonts w:ascii="Arial Narrow" w:hAnsi="Arial Narrow" w:cs="Arial"/>
          <w:sz w:val="22"/>
          <w:szCs w:val="22"/>
        </w:rPr>
        <w:t>.</w:t>
      </w:r>
      <w:r w:rsidR="00366E43">
        <w:rPr>
          <w:rFonts w:ascii="Arial Narrow" w:hAnsi="Arial Narrow" w:cs="Arial"/>
          <w:sz w:val="22"/>
          <w:szCs w:val="22"/>
        </w:rPr>
        <w:t>315</w:t>
      </w:r>
      <w:r w:rsidR="00785E07" w:rsidRPr="00D7755C">
        <w:rPr>
          <w:rFonts w:ascii="Arial Narrow" w:hAnsi="Arial Narrow" w:cs="Arial"/>
          <w:sz w:val="22"/>
          <w:szCs w:val="22"/>
        </w:rPr>
        <w:t>.</w:t>
      </w:r>
      <w:r w:rsidR="00366E43">
        <w:rPr>
          <w:rFonts w:ascii="Arial Narrow" w:hAnsi="Arial Narrow" w:cs="Arial"/>
          <w:sz w:val="22"/>
          <w:szCs w:val="22"/>
        </w:rPr>
        <w:t>292</w:t>
      </w:r>
      <w:r w:rsidR="0031045D" w:rsidRPr="00D7755C">
        <w:rPr>
          <w:rFonts w:ascii="Arial" w:hAnsi="Arial" w:cs="Arial"/>
          <w:sz w:val="16"/>
          <w:szCs w:val="16"/>
          <w:lang w:val="es-CO" w:eastAsia="es-CO"/>
        </w:rPr>
        <w:t xml:space="preserve"> </w:t>
      </w:r>
      <w:r w:rsidR="00456C6B" w:rsidRPr="00D7755C">
        <w:rPr>
          <w:rFonts w:ascii="Arial Narrow" w:hAnsi="Arial Narrow" w:cs="Arial"/>
          <w:sz w:val="22"/>
          <w:szCs w:val="22"/>
        </w:rPr>
        <w:t>miles</w:t>
      </w:r>
      <w:r w:rsidR="008F771B">
        <w:rPr>
          <w:rFonts w:ascii="Arial Narrow" w:hAnsi="Arial Narrow" w:cs="Arial"/>
          <w:sz w:val="22"/>
          <w:szCs w:val="22"/>
        </w:rPr>
        <w:t>,</w:t>
      </w:r>
      <w:r w:rsidR="00456C6B" w:rsidRPr="00D7755C">
        <w:rPr>
          <w:rFonts w:ascii="Arial Narrow" w:hAnsi="Arial Narrow" w:cs="Arial"/>
          <w:sz w:val="22"/>
          <w:szCs w:val="22"/>
        </w:rPr>
        <w:t xml:space="preserve"> </w:t>
      </w:r>
      <w:r w:rsidR="006C25BF" w:rsidRPr="00D7755C">
        <w:rPr>
          <w:rFonts w:ascii="Arial Narrow" w:hAnsi="Arial Narrow"/>
          <w:sz w:val="22"/>
          <w:szCs w:val="22"/>
          <w:lang w:eastAsia="es-CO"/>
        </w:rPr>
        <w:t xml:space="preserve">en </w:t>
      </w:r>
      <w:r>
        <w:rPr>
          <w:rFonts w:ascii="Arial Narrow" w:hAnsi="Arial Narrow"/>
          <w:sz w:val="22"/>
          <w:szCs w:val="22"/>
          <w:lang w:eastAsia="es-CO"/>
        </w:rPr>
        <w:t xml:space="preserve">el grupo </w:t>
      </w:r>
      <w:r w:rsidR="00F56FDF">
        <w:rPr>
          <w:rFonts w:ascii="Arial Narrow" w:hAnsi="Arial Narrow"/>
          <w:sz w:val="22"/>
          <w:szCs w:val="22"/>
          <w:lang w:eastAsia="es-CO"/>
        </w:rPr>
        <w:t>O</w:t>
      </w:r>
      <w:r>
        <w:rPr>
          <w:rFonts w:ascii="Arial Narrow" w:hAnsi="Arial Narrow"/>
          <w:sz w:val="22"/>
          <w:szCs w:val="22"/>
          <w:lang w:eastAsia="es-CO"/>
        </w:rPr>
        <w:t>tros pasivos</w:t>
      </w:r>
      <w:r w:rsidR="008F771B">
        <w:rPr>
          <w:rFonts w:ascii="Arial Narrow" w:hAnsi="Arial Narrow"/>
          <w:sz w:val="22"/>
          <w:szCs w:val="22"/>
          <w:lang w:eastAsia="es-CO"/>
        </w:rPr>
        <w:t>,</w:t>
      </w:r>
      <w:r>
        <w:rPr>
          <w:rFonts w:ascii="Arial Narrow" w:hAnsi="Arial Narrow"/>
          <w:sz w:val="22"/>
          <w:szCs w:val="22"/>
          <w:lang w:eastAsia="es-CO"/>
        </w:rPr>
        <w:t xml:space="preserve"> se </w:t>
      </w:r>
      <w:r w:rsidRPr="00D7755C">
        <w:rPr>
          <w:rFonts w:ascii="Arial Narrow" w:hAnsi="Arial Narrow"/>
          <w:sz w:val="22"/>
          <w:szCs w:val="22"/>
          <w:lang w:eastAsia="es-CO"/>
        </w:rPr>
        <w:t xml:space="preserve">presenta </w:t>
      </w:r>
      <w:r w:rsidR="00366E43">
        <w:rPr>
          <w:rFonts w:ascii="Arial Narrow" w:hAnsi="Arial Narrow"/>
          <w:sz w:val="22"/>
          <w:szCs w:val="22"/>
          <w:lang w:eastAsia="es-CO"/>
        </w:rPr>
        <w:t>por el</w:t>
      </w:r>
      <w:r w:rsidR="00EA4A14">
        <w:rPr>
          <w:rFonts w:ascii="Arial Narrow" w:hAnsi="Arial Narrow"/>
          <w:sz w:val="22"/>
          <w:szCs w:val="22"/>
          <w:lang w:eastAsia="es-CO"/>
        </w:rPr>
        <w:t xml:space="preserve"> incremento en l</w:t>
      </w:r>
      <w:r w:rsidRPr="00F0240C">
        <w:rPr>
          <w:rFonts w:ascii="Arial Narrow" w:hAnsi="Arial Narrow"/>
          <w:sz w:val="22"/>
          <w:szCs w:val="22"/>
          <w:lang w:eastAsia="es-CO"/>
        </w:rPr>
        <w:t xml:space="preserve">a Cuenta Otros pasivos diferidos, subcuenta </w:t>
      </w:r>
      <w:r w:rsidR="00456C6B" w:rsidRPr="00F0240C">
        <w:rPr>
          <w:rFonts w:ascii="Arial Narrow" w:hAnsi="Arial Narrow"/>
          <w:sz w:val="22"/>
          <w:szCs w:val="22"/>
          <w:lang w:eastAsia="es-CO"/>
        </w:rPr>
        <w:t>Ingreso diferido por concesiones</w:t>
      </w:r>
      <w:r w:rsidR="00EA4A14">
        <w:rPr>
          <w:rFonts w:ascii="Arial Narrow" w:hAnsi="Arial Narrow"/>
          <w:sz w:val="22"/>
          <w:szCs w:val="22"/>
          <w:lang w:eastAsia="es-CO"/>
        </w:rPr>
        <w:t xml:space="preserve"> – concedente,</w:t>
      </w:r>
      <w:r w:rsidR="006C25BF" w:rsidRPr="00F0240C">
        <w:rPr>
          <w:rFonts w:ascii="Arial Narrow" w:hAnsi="Arial Narrow"/>
          <w:sz w:val="22"/>
          <w:szCs w:val="22"/>
          <w:lang w:eastAsia="es-CO"/>
        </w:rPr>
        <w:t xml:space="preserve"> </w:t>
      </w:r>
      <w:r w:rsidRPr="00F0240C">
        <w:rPr>
          <w:rFonts w:ascii="Arial Narrow" w:hAnsi="Arial Narrow"/>
          <w:sz w:val="22"/>
          <w:szCs w:val="22"/>
          <w:lang w:eastAsia="es-CO"/>
        </w:rPr>
        <w:t xml:space="preserve">por </w:t>
      </w:r>
      <w:r w:rsidR="00836FF7" w:rsidRPr="00F0240C">
        <w:rPr>
          <w:rFonts w:ascii="Arial Narrow" w:hAnsi="Arial Narrow"/>
          <w:sz w:val="22"/>
          <w:szCs w:val="22"/>
          <w:lang w:eastAsia="es-CO"/>
        </w:rPr>
        <w:t xml:space="preserve">la técnica de estimación utilizada en el modelo financiero para propósitos contables para reconocer el activo y el pasivo asociado, a los proyectos carreteros, a una fecha determinada, dependiendo del tipo de pasivo. La información de la determinación de los conceptos de </w:t>
      </w:r>
      <w:proofErr w:type="spellStart"/>
      <w:r w:rsidR="00836FF7" w:rsidRPr="00F0240C">
        <w:rPr>
          <w:rFonts w:ascii="Arial Narrow" w:hAnsi="Arial Narrow"/>
          <w:sz w:val="22"/>
          <w:szCs w:val="22"/>
          <w:lang w:eastAsia="es-CO"/>
        </w:rPr>
        <w:t>Capex</w:t>
      </w:r>
      <w:proofErr w:type="spellEnd"/>
      <w:r w:rsidR="00836FF7" w:rsidRPr="00F0240C">
        <w:rPr>
          <w:rFonts w:ascii="Arial Narrow" w:hAnsi="Arial Narrow"/>
          <w:sz w:val="22"/>
          <w:szCs w:val="22"/>
          <w:lang w:eastAsia="es-CO"/>
        </w:rPr>
        <w:t xml:space="preserve">, </w:t>
      </w:r>
      <w:proofErr w:type="spellStart"/>
      <w:r w:rsidR="00836FF7" w:rsidRPr="00F0240C">
        <w:rPr>
          <w:rFonts w:ascii="Arial Narrow" w:hAnsi="Arial Narrow"/>
          <w:sz w:val="22"/>
          <w:szCs w:val="22"/>
          <w:lang w:eastAsia="es-CO"/>
        </w:rPr>
        <w:t>Opex</w:t>
      </w:r>
      <w:proofErr w:type="spellEnd"/>
      <w:r w:rsidR="00836FF7" w:rsidRPr="00F0240C">
        <w:rPr>
          <w:rFonts w:ascii="Arial Narrow" w:hAnsi="Arial Narrow"/>
          <w:sz w:val="22"/>
          <w:szCs w:val="22"/>
          <w:lang w:eastAsia="es-CO"/>
        </w:rPr>
        <w:t>, ingresos, etc. fue suministrada por las áreas técnicas y financieras de cada proyecto de concesión.</w:t>
      </w:r>
      <w:r w:rsidR="005E561B">
        <w:rPr>
          <w:rFonts w:ascii="Arial Narrow" w:hAnsi="Arial Narrow"/>
          <w:sz w:val="22"/>
          <w:szCs w:val="22"/>
          <w:lang w:eastAsia="es-CO"/>
        </w:rPr>
        <w:t xml:space="preserve"> </w:t>
      </w:r>
      <w:r w:rsidR="00836FF7" w:rsidRPr="00F0240C">
        <w:rPr>
          <w:rFonts w:ascii="Arial Narrow" w:hAnsi="Arial Narrow"/>
          <w:sz w:val="22"/>
          <w:szCs w:val="22"/>
          <w:lang w:eastAsia="es-CO"/>
        </w:rPr>
        <w:t xml:space="preserve">Otra situación que modifica esta </w:t>
      </w:r>
      <w:r w:rsidR="00E07983" w:rsidRPr="00F0240C">
        <w:rPr>
          <w:rFonts w:ascii="Arial Narrow" w:hAnsi="Arial Narrow"/>
          <w:sz w:val="22"/>
          <w:szCs w:val="22"/>
          <w:lang w:eastAsia="es-CO"/>
        </w:rPr>
        <w:t>cuenta es</w:t>
      </w:r>
      <w:r w:rsidR="00836FF7" w:rsidRPr="00F0240C">
        <w:rPr>
          <w:rFonts w:ascii="Arial Narrow" w:hAnsi="Arial Narrow"/>
          <w:sz w:val="22"/>
          <w:szCs w:val="22"/>
          <w:lang w:eastAsia="es-CO"/>
        </w:rPr>
        <w:t xml:space="preserve"> </w:t>
      </w:r>
      <w:r w:rsidRPr="00F0240C">
        <w:rPr>
          <w:rFonts w:ascii="Arial Narrow" w:hAnsi="Arial Narrow"/>
          <w:sz w:val="22"/>
          <w:szCs w:val="22"/>
          <w:lang w:eastAsia="es-CO"/>
        </w:rPr>
        <w:t xml:space="preserve">el reconocimiento de la actualización efectuada a los proyectos de concesión del modo portuario de acuerdo con la información suministrada </w:t>
      </w:r>
      <w:r w:rsidR="00B80152">
        <w:rPr>
          <w:rFonts w:ascii="Arial Narrow" w:hAnsi="Arial Narrow"/>
          <w:sz w:val="22"/>
          <w:szCs w:val="22"/>
          <w:lang w:eastAsia="es-CO"/>
        </w:rPr>
        <w:t>en el formato</w:t>
      </w:r>
      <w:r w:rsidR="00164330">
        <w:rPr>
          <w:rFonts w:ascii="Arial Narrow" w:hAnsi="Arial Narrow"/>
          <w:sz w:val="22"/>
          <w:szCs w:val="22"/>
          <w:lang w:eastAsia="es-CO"/>
        </w:rPr>
        <w:t xml:space="preserve"> para tal fin</w:t>
      </w:r>
      <w:r w:rsidR="00B80152">
        <w:rPr>
          <w:rFonts w:ascii="Arial Narrow" w:hAnsi="Arial Narrow"/>
          <w:sz w:val="22"/>
          <w:szCs w:val="22"/>
          <w:lang w:eastAsia="es-CO"/>
        </w:rPr>
        <w:t xml:space="preserve">, </w:t>
      </w:r>
      <w:r w:rsidR="008C65D0" w:rsidRPr="00F0240C">
        <w:rPr>
          <w:rFonts w:ascii="Arial Narrow" w:hAnsi="Arial Narrow"/>
          <w:sz w:val="22"/>
          <w:szCs w:val="22"/>
          <w:lang w:eastAsia="es-CO"/>
        </w:rPr>
        <w:t>con</w:t>
      </w:r>
      <w:r w:rsidRPr="00F0240C">
        <w:rPr>
          <w:rFonts w:ascii="Arial Narrow" w:hAnsi="Arial Narrow"/>
          <w:sz w:val="22"/>
          <w:szCs w:val="22"/>
          <w:lang w:eastAsia="es-CO"/>
        </w:rPr>
        <w:t xml:space="preserve"> fecha de corte 30 de junio de 2019.</w:t>
      </w:r>
    </w:p>
    <w:p w14:paraId="5A960101" w14:textId="77777777" w:rsidR="00804C7A" w:rsidRPr="006D746C" w:rsidRDefault="00804C7A" w:rsidP="00D7755C">
      <w:pPr>
        <w:jc w:val="both"/>
        <w:rPr>
          <w:rFonts w:ascii="Arial Narrow" w:hAnsi="Arial Narrow"/>
          <w:sz w:val="16"/>
          <w:szCs w:val="16"/>
          <w:lang w:eastAsia="es-CO"/>
        </w:rPr>
      </w:pPr>
    </w:p>
    <w:p w14:paraId="47B15E2D" w14:textId="77777777" w:rsidR="00804348" w:rsidRDefault="00804348" w:rsidP="00366E43">
      <w:pPr>
        <w:jc w:val="both"/>
        <w:rPr>
          <w:rFonts w:ascii="Arial Narrow" w:hAnsi="Arial Narrow"/>
          <w:sz w:val="22"/>
          <w:szCs w:val="22"/>
          <w:lang w:eastAsia="es-CO"/>
        </w:rPr>
      </w:pPr>
      <w:r w:rsidRPr="00804348">
        <w:rPr>
          <w:rFonts w:ascii="Arial Narrow" w:hAnsi="Arial Narrow"/>
          <w:sz w:val="22"/>
          <w:szCs w:val="22"/>
          <w:lang w:eastAsia="es-CO"/>
        </w:rPr>
        <w:t xml:space="preserve">Es importante resaltar que como parte de las actividades que adelanta la Agencia Nacional de Infraestructura en observancia al Plan de Trabajo remitido a la Contaduría General de la Nación el 1 de agosto de 2018, para dar cumplimiento al Nuevo Marco Normativo para Entidades de Gobierno – Norma de concesiones, se modificó para el </w:t>
      </w:r>
      <w:r w:rsidR="00424A82">
        <w:rPr>
          <w:rFonts w:ascii="Arial Narrow" w:hAnsi="Arial Narrow"/>
          <w:sz w:val="22"/>
          <w:szCs w:val="22"/>
          <w:lang w:eastAsia="es-CO"/>
        </w:rPr>
        <w:t xml:space="preserve">reporte de información del </w:t>
      </w:r>
      <w:r w:rsidRPr="00804348">
        <w:rPr>
          <w:rFonts w:ascii="Arial Narrow" w:hAnsi="Arial Narrow"/>
          <w:sz w:val="22"/>
          <w:szCs w:val="22"/>
          <w:lang w:eastAsia="es-CO"/>
        </w:rPr>
        <w:t>primer semestre de 2019 el formato GCSP-F011</w:t>
      </w:r>
      <w:r w:rsidR="005F4BE3" w:rsidRPr="005F4BE3">
        <w:rPr>
          <w:rFonts w:ascii="Arial Narrow" w:hAnsi="Arial Narrow"/>
          <w:sz w:val="22"/>
          <w:szCs w:val="22"/>
          <w:lang w:eastAsia="es-CO"/>
        </w:rPr>
        <w:t>“INFORME DE INVERSIÓN DE CAPITAL PRIVADO EN BIENES DE USO PÚBLICO DEL MODO PORTUARIO SEGÚN EL MARCO NORMATIVO PARA ENTIDADES DEL GOBIERNO”.</w:t>
      </w:r>
      <w:r w:rsidR="005F4BE3">
        <w:rPr>
          <w:rFonts w:ascii="Arial Narrow" w:hAnsi="Arial Narrow"/>
          <w:sz w:val="22"/>
          <w:szCs w:val="22"/>
          <w:lang w:eastAsia="es-CO"/>
        </w:rPr>
        <w:t xml:space="preserve"> </w:t>
      </w:r>
      <w:r w:rsidRPr="00804348">
        <w:rPr>
          <w:rFonts w:ascii="Arial Narrow" w:hAnsi="Arial Narrow"/>
          <w:sz w:val="22"/>
          <w:szCs w:val="22"/>
          <w:lang w:eastAsia="es-CO"/>
        </w:rPr>
        <w:t xml:space="preserve">, resultado de las mesas de trabajo efectuadas por el equipo de puertos de la Vicepresidencia de Gestión contractual </w:t>
      </w:r>
      <w:r w:rsidRPr="004D5EB8">
        <w:rPr>
          <w:rFonts w:ascii="Arial Narrow" w:hAnsi="Arial Narrow"/>
          <w:sz w:val="22"/>
          <w:szCs w:val="22"/>
          <w:lang w:eastAsia="es-CO"/>
        </w:rPr>
        <w:t>y el área contable de la Vicepresidencia Administrativa y Financiera de la Agencia.</w:t>
      </w:r>
    </w:p>
    <w:p w14:paraId="7A76CF58" w14:textId="77777777" w:rsidR="00366E43" w:rsidRDefault="00366E43" w:rsidP="00366E43">
      <w:pPr>
        <w:jc w:val="both"/>
        <w:rPr>
          <w:rFonts w:ascii="Arial Narrow" w:hAnsi="Arial Narrow"/>
          <w:sz w:val="22"/>
          <w:szCs w:val="22"/>
          <w:lang w:eastAsia="es-CO"/>
        </w:rPr>
      </w:pPr>
    </w:p>
    <w:p w14:paraId="3AFD4B7F" w14:textId="77777777" w:rsidR="00B8581D" w:rsidRPr="006D746C" w:rsidRDefault="00B8581D" w:rsidP="00D7755C">
      <w:pPr>
        <w:jc w:val="both"/>
        <w:rPr>
          <w:rFonts w:ascii="Arial Narrow" w:hAnsi="Arial Narrow"/>
          <w:sz w:val="16"/>
          <w:szCs w:val="16"/>
          <w:lang w:eastAsia="es-CO"/>
        </w:rPr>
      </w:pPr>
    </w:p>
    <w:p w14:paraId="2246099A" w14:textId="5B2569D0" w:rsidR="00FD5436" w:rsidRPr="006807EE" w:rsidRDefault="00FD5436" w:rsidP="00FD5436">
      <w:pPr>
        <w:jc w:val="center"/>
        <w:rPr>
          <w:rFonts w:ascii="Arial Narrow" w:hAnsi="Arial Narrow" w:cs="Gisha"/>
          <w:b/>
          <w:bCs/>
          <w:sz w:val="22"/>
          <w:szCs w:val="22"/>
        </w:rPr>
      </w:pPr>
      <w:r w:rsidRPr="006807EE">
        <w:rPr>
          <w:rFonts w:ascii="Arial Narrow" w:hAnsi="Arial Narrow" w:cs="Gisha"/>
          <w:b/>
          <w:bCs/>
          <w:sz w:val="22"/>
          <w:szCs w:val="22"/>
        </w:rPr>
        <w:t xml:space="preserve">SITUACIONES PARTICULARES EN EL MES DE </w:t>
      </w:r>
      <w:r w:rsidR="002E205E">
        <w:rPr>
          <w:rFonts w:ascii="Arial Narrow" w:hAnsi="Arial Narrow" w:cs="Gisha"/>
          <w:b/>
          <w:bCs/>
          <w:sz w:val="22"/>
          <w:szCs w:val="22"/>
        </w:rPr>
        <w:t>OCTUBRE</w:t>
      </w:r>
      <w:r w:rsidRPr="006807EE">
        <w:rPr>
          <w:rFonts w:ascii="Arial Narrow" w:hAnsi="Arial Narrow" w:cs="Gisha"/>
          <w:b/>
          <w:bCs/>
          <w:sz w:val="22"/>
          <w:szCs w:val="22"/>
        </w:rPr>
        <w:t xml:space="preserve"> DE 2019 DE LOS </w:t>
      </w:r>
      <w:r>
        <w:rPr>
          <w:rFonts w:ascii="Arial Narrow" w:hAnsi="Arial Narrow" w:cs="Gisha"/>
          <w:b/>
          <w:bCs/>
          <w:sz w:val="22"/>
          <w:szCs w:val="22"/>
        </w:rPr>
        <w:t>PASIVOS</w:t>
      </w:r>
    </w:p>
    <w:p w14:paraId="73EB10D7" w14:textId="77777777" w:rsidR="00D7755C" w:rsidRDefault="00D7755C" w:rsidP="00D7755C">
      <w:pPr>
        <w:jc w:val="both"/>
        <w:rPr>
          <w:rFonts w:ascii="Arial Narrow" w:hAnsi="Arial Narrow"/>
          <w:sz w:val="22"/>
          <w:szCs w:val="22"/>
          <w:lang w:eastAsia="es-CO"/>
        </w:rPr>
      </w:pPr>
    </w:p>
    <w:p w14:paraId="1BF1F547" w14:textId="77777777" w:rsidR="00BB3CFF" w:rsidRPr="005643A6" w:rsidRDefault="00BB3CFF" w:rsidP="00BB3CFF">
      <w:pPr>
        <w:jc w:val="both"/>
        <w:rPr>
          <w:rFonts w:ascii="Arial Narrow" w:hAnsi="Arial Narrow"/>
          <w:sz w:val="16"/>
          <w:szCs w:val="16"/>
          <w:lang w:eastAsia="es-CO"/>
        </w:rPr>
      </w:pPr>
    </w:p>
    <w:p w14:paraId="146B04D4" w14:textId="1C141A90" w:rsidR="00F20F71" w:rsidRPr="001F5EAC" w:rsidRDefault="007E707F" w:rsidP="001F5EAC">
      <w:pPr>
        <w:pStyle w:val="Prrafodelista"/>
        <w:numPr>
          <w:ilvl w:val="0"/>
          <w:numId w:val="12"/>
        </w:numPr>
        <w:jc w:val="both"/>
        <w:rPr>
          <w:rFonts w:ascii="Arial Narrow" w:hAnsi="Arial Narrow"/>
          <w:sz w:val="22"/>
          <w:szCs w:val="22"/>
          <w:lang w:eastAsia="es-CO"/>
        </w:rPr>
      </w:pPr>
      <w:r w:rsidRPr="001F5EAC">
        <w:rPr>
          <w:rFonts w:ascii="Arial Narrow" w:hAnsi="Arial Narrow"/>
          <w:sz w:val="22"/>
          <w:szCs w:val="22"/>
          <w:lang w:eastAsia="es-CO"/>
        </w:rPr>
        <w:t>En el</w:t>
      </w:r>
      <w:r w:rsidR="00CD0AB3" w:rsidRPr="001F5EAC">
        <w:rPr>
          <w:rFonts w:ascii="Arial Narrow" w:hAnsi="Arial Narrow"/>
          <w:sz w:val="22"/>
          <w:szCs w:val="22"/>
          <w:lang w:eastAsia="es-CO"/>
        </w:rPr>
        <w:t xml:space="preserve"> mes de </w:t>
      </w:r>
      <w:r w:rsidR="002E205E" w:rsidRPr="001F5EAC">
        <w:rPr>
          <w:rFonts w:ascii="Arial Narrow" w:hAnsi="Arial Narrow"/>
          <w:sz w:val="22"/>
          <w:szCs w:val="22"/>
          <w:lang w:eastAsia="es-CO"/>
        </w:rPr>
        <w:t>octu</w:t>
      </w:r>
      <w:r w:rsidR="00CD0AB3" w:rsidRPr="001F5EAC">
        <w:rPr>
          <w:rFonts w:ascii="Arial Narrow" w:hAnsi="Arial Narrow"/>
          <w:sz w:val="22"/>
          <w:szCs w:val="22"/>
          <w:lang w:eastAsia="es-CO"/>
        </w:rPr>
        <w:t xml:space="preserve">bre de 2019 </w:t>
      </w:r>
      <w:r w:rsidR="002E205E" w:rsidRPr="001F5EAC">
        <w:rPr>
          <w:rFonts w:ascii="Arial Narrow" w:hAnsi="Arial Narrow"/>
          <w:sz w:val="22"/>
          <w:szCs w:val="22"/>
          <w:lang w:eastAsia="es-CO"/>
        </w:rPr>
        <w:t>se realizó un pago por valor</w:t>
      </w:r>
      <w:r w:rsidR="007C696D" w:rsidRPr="001F5EAC">
        <w:rPr>
          <w:rFonts w:ascii="Arial Narrow" w:hAnsi="Arial Narrow"/>
          <w:sz w:val="22"/>
          <w:szCs w:val="22"/>
          <w:lang w:eastAsia="es-CO"/>
        </w:rPr>
        <w:t xml:space="preserve"> </w:t>
      </w:r>
      <w:r w:rsidR="00F20F71" w:rsidRPr="001F5EAC">
        <w:rPr>
          <w:rFonts w:ascii="Arial Narrow" w:hAnsi="Arial Narrow"/>
          <w:sz w:val="22"/>
          <w:szCs w:val="22"/>
          <w:lang w:eastAsia="es-CO"/>
        </w:rPr>
        <w:t>d</w:t>
      </w:r>
      <w:r w:rsidR="002E205E" w:rsidRPr="001F5EAC">
        <w:rPr>
          <w:rFonts w:ascii="Arial Narrow" w:hAnsi="Arial Narrow"/>
          <w:sz w:val="22"/>
          <w:szCs w:val="22"/>
          <w:lang w:eastAsia="es-CO"/>
        </w:rPr>
        <w:t>e $83.783 miles</w:t>
      </w:r>
      <w:r w:rsidR="007C696D" w:rsidRPr="001F5EAC">
        <w:rPr>
          <w:rFonts w:ascii="Arial Narrow" w:hAnsi="Arial Narrow"/>
          <w:sz w:val="22"/>
          <w:szCs w:val="22"/>
          <w:lang w:eastAsia="es-CO"/>
        </w:rPr>
        <w:t xml:space="preserve"> </w:t>
      </w:r>
      <w:r w:rsidR="00F20F71" w:rsidRPr="001F5EAC">
        <w:rPr>
          <w:rFonts w:ascii="Arial Narrow" w:hAnsi="Arial Narrow"/>
          <w:sz w:val="22"/>
          <w:szCs w:val="22"/>
          <w:lang w:eastAsia="es-CO"/>
        </w:rPr>
        <w:t>por la condena impuesta a la Agencia Nacional de Infraestructura y a la Sociedad CSS Constructores S.A, mediante sentencia del 2 de marzo de 2017, proferida por el Juzgado Segundo Administrativo Oral del Circuito de Duitama, ejecutoriada el día 6 de abril de 2018, dentro del medio de control de Reparación Directa con radicado 15238333300220130038100 interpuesta por Luis Eduardo Ayala Herrera y otros.  El pago corresponde</w:t>
      </w:r>
      <w:r w:rsidR="00C33C16">
        <w:rPr>
          <w:rFonts w:ascii="Arial Narrow" w:hAnsi="Arial Narrow"/>
          <w:sz w:val="22"/>
          <w:szCs w:val="22"/>
          <w:lang w:eastAsia="es-CO"/>
        </w:rPr>
        <w:t xml:space="preserve"> </w:t>
      </w:r>
      <w:r w:rsidR="00F20F71" w:rsidRPr="001F5EAC">
        <w:rPr>
          <w:rFonts w:ascii="Arial Narrow" w:hAnsi="Arial Narrow"/>
          <w:sz w:val="22"/>
          <w:szCs w:val="22"/>
          <w:lang w:eastAsia="es-CO"/>
        </w:rPr>
        <w:lastRenderedPageBreak/>
        <w:t>a</w:t>
      </w:r>
      <w:r w:rsidR="00C33C16">
        <w:rPr>
          <w:rFonts w:ascii="Arial Narrow" w:hAnsi="Arial Narrow"/>
          <w:sz w:val="22"/>
          <w:szCs w:val="22"/>
          <w:lang w:eastAsia="es-CO"/>
        </w:rPr>
        <w:t xml:space="preserve"> la parte que le atañe a la Agencia</w:t>
      </w:r>
      <w:r w:rsidR="0088752D">
        <w:rPr>
          <w:rFonts w:ascii="Arial Narrow" w:hAnsi="Arial Narrow"/>
          <w:sz w:val="22"/>
          <w:szCs w:val="22"/>
          <w:lang w:eastAsia="es-CO"/>
        </w:rPr>
        <w:t>,</w:t>
      </w:r>
      <w:r w:rsidR="00C33C16">
        <w:rPr>
          <w:rFonts w:ascii="Arial Narrow" w:hAnsi="Arial Narrow"/>
          <w:sz w:val="22"/>
          <w:szCs w:val="22"/>
          <w:lang w:eastAsia="es-CO"/>
        </w:rPr>
        <w:t xml:space="preserve"> de</w:t>
      </w:r>
      <w:r w:rsidR="001F5EAC" w:rsidRPr="001F5EAC">
        <w:rPr>
          <w:rFonts w:ascii="Arial Narrow" w:hAnsi="Arial Narrow"/>
          <w:sz w:val="22"/>
          <w:szCs w:val="22"/>
          <w:lang w:eastAsia="es-CO"/>
        </w:rPr>
        <w:t xml:space="preserve"> los valores dec</w:t>
      </w:r>
      <w:r w:rsidR="00C33C16">
        <w:rPr>
          <w:rFonts w:ascii="Arial Narrow" w:hAnsi="Arial Narrow"/>
          <w:sz w:val="22"/>
          <w:szCs w:val="22"/>
          <w:lang w:eastAsia="es-CO"/>
        </w:rPr>
        <w:t>retados,</w:t>
      </w:r>
      <w:r w:rsidR="001F5EAC" w:rsidRPr="001F5EAC">
        <w:rPr>
          <w:rFonts w:ascii="Arial Narrow" w:hAnsi="Arial Narrow"/>
          <w:sz w:val="22"/>
          <w:szCs w:val="22"/>
          <w:lang w:eastAsia="es-CO"/>
        </w:rPr>
        <w:t xml:space="preserve"> </w:t>
      </w:r>
      <w:r w:rsidR="00BF0F9B" w:rsidRPr="001F5EAC">
        <w:rPr>
          <w:rFonts w:ascii="Arial Narrow" w:hAnsi="Arial Narrow"/>
          <w:sz w:val="22"/>
          <w:szCs w:val="22"/>
          <w:lang w:eastAsia="es-CO"/>
        </w:rPr>
        <w:t>más los intereses de mora</w:t>
      </w:r>
      <w:r w:rsidR="00525FD2" w:rsidRPr="001F5EAC">
        <w:rPr>
          <w:rFonts w:ascii="Arial Narrow" w:hAnsi="Arial Narrow"/>
          <w:sz w:val="22"/>
          <w:szCs w:val="22"/>
          <w:lang w:eastAsia="es-CO"/>
        </w:rPr>
        <w:t>,</w:t>
      </w:r>
      <w:r w:rsidR="00BF0F9B" w:rsidRPr="001F5EAC">
        <w:rPr>
          <w:rFonts w:ascii="Arial Narrow" w:hAnsi="Arial Narrow"/>
          <w:sz w:val="22"/>
          <w:szCs w:val="22"/>
          <w:lang w:eastAsia="es-CO"/>
        </w:rPr>
        <w:t xml:space="preserve"> una vez deducidos los impuestos correspondientes</w:t>
      </w:r>
      <w:r w:rsidR="001F5EAC" w:rsidRPr="001F5EAC">
        <w:rPr>
          <w:rFonts w:ascii="Arial Narrow" w:hAnsi="Arial Narrow"/>
          <w:sz w:val="22"/>
          <w:szCs w:val="22"/>
          <w:lang w:eastAsia="es-CO"/>
        </w:rPr>
        <w:t>.</w:t>
      </w:r>
    </w:p>
    <w:p w14:paraId="4B16358B" w14:textId="039134F9" w:rsidR="00E03B58" w:rsidRPr="007C696D" w:rsidRDefault="00E03B58" w:rsidP="001F5EAC">
      <w:pPr>
        <w:pStyle w:val="Prrafodelista"/>
        <w:jc w:val="both"/>
        <w:rPr>
          <w:rFonts w:ascii="Arial Narrow" w:hAnsi="Arial Narrow" w:cs="Gisha"/>
          <w:bCs/>
          <w:sz w:val="22"/>
          <w:szCs w:val="22"/>
        </w:rPr>
      </w:pPr>
    </w:p>
    <w:p w14:paraId="2E10F388" w14:textId="77777777" w:rsidR="007C59BC" w:rsidRDefault="007C59BC" w:rsidP="00D46ECC">
      <w:pPr>
        <w:jc w:val="both"/>
        <w:rPr>
          <w:rFonts w:ascii="Arial Narrow" w:hAnsi="Arial Narrow" w:cs="Gisha"/>
          <w:bCs/>
          <w:sz w:val="22"/>
          <w:szCs w:val="22"/>
        </w:rPr>
      </w:pPr>
    </w:p>
    <w:p w14:paraId="5B5B80AC" w14:textId="77777777" w:rsidR="00D46ECC" w:rsidRDefault="00D46ECC" w:rsidP="00D46ECC">
      <w:pPr>
        <w:jc w:val="both"/>
        <w:rPr>
          <w:rFonts w:ascii="Arial Narrow" w:hAnsi="Arial Narrow" w:cs="Gisha"/>
          <w:b/>
          <w:bCs/>
          <w:sz w:val="22"/>
          <w:szCs w:val="22"/>
        </w:rPr>
      </w:pPr>
      <w:r w:rsidRPr="00C31E86">
        <w:rPr>
          <w:rFonts w:ascii="Arial Narrow" w:hAnsi="Arial Narrow" w:cs="Gisha"/>
          <w:b/>
          <w:bCs/>
          <w:sz w:val="22"/>
          <w:szCs w:val="22"/>
        </w:rPr>
        <w:t xml:space="preserve">NOTA 3.  </w:t>
      </w:r>
      <w:r>
        <w:rPr>
          <w:rFonts w:ascii="Arial Narrow" w:hAnsi="Arial Narrow" w:cs="Gisha"/>
          <w:b/>
          <w:bCs/>
          <w:sz w:val="22"/>
          <w:szCs w:val="22"/>
        </w:rPr>
        <w:t>INGRESOS</w:t>
      </w:r>
    </w:p>
    <w:p w14:paraId="60641F46" w14:textId="77777777" w:rsidR="00D46ECC" w:rsidRDefault="00D46ECC" w:rsidP="00D46ECC">
      <w:pPr>
        <w:jc w:val="both"/>
        <w:rPr>
          <w:rFonts w:ascii="Arial Narrow" w:hAnsi="Arial Narrow" w:cs="Gisha"/>
          <w:b/>
          <w:bCs/>
          <w:sz w:val="22"/>
          <w:szCs w:val="22"/>
        </w:rPr>
      </w:pPr>
    </w:p>
    <w:p w14:paraId="7C10A3A2" w14:textId="780F2159" w:rsidR="00D46ECC" w:rsidRDefault="00D46ECC" w:rsidP="00D46ECC">
      <w:pPr>
        <w:jc w:val="center"/>
        <w:rPr>
          <w:rFonts w:ascii="Arial Narrow" w:hAnsi="Arial Narrow" w:cs="Gisha"/>
          <w:b/>
          <w:bCs/>
          <w:sz w:val="22"/>
          <w:szCs w:val="22"/>
        </w:rPr>
      </w:pPr>
      <w:r w:rsidRPr="006807EE">
        <w:rPr>
          <w:rFonts w:ascii="Arial Narrow" w:hAnsi="Arial Narrow" w:cs="Gisha"/>
          <w:b/>
          <w:bCs/>
          <w:sz w:val="22"/>
          <w:szCs w:val="22"/>
        </w:rPr>
        <w:t xml:space="preserve">VARIACIONES INGRESOS </w:t>
      </w:r>
      <w:r w:rsidR="00E77E0E">
        <w:rPr>
          <w:rFonts w:ascii="Arial Narrow" w:hAnsi="Arial Narrow" w:cs="Gisha"/>
          <w:b/>
          <w:bCs/>
          <w:sz w:val="22"/>
          <w:szCs w:val="22"/>
        </w:rPr>
        <w:t>OCTU</w:t>
      </w:r>
      <w:r w:rsidR="007C59BC">
        <w:rPr>
          <w:rFonts w:ascii="Arial Narrow" w:hAnsi="Arial Narrow" w:cs="Gisha"/>
          <w:b/>
          <w:bCs/>
          <w:sz w:val="22"/>
          <w:szCs w:val="22"/>
        </w:rPr>
        <w:t>BRE</w:t>
      </w:r>
      <w:r w:rsidRPr="006807EE">
        <w:rPr>
          <w:rFonts w:ascii="Arial Narrow" w:hAnsi="Arial Narrow" w:cs="Gisha"/>
          <w:b/>
          <w:bCs/>
          <w:sz w:val="22"/>
          <w:szCs w:val="22"/>
        </w:rPr>
        <w:t xml:space="preserve"> DE 2019 - </w:t>
      </w:r>
      <w:r w:rsidR="00E77E0E">
        <w:rPr>
          <w:rFonts w:ascii="Arial Narrow" w:hAnsi="Arial Narrow" w:cs="Gisha"/>
          <w:b/>
          <w:bCs/>
          <w:sz w:val="22"/>
          <w:szCs w:val="22"/>
        </w:rPr>
        <w:t>OCTU</w:t>
      </w:r>
      <w:r w:rsidR="007C59BC">
        <w:rPr>
          <w:rFonts w:ascii="Arial Narrow" w:hAnsi="Arial Narrow" w:cs="Gisha"/>
          <w:b/>
          <w:bCs/>
          <w:sz w:val="22"/>
          <w:szCs w:val="22"/>
        </w:rPr>
        <w:t>BRE</w:t>
      </w:r>
      <w:r w:rsidRPr="006807EE">
        <w:rPr>
          <w:rFonts w:ascii="Arial Narrow" w:hAnsi="Arial Narrow" w:cs="Gisha"/>
          <w:b/>
          <w:bCs/>
          <w:sz w:val="22"/>
          <w:szCs w:val="22"/>
        </w:rPr>
        <w:t xml:space="preserve"> DE 2018</w:t>
      </w:r>
    </w:p>
    <w:p w14:paraId="25626A93" w14:textId="777F3E8D" w:rsidR="004A0798" w:rsidRDefault="004A0798" w:rsidP="00D46ECC">
      <w:pPr>
        <w:jc w:val="center"/>
        <w:rPr>
          <w:rFonts w:ascii="Arial Narrow" w:hAnsi="Arial Narrow" w:cs="Gisha"/>
          <w:b/>
          <w:bCs/>
          <w:sz w:val="22"/>
          <w:szCs w:val="22"/>
        </w:rPr>
      </w:pPr>
    </w:p>
    <w:p w14:paraId="678FA4BA" w14:textId="4952C042" w:rsidR="00E77E0E" w:rsidRDefault="00E77E0E" w:rsidP="00D46ECC">
      <w:pPr>
        <w:jc w:val="center"/>
        <w:rPr>
          <w:rFonts w:ascii="Arial Narrow" w:hAnsi="Arial Narrow" w:cs="Gisha"/>
          <w:b/>
          <w:bCs/>
          <w:sz w:val="22"/>
          <w:szCs w:val="22"/>
        </w:rPr>
      </w:pPr>
      <w:r w:rsidRPr="00E77E0E">
        <w:rPr>
          <w:noProof/>
        </w:rPr>
        <w:drawing>
          <wp:inline distT="0" distB="0" distL="0" distR="0" wp14:anchorId="160936B1" wp14:editId="166FEA5C">
            <wp:extent cx="5612130" cy="1826260"/>
            <wp:effectExtent l="19050" t="19050" r="26670" b="2159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612130" cy="1826260"/>
                    </a:xfrm>
                    <a:prstGeom prst="rect">
                      <a:avLst/>
                    </a:prstGeom>
                    <a:noFill/>
                    <a:ln w="19050" cmpd="thinThick">
                      <a:solidFill>
                        <a:schemeClr val="tx1"/>
                      </a:solidFill>
                    </a:ln>
                  </pic:spPr>
                </pic:pic>
              </a:graphicData>
            </a:graphic>
          </wp:inline>
        </w:drawing>
      </w:r>
    </w:p>
    <w:p w14:paraId="3DA97643" w14:textId="77777777" w:rsidR="00E77E0E" w:rsidRDefault="00E77E0E" w:rsidP="00D46ECC">
      <w:pPr>
        <w:jc w:val="center"/>
        <w:rPr>
          <w:rFonts w:ascii="Arial Narrow" w:hAnsi="Arial Narrow" w:cs="Gisha"/>
          <w:b/>
          <w:bCs/>
          <w:sz w:val="22"/>
          <w:szCs w:val="22"/>
        </w:rPr>
      </w:pPr>
    </w:p>
    <w:p w14:paraId="25E3970C" w14:textId="087E9884" w:rsidR="00D46ECC" w:rsidRDefault="00D46ECC" w:rsidP="00D46ECC">
      <w:pPr>
        <w:jc w:val="both"/>
        <w:rPr>
          <w:rFonts w:ascii="Arial Narrow" w:hAnsi="Arial Narrow" w:cs="Gisha"/>
          <w:bCs/>
          <w:sz w:val="22"/>
          <w:szCs w:val="22"/>
        </w:rPr>
      </w:pPr>
      <w:r w:rsidRPr="00492F59">
        <w:rPr>
          <w:rFonts w:ascii="Arial Narrow" w:hAnsi="Arial Narrow" w:cs="Gisha"/>
          <w:bCs/>
          <w:sz w:val="22"/>
          <w:szCs w:val="22"/>
        </w:rPr>
        <w:t xml:space="preserve">Los ingresos en el mes de </w:t>
      </w:r>
      <w:r w:rsidR="00E77E0E">
        <w:rPr>
          <w:rFonts w:ascii="Arial Narrow" w:hAnsi="Arial Narrow" w:cs="Gisha"/>
          <w:bCs/>
          <w:sz w:val="22"/>
          <w:szCs w:val="22"/>
        </w:rPr>
        <w:t>octu</w:t>
      </w:r>
      <w:r w:rsidR="004A0798">
        <w:rPr>
          <w:rFonts w:ascii="Arial Narrow" w:hAnsi="Arial Narrow" w:cs="Gisha"/>
          <w:bCs/>
          <w:sz w:val="22"/>
          <w:szCs w:val="22"/>
        </w:rPr>
        <w:t>bre</w:t>
      </w:r>
      <w:r>
        <w:rPr>
          <w:rFonts w:ascii="Arial Narrow" w:hAnsi="Arial Narrow" w:cs="Gisha"/>
          <w:bCs/>
          <w:sz w:val="22"/>
          <w:szCs w:val="22"/>
        </w:rPr>
        <w:t xml:space="preserve"> </w:t>
      </w:r>
      <w:r w:rsidRPr="00492F59">
        <w:rPr>
          <w:rFonts w:ascii="Arial Narrow" w:hAnsi="Arial Narrow" w:cs="Gisha"/>
          <w:bCs/>
          <w:sz w:val="22"/>
          <w:szCs w:val="22"/>
        </w:rPr>
        <w:t xml:space="preserve">de 2019 presentan, con relación </w:t>
      </w:r>
      <w:r w:rsidR="00CB348D">
        <w:rPr>
          <w:rFonts w:ascii="Arial Narrow" w:hAnsi="Arial Narrow" w:cs="Gisha"/>
          <w:bCs/>
          <w:sz w:val="22"/>
          <w:szCs w:val="22"/>
        </w:rPr>
        <w:t xml:space="preserve">al mes de </w:t>
      </w:r>
      <w:r w:rsidR="00E77E0E">
        <w:rPr>
          <w:rFonts w:ascii="Arial Narrow" w:hAnsi="Arial Narrow" w:cs="Gisha"/>
          <w:bCs/>
          <w:sz w:val="22"/>
          <w:szCs w:val="22"/>
        </w:rPr>
        <w:t>octu</w:t>
      </w:r>
      <w:r w:rsidR="004A0798">
        <w:rPr>
          <w:rFonts w:ascii="Arial Narrow" w:hAnsi="Arial Narrow" w:cs="Gisha"/>
          <w:bCs/>
          <w:sz w:val="22"/>
          <w:szCs w:val="22"/>
        </w:rPr>
        <w:t>bre</w:t>
      </w:r>
      <w:r w:rsidR="00CB348D">
        <w:rPr>
          <w:rFonts w:ascii="Arial Narrow" w:hAnsi="Arial Narrow" w:cs="Gisha"/>
          <w:bCs/>
          <w:sz w:val="22"/>
          <w:szCs w:val="22"/>
        </w:rPr>
        <w:t xml:space="preserve"> de</w:t>
      </w:r>
      <w:r w:rsidRPr="00492F59">
        <w:rPr>
          <w:rFonts w:ascii="Arial Narrow" w:hAnsi="Arial Narrow" w:cs="Gisha"/>
          <w:bCs/>
          <w:sz w:val="22"/>
          <w:szCs w:val="22"/>
        </w:rPr>
        <w:t xml:space="preserve"> la vigencia anterior, un incremento del </w:t>
      </w:r>
      <w:r w:rsidR="003D6161">
        <w:rPr>
          <w:rFonts w:ascii="Arial Narrow" w:hAnsi="Arial Narrow" w:cs="Gisha"/>
          <w:bCs/>
          <w:sz w:val="22"/>
          <w:szCs w:val="22"/>
        </w:rPr>
        <w:t>58</w:t>
      </w:r>
      <w:r w:rsidR="00E77E0E">
        <w:rPr>
          <w:rFonts w:ascii="Arial Narrow" w:hAnsi="Arial Narrow" w:cs="Gisha"/>
          <w:bCs/>
          <w:sz w:val="22"/>
          <w:szCs w:val="22"/>
        </w:rPr>
        <w:t>,53</w:t>
      </w:r>
      <w:r w:rsidRPr="00492F59">
        <w:rPr>
          <w:rFonts w:ascii="Arial Narrow" w:hAnsi="Arial Narrow" w:cs="Gisha"/>
          <w:bCs/>
          <w:sz w:val="22"/>
          <w:szCs w:val="22"/>
        </w:rPr>
        <w:t xml:space="preserve">% en términos corrientes y una variación </w:t>
      </w:r>
      <w:r w:rsidR="00E81FE1">
        <w:rPr>
          <w:rFonts w:ascii="Arial Narrow" w:hAnsi="Arial Narrow" w:cs="Gisha"/>
          <w:bCs/>
          <w:sz w:val="22"/>
          <w:szCs w:val="22"/>
        </w:rPr>
        <w:t xml:space="preserve">por valor </w:t>
      </w:r>
      <w:r w:rsidRPr="00492F59">
        <w:rPr>
          <w:rFonts w:ascii="Arial Narrow" w:hAnsi="Arial Narrow" w:cs="Gisha"/>
          <w:bCs/>
          <w:sz w:val="22"/>
          <w:szCs w:val="22"/>
        </w:rPr>
        <w:t>de $</w:t>
      </w:r>
      <w:r w:rsidR="003D6161">
        <w:rPr>
          <w:rFonts w:ascii="Arial Narrow" w:hAnsi="Arial Narrow" w:cs="Gisha"/>
          <w:bCs/>
          <w:sz w:val="22"/>
          <w:szCs w:val="22"/>
        </w:rPr>
        <w:t>5</w:t>
      </w:r>
      <w:r w:rsidR="00E77E0E">
        <w:rPr>
          <w:rFonts w:ascii="Arial Narrow" w:hAnsi="Arial Narrow" w:cs="Gisha"/>
          <w:bCs/>
          <w:sz w:val="22"/>
          <w:szCs w:val="22"/>
        </w:rPr>
        <w:t>48</w:t>
      </w:r>
      <w:r w:rsidR="003D6161">
        <w:rPr>
          <w:rFonts w:ascii="Arial Narrow" w:hAnsi="Arial Narrow" w:cs="Gisha"/>
          <w:bCs/>
          <w:sz w:val="22"/>
          <w:szCs w:val="22"/>
        </w:rPr>
        <w:t>.</w:t>
      </w:r>
      <w:r w:rsidR="00E77E0E">
        <w:rPr>
          <w:rFonts w:ascii="Arial Narrow" w:hAnsi="Arial Narrow" w:cs="Gisha"/>
          <w:bCs/>
          <w:sz w:val="22"/>
          <w:szCs w:val="22"/>
        </w:rPr>
        <w:t>442</w:t>
      </w:r>
      <w:r w:rsidR="003D6161">
        <w:rPr>
          <w:rFonts w:ascii="Arial Narrow" w:hAnsi="Arial Narrow" w:cs="Gisha"/>
          <w:bCs/>
          <w:sz w:val="22"/>
          <w:szCs w:val="22"/>
        </w:rPr>
        <w:t>.</w:t>
      </w:r>
      <w:r w:rsidR="00E77E0E">
        <w:rPr>
          <w:rFonts w:ascii="Arial Narrow" w:hAnsi="Arial Narrow" w:cs="Gisha"/>
          <w:bCs/>
          <w:sz w:val="22"/>
          <w:szCs w:val="22"/>
        </w:rPr>
        <w:t>902</w:t>
      </w:r>
      <w:r>
        <w:rPr>
          <w:rFonts w:ascii="Arial Narrow" w:hAnsi="Arial Narrow" w:cs="Gisha"/>
          <w:bCs/>
          <w:sz w:val="22"/>
          <w:szCs w:val="22"/>
        </w:rPr>
        <w:t xml:space="preserve"> </w:t>
      </w:r>
      <w:r w:rsidRPr="00492F59">
        <w:rPr>
          <w:rFonts w:ascii="Arial Narrow" w:hAnsi="Arial Narrow" w:cs="Gisha"/>
          <w:bCs/>
          <w:sz w:val="22"/>
          <w:szCs w:val="22"/>
        </w:rPr>
        <w:t>miles, este incremento obedece principalmente a:</w:t>
      </w:r>
    </w:p>
    <w:p w14:paraId="27266E65" w14:textId="77777777" w:rsidR="00D46ECC" w:rsidRDefault="00D46ECC" w:rsidP="00D46ECC">
      <w:pPr>
        <w:jc w:val="both"/>
        <w:rPr>
          <w:rFonts w:ascii="Arial Narrow" w:hAnsi="Arial Narrow" w:cs="Gisha"/>
          <w:bCs/>
          <w:sz w:val="22"/>
          <w:szCs w:val="22"/>
        </w:rPr>
      </w:pPr>
    </w:p>
    <w:p w14:paraId="0865D3AA" w14:textId="77777777" w:rsidR="00D46ECC" w:rsidRPr="00492F59" w:rsidRDefault="00D46ECC" w:rsidP="00D46ECC">
      <w:pPr>
        <w:pStyle w:val="Prrafodelista"/>
        <w:numPr>
          <w:ilvl w:val="0"/>
          <w:numId w:val="11"/>
        </w:numPr>
        <w:jc w:val="both"/>
        <w:rPr>
          <w:rFonts w:ascii="Arial Narrow" w:hAnsi="Arial Narrow" w:cs="Gisha"/>
          <w:b/>
          <w:bCs/>
          <w:sz w:val="22"/>
          <w:szCs w:val="22"/>
        </w:rPr>
      </w:pPr>
      <w:r>
        <w:rPr>
          <w:rFonts w:ascii="Arial Narrow" w:hAnsi="Arial Narrow" w:cs="Gisha"/>
          <w:b/>
          <w:bCs/>
          <w:sz w:val="22"/>
          <w:szCs w:val="22"/>
        </w:rPr>
        <w:t>O</w:t>
      </w:r>
      <w:r w:rsidRPr="00492F59">
        <w:rPr>
          <w:rFonts w:ascii="Arial Narrow" w:hAnsi="Arial Narrow" w:cs="Gisha"/>
          <w:b/>
          <w:bCs/>
          <w:sz w:val="22"/>
          <w:szCs w:val="22"/>
        </w:rPr>
        <w:t>peraciones interinstitucionales</w:t>
      </w:r>
    </w:p>
    <w:p w14:paraId="4575D25C" w14:textId="77777777" w:rsidR="00D46ECC" w:rsidRPr="008B7754" w:rsidRDefault="00D46ECC" w:rsidP="00D46ECC">
      <w:pPr>
        <w:jc w:val="both"/>
        <w:rPr>
          <w:rFonts w:ascii="Arial Narrow" w:hAnsi="Arial Narrow"/>
          <w:color w:val="FF0000"/>
          <w:sz w:val="16"/>
          <w:szCs w:val="16"/>
          <w:lang w:val="es-ES_tradnl"/>
        </w:rPr>
      </w:pPr>
    </w:p>
    <w:p w14:paraId="16AF5C45" w14:textId="586E8A1E" w:rsidR="00EC44D1" w:rsidRDefault="00D46ECC" w:rsidP="00D46ECC">
      <w:pPr>
        <w:jc w:val="both"/>
        <w:rPr>
          <w:rFonts w:ascii="Arial Narrow" w:hAnsi="Arial Narrow"/>
          <w:sz w:val="22"/>
          <w:szCs w:val="22"/>
          <w:lang w:val="es-ES_tradnl"/>
        </w:rPr>
      </w:pPr>
      <w:r w:rsidRPr="006E3A2B">
        <w:rPr>
          <w:rFonts w:ascii="Arial Narrow" w:hAnsi="Arial Narrow"/>
          <w:sz w:val="22"/>
          <w:szCs w:val="22"/>
          <w:lang w:val="es-ES_tradnl"/>
        </w:rPr>
        <w:t>Es</w:t>
      </w:r>
      <w:r>
        <w:rPr>
          <w:rFonts w:ascii="Arial Narrow" w:hAnsi="Arial Narrow"/>
          <w:sz w:val="22"/>
          <w:szCs w:val="22"/>
          <w:lang w:val="es-ES_tradnl"/>
        </w:rPr>
        <w:t xml:space="preserve">te grupo </w:t>
      </w:r>
      <w:r w:rsidRPr="006E3A2B">
        <w:rPr>
          <w:rFonts w:ascii="Arial Narrow" w:hAnsi="Arial Narrow"/>
          <w:sz w:val="22"/>
          <w:szCs w:val="22"/>
          <w:lang w:val="es-ES_tradnl"/>
        </w:rPr>
        <w:t xml:space="preserve">presenta para el mes de </w:t>
      </w:r>
      <w:r w:rsidR="00BA6010">
        <w:rPr>
          <w:rFonts w:ascii="Arial Narrow" w:hAnsi="Arial Narrow"/>
          <w:sz w:val="22"/>
          <w:szCs w:val="22"/>
          <w:lang w:val="es-ES_tradnl"/>
        </w:rPr>
        <w:t>octu</w:t>
      </w:r>
      <w:r w:rsidR="0051391B">
        <w:rPr>
          <w:rFonts w:ascii="Arial Narrow" w:hAnsi="Arial Narrow"/>
          <w:sz w:val="22"/>
          <w:szCs w:val="22"/>
          <w:lang w:val="es-ES_tradnl"/>
        </w:rPr>
        <w:t>bre</w:t>
      </w:r>
      <w:r w:rsidRPr="006E3A2B">
        <w:rPr>
          <w:rFonts w:ascii="Arial Narrow" w:hAnsi="Arial Narrow"/>
          <w:sz w:val="22"/>
          <w:szCs w:val="22"/>
          <w:lang w:val="es-ES_tradnl"/>
        </w:rPr>
        <w:t xml:space="preserve"> </w:t>
      </w:r>
      <w:r>
        <w:rPr>
          <w:rFonts w:ascii="Arial Narrow" w:hAnsi="Arial Narrow"/>
          <w:sz w:val="22"/>
          <w:szCs w:val="22"/>
          <w:lang w:val="es-ES_tradnl"/>
        </w:rPr>
        <w:t>de 2019</w:t>
      </w:r>
      <w:r w:rsidRPr="006E3A2B">
        <w:rPr>
          <w:rFonts w:ascii="Arial Narrow" w:hAnsi="Arial Narrow"/>
          <w:sz w:val="22"/>
          <w:szCs w:val="22"/>
          <w:lang w:val="es-ES_tradnl"/>
        </w:rPr>
        <w:t xml:space="preserve"> un incremento de $</w:t>
      </w:r>
      <w:r w:rsidR="00593298" w:rsidRPr="00593298">
        <w:rPr>
          <w:rFonts w:ascii="Arial Narrow" w:hAnsi="Arial Narrow"/>
          <w:sz w:val="22"/>
          <w:szCs w:val="22"/>
          <w:lang w:val="es-ES_tradnl"/>
        </w:rPr>
        <w:t xml:space="preserve"> </w:t>
      </w:r>
      <w:r w:rsidR="00BA6010">
        <w:rPr>
          <w:rFonts w:ascii="Arial Narrow" w:hAnsi="Arial Narrow"/>
          <w:sz w:val="22"/>
          <w:szCs w:val="22"/>
          <w:lang w:val="es-ES_tradnl"/>
        </w:rPr>
        <w:t>427</w:t>
      </w:r>
      <w:r w:rsidR="00593298" w:rsidRPr="00593298">
        <w:rPr>
          <w:rFonts w:ascii="Arial Narrow" w:hAnsi="Arial Narrow"/>
          <w:sz w:val="22"/>
          <w:szCs w:val="22"/>
          <w:lang w:val="es-ES_tradnl"/>
        </w:rPr>
        <w:t>.</w:t>
      </w:r>
      <w:r w:rsidR="00BA6010">
        <w:rPr>
          <w:rFonts w:ascii="Arial Narrow" w:hAnsi="Arial Narrow"/>
          <w:sz w:val="22"/>
          <w:szCs w:val="22"/>
          <w:lang w:val="es-ES_tradnl"/>
        </w:rPr>
        <w:t>241</w:t>
      </w:r>
      <w:r w:rsidR="00593298" w:rsidRPr="00593298">
        <w:rPr>
          <w:rFonts w:ascii="Arial Narrow" w:hAnsi="Arial Narrow"/>
          <w:sz w:val="22"/>
          <w:szCs w:val="22"/>
          <w:lang w:val="es-ES_tradnl"/>
        </w:rPr>
        <w:t>.</w:t>
      </w:r>
      <w:r w:rsidR="00BA6010">
        <w:rPr>
          <w:rFonts w:ascii="Arial Narrow" w:hAnsi="Arial Narrow"/>
          <w:sz w:val="22"/>
          <w:szCs w:val="22"/>
          <w:lang w:val="es-ES_tradnl"/>
        </w:rPr>
        <w:t>253</w:t>
      </w:r>
      <w:r w:rsidR="00593298" w:rsidRPr="00593298">
        <w:rPr>
          <w:rFonts w:ascii="Arial Narrow" w:hAnsi="Arial Narrow"/>
          <w:sz w:val="22"/>
          <w:szCs w:val="22"/>
          <w:lang w:val="es-ES_tradnl"/>
        </w:rPr>
        <w:t xml:space="preserve"> </w:t>
      </w:r>
      <w:r w:rsidRPr="006E3A2B">
        <w:rPr>
          <w:rFonts w:ascii="Arial Narrow" w:hAnsi="Arial Narrow"/>
          <w:sz w:val="22"/>
          <w:szCs w:val="22"/>
          <w:lang w:val="es-ES_tradnl"/>
        </w:rPr>
        <w:t xml:space="preserve">miles con respecto a los ingresos del mes de </w:t>
      </w:r>
      <w:r w:rsidR="00F0462A">
        <w:rPr>
          <w:rFonts w:ascii="Arial Narrow" w:hAnsi="Arial Narrow"/>
          <w:sz w:val="22"/>
          <w:szCs w:val="22"/>
          <w:lang w:val="es-ES_tradnl"/>
        </w:rPr>
        <w:t>octu</w:t>
      </w:r>
      <w:r w:rsidR="0051391B">
        <w:rPr>
          <w:rFonts w:ascii="Arial Narrow" w:hAnsi="Arial Narrow"/>
          <w:sz w:val="22"/>
          <w:szCs w:val="22"/>
          <w:lang w:val="es-ES_tradnl"/>
        </w:rPr>
        <w:t>bre</w:t>
      </w:r>
      <w:r w:rsidRPr="006E3A2B">
        <w:rPr>
          <w:rFonts w:ascii="Arial Narrow" w:hAnsi="Arial Narrow"/>
          <w:sz w:val="22"/>
          <w:szCs w:val="22"/>
          <w:lang w:val="es-ES_tradnl"/>
        </w:rPr>
        <w:t xml:space="preserve"> de 2018.</w:t>
      </w:r>
      <w:r w:rsidR="007032E6">
        <w:rPr>
          <w:rFonts w:ascii="Arial Narrow" w:hAnsi="Arial Narrow"/>
          <w:sz w:val="22"/>
          <w:szCs w:val="22"/>
          <w:lang w:val="es-ES_tradnl"/>
        </w:rPr>
        <w:t xml:space="preserve"> </w:t>
      </w:r>
      <w:r w:rsidRPr="006E3A2B">
        <w:rPr>
          <w:rFonts w:ascii="Arial Narrow" w:hAnsi="Arial Narrow"/>
          <w:sz w:val="22"/>
          <w:szCs w:val="22"/>
          <w:lang w:val="es-ES_tradnl"/>
        </w:rPr>
        <w:t xml:space="preserve">Analizando las subcuentas que conforman </w:t>
      </w:r>
      <w:r w:rsidR="00CD46B1">
        <w:rPr>
          <w:rFonts w:ascii="Arial Narrow" w:hAnsi="Arial Narrow"/>
          <w:sz w:val="22"/>
          <w:szCs w:val="22"/>
          <w:lang w:val="es-ES_tradnl"/>
        </w:rPr>
        <w:t xml:space="preserve">el grupo de Operaciones </w:t>
      </w:r>
      <w:r w:rsidR="00392721">
        <w:rPr>
          <w:rFonts w:ascii="Arial Narrow" w:hAnsi="Arial Narrow"/>
          <w:sz w:val="22"/>
          <w:szCs w:val="22"/>
          <w:lang w:val="es-ES_tradnl"/>
        </w:rPr>
        <w:t>I</w:t>
      </w:r>
      <w:r w:rsidR="00CD46B1">
        <w:rPr>
          <w:rFonts w:ascii="Arial Narrow" w:hAnsi="Arial Narrow"/>
          <w:sz w:val="22"/>
          <w:szCs w:val="22"/>
          <w:lang w:val="es-ES_tradnl"/>
        </w:rPr>
        <w:t>nterinstitucionales</w:t>
      </w:r>
      <w:r w:rsidRPr="006E3A2B">
        <w:rPr>
          <w:rFonts w:ascii="Arial Narrow" w:hAnsi="Arial Narrow"/>
          <w:sz w:val="22"/>
          <w:szCs w:val="22"/>
          <w:lang w:val="es-ES_tradnl"/>
        </w:rPr>
        <w:t xml:space="preserve"> se establece </w:t>
      </w:r>
      <w:r w:rsidR="00EC44D1">
        <w:rPr>
          <w:rFonts w:ascii="Arial Narrow" w:hAnsi="Arial Narrow"/>
          <w:sz w:val="22"/>
          <w:szCs w:val="22"/>
          <w:lang w:val="es-ES_tradnl"/>
        </w:rPr>
        <w:t xml:space="preserve">que este incremento se debe principalmente a </w:t>
      </w:r>
      <w:r w:rsidRPr="006E3A2B">
        <w:rPr>
          <w:rFonts w:ascii="Arial Narrow" w:hAnsi="Arial Narrow"/>
          <w:sz w:val="22"/>
          <w:szCs w:val="22"/>
          <w:lang w:val="es-ES_tradnl"/>
        </w:rPr>
        <w:t>que la</w:t>
      </w:r>
      <w:r w:rsidR="00F0462A">
        <w:rPr>
          <w:rFonts w:ascii="Arial Narrow" w:hAnsi="Arial Narrow"/>
          <w:sz w:val="22"/>
          <w:szCs w:val="22"/>
          <w:lang w:val="es-ES_tradnl"/>
        </w:rPr>
        <w:t>s</w:t>
      </w:r>
      <w:r w:rsidRPr="006E3A2B">
        <w:rPr>
          <w:rFonts w:ascii="Arial Narrow" w:hAnsi="Arial Narrow"/>
          <w:sz w:val="22"/>
          <w:szCs w:val="22"/>
          <w:lang w:val="es-ES_tradnl"/>
        </w:rPr>
        <w:t xml:space="preserve"> subcuenta</w:t>
      </w:r>
      <w:r w:rsidR="00F0462A">
        <w:rPr>
          <w:rFonts w:ascii="Arial Narrow" w:hAnsi="Arial Narrow"/>
          <w:sz w:val="22"/>
          <w:szCs w:val="22"/>
          <w:lang w:val="es-ES_tradnl"/>
        </w:rPr>
        <w:t xml:space="preserve">s </w:t>
      </w:r>
      <w:r w:rsidRPr="006E3A2B">
        <w:rPr>
          <w:rFonts w:ascii="Arial Narrow" w:hAnsi="Arial Narrow"/>
          <w:sz w:val="22"/>
          <w:szCs w:val="22"/>
          <w:lang w:val="es-ES_tradnl"/>
        </w:rPr>
        <w:t xml:space="preserve">inversión </w:t>
      </w:r>
      <w:r w:rsidR="00F0462A">
        <w:rPr>
          <w:rFonts w:ascii="Arial Narrow" w:hAnsi="Arial Narrow"/>
          <w:sz w:val="22"/>
          <w:szCs w:val="22"/>
          <w:lang w:val="es-ES_tradnl"/>
        </w:rPr>
        <w:t xml:space="preserve">y servicio de la deuda </w:t>
      </w:r>
      <w:r w:rsidRPr="006E3A2B">
        <w:rPr>
          <w:rFonts w:ascii="Arial Narrow" w:hAnsi="Arial Narrow"/>
          <w:sz w:val="22"/>
          <w:szCs w:val="22"/>
          <w:lang w:val="es-ES_tradnl"/>
        </w:rPr>
        <w:t>presenta</w:t>
      </w:r>
      <w:r w:rsidR="00EC44D1">
        <w:rPr>
          <w:rFonts w:ascii="Arial Narrow" w:hAnsi="Arial Narrow"/>
          <w:sz w:val="22"/>
          <w:szCs w:val="22"/>
          <w:lang w:val="es-ES_tradnl"/>
        </w:rPr>
        <w:t>n</w:t>
      </w:r>
      <w:r w:rsidRPr="006E3A2B">
        <w:rPr>
          <w:rFonts w:ascii="Arial Narrow" w:hAnsi="Arial Narrow"/>
          <w:sz w:val="22"/>
          <w:szCs w:val="22"/>
          <w:lang w:val="es-ES_tradnl"/>
        </w:rPr>
        <w:t xml:space="preserve"> un incremento de</w:t>
      </w:r>
      <w:r w:rsidR="00F0462A">
        <w:rPr>
          <w:rFonts w:ascii="Arial Narrow" w:hAnsi="Arial Narrow"/>
          <w:sz w:val="22"/>
          <w:szCs w:val="22"/>
          <w:lang w:val="es-ES_tradnl"/>
        </w:rPr>
        <w:t xml:space="preserve"> $547.511.260</w:t>
      </w:r>
      <w:r w:rsidRPr="006E3A2B">
        <w:rPr>
          <w:rFonts w:ascii="Arial Narrow" w:hAnsi="Arial Narrow"/>
          <w:sz w:val="22"/>
          <w:szCs w:val="22"/>
          <w:lang w:val="es-ES_tradnl"/>
        </w:rPr>
        <w:t xml:space="preserve"> miles</w:t>
      </w:r>
      <w:r w:rsidR="00EC44D1">
        <w:rPr>
          <w:rFonts w:ascii="Arial Narrow" w:hAnsi="Arial Narrow"/>
          <w:sz w:val="22"/>
          <w:szCs w:val="22"/>
          <w:lang w:val="es-ES_tradnl"/>
        </w:rPr>
        <w:t xml:space="preserve"> y una disminución de $121.165.469 miles en la subcuenta de funcionamiento.</w:t>
      </w:r>
    </w:p>
    <w:p w14:paraId="47C2CDBD" w14:textId="77777777" w:rsidR="00EC44D1" w:rsidRDefault="00EC44D1" w:rsidP="00D46ECC">
      <w:pPr>
        <w:jc w:val="both"/>
        <w:rPr>
          <w:rFonts w:ascii="Arial Narrow" w:hAnsi="Arial Narrow"/>
          <w:sz w:val="22"/>
          <w:szCs w:val="22"/>
          <w:lang w:val="es-ES_tradnl"/>
        </w:rPr>
      </w:pPr>
    </w:p>
    <w:p w14:paraId="5413F6B3" w14:textId="220139F0" w:rsidR="00D46ECC" w:rsidRDefault="00EC44D1" w:rsidP="00D46ECC">
      <w:pPr>
        <w:jc w:val="both"/>
        <w:rPr>
          <w:rFonts w:ascii="Arial Narrow" w:hAnsi="Arial Narrow"/>
          <w:sz w:val="22"/>
          <w:szCs w:val="22"/>
          <w:lang w:val="es-ES_tradnl"/>
        </w:rPr>
      </w:pPr>
      <w:r>
        <w:rPr>
          <w:rFonts w:ascii="Arial Narrow" w:hAnsi="Arial Narrow"/>
          <w:sz w:val="22"/>
          <w:szCs w:val="22"/>
          <w:lang w:val="es-ES_tradnl"/>
        </w:rPr>
        <w:t xml:space="preserve">El incremento </w:t>
      </w:r>
      <w:r w:rsidR="00855689" w:rsidRPr="006E3A2B">
        <w:rPr>
          <w:rFonts w:ascii="Arial Narrow" w:hAnsi="Arial Narrow"/>
          <w:sz w:val="22"/>
          <w:szCs w:val="22"/>
          <w:lang w:val="es-ES_tradnl"/>
        </w:rPr>
        <w:t>de</w:t>
      </w:r>
      <w:r w:rsidR="00855689">
        <w:rPr>
          <w:rFonts w:ascii="Arial Narrow" w:hAnsi="Arial Narrow"/>
          <w:sz w:val="22"/>
          <w:szCs w:val="22"/>
          <w:lang w:val="es-ES_tradnl"/>
        </w:rPr>
        <w:t xml:space="preserve"> $547.511.260</w:t>
      </w:r>
      <w:r w:rsidR="00855689" w:rsidRPr="006E3A2B">
        <w:rPr>
          <w:rFonts w:ascii="Arial Narrow" w:hAnsi="Arial Narrow"/>
          <w:sz w:val="22"/>
          <w:szCs w:val="22"/>
          <w:lang w:val="es-ES_tradnl"/>
        </w:rPr>
        <w:t xml:space="preserve"> miles</w:t>
      </w:r>
      <w:r w:rsidR="00855689">
        <w:rPr>
          <w:rFonts w:ascii="Arial Narrow" w:hAnsi="Arial Narrow"/>
          <w:sz w:val="22"/>
          <w:szCs w:val="22"/>
          <w:lang w:val="es-ES_tradnl"/>
        </w:rPr>
        <w:t xml:space="preserve"> </w:t>
      </w:r>
      <w:r>
        <w:rPr>
          <w:rFonts w:ascii="Arial Narrow" w:hAnsi="Arial Narrow"/>
          <w:sz w:val="22"/>
          <w:szCs w:val="22"/>
          <w:lang w:val="es-ES_tradnl"/>
        </w:rPr>
        <w:t xml:space="preserve">de </w:t>
      </w:r>
      <w:r w:rsidR="00F0462A">
        <w:rPr>
          <w:rFonts w:ascii="Arial Narrow" w:hAnsi="Arial Narrow"/>
          <w:sz w:val="22"/>
          <w:szCs w:val="22"/>
          <w:lang w:val="es-ES_tradnl"/>
        </w:rPr>
        <w:t xml:space="preserve">la subcuenta de Inversión </w:t>
      </w:r>
      <w:r>
        <w:rPr>
          <w:rFonts w:ascii="Arial Narrow" w:hAnsi="Arial Narrow"/>
          <w:sz w:val="22"/>
          <w:szCs w:val="22"/>
          <w:lang w:val="es-ES_tradnl"/>
        </w:rPr>
        <w:t>por valor</w:t>
      </w:r>
      <w:r w:rsidR="00F0462A">
        <w:rPr>
          <w:rFonts w:ascii="Arial Narrow" w:hAnsi="Arial Narrow"/>
          <w:sz w:val="22"/>
          <w:szCs w:val="22"/>
          <w:lang w:val="es-ES_tradnl"/>
        </w:rPr>
        <w:t xml:space="preserve"> de $453.297.725 miles</w:t>
      </w:r>
      <w:r>
        <w:rPr>
          <w:rFonts w:ascii="Arial Narrow" w:hAnsi="Arial Narrow"/>
          <w:sz w:val="22"/>
          <w:szCs w:val="22"/>
          <w:lang w:val="es-ES_tradnl"/>
        </w:rPr>
        <w:t xml:space="preserve">, </w:t>
      </w:r>
      <w:r w:rsidR="00D46ECC" w:rsidRPr="006E3A2B">
        <w:rPr>
          <w:rFonts w:ascii="Arial Narrow" w:hAnsi="Arial Narrow"/>
          <w:sz w:val="22"/>
          <w:szCs w:val="22"/>
          <w:lang w:val="es-ES_tradnl"/>
        </w:rPr>
        <w:t xml:space="preserve">obedece </w:t>
      </w:r>
      <w:r>
        <w:rPr>
          <w:rFonts w:ascii="Arial Narrow" w:hAnsi="Arial Narrow"/>
          <w:sz w:val="22"/>
          <w:szCs w:val="22"/>
          <w:lang w:val="es-ES_tradnl"/>
        </w:rPr>
        <w:t>esencialmente</w:t>
      </w:r>
      <w:r w:rsidR="00D46ECC" w:rsidRPr="006E3A2B">
        <w:rPr>
          <w:rFonts w:ascii="Arial Narrow" w:hAnsi="Arial Narrow"/>
          <w:sz w:val="22"/>
          <w:szCs w:val="22"/>
          <w:lang w:val="es-ES_tradnl"/>
        </w:rPr>
        <w:t xml:space="preserve"> a los pagos realizados en el 2019 por concepto de aportes estatales </w:t>
      </w:r>
      <w:r w:rsidR="00D33750">
        <w:rPr>
          <w:rFonts w:ascii="Arial Narrow" w:hAnsi="Arial Narrow"/>
          <w:sz w:val="22"/>
          <w:szCs w:val="22"/>
          <w:lang w:val="es-ES_tradnl"/>
        </w:rPr>
        <w:t xml:space="preserve">de las </w:t>
      </w:r>
      <w:r w:rsidR="00D46ECC" w:rsidRPr="006E3A2B">
        <w:rPr>
          <w:rFonts w:ascii="Arial Narrow" w:hAnsi="Arial Narrow"/>
          <w:sz w:val="22"/>
          <w:szCs w:val="22"/>
          <w:lang w:val="es-ES_tradnl"/>
        </w:rPr>
        <w:t>vigencias futuras de algunos de los proyectos de concesión del modo carretero con recursos Nación con situación de fondos</w:t>
      </w:r>
      <w:r w:rsidR="00D33750">
        <w:rPr>
          <w:rFonts w:ascii="Arial Narrow" w:hAnsi="Arial Narrow"/>
          <w:sz w:val="22"/>
          <w:szCs w:val="22"/>
          <w:lang w:val="es-ES_tradnl"/>
        </w:rPr>
        <w:t xml:space="preserve"> y</w:t>
      </w:r>
      <w:r>
        <w:rPr>
          <w:rFonts w:ascii="Arial Narrow" w:hAnsi="Arial Narrow"/>
          <w:sz w:val="22"/>
          <w:szCs w:val="22"/>
          <w:lang w:val="es-ES_tradnl"/>
        </w:rPr>
        <w:t xml:space="preserve"> el incremento por valor de $94.213.535 miles de</w:t>
      </w:r>
      <w:r w:rsidR="00D33750">
        <w:rPr>
          <w:rFonts w:ascii="Arial Narrow" w:hAnsi="Arial Narrow"/>
          <w:sz w:val="22"/>
          <w:szCs w:val="22"/>
          <w:lang w:val="es-ES_tradnl"/>
        </w:rPr>
        <w:t xml:space="preserve"> </w:t>
      </w:r>
      <w:r w:rsidR="00F0462A">
        <w:rPr>
          <w:rFonts w:ascii="Arial Narrow" w:hAnsi="Arial Narrow"/>
          <w:sz w:val="22"/>
          <w:szCs w:val="22"/>
          <w:lang w:val="es-ES_tradnl"/>
        </w:rPr>
        <w:t>la subcuenta de S</w:t>
      </w:r>
      <w:r w:rsidR="00D33750">
        <w:rPr>
          <w:rFonts w:ascii="Arial Narrow" w:hAnsi="Arial Narrow"/>
          <w:sz w:val="22"/>
          <w:szCs w:val="22"/>
          <w:lang w:val="es-ES_tradnl"/>
        </w:rPr>
        <w:t>ervicio de la deuda</w:t>
      </w:r>
      <w:r>
        <w:rPr>
          <w:rFonts w:ascii="Arial Narrow" w:hAnsi="Arial Narrow"/>
          <w:sz w:val="22"/>
          <w:szCs w:val="22"/>
          <w:lang w:val="es-ES_tradnl"/>
        </w:rPr>
        <w:t xml:space="preserve"> corresponde a </w:t>
      </w:r>
      <w:r w:rsidR="0048167B" w:rsidRPr="0048167B">
        <w:rPr>
          <w:rFonts w:ascii="Arial Narrow" w:hAnsi="Arial Narrow"/>
          <w:sz w:val="22"/>
          <w:szCs w:val="22"/>
          <w:lang w:val="es-ES_tradnl"/>
        </w:rPr>
        <w:t xml:space="preserve">recursos </w:t>
      </w:r>
      <w:r>
        <w:rPr>
          <w:rFonts w:ascii="Arial Narrow" w:hAnsi="Arial Narrow"/>
          <w:sz w:val="22"/>
          <w:szCs w:val="22"/>
          <w:lang w:val="es-ES_tradnl"/>
        </w:rPr>
        <w:t xml:space="preserve">recibidos de la Dirección del Tesoro Nacional </w:t>
      </w:r>
      <w:r w:rsidR="0048167B" w:rsidRPr="0048167B">
        <w:rPr>
          <w:rFonts w:ascii="Arial Narrow" w:hAnsi="Arial Narrow"/>
          <w:sz w:val="22"/>
          <w:szCs w:val="22"/>
          <w:lang w:val="es-ES_tradnl"/>
        </w:rPr>
        <w:t xml:space="preserve">para giros al Fondo de Contingencias </w:t>
      </w:r>
      <w:r>
        <w:rPr>
          <w:rFonts w:ascii="Arial Narrow" w:hAnsi="Arial Narrow"/>
          <w:sz w:val="22"/>
          <w:szCs w:val="22"/>
          <w:lang w:val="es-ES_tradnl"/>
        </w:rPr>
        <w:t>por los</w:t>
      </w:r>
      <w:r w:rsidR="0048167B" w:rsidRPr="0048167B">
        <w:rPr>
          <w:rFonts w:ascii="Arial Narrow" w:hAnsi="Arial Narrow"/>
          <w:sz w:val="22"/>
          <w:szCs w:val="22"/>
          <w:lang w:val="es-ES_tradnl"/>
        </w:rPr>
        <w:t xml:space="preserve"> riesgos de tipo predial, ambiental, comercial, de redes, geológico, falla coluviones y no instalación de peajes, en los proyectos de concesión del modo carretero.</w:t>
      </w:r>
      <w:r w:rsidR="00D46ECC" w:rsidRPr="006E3A2B">
        <w:rPr>
          <w:rFonts w:ascii="Arial Narrow" w:hAnsi="Arial Narrow"/>
          <w:sz w:val="22"/>
          <w:szCs w:val="22"/>
          <w:lang w:val="es-ES_tradnl"/>
        </w:rPr>
        <w:t xml:space="preserve">  </w:t>
      </w:r>
      <w:r w:rsidR="00CD46B1">
        <w:rPr>
          <w:rFonts w:ascii="Arial Narrow" w:hAnsi="Arial Narrow"/>
          <w:sz w:val="22"/>
          <w:szCs w:val="22"/>
          <w:lang w:val="es-ES_tradnl"/>
        </w:rPr>
        <w:t xml:space="preserve">Por otro lado, </w:t>
      </w:r>
      <w:r w:rsidR="00855689">
        <w:rPr>
          <w:rFonts w:ascii="Arial Narrow" w:hAnsi="Arial Narrow"/>
          <w:sz w:val="22"/>
          <w:szCs w:val="22"/>
          <w:lang w:val="es-ES_tradnl"/>
        </w:rPr>
        <w:t>la disminución de -$121.165.469 miles</w:t>
      </w:r>
      <w:r w:rsidR="00112759">
        <w:rPr>
          <w:rFonts w:ascii="Arial Narrow" w:hAnsi="Arial Narrow"/>
          <w:sz w:val="22"/>
          <w:szCs w:val="22"/>
          <w:lang w:val="es-ES_tradnl"/>
        </w:rPr>
        <w:t>,</w:t>
      </w:r>
      <w:r w:rsidR="00855689">
        <w:rPr>
          <w:rFonts w:ascii="Arial Narrow" w:hAnsi="Arial Narrow"/>
          <w:sz w:val="22"/>
          <w:szCs w:val="22"/>
          <w:lang w:val="es-ES_tradnl"/>
        </w:rPr>
        <w:t xml:space="preserve"> en la subcuenta de funcionamiento</w:t>
      </w:r>
      <w:r w:rsidR="00112759">
        <w:rPr>
          <w:rFonts w:ascii="Arial Narrow" w:hAnsi="Arial Narrow"/>
          <w:sz w:val="22"/>
          <w:szCs w:val="22"/>
          <w:lang w:val="es-ES_tradnl"/>
        </w:rPr>
        <w:t>,</w:t>
      </w:r>
      <w:r w:rsidR="00CD46B1">
        <w:rPr>
          <w:rFonts w:ascii="Arial Narrow" w:hAnsi="Arial Narrow"/>
          <w:sz w:val="22"/>
          <w:szCs w:val="22"/>
          <w:lang w:val="es-ES_tradnl"/>
        </w:rPr>
        <w:t xml:space="preserve"> </w:t>
      </w:r>
      <w:r w:rsidR="00A641AF">
        <w:rPr>
          <w:rFonts w:ascii="Arial Narrow" w:hAnsi="Arial Narrow"/>
          <w:sz w:val="22"/>
          <w:szCs w:val="22"/>
          <w:lang w:val="es-ES_tradnl"/>
        </w:rPr>
        <w:t>corresponde</w:t>
      </w:r>
      <w:r w:rsidR="00CD46B1" w:rsidRPr="00CD46B1">
        <w:rPr>
          <w:rFonts w:ascii="Arial Narrow" w:hAnsi="Arial Narrow"/>
          <w:sz w:val="22"/>
          <w:szCs w:val="22"/>
          <w:lang w:val="es-ES_tradnl"/>
        </w:rPr>
        <w:t xml:space="preserve"> a </w:t>
      </w:r>
      <w:r w:rsidR="00127DEB">
        <w:rPr>
          <w:rFonts w:ascii="Arial Narrow" w:hAnsi="Arial Narrow"/>
          <w:sz w:val="22"/>
          <w:szCs w:val="22"/>
          <w:lang w:val="es-ES_tradnl"/>
        </w:rPr>
        <w:t xml:space="preserve">la disminución </w:t>
      </w:r>
      <w:r w:rsidR="00CD46B1">
        <w:rPr>
          <w:rFonts w:ascii="Arial Narrow" w:hAnsi="Arial Narrow"/>
          <w:sz w:val="22"/>
          <w:szCs w:val="22"/>
          <w:lang w:val="es-ES_tradnl"/>
        </w:rPr>
        <w:t>en pagos</w:t>
      </w:r>
      <w:r w:rsidR="00855689">
        <w:rPr>
          <w:rFonts w:ascii="Arial Narrow" w:hAnsi="Arial Narrow"/>
          <w:sz w:val="22"/>
          <w:szCs w:val="22"/>
          <w:lang w:val="es-ES_tradnl"/>
        </w:rPr>
        <w:t xml:space="preserve"> </w:t>
      </w:r>
      <w:r w:rsidR="00CD46B1">
        <w:rPr>
          <w:rFonts w:ascii="Arial Narrow" w:hAnsi="Arial Narrow"/>
          <w:sz w:val="22"/>
          <w:szCs w:val="22"/>
          <w:lang w:val="es-ES_tradnl"/>
        </w:rPr>
        <w:t>para</w:t>
      </w:r>
      <w:r w:rsidR="00CD46B1" w:rsidRPr="00CD46B1">
        <w:rPr>
          <w:rFonts w:ascii="Arial Narrow" w:hAnsi="Arial Narrow"/>
          <w:sz w:val="22"/>
          <w:szCs w:val="22"/>
          <w:lang w:val="es-ES_tradnl"/>
        </w:rPr>
        <w:t xml:space="preserve"> el año 2019</w:t>
      </w:r>
      <w:r w:rsidR="00855689">
        <w:rPr>
          <w:rFonts w:ascii="Arial Narrow" w:hAnsi="Arial Narrow"/>
          <w:sz w:val="22"/>
          <w:szCs w:val="22"/>
          <w:lang w:val="es-ES_tradnl"/>
        </w:rPr>
        <w:t xml:space="preserve"> </w:t>
      </w:r>
      <w:r w:rsidR="00CD46B1" w:rsidRPr="00CD46B1">
        <w:rPr>
          <w:rFonts w:ascii="Arial Narrow" w:hAnsi="Arial Narrow"/>
          <w:sz w:val="22"/>
          <w:szCs w:val="22"/>
          <w:lang w:val="es-ES_tradnl"/>
        </w:rPr>
        <w:t>por conceptos de demandas, proceso</w:t>
      </w:r>
      <w:r w:rsidR="00A57156">
        <w:rPr>
          <w:rFonts w:ascii="Arial Narrow" w:hAnsi="Arial Narrow"/>
          <w:sz w:val="22"/>
          <w:szCs w:val="22"/>
          <w:lang w:val="es-ES_tradnl"/>
        </w:rPr>
        <w:t>s</w:t>
      </w:r>
      <w:r w:rsidR="00CD46B1" w:rsidRPr="00CD46B1">
        <w:rPr>
          <w:rFonts w:ascii="Arial Narrow" w:hAnsi="Arial Narrow"/>
          <w:sz w:val="22"/>
          <w:szCs w:val="22"/>
          <w:lang w:val="es-ES_tradnl"/>
        </w:rPr>
        <w:t>, honorarios, árbitros, entre otros.</w:t>
      </w:r>
    </w:p>
    <w:p w14:paraId="1CEC24B8" w14:textId="77777777" w:rsidR="00D46ECC" w:rsidRDefault="00D46ECC" w:rsidP="00D46ECC">
      <w:pPr>
        <w:jc w:val="both"/>
        <w:rPr>
          <w:rFonts w:ascii="Arial Narrow" w:hAnsi="Arial Narrow"/>
          <w:sz w:val="22"/>
          <w:szCs w:val="22"/>
          <w:lang w:val="es-ES_tradnl"/>
        </w:rPr>
      </w:pPr>
    </w:p>
    <w:p w14:paraId="2A496BB4" w14:textId="77777777" w:rsidR="00783C58" w:rsidRDefault="00783C58" w:rsidP="00D46ECC">
      <w:pPr>
        <w:jc w:val="both"/>
        <w:rPr>
          <w:rFonts w:ascii="Arial Narrow" w:hAnsi="Arial Narrow"/>
          <w:sz w:val="22"/>
          <w:szCs w:val="22"/>
          <w:lang w:val="es-ES_tradnl"/>
        </w:rPr>
      </w:pPr>
    </w:p>
    <w:p w14:paraId="5DB5AF75" w14:textId="77777777" w:rsidR="00D46ECC" w:rsidRPr="006E3A2B" w:rsidRDefault="00D46ECC" w:rsidP="00D46ECC">
      <w:pPr>
        <w:pStyle w:val="Prrafodelista"/>
        <w:numPr>
          <w:ilvl w:val="0"/>
          <w:numId w:val="10"/>
        </w:numPr>
        <w:jc w:val="both"/>
        <w:rPr>
          <w:rFonts w:ascii="Arial Narrow" w:hAnsi="Arial Narrow" w:cs="Gisha"/>
          <w:b/>
          <w:bCs/>
          <w:sz w:val="22"/>
          <w:szCs w:val="22"/>
        </w:rPr>
      </w:pPr>
      <w:r w:rsidRPr="006E3A2B">
        <w:rPr>
          <w:rFonts w:ascii="Arial Narrow" w:hAnsi="Arial Narrow" w:cs="Gisha"/>
          <w:b/>
          <w:bCs/>
          <w:sz w:val="22"/>
          <w:szCs w:val="22"/>
        </w:rPr>
        <w:t>Ingresos fiscales</w:t>
      </w:r>
    </w:p>
    <w:p w14:paraId="1E18F7E5" w14:textId="77777777" w:rsidR="00D46ECC" w:rsidRPr="008B7754" w:rsidRDefault="00D46ECC" w:rsidP="00D46ECC">
      <w:pPr>
        <w:jc w:val="both"/>
        <w:rPr>
          <w:rFonts w:ascii="Arial Narrow" w:hAnsi="Arial Narrow" w:cs="Gisha"/>
          <w:bCs/>
          <w:sz w:val="16"/>
          <w:szCs w:val="16"/>
        </w:rPr>
      </w:pPr>
    </w:p>
    <w:p w14:paraId="3EEABE3E" w14:textId="1686A983" w:rsidR="00A410AA" w:rsidRDefault="00D46ECC" w:rsidP="00D46ECC">
      <w:pPr>
        <w:jc w:val="both"/>
        <w:rPr>
          <w:rFonts w:ascii="Arial Narrow" w:hAnsi="Arial Narrow" w:cs="Gisha"/>
          <w:bCs/>
          <w:sz w:val="22"/>
          <w:szCs w:val="22"/>
        </w:rPr>
      </w:pPr>
      <w:r>
        <w:rPr>
          <w:rFonts w:ascii="Arial Narrow" w:hAnsi="Arial Narrow" w:cs="Gisha"/>
          <w:bCs/>
          <w:sz w:val="22"/>
          <w:szCs w:val="22"/>
        </w:rPr>
        <w:t xml:space="preserve">Para el mes de </w:t>
      </w:r>
      <w:r w:rsidR="00A00881">
        <w:rPr>
          <w:rFonts w:ascii="Arial Narrow" w:hAnsi="Arial Narrow" w:cs="Gisha"/>
          <w:bCs/>
          <w:sz w:val="22"/>
          <w:szCs w:val="22"/>
        </w:rPr>
        <w:t>octubre</w:t>
      </w:r>
      <w:r w:rsidRPr="006E3A2B">
        <w:rPr>
          <w:rFonts w:ascii="Arial Narrow" w:hAnsi="Arial Narrow" w:cs="Gisha"/>
          <w:bCs/>
          <w:sz w:val="22"/>
          <w:szCs w:val="22"/>
        </w:rPr>
        <w:t xml:space="preserve"> del 2019 </w:t>
      </w:r>
      <w:r>
        <w:rPr>
          <w:rFonts w:ascii="Arial Narrow" w:hAnsi="Arial Narrow" w:cs="Gisha"/>
          <w:bCs/>
          <w:sz w:val="22"/>
          <w:szCs w:val="22"/>
        </w:rPr>
        <w:t xml:space="preserve">se </w:t>
      </w:r>
      <w:r w:rsidRPr="006E3A2B">
        <w:rPr>
          <w:rFonts w:ascii="Arial Narrow" w:hAnsi="Arial Narrow" w:cs="Gisha"/>
          <w:bCs/>
          <w:sz w:val="22"/>
          <w:szCs w:val="22"/>
        </w:rPr>
        <w:t xml:space="preserve">presenta un aumento en el ingreso del </w:t>
      </w:r>
      <w:r w:rsidR="00524AF6">
        <w:rPr>
          <w:rFonts w:ascii="Arial Narrow" w:hAnsi="Arial Narrow" w:cs="Gisha"/>
          <w:bCs/>
          <w:sz w:val="22"/>
          <w:szCs w:val="22"/>
        </w:rPr>
        <w:t>2.</w:t>
      </w:r>
      <w:r w:rsidR="00A00881">
        <w:rPr>
          <w:rFonts w:ascii="Arial Narrow" w:hAnsi="Arial Narrow" w:cs="Gisha"/>
          <w:bCs/>
          <w:sz w:val="22"/>
          <w:szCs w:val="22"/>
        </w:rPr>
        <w:t>3</w:t>
      </w:r>
      <w:r w:rsidR="00524AF6">
        <w:rPr>
          <w:rFonts w:ascii="Arial Narrow" w:hAnsi="Arial Narrow" w:cs="Gisha"/>
          <w:bCs/>
          <w:sz w:val="22"/>
          <w:szCs w:val="22"/>
        </w:rPr>
        <w:t>79,</w:t>
      </w:r>
      <w:r w:rsidR="00A00881">
        <w:rPr>
          <w:rFonts w:ascii="Arial Narrow" w:hAnsi="Arial Narrow" w:cs="Gisha"/>
          <w:bCs/>
          <w:sz w:val="22"/>
          <w:szCs w:val="22"/>
        </w:rPr>
        <w:t>91</w:t>
      </w:r>
      <w:r w:rsidR="00D81D5F">
        <w:rPr>
          <w:rFonts w:ascii="Arial Narrow" w:hAnsi="Arial Narrow" w:cs="Gisha"/>
          <w:bCs/>
          <w:sz w:val="22"/>
          <w:szCs w:val="22"/>
        </w:rPr>
        <w:t>%</w:t>
      </w:r>
      <w:r w:rsidRPr="006E3A2B">
        <w:rPr>
          <w:rFonts w:ascii="Arial Narrow" w:hAnsi="Arial Narrow" w:cs="Gisha"/>
          <w:bCs/>
          <w:sz w:val="22"/>
          <w:szCs w:val="22"/>
        </w:rPr>
        <w:t xml:space="preserve"> en términos corrientes, frente a </w:t>
      </w:r>
      <w:r w:rsidR="00C8021B">
        <w:rPr>
          <w:rFonts w:ascii="Arial Narrow" w:hAnsi="Arial Narrow" w:cs="Gisha"/>
          <w:bCs/>
          <w:sz w:val="22"/>
          <w:szCs w:val="22"/>
        </w:rPr>
        <w:t>octu</w:t>
      </w:r>
      <w:r w:rsidR="00524AF6">
        <w:rPr>
          <w:rFonts w:ascii="Arial Narrow" w:hAnsi="Arial Narrow" w:cs="Gisha"/>
          <w:bCs/>
          <w:sz w:val="22"/>
          <w:szCs w:val="22"/>
        </w:rPr>
        <w:t>bre</w:t>
      </w:r>
      <w:r w:rsidRPr="006E3A2B">
        <w:rPr>
          <w:rFonts w:ascii="Arial Narrow" w:hAnsi="Arial Narrow" w:cs="Gisha"/>
          <w:bCs/>
          <w:sz w:val="22"/>
          <w:szCs w:val="22"/>
        </w:rPr>
        <w:t xml:space="preserve"> de 2018, con una variación de $</w:t>
      </w:r>
      <w:r w:rsidR="00593298">
        <w:rPr>
          <w:rFonts w:ascii="Arial Narrow" w:hAnsi="Arial Narrow" w:cs="Gisha"/>
          <w:bCs/>
          <w:sz w:val="22"/>
          <w:szCs w:val="22"/>
        </w:rPr>
        <w:t>1</w:t>
      </w:r>
      <w:r w:rsidR="00C8021B">
        <w:rPr>
          <w:rFonts w:ascii="Arial Narrow" w:hAnsi="Arial Narrow" w:cs="Gisha"/>
          <w:bCs/>
          <w:sz w:val="22"/>
          <w:szCs w:val="22"/>
        </w:rPr>
        <w:t>74</w:t>
      </w:r>
      <w:r w:rsidR="00593298">
        <w:rPr>
          <w:rFonts w:ascii="Arial Narrow" w:hAnsi="Arial Narrow" w:cs="Gisha"/>
          <w:bCs/>
          <w:sz w:val="22"/>
          <w:szCs w:val="22"/>
        </w:rPr>
        <w:t>.</w:t>
      </w:r>
      <w:r w:rsidR="00C8021B">
        <w:rPr>
          <w:rFonts w:ascii="Arial Narrow" w:hAnsi="Arial Narrow" w:cs="Gisha"/>
          <w:bCs/>
          <w:sz w:val="22"/>
          <w:szCs w:val="22"/>
        </w:rPr>
        <w:t>691</w:t>
      </w:r>
      <w:r w:rsidR="00593298">
        <w:rPr>
          <w:rFonts w:ascii="Arial Narrow" w:hAnsi="Arial Narrow" w:cs="Gisha"/>
          <w:bCs/>
          <w:sz w:val="22"/>
          <w:szCs w:val="22"/>
        </w:rPr>
        <w:t>.</w:t>
      </w:r>
      <w:r w:rsidR="00C8021B">
        <w:rPr>
          <w:rFonts w:ascii="Arial Narrow" w:hAnsi="Arial Narrow" w:cs="Gisha"/>
          <w:bCs/>
          <w:sz w:val="22"/>
          <w:szCs w:val="22"/>
        </w:rPr>
        <w:t>768</w:t>
      </w:r>
      <w:r w:rsidR="00593298">
        <w:rPr>
          <w:rFonts w:ascii="Arial Narrow" w:hAnsi="Arial Narrow" w:cs="Gisha"/>
          <w:bCs/>
          <w:sz w:val="22"/>
          <w:szCs w:val="22"/>
        </w:rPr>
        <w:t xml:space="preserve"> </w:t>
      </w:r>
      <w:r w:rsidRPr="006E3A2B">
        <w:rPr>
          <w:rFonts w:ascii="Arial Narrow" w:hAnsi="Arial Narrow" w:cs="Gisha"/>
          <w:bCs/>
          <w:sz w:val="22"/>
          <w:szCs w:val="22"/>
        </w:rPr>
        <w:t>miles.</w:t>
      </w:r>
      <w:r w:rsidR="00A410AA">
        <w:rPr>
          <w:rFonts w:ascii="Arial Narrow" w:hAnsi="Arial Narrow" w:cs="Gisha"/>
          <w:bCs/>
          <w:sz w:val="22"/>
          <w:szCs w:val="22"/>
        </w:rPr>
        <w:t xml:space="preserve">  </w:t>
      </w:r>
      <w:r w:rsidRPr="006E3A2B">
        <w:rPr>
          <w:rFonts w:ascii="Arial Narrow" w:hAnsi="Arial Narrow" w:cs="Gisha"/>
          <w:bCs/>
          <w:sz w:val="22"/>
          <w:szCs w:val="22"/>
        </w:rPr>
        <w:t>Una vez analizadas las subcuentas que conforman este grupo se observa que la</w:t>
      </w:r>
      <w:r w:rsidR="00A410AA">
        <w:rPr>
          <w:rFonts w:ascii="Arial Narrow" w:hAnsi="Arial Narrow" w:cs="Gisha"/>
          <w:bCs/>
          <w:sz w:val="22"/>
          <w:szCs w:val="22"/>
        </w:rPr>
        <w:t>s</w:t>
      </w:r>
      <w:r w:rsidRPr="006E3A2B">
        <w:rPr>
          <w:rFonts w:ascii="Arial Narrow" w:hAnsi="Arial Narrow" w:cs="Gisha"/>
          <w:bCs/>
          <w:sz w:val="22"/>
          <w:szCs w:val="22"/>
        </w:rPr>
        <w:t xml:space="preserve"> subcuenta</w:t>
      </w:r>
      <w:r w:rsidR="004D38FF">
        <w:rPr>
          <w:rFonts w:ascii="Arial Narrow" w:hAnsi="Arial Narrow" w:cs="Gisha"/>
          <w:bCs/>
          <w:sz w:val="22"/>
          <w:szCs w:val="22"/>
        </w:rPr>
        <w:t>s</w:t>
      </w:r>
      <w:r w:rsidRPr="006E3A2B">
        <w:rPr>
          <w:rFonts w:ascii="Arial Narrow" w:hAnsi="Arial Narrow" w:cs="Gisha"/>
          <w:bCs/>
          <w:sz w:val="22"/>
          <w:szCs w:val="22"/>
        </w:rPr>
        <w:t xml:space="preserve"> más representativa</w:t>
      </w:r>
      <w:r w:rsidR="00A410AA">
        <w:rPr>
          <w:rFonts w:ascii="Arial Narrow" w:hAnsi="Arial Narrow" w:cs="Gisha"/>
          <w:bCs/>
          <w:sz w:val="22"/>
          <w:szCs w:val="22"/>
        </w:rPr>
        <w:t xml:space="preserve">s son </w:t>
      </w:r>
      <w:r w:rsidR="003E6883">
        <w:rPr>
          <w:rFonts w:ascii="Arial Narrow" w:hAnsi="Arial Narrow" w:cs="Gisha"/>
          <w:bCs/>
          <w:sz w:val="22"/>
          <w:szCs w:val="22"/>
        </w:rPr>
        <w:t>t</w:t>
      </w:r>
      <w:r w:rsidR="00A410AA">
        <w:rPr>
          <w:rFonts w:ascii="Arial Narrow" w:hAnsi="Arial Narrow" w:cs="Gisha"/>
          <w:bCs/>
          <w:sz w:val="22"/>
          <w:szCs w:val="22"/>
        </w:rPr>
        <w:t>asas con un incremento de $</w:t>
      </w:r>
      <w:r w:rsidR="00C8021B">
        <w:rPr>
          <w:rFonts w:ascii="Arial Narrow" w:hAnsi="Arial Narrow" w:cs="Gisha"/>
          <w:bCs/>
          <w:sz w:val="22"/>
          <w:szCs w:val="22"/>
        </w:rPr>
        <w:t>174</w:t>
      </w:r>
      <w:r w:rsidR="00A410AA">
        <w:rPr>
          <w:rFonts w:ascii="Arial Narrow" w:hAnsi="Arial Narrow" w:cs="Gisha"/>
          <w:bCs/>
          <w:sz w:val="22"/>
          <w:szCs w:val="22"/>
        </w:rPr>
        <w:t>.</w:t>
      </w:r>
      <w:r w:rsidR="00C8021B">
        <w:rPr>
          <w:rFonts w:ascii="Arial Narrow" w:hAnsi="Arial Narrow" w:cs="Gisha"/>
          <w:bCs/>
          <w:sz w:val="22"/>
          <w:szCs w:val="22"/>
        </w:rPr>
        <w:t>471</w:t>
      </w:r>
      <w:r w:rsidR="00A410AA">
        <w:rPr>
          <w:rFonts w:ascii="Arial Narrow" w:hAnsi="Arial Narrow" w:cs="Gisha"/>
          <w:bCs/>
          <w:sz w:val="22"/>
          <w:szCs w:val="22"/>
        </w:rPr>
        <w:t>.</w:t>
      </w:r>
      <w:r w:rsidR="00C8021B">
        <w:rPr>
          <w:rFonts w:ascii="Arial Narrow" w:hAnsi="Arial Narrow" w:cs="Gisha"/>
          <w:bCs/>
          <w:sz w:val="22"/>
          <w:szCs w:val="22"/>
        </w:rPr>
        <w:t>327 miles</w:t>
      </w:r>
      <w:r w:rsidR="00510F39">
        <w:rPr>
          <w:rFonts w:ascii="Arial Narrow" w:hAnsi="Arial Narrow" w:cs="Gisha"/>
          <w:bCs/>
          <w:sz w:val="22"/>
          <w:szCs w:val="22"/>
        </w:rPr>
        <w:t>.</w:t>
      </w:r>
    </w:p>
    <w:p w14:paraId="4E913740" w14:textId="77777777" w:rsidR="00A410AA" w:rsidRDefault="00A410AA" w:rsidP="00D46ECC">
      <w:pPr>
        <w:jc w:val="both"/>
        <w:rPr>
          <w:rFonts w:ascii="Arial Narrow" w:hAnsi="Arial Narrow" w:cs="Gisha"/>
          <w:bCs/>
          <w:sz w:val="22"/>
          <w:szCs w:val="22"/>
        </w:rPr>
      </w:pPr>
    </w:p>
    <w:p w14:paraId="34016D37" w14:textId="69693AA6" w:rsidR="00D46ECC" w:rsidRPr="00510F39" w:rsidRDefault="00510F39" w:rsidP="00510F39">
      <w:pPr>
        <w:jc w:val="both"/>
        <w:rPr>
          <w:rFonts w:ascii="Arial Narrow" w:hAnsi="Arial Narrow" w:cs="Gisha"/>
          <w:bCs/>
          <w:sz w:val="22"/>
          <w:szCs w:val="22"/>
        </w:rPr>
      </w:pPr>
      <w:r>
        <w:rPr>
          <w:rFonts w:ascii="Arial Narrow" w:hAnsi="Arial Narrow" w:cs="Gisha"/>
          <w:bCs/>
          <w:sz w:val="22"/>
          <w:szCs w:val="22"/>
        </w:rPr>
        <w:t>El incremento en l</w:t>
      </w:r>
      <w:r w:rsidR="00497F0E" w:rsidRPr="00510F39">
        <w:rPr>
          <w:rFonts w:ascii="Arial Narrow" w:hAnsi="Arial Narrow" w:cs="Gisha"/>
          <w:bCs/>
          <w:sz w:val="22"/>
          <w:szCs w:val="22"/>
        </w:rPr>
        <w:t>a subcuenta</w:t>
      </w:r>
      <w:r w:rsidR="003E6883" w:rsidRPr="00510F39">
        <w:rPr>
          <w:rFonts w:ascii="Arial Narrow" w:hAnsi="Arial Narrow" w:cs="Gisha"/>
          <w:bCs/>
          <w:sz w:val="22"/>
          <w:szCs w:val="22"/>
        </w:rPr>
        <w:t xml:space="preserve"> </w:t>
      </w:r>
      <w:r w:rsidR="00D46ECC" w:rsidRPr="00510F39">
        <w:rPr>
          <w:rFonts w:ascii="Arial Narrow" w:hAnsi="Arial Narrow" w:cs="Gisha"/>
          <w:bCs/>
          <w:sz w:val="22"/>
          <w:szCs w:val="22"/>
        </w:rPr>
        <w:t xml:space="preserve">Tasas </w:t>
      </w:r>
      <w:r>
        <w:rPr>
          <w:rFonts w:ascii="Arial Narrow" w:hAnsi="Arial Narrow" w:cs="Gisha"/>
          <w:bCs/>
          <w:sz w:val="22"/>
          <w:szCs w:val="22"/>
        </w:rPr>
        <w:t xml:space="preserve">para el año 2019 se debe a </w:t>
      </w:r>
      <w:r w:rsidR="00D46ECC" w:rsidRPr="00510F39">
        <w:rPr>
          <w:rFonts w:ascii="Arial Narrow" w:hAnsi="Arial Narrow" w:cs="Gisha"/>
          <w:bCs/>
          <w:sz w:val="22"/>
          <w:szCs w:val="22"/>
        </w:rPr>
        <w:t xml:space="preserve">que los conceptos de </w:t>
      </w:r>
      <w:r w:rsidR="00066D34" w:rsidRPr="00510F39">
        <w:rPr>
          <w:rFonts w:ascii="Arial Narrow" w:hAnsi="Arial Narrow" w:cs="Gisha"/>
          <w:bCs/>
          <w:sz w:val="22"/>
          <w:szCs w:val="22"/>
        </w:rPr>
        <w:t>ingresos que se perciben por la tarifa básica por tonelada de carbón transportada, para dar acceso al uso de la infraestructura férrea</w:t>
      </w:r>
      <w:r w:rsidR="005C0409" w:rsidRPr="00510F39">
        <w:rPr>
          <w:rFonts w:ascii="Arial Narrow" w:hAnsi="Arial Narrow" w:cs="Gisha"/>
          <w:bCs/>
          <w:sz w:val="22"/>
          <w:szCs w:val="22"/>
        </w:rPr>
        <w:t xml:space="preserve"> </w:t>
      </w:r>
      <w:r w:rsidR="00066D34" w:rsidRPr="00510F39">
        <w:rPr>
          <w:rFonts w:ascii="Arial Narrow" w:hAnsi="Arial Narrow" w:cs="Gisha"/>
          <w:bCs/>
          <w:sz w:val="22"/>
          <w:szCs w:val="22"/>
        </w:rPr>
        <w:t xml:space="preserve">de conformidad con el contrato suscrito entre </w:t>
      </w:r>
      <w:proofErr w:type="spellStart"/>
      <w:r w:rsidR="00066D34" w:rsidRPr="00510F39">
        <w:rPr>
          <w:rFonts w:ascii="Arial Narrow" w:hAnsi="Arial Narrow" w:cs="Gisha"/>
          <w:bCs/>
          <w:sz w:val="22"/>
          <w:szCs w:val="22"/>
        </w:rPr>
        <w:t>Fenoco</w:t>
      </w:r>
      <w:proofErr w:type="spellEnd"/>
      <w:r w:rsidR="00066D34" w:rsidRPr="00510F39">
        <w:rPr>
          <w:rFonts w:ascii="Arial Narrow" w:hAnsi="Arial Narrow" w:cs="Gisha"/>
          <w:bCs/>
          <w:sz w:val="22"/>
          <w:szCs w:val="22"/>
        </w:rPr>
        <w:t xml:space="preserve"> y los operadores </w:t>
      </w:r>
      <w:r w:rsidR="00D46ECC" w:rsidRPr="00510F39">
        <w:rPr>
          <w:rFonts w:ascii="Arial Narrow" w:hAnsi="Arial Narrow" w:cs="Gisha"/>
          <w:bCs/>
          <w:sz w:val="22"/>
          <w:szCs w:val="22"/>
        </w:rPr>
        <w:t xml:space="preserve">Drummond, </w:t>
      </w:r>
      <w:proofErr w:type="spellStart"/>
      <w:r w:rsidR="00D46ECC" w:rsidRPr="00510F39">
        <w:rPr>
          <w:rFonts w:ascii="Arial Narrow" w:hAnsi="Arial Narrow" w:cs="Gisha"/>
          <w:bCs/>
          <w:sz w:val="22"/>
          <w:szCs w:val="22"/>
        </w:rPr>
        <w:t>Prodeco</w:t>
      </w:r>
      <w:proofErr w:type="spellEnd"/>
      <w:r w:rsidR="00D46ECC" w:rsidRPr="00510F39">
        <w:rPr>
          <w:rFonts w:ascii="Arial Narrow" w:hAnsi="Arial Narrow" w:cs="Gisha"/>
          <w:bCs/>
          <w:sz w:val="22"/>
          <w:szCs w:val="22"/>
        </w:rPr>
        <w:t xml:space="preserve"> y Comercializadora Internacional </w:t>
      </w:r>
      <w:proofErr w:type="spellStart"/>
      <w:r w:rsidR="00D46ECC" w:rsidRPr="00510F39">
        <w:rPr>
          <w:rFonts w:ascii="Arial Narrow" w:hAnsi="Arial Narrow" w:cs="Gisha"/>
          <w:bCs/>
          <w:sz w:val="22"/>
          <w:szCs w:val="22"/>
        </w:rPr>
        <w:t>Colombian</w:t>
      </w:r>
      <w:proofErr w:type="spellEnd"/>
      <w:r w:rsidR="00D46ECC" w:rsidRPr="00510F39">
        <w:rPr>
          <w:rFonts w:ascii="Arial Narrow" w:hAnsi="Arial Narrow" w:cs="Gisha"/>
          <w:bCs/>
          <w:sz w:val="22"/>
          <w:szCs w:val="22"/>
        </w:rPr>
        <w:t xml:space="preserve"> Natural </w:t>
      </w:r>
      <w:proofErr w:type="spellStart"/>
      <w:r w:rsidR="00D46ECC" w:rsidRPr="00510F39">
        <w:rPr>
          <w:rFonts w:ascii="Arial Narrow" w:hAnsi="Arial Narrow" w:cs="Gisha"/>
          <w:bCs/>
          <w:sz w:val="22"/>
          <w:szCs w:val="22"/>
        </w:rPr>
        <w:t>Resources</w:t>
      </w:r>
      <w:proofErr w:type="spellEnd"/>
      <w:r w:rsidR="00D46ECC" w:rsidRPr="00510F39">
        <w:rPr>
          <w:rFonts w:ascii="Arial Narrow" w:hAnsi="Arial Narrow" w:cs="Gisha"/>
          <w:bCs/>
          <w:sz w:val="22"/>
          <w:szCs w:val="22"/>
        </w:rPr>
        <w:t xml:space="preserve"> S.A.S. se reflejaban en la vigencia </w:t>
      </w:r>
      <w:r w:rsidR="00497F0E" w:rsidRPr="00510F39">
        <w:rPr>
          <w:rFonts w:ascii="Arial Narrow" w:hAnsi="Arial Narrow" w:cs="Gisha"/>
          <w:bCs/>
          <w:sz w:val="22"/>
          <w:szCs w:val="22"/>
        </w:rPr>
        <w:t>2018</w:t>
      </w:r>
      <w:r w:rsidR="00D46ECC" w:rsidRPr="00510F39">
        <w:rPr>
          <w:rFonts w:ascii="Arial Narrow" w:hAnsi="Arial Narrow" w:cs="Gisha"/>
          <w:bCs/>
          <w:sz w:val="22"/>
          <w:szCs w:val="22"/>
        </w:rPr>
        <w:t xml:space="preserve"> en Otros Ingresos y para la vigencia 2019 se registran en Tasas.</w:t>
      </w:r>
      <w:r w:rsidR="008C732A" w:rsidRPr="00510F39">
        <w:rPr>
          <w:rFonts w:ascii="Arial Narrow" w:hAnsi="Arial Narrow" w:cs="Gisha"/>
          <w:bCs/>
          <w:sz w:val="22"/>
          <w:szCs w:val="22"/>
        </w:rPr>
        <w:t xml:space="preserve">  </w:t>
      </w:r>
      <w:r w:rsidR="00D46ECC" w:rsidRPr="00510F39">
        <w:rPr>
          <w:rFonts w:ascii="Arial Narrow" w:hAnsi="Arial Narrow" w:cs="Gisha"/>
          <w:bCs/>
          <w:sz w:val="22"/>
          <w:szCs w:val="22"/>
        </w:rPr>
        <w:t xml:space="preserve">Este cambio obedece a la implementación del nuevo Catálogo de Clasificación </w:t>
      </w:r>
      <w:r w:rsidR="007A7A47" w:rsidRPr="00510F39">
        <w:rPr>
          <w:rFonts w:ascii="Arial Narrow" w:hAnsi="Arial Narrow" w:cs="Gisha"/>
          <w:bCs/>
          <w:sz w:val="22"/>
          <w:szCs w:val="22"/>
        </w:rPr>
        <w:t>Presupuestal (</w:t>
      </w:r>
      <w:r w:rsidR="00D46ECC" w:rsidRPr="00510F39">
        <w:rPr>
          <w:rFonts w:ascii="Arial Narrow" w:hAnsi="Arial Narrow" w:cs="Gisha"/>
          <w:bCs/>
          <w:sz w:val="22"/>
          <w:szCs w:val="22"/>
        </w:rPr>
        <w:t xml:space="preserve">CCP) en armonía con estándares internacionales de acuerdo con las directrices de </w:t>
      </w:r>
      <w:r w:rsidR="007A7A47" w:rsidRPr="00510F39">
        <w:rPr>
          <w:rFonts w:ascii="Arial Narrow" w:hAnsi="Arial Narrow" w:cs="Gisha"/>
          <w:bCs/>
          <w:sz w:val="22"/>
          <w:szCs w:val="22"/>
        </w:rPr>
        <w:t>la Dirección</w:t>
      </w:r>
      <w:r w:rsidR="00D46ECC" w:rsidRPr="00510F39">
        <w:rPr>
          <w:rFonts w:ascii="Arial Narrow" w:hAnsi="Arial Narrow" w:cs="Gisha"/>
          <w:bCs/>
          <w:sz w:val="22"/>
          <w:szCs w:val="22"/>
        </w:rPr>
        <w:t xml:space="preserve"> General del Presupuesto Público Nacional – DGPPN y al análisis realizado para el registro de </w:t>
      </w:r>
      <w:r w:rsidR="007A7A47" w:rsidRPr="00510F39">
        <w:rPr>
          <w:rFonts w:ascii="Arial Narrow" w:hAnsi="Arial Narrow" w:cs="Gisha"/>
          <w:bCs/>
          <w:sz w:val="22"/>
          <w:szCs w:val="22"/>
        </w:rPr>
        <w:t>estos</w:t>
      </w:r>
      <w:r w:rsidR="00D46ECC" w:rsidRPr="00510F39">
        <w:rPr>
          <w:rFonts w:ascii="Arial Narrow" w:hAnsi="Arial Narrow" w:cs="Gisha"/>
          <w:bCs/>
          <w:sz w:val="22"/>
          <w:szCs w:val="22"/>
        </w:rPr>
        <w:t xml:space="preserve"> ingresos.</w:t>
      </w:r>
    </w:p>
    <w:p w14:paraId="0264B06B" w14:textId="6BD0B6C2" w:rsidR="00B65EF5" w:rsidRDefault="00B65EF5" w:rsidP="00FC4BF9">
      <w:pPr>
        <w:jc w:val="center"/>
        <w:rPr>
          <w:rFonts w:ascii="Arial Narrow" w:hAnsi="Arial Narrow" w:cs="Gisha"/>
          <w:bCs/>
          <w:sz w:val="22"/>
          <w:szCs w:val="22"/>
        </w:rPr>
      </w:pPr>
    </w:p>
    <w:p w14:paraId="41003208" w14:textId="70EAB8D8" w:rsidR="00B65EF5" w:rsidRDefault="00B65EF5" w:rsidP="00FC4BF9">
      <w:pPr>
        <w:jc w:val="center"/>
        <w:rPr>
          <w:rFonts w:ascii="Arial Narrow" w:hAnsi="Arial Narrow" w:cs="Gisha"/>
          <w:bCs/>
          <w:sz w:val="22"/>
          <w:szCs w:val="22"/>
        </w:rPr>
      </w:pPr>
      <w:r>
        <w:rPr>
          <w:rFonts w:ascii="Arial Narrow" w:hAnsi="Arial Narrow" w:cs="Gisha"/>
          <w:bCs/>
          <w:sz w:val="22"/>
          <w:szCs w:val="22"/>
        </w:rPr>
        <w:t xml:space="preserve">    </w:t>
      </w:r>
      <w:r w:rsidRPr="00B65EF5">
        <w:drawing>
          <wp:inline distT="0" distB="0" distL="0" distR="0" wp14:anchorId="0A8A380C" wp14:editId="414F56DC">
            <wp:extent cx="4323080" cy="2421255"/>
            <wp:effectExtent l="19050" t="19050" r="20320" b="1714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323080" cy="2421255"/>
                    </a:xfrm>
                    <a:prstGeom prst="rect">
                      <a:avLst/>
                    </a:prstGeom>
                    <a:noFill/>
                    <a:ln w="19050" cmpd="thinThick">
                      <a:solidFill>
                        <a:schemeClr val="tx1"/>
                      </a:solidFill>
                    </a:ln>
                  </pic:spPr>
                </pic:pic>
              </a:graphicData>
            </a:graphic>
          </wp:inline>
        </w:drawing>
      </w:r>
    </w:p>
    <w:p w14:paraId="2444E68A" w14:textId="0C21A933" w:rsidR="00FC4BF9" w:rsidRDefault="00FC4BF9" w:rsidP="00FC4BF9">
      <w:pPr>
        <w:jc w:val="center"/>
        <w:rPr>
          <w:rFonts w:ascii="Arial Narrow" w:hAnsi="Arial Narrow" w:cs="Gisha"/>
          <w:bCs/>
          <w:sz w:val="22"/>
          <w:szCs w:val="22"/>
        </w:rPr>
      </w:pPr>
      <w:r>
        <w:rPr>
          <w:rFonts w:ascii="Arial Narrow" w:hAnsi="Arial Narrow" w:cs="Gisha"/>
          <w:bCs/>
          <w:sz w:val="22"/>
          <w:szCs w:val="22"/>
        </w:rPr>
        <w:t xml:space="preserve">      </w:t>
      </w:r>
    </w:p>
    <w:p w14:paraId="1AADD5E6" w14:textId="0CCF5092" w:rsidR="00DB4893" w:rsidRPr="006E3A2B" w:rsidRDefault="00B77C8F" w:rsidP="00B65EF5">
      <w:pPr>
        <w:jc w:val="center"/>
        <w:rPr>
          <w:rFonts w:ascii="Arial Narrow" w:hAnsi="Arial Narrow" w:cs="Gisha"/>
          <w:bCs/>
          <w:sz w:val="22"/>
          <w:szCs w:val="22"/>
        </w:rPr>
      </w:pPr>
      <w:r>
        <w:rPr>
          <w:rFonts w:ascii="Arial Narrow" w:hAnsi="Arial Narrow" w:cs="Gisha"/>
          <w:bCs/>
          <w:sz w:val="22"/>
          <w:szCs w:val="22"/>
        </w:rPr>
        <w:t xml:space="preserve">      </w:t>
      </w:r>
      <w:r w:rsidR="00E776A8">
        <w:rPr>
          <w:rFonts w:ascii="Arial Narrow" w:hAnsi="Arial Narrow" w:cs="Gisha"/>
          <w:bCs/>
          <w:sz w:val="22"/>
          <w:szCs w:val="22"/>
        </w:rPr>
        <w:t xml:space="preserve">                    </w:t>
      </w:r>
    </w:p>
    <w:p w14:paraId="5A1BBF09" w14:textId="70293F8C" w:rsidR="00D46ECC" w:rsidRPr="006807EE" w:rsidRDefault="00D46ECC" w:rsidP="00D46ECC">
      <w:pPr>
        <w:jc w:val="center"/>
        <w:rPr>
          <w:rFonts w:ascii="Arial Narrow" w:hAnsi="Arial Narrow" w:cs="Gisha"/>
          <w:b/>
          <w:bCs/>
          <w:sz w:val="22"/>
          <w:szCs w:val="22"/>
        </w:rPr>
      </w:pPr>
      <w:r w:rsidRPr="006807EE">
        <w:rPr>
          <w:rFonts w:ascii="Arial Narrow" w:hAnsi="Arial Narrow" w:cs="Gisha"/>
          <w:b/>
          <w:bCs/>
          <w:sz w:val="22"/>
          <w:szCs w:val="22"/>
        </w:rPr>
        <w:t xml:space="preserve">SITUACIONES PARTICULARES EN EL MES DE </w:t>
      </w:r>
      <w:r w:rsidR="00D533B6">
        <w:rPr>
          <w:rFonts w:ascii="Arial Narrow" w:hAnsi="Arial Narrow" w:cs="Gisha"/>
          <w:b/>
          <w:bCs/>
          <w:sz w:val="22"/>
          <w:szCs w:val="22"/>
        </w:rPr>
        <w:t>OCTU</w:t>
      </w:r>
      <w:r w:rsidR="000A1939">
        <w:rPr>
          <w:rFonts w:ascii="Arial Narrow" w:hAnsi="Arial Narrow" w:cs="Gisha"/>
          <w:b/>
          <w:bCs/>
          <w:sz w:val="22"/>
          <w:szCs w:val="22"/>
        </w:rPr>
        <w:t>BRE</w:t>
      </w:r>
      <w:r w:rsidR="00EB20FB">
        <w:rPr>
          <w:rFonts w:ascii="Arial Narrow" w:hAnsi="Arial Narrow" w:cs="Gisha"/>
          <w:b/>
          <w:bCs/>
          <w:sz w:val="22"/>
          <w:szCs w:val="22"/>
        </w:rPr>
        <w:t xml:space="preserve"> </w:t>
      </w:r>
      <w:r w:rsidRPr="006807EE">
        <w:rPr>
          <w:rFonts w:ascii="Arial Narrow" w:hAnsi="Arial Narrow" w:cs="Gisha"/>
          <w:b/>
          <w:bCs/>
          <w:sz w:val="22"/>
          <w:szCs w:val="22"/>
        </w:rPr>
        <w:t>DE 2019 DE LOS INGRESOS</w:t>
      </w:r>
    </w:p>
    <w:p w14:paraId="757CAC5C" w14:textId="77777777" w:rsidR="00621478" w:rsidRDefault="00621478" w:rsidP="00D46ECC">
      <w:pPr>
        <w:jc w:val="both"/>
        <w:rPr>
          <w:rFonts w:ascii="Arial Narrow" w:hAnsi="Arial Narrow" w:cs="Gisha"/>
          <w:bCs/>
          <w:sz w:val="22"/>
          <w:szCs w:val="22"/>
        </w:rPr>
      </w:pPr>
    </w:p>
    <w:p w14:paraId="30CD8972" w14:textId="2A1A7294" w:rsidR="008A3B06" w:rsidRPr="000C38BE" w:rsidRDefault="00B5381D" w:rsidP="000C38BE">
      <w:pPr>
        <w:pStyle w:val="Prrafodelista"/>
        <w:numPr>
          <w:ilvl w:val="0"/>
          <w:numId w:val="10"/>
        </w:numPr>
        <w:jc w:val="both"/>
        <w:rPr>
          <w:rFonts w:ascii="Arial Narrow" w:hAnsi="Arial Narrow" w:cs="Gisha"/>
          <w:bCs/>
          <w:sz w:val="22"/>
          <w:szCs w:val="22"/>
        </w:rPr>
      </w:pPr>
      <w:r w:rsidRPr="000C38BE">
        <w:rPr>
          <w:rFonts w:ascii="Arial Narrow" w:hAnsi="Arial Narrow" w:cs="Gisha"/>
          <w:bCs/>
          <w:sz w:val="22"/>
          <w:szCs w:val="22"/>
        </w:rPr>
        <w:t>En el grupo Ingresos fiscales, cuenta</w:t>
      </w:r>
      <w:r w:rsidR="005B282B" w:rsidRPr="000C38BE">
        <w:rPr>
          <w:rFonts w:ascii="Arial Narrow" w:hAnsi="Arial Narrow" w:cs="Gisha"/>
          <w:bCs/>
          <w:sz w:val="22"/>
          <w:szCs w:val="22"/>
        </w:rPr>
        <w:t xml:space="preserve"> contable</w:t>
      </w:r>
      <w:r w:rsidRPr="000C38BE">
        <w:rPr>
          <w:rFonts w:ascii="Arial Narrow" w:hAnsi="Arial Narrow" w:cs="Gisha"/>
          <w:bCs/>
          <w:sz w:val="22"/>
          <w:szCs w:val="22"/>
        </w:rPr>
        <w:t xml:space="preserve"> </w:t>
      </w:r>
      <w:r w:rsidR="008A3B06" w:rsidRPr="000C38BE">
        <w:rPr>
          <w:rFonts w:ascii="Arial Narrow" w:hAnsi="Arial Narrow" w:cs="Gisha"/>
          <w:bCs/>
          <w:sz w:val="22"/>
          <w:szCs w:val="22"/>
        </w:rPr>
        <w:t xml:space="preserve">No Tributarios, Subcuenta </w:t>
      </w:r>
      <w:r w:rsidR="005F0808" w:rsidRPr="000C38BE">
        <w:rPr>
          <w:rFonts w:ascii="Arial Narrow" w:hAnsi="Arial Narrow" w:cs="Gisha"/>
          <w:bCs/>
          <w:sz w:val="22"/>
          <w:szCs w:val="22"/>
        </w:rPr>
        <w:t>Sanciones</w:t>
      </w:r>
      <w:r w:rsidRPr="000C38BE">
        <w:rPr>
          <w:rFonts w:ascii="Arial Narrow" w:hAnsi="Arial Narrow" w:cs="Gisha"/>
          <w:bCs/>
          <w:sz w:val="22"/>
          <w:szCs w:val="22"/>
        </w:rPr>
        <w:t>, se registró un incremento por valor de $</w:t>
      </w:r>
      <w:r w:rsidR="008A3B06" w:rsidRPr="000C38BE">
        <w:rPr>
          <w:rFonts w:ascii="Arial Narrow" w:hAnsi="Arial Narrow" w:cs="Gisha"/>
          <w:bCs/>
          <w:sz w:val="22"/>
          <w:szCs w:val="22"/>
        </w:rPr>
        <w:t>36.978</w:t>
      </w:r>
      <w:r w:rsidRPr="000C38BE">
        <w:rPr>
          <w:rFonts w:ascii="Arial Narrow" w:hAnsi="Arial Narrow" w:cs="Gisha"/>
          <w:bCs/>
          <w:sz w:val="22"/>
          <w:szCs w:val="22"/>
        </w:rPr>
        <w:t xml:space="preserve"> miles, en el mes de </w:t>
      </w:r>
      <w:r w:rsidR="0006397E" w:rsidRPr="000C38BE">
        <w:rPr>
          <w:rFonts w:ascii="Arial Narrow" w:hAnsi="Arial Narrow" w:cs="Gisha"/>
          <w:bCs/>
          <w:sz w:val="22"/>
          <w:szCs w:val="22"/>
        </w:rPr>
        <w:t>octu</w:t>
      </w:r>
      <w:r w:rsidRPr="000C38BE">
        <w:rPr>
          <w:rFonts w:ascii="Arial Narrow" w:hAnsi="Arial Narrow" w:cs="Gisha"/>
          <w:bCs/>
          <w:sz w:val="22"/>
          <w:szCs w:val="22"/>
        </w:rPr>
        <w:t xml:space="preserve">bre de 2019 frente a </w:t>
      </w:r>
      <w:r w:rsidR="0006397E" w:rsidRPr="000C38BE">
        <w:rPr>
          <w:rFonts w:ascii="Arial Narrow" w:hAnsi="Arial Narrow" w:cs="Gisha"/>
          <w:bCs/>
          <w:sz w:val="22"/>
          <w:szCs w:val="22"/>
        </w:rPr>
        <w:t>septiembre</w:t>
      </w:r>
      <w:r w:rsidRPr="000C38BE">
        <w:rPr>
          <w:rFonts w:ascii="Arial Narrow" w:hAnsi="Arial Narrow" w:cs="Gisha"/>
          <w:bCs/>
          <w:sz w:val="22"/>
          <w:szCs w:val="22"/>
        </w:rPr>
        <w:t xml:space="preserve"> del mismo año, </w:t>
      </w:r>
      <w:r w:rsidR="00CE7590" w:rsidRPr="000C38BE">
        <w:rPr>
          <w:rFonts w:ascii="Arial Narrow" w:hAnsi="Arial Narrow" w:cs="Gisha"/>
          <w:bCs/>
          <w:sz w:val="22"/>
          <w:szCs w:val="22"/>
        </w:rPr>
        <w:t>con ocasión de</w:t>
      </w:r>
      <w:r w:rsidRPr="000C38BE">
        <w:rPr>
          <w:rFonts w:ascii="Arial Narrow" w:hAnsi="Arial Narrow" w:cs="Gisha"/>
          <w:bCs/>
          <w:sz w:val="22"/>
          <w:szCs w:val="22"/>
        </w:rPr>
        <w:t xml:space="preserve"> la</w:t>
      </w:r>
      <w:r w:rsidR="009348E7" w:rsidRPr="000C38BE">
        <w:rPr>
          <w:rFonts w:ascii="Arial Narrow" w:hAnsi="Arial Narrow" w:cs="Gisha"/>
          <w:bCs/>
          <w:sz w:val="22"/>
          <w:szCs w:val="22"/>
        </w:rPr>
        <w:t>s</w:t>
      </w:r>
      <w:r w:rsidRPr="000C38BE">
        <w:rPr>
          <w:rFonts w:ascii="Arial Narrow" w:hAnsi="Arial Narrow" w:cs="Gisha"/>
          <w:bCs/>
          <w:sz w:val="22"/>
          <w:szCs w:val="22"/>
        </w:rPr>
        <w:t xml:space="preserve"> sanci</w:t>
      </w:r>
      <w:r w:rsidR="008A3B06" w:rsidRPr="000C38BE">
        <w:rPr>
          <w:rFonts w:ascii="Arial Narrow" w:hAnsi="Arial Narrow" w:cs="Gisha"/>
          <w:bCs/>
          <w:sz w:val="22"/>
          <w:szCs w:val="22"/>
        </w:rPr>
        <w:t>ones</w:t>
      </w:r>
      <w:r w:rsidRPr="000C38BE">
        <w:rPr>
          <w:rFonts w:ascii="Arial Narrow" w:hAnsi="Arial Narrow" w:cs="Gisha"/>
          <w:bCs/>
          <w:sz w:val="22"/>
          <w:szCs w:val="22"/>
        </w:rPr>
        <w:t xml:space="preserve"> impuesta</w:t>
      </w:r>
      <w:r w:rsidR="008A3B06" w:rsidRPr="000C38BE">
        <w:rPr>
          <w:rFonts w:ascii="Arial Narrow" w:hAnsi="Arial Narrow" w:cs="Gisha"/>
          <w:bCs/>
          <w:sz w:val="22"/>
          <w:szCs w:val="22"/>
        </w:rPr>
        <w:t>s</w:t>
      </w:r>
      <w:r w:rsidRPr="000C38BE">
        <w:rPr>
          <w:rFonts w:ascii="Arial Narrow" w:hAnsi="Arial Narrow" w:cs="Gisha"/>
          <w:bCs/>
          <w:sz w:val="22"/>
          <w:szCs w:val="22"/>
        </w:rPr>
        <w:t xml:space="preserve"> </w:t>
      </w:r>
      <w:r w:rsidR="00CE7590" w:rsidRPr="000C38BE">
        <w:rPr>
          <w:rFonts w:ascii="Arial Narrow" w:hAnsi="Arial Narrow" w:cs="Gisha"/>
          <w:bCs/>
          <w:sz w:val="22"/>
          <w:szCs w:val="22"/>
        </w:rPr>
        <w:t>por la Agencia</w:t>
      </w:r>
      <w:r w:rsidR="008A3B06" w:rsidRPr="000C38BE">
        <w:rPr>
          <w:rFonts w:ascii="Arial Narrow" w:hAnsi="Arial Narrow" w:cs="Gisha"/>
          <w:bCs/>
          <w:sz w:val="22"/>
          <w:szCs w:val="22"/>
        </w:rPr>
        <w:t>, que corresponde a: (i) sanción por valor de $31.208 miles</w:t>
      </w:r>
      <w:r w:rsidR="00E651F8" w:rsidRPr="000C38BE">
        <w:rPr>
          <w:rFonts w:ascii="Arial Narrow" w:hAnsi="Arial Narrow" w:cs="Gisha"/>
          <w:bCs/>
          <w:sz w:val="22"/>
          <w:szCs w:val="22"/>
        </w:rPr>
        <w:t>,</w:t>
      </w:r>
      <w:r w:rsidR="008A3B06" w:rsidRPr="000C38BE">
        <w:rPr>
          <w:rFonts w:ascii="Arial Narrow" w:hAnsi="Arial Narrow" w:cs="Gisha"/>
          <w:bCs/>
          <w:sz w:val="22"/>
          <w:szCs w:val="22"/>
        </w:rPr>
        <w:t xml:space="preserve"> impuesta a la Sociedad Portuaria la Península PENSOPORT, según Resoluciones No. 770 y No. 1461 de 2019, por concepto de Incumplimiento de las obligaciones contractuales asumidas por la Sociedad Portuaria la Península; </w:t>
      </w:r>
      <w:r w:rsidR="008A3B06" w:rsidRPr="000C38BE">
        <w:rPr>
          <w:rFonts w:ascii="Arial Narrow" w:hAnsi="Arial Narrow" w:cs="Gisha"/>
          <w:bCs/>
          <w:i/>
          <w:iCs/>
          <w:sz w:val="22"/>
          <w:szCs w:val="22"/>
        </w:rPr>
        <w:t xml:space="preserve">“…Incumplimiento del pago de la contraprestaciones portuarias de la anualidades 2014-2015 y 2015-2016 establecidas en el numeral 9.1 “Contraprestación por el uso y goce temporal y exclusivo de las playas, terrenos de bajamar y zonas accesorias de uso público” y 9.2 “Contraprestación por Infraestructura” de la Cláusula Novena “ Valor del contrato y las Contraprestaciones” y el numeral 16.1  de la </w:t>
      </w:r>
      <w:proofErr w:type="spellStart"/>
      <w:r w:rsidR="008A3B06" w:rsidRPr="000C38BE">
        <w:rPr>
          <w:rFonts w:ascii="Arial Narrow" w:hAnsi="Arial Narrow" w:cs="Gisha"/>
          <w:bCs/>
          <w:i/>
          <w:iCs/>
          <w:sz w:val="22"/>
          <w:szCs w:val="22"/>
        </w:rPr>
        <w:t>Claúsula</w:t>
      </w:r>
      <w:proofErr w:type="spellEnd"/>
      <w:r w:rsidR="008A3B06" w:rsidRPr="000C38BE">
        <w:rPr>
          <w:rFonts w:ascii="Arial Narrow" w:hAnsi="Arial Narrow" w:cs="Gisha"/>
          <w:bCs/>
          <w:i/>
          <w:iCs/>
          <w:sz w:val="22"/>
          <w:szCs w:val="22"/>
        </w:rPr>
        <w:t xml:space="preserve"> Décimo Sexta del Contrato de Concesión Portuaria No. 009 de 2009</w:t>
      </w:r>
      <w:r w:rsidR="008A3B06" w:rsidRPr="000C38BE">
        <w:rPr>
          <w:rFonts w:ascii="Arial Narrow" w:hAnsi="Arial Narrow" w:cs="Gisha"/>
          <w:bCs/>
          <w:sz w:val="22"/>
          <w:szCs w:val="22"/>
        </w:rPr>
        <w:t>…”</w:t>
      </w:r>
      <w:r w:rsidR="009729A3" w:rsidRPr="000C38BE">
        <w:rPr>
          <w:rFonts w:ascii="Arial Narrow" w:hAnsi="Arial Narrow" w:cs="Gisha"/>
          <w:bCs/>
          <w:sz w:val="22"/>
          <w:szCs w:val="22"/>
        </w:rPr>
        <w:t>.  El valor registrado y recaudado por la sanción corresponde a USD $8.999</w:t>
      </w:r>
      <w:r w:rsidR="00EE213E" w:rsidRPr="000C38BE">
        <w:rPr>
          <w:rFonts w:ascii="Arial Narrow" w:hAnsi="Arial Narrow" w:cs="Gisha"/>
          <w:bCs/>
          <w:sz w:val="22"/>
          <w:szCs w:val="22"/>
        </w:rPr>
        <w:t>,</w:t>
      </w:r>
      <w:r w:rsidR="009729A3" w:rsidRPr="000C38BE">
        <w:rPr>
          <w:rFonts w:ascii="Arial Narrow" w:hAnsi="Arial Narrow" w:cs="Gisha"/>
          <w:bCs/>
          <w:sz w:val="22"/>
          <w:szCs w:val="22"/>
        </w:rPr>
        <w:t xml:space="preserve">97 liquidada a la TRM del día </w:t>
      </w:r>
      <w:r w:rsidR="008A3B06" w:rsidRPr="000C38BE">
        <w:rPr>
          <w:rFonts w:ascii="Arial Narrow" w:hAnsi="Arial Narrow" w:cs="Gisha"/>
          <w:bCs/>
          <w:sz w:val="22"/>
          <w:szCs w:val="22"/>
        </w:rPr>
        <w:t>4 de octubre por valor de $3.467,60</w:t>
      </w:r>
      <w:r w:rsidR="009348E7" w:rsidRPr="000C38BE">
        <w:rPr>
          <w:rFonts w:ascii="Arial Narrow" w:hAnsi="Arial Narrow" w:cs="Gisha"/>
          <w:bCs/>
          <w:sz w:val="22"/>
          <w:szCs w:val="22"/>
        </w:rPr>
        <w:t xml:space="preserve"> y </w:t>
      </w:r>
      <w:r w:rsidR="008A3B06" w:rsidRPr="000C38BE">
        <w:rPr>
          <w:rFonts w:ascii="Arial Narrow" w:hAnsi="Arial Narrow" w:cs="Gisha"/>
          <w:bCs/>
          <w:sz w:val="22"/>
          <w:szCs w:val="22"/>
        </w:rPr>
        <w:t>(</w:t>
      </w:r>
      <w:proofErr w:type="spellStart"/>
      <w:r w:rsidR="008A3B06" w:rsidRPr="000C38BE">
        <w:rPr>
          <w:rFonts w:ascii="Arial Narrow" w:hAnsi="Arial Narrow" w:cs="Gisha"/>
          <w:bCs/>
          <w:sz w:val="22"/>
          <w:szCs w:val="22"/>
        </w:rPr>
        <w:t>ii</w:t>
      </w:r>
      <w:proofErr w:type="spellEnd"/>
      <w:r w:rsidR="008A3B06" w:rsidRPr="000C38BE">
        <w:rPr>
          <w:rFonts w:ascii="Arial Narrow" w:hAnsi="Arial Narrow" w:cs="Gisha"/>
          <w:bCs/>
          <w:sz w:val="22"/>
          <w:szCs w:val="22"/>
        </w:rPr>
        <w:t>) sanción impuesta a GENESIS CONSTRUCCIONES SAS, según Resoluciones No. 1201 y No. 1422 de 2019, según las consideraciones por concepto del incumplimiento “</w:t>
      </w:r>
      <w:r w:rsidR="008A3B06" w:rsidRPr="000C38BE">
        <w:rPr>
          <w:rFonts w:ascii="Arial Narrow" w:hAnsi="Arial Narrow" w:cs="Gisha"/>
          <w:bCs/>
          <w:i/>
          <w:iCs/>
          <w:sz w:val="22"/>
          <w:szCs w:val="22"/>
        </w:rPr>
        <w:t>de las obligaciones contractuales pactadas en el contrato de prestación de servicios 468 de 2018 por el no suministro de los insumos (materiales) enlistado en el escrito de citación, en las condiciones establecidas en el contrato, así como la no realización de las actividades de mantenimiento con la mano de obra especializada, puntualmente el mantenimiento de la cubierta de la bodega de la Agencia ubicada en Fontibón</w:t>
      </w:r>
      <w:r w:rsidR="008A3B06" w:rsidRPr="000C38BE">
        <w:rPr>
          <w:rFonts w:ascii="Arial Narrow" w:hAnsi="Arial Narrow" w:cs="Gisha"/>
          <w:bCs/>
          <w:sz w:val="22"/>
          <w:szCs w:val="22"/>
        </w:rPr>
        <w:t>”.</w:t>
      </w:r>
    </w:p>
    <w:p w14:paraId="571102C5" w14:textId="77777777" w:rsidR="00814F2F" w:rsidRPr="0023492B" w:rsidRDefault="00814F2F" w:rsidP="00814F2F">
      <w:pPr>
        <w:jc w:val="both"/>
        <w:rPr>
          <w:rFonts w:ascii="Arial Narrow" w:hAnsi="Arial Narrow" w:cs="Gisha"/>
          <w:bCs/>
          <w:sz w:val="16"/>
          <w:szCs w:val="16"/>
        </w:rPr>
      </w:pPr>
    </w:p>
    <w:p w14:paraId="25124ACF" w14:textId="33902510" w:rsidR="00AC003D" w:rsidRPr="001A5620" w:rsidRDefault="00C736F0" w:rsidP="00CC1975">
      <w:pPr>
        <w:pStyle w:val="Prrafodelista"/>
        <w:numPr>
          <w:ilvl w:val="0"/>
          <w:numId w:val="21"/>
        </w:numPr>
        <w:jc w:val="both"/>
        <w:rPr>
          <w:rFonts w:ascii="Arial Narrow" w:hAnsi="Arial Narrow" w:cs="Gisha"/>
          <w:bCs/>
          <w:sz w:val="22"/>
          <w:szCs w:val="22"/>
        </w:rPr>
      </w:pPr>
      <w:r w:rsidRPr="001A5620">
        <w:rPr>
          <w:rFonts w:ascii="Arial Narrow" w:hAnsi="Arial Narrow" w:cs="Gisha"/>
          <w:bCs/>
          <w:sz w:val="22"/>
          <w:szCs w:val="22"/>
        </w:rPr>
        <w:lastRenderedPageBreak/>
        <w:t xml:space="preserve">En el grupo Otros </w:t>
      </w:r>
      <w:r w:rsidR="003E6883" w:rsidRPr="001A5620">
        <w:rPr>
          <w:rFonts w:ascii="Arial Narrow" w:hAnsi="Arial Narrow" w:cs="Gisha"/>
          <w:bCs/>
          <w:sz w:val="22"/>
          <w:szCs w:val="22"/>
        </w:rPr>
        <w:t>I</w:t>
      </w:r>
      <w:r w:rsidRPr="001A5620">
        <w:rPr>
          <w:rFonts w:ascii="Arial Narrow" w:hAnsi="Arial Narrow" w:cs="Gisha"/>
          <w:bCs/>
          <w:sz w:val="22"/>
          <w:szCs w:val="22"/>
        </w:rPr>
        <w:t>ngresos, cuenta ingresos diversos</w:t>
      </w:r>
      <w:r w:rsidR="00952A0F" w:rsidRPr="001A5620">
        <w:rPr>
          <w:rFonts w:ascii="Arial Narrow" w:hAnsi="Arial Narrow" w:cs="Gisha"/>
          <w:bCs/>
          <w:sz w:val="22"/>
          <w:szCs w:val="22"/>
        </w:rPr>
        <w:t xml:space="preserve">, </w:t>
      </w:r>
      <w:r w:rsidR="00FE5C06" w:rsidRPr="001A5620">
        <w:rPr>
          <w:rFonts w:ascii="Arial Narrow" w:hAnsi="Arial Narrow" w:cs="Gisha"/>
          <w:bCs/>
          <w:sz w:val="22"/>
          <w:szCs w:val="22"/>
        </w:rPr>
        <w:t xml:space="preserve">subcuenta recuperaciones </w:t>
      </w:r>
      <w:r w:rsidR="00D750E9" w:rsidRPr="001A5620">
        <w:rPr>
          <w:rFonts w:ascii="Arial Narrow" w:hAnsi="Arial Narrow" w:cs="Gisha"/>
          <w:bCs/>
          <w:sz w:val="22"/>
          <w:szCs w:val="22"/>
        </w:rPr>
        <w:t xml:space="preserve">se registró </w:t>
      </w:r>
      <w:r w:rsidR="00FE5C06" w:rsidRPr="001A5620">
        <w:rPr>
          <w:rFonts w:ascii="Arial Narrow" w:hAnsi="Arial Narrow" w:cs="Gisha"/>
          <w:bCs/>
          <w:sz w:val="22"/>
          <w:szCs w:val="22"/>
        </w:rPr>
        <w:t>un valor de</w:t>
      </w:r>
      <w:r w:rsidR="000A1939" w:rsidRPr="001A5620">
        <w:rPr>
          <w:rFonts w:ascii="Arial Narrow" w:hAnsi="Arial Narrow" w:cs="Gisha"/>
          <w:bCs/>
          <w:sz w:val="22"/>
          <w:szCs w:val="22"/>
        </w:rPr>
        <w:t xml:space="preserve"> $</w:t>
      </w:r>
      <w:r w:rsidR="005D7F1C" w:rsidRPr="001A5620">
        <w:rPr>
          <w:rFonts w:ascii="Arial Narrow" w:hAnsi="Arial Narrow" w:cs="Gisha"/>
          <w:bCs/>
          <w:sz w:val="22"/>
          <w:szCs w:val="22"/>
        </w:rPr>
        <w:t>1.095.712</w:t>
      </w:r>
      <w:r w:rsidR="000A1939" w:rsidRPr="001A5620">
        <w:rPr>
          <w:rFonts w:ascii="Arial Narrow" w:hAnsi="Arial Narrow" w:cs="Gisha"/>
          <w:bCs/>
          <w:sz w:val="22"/>
          <w:szCs w:val="22"/>
        </w:rPr>
        <w:t xml:space="preserve"> miles por efecto de la actualización de procesos judiciales </w:t>
      </w:r>
      <w:r w:rsidR="00122AF3" w:rsidRPr="001A5620">
        <w:rPr>
          <w:rFonts w:ascii="Arial Narrow" w:hAnsi="Arial Narrow" w:cs="Gisha"/>
          <w:bCs/>
          <w:sz w:val="22"/>
          <w:szCs w:val="22"/>
        </w:rPr>
        <w:t xml:space="preserve">según </w:t>
      </w:r>
      <w:r w:rsidR="000A1939" w:rsidRPr="001A5620">
        <w:rPr>
          <w:rFonts w:ascii="Arial Narrow" w:hAnsi="Arial Narrow" w:cs="Gisha"/>
          <w:bCs/>
          <w:sz w:val="22"/>
          <w:szCs w:val="22"/>
        </w:rPr>
        <w:t>el formato GEJU-F-010-Informe de Procesos Judiciales, remitido por el Grupo Interno de Trabajo de Defensa Judicial de la Vicepresidencia Jurídica</w:t>
      </w:r>
      <w:r w:rsidR="00AC003D" w:rsidRPr="001A5620">
        <w:rPr>
          <w:rFonts w:ascii="Arial Narrow" w:hAnsi="Arial Narrow" w:cs="Gisha"/>
          <w:bCs/>
          <w:sz w:val="22"/>
          <w:szCs w:val="22"/>
        </w:rPr>
        <w:t>.  E</w:t>
      </w:r>
      <w:r w:rsidR="00CC1975" w:rsidRPr="001A5620">
        <w:rPr>
          <w:rFonts w:ascii="Arial Narrow" w:hAnsi="Arial Narrow" w:cs="Gisha"/>
          <w:bCs/>
          <w:sz w:val="22"/>
          <w:szCs w:val="22"/>
        </w:rPr>
        <w:t>l valor registrado corresponde a</w:t>
      </w:r>
      <w:proofErr w:type="gramStart"/>
      <w:r w:rsidR="00AC003D" w:rsidRPr="001A5620">
        <w:rPr>
          <w:rFonts w:ascii="Arial Narrow" w:hAnsi="Arial Narrow" w:cs="Gisha"/>
          <w:bCs/>
          <w:sz w:val="22"/>
          <w:szCs w:val="22"/>
        </w:rPr>
        <w:t>:</w:t>
      </w:r>
      <w:r w:rsidR="00513DDF">
        <w:rPr>
          <w:rFonts w:ascii="Arial Narrow" w:hAnsi="Arial Narrow" w:cs="Gisha"/>
          <w:bCs/>
          <w:sz w:val="22"/>
          <w:szCs w:val="22"/>
        </w:rPr>
        <w:t xml:space="preserve">  </w:t>
      </w:r>
      <w:r w:rsidR="00AC003D" w:rsidRPr="001A5620">
        <w:rPr>
          <w:rFonts w:ascii="Arial Narrow" w:hAnsi="Arial Narrow" w:cs="Gisha"/>
          <w:bCs/>
          <w:sz w:val="22"/>
          <w:szCs w:val="22"/>
        </w:rPr>
        <w:t>(</w:t>
      </w:r>
      <w:proofErr w:type="gramEnd"/>
      <w:r w:rsidR="00AC003D" w:rsidRPr="001A5620">
        <w:rPr>
          <w:rFonts w:ascii="Arial Narrow" w:hAnsi="Arial Narrow" w:cs="Gisha"/>
          <w:bCs/>
          <w:sz w:val="22"/>
          <w:szCs w:val="22"/>
        </w:rPr>
        <w:t>i) un valor de</w:t>
      </w:r>
      <w:r w:rsidR="00122AF3" w:rsidRPr="001A5620">
        <w:rPr>
          <w:rFonts w:ascii="Arial Narrow" w:hAnsi="Arial Narrow" w:cs="Gisha"/>
          <w:bCs/>
          <w:sz w:val="22"/>
          <w:szCs w:val="22"/>
        </w:rPr>
        <w:t xml:space="preserve"> $1.094.747 miles </w:t>
      </w:r>
      <w:r w:rsidR="00CC1975" w:rsidRPr="001A5620">
        <w:rPr>
          <w:rFonts w:ascii="Arial Narrow" w:hAnsi="Arial Narrow" w:cs="Gisha"/>
          <w:bCs/>
          <w:sz w:val="22"/>
          <w:szCs w:val="22"/>
        </w:rPr>
        <w:t>por el retiro de la provisión contable a nombre de Unión Temporal Desarrollo Vial del Valle del Cauca y Cauca dentro del proceso arbitral No. 15811, por cambio en la calificación del riesgo incorporándose en cuentas de orden acreedoras</w:t>
      </w:r>
      <w:r w:rsidR="00AC003D" w:rsidRPr="001A5620">
        <w:rPr>
          <w:rFonts w:ascii="Arial Narrow" w:hAnsi="Arial Narrow" w:cs="Gisha"/>
          <w:bCs/>
          <w:sz w:val="22"/>
          <w:szCs w:val="22"/>
        </w:rPr>
        <w:t>,</w:t>
      </w:r>
      <w:r w:rsidR="00CC1975" w:rsidRPr="001A5620">
        <w:rPr>
          <w:rFonts w:ascii="Arial Narrow" w:hAnsi="Arial Narrow" w:cs="Gisha"/>
          <w:bCs/>
          <w:sz w:val="22"/>
          <w:szCs w:val="22"/>
        </w:rPr>
        <w:t xml:space="preserve">  </w:t>
      </w:r>
      <w:r w:rsidR="00122AF3" w:rsidRPr="001A5620">
        <w:rPr>
          <w:rFonts w:ascii="Arial Narrow" w:hAnsi="Arial Narrow" w:cs="Gisha"/>
          <w:bCs/>
          <w:sz w:val="22"/>
          <w:szCs w:val="22"/>
        </w:rPr>
        <w:t xml:space="preserve">y </w:t>
      </w:r>
      <w:r w:rsidR="00AC003D" w:rsidRPr="001A5620">
        <w:rPr>
          <w:rFonts w:ascii="Arial Narrow" w:hAnsi="Arial Narrow" w:cs="Gisha"/>
          <w:bCs/>
          <w:sz w:val="22"/>
          <w:szCs w:val="22"/>
        </w:rPr>
        <w:t>(</w:t>
      </w:r>
      <w:proofErr w:type="spellStart"/>
      <w:r w:rsidR="00AC003D" w:rsidRPr="001A5620">
        <w:rPr>
          <w:rFonts w:ascii="Arial Narrow" w:hAnsi="Arial Narrow" w:cs="Gisha"/>
          <w:bCs/>
          <w:sz w:val="22"/>
          <w:szCs w:val="22"/>
        </w:rPr>
        <w:t>ii</w:t>
      </w:r>
      <w:proofErr w:type="spellEnd"/>
      <w:r w:rsidR="00AC003D" w:rsidRPr="001A5620">
        <w:rPr>
          <w:rFonts w:ascii="Arial Narrow" w:hAnsi="Arial Narrow" w:cs="Gisha"/>
          <w:bCs/>
          <w:sz w:val="22"/>
          <w:szCs w:val="22"/>
        </w:rPr>
        <w:t xml:space="preserve">) un valor de $965 miles, </w:t>
      </w:r>
      <w:r w:rsidR="00122AF3" w:rsidRPr="001A5620">
        <w:rPr>
          <w:rFonts w:ascii="Arial Narrow" w:hAnsi="Arial Narrow" w:cs="Gisha"/>
          <w:bCs/>
          <w:sz w:val="22"/>
          <w:szCs w:val="22"/>
        </w:rPr>
        <w:t xml:space="preserve">por </w:t>
      </w:r>
      <w:r w:rsidR="00AC003D" w:rsidRPr="001A5620">
        <w:rPr>
          <w:rFonts w:ascii="Arial Narrow" w:hAnsi="Arial Narrow" w:cs="Gisha"/>
          <w:bCs/>
          <w:sz w:val="22"/>
          <w:szCs w:val="22"/>
        </w:rPr>
        <w:t>el valor liquidado, al momento del pago, de</w:t>
      </w:r>
      <w:r w:rsidR="00AC003D" w:rsidRPr="001A5620">
        <w:rPr>
          <w:rFonts w:ascii="Arial Narrow" w:hAnsi="Arial Narrow"/>
          <w:sz w:val="22"/>
          <w:szCs w:val="22"/>
          <w:lang w:eastAsia="es-CO"/>
        </w:rPr>
        <w:t xml:space="preserve"> la condena impuesta a la Agencia Nacional de Infraestructura y a la Sociedad CSS Constructores S.A, mediante sentencia del 2 de marzo de 2017, proferida por el Juzgado Segundo Administrativo Oral del Circuito de Duitama, ejecutoriada el día 6 de abril de 2018, dentro del medio de control de Reparación Directa con radicado 15238333300220130038100 interpuesta por Luis Eduardo Ayala Herrera y otros.  </w:t>
      </w:r>
    </w:p>
    <w:p w14:paraId="5F38DD81" w14:textId="77777777" w:rsidR="00B01756" w:rsidRPr="0023492B" w:rsidRDefault="00B01756" w:rsidP="00B01756">
      <w:pPr>
        <w:pStyle w:val="Prrafodelista"/>
        <w:jc w:val="both"/>
        <w:rPr>
          <w:rFonts w:ascii="Arial Narrow" w:hAnsi="Arial Narrow" w:cs="Gisha"/>
          <w:bCs/>
          <w:sz w:val="16"/>
          <w:szCs w:val="16"/>
        </w:rPr>
      </w:pPr>
    </w:p>
    <w:p w14:paraId="47771DF8" w14:textId="77777777" w:rsidR="00621478" w:rsidRPr="00DA14D7" w:rsidRDefault="00621478" w:rsidP="00D46ECC">
      <w:pPr>
        <w:jc w:val="both"/>
        <w:rPr>
          <w:rFonts w:ascii="Arial Narrow" w:hAnsi="Arial Narrow" w:cs="Gisha"/>
          <w:b/>
          <w:bCs/>
          <w:sz w:val="16"/>
          <w:szCs w:val="16"/>
        </w:rPr>
      </w:pPr>
    </w:p>
    <w:p w14:paraId="3FC589B6" w14:textId="77777777" w:rsidR="00D46ECC" w:rsidRDefault="00D46ECC" w:rsidP="00D46ECC">
      <w:pPr>
        <w:jc w:val="both"/>
        <w:rPr>
          <w:rFonts w:ascii="Arial Narrow" w:hAnsi="Arial Narrow" w:cs="Gisha"/>
          <w:b/>
          <w:bCs/>
          <w:sz w:val="22"/>
          <w:szCs w:val="22"/>
        </w:rPr>
      </w:pPr>
      <w:r w:rsidRPr="00C31E86">
        <w:rPr>
          <w:rFonts w:ascii="Arial Narrow" w:hAnsi="Arial Narrow" w:cs="Gisha"/>
          <w:b/>
          <w:bCs/>
          <w:sz w:val="22"/>
          <w:szCs w:val="22"/>
        </w:rPr>
        <w:t xml:space="preserve">NOTA </w:t>
      </w:r>
      <w:r>
        <w:rPr>
          <w:rFonts w:ascii="Arial Narrow" w:hAnsi="Arial Narrow" w:cs="Gisha"/>
          <w:b/>
          <w:bCs/>
          <w:sz w:val="22"/>
          <w:szCs w:val="22"/>
        </w:rPr>
        <w:t>4</w:t>
      </w:r>
      <w:r w:rsidRPr="00C31E86">
        <w:rPr>
          <w:rFonts w:ascii="Arial Narrow" w:hAnsi="Arial Narrow" w:cs="Gisha"/>
          <w:b/>
          <w:bCs/>
          <w:sz w:val="22"/>
          <w:szCs w:val="22"/>
        </w:rPr>
        <w:t>.  GASTOS</w:t>
      </w:r>
    </w:p>
    <w:p w14:paraId="1840E40F" w14:textId="77777777" w:rsidR="00D46ECC" w:rsidRPr="00DA14D7" w:rsidRDefault="00D46ECC" w:rsidP="00D46ECC">
      <w:pPr>
        <w:jc w:val="both"/>
        <w:rPr>
          <w:rFonts w:ascii="Arial Narrow" w:hAnsi="Arial Narrow" w:cs="Gisha"/>
          <w:b/>
          <w:bCs/>
          <w:sz w:val="16"/>
          <w:szCs w:val="16"/>
        </w:rPr>
      </w:pPr>
    </w:p>
    <w:p w14:paraId="0C79DE3B" w14:textId="14A6CF2D" w:rsidR="00D46ECC" w:rsidRDefault="00D46ECC" w:rsidP="00D46ECC">
      <w:pPr>
        <w:jc w:val="center"/>
        <w:rPr>
          <w:rFonts w:ascii="Arial Narrow" w:hAnsi="Arial Narrow" w:cs="Gisha"/>
          <w:b/>
          <w:bCs/>
          <w:sz w:val="20"/>
          <w:szCs w:val="20"/>
        </w:rPr>
      </w:pPr>
      <w:r w:rsidRPr="0062163A">
        <w:rPr>
          <w:rFonts w:ascii="Arial Narrow" w:hAnsi="Arial Narrow" w:cs="Gisha"/>
          <w:b/>
          <w:bCs/>
          <w:sz w:val="20"/>
          <w:szCs w:val="20"/>
        </w:rPr>
        <w:t xml:space="preserve">VARIACIONES GASTOS </w:t>
      </w:r>
      <w:r w:rsidR="00CF2F28">
        <w:rPr>
          <w:rFonts w:ascii="Arial Narrow" w:hAnsi="Arial Narrow" w:cs="Gisha"/>
          <w:b/>
          <w:bCs/>
          <w:sz w:val="20"/>
          <w:szCs w:val="20"/>
        </w:rPr>
        <w:t>OCTU</w:t>
      </w:r>
      <w:r w:rsidR="00B01756">
        <w:rPr>
          <w:rFonts w:ascii="Arial Narrow" w:hAnsi="Arial Narrow" w:cs="Gisha"/>
          <w:b/>
          <w:bCs/>
          <w:sz w:val="20"/>
          <w:szCs w:val="20"/>
        </w:rPr>
        <w:t>BRE</w:t>
      </w:r>
      <w:r w:rsidRPr="0062163A">
        <w:rPr>
          <w:rFonts w:ascii="Arial Narrow" w:hAnsi="Arial Narrow" w:cs="Gisha"/>
          <w:b/>
          <w:bCs/>
          <w:sz w:val="20"/>
          <w:szCs w:val="20"/>
        </w:rPr>
        <w:t xml:space="preserve"> DE 2019 </w:t>
      </w:r>
      <w:r>
        <w:rPr>
          <w:rFonts w:ascii="Arial Narrow" w:hAnsi="Arial Narrow" w:cs="Gisha"/>
          <w:b/>
          <w:bCs/>
          <w:sz w:val="20"/>
          <w:szCs w:val="20"/>
        </w:rPr>
        <w:t>–</w:t>
      </w:r>
      <w:r w:rsidRPr="0062163A">
        <w:rPr>
          <w:rFonts w:ascii="Arial Narrow" w:hAnsi="Arial Narrow" w:cs="Gisha"/>
          <w:b/>
          <w:bCs/>
          <w:sz w:val="20"/>
          <w:szCs w:val="20"/>
        </w:rPr>
        <w:t xml:space="preserve"> </w:t>
      </w:r>
      <w:r w:rsidR="00CF2F28">
        <w:rPr>
          <w:rFonts w:ascii="Arial Narrow" w:hAnsi="Arial Narrow" w:cs="Gisha"/>
          <w:b/>
          <w:bCs/>
          <w:sz w:val="20"/>
          <w:szCs w:val="20"/>
        </w:rPr>
        <w:t>OCTU</w:t>
      </w:r>
      <w:r w:rsidR="00B01756">
        <w:rPr>
          <w:rFonts w:ascii="Arial Narrow" w:hAnsi="Arial Narrow" w:cs="Gisha"/>
          <w:b/>
          <w:bCs/>
          <w:sz w:val="20"/>
          <w:szCs w:val="20"/>
        </w:rPr>
        <w:t>BRE</w:t>
      </w:r>
      <w:r>
        <w:rPr>
          <w:rFonts w:ascii="Arial Narrow" w:hAnsi="Arial Narrow" w:cs="Gisha"/>
          <w:b/>
          <w:bCs/>
          <w:sz w:val="20"/>
          <w:szCs w:val="20"/>
        </w:rPr>
        <w:t xml:space="preserve"> </w:t>
      </w:r>
      <w:r w:rsidRPr="0062163A">
        <w:rPr>
          <w:rFonts w:ascii="Arial Narrow" w:hAnsi="Arial Narrow" w:cs="Gisha"/>
          <w:b/>
          <w:bCs/>
          <w:sz w:val="20"/>
          <w:szCs w:val="20"/>
        </w:rPr>
        <w:t>DE 2018</w:t>
      </w:r>
    </w:p>
    <w:p w14:paraId="5E66B23C" w14:textId="24D08D2D" w:rsidR="00190706" w:rsidRPr="00112759" w:rsidRDefault="00190706" w:rsidP="00D46ECC">
      <w:pPr>
        <w:jc w:val="center"/>
        <w:rPr>
          <w:rFonts w:ascii="Arial Narrow" w:hAnsi="Arial Narrow" w:cs="Gisha"/>
          <w:b/>
          <w:bCs/>
          <w:sz w:val="22"/>
          <w:szCs w:val="22"/>
        </w:rPr>
      </w:pPr>
    </w:p>
    <w:p w14:paraId="6FC4C7F8" w14:textId="51CDB1CF" w:rsidR="00190706" w:rsidRDefault="00190706" w:rsidP="00D46ECC">
      <w:pPr>
        <w:jc w:val="center"/>
        <w:rPr>
          <w:rFonts w:ascii="Arial Narrow" w:hAnsi="Arial Narrow" w:cs="Gisha"/>
          <w:b/>
          <w:bCs/>
          <w:sz w:val="20"/>
          <w:szCs w:val="20"/>
        </w:rPr>
      </w:pPr>
      <w:r w:rsidRPr="00190706">
        <w:rPr>
          <w:noProof/>
        </w:rPr>
        <w:drawing>
          <wp:inline distT="0" distB="0" distL="0" distR="0" wp14:anchorId="026C6AA0" wp14:editId="54D0DBDE">
            <wp:extent cx="5138166" cy="1489476"/>
            <wp:effectExtent l="19050" t="19050" r="24765" b="15875"/>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182482" cy="1502322"/>
                    </a:xfrm>
                    <a:prstGeom prst="rect">
                      <a:avLst/>
                    </a:prstGeom>
                    <a:noFill/>
                    <a:ln w="19050" cmpd="thinThick">
                      <a:solidFill>
                        <a:schemeClr val="tx1"/>
                      </a:solidFill>
                    </a:ln>
                  </pic:spPr>
                </pic:pic>
              </a:graphicData>
            </a:graphic>
          </wp:inline>
        </w:drawing>
      </w:r>
    </w:p>
    <w:p w14:paraId="3A4F3B8D" w14:textId="77777777" w:rsidR="00D07D72" w:rsidRPr="00112759" w:rsidRDefault="00D07D72" w:rsidP="00D46ECC">
      <w:pPr>
        <w:jc w:val="center"/>
        <w:rPr>
          <w:rFonts w:ascii="Arial Narrow" w:hAnsi="Arial Narrow" w:cs="Gisha"/>
          <w:b/>
          <w:bCs/>
          <w:sz w:val="22"/>
          <w:szCs w:val="22"/>
        </w:rPr>
      </w:pPr>
    </w:p>
    <w:p w14:paraId="2E807252" w14:textId="5BC3CCBA" w:rsidR="008C1554" w:rsidRDefault="00D46ECC" w:rsidP="00D46ECC">
      <w:pPr>
        <w:jc w:val="both"/>
        <w:rPr>
          <w:rFonts w:ascii="Arial Narrow" w:hAnsi="Arial Narrow"/>
          <w:sz w:val="22"/>
          <w:szCs w:val="22"/>
        </w:rPr>
      </w:pPr>
      <w:r w:rsidRPr="00C31E86">
        <w:rPr>
          <w:rFonts w:ascii="Arial Narrow" w:hAnsi="Arial Narrow"/>
          <w:sz w:val="22"/>
          <w:szCs w:val="22"/>
        </w:rPr>
        <w:t xml:space="preserve">Los gastos del mes de </w:t>
      </w:r>
      <w:r w:rsidR="00190706">
        <w:rPr>
          <w:rFonts w:ascii="Arial Narrow" w:hAnsi="Arial Narrow"/>
          <w:sz w:val="22"/>
          <w:szCs w:val="22"/>
        </w:rPr>
        <w:t>octu</w:t>
      </w:r>
      <w:r w:rsidR="00F20445">
        <w:rPr>
          <w:rFonts w:ascii="Arial Narrow" w:hAnsi="Arial Narrow"/>
          <w:sz w:val="22"/>
          <w:szCs w:val="22"/>
        </w:rPr>
        <w:t>bre</w:t>
      </w:r>
      <w:r w:rsidRPr="00C31E86">
        <w:rPr>
          <w:rFonts w:ascii="Arial Narrow" w:hAnsi="Arial Narrow"/>
          <w:sz w:val="22"/>
          <w:szCs w:val="22"/>
        </w:rPr>
        <w:t xml:space="preserve"> de 2019</w:t>
      </w:r>
      <w:r>
        <w:rPr>
          <w:rFonts w:ascii="Arial Narrow" w:hAnsi="Arial Narrow"/>
          <w:sz w:val="22"/>
          <w:szCs w:val="22"/>
        </w:rPr>
        <w:t xml:space="preserve"> </w:t>
      </w:r>
      <w:r w:rsidRPr="00C31E86">
        <w:rPr>
          <w:rFonts w:ascii="Arial Narrow" w:hAnsi="Arial Narrow"/>
          <w:sz w:val="22"/>
          <w:szCs w:val="22"/>
        </w:rPr>
        <w:t xml:space="preserve">presentan </w:t>
      </w:r>
      <w:r>
        <w:rPr>
          <w:rFonts w:ascii="Arial Narrow" w:hAnsi="Arial Narrow"/>
          <w:sz w:val="22"/>
          <w:szCs w:val="22"/>
        </w:rPr>
        <w:t>un</w:t>
      </w:r>
      <w:r w:rsidR="00F20445">
        <w:rPr>
          <w:rFonts w:ascii="Arial Narrow" w:hAnsi="Arial Narrow"/>
          <w:sz w:val="22"/>
          <w:szCs w:val="22"/>
        </w:rPr>
        <w:t xml:space="preserve"> incremento de 4</w:t>
      </w:r>
      <w:r w:rsidR="00190706">
        <w:rPr>
          <w:rFonts w:ascii="Arial Narrow" w:hAnsi="Arial Narrow"/>
          <w:sz w:val="22"/>
          <w:szCs w:val="22"/>
        </w:rPr>
        <w:t>9</w:t>
      </w:r>
      <w:r>
        <w:rPr>
          <w:rFonts w:ascii="Arial Narrow" w:hAnsi="Arial Narrow"/>
          <w:sz w:val="22"/>
          <w:szCs w:val="22"/>
        </w:rPr>
        <w:t>,</w:t>
      </w:r>
      <w:r w:rsidR="00190706">
        <w:rPr>
          <w:rFonts w:ascii="Arial Narrow" w:hAnsi="Arial Narrow"/>
          <w:sz w:val="22"/>
          <w:szCs w:val="22"/>
        </w:rPr>
        <w:t>20</w:t>
      </w:r>
      <w:r w:rsidRPr="00C31E86">
        <w:rPr>
          <w:rFonts w:ascii="Arial Narrow" w:hAnsi="Arial Narrow"/>
          <w:sz w:val="22"/>
          <w:szCs w:val="22"/>
        </w:rPr>
        <w:t xml:space="preserve">% en términos corrientes, con respecto a los gastos del mes </w:t>
      </w:r>
      <w:r w:rsidR="00190706">
        <w:rPr>
          <w:rFonts w:ascii="Arial Narrow" w:hAnsi="Arial Narrow"/>
          <w:sz w:val="22"/>
          <w:szCs w:val="22"/>
        </w:rPr>
        <w:t>de octubre</w:t>
      </w:r>
      <w:r w:rsidRPr="00C31E86">
        <w:rPr>
          <w:rFonts w:ascii="Arial Narrow" w:hAnsi="Arial Narrow"/>
          <w:sz w:val="22"/>
          <w:szCs w:val="22"/>
        </w:rPr>
        <w:t xml:space="preserve"> de 2018</w:t>
      </w:r>
      <w:r>
        <w:rPr>
          <w:rFonts w:ascii="Arial Narrow" w:hAnsi="Arial Narrow"/>
          <w:sz w:val="22"/>
          <w:szCs w:val="22"/>
        </w:rPr>
        <w:t>,</w:t>
      </w:r>
      <w:r w:rsidRPr="00C31E86">
        <w:rPr>
          <w:rFonts w:ascii="Arial Narrow" w:hAnsi="Arial Narrow"/>
          <w:sz w:val="22"/>
          <w:szCs w:val="22"/>
        </w:rPr>
        <w:t xml:space="preserve"> y una variación de $</w:t>
      </w:r>
      <w:r w:rsidR="00F20445">
        <w:rPr>
          <w:rFonts w:ascii="Arial Narrow" w:hAnsi="Arial Narrow"/>
          <w:sz w:val="22"/>
          <w:szCs w:val="22"/>
        </w:rPr>
        <w:t>1</w:t>
      </w:r>
      <w:r w:rsidR="00190706">
        <w:rPr>
          <w:rFonts w:ascii="Arial Narrow" w:hAnsi="Arial Narrow"/>
          <w:sz w:val="22"/>
          <w:szCs w:val="22"/>
        </w:rPr>
        <w:t>2</w:t>
      </w:r>
      <w:r w:rsidR="00F20445">
        <w:rPr>
          <w:rFonts w:ascii="Arial Narrow" w:hAnsi="Arial Narrow"/>
          <w:sz w:val="22"/>
          <w:szCs w:val="22"/>
        </w:rPr>
        <w:t>6</w:t>
      </w:r>
      <w:r w:rsidR="003214C2">
        <w:rPr>
          <w:rFonts w:ascii="Arial Narrow" w:hAnsi="Arial Narrow"/>
          <w:sz w:val="22"/>
          <w:szCs w:val="22"/>
        </w:rPr>
        <w:t>.</w:t>
      </w:r>
      <w:r w:rsidR="00190706">
        <w:rPr>
          <w:rFonts w:ascii="Arial Narrow" w:hAnsi="Arial Narrow"/>
          <w:sz w:val="22"/>
          <w:szCs w:val="22"/>
        </w:rPr>
        <w:t>262</w:t>
      </w:r>
      <w:r w:rsidR="003214C2">
        <w:rPr>
          <w:rFonts w:ascii="Arial Narrow" w:hAnsi="Arial Narrow"/>
          <w:sz w:val="22"/>
          <w:szCs w:val="22"/>
        </w:rPr>
        <w:t>.</w:t>
      </w:r>
      <w:r w:rsidR="00F20445">
        <w:rPr>
          <w:rFonts w:ascii="Arial Narrow" w:hAnsi="Arial Narrow"/>
          <w:sz w:val="22"/>
          <w:szCs w:val="22"/>
        </w:rPr>
        <w:t>5</w:t>
      </w:r>
      <w:r w:rsidR="00190706">
        <w:rPr>
          <w:rFonts w:ascii="Arial Narrow" w:hAnsi="Arial Narrow"/>
          <w:sz w:val="22"/>
          <w:szCs w:val="22"/>
        </w:rPr>
        <w:t>02</w:t>
      </w:r>
      <w:r w:rsidRPr="00C31E86">
        <w:rPr>
          <w:rFonts w:ascii="Arial Narrow" w:hAnsi="Arial Narrow"/>
          <w:sz w:val="22"/>
          <w:szCs w:val="22"/>
        </w:rPr>
        <w:t xml:space="preserve"> miles. Al analizar el comportamiento se </w:t>
      </w:r>
      <w:r>
        <w:rPr>
          <w:rFonts w:ascii="Arial Narrow" w:hAnsi="Arial Narrow"/>
          <w:sz w:val="22"/>
          <w:szCs w:val="22"/>
        </w:rPr>
        <w:t>determina</w:t>
      </w:r>
      <w:r w:rsidRPr="00C31E86">
        <w:rPr>
          <w:rFonts w:ascii="Arial Narrow" w:hAnsi="Arial Narrow"/>
          <w:sz w:val="22"/>
          <w:szCs w:val="22"/>
        </w:rPr>
        <w:t xml:space="preserve"> que los </w:t>
      </w:r>
      <w:r>
        <w:rPr>
          <w:rFonts w:ascii="Arial Narrow" w:hAnsi="Arial Narrow"/>
          <w:sz w:val="22"/>
          <w:szCs w:val="22"/>
        </w:rPr>
        <w:t xml:space="preserve">rubros </w:t>
      </w:r>
      <w:r w:rsidRPr="00C31E86">
        <w:rPr>
          <w:rFonts w:ascii="Arial Narrow" w:hAnsi="Arial Narrow"/>
          <w:sz w:val="22"/>
          <w:szCs w:val="22"/>
        </w:rPr>
        <w:t>más representativos son un</w:t>
      </w:r>
      <w:r>
        <w:rPr>
          <w:rFonts w:ascii="Arial Narrow" w:hAnsi="Arial Narrow"/>
          <w:sz w:val="22"/>
          <w:szCs w:val="22"/>
        </w:rPr>
        <w:t xml:space="preserve"> </w:t>
      </w:r>
      <w:r w:rsidR="00126D9E">
        <w:rPr>
          <w:rFonts w:ascii="Arial Narrow" w:hAnsi="Arial Narrow"/>
          <w:sz w:val="22"/>
          <w:szCs w:val="22"/>
        </w:rPr>
        <w:t>incremento</w:t>
      </w:r>
      <w:r>
        <w:rPr>
          <w:rFonts w:ascii="Arial Narrow" w:hAnsi="Arial Narrow"/>
          <w:sz w:val="22"/>
          <w:szCs w:val="22"/>
        </w:rPr>
        <w:t xml:space="preserve"> en el grupo Deterioro, depreciaciones, amortizaciones y provisiones </w:t>
      </w:r>
      <w:r w:rsidR="00776191">
        <w:rPr>
          <w:rFonts w:ascii="Arial Narrow" w:hAnsi="Arial Narrow"/>
          <w:sz w:val="22"/>
          <w:szCs w:val="22"/>
        </w:rPr>
        <w:t xml:space="preserve">por valor </w:t>
      </w:r>
      <w:r>
        <w:rPr>
          <w:rFonts w:ascii="Arial Narrow" w:hAnsi="Arial Narrow"/>
          <w:sz w:val="22"/>
          <w:szCs w:val="22"/>
        </w:rPr>
        <w:t>de $10</w:t>
      </w:r>
      <w:r w:rsidR="00071025">
        <w:rPr>
          <w:rFonts w:ascii="Arial Narrow" w:hAnsi="Arial Narrow"/>
          <w:sz w:val="22"/>
          <w:szCs w:val="22"/>
        </w:rPr>
        <w:t>7</w:t>
      </w:r>
      <w:r w:rsidR="00FD1631">
        <w:rPr>
          <w:rFonts w:ascii="Arial Narrow" w:hAnsi="Arial Narrow"/>
          <w:sz w:val="22"/>
          <w:szCs w:val="22"/>
        </w:rPr>
        <w:t>.</w:t>
      </w:r>
      <w:r w:rsidR="00071025">
        <w:rPr>
          <w:rFonts w:ascii="Arial Narrow" w:hAnsi="Arial Narrow"/>
          <w:sz w:val="22"/>
          <w:szCs w:val="22"/>
        </w:rPr>
        <w:t>798</w:t>
      </w:r>
      <w:r w:rsidR="00FD1631">
        <w:rPr>
          <w:rFonts w:ascii="Arial Narrow" w:hAnsi="Arial Narrow"/>
          <w:sz w:val="22"/>
          <w:szCs w:val="22"/>
        </w:rPr>
        <w:t>.</w:t>
      </w:r>
      <w:r w:rsidR="00071025">
        <w:rPr>
          <w:rFonts w:ascii="Arial Narrow" w:hAnsi="Arial Narrow"/>
          <w:sz w:val="22"/>
          <w:szCs w:val="22"/>
        </w:rPr>
        <w:t>25</w:t>
      </w:r>
      <w:r w:rsidR="00126D9E">
        <w:rPr>
          <w:rFonts w:ascii="Arial Narrow" w:hAnsi="Arial Narrow"/>
          <w:sz w:val="22"/>
          <w:szCs w:val="22"/>
        </w:rPr>
        <w:t>7</w:t>
      </w:r>
      <w:r w:rsidR="00FD1631">
        <w:rPr>
          <w:rFonts w:ascii="Arial Narrow" w:hAnsi="Arial Narrow"/>
          <w:sz w:val="22"/>
          <w:szCs w:val="22"/>
        </w:rPr>
        <w:t xml:space="preserve"> </w:t>
      </w:r>
      <w:r>
        <w:rPr>
          <w:rFonts w:ascii="Arial Narrow" w:hAnsi="Arial Narrow"/>
          <w:sz w:val="22"/>
          <w:szCs w:val="22"/>
        </w:rPr>
        <w:t>miles (</w:t>
      </w:r>
      <w:r w:rsidR="007E4DA3">
        <w:rPr>
          <w:rFonts w:ascii="Arial Narrow" w:hAnsi="Arial Narrow"/>
          <w:sz w:val="22"/>
          <w:szCs w:val="22"/>
        </w:rPr>
        <w:t>1</w:t>
      </w:r>
      <w:r>
        <w:rPr>
          <w:rFonts w:ascii="Arial Narrow" w:hAnsi="Arial Narrow"/>
          <w:sz w:val="22"/>
          <w:szCs w:val="22"/>
        </w:rPr>
        <w:t>) y un</w:t>
      </w:r>
      <w:r w:rsidRPr="00C31E86">
        <w:rPr>
          <w:rFonts w:ascii="Arial Narrow" w:hAnsi="Arial Narrow"/>
          <w:sz w:val="22"/>
          <w:szCs w:val="22"/>
        </w:rPr>
        <w:t xml:space="preserve"> incremento en el grupo de Otros gastos </w:t>
      </w:r>
      <w:r>
        <w:rPr>
          <w:rFonts w:ascii="Arial Narrow" w:hAnsi="Arial Narrow"/>
          <w:sz w:val="22"/>
          <w:szCs w:val="22"/>
        </w:rPr>
        <w:t xml:space="preserve">por </w:t>
      </w:r>
      <w:r w:rsidRPr="00C31E86">
        <w:rPr>
          <w:rFonts w:ascii="Arial Narrow" w:hAnsi="Arial Narrow"/>
          <w:sz w:val="22"/>
          <w:szCs w:val="22"/>
        </w:rPr>
        <w:t>$</w:t>
      </w:r>
      <w:r w:rsidR="00776191">
        <w:rPr>
          <w:rFonts w:ascii="Arial Narrow" w:hAnsi="Arial Narrow"/>
          <w:sz w:val="22"/>
          <w:szCs w:val="22"/>
        </w:rPr>
        <w:t>2</w:t>
      </w:r>
      <w:r w:rsidR="00071025">
        <w:rPr>
          <w:rFonts w:ascii="Arial Narrow" w:hAnsi="Arial Narrow"/>
          <w:sz w:val="22"/>
          <w:szCs w:val="22"/>
        </w:rPr>
        <w:t>4</w:t>
      </w:r>
      <w:r w:rsidR="00776191">
        <w:rPr>
          <w:rFonts w:ascii="Arial Narrow" w:hAnsi="Arial Narrow"/>
          <w:sz w:val="22"/>
          <w:szCs w:val="22"/>
        </w:rPr>
        <w:t>.</w:t>
      </w:r>
      <w:r w:rsidR="00071025">
        <w:rPr>
          <w:rFonts w:ascii="Arial Narrow" w:hAnsi="Arial Narrow"/>
          <w:sz w:val="22"/>
          <w:szCs w:val="22"/>
        </w:rPr>
        <w:t>843</w:t>
      </w:r>
      <w:r w:rsidR="00776191">
        <w:rPr>
          <w:rFonts w:ascii="Arial Narrow" w:hAnsi="Arial Narrow"/>
          <w:sz w:val="22"/>
          <w:szCs w:val="22"/>
        </w:rPr>
        <w:t>.</w:t>
      </w:r>
      <w:r w:rsidR="00071025">
        <w:rPr>
          <w:rFonts w:ascii="Arial Narrow" w:hAnsi="Arial Narrow"/>
          <w:sz w:val="22"/>
          <w:szCs w:val="22"/>
        </w:rPr>
        <w:t>027</w:t>
      </w:r>
      <w:r w:rsidR="00126D9E">
        <w:rPr>
          <w:rFonts w:ascii="Arial Narrow" w:hAnsi="Arial Narrow"/>
          <w:sz w:val="22"/>
          <w:szCs w:val="22"/>
        </w:rPr>
        <w:t xml:space="preserve"> </w:t>
      </w:r>
      <w:r w:rsidR="00776191">
        <w:rPr>
          <w:rFonts w:ascii="Arial Narrow" w:hAnsi="Arial Narrow"/>
          <w:sz w:val="22"/>
          <w:szCs w:val="22"/>
        </w:rPr>
        <w:t>miles</w:t>
      </w:r>
      <w:r>
        <w:rPr>
          <w:rFonts w:ascii="Arial Narrow" w:hAnsi="Arial Narrow"/>
          <w:sz w:val="22"/>
          <w:szCs w:val="22"/>
        </w:rPr>
        <w:t xml:space="preserve"> (</w:t>
      </w:r>
      <w:r w:rsidR="007E4DA3">
        <w:rPr>
          <w:rFonts w:ascii="Arial Narrow" w:hAnsi="Arial Narrow"/>
          <w:sz w:val="22"/>
          <w:szCs w:val="22"/>
        </w:rPr>
        <w:t>2</w:t>
      </w:r>
      <w:r>
        <w:rPr>
          <w:rFonts w:ascii="Arial Narrow" w:hAnsi="Arial Narrow"/>
          <w:sz w:val="22"/>
          <w:szCs w:val="22"/>
        </w:rPr>
        <w:t xml:space="preserve">).  </w:t>
      </w:r>
    </w:p>
    <w:p w14:paraId="10AE756E" w14:textId="77777777" w:rsidR="008C1554" w:rsidRPr="00112759" w:rsidRDefault="008C1554" w:rsidP="00D46ECC">
      <w:pPr>
        <w:jc w:val="both"/>
        <w:rPr>
          <w:rFonts w:ascii="Arial Narrow" w:hAnsi="Arial Narrow"/>
          <w:sz w:val="22"/>
          <w:szCs w:val="22"/>
        </w:rPr>
      </w:pPr>
    </w:p>
    <w:p w14:paraId="0FDBB4F0" w14:textId="77777777" w:rsidR="00D46ECC" w:rsidRDefault="008C1554" w:rsidP="00D46ECC">
      <w:pPr>
        <w:jc w:val="both"/>
        <w:rPr>
          <w:rFonts w:ascii="Arial Narrow" w:hAnsi="Arial Narrow"/>
          <w:sz w:val="22"/>
          <w:szCs w:val="22"/>
        </w:rPr>
      </w:pPr>
      <w:r>
        <w:rPr>
          <w:rFonts w:ascii="Arial Narrow" w:hAnsi="Arial Narrow"/>
          <w:sz w:val="22"/>
          <w:szCs w:val="22"/>
        </w:rPr>
        <w:t xml:space="preserve">A </w:t>
      </w:r>
      <w:r w:rsidR="007A7A47">
        <w:rPr>
          <w:rFonts w:ascii="Arial Narrow" w:hAnsi="Arial Narrow"/>
          <w:sz w:val="22"/>
          <w:szCs w:val="22"/>
        </w:rPr>
        <w:t>continuación,</w:t>
      </w:r>
      <w:r>
        <w:rPr>
          <w:rFonts w:ascii="Arial Narrow" w:hAnsi="Arial Narrow"/>
          <w:sz w:val="22"/>
          <w:szCs w:val="22"/>
        </w:rPr>
        <w:t xml:space="preserve"> s</w:t>
      </w:r>
      <w:r w:rsidR="00D46ECC">
        <w:rPr>
          <w:rFonts w:ascii="Arial Narrow" w:hAnsi="Arial Narrow"/>
          <w:sz w:val="22"/>
          <w:szCs w:val="22"/>
        </w:rPr>
        <w:t xml:space="preserve">e detallan las explicaciones </w:t>
      </w:r>
      <w:r w:rsidR="000245C4">
        <w:rPr>
          <w:rFonts w:ascii="Arial Narrow" w:hAnsi="Arial Narrow"/>
          <w:sz w:val="22"/>
          <w:szCs w:val="22"/>
        </w:rPr>
        <w:t>generales por</w:t>
      </w:r>
      <w:r w:rsidR="00D46ECC">
        <w:rPr>
          <w:rFonts w:ascii="Arial Narrow" w:hAnsi="Arial Narrow"/>
          <w:sz w:val="22"/>
          <w:szCs w:val="22"/>
        </w:rPr>
        <w:t xml:space="preserve"> concepto:</w:t>
      </w:r>
    </w:p>
    <w:p w14:paraId="2E7F4727" w14:textId="24187150" w:rsidR="002C35EB" w:rsidRPr="0023492B" w:rsidRDefault="002C35EB" w:rsidP="00D46ECC">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color w:val="auto"/>
          <w:sz w:val="16"/>
          <w:szCs w:val="16"/>
          <w:lang w:val="es-ES"/>
        </w:rPr>
      </w:pPr>
    </w:p>
    <w:p w14:paraId="58BFBFF9" w14:textId="77777777" w:rsidR="00112759" w:rsidRPr="0023492B" w:rsidRDefault="00112759" w:rsidP="00D46ECC">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color w:val="auto"/>
          <w:sz w:val="16"/>
          <w:szCs w:val="16"/>
          <w:lang w:val="es-ES"/>
        </w:rPr>
      </w:pPr>
    </w:p>
    <w:p w14:paraId="63D96B3F" w14:textId="77777777" w:rsidR="00D46ECC" w:rsidRDefault="00D46ECC" w:rsidP="00D46ECC">
      <w:pPr>
        <w:pStyle w:val="Textoindependiente2"/>
        <w:numPr>
          <w:ilvl w:val="0"/>
          <w:numId w:val="9"/>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color w:val="auto"/>
          <w:sz w:val="22"/>
          <w:szCs w:val="22"/>
          <w:lang w:val="es-ES"/>
        </w:rPr>
      </w:pPr>
      <w:r w:rsidRPr="00F911F6">
        <w:rPr>
          <w:rFonts w:ascii="Arial Narrow" w:hAnsi="Arial Narrow" w:cs="Gisha"/>
          <w:color w:val="auto"/>
          <w:sz w:val="22"/>
          <w:szCs w:val="22"/>
          <w:lang w:val="es-ES"/>
        </w:rPr>
        <w:t>Deterioro, depreciaciones, amortizaciones y provisiones</w:t>
      </w:r>
    </w:p>
    <w:p w14:paraId="26F4460D" w14:textId="77777777" w:rsidR="00D46ECC" w:rsidRPr="0023492B" w:rsidRDefault="00D46ECC" w:rsidP="00D46ECC">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color w:val="auto"/>
          <w:sz w:val="16"/>
          <w:szCs w:val="16"/>
          <w:lang w:val="es-ES"/>
        </w:rPr>
      </w:pPr>
    </w:p>
    <w:p w14:paraId="0430255C" w14:textId="7C17AC24" w:rsidR="00D46ECC" w:rsidRDefault="00D46ECC" w:rsidP="00D46ECC">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color w:val="FF0000"/>
          <w:sz w:val="22"/>
          <w:szCs w:val="22"/>
          <w:lang w:val="es-ES"/>
        </w:rPr>
      </w:pPr>
      <w:r>
        <w:rPr>
          <w:rFonts w:ascii="Arial Narrow" w:hAnsi="Arial Narrow" w:cs="Gisha"/>
          <w:b w:val="0"/>
          <w:color w:val="auto"/>
          <w:sz w:val="22"/>
          <w:szCs w:val="22"/>
          <w:lang w:val="es-ES"/>
        </w:rPr>
        <w:t xml:space="preserve">El grupo de </w:t>
      </w:r>
      <w:r w:rsidRPr="00F911F6">
        <w:rPr>
          <w:rFonts w:ascii="Arial Narrow" w:hAnsi="Arial Narrow" w:cs="Gisha"/>
          <w:b w:val="0"/>
          <w:color w:val="auto"/>
          <w:sz w:val="22"/>
          <w:szCs w:val="22"/>
          <w:lang w:val="es-ES"/>
        </w:rPr>
        <w:t>Deterioro, depreciaciones, amortizaciones y provisiones</w:t>
      </w:r>
      <w:r>
        <w:rPr>
          <w:rFonts w:ascii="Arial Narrow" w:hAnsi="Arial Narrow" w:cs="Gisha"/>
          <w:b w:val="0"/>
          <w:color w:val="auto"/>
          <w:sz w:val="22"/>
          <w:szCs w:val="22"/>
          <w:lang w:val="es-ES"/>
        </w:rPr>
        <w:t xml:space="preserve"> presenta </w:t>
      </w:r>
      <w:r w:rsidR="003002E2">
        <w:rPr>
          <w:rFonts w:ascii="Arial Narrow" w:hAnsi="Arial Narrow" w:cs="Gisha"/>
          <w:b w:val="0"/>
          <w:color w:val="auto"/>
          <w:sz w:val="22"/>
          <w:szCs w:val="22"/>
          <w:lang w:val="es-ES"/>
        </w:rPr>
        <w:t>un incremento</w:t>
      </w:r>
      <w:r w:rsidR="00357633">
        <w:rPr>
          <w:rFonts w:ascii="Arial Narrow" w:hAnsi="Arial Narrow" w:cs="Gisha"/>
          <w:b w:val="0"/>
          <w:color w:val="auto"/>
          <w:sz w:val="22"/>
          <w:szCs w:val="22"/>
          <w:lang w:val="es-ES"/>
        </w:rPr>
        <w:t xml:space="preserve"> </w:t>
      </w:r>
      <w:r>
        <w:rPr>
          <w:rFonts w:ascii="Arial Narrow" w:hAnsi="Arial Narrow" w:cs="Gisha"/>
          <w:b w:val="0"/>
          <w:color w:val="auto"/>
          <w:sz w:val="22"/>
          <w:szCs w:val="22"/>
          <w:lang w:val="es-ES"/>
        </w:rPr>
        <w:t xml:space="preserve">en el mes de </w:t>
      </w:r>
      <w:r w:rsidR="00071025">
        <w:rPr>
          <w:rFonts w:ascii="Arial Narrow" w:hAnsi="Arial Narrow" w:cs="Gisha"/>
          <w:b w:val="0"/>
          <w:color w:val="auto"/>
          <w:sz w:val="22"/>
          <w:szCs w:val="22"/>
          <w:lang w:val="es-ES"/>
        </w:rPr>
        <w:t>octu</w:t>
      </w:r>
      <w:r w:rsidR="003002E2">
        <w:rPr>
          <w:rFonts w:ascii="Arial Narrow" w:hAnsi="Arial Narrow" w:cs="Gisha"/>
          <w:b w:val="0"/>
          <w:color w:val="auto"/>
          <w:sz w:val="22"/>
          <w:szCs w:val="22"/>
          <w:lang w:val="es-ES"/>
        </w:rPr>
        <w:t>bre</w:t>
      </w:r>
      <w:r>
        <w:rPr>
          <w:rFonts w:ascii="Arial Narrow" w:hAnsi="Arial Narrow" w:cs="Gisha"/>
          <w:b w:val="0"/>
          <w:color w:val="auto"/>
          <w:sz w:val="22"/>
          <w:szCs w:val="22"/>
          <w:lang w:val="es-ES"/>
        </w:rPr>
        <w:t xml:space="preserve"> de 2019 con relación a </w:t>
      </w:r>
      <w:r w:rsidR="00071025">
        <w:rPr>
          <w:rFonts w:ascii="Arial Narrow" w:hAnsi="Arial Narrow" w:cs="Gisha"/>
          <w:b w:val="0"/>
          <w:color w:val="auto"/>
          <w:sz w:val="22"/>
          <w:szCs w:val="22"/>
          <w:lang w:val="es-ES"/>
        </w:rPr>
        <w:t>octubr</w:t>
      </w:r>
      <w:r w:rsidR="003002E2">
        <w:rPr>
          <w:rFonts w:ascii="Arial Narrow" w:hAnsi="Arial Narrow" w:cs="Gisha"/>
          <w:b w:val="0"/>
          <w:color w:val="auto"/>
          <w:sz w:val="22"/>
          <w:szCs w:val="22"/>
          <w:lang w:val="es-ES"/>
        </w:rPr>
        <w:t>e</w:t>
      </w:r>
      <w:r>
        <w:rPr>
          <w:rFonts w:ascii="Arial Narrow" w:hAnsi="Arial Narrow" w:cs="Gisha"/>
          <w:b w:val="0"/>
          <w:color w:val="auto"/>
          <w:sz w:val="22"/>
          <w:szCs w:val="22"/>
          <w:lang w:val="es-ES"/>
        </w:rPr>
        <w:t xml:space="preserve"> de 2018 de </w:t>
      </w:r>
      <w:r w:rsidRPr="00F911F6">
        <w:rPr>
          <w:rFonts w:ascii="Arial Narrow" w:hAnsi="Arial Narrow" w:cs="Gisha"/>
          <w:b w:val="0"/>
          <w:color w:val="auto"/>
          <w:sz w:val="22"/>
          <w:szCs w:val="22"/>
          <w:lang w:val="es-ES"/>
        </w:rPr>
        <w:t>$</w:t>
      </w:r>
      <w:r w:rsidR="003002E2">
        <w:rPr>
          <w:rFonts w:ascii="Arial Narrow" w:hAnsi="Arial Narrow" w:cs="Gisha"/>
          <w:b w:val="0"/>
          <w:color w:val="auto"/>
          <w:sz w:val="22"/>
          <w:szCs w:val="22"/>
          <w:lang w:val="es-ES"/>
        </w:rPr>
        <w:t>10</w:t>
      </w:r>
      <w:r w:rsidR="00071025">
        <w:rPr>
          <w:rFonts w:ascii="Arial Narrow" w:hAnsi="Arial Narrow" w:cs="Gisha"/>
          <w:b w:val="0"/>
          <w:color w:val="auto"/>
          <w:sz w:val="22"/>
          <w:szCs w:val="22"/>
          <w:lang w:val="es-ES"/>
        </w:rPr>
        <w:t>7</w:t>
      </w:r>
      <w:r>
        <w:rPr>
          <w:rFonts w:ascii="Arial Narrow" w:hAnsi="Arial Narrow" w:cs="Gisha"/>
          <w:b w:val="0"/>
          <w:color w:val="auto"/>
          <w:sz w:val="22"/>
          <w:szCs w:val="22"/>
          <w:lang w:val="es-ES"/>
        </w:rPr>
        <w:t>.</w:t>
      </w:r>
      <w:r w:rsidR="00071025">
        <w:rPr>
          <w:rFonts w:ascii="Arial Narrow" w:hAnsi="Arial Narrow" w:cs="Gisha"/>
          <w:b w:val="0"/>
          <w:color w:val="auto"/>
          <w:sz w:val="22"/>
          <w:szCs w:val="22"/>
          <w:lang w:val="es-ES"/>
        </w:rPr>
        <w:t>79</w:t>
      </w:r>
      <w:r w:rsidR="003002E2">
        <w:rPr>
          <w:rFonts w:ascii="Arial Narrow" w:hAnsi="Arial Narrow" w:cs="Gisha"/>
          <w:b w:val="0"/>
          <w:color w:val="auto"/>
          <w:sz w:val="22"/>
          <w:szCs w:val="22"/>
          <w:lang w:val="es-ES"/>
        </w:rPr>
        <w:t>8</w:t>
      </w:r>
      <w:r>
        <w:rPr>
          <w:rFonts w:ascii="Arial Narrow" w:hAnsi="Arial Narrow" w:cs="Gisha"/>
          <w:b w:val="0"/>
          <w:color w:val="auto"/>
          <w:sz w:val="22"/>
          <w:szCs w:val="22"/>
          <w:lang w:val="es-ES"/>
        </w:rPr>
        <w:t>.</w:t>
      </w:r>
      <w:r w:rsidR="00071025">
        <w:rPr>
          <w:rFonts w:ascii="Arial Narrow" w:hAnsi="Arial Narrow" w:cs="Gisha"/>
          <w:b w:val="0"/>
          <w:color w:val="auto"/>
          <w:sz w:val="22"/>
          <w:szCs w:val="22"/>
          <w:lang w:val="es-ES"/>
        </w:rPr>
        <w:t>25</w:t>
      </w:r>
      <w:r w:rsidR="003002E2">
        <w:rPr>
          <w:rFonts w:ascii="Arial Narrow" w:hAnsi="Arial Narrow" w:cs="Gisha"/>
          <w:b w:val="0"/>
          <w:color w:val="auto"/>
          <w:sz w:val="22"/>
          <w:szCs w:val="22"/>
          <w:lang w:val="es-ES"/>
        </w:rPr>
        <w:t>7</w:t>
      </w:r>
      <w:r w:rsidRPr="00F911F6">
        <w:rPr>
          <w:rFonts w:ascii="Arial Narrow" w:hAnsi="Arial Narrow" w:cs="Gisha"/>
          <w:b w:val="0"/>
          <w:color w:val="auto"/>
          <w:sz w:val="22"/>
          <w:szCs w:val="22"/>
          <w:lang w:val="es-ES"/>
        </w:rPr>
        <w:t xml:space="preserve"> miles</w:t>
      </w:r>
      <w:r>
        <w:rPr>
          <w:rFonts w:ascii="Arial Narrow" w:hAnsi="Arial Narrow" w:cs="Gisha"/>
          <w:b w:val="0"/>
          <w:color w:val="auto"/>
          <w:sz w:val="22"/>
          <w:szCs w:val="22"/>
          <w:lang w:val="es-ES"/>
        </w:rPr>
        <w:t xml:space="preserve"> principalmente por </w:t>
      </w:r>
      <w:r w:rsidR="00A92F88">
        <w:rPr>
          <w:rFonts w:ascii="Arial Narrow" w:hAnsi="Arial Narrow" w:cs="Gisha"/>
          <w:b w:val="0"/>
          <w:color w:val="auto"/>
          <w:sz w:val="22"/>
          <w:szCs w:val="22"/>
          <w:lang w:val="es-ES"/>
        </w:rPr>
        <w:t>el</w:t>
      </w:r>
      <w:r w:rsidR="003002E2">
        <w:rPr>
          <w:rFonts w:ascii="Arial Narrow" w:hAnsi="Arial Narrow" w:cs="Gisha"/>
          <w:b w:val="0"/>
          <w:color w:val="auto"/>
          <w:sz w:val="22"/>
          <w:szCs w:val="22"/>
          <w:lang w:val="es-ES"/>
        </w:rPr>
        <w:t xml:space="preserve"> incremento</w:t>
      </w:r>
      <w:r>
        <w:rPr>
          <w:rFonts w:ascii="Arial Narrow" w:hAnsi="Arial Narrow" w:cs="Gisha"/>
          <w:b w:val="0"/>
          <w:color w:val="auto"/>
          <w:sz w:val="22"/>
          <w:szCs w:val="22"/>
          <w:lang w:val="es-ES"/>
        </w:rPr>
        <w:t xml:space="preserve"> en la subcuenta Provisión, litigios y demandas por $</w:t>
      </w:r>
      <w:r w:rsidR="003002E2">
        <w:rPr>
          <w:rFonts w:ascii="Arial Narrow" w:hAnsi="Arial Narrow" w:cs="Gisha"/>
          <w:b w:val="0"/>
          <w:color w:val="auto"/>
          <w:sz w:val="22"/>
          <w:szCs w:val="22"/>
          <w:lang w:val="es-ES"/>
        </w:rPr>
        <w:t>107</w:t>
      </w:r>
      <w:r>
        <w:rPr>
          <w:rFonts w:ascii="Arial Narrow" w:hAnsi="Arial Narrow" w:cs="Gisha"/>
          <w:b w:val="0"/>
          <w:color w:val="auto"/>
          <w:sz w:val="22"/>
          <w:szCs w:val="22"/>
          <w:lang w:val="es-ES"/>
        </w:rPr>
        <w:t>.</w:t>
      </w:r>
      <w:r w:rsidR="003002E2">
        <w:rPr>
          <w:rFonts w:ascii="Arial Narrow" w:hAnsi="Arial Narrow" w:cs="Gisha"/>
          <w:b w:val="0"/>
          <w:color w:val="auto"/>
          <w:sz w:val="22"/>
          <w:szCs w:val="22"/>
          <w:lang w:val="es-ES"/>
        </w:rPr>
        <w:t>624</w:t>
      </w:r>
      <w:r>
        <w:rPr>
          <w:rFonts w:ascii="Arial Narrow" w:hAnsi="Arial Narrow" w:cs="Gisha"/>
          <w:b w:val="0"/>
          <w:color w:val="auto"/>
          <w:sz w:val="22"/>
          <w:szCs w:val="22"/>
          <w:lang w:val="es-ES"/>
        </w:rPr>
        <w:t>.</w:t>
      </w:r>
      <w:r w:rsidR="003002E2">
        <w:rPr>
          <w:rFonts w:ascii="Arial Narrow" w:hAnsi="Arial Narrow" w:cs="Gisha"/>
          <w:b w:val="0"/>
          <w:color w:val="auto"/>
          <w:sz w:val="22"/>
          <w:szCs w:val="22"/>
          <w:lang w:val="es-ES"/>
        </w:rPr>
        <w:t>638</w:t>
      </w:r>
      <w:r>
        <w:rPr>
          <w:rFonts w:ascii="Arial Narrow" w:hAnsi="Arial Narrow" w:cs="Gisha"/>
          <w:b w:val="0"/>
          <w:color w:val="auto"/>
          <w:sz w:val="22"/>
          <w:szCs w:val="22"/>
          <w:lang w:val="es-ES"/>
        </w:rPr>
        <w:t xml:space="preserve"> miles</w:t>
      </w:r>
      <w:r w:rsidR="0007482B">
        <w:rPr>
          <w:rFonts w:ascii="Arial Narrow" w:hAnsi="Arial Narrow" w:cs="Gisha"/>
          <w:b w:val="0"/>
          <w:color w:val="auto"/>
          <w:sz w:val="22"/>
          <w:szCs w:val="22"/>
          <w:lang w:val="es-ES"/>
        </w:rPr>
        <w:t>,</w:t>
      </w:r>
      <w:r>
        <w:rPr>
          <w:rFonts w:ascii="Arial Narrow" w:hAnsi="Arial Narrow" w:cs="Gisha"/>
          <w:b w:val="0"/>
          <w:color w:val="auto"/>
          <w:sz w:val="22"/>
          <w:szCs w:val="22"/>
          <w:lang w:val="es-ES"/>
        </w:rPr>
        <w:t xml:space="preserve"> producto de la actualización de los procesos judiciales informados por el Grupo de Defensa Judicial.</w:t>
      </w:r>
    </w:p>
    <w:p w14:paraId="6627EA94" w14:textId="77777777" w:rsidR="0023492B" w:rsidRPr="0023492B" w:rsidRDefault="0023492B" w:rsidP="00D46ECC">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color w:val="auto"/>
          <w:sz w:val="22"/>
          <w:szCs w:val="22"/>
          <w:lang w:val="es-ES"/>
        </w:rPr>
      </w:pPr>
    </w:p>
    <w:p w14:paraId="5487C8E1" w14:textId="245F245B" w:rsidR="00D46ECC" w:rsidRDefault="00D46ECC" w:rsidP="00D46ECC">
      <w:pPr>
        <w:pStyle w:val="Textoindependiente2"/>
        <w:numPr>
          <w:ilvl w:val="0"/>
          <w:numId w:val="9"/>
        </w:num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color w:val="auto"/>
          <w:sz w:val="22"/>
          <w:szCs w:val="22"/>
          <w:lang w:val="es-ES"/>
        </w:rPr>
      </w:pPr>
      <w:r>
        <w:rPr>
          <w:rFonts w:ascii="Arial Narrow" w:hAnsi="Arial Narrow" w:cs="Gisha"/>
          <w:color w:val="auto"/>
          <w:sz w:val="22"/>
          <w:szCs w:val="22"/>
          <w:lang w:val="es-ES"/>
        </w:rPr>
        <w:t>Otros gastos</w:t>
      </w:r>
    </w:p>
    <w:p w14:paraId="710282CF" w14:textId="77777777" w:rsidR="0023492B" w:rsidRPr="0023492B" w:rsidRDefault="0023492B" w:rsidP="0023492B">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ind w:left="720"/>
        <w:rPr>
          <w:rFonts w:ascii="Arial Narrow" w:hAnsi="Arial Narrow" w:cs="Gisha"/>
          <w:color w:val="auto"/>
          <w:sz w:val="16"/>
          <w:szCs w:val="16"/>
          <w:lang w:val="es-ES"/>
        </w:rPr>
      </w:pPr>
    </w:p>
    <w:p w14:paraId="3975F8D6" w14:textId="3D169CE9" w:rsidR="00D46ECC" w:rsidRDefault="00D46ECC" w:rsidP="00D46ECC">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b w:val="0"/>
          <w:color w:val="auto"/>
          <w:sz w:val="22"/>
          <w:szCs w:val="22"/>
          <w:lang w:val="es-ES"/>
        </w:rPr>
      </w:pPr>
      <w:r w:rsidRPr="001243A1">
        <w:rPr>
          <w:rFonts w:ascii="Arial Narrow" w:hAnsi="Arial Narrow" w:cs="Gisha"/>
          <w:b w:val="0"/>
          <w:color w:val="auto"/>
          <w:sz w:val="22"/>
          <w:szCs w:val="22"/>
          <w:lang w:val="es-ES"/>
        </w:rPr>
        <w:t>El grupo Otros gastos presenta un incremento de $</w:t>
      </w:r>
      <w:r w:rsidR="00357633">
        <w:rPr>
          <w:rFonts w:ascii="Arial Narrow" w:hAnsi="Arial Narrow" w:cs="Gisha"/>
          <w:b w:val="0"/>
          <w:color w:val="auto"/>
          <w:sz w:val="22"/>
          <w:szCs w:val="22"/>
          <w:lang w:val="es-ES"/>
        </w:rPr>
        <w:t>2</w:t>
      </w:r>
      <w:r w:rsidR="007A5C79">
        <w:rPr>
          <w:rFonts w:ascii="Arial Narrow" w:hAnsi="Arial Narrow" w:cs="Gisha"/>
          <w:b w:val="0"/>
          <w:color w:val="auto"/>
          <w:sz w:val="22"/>
          <w:szCs w:val="22"/>
          <w:lang w:val="es-ES"/>
        </w:rPr>
        <w:t>4</w:t>
      </w:r>
      <w:r w:rsidR="00357633">
        <w:rPr>
          <w:rFonts w:ascii="Arial Narrow" w:hAnsi="Arial Narrow" w:cs="Gisha"/>
          <w:b w:val="0"/>
          <w:color w:val="auto"/>
          <w:sz w:val="22"/>
          <w:szCs w:val="22"/>
          <w:lang w:val="es-ES"/>
        </w:rPr>
        <w:t>.</w:t>
      </w:r>
      <w:r w:rsidR="007A5C79">
        <w:rPr>
          <w:rFonts w:ascii="Arial Narrow" w:hAnsi="Arial Narrow" w:cs="Gisha"/>
          <w:b w:val="0"/>
          <w:color w:val="auto"/>
          <w:sz w:val="22"/>
          <w:szCs w:val="22"/>
          <w:lang w:val="es-ES"/>
        </w:rPr>
        <w:t>84</w:t>
      </w:r>
      <w:r w:rsidR="0007294E">
        <w:rPr>
          <w:rFonts w:ascii="Arial Narrow" w:hAnsi="Arial Narrow" w:cs="Gisha"/>
          <w:b w:val="0"/>
          <w:color w:val="auto"/>
          <w:sz w:val="22"/>
          <w:szCs w:val="22"/>
          <w:lang w:val="es-ES"/>
        </w:rPr>
        <w:t>3</w:t>
      </w:r>
      <w:r w:rsidR="00357633">
        <w:rPr>
          <w:rFonts w:ascii="Arial Narrow" w:hAnsi="Arial Narrow" w:cs="Gisha"/>
          <w:b w:val="0"/>
          <w:color w:val="auto"/>
          <w:sz w:val="22"/>
          <w:szCs w:val="22"/>
          <w:lang w:val="es-ES"/>
        </w:rPr>
        <w:t>.</w:t>
      </w:r>
      <w:r w:rsidR="00AE3497">
        <w:rPr>
          <w:rFonts w:ascii="Arial Narrow" w:hAnsi="Arial Narrow" w:cs="Gisha"/>
          <w:b w:val="0"/>
          <w:color w:val="auto"/>
          <w:sz w:val="22"/>
          <w:szCs w:val="22"/>
          <w:lang w:val="es-ES"/>
        </w:rPr>
        <w:t>027</w:t>
      </w:r>
      <w:r w:rsidRPr="001243A1">
        <w:rPr>
          <w:rFonts w:ascii="Arial Narrow" w:hAnsi="Arial Narrow" w:cs="Gisha"/>
          <w:b w:val="0"/>
          <w:color w:val="auto"/>
          <w:sz w:val="22"/>
          <w:szCs w:val="22"/>
          <w:lang w:val="es-ES"/>
        </w:rPr>
        <w:t xml:space="preserve"> miles que se debe </w:t>
      </w:r>
      <w:r w:rsidR="00191336" w:rsidRPr="001243A1">
        <w:rPr>
          <w:rFonts w:ascii="Arial Narrow" w:hAnsi="Arial Narrow" w:cs="Gisha"/>
          <w:b w:val="0"/>
          <w:color w:val="auto"/>
          <w:sz w:val="22"/>
          <w:szCs w:val="22"/>
          <w:lang w:val="es-ES"/>
        </w:rPr>
        <w:t xml:space="preserve">principalmente </w:t>
      </w:r>
      <w:r w:rsidRPr="001243A1">
        <w:rPr>
          <w:rFonts w:ascii="Arial Narrow" w:hAnsi="Arial Narrow" w:cs="Gisha"/>
          <w:b w:val="0"/>
          <w:color w:val="auto"/>
          <w:sz w:val="22"/>
          <w:szCs w:val="22"/>
          <w:lang w:val="es-ES"/>
        </w:rPr>
        <w:t>a</w:t>
      </w:r>
      <w:r w:rsidR="001909D9">
        <w:rPr>
          <w:rFonts w:ascii="Arial Narrow" w:hAnsi="Arial Narrow" w:cs="Gisha"/>
          <w:b w:val="0"/>
          <w:color w:val="auto"/>
          <w:sz w:val="22"/>
          <w:szCs w:val="22"/>
          <w:lang w:val="es-ES"/>
        </w:rPr>
        <w:t xml:space="preserve">: (i) </w:t>
      </w:r>
      <w:r w:rsidR="0011163B">
        <w:rPr>
          <w:rFonts w:ascii="Arial Narrow" w:hAnsi="Arial Narrow" w:cs="Gisha"/>
          <w:b w:val="0"/>
          <w:color w:val="auto"/>
          <w:sz w:val="22"/>
          <w:szCs w:val="22"/>
          <w:lang w:val="es-ES"/>
        </w:rPr>
        <w:t xml:space="preserve">un incremento por valor de </w:t>
      </w:r>
      <w:r w:rsidR="0011163B" w:rsidRPr="001243A1">
        <w:rPr>
          <w:rFonts w:ascii="Arial Narrow" w:hAnsi="Arial Narrow" w:cs="Gisha"/>
          <w:b w:val="0"/>
          <w:color w:val="auto"/>
          <w:sz w:val="22"/>
          <w:szCs w:val="22"/>
          <w:lang w:val="es-ES"/>
        </w:rPr>
        <w:t>$</w:t>
      </w:r>
      <w:r w:rsidR="00C11E9C">
        <w:rPr>
          <w:rFonts w:ascii="Arial Narrow" w:hAnsi="Arial Narrow" w:cs="Gisha"/>
          <w:b w:val="0"/>
          <w:color w:val="auto"/>
          <w:sz w:val="22"/>
          <w:szCs w:val="22"/>
          <w:lang w:val="es-ES"/>
        </w:rPr>
        <w:t>1</w:t>
      </w:r>
      <w:r w:rsidR="0007294E">
        <w:rPr>
          <w:rFonts w:ascii="Arial Narrow" w:hAnsi="Arial Narrow" w:cs="Gisha"/>
          <w:b w:val="0"/>
          <w:color w:val="auto"/>
          <w:sz w:val="22"/>
          <w:szCs w:val="22"/>
          <w:lang w:val="es-ES"/>
        </w:rPr>
        <w:t>1</w:t>
      </w:r>
      <w:r w:rsidR="00C11E9C">
        <w:rPr>
          <w:rFonts w:ascii="Arial Narrow" w:hAnsi="Arial Narrow" w:cs="Gisha"/>
          <w:b w:val="0"/>
          <w:color w:val="auto"/>
          <w:sz w:val="22"/>
          <w:szCs w:val="22"/>
          <w:lang w:val="es-ES"/>
        </w:rPr>
        <w:t>.</w:t>
      </w:r>
      <w:r w:rsidR="0007294E">
        <w:rPr>
          <w:rFonts w:ascii="Arial Narrow" w:hAnsi="Arial Narrow" w:cs="Gisha"/>
          <w:b w:val="0"/>
          <w:color w:val="auto"/>
          <w:sz w:val="22"/>
          <w:szCs w:val="22"/>
          <w:lang w:val="es-ES"/>
        </w:rPr>
        <w:t>591</w:t>
      </w:r>
      <w:r w:rsidR="00C11E9C">
        <w:rPr>
          <w:rFonts w:ascii="Arial Narrow" w:hAnsi="Arial Narrow" w:cs="Gisha"/>
          <w:b w:val="0"/>
          <w:color w:val="auto"/>
          <w:sz w:val="22"/>
          <w:szCs w:val="22"/>
          <w:lang w:val="es-ES"/>
        </w:rPr>
        <w:t>.</w:t>
      </w:r>
      <w:r w:rsidR="0007294E">
        <w:rPr>
          <w:rFonts w:ascii="Arial Narrow" w:hAnsi="Arial Narrow" w:cs="Gisha"/>
          <w:b w:val="0"/>
          <w:color w:val="auto"/>
          <w:sz w:val="22"/>
          <w:szCs w:val="22"/>
          <w:lang w:val="es-ES"/>
        </w:rPr>
        <w:t>698</w:t>
      </w:r>
      <w:r w:rsidR="000465FD">
        <w:rPr>
          <w:rFonts w:ascii="Arial Narrow" w:hAnsi="Arial Narrow" w:cs="Gisha"/>
          <w:b w:val="0"/>
          <w:color w:val="auto"/>
          <w:sz w:val="22"/>
          <w:szCs w:val="22"/>
          <w:lang w:val="es-ES"/>
        </w:rPr>
        <w:t xml:space="preserve"> </w:t>
      </w:r>
      <w:r w:rsidR="0011163B" w:rsidRPr="001243A1">
        <w:rPr>
          <w:rFonts w:ascii="Arial Narrow" w:hAnsi="Arial Narrow" w:cs="Gisha"/>
          <w:b w:val="0"/>
          <w:color w:val="auto"/>
          <w:sz w:val="22"/>
          <w:szCs w:val="22"/>
          <w:lang w:val="es-ES"/>
        </w:rPr>
        <w:t xml:space="preserve"> miles</w:t>
      </w:r>
      <w:r w:rsidR="0011163B">
        <w:rPr>
          <w:rFonts w:ascii="Arial Narrow" w:hAnsi="Arial Narrow" w:cs="Gisha"/>
          <w:b w:val="0"/>
          <w:color w:val="auto"/>
          <w:sz w:val="22"/>
          <w:szCs w:val="22"/>
          <w:lang w:val="es-ES"/>
        </w:rPr>
        <w:t xml:space="preserve"> en la subcuenta </w:t>
      </w:r>
      <w:r w:rsidR="000A580D" w:rsidRPr="000A580D">
        <w:rPr>
          <w:rFonts w:ascii="Arial Narrow" w:hAnsi="Arial Narrow" w:cs="Gisha"/>
          <w:b w:val="0"/>
          <w:color w:val="auto"/>
          <w:sz w:val="22"/>
          <w:szCs w:val="22"/>
          <w:lang w:val="es-ES"/>
        </w:rPr>
        <w:t xml:space="preserve">Garantías contractuales </w:t>
      </w:r>
      <w:r w:rsidR="002B5600">
        <w:rPr>
          <w:rFonts w:ascii="Arial Narrow" w:hAnsi="Arial Narrow" w:cs="Gisha"/>
          <w:b w:val="0"/>
          <w:color w:val="auto"/>
          <w:sz w:val="22"/>
          <w:szCs w:val="22"/>
          <w:lang w:val="es-ES"/>
        </w:rPr>
        <w:t>–</w:t>
      </w:r>
      <w:r w:rsidR="000A580D" w:rsidRPr="000A580D">
        <w:rPr>
          <w:rFonts w:ascii="Arial Narrow" w:hAnsi="Arial Narrow" w:cs="Gisha"/>
          <w:b w:val="0"/>
          <w:color w:val="auto"/>
          <w:sz w:val="22"/>
          <w:szCs w:val="22"/>
          <w:lang w:val="es-ES"/>
        </w:rPr>
        <w:t xml:space="preserve"> concesiones</w:t>
      </w:r>
      <w:r w:rsidR="002B5600">
        <w:rPr>
          <w:rFonts w:ascii="Arial Narrow" w:hAnsi="Arial Narrow" w:cs="Gisha"/>
          <w:b w:val="0"/>
          <w:color w:val="auto"/>
          <w:sz w:val="22"/>
          <w:szCs w:val="22"/>
          <w:lang w:val="es-ES"/>
        </w:rPr>
        <w:t xml:space="preserve"> </w:t>
      </w:r>
      <w:r w:rsidR="0011163B" w:rsidRPr="001243A1">
        <w:rPr>
          <w:rFonts w:ascii="Arial Narrow" w:hAnsi="Arial Narrow" w:cs="Gisha"/>
          <w:b w:val="0"/>
          <w:color w:val="auto"/>
          <w:sz w:val="22"/>
          <w:szCs w:val="22"/>
          <w:lang w:val="es-ES"/>
        </w:rPr>
        <w:t>por diferenciales tarifarios</w:t>
      </w:r>
      <w:r w:rsidR="002B5600">
        <w:rPr>
          <w:rFonts w:ascii="Arial Narrow" w:hAnsi="Arial Narrow" w:cs="Gisha"/>
          <w:b w:val="0"/>
          <w:color w:val="auto"/>
          <w:sz w:val="22"/>
          <w:szCs w:val="22"/>
          <w:lang w:val="es-ES"/>
        </w:rPr>
        <w:t>,</w:t>
      </w:r>
      <w:r w:rsidR="002B5600" w:rsidRPr="002B5600">
        <w:rPr>
          <w:rFonts w:ascii="Arial Narrow" w:hAnsi="Arial Narrow" w:cs="Gisha"/>
          <w:b w:val="0"/>
          <w:color w:val="auto"/>
          <w:sz w:val="22"/>
          <w:szCs w:val="22"/>
          <w:lang w:val="es-ES"/>
        </w:rPr>
        <w:t xml:space="preserve"> </w:t>
      </w:r>
      <w:r w:rsidR="002B5600" w:rsidRPr="001243A1">
        <w:rPr>
          <w:rFonts w:ascii="Arial Narrow" w:hAnsi="Arial Narrow" w:cs="Gisha"/>
          <w:b w:val="0"/>
          <w:color w:val="auto"/>
          <w:sz w:val="22"/>
          <w:szCs w:val="22"/>
          <w:lang w:val="es-ES"/>
        </w:rPr>
        <w:t>informadas por el Grupo Interno de Trabajo de Riesgos</w:t>
      </w:r>
      <w:r w:rsidR="002B5600">
        <w:rPr>
          <w:rFonts w:ascii="Arial Narrow" w:hAnsi="Arial Narrow" w:cs="Gisha"/>
          <w:b w:val="0"/>
          <w:color w:val="auto"/>
          <w:sz w:val="22"/>
          <w:szCs w:val="22"/>
          <w:lang w:val="es-ES"/>
        </w:rPr>
        <w:t xml:space="preserve"> </w:t>
      </w:r>
      <w:r w:rsidR="0011163B">
        <w:rPr>
          <w:rFonts w:ascii="Arial Narrow" w:hAnsi="Arial Narrow" w:cs="Gisha"/>
          <w:b w:val="0"/>
          <w:color w:val="auto"/>
          <w:sz w:val="22"/>
          <w:szCs w:val="22"/>
          <w:lang w:val="es-ES"/>
        </w:rPr>
        <w:t xml:space="preserve">correspondiente a la materialización de riesgos por estos conceptos y por las actualizaciones a las deudas </w:t>
      </w:r>
      <w:r w:rsidR="0011163B" w:rsidRPr="00E05DEA">
        <w:rPr>
          <w:rFonts w:ascii="Arial Narrow" w:hAnsi="Arial Narrow" w:cs="Gisha"/>
          <w:b w:val="0"/>
          <w:color w:val="auto"/>
          <w:sz w:val="22"/>
          <w:szCs w:val="22"/>
          <w:lang w:val="es-ES"/>
        </w:rPr>
        <w:t>informada</w:t>
      </w:r>
      <w:r w:rsidR="0011163B">
        <w:rPr>
          <w:rFonts w:ascii="Arial Narrow" w:hAnsi="Arial Narrow" w:cs="Gisha"/>
          <w:b w:val="0"/>
          <w:color w:val="auto"/>
          <w:sz w:val="22"/>
          <w:szCs w:val="22"/>
          <w:lang w:val="es-ES"/>
        </w:rPr>
        <w:t>s</w:t>
      </w:r>
      <w:r w:rsidR="0011163B" w:rsidRPr="00E05DEA">
        <w:rPr>
          <w:rFonts w:ascii="Arial Narrow" w:hAnsi="Arial Narrow" w:cs="Gisha"/>
          <w:b w:val="0"/>
          <w:color w:val="auto"/>
          <w:sz w:val="22"/>
          <w:szCs w:val="22"/>
          <w:lang w:val="es-ES"/>
        </w:rPr>
        <w:t xml:space="preserve"> por la </w:t>
      </w:r>
      <w:r w:rsidR="0011163B" w:rsidRPr="00E05DEA">
        <w:rPr>
          <w:rFonts w:ascii="Arial Narrow" w:hAnsi="Arial Narrow" w:cs="Gisha"/>
          <w:b w:val="0"/>
          <w:color w:val="auto"/>
          <w:sz w:val="22"/>
          <w:szCs w:val="22"/>
          <w:lang w:val="es-ES"/>
        </w:rPr>
        <w:lastRenderedPageBreak/>
        <w:t>Vicepresidencia Ejecutiva</w:t>
      </w:r>
      <w:r w:rsidR="002B5600">
        <w:rPr>
          <w:rFonts w:ascii="Arial Narrow" w:hAnsi="Arial Narrow" w:cs="Gisha"/>
          <w:b w:val="0"/>
          <w:color w:val="auto"/>
          <w:sz w:val="22"/>
          <w:szCs w:val="22"/>
          <w:lang w:val="es-ES"/>
        </w:rPr>
        <w:t xml:space="preserve"> de los proyectos carreteros y (</w:t>
      </w:r>
      <w:proofErr w:type="spellStart"/>
      <w:r w:rsidR="002B5600">
        <w:rPr>
          <w:rFonts w:ascii="Arial Narrow" w:hAnsi="Arial Narrow" w:cs="Gisha"/>
          <w:b w:val="0"/>
          <w:color w:val="auto"/>
          <w:sz w:val="22"/>
          <w:szCs w:val="22"/>
          <w:lang w:val="es-ES"/>
        </w:rPr>
        <w:t>ii</w:t>
      </w:r>
      <w:proofErr w:type="spellEnd"/>
      <w:r w:rsidR="002B5600">
        <w:rPr>
          <w:rFonts w:ascii="Arial Narrow" w:hAnsi="Arial Narrow" w:cs="Gisha"/>
          <w:b w:val="0"/>
          <w:color w:val="auto"/>
          <w:sz w:val="22"/>
          <w:szCs w:val="22"/>
          <w:lang w:val="es-ES"/>
        </w:rPr>
        <w:t>) u</w:t>
      </w:r>
      <w:r w:rsidR="003136BE">
        <w:rPr>
          <w:rFonts w:ascii="Arial Narrow" w:hAnsi="Arial Narrow" w:cs="Gisha"/>
          <w:b w:val="0"/>
          <w:color w:val="auto"/>
          <w:sz w:val="22"/>
          <w:szCs w:val="22"/>
          <w:lang w:val="es-ES"/>
        </w:rPr>
        <w:t xml:space="preserve">n incremento en la subcuenta de </w:t>
      </w:r>
      <w:r w:rsidR="001909D9" w:rsidRPr="001909D9">
        <w:rPr>
          <w:rFonts w:ascii="Arial Narrow" w:hAnsi="Arial Narrow" w:cs="Gisha"/>
          <w:b w:val="0"/>
          <w:color w:val="auto"/>
          <w:sz w:val="22"/>
          <w:szCs w:val="22"/>
          <w:lang w:val="es-ES"/>
        </w:rPr>
        <w:t>Intereses sobre créditos judiciales</w:t>
      </w:r>
      <w:r w:rsidR="001909D9">
        <w:rPr>
          <w:rFonts w:ascii="Arial Narrow" w:hAnsi="Arial Narrow" w:cs="Gisha"/>
          <w:b w:val="0"/>
          <w:color w:val="auto"/>
          <w:sz w:val="22"/>
          <w:szCs w:val="22"/>
          <w:lang w:val="es-ES"/>
        </w:rPr>
        <w:t xml:space="preserve"> por valor de $</w:t>
      </w:r>
      <w:r w:rsidR="001909D9" w:rsidRPr="001909D9">
        <w:rPr>
          <w:rFonts w:ascii="Arial Narrow" w:hAnsi="Arial Narrow" w:cs="Gisha"/>
          <w:b w:val="0"/>
          <w:color w:val="auto"/>
          <w:sz w:val="22"/>
          <w:szCs w:val="22"/>
          <w:lang w:val="es-ES"/>
        </w:rPr>
        <w:t xml:space="preserve"> </w:t>
      </w:r>
      <w:r w:rsidR="00C11E9C" w:rsidRPr="00C11E9C">
        <w:rPr>
          <w:rFonts w:ascii="Arial Narrow" w:hAnsi="Arial Narrow" w:cs="Gisha"/>
          <w:b w:val="0"/>
          <w:color w:val="auto"/>
          <w:sz w:val="22"/>
          <w:szCs w:val="22"/>
          <w:lang w:val="es-ES"/>
        </w:rPr>
        <w:t>10.66</w:t>
      </w:r>
      <w:r w:rsidR="0007294E">
        <w:rPr>
          <w:rFonts w:ascii="Arial Narrow" w:hAnsi="Arial Narrow" w:cs="Gisha"/>
          <w:b w:val="0"/>
          <w:color w:val="auto"/>
          <w:sz w:val="22"/>
          <w:szCs w:val="22"/>
          <w:lang w:val="es-ES"/>
        </w:rPr>
        <w:t>9</w:t>
      </w:r>
      <w:r w:rsidR="00C11E9C" w:rsidRPr="00C11E9C">
        <w:rPr>
          <w:rFonts w:ascii="Arial Narrow" w:hAnsi="Arial Narrow" w:cs="Gisha"/>
          <w:b w:val="0"/>
          <w:color w:val="auto"/>
          <w:sz w:val="22"/>
          <w:szCs w:val="22"/>
          <w:lang w:val="es-ES"/>
        </w:rPr>
        <w:t>.</w:t>
      </w:r>
      <w:r w:rsidR="0007294E">
        <w:rPr>
          <w:rFonts w:ascii="Arial Narrow" w:hAnsi="Arial Narrow" w:cs="Gisha"/>
          <w:b w:val="0"/>
          <w:color w:val="auto"/>
          <w:sz w:val="22"/>
          <w:szCs w:val="22"/>
          <w:lang w:val="es-ES"/>
        </w:rPr>
        <w:t>176</w:t>
      </w:r>
      <w:r w:rsidR="001909D9" w:rsidRPr="00C11E9C">
        <w:rPr>
          <w:rFonts w:ascii="Arial Narrow" w:hAnsi="Arial Narrow" w:cs="Gisha"/>
          <w:b w:val="0"/>
          <w:color w:val="auto"/>
          <w:sz w:val="22"/>
          <w:szCs w:val="22"/>
          <w:lang w:val="es-ES"/>
        </w:rPr>
        <w:t xml:space="preserve"> </w:t>
      </w:r>
      <w:r w:rsidR="001909D9">
        <w:rPr>
          <w:rFonts w:ascii="Arial Narrow" w:hAnsi="Arial Narrow" w:cs="Gisha"/>
          <w:b w:val="0"/>
          <w:color w:val="auto"/>
          <w:sz w:val="22"/>
          <w:szCs w:val="22"/>
          <w:lang w:val="es-ES"/>
        </w:rPr>
        <w:t>miles</w:t>
      </w:r>
      <w:r w:rsidR="00A61849">
        <w:rPr>
          <w:rFonts w:ascii="Arial Narrow" w:hAnsi="Arial Narrow" w:cs="Gisha"/>
          <w:b w:val="0"/>
          <w:color w:val="auto"/>
          <w:sz w:val="22"/>
          <w:szCs w:val="22"/>
          <w:lang w:val="es-ES"/>
        </w:rPr>
        <w:t xml:space="preserve"> </w:t>
      </w:r>
      <w:r w:rsidR="002B5600">
        <w:rPr>
          <w:rFonts w:ascii="Arial Narrow" w:hAnsi="Arial Narrow" w:cs="Gisha"/>
          <w:b w:val="0"/>
          <w:color w:val="auto"/>
          <w:sz w:val="22"/>
          <w:szCs w:val="22"/>
          <w:lang w:val="es-ES"/>
        </w:rPr>
        <w:t xml:space="preserve"> por </w:t>
      </w:r>
      <w:r w:rsidR="002B5600" w:rsidRPr="002B5600">
        <w:rPr>
          <w:rFonts w:ascii="Arial Narrow" w:hAnsi="Arial Narrow" w:cs="Gisha"/>
          <w:b w:val="0"/>
          <w:color w:val="auto"/>
          <w:sz w:val="22"/>
          <w:szCs w:val="22"/>
          <w:lang w:val="es-ES"/>
        </w:rPr>
        <w:t>intereses generados dentro de</w:t>
      </w:r>
      <w:r w:rsidR="002B5600">
        <w:rPr>
          <w:rFonts w:ascii="Arial Narrow" w:hAnsi="Arial Narrow" w:cs="Gisha"/>
          <w:b w:val="0"/>
          <w:color w:val="auto"/>
          <w:sz w:val="22"/>
          <w:szCs w:val="22"/>
          <w:lang w:val="es-ES"/>
        </w:rPr>
        <w:t xml:space="preserve"> los </w:t>
      </w:r>
      <w:r w:rsidR="002B5600" w:rsidRPr="002B5600">
        <w:rPr>
          <w:rFonts w:ascii="Arial Narrow" w:hAnsi="Arial Narrow" w:cs="Gisha"/>
          <w:b w:val="0"/>
          <w:color w:val="auto"/>
          <w:sz w:val="22"/>
          <w:szCs w:val="22"/>
          <w:lang w:val="es-ES"/>
        </w:rPr>
        <w:t>proceso</w:t>
      </w:r>
      <w:r w:rsidR="002B5600">
        <w:rPr>
          <w:rFonts w:ascii="Arial Narrow" w:hAnsi="Arial Narrow" w:cs="Gisha"/>
          <w:b w:val="0"/>
          <w:color w:val="auto"/>
          <w:sz w:val="22"/>
          <w:szCs w:val="22"/>
          <w:lang w:val="es-ES"/>
        </w:rPr>
        <w:t xml:space="preserve"> judiciales que lleva la Agencia</w:t>
      </w:r>
      <w:r w:rsidR="003F6B43">
        <w:rPr>
          <w:rFonts w:ascii="Arial Narrow" w:hAnsi="Arial Narrow" w:cs="Gisha"/>
          <w:b w:val="0"/>
          <w:color w:val="auto"/>
          <w:sz w:val="22"/>
          <w:szCs w:val="22"/>
          <w:lang w:val="es-ES"/>
        </w:rPr>
        <w:t>.</w:t>
      </w:r>
    </w:p>
    <w:p w14:paraId="7DD7F5CA" w14:textId="77777777" w:rsidR="00924158" w:rsidRDefault="00924158" w:rsidP="00D46ECC">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color w:val="auto"/>
          <w:sz w:val="22"/>
          <w:szCs w:val="22"/>
          <w:lang w:val="es-ES"/>
        </w:rPr>
      </w:pPr>
    </w:p>
    <w:p w14:paraId="60FD5498" w14:textId="77777777" w:rsidR="00721A22" w:rsidRDefault="00721A22" w:rsidP="00D46ECC">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color w:val="auto"/>
          <w:sz w:val="22"/>
          <w:szCs w:val="22"/>
          <w:lang w:val="es-ES"/>
        </w:rPr>
      </w:pPr>
    </w:p>
    <w:p w14:paraId="71A34221" w14:textId="2C54D32F" w:rsidR="00B26B17" w:rsidRDefault="00B26B17" w:rsidP="002642A1">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Arial Narrow" w:hAnsi="Arial Narrow" w:cs="Gisha"/>
          <w:color w:val="auto"/>
          <w:sz w:val="22"/>
          <w:szCs w:val="22"/>
          <w:lang w:val="es-ES"/>
        </w:rPr>
      </w:pPr>
      <w:r w:rsidRPr="006807EE">
        <w:rPr>
          <w:rFonts w:ascii="Arial Narrow" w:hAnsi="Arial Narrow" w:cs="Gisha"/>
          <w:sz w:val="22"/>
          <w:szCs w:val="22"/>
        </w:rPr>
        <w:t xml:space="preserve">SITUACIONES PARTICULARES EN EL MES DE </w:t>
      </w:r>
      <w:r w:rsidR="00AE3497">
        <w:rPr>
          <w:rFonts w:ascii="Arial Narrow" w:hAnsi="Arial Narrow" w:cs="Gisha"/>
          <w:sz w:val="22"/>
          <w:szCs w:val="22"/>
        </w:rPr>
        <w:t>OCTU</w:t>
      </w:r>
      <w:r w:rsidR="00FB5BE4">
        <w:rPr>
          <w:rFonts w:ascii="Arial Narrow" w:hAnsi="Arial Narrow" w:cs="Gisha"/>
          <w:sz w:val="22"/>
          <w:szCs w:val="22"/>
        </w:rPr>
        <w:t>BRE</w:t>
      </w:r>
      <w:r w:rsidRPr="006807EE">
        <w:rPr>
          <w:rFonts w:ascii="Arial Narrow" w:hAnsi="Arial Narrow" w:cs="Gisha"/>
          <w:sz w:val="22"/>
          <w:szCs w:val="22"/>
        </w:rPr>
        <w:t xml:space="preserve"> DE 2019</w:t>
      </w:r>
      <w:r w:rsidR="002642A1">
        <w:rPr>
          <w:rFonts w:ascii="Arial Narrow" w:hAnsi="Arial Narrow" w:cs="Gisha"/>
          <w:sz w:val="22"/>
          <w:szCs w:val="22"/>
        </w:rPr>
        <w:t xml:space="preserve"> DE LOS GASTOS</w:t>
      </w:r>
    </w:p>
    <w:p w14:paraId="425CFB4F" w14:textId="77777777" w:rsidR="00212790" w:rsidRPr="003023DE" w:rsidRDefault="00212790" w:rsidP="00212790">
      <w:pPr>
        <w:pStyle w:val="Prrafodelista"/>
        <w:jc w:val="both"/>
        <w:rPr>
          <w:rFonts w:ascii="Arial Narrow" w:hAnsi="Arial Narrow"/>
          <w:sz w:val="22"/>
          <w:szCs w:val="22"/>
          <w:lang w:eastAsia="es-CO"/>
        </w:rPr>
      </w:pPr>
    </w:p>
    <w:p w14:paraId="3FE93FDC" w14:textId="6F010527" w:rsidR="003023DE" w:rsidRPr="009D41F0" w:rsidRDefault="00872874" w:rsidP="003023DE">
      <w:pPr>
        <w:pStyle w:val="Prrafodelista"/>
        <w:numPr>
          <w:ilvl w:val="0"/>
          <w:numId w:val="10"/>
        </w:numPr>
        <w:jc w:val="both"/>
        <w:rPr>
          <w:rFonts w:ascii="Arial Narrow" w:hAnsi="Arial Narrow"/>
          <w:sz w:val="22"/>
          <w:szCs w:val="22"/>
          <w:lang w:eastAsia="es-CO"/>
        </w:rPr>
      </w:pPr>
      <w:r w:rsidRPr="009D41F0">
        <w:rPr>
          <w:rFonts w:ascii="Arial Narrow" w:hAnsi="Arial Narrow"/>
          <w:sz w:val="22"/>
          <w:szCs w:val="22"/>
          <w:lang w:eastAsia="es-CO"/>
        </w:rPr>
        <w:t>En e</w:t>
      </w:r>
      <w:r w:rsidR="00346D79" w:rsidRPr="009D41F0">
        <w:rPr>
          <w:rFonts w:ascii="Arial Narrow" w:hAnsi="Arial Narrow"/>
          <w:sz w:val="22"/>
          <w:szCs w:val="22"/>
          <w:lang w:eastAsia="es-CO"/>
        </w:rPr>
        <w:t xml:space="preserve">l grupo Transferencias y subvenciones, subcuenta </w:t>
      </w:r>
      <w:r w:rsidR="00F33C03" w:rsidRPr="009D41F0">
        <w:rPr>
          <w:rFonts w:ascii="Arial Narrow" w:hAnsi="Arial Narrow"/>
          <w:sz w:val="22"/>
          <w:szCs w:val="22"/>
          <w:lang w:eastAsia="es-CO"/>
        </w:rPr>
        <w:t>Bienes entregados sin contraprestación se registró un valor de $7.60</w:t>
      </w:r>
      <w:r w:rsidR="004A3AE5">
        <w:rPr>
          <w:rFonts w:ascii="Arial Narrow" w:hAnsi="Arial Narrow"/>
          <w:sz w:val="22"/>
          <w:szCs w:val="22"/>
          <w:lang w:eastAsia="es-CO"/>
        </w:rPr>
        <w:t>2</w:t>
      </w:r>
      <w:r w:rsidR="00F33C03" w:rsidRPr="009D41F0">
        <w:rPr>
          <w:rFonts w:ascii="Arial Narrow" w:hAnsi="Arial Narrow"/>
          <w:sz w:val="22"/>
          <w:szCs w:val="22"/>
          <w:lang w:eastAsia="es-CO"/>
        </w:rPr>
        <w:t xml:space="preserve"> miles </w:t>
      </w:r>
      <w:r w:rsidR="003023DE" w:rsidRPr="009D41F0">
        <w:rPr>
          <w:rFonts w:ascii="Arial Narrow" w:hAnsi="Arial Narrow"/>
          <w:sz w:val="22"/>
          <w:szCs w:val="22"/>
          <w:lang w:eastAsia="es-CO"/>
        </w:rPr>
        <w:t>por el</w:t>
      </w:r>
      <w:r w:rsidR="00F33C03" w:rsidRPr="009D41F0">
        <w:rPr>
          <w:rFonts w:ascii="Arial Narrow" w:hAnsi="Arial Narrow"/>
          <w:sz w:val="22"/>
          <w:szCs w:val="22"/>
          <w:lang w:eastAsia="es-CO"/>
        </w:rPr>
        <w:t xml:space="preserve"> recurso transferido sin contraprestación</w:t>
      </w:r>
      <w:r w:rsidR="003023DE" w:rsidRPr="009D41F0">
        <w:rPr>
          <w:rFonts w:ascii="Arial Narrow" w:hAnsi="Arial Narrow"/>
          <w:sz w:val="22"/>
          <w:szCs w:val="22"/>
          <w:lang w:eastAsia="es-CO"/>
        </w:rPr>
        <w:t xml:space="preserve"> al</w:t>
      </w:r>
      <w:r w:rsidR="00F33C03" w:rsidRPr="009D41F0">
        <w:rPr>
          <w:rFonts w:ascii="Arial Narrow" w:hAnsi="Arial Narrow"/>
          <w:sz w:val="22"/>
          <w:szCs w:val="22"/>
          <w:lang w:eastAsia="es-CO"/>
        </w:rPr>
        <w:t xml:space="preserve"> </w:t>
      </w:r>
      <w:r w:rsidR="003023DE" w:rsidRPr="009D41F0">
        <w:rPr>
          <w:rFonts w:ascii="Arial Narrow" w:hAnsi="Arial Narrow"/>
          <w:sz w:val="22"/>
          <w:szCs w:val="22"/>
          <w:lang w:eastAsia="es-CO"/>
        </w:rPr>
        <w:t xml:space="preserve">Ministerio de Transporte </w:t>
      </w:r>
      <w:r w:rsidR="00BD3CD8">
        <w:rPr>
          <w:rFonts w:ascii="Arial Narrow" w:hAnsi="Arial Narrow"/>
          <w:sz w:val="22"/>
          <w:szCs w:val="22"/>
          <w:lang w:eastAsia="es-CO"/>
        </w:rPr>
        <w:t>consistente en</w:t>
      </w:r>
      <w:r w:rsidR="003023DE" w:rsidRPr="009D41F0">
        <w:rPr>
          <w:rFonts w:ascii="Arial Narrow" w:hAnsi="Arial Narrow"/>
          <w:sz w:val="22"/>
          <w:szCs w:val="22"/>
          <w:lang w:eastAsia="es-CO"/>
        </w:rPr>
        <w:t xml:space="preserve"> una camioneta Toyota Prado 3.0 Diesel blindada</w:t>
      </w:r>
      <w:r w:rsidR="001B5A72">
        <w:rPr>
          <w:rFonts w:ascii="Arial Narrow" w:hAnsi="Arial Narrow"/>
          <w:sz w:val="22"/>
          <w:szCs w:val="22"/>
          <w:lang w:eastAsia="es-CO"/>
        </w:rPr>
        <w:t>,</w:t>
      </w:r>
      <w:r w:rsidR="003023DE" w:rsidRPr="009D41F0">
        <w:rPr>
          <w:rFonts w:ascii="Arial Narrow" w:hAnsi="Arial Narrow"/>
          <w:sz w:val="22"/>
          <w:szCs w:val="22"/>
          <w:lang w:eastAsia="es-CO"/>
        </w:rPr>
        <w:t xml:space="preserve"> </w:t>
      </w:r>
      <w:r w:rsidR="00225654">
        <w:rPr>
          <w:rFonts w:ascii="Arial Narrow" w:hAnsi="Arial Narrow"/>
          <w:sz w:val="22"/>
          <w:szCs w:val="22"/>
          <w:lang w:eastAsia="es-CO"/>
        </w:rPr>
        <w:t>conforme a</w:t>
      </w:r>
      <w:r w:rsidR="003023DE" w:rsidRPr="009D41F0">
        <w:rPr>
          <w:rFonts w:ascii="Arial Narrow" w:hAnsi="Arial Narrow"/>
          <w:sz w:val="22"/>
          <w:szCs w:val="22"/>
          <w:lang w:eastAsia="es-CO"/>
        </w:rPr>
        <w:t>l contrato Interadministrativo de Comodato CI-017-2019</w:t>
      </w:r>
      <w:r w:rsidR="001B5A72">
        <w:rPr>
          <w:rFonts w:ascii="Arial Narrow" w:hAnsi="Arial Narrow"/>
          <w:sz w:val="22"/>
          <w:szCs w:val="22"/>
          <w:lang w:eastAsia="es-CO"/>
        </w:rPr>
        <w:t xml:space="preserve"> </w:t>
      </w:r>
      <w:r w:rsidR="003023DE" w:rsidRPr="009D41F0">
        <w:rPr>
          <w:rFonts w:ascii="Arial Narrow" w:hAnsi="Arial Narrow"/>
          <w:sz w:val="22"/>
          <w:szCs w:val="22"/>
          <w:lang w:eastAsia="es-CO"/>
        </w:rPr>
        <w:t>celebrado entre la Agencia Nacional de Infraestructura y el Ministerio.  Este vehículo se entregó en préstamo y uso por un periodo de tres años mediante Acta de Entrega Vehículos en Comodato con fecha</w:t>
      </w:r>
      <w:r w:rsidR="001B5A72">
        <w:rPr>
          <w:rFonts w:ascii="Arial Narrow" w:hAnsi="Arial Narrow"/>
          <w:sz w:val="22"/>
          <w:szCs w:val="22"/>
          <w:lang w:eastAsia="es-CO"/>
        </w:rPr>
        <w:t xml:space="preserve"> del </w:t>
      </w:r>
      <w:r w:rsidR="003023DE" w:rsidRPr="009D41F0">
        <w:rPr>
          <w:rFonts w:ascii="Arial Narrow" w:hAnsi="Arial Narrow"/>
          <w:sz w:val="22"/>
          <w:szCs w:val="22"/>
          <w:lang w:eastAsia="es-CO"/>
        </w:rPr>
        <w:t>4 de octubre de 2019, genera una operación recíproca con el Ministerio de Transporte y se controla en cuentas de orden deudoras de control.</w:t>
      </w:r>
    </w:p>
    <w:p w14:paraId="78E5BED4" w14:textId="77777777" w:rsidR="00F33C03" w:rsidRPr="00F33C03" w:rsidRDefault="00F33C03" w:rsidP="00F33C03">
      <w:pPr>
        <w:pStyle w:val="Prrafodelista"/>
        <w:rPr>
          <w:rFonts w:ascii="Arial Narrow" w:hAnsi="Arial Narrow"/>
          <w:sz w:val="22"/>
          <w:szCs w:val="22"/>
          <w:lang w:eastAsia="es-CO"/>
        </w:rPr>
      </w:pPr>
    </w:p>
    <w:p w14:paraId="260E19C2" w14:textId="1B174C01" w:rsidR="00A43126" w:rsidRDefault="00DC0696" w:rsidP="00DF7642">
      <w:pPr>
        <w:pStyle w:val="Prrafodelista"/>
        <w:numPr>
          <w:ilvl w:val="0"/>
          <w:numId w:val="10"/>
        </w:numPr>
        <w:ind w:left="709"/>
        <w:jc w:val="both"/>
        <w:rPr>
          <w:rFonts w:ascii="Arial Narrow" w:hAnsi="Arial Narrow"/>
          <w:sz w:val="22"/>
          <w:szCs w:val="22"/>
          <w:lang w:eastAsia="es-CO"/>
        </w:rPr>
      </w:pPr>
      <w:r w:rsidRPr="00DC0696">
        <w:rPr>
          <w:rFonts w:ascii="Arial Narrow" w:hAnsi="Arial Narrow"/>
          <w:sz w:val="22"/>
          <w:szCs w:val="22"/>
          <w:lang w:eastAsia="es-CO"/>
        </w:rPr>
        <w:t xml:space="preserve">En el mes de octubre </w:t>
      </w:r>
      <w:r w:rsidR="00C03315" w:rsidRPr="00DC0696">
        <w:rPr>
          <w:rFonts w:ascii="Arial Narrow" w:hAnsi="Arial Narrow"/>
          <w:sz w:val="22"/>
          <w:szCs w:val="22"/>
          <w:lang w:eastAsia="es-CO"/>
        </w:rPr>
        <w:t>de 2019, e</w:t>
      </w:r>
      <w:r w:rsidR="00F523BB" w:rsidRPr="00DC0696">
        <w:rPr>
          <w:rFonts w:ascii="Arial Narrow" w:hAnsi="Arial Narrow"/>
          <w:sz w:val="22"/>
          <w:szCs w:val="22"/>
          <w:lang w:eastAsia="es-CO"/>
        </w:rPr>
        <w:t>n el grupo Otros gastos</w:t>
      </w:r>
      <w:r w:rsidR="00794C2F" w:rsidRPr="00DC0696">
        <w:rPr>
          <w:rFonts w:ascii="Arial Narrow" w:hAnsi="Arial Narrow"/>
          <w:sz w:val="22"/>
          <w:szCs w:val="22"/>
          <w:lang w:eastAsia="es-CO"/>
        </w:rPr>
        <w:t xml:space="preserve">, subcuenta </w:t>
      </w:r>
      <w:r w:rsidR="00DF7642" w:rsidRPr="00DF7642">
        <w:rPr>
          <w:rFonts w:ascii="Arial Narrow" w:hAnsi="Arial Narrow"/>
          <w:sz w:val="22"/>
          <w:szCs w:val="22"/>
          <w:lang w:eastAsia="es-CO"/>
        </w:rPr>
        <w:t>Pérdida por baja en cuentas de activos no financieros</w:t>
      </w:r>
      <w:r w:rsidR="00794C2F" w:rsidRPr="00DC0696">
        <w:rPr>
          <w:rFonts w:ascii="Arial Narrow" w:hAnsi="Arial Narrow"/>
          <w:sz w:val="22"/>
          <w:szCs w:val="22"/>
          <w:lang w:eastAsia="es-CO"/>
        </w:rPr>
        <w:t>,</w:t>
      </w:r>
      <w:r w:rsidR="0097415C" w:rsidRPr="00DC0696">
        <w:rPr>
          <w:rFonts w:ascii="Arial Narrow" w:hAnsi="Arial Narrow"/>
          <w:sz w:val="22"/>
          <w:szCs w:val="22"/>
          <w:lang w:eastAsia="es-CO"/>
        </w:rPr>
        <w:t xml:space="preserve"> </w:t>
      </w:r>
      <w:r w:rsidR="00C03315" w:rsidRPr="00DC0696">
        <w:rPr>
          <w:rFonts w:ascii="Arial Narrow" w:hAnsi="Arial Narrow"/>
          <w:sz w:val="22"/>
          <w:szCs w:val="22"/>
          <w:lang w:eastAsia="es-CO"/>
        </w:rPr>
        <w:t>se registró un valor de $</w:t>
      </w:r>
      <w:r w:rsidR="00DF7642">
        <w:rPr>
          <w:rFonts w:ascii="Arial Narrow" w:hAnsi="Arial Narrow"/>
          <w:sz w:val="22"/>
          <w:szCs w:val="22"/>
          <w:lang w:eastAsia="es-CO"/>
        </w:rPr>
        <w:t>19.67</w:t>
      </w:r>
      <w:r w:rsidR="006E5318">
        <w:rPr>
          <w:rFonts w:ascii="Arial Narrow" w:hAnsi="Arial Narrow"/>
          <w:sz w:val="22"/>
          <w:szCs w:val="22"/>
          <w:lang w:eastAsia="es-CO"/>
        </w:rPr>
        <w:t>3</w:t>
      </w:r>
      <w:r w:rsidR="00FB5BE4" w:rsidRPr="00DC0696">
        <w:rPr>
          <w:rFonts w:ascii="Arial Narrow" w:hAnsi="Arial Narrow"/>
          <w:sz w:val="22"/>
          <w:szCs w:val="22"/>
          <w:lang w:eastAsia="es-CO"/>
        </w:rPr>
        <w:t xml:space="preserve"> </w:t>
      </w:r>
      <w:r w:rsidR="00C03315" w:rsidRPr="00DC0696">
        <w:rPr>
          <w:rFonts w:ascii="Arial Narrow" w:hAnsi="Arial Narrow"/>
          <w:sz w:val="22"/>
          <w:szCs w:val="22"/>
          <w:lang w:eastAsia="es-CO"/>
        </w:rPr>
        <w:t xml:space="preserve">miles </w:t>
      </w:r>
      <w:r w:rsidR="00E962A2" w:rsidRPr="00DC0696">
        <w:rPr>
          <w:rFonts w:ascii="Arial Narrow" w:hAnsi="Arial Narrow"/>
          <w:sz w:val="22"/>
          <w:szCs w:val="22"/>
          <w:lang w:eastAsia="es-CO"/>
        </w:rPr>
        <w:t xml:space="preserve">por </w:t>
      </w:r>
      <w:r w:rsidR="00A43126" w:rsidRPr="00A43126">
        <w:rPr>
          <w:rFonts w:ascii="Arial Narrow" w:hAnsi="Arial Narrow"/>
          <w:sz w:val="22"/>
          <w:szCs w:val="22"/>
          <w:lang w:eastAsia="es-CO"/>
        </w:rPr>
        <w:t xml:space="preserve">baja inservibles realizada el 31 de octubre de 20169 comprobante de salida </w:t>
      </w:r>
      <w:r w:rsidR="00A43126">
        <w:rPr>
          <w:rFonts w:ascii="Arial Narrow" w:hAnsi="Arial Narrow"/>
          <w:sz w:val="22"/>
          <w:szCs w:val="22"/>
          <w:lang w:eastAsia="es-CO"/>
        </w:rPr>
        <w:t>N</w:t>
      </w:r>
      <w:r w:rsidR="00E622FD">
        <w:rPr>
          <w:rFonts w:ascii="Arial Narrow" w:hAnsi="Arial Narrow"/>
          <w:sz w:val="22"/>
          <w:szCs w:val="22"/>
          <w:lang w:eastAsia="es-CO"/>
        </w:rPr>
        <w:t>o.</w:t>
      </w:r>
      <w:r w:rsidR="00A43126" w:rsidRPr="00A43126">
        <w:rPr>
          <w:rFonts w:ascii="Arial Narrow" w:hAnsi="Arial Narrow"/>
          <w:sz w:val="22"/>
          <w:szCs w:val="22"/>
          <w:lang w:eastAsia="es-CO"/>
        </w:rPr>
        <w:t xml:space="preserve"> 000145</w:t>
      </w:r>
      <w:r w:rsidR="00A43126">
        <w:rPr>
          <w:rFonts w:ascii="Arial Narrow" w:hAnsi="Arial Narrow"/>
          <w:sz w:val="22"/>
          <w:szCs w:val="22"/>
          <w:lang w:eastAsia="es-CO"/>
        </w:rPr>
        <w:t>.</w:t>
      </w:r>
    </w:p>
    <w:p w14:paraId="05FEF242" w14:textId="77777777" w:rsidR="00A43126" w:rsidRPr="00A43126" w:rsidRDefault="00A43126" w:rsidP="00A43126">
      <w:pPr>
        <w:pStyle w:val="Prrafodelista"/>
        <w:rPr>
          <w:rFonts w:ascii="Arial Narrow" w:hAnsi="Arial Narrow"/>
          <w:color w:val="FF0000"/>
          <w:sz w:val="22"/>
          <w:szCs w:val="22"/>
          <w:lang w:eastAsia="es-CO"/>
        </w:rPr>
      </w:pPr>
    </w:p>
    <w:p w14:paraId="67AAD9EF" w14:textId="77777777" w:rsidR="00463FF9" w:rsidRDefault="00463FF9" w:rsidP="00D46ECC">
      <w:pPr>
        <w:rPr>
          <w:rFonts w:ascii="Arial" w:hAnsi="Arial" w:cs="Arial"/>
          <w:color w:val="FF0000"/>
          <w:sz w:val="16"/>
          <w:szCs w:val="16"/>
        </w:rPr>
      </w:pPr>
    </w:p>
    <w:p w14:paraId="2B241185" w14:textId="66EC2C36" w:rsidR="00383510" w:rsidRDefault="00383510" w:rsidP="00383510">
      <w:pPr>
        <w:jc w:val="both"/>
        <w:rPr>
          <w:rFonts w:ascii="Arial Narrow" w:hAnsi="Arial Narrow" w:cs="Gisha"/>
          <w:b/>
          <w:bCs/>
          <w:sz w:val="22"/>
          <w:szCs w:val="22"/>
        </w:rPr>
      </w:pPr>
      <w:r w:rsidRPr="00C31E86">
        <w:rPr>
          <w:rFonts w:ascii="Arial Narrow" w:hAnsi="Arial Narrow" w:cs="Gisha"/>
          <w:b/>
          <w:bCs/>
          <w:sz w:val="22"/>
          <w:szCs w:val="22"/>
        </w:rPr>
        <w:t xml:space="preserve">NOTA </w:t>
      </w:r>
      <w:r w:rsidR="006310E2">
        <w:rPr>
          <w:rFonts w:ascii="Arial Narrow" w:hAnsi="Arial Narrow" w:cs="Gisha"/>
          <w:b/>
          <w:bCs/>
          <w:sz w:val="22"/>
          <w:szCs w:val="22"/>
        </w:rPr>
        <w:t>5</w:t>
      </w:r>
      <w:r w:rsidRPr="00C31E86">
        <w:rPr>
          <w:rFonts w:ascii="Arial Narrow" w:hAnsi="Arial Narrow" w:cs="Gisha"/>
          <w:b/>
          <w:bCs/>
          <w:sz w:val="22"/>
          <w:szCs w:val="22"/>
        </w:rPr>
        <w:t xml:space="preserve">.  </w:t>
      </w:r>
      <w:r w:rsidR="006310E2">
        <w:rPr>
          <w:rFonts w:ascii="Arial Narrow" w:hAnsi="Arial Narrow" w:cs="Gisha"/>
          <w:b/>
          <w:bCs/>
          <w:sz w:val="22"/>
          <w:szCs w:val="22"/>
        </w:rPr>
        <w:t>CUENTAS DE ORDEN</w:t>
      </w:r>
    </w:p>
    <w:p w14:paraId="1BAF27AD" w14:textId="0861318B" w:rsidR="00FB232D" w:rsidRDefault="00FB232D" w:rsidP="00383510">
      <w:pPr>
        <w:jc w:val="both"/>
        <w:rPr>
          <w:rFonts w:ascii="Arial Narrow" w:hAnsi="Arial Narrow" w:cs="Gisha"/>
          <w:b/>
          <w:bCs/>
          <w:sz w:val="22"/>
          <w:szCs w:val="22"/>
        </w:rPr>
      </w:pPr>
    </w:p>
    <w:p w14:paraId="13B65C2B" w14:textId="77777777" w:rsidR="0023492B" w:rsidRPr="0023492B" w:rsidRDefault="0023492B" w:rsidP="00383510">
      <w:pPr>
        <w:jc w:val="both"/>
        <w:rPr>
          <w:rFonts w:ascii="Arial Narrow" w:hAnsi="Arial Narrow" w:cs="Gisha"/>
          <w:b/>
          <w:bCs/>
          <w:sz w:val="16"/>
          <w:szCs w:val="16"/>
        </w:rPr>
      </w:pPr>
    </w:p>
    <w:p w14:paraId="2F30E605" w14:textId="40A77A68" w:rsidR="006310E2" w:rsidRDefault="006310E2" w:rsidP="006310E2">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jc w:val="center"/>
        <w:rPr>
          <w:rFonts w:ascii="Arial Narrow" w:hAnsi="Arial Narrow" w:cs="Gisha"/>
          <w:sz w:val="22"/>
          <w:szCs w:val="22"/>
        </w:rPr>
      </w:pPr>
      <w:r w:rsidRPr="006807EE">
        <w:rPr>
          <w:rFonts w:ascii="Arial Narrow" w:hAnsi="Arial Narrow" w:cs="Gisha"/>
          <w:sz w:val="22"/>
          <w:szCs w:val="22"/>
        </w:rPr>
        <w:t xml:space="preserve">SITUACIONES PARTICULARES EN </w:t>
      </w:r>
      <w:r w:rsidR="003F2EA6">
        <w:rPr>
          <w:rFonts w:ascii="Arial Narrow" w:hAnsi="Arial Narrow" w:cs="Gisha"/>
          <w:sz w:val="22"/>
          <w:szCs w:val="22"/>
        </w:rPr>
        <w:t xml:space="preserve">EL </w:t>
      </w:r>
      <w:r w:rsidRPr="006807EE">
        <w:rPr>
          <w:rFonts w:ascii="Arial Narrow" w:hAnsi="Arial Narrow" w:cs="Gisha"/>
          <w:sz w:val="22"/>
          <w:szCs w:val="22"/>
        </w:rPr>
        <w:t xml:space="preserve">MES DE </w:t>
      </w:r>
      <w:r>
        <w:rPr>
          <w:rFonts w:ascii="Arial Narrow" w:hAnsi="Arial Narrow" w:cs="Gisha"/>
          <w:sz w:val="22"/>
          <w:szCs w:val="22"/>
        </w:rPr>
        <w:t>OCTUBRE</w:t>
      </w:r>
      <w:r w:rsidRPr="006807EE">
        <w:rPr>
          <w:rFonts w:ascii="Arial Narrow" w:hAnsi="Arial Narrow" w:cs="Gisha"/>
          <w:sz w:val="22"/>
          <w:szCs w:val="22"/>
        </w:rPr>
        <w:t xml:space="preserve"> DE 2019</w:t>
      </w:r>
      <w:r>
        <w:rPr>
          <w:rFonts w:ascii="Arial Narrow" w:hAnsi="Arial Narrow" w:cs="Gisha"/>
          <w:sz w:val="22"/>
          <w:szCs w:val="22"/>
        </w:rPr>
        <w:t xml:space="preserve"> DE L</w:t>
      </w:r>
      <w:r w:rsidR="003F2EA6">
        <w:rPr>
          <w:rFonts w:ascii="Arial Narrow" w:hAnsi="Arial Narrow" w:cs="Gisha"/>
          <w:sz w:val="22"/>
          <w:szCs w:val="22"/>
        </w:rPr>
        <w:t>A</w:t>
      </w:r>
      <w:r>
        <w:rPr>
          <w:rFonts w:ascii="Arial Narrow" w:hAnsi="Arial Narrow" w:cs="Gisha"/>
          <w:sz w:val="22"/>
          <w:szCs w:val="22"/>
        </w:rPr>
        <w:t xml:space="preserve">S </w:t>
      </w:r>
      <w:r w:rsidR="003F2EA6">
        <w:rPr>
          <w:rFonts w:ascii="Arial Narrow" w:hAnsi="Arial Narrow" w:cs="Gisha"/>
          <w:sz w:val="22"/>
          <w:szCs w:val="22"/>
        </w:rPr>
        <w:t>CUENTAS DE ORDEN</w:t>
      </w:r>
    </w:p>
    <w:p w14:paraId="40D0C98D" w14:textId="24D0EF81" w:rsidR="00FB232D" w:rsidRDefault="00FB232D" w:rsidP="00FB232D">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sz w:val="22"/>
          <w:szCs w:val="22"/>
        </w:rPr>
      </w:pPr>
    </w:p>
    <w:p w14:paraId="67AA14E1" w14:textId="6DAB251E" w:rsidR="00FB232D" w:rsidRDefault="00FB232D" w:rsidP="00FB232D">
      <w:pPr>
        <w:pStyle w:val="Prrafodelista"/>
        <w:numPr>
          <w:ilvl w:val="0"/>
          <w:numId w:val="10"/>
        </w:numPr>
        <w:jc w:val="both"/>
        <w:rPr>
          <w:rFonts w:ascii="Arial Narrow" w:hAnsi="Arial Narrow"/>
          <w:sz w:val="22"/>
          <w:szCs w:val="22"/>
          <w:lang w:eastAsia="es-CO"/>
        </w:rPr>
      </w:pPr>
      <w:r>
        <w:rPr>
          <w:rFonts w:ascii="Arial Narrow" w:hAnsi="Arial Narrow"/>
          <w:sz w:val="22"/>
          <w:szCs w:val="22"/>
          <w:lang w:eastAsia="es-CO"/>
        </w:rPr>
        <w:t xml:space="preserve">En las cuentas de orden deudoras de control, Bienes entregados a terceros, subcuenta </w:t>
      </w:r>
      <w:r w:rsidRPr="00FB232D">
        <w:rPr>
          <w:rFonts w:ascii="Arial Narrow" w:hAnsi="Arial Narrow"/>
          <w:sz w:val="22"/>
          <w:szCs w:val="22"/>
          <w:lang w:eastAsia="es-CO"/>
        </w:rPr>
        <w:t>Propiedades, planta y equipo</w:t>
      </w:r>
      <w:r>
        <w:rPr>
          <w:rFonts w:ascii="Arial Narrow" w:hAnsi="Arial Narrow"/>
          <w:sz w:val="22"/>
          <w:szCs w:val="22"/>
          <w:lang w:eastAsia="es-CO"/>
        </w:rPr>
        <w:t xml:space="preserve"> se registró un incremento </w:t>
      </w:r>
      <w:r w:rsidR="00B9005C">
        <w:rPr>
          <w:rFonts w:ascii="Arial Narrow" w:hAnsi="Arial Narrow"/>
          <w:sz w:val="22"/>
          <w:szCs w:val="22"/>
          <w:lang w:eastAsia="es-CO"/>
        </w:rPr>
        <w:t xml:space="preserve">en el mes de octubre de 2019, con relación al mes de septiembre de la misma vigencia, </w:t>
      </w:r>
      <w:r>
        <w:rPr>
          <w:rFonts w:ascii="Arial Narrow" w:hAnsi="Arial Narrow"/>
          <w:sz w:val="22"/>
          <w:szCs w:val="22"/>
          <w:lang w:eastAsia="es-CO"/>
        </w:rPr>
        <w:t>por valor de $7.602 miles</w:t>
      </w:r>
      <w:r w:rsidR="00B9005C">
        <w:rPr>
          <w:rFonts w:ascii="Arial Narrow" w:hAnsi="Arial Narrow"/>
          <w:sz w:val="22"/>
          <w:szCs w:val="22"/>
          <w:lang w:eastAsia="es-CO"/>
        </w:rPr>
        <w:t>,</w:t>
      </w:r>
      <w:r>
        <w:rPr>
          <w:rFonts w:ascii="Arial Narrow" w:hAnsi="Arial Narrow"/>
          <w:sz w:val="22"/>
          <w:szCs w:val="22"/>
          <w:lang w:eastAsia="es-CO"/>
        </w:rPr>
        <w:t xml:space="preserve"> por </w:t>
      </w:r>
      <w:r w:rsidR="00AE1D3D" w:rsidRPr="00AE1D3D">
        <w:rPr>
          <w:rFonts w:ascii="Arial Narrow" w:hAnsi="Arial Narrow"/>
          <w:sz w:val="22"/>
          <w:szCs w:val="22"/>
          <w:lang w:eastAsia="es-CO"/>
        </w:rPr>
        <w:t>el bien entregado</w:t>
      </w:r>
      <w:r w:rsidR="00AE1D3D">
        <w:rPr>
          <w:rFonts w:ascii="Arial Narrow" w:hAnsi="Arial Narrow"/>
          <w:sz w:val="22"/>
          <w:szCs w:val="22"/>
          <w:lang w:eastAsia="es-CO"/>
        </w:rPr>
        <w:t xml:space="preserve"> en comodato al Ministerio de Transporte,</w:t>
      </w:r>
      <w:r w:rsidR="00AE1D3D" w:rsidRPr="00AE1D3D">
        <w:rPr>
          <w:rFonts w:ascii="Arial Narrow" w:hAnsi="Arial Narrow"/>
          <w:sz w:val="22"/>
          <w:szCs w:val="22"/>
          <w:lang w:eastAsia="es-CO"/>
        </w:rPr>
        <w:t xml:space="preserve"> camioneta Toyota prado 3.0 Diesel blindada</w:t>
      </w:r>
      <w:r w:rsidR="00AE1D3D">
        <w:rPr>
          <w:rFonts w:ascii="Arial Narrow" w:hAnsi="Arial Narrow"/>
          <w:sz w:val="22"/>
          <w:szCs w:val="22"/>
          <w:lang w:eastAsia="es-CO"/>
        </w:rPr>
        <w:t xml:space="preserve">, </w:t>
      </w:r>
      <w:r w:rsidR="00AE1D3D" w:rsidRPr="00AE1D3D">
        <w:rPr>
          <w:rFonts w:ascii="Arial Narrow" w:hAnsi="Arial Narrow"/>
          <w:sz w:val="22"/>
          <w:szCs w:val="22"/>
          <w:lang w:eastAsia="es-CO"/>
        </w:rPr>
        <w:t>mediante contrato Interadministrativo de Comodato CI-017-2019</w:t>
      </w:r>
      <w:r w:rsidR="00AE1D3D">
        <w:rPr>
          <w:rFonts w:ascii="Arial Narrow" w:hAnsi="Arial Narrow"/>
          <w:sz w:val="22"/>
          <w:szCs w:val="22"/>
          <w:lang w:eastAsia="es-CO"/>
        </w:rPr>
        <w:t>.  Este vehículo se entregó</w:t>
      </w:r>
      <w:r w:rsidR="00AE1D3D" w:rsidRPr="00AE1D3D">
        <w:rPr>
          <w:rFonts w:ascii="Arial Narrow" w:hAnsi="Arial Narrow"/>
          <w:sz w:val="22"/>
          <w:szCs w:val="22"/>
          <w:lang w:eastAsia="es-CO"/>
        </w:rPr>
        <w:t xml:space="preserve"> en préstamo y uso por un periodo de tres años mediante Acta de Entrega Vehículos en Comodato con fecha</w:t>
      </w:r>
      <w:r w:rsidR="00AE1D3D">
        <w:rPr>
          <w:rFonts w:ascii="Arial Narrow" w:hAnsi="Arial Narrow"/>
          <w:sz w:val="22"/>
          <w:szCs w:val="22"/>
          <w:lang w:eastAsia="es-CO"/>
        </w:rPr>
        <w:t xml:space="preserve"> del</w:t>
      </w:r>
      <w:r w:rsidR="00AE1D3D" w:rsidRPr="00AE1D3D">
        <w:rPr>
          <w:rFonts w:ascii="Arial Narrow" w:hAnsi="Arial Narrow"/>
          <w:sz w:val="22"/>
          <w:szCs w:val="22"/>
          <w:lang w:eastAsia="es-CO"/>
        </w:rPr>
        <w:t xml:space="preserve"> 4 de octubre de 2019.</w:t>
      </w:r>
    </w:p>
    <w:p w14:paraId="4E0CD80E" w14:textId="77777777" w:rsidR="00FB232D" w:rsidRDefault="00FB232D" w:rsidP="00FB232D">
      <w:pPr>
        <w:pStyle w:val="Prrafodelista"/>
        <w:jc w:val="both"/>
        <w:rPr>
          <w:rFonts w:ascii="Arial Narrow" w:hAnsi="Arial Narrow"/>
          <w:sz w:val="22"/>
          <w:szCs w:val="22"/>
          <w:lang w:eastAsia="es-CO"/>
        </w:rPr>
      </w:pPr>
    </w:p>
    <w:p w14:paraId="6825576C" w14:textId="2EB6EFE5" w:rsidR="00FB232D" w:rsidRPr="002676CF" w:rsidRDefault="00FB232D" w:rsidP="00CC1975">
      <w:pPr>
        <w:pStyle w:val="Prrafodelista"/>
        <w:numPr>
          <w:ilvl w:val="0"/>
          <w:numId w:val="10"/>
        </w:numPr>
        <w:jc w:val="both"/>
        <w:rPr>
          <w:rFonts w:ascii="Arial Narrow" w:hAnsi="Arial Narrow"/>
          <w:sz w:val="22"/>
          <w:szCs w:val="22"/>
          <w:lang w:eastAsia="es-CO"/>
        </w:rPr>
      </w:pPr>
      <w:r w:rsidRPr="002676CF">
        <w:rPr>
          <w:rFonts w:ascii="Arial Narrow" w:hAnsi="Arial Narrow"/>
          <w:sz w:val="22"/>
          <w:szCs w:val="22"/>
          <w:lang w:eastAsia="es-CO"/>
        </w:rPr>
        <w:t>En las cuentas de orden acreedoras, subcuenta Otros litigios y mecanismos alternativos de solución de conflictos se registra un incremento por valor de $</w:t>
      </w:r>
      <w:r w:rsidRPr="002676CF">
        <w:t xml:space="preserve"> </w:t>
      </w:r>
      <w:r w:rsidRPr="002676CF">
        <w:rPr>
          <w:rFonts w:ascii="Arial Narrow" w:hAnsi="Arial Narrow"/>
          <w:sz w:val="22"/>
          <w:szCs w:val="22"/>
          <w:lang w:eastAsia="es-CO"/>
        </w:rPr>
        <w:t>1.133.468.060 miles</w:t>
      </w:r>
      <w:r w:rsidR="0027665C" w:rsidRPr="002676CF">
        <w:rPr>
          <w:rFonts w:ascii="Arial Narrow" w:hAnsi="Arial Narrow"/>
          <w:sz w:val="22"/>
          <w:szCs w:val="22"/>
          <w:lang w:eastAsia="es-CO"/>
        </w:rPr>
        <w:t>, correspondiente a</w:t>
      </w:r>
      <w:r w:rsidR="00815D9F" w:rsidRPr="002676CF">
        <w:rPr>
          <w:rFonts w:ascii="Arial Narrow" w:hAnsi="Arial Narrow"/>
          <w:sz w:val="22"/>
          <w:szCs w:val="22"/>
          <w:lang w:eastAsia="es-CO"/>
        </w:rPr>
        <w:t xml:space="preserve"> </w:t>
      </w:r>
      <w:r w:rsidR="0027665C" w:rsidRPr="002676CF">
        <w:rPr>
          <w:rFonts w:ascii="Arial Narrow" w:hAnsi="Arial Narrow"/>
          <w:sz w:val="22"/>
          <w:szCs w:val="22"/>
          <w:lang w:eastAsia="es-CO"/>
        </w:rPr>
        <w:t>l</w:t>
      </w:r>
      <w:r w:rsidR="00815D9F" w:rsidRPr="002676CF">
        <w:rPr>
          <w:rFonts w:ascii="Arial Narrow" w:hAnsi="Arial Narrow"/>
          <w:sz w:val="22"/>
          <w:szCs w:val="22"/>
          <w:lang w:eastAsia="es-CO"/>
        </w:rPr>
        <w:t xml:space="preserve">a incorporación en cuentas de orden y retiro de las cuentas de provisión del </w:t>
      </w:r>
      <w:r w:rsidR="0027665C" w:rsidRPr="002676CF">
        <w:rPr>
          <w:rFonts w:ascii="Arial Narrow" w:hAnsi="Arial Narrow"/>
          <w:sz w:val="22"/>
          <w:szCs w:val="22"/>
          <w:lang w:eastAsia="es-CO"/>
        </w:rPr>
        <w:t>proceso arbitral No. 15811 en contra de la Agencia Nacional de Infraestructura</w:t>
      </w:r>
      <w:r w:rsidR="00815D9F" w:rsidRPr="002676CF">
        <w:rPr>
          <w:rFonts w:ascii="Arial Narrow" w:hAnsi="Arial Narrow"/>
          <w:sz w:val="22"/>
          <w:szCs w:val="22"/>
          <w:lang w:eastAsia="es-CO"/>
        </w:rPr>
        <w:t xml:space="preserve"> </w:t>
      </w:r>
      <w:r w:rsidR="0027665C" w:rsidRPr="002676CF">
        <w:rPr>
          <w:rFonts w:ascii="Arial Narrow" w:hAnsi="Arial Narrow"/>
          <w:sz w:val="22"/>
          <w:szCs w:val="22"/>
          <w:lang w:eastAsia="es-CO"/>
        </w:rPr>
        <w:t>cuyo demandante es la Unión Temporal Desarrollo Vial del Valle del Cauca y Cauca</w:t>
      </w:r>
      <w:r w:rsidR="00815D9F" w:rsidRPr="002676CF">
        <w:rPr>
          <w:rFonts w:ascii="Arial Narrow" w:hAnsi="Arial Narrow"/>
          <w:sz w:val="22"/>
          <w:szCs w:val="22"/>
          <w:lang w:eastAsia="es-CO"/>
        </w:rPr>
        <w:t>, por cambio en la calificación del riesgo,</w:t>
      </w:r>
      <w:r w:rsidR="0027665C" w:rsidRPr="002676CF">
        <w:rPr>
          <w:rFonts w:ascii="Arial Narrow" w:hAnsi="Arial Narrow"/>
          <w:sz w:val="22"/>
          <w:szCs w:val="22"/>
          <w:lang w:eastAsia="es-CO"/>
        </w:rPr>
        <w:t xml:space="preserve"> según lo informado </w:t>
      </w:r>
      <w:r w:rsidRPr="002676CF">
        <w:rPr>
          <w:rFonts w:ascii="Arial Narrow" w:hAnsi="Arial Narrow"/>
          <w:sz w:val="22"/>
          <w:szCs w:val="22"/>
          <w:lang w:eastAsia="es-CO"/>
        </w:rPr>
        <w:t>en el formato GEJU-F-010-Informe de Procesos Judiciales, remitido por el Grupo Interno de Trabajo de Defensa Judicial de la Vicepresidencia Jurídica.</w:t>
      </w:r>
    </w:p>
    <w:p w14:paraId="7E80F410" w14:textId="1B45034D" w:rsidR="00FB232D" w:rsidRDefault="00FB232D" w:rsidP="00FB232D">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sz w:val="22"/>
          <w:szCs w:val="22"/>
        </w:rPr>
      </w:pPr>
    </w:p>
    <w:p w14:paraId="04A25D34" w14:textId="77777777" w:rsidR="006E5318" w:rsidRDefault="006E5318" w:rsidP="00FB232D">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sz w:val="22"/>
          <w:szCs w:val="22"/>
        </w:rPr>
      </w:pPr>
    </w:p>
    <w:p w14:paraId="52D46BCB" w14:textId="77777777" w:rsidR="00FB232D" w:rsidRDefault="00FB232D" w:rsidP="00FB232D">
      <w:pPr>
        <w:pStyle w:val="Textoindependiente2"/>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rPr>
          <w:rFonts w:ascii="Arial Narrow" w:hAnsi="Arial Narrow" w:cs="Gisha"/>
          <w:sz w:val="22"/>
          <w:szCs w:val="22"/>
        </w:rPr>
      </w:pPr>
      <w:bookmarkStart w:id="1" w:name="_GoBack"/>
      <w:bookmarkEnd w:id="1"/>
    </w:p>
    <w:p w14:paraId="21C0F2C3" w14:textId="77777777" w:rsidR="00383510" w:rsidRPr="00DA14D7" w:rsidRDefault="00383510" w:rsidP="00383510">
      <w:pPr>
        <w:jc w:val="both"/>
        <w:rPr>
          <w:rFonts w:ascii="Arial Narrow" w:hAnsi="Arial Narrow" w:cs="Gisha"/>
          <w:b/>
          <w:bCs/>
          <w:sz w:val="16"/>
          <w:szCs w:val="16"/>
        </w:rPr>
      </w:pPr>
    </w:p>
    <w:p w14:paraId="285FF545" w14:textId="77777777" w:rsidR="00D46ECC" w:rsidRDefault="00D46ECC" w:rsidP="00FC4576">
      <w:pPr>
        <w:jc w:val="center"/>
        <w:rPr>
          <w:rFonts w:ascii="Arial" w:hAnsi="Arial" w:cs="Arial"/>
          <w:color w:val="FF0000"/>
          <w:sz w:val="16"/>
          <w:szCs w:val="16"/>
        </w:rPr>
      </w:pPr>
    </w:p>
    <w:p w14:paraId="04511F07" w14:textId="77777777" w:rsidR="00FC4576" w:rsidRPr="00FC4576" w:rsidRDefault="00FC4576" w:rsidP="00FC4576">
      <w:pPr>
        <w:jc w:val="center"/>
        <w:rPr>
          <w:rFonts w:ascii="Arial Narrow" w:hAnsi="Arial Narrow" w:cs="Gisha"/>
          <w:b/>
          <w:bCs/>
          <w:sz w:val="22"/>
          <w:szCs w:val="22"/>
          <w:lang w:val="pt-BR"/>
        </w:rPr>
      </w:pPr>
      <w:r w:rsidRPr="00FC4576">
        <w:rPr>
          <w:rFonts w:ascii="Arial Narrow" w:hAnsi="Arial Narrow" w:cs="Gisha"/>
          <w:b/>
          <w:bCs/>
          <w:sz w:val="22"/>
          <w:szCs w:val="22"/>
          <w:lang w:val="pt-BR"/>
        </w:rPr>
        <w:t>MIREYI VARGAS OLIVEROS</w:t>
      </w:r>
    </w:p>
    <w:p w14:paraId="3720038B" w14:textId="77777777" w:rsidR="00FC4576" w:rsidRPr="00FC4576" w:rsidRDefault="00FC4576" w:rsidP="00FC4576">
      <w:pPr>
        <w:jc w:val="center"/>
        <w:rPr>
          <w:rFonts w:ascii="Arial Narrow" w:hAnsi="Arial Narrow" w:cs="Gisha"/>
          <w:bCs/>
          <w:sz w:val="22"/>
          <w:szCs w:val="22"/>
          <w:lang w:val="pt-BR"/>
        </w:rPr>
      </w:pPr>
      <w:r w:rsidRPr="00FC4576">
        <w:rPr>
          <w:rFonts w:ascii="Arial Narrow" w:hAnsi="Arial Narrow" w:cs="Gisha"/>
          <w:bCs/>
          <w:sz w:val="22"/>
          <w:szCs w:val="22"/>
          <w:lang w:val="pt-BR"/>
        </w:rPr>
        <w:t xml:space="preserve">Experto G3 – 06 </w:t>
      </w:r>
      <w:proofErr w:type="spellStart"/>
      <w:r w:rsidRPr="00FC4576">
        <w:rPr>
          <w:rFonts w:ascii="Arial Narrow" w:hAnsi="Arial Narrow" w:cs="Gisha"/>
          <w:bCs/>
          <w:sz w:val="22"/>
          <w:szCs w:val="22"/>
          <w:lang w:val="pt-BR"/>
        </w:rPr>
        <w:t>con</w:t>
      </w:r>
      <w:proofErr w:type="spellEnd"/>
      <w:r w:rsidRPr="00FC4576">
        <w:rPr>
          <w:rFonts w:ascii="Arial Narrow" w:hAnsi="Arial Narrow" w:cs="Gisha"/>
          <w:bCs/>
          <w:sz w:val="22"/>
          <w:szCs w:val="22"/>
          <w:lang w:val="pt-BR"/>
        </w:rPr>
        <w:t xml:space="preserve"> Funciones de Contador</w:t>
      </w:r>
    </w:p>
    <w:p w14:paraId="3C5E641E" w14:textId="09E7CEE3" w:rsidR="00D46ECC" w:rsidRDefault="00FC4576" w:rsidP="00B71A42">
      <w:pPr>
        <w:jc w:val="center"/>
        <w:rPr>
          <w:rFonts w:ascii="Arial Narrow" w:hAnsi="Arial Narrow" w:cs="Gisha"/>
          <w:b/>
          <w:bCs/>
          <w:sz w:val="22"/>
          <w:szCs w:val="22"/>
        </w:rPr>
      </w:pPr>
      <w:r w:rsidRPr="00FC4576">
        <w:rPr>
          <w:rFonts w:ascii="Arial Narrow" w:hAnsi="Arial Narrow" w:cs="Gisha"/>
          <w:bCs/>
          <w:sz w:val="22"/>
          <w:szCs w:val="22"/>
          <w:lang w:val="pt-BR"/>
        </w:rPr>
        <w:t>T.P. No 73619-T</w:t>
      </w:r>
    </w:p>
    <w:sectPr w:rsidR="00D46ECC" w:rsidSect="00630961">
      <w:pgSz w:w="12240" w:h="15840" w:code="1"/>
      <w:pgMar w:top="1701" w:right="1134" w:bottom="1701" w:left="2268" w:header="709" w:footer="113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isha">
    <w:panose1 w:val="020B0502040204020203"/>
    <w:charset w:val="00"/>
    <w:family w:val="swiss"/>
    <w:pitch w:val="variable"/>
    <w:sig w:usb0="80000807" w:usb1="40000042" w:usb2="00000000" w:usb3="00000000" w:csb0="0000002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F73152"/>
    <w:multiLevelType w:val="hybridMultilevel"/>
    <w:tmpl w:val="19D2D83E"/>
    <w:lvl w:ilvl="0" w:tplc="240A0001">
      <w:numFmt w:val="bullet"/>
      <w:lvlText w:val=""/>
      <w:lvlJc w:val="left"/>
      <w:pPr>
        <w:ind w:left="720" w:hanging="360"/>
      </w:pPr>
      <w:rPr>
        <w:rFonts w:ascii="Symbol" w:eastAsia="Times New Roman" w:hAnsi="Symbol"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02496856"/>
    <w:multiLevelType w:val="hybridMultilevel"/>
    <w:tmpl w:val="25A6DCBA"/>
    <w:lvl w:ilvl="0" w:tplc="240A000D">
      <w:start w:val="1"/>
      <w:numFmt w:val="bullet"/>
      <w:lvlText w:val=""/>
      <w:lvlJc w:val="left"/>
      <w:pPr>
        <w:ind w:left="1440" w:hanging="360"/>
      </w:pPr>
      <w:rPr>
        <w:rFonts w:ascii="Wingdings" w:hAnsi="Wingdings"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2" w15:restartNumberingAfterBreak="0">
    <w:nsid w:val="030A4D51"/>
    <w:multiLevelType w:val="hybridMultilevel"/>
    <w:tmpl w:val="B490A67C"/>
    <w:lvl w:ilvl="0" w:tplc="5804FD14">
      <w:numFmt w:val="bullet"/>
      <w:lvlText w:val="-"/>
      <w:lvlJc w:val="left"/>
      <w:pPr>
        <w:ind w:left="1068" w:hanging="360"/>
      </w:pPr>
      <w:rPr>
        <w:rFonts w:ascii="Arial Narrow" w:eastAsia="Times New Roman" w:hAnsi="Arial Narrow" w:cs="Times New Roman"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 w15:restartNumberingAfterBreak="0">
    <w:nsid w:val="06A05AA2"/>
    <w:multiLevelType w:val="hybridMultilevel"/>
    <w:tmpl w:val="A4DAB46C"/>
    <w:lvl w:ilvl="0" w:tplc="5D340AAA">
      <w:numFmt w:val="bullet"/>
      <w:lvlText w:val="-"/>
      <w:lvlJc w:val="left"/>
      <w:pPr>
        <w:ind w:left="1440" w:hanging="360"/>
      </w:pPr>
      <w:rPr>
        <w:rFonts w:ascii="Arial Narrow" w:eastAsia="Times New Roman" w:hAnsi="Arial Narrow" w:cs="Gisha" w:hint="default"/>
      </w:rPr>
    </w:lvl>
    <w:lvl w:ilvl="1" w:tplc="240A0003" w:tentative="1">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4" w15:restartNumberingAfterBreak="0">
    <w:nsid w:val="078243EE"/>
    <w:multiLevelType w:val="hybridMultilevel"/>
    <w:tmpl w:val="EC12FE18"/>
    <w:lvl w:ilvl="0" w:tplc="26E6A644">
      <w:start w:val="2"/>
      <w:numFmt w:val="bullet"/>
      <w:lvlText w:val=""/>
      <w:lvlJc w:val="left"/>
      <w:pPr>
        <w:ind w:left="720" w:hanging="360"/>
      </w:pPr>
      <w:rPr>
        <w:rFonts w:ascii="Symbol" w:eastAsia="Times New Roman" w:hAnsi="Symbol" w:cs="Gish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0A6573C2"/>
    <w:multiLevelType w:val="hybridMultilevel"/>
    <w:tmpl w:val="76F64114"/>
    <w:lvl w:ilvl="0" w:tplc="E8BC0ABE">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0AE1084E"/>
    <w:multiLevelType w:val="hybridMultilevel"/>
    <w:tmpl w:val="53DA6BDA"/>
    <w:lvl w:ilvl="0" w:tplc="7688B474">
      <w:numFmt w:val="bullet"/>
      <w:lvlText w:val="-"/>
      <w:lvlJc w:val="left"/>
      <w:pPr>
        <w:ind w:left="1080" w:hanging="360"/>
      </w:pPr>
      <w:rPr>
        <w:rFonts w:ascii="Arial Narrow" w:eastAsia="Times New Roman" w:hAnsi="Arial Narrow" w:cs="Times New Roman"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7" w15:restartNumberingAfterBreak="0">
    <w:nsid w:val="0EF61F9F"/>
    <w:multiLevelType w:val="hybridMultilevel"/>
    <w:tmpl w:val="E4F2C6D0"/>
    <w:lvl w:ilvl="0" w:tplc="F9106076">
      <w:start w:val="3"/>
      <w:numFmt w:val="bullet"/>
      <w:lvlText w:val=""/>
      <w:lvlJc w:val="left"/>
      <w:pPr>
        <w:ind w:left="720" w:hanging="360"/>
      </w:pPr>
      <w:rPr>
        <w:rFonts w:ascii="Symbol" w:eastAsia="Times New Roman" w:hAnsi="Symbol" w:cs="Gish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16E76376"/>
    <w:multiLevelType w:val="hybridMultilevel"/>
    <w:tmpl w:val="A118AA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9" w15:restartNumberingAfterBreak="0">
    <w:nsid w:val="1B617C80"/>
    <w:multiLevelType w:val="hybridMultilevel"/>
    <w:tmpl w:val="20AE31E0"/>
    <w:lvl w:ilvl="0" w:tplc="240A0001">
      <w:start w:val="1"/>
      <w:numFmt w:val="bullet"/>
      <w:lvlText w:val=""/>
      <w:lvlJc w:val="left"/>
      <w:pPr>
        <w:ind w:left="1080" w:hanging="720"/>
      </w:pPr>
      <w:rPr>
        <w:rFonts w:ascii="Symbol" w:hAnsi="Symbol"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1B9A09B2"/>
    <w:multiLevelType w:val="hybridMultilevel"/>
    <w:tmpl w:val="B1CC7250"/>
    <w:lvl w:ilvl="0" w:tplc="D67854D4">
      <w:numFmt w:val="bullet"/>
      <w:lvlText w:val="-"/>
      <w:lvlJc w:val="left"/>
      <w:pPr>
        <w:ind w:left="720" w:hanging="360"/>
      </w:pPr>
      <w:rPr>
        <w:rFonts w:ascii="Arial Narrow" w:eastAsia="Times New Roman" w:hAnsi="Arial Narrow" w:cs="Gish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1C4D7138"/>
    <w:multiLevelType w:val="hybridMultilevel"/>
    <w:tmpl w:val="A118AA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1C9E1955"/>
    <w:multiLevelType w:val="hybridMultilevel"/>
    <w:tmpl w:val="9E209C00"/>
    <w:lvl w:ilvl="0" w:tplc="81C86484">
      <w:start w:val="1"/>
      <w:numFmt w:val="lowerRoman"/>
      <w:lvlText w:val="(%1)"/>
      <w:lvlJc w:val="left"/>
      <w:pPr>
        <w:ind w:left="1428" w:hanging="72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13" w15:restartNumberingAfterBreak="0">
    <w:nsid w:val="1ECC3B71"/>
    <w:multiLevelType w:val="hybridMultilevel"/>
    <w:tmpl w:val="CD54951C"/>
    <w:lvl w:ilvl="0" w:tplc="20CA4FB2">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4" w15:restartNumberingAfterBreak="0">
    <w:nsid w:val="2418663D"/>
    <w:multiLevelType w:val="hybridMultilevel"/>
    <w:tmpl w:val="F9F037EE"/>
    <w:lvl w:ilvl="0" w:tplc="240A0001">
      <w:start w:val="1"/>
      <w:numFmt w:val="bullet"/>
      <w:lvlText w:val=""/>
      <w:lvlJc w:val="left"/>
      <w:pPr>
        <w:ind w:left="774" w:hanging="360"/>
      </w:pPr>
      <w:rPr>
        <w:rFonts w:ascii="Symbol" w:hAnsi="Symbol" w:hint="default"/>
      </w:rPr>
    </w:lvl>
    <w:lvl w:ilvl="1" w:tplc="240A0003" w:tentative="1">
      <w:start w:val="1"/>
      <w:numFmt w:val="bullet"/>
      <w:lvlText w:val="o"/>
      <w:lvlJc w:val="left"/>
      <w:pPr>
        <w:ind w:left="1494" w:hanging="360"/>
      </w:pPr>
      <w:rPr>
        <w:rFonts w:ascii="Courier New" w:hAnsi="Courier New" w:cs="Courier New" w:hint="default"/>
      </w:rPr>
    </w:lvl>
    <w:lvl w:ilvl="2" w:tplc="240A0005" w:tentative="1">
      <w:start w:val="1"/>
      <w:numFmt w:val="bullet"/>
      <w:lvlText w:val=""/>
      <w:lvlJc w:val="left"/>
      <w:pPr>
        <w:ind w:left="2214" w:hanging="360"/>
      </w:pPr>
      <w:rPr>
        <w:rFonts w:ascii="Wingdings" w:hAnsi="Wingdings" w:hint="default"/>
      </w:rPr>
    </w:lvl>
    <w:lvl w:ilvl="3" w:tplc="240A0001" w:tentative="1">
      <w:start w:val="1"/>
      <w:numFmt w:val="bullet"/>
      <w:lvlText w:val=""/>
      <w:lvlJc w:val="left"/>
      <w:pPr>
        <w:ind w:left="2934" w:hanging="360"/>
      </w:pPr>
      <w:rPr>
        <w:rFonts w:ascii="Symbol" w:hAnsi="Symbol" w:hint="default"/>
      </w:rPr>
    </w:lvl>
    <w:lvl w:ilvl="4" w:tplc="240A0003" w:tentative="1">
      <w:start w:val="1"/>
      <w:numFmt w:val="bullet"/>
      <w:lvlText w:val="o"/>
      <w:lvlJc w:val="left"/>
      <w:pPr>
        <w:ind w:left="3654" w:hanging="360"/>
      </w:pPr>
      <w:rPr>
        <w:rFonts w:ascii="Courier New" w:hAnsi="Courier New" w:cs="Courier New" w:hint="default"/>
      </w:rPr>
    </w:lvl>
    <w:lvl w:ilvl="5" w:tplc="240A0005" w:tentative="1">
      <w:start w:val="1"/>
      <w:numFmt w:val="bullet"/>
      <w:lvlText w:val=""/>
      <w:lvlJc w:val="left"/>
      <w:pPr>
        <w:ind w:left="4374" w:hanging="360"/>
      </w:pPr>
      <w:rPr>
        <w:rFonts w:ascii="Wingdings" w:hAnsi="Wingdings" w:hint="default"/>
      </w:rPr>
    </w:lvl>
    <w:lvl w:ilvl="6" w:tplc="240A0001" w:tentative="1">
      <w:start w:val="1"/>
      <w:numFmt w:val="bullet"/>
      <w:lvlText w:val=""/>
      <w:lvlJc w:val="left"/>
      <w:pPr>
        <w:ind w:left="5094" w:hanging="360"/>
      </w:pPr>
      <w:rPr>
        <w:rFonts w:ascii="Symbol" w:hAnsi="Symbol" w:hint="default"/>
      </w:rPr>
    </w:lvl>
    <w:lvl w:ilvl="7" w:tplc="240A0003" w:tentative="1">
      <w:start w:val="1"/>
      <w:numFmt w:val="bullet"/>
      <w:lvlText w:val="o"/>
      <w:lvlJc w:val="left"/>
      <w:pPr>
        <w:ind w:left="5814" w:hanging="360"/>
      </w:pPr>
      <w:rPr>
        <w:rFonts w:ascii="Courier New" w:hAnsi="Courier New" w:cs="Courier New" w:hint="default"/>
      </w:rPr>
    </w:lvl>
    <w:lvl w:ilvl="8" w:tplc="240A0005" w:tentative="1">
      <w:start w:val="1"/>
      <w:numFmt w:val="bullet"/>
      <w:lvlText w:val=""/>
      <w:lvlJc w:val="left"/>
      <w:pPr>
        <w:ind w:left="6534" w:hanging="360"/>
      </w:pPr>
      <w:rPr>
        <w:rFonts w:ascii="Wingdings" w:hAnsi="Wingdings" w:hint="default"/>
      </w:rPr>
    </w:lvl>
  </w:abstractNum>
  <w:abstractNum w:abstractNumId="15" w15:restartNumberingAfterBreak="0">
    <w:nsid w:val="28254483"/>
    <w:multiLevelType w:val="hybridMultilevel"/>
    <w:tmpl w:val="8D3CC1BC"/>
    <w:lvl w:ilvl="0" w:tplc="C4629A30">
      <w:start w:val="3"/>
      <w:numFmt w:val="bullet"/>
      <w:lvlText w:val="-"/>
      <w:lvlJc w:val="left"/>
      <w:pPr>
        <w:ind w:left="720" w:hanging="360"/>
      </w:pPr>
      <w:rPr>
        <w:rFonts w:ascii="Times New Roman" w:eastAsia="Times New Roman" w:hAnsi="Times New Roman"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2D206797"/>
    <w:multiLevelType w:val="hybridMultilevel"/>
    <w:tmpl w:val="DDD244F2"/>
    <w:lvl w:ilvl="0" w:tplc="D4F0804A">
      <w:numFmt w:val="bullet"/>
      <w:lvlText w:val="-"/>
      <w:lvlJc w:val="left"/>
      <w:pPr>
        <w:ind w:left="1068" w:hanging="360"/>
      </w:pPr>
      <w:rPr>
        <w:rFonts w:ascii="Arial Narrow" w:eastAsia="Times New Roman" w:hAnsi="Arial Narrow" w:cs="Times New Roman"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7" w15:restartNumberingAfterBreak="0">
    <w:nsid w:val="2F6273B5"/>
    <w:multiLevelType w:val="hybridMultilevel"/>
    <w:tmpl w:val="ECAE8CD6"/>
    <w:lvl w:ilvl="0" w:tplc="240A0001">
      <w:start w:val="1"/>
      <w:numFmt w:val="bullet"/>
      <w:lvlText w:val=""/>
      <w:lvlJc w:val="left"/>
      <w:pPr>
        <w:ind w:left="1068"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1D442C5"/>
    <w:multiLevelType w:val="hybridMultilevel"/>
    <w:tmpl w:val="68C26C2A"/>
    <w:lvl w:ilvl="0" w:tplc="BF5488E6">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9" w15:restartNumberingAfterBreak="0">
    <w:nsid w:val="36854697"/>
    <w:multiLevelType w:val="hybridMultilevel"/>
    <w:tmpl w:val="E91C9E9A"/>
    <w:lvl w:ilvl="0" w:tplc="386E55BE">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0" w15:restartNumberingAfterBreak="0">
    <w:nsid w:val="373E13CF"/>
    <w:multiLevelType w:val="hybridMultilevel"/>
    <w:tmpl w:val="1174CACE"/>
    <w:lvl w:ilvl="0" w:tplc="F17E190A">
      <w:start w:val="2"/>
      <w:numFmt w:val="bullet"/>
      <w:lvlText w:val="-"/>
      <w:lvlJc w:val="left"/>
      <w:pPr>
        <w:ind w:left="720" w:hanging="360"/>
      </w:pPr>
      <w:rPr>
        <w:rFonts w:ascii="Arial Narrow" w:eastAsia="Times New Roman" w:hAnsi="Arial Narrow" w:cs="Times New Roman" w:hint="default"/>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1" w15:restartNumberingAfterBreak="0">
    <w:nsid w:val="3C526835"/>
    <w:multiLevelType w:val="hybridMultilevel"/>
    <w:tmpl w:val="76EA81F4"/>
    <w:lvl w:ilvl="0" w:tplc="C832C3EA">
      <w:numFmt w:val="bullet"/>
      <w:lvlText w:val="-"/>
      <w:lvlJc w:val="left"/>
      <w:pPr>
        <w:ind w:left="720" w:hanging="360"/>
      </w:pPr>
      <w:rPr>
        <w:rFonts w:ascii="Arial Narrow" w:eastAsia="Times New Roman" w:hAnsi="Arial Narrow" w:cs="Gish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3EDF3034"/>
    <w:multiLevelType w:val="hybridMultilevel"/>
    <w:tmpl w:val="749846D8"/>
    <w:lvl w:ilvl="0" w:tplc="331E5A6C">
      <w:start w:val="3"/>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3F9D302F"/>
    <w:multiLevelType w:val="hybridMultilevel"/>
    <w:tmpl w:val="7C2AF96E"/>
    <w:lvl w:ilvl="0" w:tplc="5D340AAA">
      <w:numFmt w:val="bullet"/>
      <w:lvlText w:val="-"/>
      <w:lvlJc w:val="left"/>
      <w:pPr>
        <w:ind w:left="1068" w:hanging="360"/>
      </w:pPr>
      <w:rPr>
        <w:rFonts w:ascii="Arial Narrow" w:eastAsia="Times New Roman" w:hAnsi="Arial Narrow" w:cs="Gish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24" w15:restartNumberingAfterBreak="0">
    <w:nsid w:val="40AE1688"/>
    <w:multiLevelType w:val="hybridMultilevel"/>
    <w:tmpl w:val="8A4AC626"/>
    <w:lvl w:ilvl="0" w:tplc="F65E26F2">
      <w:start w:val="1"/>
      <w:numFmt w:val="lowerRoman"/>
      <w:lvlText w:val="(%1)"/>
      <w:lvlJc w:val="left"/>
      <w:pPr>
        <w:ind w:left="1428" w:hanging="720"/>
      </w:pPr>
      <w:rPr>
        <w:rFonts w:hint="default"/>
      </w:rPr>
    </w:lvl>
    <w:lvl w:ilvl="1" w:tplc="240A0019" w:tentative="1">
      <w:start w:val="1"/>
      <w:numFmt w:val="lowerLetter"/>
      <w:lvlText w:val="%2."/>
      <w:lvlJc w:val="left"/>
      <w:pPr>
        <w:ind w:left="1788" w:hanging="360"/>
      </w:pPr>
    </w:lvl>
    <w:lvl w:ilvl="2" w:tplc="240A001B" w:tentative="1">
      <w:start w:val="1"/>
      <w:numFmt w:val="lowerRoman"/>
      <w:lvlText w:val="%3."/>
      <w:lvlJc w:val="right"/>
      <w:pPr>
        <w:ind w:left="2508" w:hanging="180"/>
      </w:pPr>
    </w:lvl>
    <w:lvl w:ilvl="3" w:tplc="240A000F" w:tentative="1">
      <w:start w:val="1"/>
      <w:numFmt w:val="decimal"/>
      <w:lvlText w:val="%4."/>
      <w:lvlJc w:val="left"/>
      <w:pPr>
        <w:ind w:left="3228" w:hanging="360"/>
      </w:pPr>
    </w:lvl>
    <w:lvl w:ilvl="4" w:tplc="240A0019" w:tentative="1">
      <w:start w:val="1"/>
      <w:numFmt w:val="lowerLetter"/>
      <w:lvlText w:val="%5."/>
      <w:lvlJc w:val="left"/>
      <w:pPr>
        <w:ind w:left="3948" w:hanging="360"/>
      </w:pPr>
    </w:lvl>
    <w:lvl w:ilvl="5" w:tplc="240A001B" w:tentative="1">
      <w:start w:val="1"/>
      <w:numFmt w:val="lowerRoman"/>
      <w:lvlText w:val="%6."/>
      <w:lvlJc w:val="right"/>
      <w:pPr>
        <w:ind w:left="4668" w:hanging="180"/>
      </w:pPr>
    </w:lvl>
    <w:lvl w:ilvl="6" w:tplc="240A000F" w:tentative="1">
      <w:start w:val="1"/>
      <w:numFmt w:val="decimal"/>
      <w:lvlText w:val="%7."/>
      <w:lvlJc w:val="left"/>
      <w:pPr>
        <w:ind w:left="5388" w:hanging="360"/>
      </w:pPr>
    </w:lvl>
    <w:lvl w:ilvl="7" w:tplc="240A0019" w:tentative="1">
      <w:start w:val="1"/>
      <w:numFmt w:val="lowerLetter"/>
      <w:lvlText w:val="%8."/>
      <w:lvlJc w:val="left"/>
      <w:pPr>
        <w:ind w:left="6108" w:hanging="360"/>
      </w:pPr>
    </w:lvl>
    <w:lvl w:ilvl="8" w:tplc="240A001B" w:tentative="1">
      <w:start w:val="1"/>
      <w:numFmt w:val="lowerRoman"/>
      <w:lvlText w:val="%9."/>
      <w:lvlJc w:val="right"/>
      <w:pPr>
        <w:ind w:left="6828" w:hanging="180"/>
      </w:pPr>
    </w:lvl>
  </w:abstractNum>
  <w:abstractNum w:abstractNumId="25" w15:restartNumberingAfterBreak="0">
    <w:nsid w:val="41093C29"/>
    <w:multiLevelType w:val="hybridMultilevel"/>
    <w:tmpl w:val="3C16A40E"/>
    <w:lvl w:ilvl="0" w:tplc="240A0001">
      <w:start w:val="1"/>
      <w:numFmt w:val="bullet"/>
      <w:lvlText w:val=""/>
      <w:lvlJc w:val="left"/>
      <w:pPr>
        <w:ind w:left="1080" w:hanging="360"/>
      </w:pPr>
      <w:rPr>
        <w:rFonts w:ascii="Symbol" w:hAnsi="Symbol" w:hint="default"/>
      </w:rPr>
    </w:lvl>
    <w:lvl w:ilvl="1" w:tplc="240A0003" w:tentative="1">
      <w:start w:val="1"/>
      <w:numFmt w:val="bullet"/>
      <w:lvlText w:val="o"/>
      <w:lvlJc w:val="left"/>
      <w:pPr>
        <w:ind w:left="1800" w:hanging="360"/>
      </w:pPr>
      <w:rPr>
        <w:rFonts w:ascii="Courier New" w:hAnsi="Courier New" w:cs="Courier New" w:hint="default"/>
      </w:rPr>
    </w:lvl>
    <w:lvl w:ilvl="2" w:tplc="240A0005" w:tentative="1">
      <w:start w:val="1"/>
      <w:numFmt w:val="bullet"/>
      <w:lvlText w:val=""/>
      <w:lvlJc w:val="left"/>
      <w:pPr>
        <w:ind w:left="2520" w:hanging="360"/>
      </w:pPr>
      <w:rPr>
        <w:rFonts w:ascii="Wingdings" w:hAnsi="Wingdings" w:hint="default"/>
      </w:rPr>
    </w:lvl>
    <w:lvl w:ilvl="3" w:tplc="240A0001" w:tentative="1">
      <w:start w:val="1"/>
      <w:numFmt w:val="bullet"/>
      <w:lvlText w:val=""/>
      <w:lvlJc w:val="left"/>
      <w:pPr>
        <w:ind w:left="3240" w:hanging="360"/>
      </w:pPr>
      <w:rPr>
        <w:rFonts w:ascii="Symbol" w:hAnsi="Symbol" w:hint="default"/>
      </w:rPr>
    </w:lvl>
    <w:lvl w:ilvl="4" w:tplc="240A0003" w:tentative="1">
      <w:start w:val="1"/>
      <w:numFmt w:val="bullet"/>
      <w:lvlText w:val="o"/>
      <w:lvlJc w:val="left"/>
      <w:pPr>
        <w:ind w:left="3960" w:hanging="360"/>
      </w:pPr>
      <w:rPr>
        <w:rFonts w:ascii="Courier New" w:hAnsi="Courier New" w:cs="Courier New" w:hint="default"/>
      </w:rPr>
    </w:lvl>
    <w:lvl w:ilvl="5" w:tplc="240A0005" w:tentative="1">
      <w:start w:val="1"/>
      <w:numFmt w:val="bullet"/>
      <w:lvlText w:val=""/>
      <w:lvlJc w:val="left"/>
      <w:pPr>
        <w:ind w:left="4680" w:hanging="360"/>
      </w:pPr>
      <w:rPr>
        <w:rFonts w:ascii="Wingdings" w:hAnsi="Wingdings" w:hint="default"/>
      </w:rPr>
    </w:lvl>
    <w:lvl w:ilvl="6" w:tplc="240A0001" w:tentative="1">
      <w:start w:val="1"/>
      <w:numFmt w:val="bullet"/>
      <w:lvlText w:val=""/>
      <w:lvlJc w:val="left"/>
      <w:pPr>
        <w:ind w:left="5400" w:hanging="360"/>
      </w:pPr>
      <w:rPr>
        <w:rFonts w:ascii="Symbol" w:hAnsi="Symbol" w:hint="default"/>
      </w:rPr>
    </w:lvl>
    <w:lvl w:ilvl="7" w:tplc="240A0003" w:tentative="1">
      <w:start w:val="1"/>
      <w:numFmt w:val="bullet"/>
      <w:lvlText w:val="o"/>
      <w:lvlJc w:val="left"/>
      <w:pPr>
        <w:ind w:left="6120" w:hanging="360"/>
      </w:pPr>
      <w:rPr>
        <w:rFonts w:ascii="Courier New" w:hAnsi="Courier New" w:cs="Courier New" w:hint="default"/>
      </w:rPr>
    </w:lvl>
    <w:lvl w:ilvl="8" w:tplc="240A0005" w:tentative="1">
      <w:start w:val="1"/>
      <w:numFmt w:val="bullet"/>
      <w:lvlText w:val=""/>
      <w:lvlJc w:val="left"/>
      <w:pPr>
        <w:ind w:left="6840" w:hanging="360"/>
      </w:pPr>
      <w:rPr>
        <w:rFonts w:ascii="Wingdings" w:hAnsi="Wingdings" w:hint="default"/>
      </w:rPr>
    </w:lvl>
  </w:abstractNum>
  <w:abstractNum w:abstractNumId="26" w15:restartNumberingAfterBreak="0">
    <w:nsid w:val="42451A27"/>
    <w:multiLevelType w:val="hybridMultilevel"/>
    <w:tmpl w:val="240EB1FE"/>
    <w:lvl w:ilvl="0" w:tplc="7BFAC960">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7" w15:restartNumberingAfterBreak="0">
    <w:nsid w:val="484B19DF"/>
    <w:multiLevelType w:val="hybridMultilevel"/>
    <w:tmpl w:val="D7986036"/>
    <w:lvl w:ilvl="0" w:tplc="62D2981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8" w15:restartNumberingAfterBreak="0">
    <w:nsid w:val="49CA10FA"/>
    <w:multiLevelType w:val="hybridMultilevel"/>
    <w:tmpl w:val="A118AA0C"/>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49F0307A"/>
    <w:multiLevelType w:val="hybridMultilevel"/>
    <w:tmpl w:val="044AEF3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0" w15:restartNumberingAfterBreak="0">
    <w:nsid w:val="4F8C6BE7"/>
    <w:multiLevelType w:val="hybridMultilevel"/>
    <w:tmpl w:val="05E6A832"/>
    <w:lvl w:ilvl="0" w:tplc="37FAE580">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0A05AFF"/>
    <w:multiLevelType w:val="hybridMultilevel"/>
    <w:tmpl w:val="85CA0F80"/>
    <w:lvl w:ilvl="0" w:tplc="EDF44304">
      <w:start w:val="2"/>
      <w:numFmt w:val="bullet"/>
      <w:lvlText w:val=""/>
      <w:lvlJc w:val="left"/>
      <w:pPr>
        <w:ind w:left="720" w:hanging="360"/>
      </w:pPr>
      <w:rPr>
        <w:rFonts w:ascii="Symbol" w:eastAsia="Times New Roman" w:hAnsi="Symbol" w:cs="Gish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2" w15:restartNumberingAfterBreak="0">
    <w:nsid w:val="528B63E7"/>
    <w:multiLevelType w:val="hybridMultilevel"/>
    <w:tmpl w:val="6F0C9238"/>
    <w:lvl w:ilvl="0" w:tplc="5D340AAA">
      <w:numFmt w:val="bullet"/>
      <w:lvlText w:val="-"/>
      <w:lvlJc w:val="left"/>
      <w:pPr>
        <w:ind w:left="1068" w:hanging="360"/>
      </w:pPr>
      <w:rPr>
        <w:rFonts w:ascii="Arial Narrow" w:eastAsia="Times New Roman" w:hAnsi="Arial Narrow" w:cs="Gisha" w:hint="default"/>
      </w:rPr>
    </w:lvl>
    <w:lvl w:ilvl="1" w:tplc="240A0003" w:tentative="1">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33" w15:restartNumberingAfterBreak="0">
    <w:nsid w:val="5C062B91"/>
    <w:multiLevelType w:val="hybridMultilevel"/>
    <w:tmpl w:val="31E0D270"/>
    <w:lvl w:ilvl="0" w:tplc="5D340AAA">
      <w:numFmt w:val="bullet"/>
      <w:lvlText w:val="-"/>
      <w:lvlJc w:val="left"/>
      <w:pPr>
        <w:ind w:left="720" w:hanging="360"/>
      </w:pPr>
      <w:rPr>
        <w:rFonts w:ascii="Arial Narrow" w:eastAsia="Times New Roman" w:hAnsi="Arial Narrow" w:cs="Gish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5D315B52"/>
    <w:multiLevelType w:val="hybridMultilevel"/>
    <w:tmpl w:val="F1D668EA"/>
    <w:lvl w:ilvl="0" w:tplc="28D03C76">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5" w15:restartNumberingAfterBreak="0">
    <w:nsid w:val="60A02C2E"/>
    <w:multiLevelType w:val="hybridMultilevel"/>
    <w:tmpl w:val="5B2AD8B8"/>
    <w:lvl w:ilvl="0" w:tplc="A81EFCE4">
      <w:start w:val="2"/>
      <w:numFmt w:val="bullet"/>
      <w:lvlText w:val=""/>
      <w:lvlJc w:val="left"/>
      <w:pPr>
        <w:ind w:left="720" w:hanging="360"/>
      </w:pPr>
      <w:rPr>
        <w:rFonts w:ascii="Symbol" w:eastAsia="Times New Roman" w:hAnsi="Symbo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6" w15:restartNumberingAfterBreak="0">
    <w:nsid w:val="610B3EC7"/>
    <w:multiLevelType w:val="hybridMultilevel"/>
    <w:tmpl w:val="7A3606E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7" w15:restartNumberingAfterBreak="0">
    <w:nsid w:val="639B6E64"/>
    <w:multiLevelType w:val="hybridMultilevel"/>
    <w:tmpl w:val="C2EEB83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8" w15:restartNumberingAfterBreak="0">
    <w:nsid w:val="647F2FD7"/>
    <w:multiLevelType w:val="hybridMultilevel"/>
    <w:tmpl w:val="C90687BA"/>
    <w:lvl w:ilvl="0" w:tplc="D750CD18">
      <w:start w:val="3"/>
      <w:numFmt w:val="bullet"/>
      <w:lvlText w:val=""/>
      <w:lvlJc w:val="left"/>
      <w:pPr>
        <w:ind w:left="720" w:hanging="360"/>
      </w:pPr>
      <w:rPr>
        <w:rFonts w:ascii="Symbol" w:eastAsia="Times New Roman" w:hAnsi="Symbol" w:cs="Gisha"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9" w15:restartNumberingAfterBreak="0">
    <w:nsid w:val="6DB224EC"/>
    <w:multiLevelType w:val="hybridMultilevel"/>
    <w:tmpl w:val="7206AF92"/>
    <w:lvl w:ilvl="0" w:tplc="020CD644">
      <w:numFmt w:val="bullet"/>
      <w:lvlText w:val="-"/>
      <w:lvlJc w:val="left"/>
      <w:pPr>
        <w:ind w:left="720" w:hanging="360"/>
      </w:pPr>
      <w:rPr>
        <w:rFonts w:ascii="Arial Narrow" w:eastAsia="Times New Roman" w:hAnsi="Arial Narrow" w:cs="Times New Roman"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0" w15:restartNumberingAfterBreak="0">
    <w:nsid w:val="6F9D209C"/>
    <w:multiLevelType w:val="hybridMultilevel"/>
    <w:tmpl w:val="FF18F3D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1" w15:restartNumberingAfterBreak="0">
    <w:nsid w:val="7AB671CE"/>
    <w:multiLevelType w:val="hybridMultilevel"/>
    <w:tmpl w:val="B7A4AAAA"/>
    <w:lvl w:ilvl="0" w:tplc="22FED14A">
      <w:start w:val="2"/>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2" w15:restartNumberingAfterBreak="0">
    <w:nsid w:val="7CBD3BE9"/>
    <w:multiLevelType w:val="hybridMultilevel"/>
    <w:tmpl w:val="03A8A3C6"/>
    <w:lvl w:ilvl="0" w:tplc="080A0001">
      <w:start w:val="1"/>
      <w:numFmt w:val="bullet"/>
      <w:lvlText w:val=""/>
      <w:lvlJc w:val="left"/>
      <w:pPr>
        <w:ind w:left="770" w:hanging="360"/>
      </w:pPr>
      <w:rPr>
        <w:rFonts w:ascii="Symbol" w:hAnsi="Symbol" w:hint="default"/>
      </w:rPr>
    </w:lvl>
    <w:lvl w:ilvl="1" w:tplc="080A0003" w:tentative="1">
      <w:start w:val="1"/>
      <w:numFmt w:val="bullet"/>
      <w:lvlText w:val="o"/>
      <w:lvlJc w:val="left"/>
      <w:pPr>
        <w:ind w:left="1490" w:hanging="360"/>
      </w:pPr>
      <w:rPr>
        <w:rFonts w:ascii="Courier New" w:hAnsi="Courier New" w:cs="Courier New" w:hint="default"/>
      </w:rPr>
    </w:lvl>
    <w:lvl w:ilvl="2" w:tplc="080A0005" w:tentative="1">
      <w:start w:val="1"/>
      <w:numFmt w:val="bullet"/>
      <w:lvlText w:val=""/>
      <w:lvlJc w:val="left"/>
      <w:pPr>
        <w:ind w:left="2210" w:hanging="360"/>
      </w:pPr>
      <w:rPr>
        <w:rFonts w:ascii="Wingdings" w:hAnsi="Wingdings" w:hint="default"/>
      </w:rPr>
    </w:lvl>
    <w:lvl w:ilvl="3" w:tplc="080A0001" w:tentative="1">
      <w:start w:val="1"/>
      <w:numFmt w:val="bullet"/>
      <w:lvlText w:val=""/>
      <w:lvlJc w:val="left"/>
      <w:pPr>
        <w:ind w:left="2930" w:hanging="360"/>
      </w:pPr>
      <w:rPr>
        <w:rFonts w:ascii="Symbol" w:hAnsi="Symbol" w:hint="default"/>
      </w:rPr>
    </w:lvl>
    <w:lvl w:ilvl="4" w:tplc="080A0003" w:tentative="1">
      <w:start w:val="1"/>
      <w:numFmt w:val="bullet"/>
      <w:lvlText w:val="o"/>
      <w:lvlJc w:val="left"/>
      <w:pPr>
        <w:ind w:left="3650" w:hanging="360"/>
      </w:pPr>
      <w:rPr>
        <w:rFonts w:ascii="Courier New" w:hAnsi="Courier New" w:cs="Courier New" w:hint="default"/>
      </w:rPr>
    </w:lvl>
    <w:lvl w:ilvl="5" w:tplc="080A0005" w:tentative="1">
      <w:start w:val="1"/>
      <w:numFmt w:val="bullet"/>
      <w:lvlText w:val=""/>
      <w:lvlJc w:val="left"/>
      <w:pPr>
        <w:ind w:left="4370" w:hanging="360"/>
      </w:pPr>
      <w:rPr>
        <w:rFonts w:ascii="Wingdings" w:hAnsi="Wingdings" w:hint="default"/>
      </w:rPr>
    </w:lvl>
    <w:lvl w:ilvl="6" w:tplc="080A0001" w:tentative="1">
      <w:start w:val="1"/>
      <w:numFmt w:val="bullet"/>
      <w:lvlText w:val=""/>
      <w:lvlJc w:val="left"/>
      <w:pPr>
        <w:ind w:left="5090" w:hanging="360"/>
      </w:pPr>
      <w:rPr>
        <w:rFonts w:ascii="Symbol" w:hAnsi="Symbol" w:hint="default"/>
      </w:rPr>
    </w:lvl>
    <w:lvl w:ilvl="7" w:tplc="080A0003" w:tentative="1">
      <w:start w:val="1"/>
      <w:numFmt w:val="bullet"/>
      <w:lvlText w:val="o"/>
      <w:lvlJc w:val="left"/>
      <w:pPr>
        <w:ind w:left="5810" w:hanging="360"/>
      </w:pPr>
      <w:rPr>
        <w:rFonts w:ascii="Courier New" w:hAnsi="Courier New" w:cs="Courier New" w:hint="default"/>
      </w:rPr>
    </w:lvl>
    <w:lvl w:ilvl="8" w:tplc="080A0005" w:tentative="1">
      <w:start w:val="1"/>
      <w:numFmt w:val="bullet"/>
      <w:lvlText w:val=""/>
      <w:lvlJc w:val="left"/>
      <w:pPr>
        <w:ind w:left="6530" w:hanging="360"/>
      </w:pPr>
      <w:rPr>
        <w:rFonts w:ascii="Wingdings" w:hAnsi="Wingdings" w:hint="default"/>
      </w:rPr>
    </w:lvl>
  </w:abstractNum>
  <w:num w:numId="1">
    <w:abstractNumId w:val="36"/>
  </w:num>
  <w:num w:numId="2">
    <w:abstractNumId w:val="11"/>
  </w:num>
  <w:num w:numId="3">
    <w:abstractNumId w:val="28"/>
  </w:num>
  <w:num w:numId="4">
    <w:abstractNumId w:val="20"/>
  </w:num>
  <w:num w:numId="5">
    <w:abstractNumId w:val="1"/>
  </w:num>
  <w:num w:numId="6">
    <w:abstractNumId w:val="15"/>
  </w:num>
  <w:num w:numId="7">
    <w:abstractNumId w:val="22"/>
  </w:num>
  <w:num w:numId="8">
    <w:abstractNumId w:val="42"/>
  </w:num>
  <w:num w:numId="9">
    <w:abstractNumId w:val="8"/>
  </w:num>
  <w:num w:numId="10">
    <w:abstractNumId w:val="7"/>
  </w:num>
  <w:num w:numId="11">
    <w:abstractNumId w:val="38"/>
  </w:num>
  <w:num w:numId="12">
    <w:abstractNumId w:val="37"/>
  </w:num>
  <w:num w:numId="13">
    <w:abstractNumId w:val="21"/>
  </w:num>
  <w:num w:numId="14">
    <w:abstractNumId w:val="16"/>
  </w:num>
  <w:num w:numId="15">
    <w:abstractNumId w:val="32"/>
  </w:num>
  <w:num w:numId="16">
    <w:abstractNumId w:val="25"/>
  </w:num>
  <w:num w:numId="17">
    <w:abstractNumId w:val="40"/>
  </w:num>
  <w:num w:numId="18">
    <w:abstractNumId w:val="14"/>
  </w:num>
  <w:num w:numId="19">
    <w:abstractNumId w:val="30"/>
  </w:num>
  <w:num w:numId="20">
    <w:abstractNumId w:val="9"/>
  </w:num>
  <w:num w:numId="21">
    <w:abstractNumId w:val="33"/>
  </w:num>
  <w:num w:numId="22">
    <w:abstractNumId w:val="3"/>
  </w:num>
  <w:num w:numId="23">
    <w:abstractNumId w:val="23"/>
  </w:num>
  <w:num w:numId="24">
    <w:abstractNumId w:val="41"/>
  </w:num>
  <w:num w:numId="25">
    <w:abstractNumId w:val="35"/>
  </w:num>
  <w:num w:numId="26">
    <w:abstractNumId w:val="31"/>
  </w:num>
  <w:num w:numId="27">
    <w:abstractNumId w:val="4"/>
  </w:num>
  <w:num w:numId="28">
    <w:abstractNumId w:val="17"/>
  </w:num>
  <w:num w:numId="29">
    <w:abstractNumId w:val="19"/>
  </w:num>
  <w:num w:numId="30">
    <w:abstractNumId w:val="10"/>
  </w:num>
  <w:num w:numId="31">
    <w:abstractNumId w:val="2"/>
  </w:num>
  <w:num w:numId="32">
    <w:abstractNumId w:val="26"/>
  </w:num>
  <w:num w:numId="33">
    <w:abstractNumId w:val="0"/>
  </w:num>
  <w:num w:numId="34">
    <w:abstractNumId w:val="39"/>
  </w:num>
  <w:num w:numId="35">
    <w:abstractNumId w:val="34"/>
  </w:num>
  <w:num w:numId="36">
    <w:abstractNumId w:val="6"/>
  </w:num>
  <w:num w:numId="37">
    <w:abstractNumId w:val="12"/>
  </w:num>
  <w:num w:numId="38">
    <w:abstractNumId w:val="18"/>
  </w:num>
  <w:num w:numId="39">
    <w:abstractNumId w:val="27"/>
  </w:num>
  <w:num w:numId="40">
    <w:abstractNumId w:val="24"/>
  </w:num>
  <w:num w:numId="41">
    <w:abstractNumId w:val="5"/>
  </w:num>
  <w:num w:numId="42">
    <w:abstractNumId w:val="13"/>
  </w:num>
  <w:num w:numId="4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DF6"/>
    <w:rsid w:val="00000085"/>
    <w:rsid w:val="00010A62"/>
    <w:rsid w:val="00011C78"/>
    <w:rsid w:val="00013ABB"/>
    <w:rsid w:val="00015E59"/>
    <w:rsid w:val="00016390"/>
    <w:rsid w:val="00017E4E"/>
    <w:rsid w:val="00021022"/>
    <w:rsid w:val="000243A8"/>
    <w:rsid w:val="000245C4"/>
    <w:rsid w:val="00024D1E"/>
    <w:rsid w:val="00027C73"/>
    <w:rsid w:val="00032B9C"/>
    <w:rsid w:val="00033583"/>
    <w:rsid w:val="00033E95"/>
    <w:rsid w:val="0003418B"/>
    <w:rsid w:val="000347CC"/>
    <w:rsid w:val="000367EF"/>
    <w:rsid w:val="00042954"/>
    <w:rsid w:val="000465FD"/>
    <w:rsid w:val="0005195B"/>
    <w:rsid w:val="0005293F"/>
    <w:rsid w:val="00052CF2"/>
    <w:rsid w:val="0005610F"/>
    <w:rsid w:val="000579F9"/>
    <w:rsid w:val="00060590"/>
    <w:rsid w:val="00060FB0"/>
    <w:rsid w:val="00062F65"/>
    <w:rsid w:val="0006397E"/>
    <w:rsid w:val="00066D34"/>
    <w:rsid w:val="00071025"/>
    <w:rsid w:val="00071575"/>
    <w:rsid w:val="0007294E"/>
    <w:rsid w:val="00072E07"/>
    <w:rsid w:val="0007482B"/>
    <w:rsid w:val="00075DEC"/>
    <w:rsid w:val="00076BC5"/>
    <w:rsid w:val="000800C8"/>
    <w:rsid w:val="00081A29"/>
    <w:rsid w:val="000823B4"/>
    <w:rsid w:val="00083F12"/>
    <w:rsid w:val="00086001"/>
    <w:rsid w:val="00087C50"/>
    <w:rsid w:val="00092B27"/>
    <w:rsid w:val="00095090"/>
    <w:rsid w:val="000966BC"/>
    <w:rsid w:val="000A09D3"/>
    <w:rsid w:val="000A13FF"/>
    <w:rsid w:val="000A1939"/>
    <w:rsid w:val="000A3110"/>
    <w:rsid w:val="000A580D"/>
    <w:rsid w:val="000B1C25"/>
    <w:rsid w:val="000B3449"/>
    <w:rsid w:val="000B5074"/>
    <w:rsid w:val="000B770B"/>
    <w:rsid w:val="000B7E37"/>
    <w:rsid w:val="000C21AE"/>
    <w:rsid w:val="000C33F2"/>
    <w:rsid w:val="000C38BE"/>
    <w:rsid w:val="000C3DF7"/>
    <w:rsid w:val="000C550D"/>
    <w:rsid w:val="000C732A"/>
    <w:rsid w:val="000D00C7"/>
    <w:rsid w:val="000D0FBA"/>
    <w:rsid w:val="000D10D5"/>
    <w:rsid w:val="000D2A0A"/>
    <w:rsid w:val="000D3CBE"/>
    <w:rsid w:val="000D3F00"/>
    <w:rsid w:val="000D484B"/>
    <w:rsid w:val="000E0672"/>
    <w:rsid w:val="000E14F4"/>
    <w:rsid w:val="000E2386"/>
    <w:rsid w:val="000E31A9"/>
    <w:rsid w:val="000E33CC"/>
    <w:rsid w:val="000F0E22"/>
    <w:rsid w:val="000F172D"/>
    <w:rsid w:val="000F5960"/>
    <w:rsid w:val="000F5E98"/>
    <w:rsid w:val="001002FB"/>
    <w:rsid w:val="00103FBB"/>
    <w:rsid w:val="00104521"/>
    <w:rsid w:val="00104634"/>
    <w:rsid w:val="001054DE"/>
    <w:rsid w:val="0010556E"/>
    <w:rsid w:val="00105635"/>
    <w:rsid w:val="00106F1A"/>
    <w:rsid w:val="001072AC"/>
    <w:rsid w:val="0011163B"/>
    <w:rsid w:val="00112759"/>
    <w:rsid w:val="00112D0A"/>
    <w:rsid w:val="001149B1"/>
    <w:rsid w:val="0011662B"/>
    <w:rsid w:val="0012135C"/>
    <w:rsid w:val="00122AF3"/>
    <w:rsid w:val="00123054"/>
    <w:rsid w:val="00123D8A"/>
    <w:rsid w:val="001243A1"/>
    <w:rsid w:val="00124AE8"/>
    <w:rsid w:val="00126D9E"/>
    <w:rsid w:val="00127DEB"/>
    <w:rsid w:val="001359D7"/>
    <w:rsid w:val="00137BD8"/>
    <w:rsid w:val="00140559"/>
    <w:rsid w:val="00146907"/>
    <w:rsid w:val="00147465"/>
    <w:rsid w:val="00147E14"/>
    <w:rsid w:val="00151407"/>
    <w:rsid w:val="001526FA"/>
    <w:rsid w:val="001561FC"/>
    <w:rsid w:val="0015642C"/>
    <w:rsid w:val="00164330"/>
    <w:rsid w:val="0016737C"/>
    <w:rsid w:val="001703F1"/>
    <w:rsid w:val="00171376"/>
    <w:rsid w:val="001718CA"/>
    <w:rsid w:val="0017197F"/>
    <w:rsid w:val="001732E2"/>
    <w:rsid w:val="001774C3"/>
    <w:rsid w:val="00181612"/>
    <w:rsid w:val="00181B1C"/>
    <w:rsid w:val="00185B6E"/>
    <w:rsid w:val="00190659"/>
    <w:rsid w:val="00190706"/>
    <w:rsid w:val="001909D9"/>
    <w:rsid w:val="00190EF2"/>
    <w:rsid w:val="00191336"/>
    <w:rsid w:val="00193206"/>
    <w:rsid w:val="00193FD4"/>
    <w:rsid w:val="001960E9"/>
    <w:rsid w:val="001A1524"/>
    <w:rsid w:val="001A485A"/>
    <w:rsid w:val="001A5620"/>
    <w:rsid w:val="001A70C9"/>
    <w:rsid w:val="001A7EA1"/>
    <w:rsid w:val="001B02B3"/>
    <w:rsid w:val="001B097F"/>
    <w:rsid w:val="001B0EC7"/>
    <w:rsid w:val="001B45D7"/>
    <w:rsid w:val="001B5A72"/>
    <w:rsid w:val="001B6D4C"/>
    <w:rsid w:val="001C04FA"/>
    <w:rsid w:val="001C0CD6"/>
    <w:rsid w:val="001C0E82"/>
    <w:rsid w:val="001C12FB"/>
    <w:rsid w:val="001D084F"/>
    <w:rsid w:val="001D2DDC"/>
    <w:rsid w:val="001D334C"/>
    <w:rsid w:val="001D351D"/>
    <w:rsid w:val="001D3F8E"/>
    <w:rsid w:val="001D5BCE"/>
    <w:rsid w:val="001D6DD2"/>
    <w:rsid w:val="001E30A8"/>
    <w:rsid w:val="001E588A"/>
    <w:rsid w:val="001E79C7"/>
    <w:rsid w:val="001F08BE"/>
    <w:rsid w:val="001F0B69"/>
    <w:rsid w:val="001F3CC4"/>
    <w:rsid w:val="001F46A6"/>
    <w:rsid w:val="001F4932"/>
    <w:rsid w:val="001F4F7B"/>
    <w:rsid w:val="001F5EAC"/>
    <w:rsid w:val="001F6EA8"/>
    <w:rsid w:val="0020088F"/>
    <w:rsid w:val="00203768"/>
    <w:rsid w:val="002037A1"/>
    <w:rsid w:val="0020450D"/>
    <w:rsid w:val="00205B6C"/>
    <w:rsid w:val="00205E6C"/>
    <w:rsid w:val="00205FBB"/>
    <w:rsid w:val="00212790"/>
    <w:rsid w:val="00215474"/>
    <w:rsid w:val="002204DC"/>
    <w:rsid w:val="002235EE"/>
    <w:rsid w:val="00223AEC"/>
    <w:rsid w:val="00225654"/>
    <w:rsid w:val="0022618E"/>
    <w:rsid w:val="00227747"/>
    <w:rsid w:val="00233289"/>
    <w:rsid w:val="0023492B"/>
    <w:rsid w:val="00236494"/>
    <w:rsid w:val="002379A3"/>
    <w:rsid w:val="00237CE3"/>
    <w:rsid w:val="00241206"/>
    <w:rsid w:val="00242A7C"/>
    <w:rsid w:val="00242C09"/>
    <w:rsid w:val="0025067A"/>
    <w:rsid w:val="00251556"/>
    <w:rsid w:val="00262DAF"/>
    <w:rsid w:val="002642A1"/>
    <w:rsid w:val="00265AE1"/>
    <w:rsid w:val="002676CF"/>
    <w:rsid w:val="00267CB6"/>
    <w:rsid w:val="00270C62"/>
    <w:rsid w:val="0027503A"/>
    <w:rsid w:val="0027665C"/>
    <w:rsid w:val="00280699"/>
    <w:rsid w:val="00284252"/>
    <w:rsid w:val="002852E6"/>
    <w:rsid w:val="00287AEC"/>
    <w:rsid w:val="00292560"/>
    <w:rsid w:val="002947DD"/>
    <w:rsid w:val="0029515B"/>
    <w:rsid w:val="002A028A"/>
    <w:rsid w:val="002A0888"/>
    <w:rsid w:val="002A15C1"/>
    <w:rsid w:val="002A17AC"/>
    <w:rsid w:val="002A4156"/>
    <w:rsid w:val="002A6331"/>
    <w:rsid w:val="002B064E"/>
    <w:rsid w:val="002B141E"/>
    <w:rsid w:val="002B5478"/>
    <w:rsid w:val="002B5600"/>
    <w:rsid w:val="002B60BA"/>
    <w:rsid w:val="002C19BE"/>
    <w:rsid w:val="002C35EB"/>
    <w:rsid w:val="002C3756"/>
    <w:rsid w:val="002C4189"/>
    <w:rsid w:val="002C4CB6"/>
    <w:rsid w:val="002C74C1"/>
    <w:rsid w:val="002C7F3C"/>
    <w:rsid w:val="002D041D"/>
    <w:rsid w:val="002D0945"/>
    <w:rsid w:val="002D0AD1"/>
    <w:rsid w:val="002D0B40"/>
    <w:rsid w:val="002D1A55"/>
    <w:rsid w:val="002D1A69"/>
    <w:rsid w:val="002D1FEA"/>
    <w:rsid w:val="002D5C4D"/>
    <w:rsid w:val="002D6DC7"/>
    <w:rsid w:val="002D77A0"/>
    <w:rsid w:val="002D781D"/>
    <w:rsid w:val="002E205E"/>
    <w:rsid w:val="002E45AA"/>
    <w:rsid w:val="002E5124"/>
    <w:rsid w:val="002E6219"/>
    <w:rsid w:val="002E6370"/>
    <w:rsid w:val="002E7100"/>
    <w:rsid w:val="002E7BA7"/>
    <w:rsid w:val="002F1F9E"/>
    <w:rsid w:val="002F2119"/>
    <w:rsid w:val="002F2756"/>
    <w:rsid w:val="002F7E0C"/>
    <w:rsid w:val="003002E2"/>
    <w:rsid w:val="00301FB1"/>
    <w:rsid w:val="003023DE"/>
    <w:rsid w:val="003025A3"/>
    <w:rsid w:val="0030323D"/>
    <w:rsid w:val="00304054"/>
    <w:rsid w:val="003052EA"/>
    <w:rsid w:val="00305C10"/>
    <w:rsid w:val="0031045D"/>
    <w:rsid w:val="00310554"/>
    <w:rsid w:val="003108CE"/>
    <w:rsid w:val="003136BE"/>
    <w:rsid w:val="00317203"/>
    <w:rsid w:val="003202CB"/>
    <w:rsid w:val="00320F20"/>
    <w:rsid w:val="003214C2"/>
    <w:rsid w:val="00322C5D"/>
    <w:rsid w:val="003254FF"/>
    <w:rsid w:val="00326DC2"/>
    <w:rsid w:val="0032762C"/>
    <w:rsid w:val="00327658"/>
    <w:rsid w:val="00330A5F"/>
    <w:rsid w:val="00331C68"/>
    <w:rsid w:val="003320F6"/>
    <w:rsid w:val="00332C4E"/>
    <w:rsid w:val="0033444F"/>
    <w:rsid w:val="003372DB"/>
    <w:rsid w:val="003448C7"/>
    <w:rsid w:val="00344F6C"/>
    <w:rsid w:val="00346D79"/>
    <w:rsid w:val="0034787E"/>
    <w:rsid w:val="00347A4B"/>
    <w:rsid w:val="00350B8D"/>
    <w:rsid w:val="00350D1D"/>
    <w:rsid w:val="00352B06"/>
    <w:rsid w:val="00353147"/>
    <w:rsid w:val="0035523E"/>
    <w:rsid w:val="00357633"/>
    <w:rsid w:val="00360DBC"/>
    <w:rsid w:val="003611B9"/>
    <w:rsid w:val="003627CD"/>
    <w:rsid w:val="00366E43"/>
    <w:rsid w:val="00370C84"/>
    <w:rsid w:val="00372534"/>
    <w:rsid w:val="003727F3"/>
    <w:rsid w:val="00373302"/>
    <w:rsid w:val="00375457"/>
    <w:rsid w:val="003777DD"/>
    <w:rsid w:val="00381DE7"/>
    <w:rsid w:val="0038223A"/>
    <w:rsid w:val="00383510"/>
    <w:rsid w:val="00385252"/>
    <w:rsid w:val="00391865"/>
    <w:rsid w:val="00391A8B"/>
    <w:rsid w:val="00392418"/>
    <w:rsid w:val="0039265E"/>
    <w:rsid w:val="00392721"/>
    <w:rsid w:val="00392823"/>
    <w:rsid w:val="00393ACA"/>
    <w:rsid w:val="003945B4"/>
    <w:rsid w:val="00396B13"/>
    <w:rsid w:val="003A68C0"/>
    <w:rsid w:val="003A7520"/>
    <w:rsid w:val="003B0649"/>
    <w:rsid w:val="003B07CA"/>
    <w:rsid w:val="003B2D35"/>
    <w:rsid w:val="003B2EE7"/>
    <w:rsid w:val="003B36D0"/>
    <w:rsid w:val="003B3E7A"/>
    <w:rsid w:val="003B576E"/>
    <w:rsid w:val="003B5862"/>
    <w:rsid w:val="003B706F"/>
    <w:rsid w:val="003C1681"/>
    <w:rsid w:val="003C26EA"/>
    <w:rsid w:val="003C310E"/>
    <w:rsid w:val="003D01EE"/>
    <w:rsid w:val="003D122C"/>
    <w:rsid w:val="003D3F63"/>
    <w:rsid w:val="003D4931"/>
    <w:rsid w:val="003D4DB0"/>
    <w:rsid w:val="003D5481"/>
    <w:rsid w:val="003D6161"/>
    <w:rsid w:val="003D679C"/>
    <w:rsid w:val="003E1800"/>
    <w:rsid w:val="003E2F00"/>
    <w:rsid w:val="003E6883"/>
    <w:rsid w:val="003E766D"/>
    <w:rsid w:val="003F04BA"/>
    <w:rsid w:val="003F22EB"/>
    <w:rsid w:val="003F2EA6"/>
    <w:rsid w:val="003F395E"/>
    <w:rsid w:val="003F4072"/>
    <w:rsid w:val="003F45AB"/>
    <w:rsid w:val="003F6B43"/>
    <w:rsid w:val="003F7826"/>
    <w:rsid w:val="00400530"/>
    <w:rsid w:val="0040124F"/>
    <w:rsid w:val="004015EE"/>
    <w:rsid w:val="0040176B"/>
    <w:rsid w:val="004018D1"/>
    <w:rsid w:val="004026F6"/>
    <w:rsid w:val="0040331F"/>
    <w:rsid w:val="00406379"/>
    <w:rsid w:val="00406B31"/>
    <w:rsid w:val="00407BEC"/>
    <w:rsid w:val="00410642"/>
    <w:rsid w:val="004108FF"/>
    <w:rsid w:val="00411576"/>
    <w:rsid w:val="00413984"/>
    <w:rsid w:val="004159F1"/>
    <w:rsid w:val="004174A3"/>
    <w:rsid w:val="00423F86"/>
    <w:rsid w:val="00424A82"/>
    <w:rsid w:val="00424FDC"/>
    <w:rsid w:val="0042594A"/>
    <w:rsid w:val="00426E62"/>
    <w:rsid w:val="004272F2"/>
    <w:rsid w:val="004324FE"/>
    <w:rsid w:val="00432AD2"/>
    <w:rsid w:val="00434732"/>
    <w:rsid w:val="00436BF6"/>
    <w:rsid w:val="00442D78"/>
    <w:rsid w:val="00443842"/>
    <w:rsid w:val="004439AC"/>
    <w:rsid w:val="00445E7B"/>
    <w:rsid w:val="004505DA"/>
    <w:rsid w:val="00452095"/>
    <w:rsid w:val="004535AB"/>
    <w:rsid w:val="0045471E"/>
    <w:rsid w:val="00456C6B"/>
    <w:rsid w:val="0045730B"/>
    <w:rsid w:val="004579E9"/>
    <w:rsid w:val="0046003B"/>
    <w:rsid w:val="00461ED8"/>
    <w:rsid w:val="00463576"/>
    <w:rsid w:val="00463805"/>
    <w:rsid w:val="00463E33"/>
    <w:rsid w:val="00463FF9"/>
    <w:rsid w:val="00464370"/>
    <w:rsid w:val="004700D6"/>
    <w:rsid w:val="004717B8"/>
    <w:rsid w:val="00476AA4"/>
    <w:rsid w:val="00480DE4"/>
    <w:rsid w:val="0048167B"/>
    <w:rsid w:val="00482955"/>
    <w:rsid w:val="00482ABA"/>
    <w:rsid w:val="00483322"/>
    <w:rsid w:val="00484722"/>
    <w:rsid w:val="0048664B"/>
    <w:rsid w:val="004907A8"/>
    <w:rsid w:val="00492F59"/>
    <w:rsid w:val="00493305"/>
    <w:rsid w:val="00493761"/>
    <w:rsid w:val="004949E6"/>
    <w:rsid w:val="00497E3C"/>
    <w:rsid w:val="00497F0E"/>
    <w:rsid w:val="004A0798"/>
    <w:rsid w:val="004A1068"/>
    <w:rsid w:val="004A1F57"/>
    <w:rsid w:val="004A234E"/>
    <w:rsid w:val="004A31F0"/>
    <w:rsid w:val="004A3AE5"/>
    <w:rsid w:val="004A46D2"/>
    <w:rsid w:val="004A4E39"/>
    <w:rsid w:val="004A51F2"/>
    <w:rsid w:val="004A596B"/>
    <w:rsid w:val="004A6E1A"/>
    <w:rsid w:val="004B0476"/>
    <w:rsid w:val="004B11C1"/>
    <w:rsid w:val="004B2CC6"/>
    <w:rsid w:val="004B6206"/>
    <w:rsid w:val="004B6533"/>
    <w:rsid w:val="004B79B9"/>
    <w:rsid w:val="004C1465"/>
    <w:rsid w:val="004C3C25"/>
    <w:rsid w:val="004C4BF2"/>
    <w:rsid w:val="004C61CA"/>
    <w:rsid w:val="004D21A5"/>
    <w:rsid w:val="004D32A1"/>
    <w:rsid w:val="004D38FF"/>
    <w:rsid w:val="004D5B84"/>
    <w:rsid w:val="004D5EB8"/>
    <w:rsid w:val="004E2CCE"/>
    <w:rsid w:val="004E336F"/>
    <w:rsid w:val="004E782E"/>
    <w:rsid w:val="004E7ECE"/>
    <w:rsid w:val="004F0A67"/>
    <w:rsid w:val="004F1FC9"/>
    <w:rsid w:val="004F2FE6"/>
    <w:rsid w:val="004F5B3B"/>
    <w:rsid w:val="004F672B"/>
    <w:rsid w:val="0050646E"/>
    <w:rsid w:val="00506628"/>
    <w:rsid w:val="0050731A"/>
    <w:rsid w:val="00510F39"/>
    <w:rsid w:val="00512900"/>
    <w:rsid w:val="0051391B"/>
    <w:rsid w:val="00513DDF"/>
    <w:rsid w:val="00514EB9"/>
    <w:rsid w:val="00516081"/>
    <w:rsid w:val="00521486"/>
    <w:rsid w:val="00524AEE"/>
    <w:rsid w:val="00524AF6"/>
    <w:rsid w:val="00525193"/>
    <w:rsid w:val="005259A9"/>
    <w:rsid w:val="00525DE9"/>
    <w:rsid w:val="00525FD2"/>
    <w:rsid w:val="005302E1"/>
    <w:rsid w:val="00531143"/>
    <w:rsid w:val="005328EA"/>
    <w:rsid w:val="00533C8E"/>
    <w:rsid w:val="00535BBF"/>
    <w:rsid w:val="00535FA6"/>
    <w:rsid w:val="00540D47"/>
    <w:rsid w:val="00541DC0"/>
    <w:rsid w:val="00544306"/>
    <w:rsid w:val="00547834"/>
    <w:rsid w:val="00552A88"/>
    <w:rsid w:val="00554CCF"/>
    <w:rsid w:val="00555CC2"/>
    <w:rsid w:val="005560C8"/>
    <w:rsid w:val="00556E1F"/>
    <w:rsid w:val="005643A6"/>
    <w:rsid w:val="00565D16"/>
    <w:rsid w:val="005664BE"/>
    <w:rsid w:val="00566B9E"/>
    <w:rsid w:val="005675E0"/>
    <w:rsid w:val="0056785C"/>
    <w:rsid w:val="00567CC3"/>
    <w:rsid w:val="00570799"/>
    <w:rsid w:val="00571D46"/>
    <w:rsid w:val="005727B6"/>
    <w:rsid w:val="005736A6"/>
    <w:rsid w:val="005740C8"/>
    <w:rsid w:val="00576F86"/>
    <w:rsid w:val="00580477"/>
    <w:rsid w:val="00583919"/>
    <w:rsid w:val="00583FAB"/>
    <w:rsid w:val="0058403D"/>
    <w:rsid w:val="00584707"/>
    <w:rsid w:val="00585A80"/>
    <w:rsid w:val="00586B26"/>
    <w:rsid w:val="005873B1"/>
    <w:rsid w:val="005877F3"/>
    <w:rsid w:val="00590248"/>
    <w:rsid w:val="00591078"/>
    <w:rsid w:val="00593298"/>
    <w:rsid w:val="005932C7"/>
    <w:rsid w:val="00594FF8"/>
    <w:rsid w:val="00596B15"/>
    <w:rsid w:val="00597DA2"/>
    <w:rsid w:val="005A0F74"/>
    <w:rsid w:val="005A2036"/>
    <w:rsid w:val="005A2A64"/>
    <w:rsid w:val="005A2D98"/>
    <w:rsid w:val="005B282B"/>
    <w:rsid w:val="005B3BAE"/>
    <w:rsid w:val="005B68FF"/>
    <w:rsid w:val="005C0409"/>
    <w:rsid w:val="005C646D"/>
    <w:rsid w:val="005C6D03"/>
    <w:rsid w:val="005D292A"/>
    <w:rsid w:val="005D345F"/>
    <w:rsid w:val="005D6222"/>
    <w:rsid w:val="005D7F1C"/>
    <w:rsid w:val="005E0810"/>
    <w:rsid w:val="005E089B"/>
    <w:rsid w:val="005E0ACC"/>
    <w:rsid w:val="005E1F75"/>
    <w:rsid w:val="005E387E"/>
    <w:rsid w:val="005E561B"/>
    <w:rsid w:val="005F0808"/>
    <w:rsid w:val="005F0F7E"/>
    <w:rsid w:val="005F4BE3"/>
    <w:rsid w:val="005F50C9"/>
    <w:rsid w:val="005F58F7"/>
    <w:rsid w:val="005F72E5"/>
    <w:rsid w:val="00601958"/>
    <w:rsid w:val="00601B2C"/>
    <w:rsid w:val="00603178"/>
    <w:rsid w:val="0060576C"/>
    <w:rsid w:val="00610751"/>
    <w:rsid w:val="00612824"/>
    <w:rsid w:val="00612925"/>
    <w:rsid w:val="006146A5"/>
    <w:rsid w:val="006147BE"/>
    <w:rsid w:val="00614991"/>
    <w:rsid w:val="0061512F"/>
    <w:rsid w:val="00616D24"/>
    <w:rsid w:val="00617FB3"/>
    <w:rsid w:val="006200A6"/>
    <w:rsid w:val="00621478"/>
    <w:rsid w:val="0062163A"/>
    <w:rsid w:val="0062208F"/>
    <w:rsid w:val="00622C07"/>
    <w:rsid w:val="00625943"/>
    <w:rsid w:val="006260B1"/>
    <w:rsid w:val="00630961"/>
    <w:rsid w:val="006310E2"/>
    <w:rsid w:val="00632D4C"/>
    <w:rsid w:val="006338E1"/>
    <w:rsid w:val="00634871"/>
    <w:rsid w:val="00634B6F"/>
    <w:rsid w:val="00635B36"/>
    <w:rsid w:val="006363DE"/>
    <w:rsid w:val="006364DF"/>
    <w:rsid w:val="00641E64"/>
    <w:rsid w:val="00642802"/>
    <w:rsid w:val="0064463E"/>
    <w:rsid w:val="00645B4E"/>
    <w:rsid w:val="00645DC1"/>
    <w:rsid w:val="0065138B"/>
    <w:rsid w:val="00653D36"/>
    <w:rsid w:val="006543F5"/>
    <w:rsid w:val="00655DEC"/>
    <w:rsid w:val="006564CA"/>
    <w:rsid w:val="00657A75"/>
    <w:rsid w:val="00657DDE"/>
    <w:rsid w:val="00660C3A"/>
    <w:rsid w:val="00663A05"/>
    <w:rsid w:val="00664141"/>
    <w:rsid w:val="00666895"/>
    <w:rsid w:val="00670DF1"/>
    <w:rsid w:val="00671915"/>
    <w:rsid w:val="0067213D"/>
    <w:rsid w:val="00672313"/>
    <w:rsid w:val="00672D50"/>
    <w:rsid w:val="00674EB7"/>
    <w:rsid w:val="00675E1B"/>
    <w:rsid w:val="0067606B"/>
    <w:rsid w:val="00680613"/>
    <w:rsid w:val="006807EE"/>
    <w:rsid w:val="006812BC"/>
    <w:rsid w:val="00686E2E"/>
    <w:rsid w:val="006907A3"/>
    <w:rsid w:val="006930D3"/>
    <w:rsid w:val="0069591F"/>
    <w:rsid w:val="006A1983"/>
    <w:rsid w:val="006A2467"/>
    <w:rsid w:val="006A4E35"/>
    <w:rsid w:val="006A610A"/>
    <w:rsid w:val="006B4827"/>
    <w:rsid w:val="006B486E"/>
    <w:rsid w:val="006B4A06"/>
    <w:rsid w:val="006B529F"/>
    <w:rsid w:val="006B57F6"/>
    <w:rsid w:val="006B66F7"/>
    <w:rsid w:val="006B75CC"/>
    <w:rsid w:val="006C07F0"/>
    <w:rsid w:val="006C25BF"/>
    <w:rsid w:val="006D01AE"/>
    <w:rsid w:val="006D44D1"/>
    <w:rsid w:val="006D746C"/>
    <w:rsid w:val="006E0884"/>
    <w:rsid w:val="006E2432"/>
    <w:rsid w:val="006E3393"/>
    <w:rsid w:val="006E3812"/>
    <w:rsid w:val="006E3A2B"/>
    <w:rsid w:val="006E5318"/>
    <w:rsid w:val="006F425B"/>
    <w:rsid w:val="006F5770"/>
    <w:rsid w:val="006F6BE2"/>
    <w:rsid w:val="006F7069"/>
    <w:rsid w:val="00700BF1"/>
    <w:rsid w:val="007025AE"/>
    <w:rsid w:val="007027C7"/>
    <w:rsid w:val="00703155"/>
    <w:rsid w:val="007032E6"/>
    <w:rsid w:val="007038FB"/>
    <w:rsid w:val="007040B7"/>
    <w:rsid w:val="00706F12"/>
    <w:rsid w:val="00716928"/>
    <w:rsid w:val="0072033D"/>
    <w:rsid w:val="00721A22"/>
    <w:rsid w:val="0072364D"/>
    <w:rsid w:val="00726602"/>
    <w:rsid w:val="00732AD3"/>
    <w:rsid w:val="007337FB"/>
    <w:rsid w:val="0073509C"/>
    <w:rsid w:val="007361AD"/>
    <w:rsid w:val="0073701C"/>
    <w:rsid w:val="00737EFF"/>
    <w:rsid w:val="0074007F"/>
    <w:rsid w:val="00741E7B"/>
    <w:rsid w:val="00742553"/>
    <w:rsid w:val="007446EE"/>
    <w:rsid w:val="00747789"/>
    <w:rsid w:val="00750B23"/>
    <w:rsid w:val="007574EB"/>
    <w:rsid w:val="00757BE2"/>
    <w:rsid w:val="00762DF6"/>
    <w:rsid w:val="007662F2"/>
    <w:rsid w:val="00767981"/>
    <w:rsid w:val="00774328"/>
    <w:rsid w:val="007750C0"/>
    <w:rsid w:val="00776191"/>
    <w:rsid w:val="00781516"/>
    <w:rsid w:val="00782909"/>
    <w:rsid w:val="00783C58"/>
    <w:rsid w:val="00784DA8"/>
    <w:rsid w:val="00785C1C"/>
    <w:rsid w:val="00785E07"/>
    <w:rsid w:val="0078730C"/>
    <w:rsid w:val="00794C2F"/>
    <w:rsid w:val="007A3045"/>
    <w:rsid w:val="007A3294"/>
    <w:rsid w:val="007A3D5C"/>
    <w:rsid w:val="007A3F0E"/>
    <w:rsid w:val="007A4F9F"/>
    <w:rsid w:val="007A576F"/>
    <w:rsid w:val="007A5C79"/>
    <w:rsid w:val="007A5ED7"/>
    <w:rsid w:val="007A7A47"/>
    <w:rsid w:val="007B3BE7"/>
    <w:rsid w:val="007B5CF7"/>
    <w:rsid w:val="007B6CCB"/>
    <w:rsid w:val="007C1F47"/>
    <w:rsid w:val="007C59BC"/>
    <w:rsid w:val="007C696D"/>
    <w:rsid w:val="007D19B3"/>
    <w:rsid w:val="007D2A96"/>
    <w:rsid w:val="007D6A60"/>
    <w:rsid w:val="007D6C32"/>
    <w:rsid w:val="007D7C5C"/>
    <w:rsid w:val="007D7E4C"/>
    <w:rsid w:val="007E4DA3"/>
    <w:rsid w:val="007E5322"/>
    <w:rsid w:val="007E696D"/>
    <w:rsid w:val="007E701D"/>
    <w:rsid w:val="007E707F"/>
    <w:rsid w:val="007F031C"/>
    <w:rsid w:val="007F7F95"/>
    <w:rsid w:val="00800E72"/>
    <w:rsid w:val="00802A3F"/>
    <w:rsid w:val="00804348"/>
    <w:rsid w:val="008049D0"/>
    <w:rsid w:val="00804C7A"/>
    <w:rsid w:val="00806013"/>
    <w:rsid w:val="00807477"/>
    <w:rsid w:val="008104AC"/>
    <w:rsid w:val="00812955"/>
    <w:rsid w:val="0081409F"/>
    <w:rsid w:val="00814759"/>
    <w:rsid w:val="00814F2F"/>
    <w:rsid w:val="00815D9F"/>
    <w:rsid w:val="00817E6D"/>
    <w:rsid w:val="00820759"/>
    <w:rsid w:val="00820CD8"/>
    <w:rsid w:val="008232EF"/>
    <w:rsid w:val="00823D9B"/>
    <w:rsid w:val="0082532F"/>
    <w:rsid w:val="00825F25"/>
    <w:rsid w:val="00830E4B"/>
    <w:rsid w:val="008310C8"/>
    <w:rsid w:val="008310E3"/>
    <w:rsid w:val="008322D2"/>
    <w:rsid w:val="0083477E"/>
    <w:rsid w:val="008347F3"/>
    <w:rsid w:val="00836EC5"/>
    <w:rsid w:val="00836FF7"/>
    <w:rsid w:val="00842398"/>
    <w:rsid w:val="008427C7"/>
    <w:rsid w:val="0084497A"/>
    <w:rsid w:val="00844E60"/>
    <w:rsid w:val="00845409"/>
    <w:rsid w:val="00846CA7"/>
    <w:rsid w:val="00847781"/>
    <w:rsid w:val="00855689"/>
    <w:rsid w:val="00857A2A"/>
    <w:rsid w:val="00861043"/>
    <w:rsid w:val="00862863"/>
    <w:rsid w:val="0086309D"/>
    <w:rsid w:val="00865D65"/>
    <w:rsid w:val="00872693"/>
    <w:rsid w:val="00872789"/>
    <w:rsid w:val="00872874"/>
    <w:rsid w:val="00874315"/>
    <w:rsid w:val="008744B1"/>
    <w:rsid w:val="0087613A"/>
    <w:rsid w:val="00881C67"/>
    <w:rsid w:val="0088293E"/>
    <w:rsid w:val="00885F4D"/>
    <w:rsid w:val="0088752D"/>
    <w:rsid w:val="00892674"/>
    <w:rsid w:val="00895F86"/>
    <w:rsid w:val="008A150D"/>
    <w:rsid w:val="008A1E15"/>
    <w:rsid w:val="008A3B06"/>
    <w:rsid w:val="008A3DAB"/>
    <w:rsid w:val="008A526D"/>
    <w:rsid w:val="008A5F3D"/>
    <w:rsid w:val="008A6874"/>
    <w:rsid w:val="008B08FA"/>
    <w:rsid w:val="008B3409"/>
    <w:rsid w:val="008B3A49"/>
    <w:rsid w:val="008B4AC3"/>
    <w:rsid w:val="008B60C7"/>
    <w:rsid w:val="008B7754"/>
    <w:rsid w:val="008C1554"/>
    <w:rsid w:val="008C2C3A"/>
    <w:rsid w:val="008C61C2"/>
    <w:rsid w:val="008C62D9"/>
    <w:rsid w:val="008C65D0"/>
    <w:rsid w:val="008C732A"/>
    <w:rsid w:val="008D0B2D"/>
    <w:rsid w:val="008D0E56"/>
    <w:rsid w:val="008D12ED"/>
    <w:rsid w:val="008D28E9"/>
    <w:rsid w:val="008D37ED"/>
    <w:rsid w:val="008E0BDA"/>
    <w:rsid w:val="008E374B"/>
    <w:rsid w:val="008E4B4E"/>
    <w:rsid w:val="008E5940"/>
    <w:rsid w:val="008E6F38"/>
    <w:rsid w:val="008F01E0"/>
    <w:rsid w:val="008F03D1"/>
    <w:rsid w:val="008F0B2B"/>
    <w:rsid w:val="008F0C97"/>
    <w:rsid w:val="008F2597"/>
    <w:rsid w:val="008F30A3"/>
    <w:rsid w:val="008F5AEB"/>
    <w:rsid w:val="008F68EC"/>
    <w:rsid w:val="008F6C1F"/>
    <w:rsid w:val="008F771B"/>
    <w:rsid w:val="00902C34"/>
    <w:rsid w:val="00903237"/>
    <w:rsid w:val="0090529E"/>
    <w:rsid w:val="0090622C"/>
    <w:rsid w:val="00906EE1"/>
    <w:rsid w:val="00910B6E"/>
    <w:rsid w:val="00911089"/>
    <w:rsid w:val="00914C21"/>
    <w:rsid w:val="0092188A"/>
    <w:rsid w:val="00923C31"/>
    <w:rsid w:val="00924158"/>
    <w:rsid w:val="00925D8F"/>
    <w:rsid w:val="0092626F"/>
    <w:rsid w:val="009264A1"/>
    <w:rsid w:val="00930F38"/>
    <w:rsid w:val="009322C0"/>
    <w:rsid w:val="009348E7"/>
    <w:rsid w:val="009356EF"/>
    <w:rsid w:val="00935CC0"/>
    <w:rsid w:val="00935DD0"/>
    <w:rsid w:val="00937B51"/>
    <w:rsid w:val="00941F79"/>
    <w:rsid w:val="00944862"/>
    <w:rsid w:val="009457FD"/>
    <w:rsid w:val="0094778E"/>
    <w:rsid w:val="009524B7"/>
    <w:rsid w:val="00952A0F"/>
    <w:rsid w:val="00953F17"/>
    <w:rsid w:val="00955EAD"/>
    <w:rsid w:val="0095682C"/>
    <w:rsid w:val="00956FF4"/>
    <w:rsid w:val="00961112"/>
    <w:rsid w:val="009629D2"/>
    <w:rsid w:val="00964456"/>
    <w:rsid w:val="009662F9"/>
    <w:rsid w:val="0096651D"/>
    <w:rsid w:val="00967E93"/>
    <w:rsid w:val="009704FC"/>
    <w:rsid w:val="009723A7"/>
    <w:rsid w:val="009729A3"/>
    <w:rsid w:val="0097415C"/>
    <w:rsid w:val="0097515E"/>
    <w:rsid w:val="00976180"/>
    <w:rsid w:val="009801AF"/>
    <w:rsid w:val="00980E75"/>
    <w:rsid w:val="00982AF1"/>
    <w:rsid w:val="00983CD1"/>
    <w:rsid w:val="00984E60"/>
    <w:rsid w:val="009853F3"/>
    <w:rsid w:val="00987285"/>
    <w:rsid w:val="0099053B"/>
    <w:rsid w:val="00990582"/>
    <w:rsid w:val="00993174"/>
    <w:rsid w:val="009934A0"/>
    <w:rsid w:val="00994831"/>
    <w:rsid w:val="009952A2"/>
    <w:rsid w:val="00996452"/>
    <w:rsid w:val="0099692A"/>
    <w:rsid w:val="009A33C7"/>
    <w:rsid w:val="009A4369"/>
    <w:rsid w:val="009A68E0"/>
    <w:rsid w:val="009A6FC2"/>
    <w:rsid w:val="009B024E"/>
    <w:rsid w:val="009B044A"/>
    <w:rsid w:val="009B1100"/>
    <w:rsid w:val="009B4319"/>
    <w:rsid w:val="009B474C"/>
    <w:rsid w:val="009B492A"/>
    <w:rsid w:val="009B4A57"/>
    <w:rsid w:val="009B5511"/>
    <w:rsid w:val="009B76F7"/>
    <w:rsid w:val="009C049A"/>
    <w:rsid w:val="009D08AD"/>
    <w:rsid w:val="009D30AD"/>
    <w:rsid w:val="009D41F0"/>
    <w:rsid w:val="009E167C"/>
    <w:rsid w:val="009E4B9A"/>
    <w:rsid w:val="009F02EB"/>
    <w:rsid w:val="009F07F4"/>
    <w:rsid w:val="009F3D7A"/>
    <w:rsid w:val="009F3F9E"/>
    <w:rsid w:val="00A00881"/>
    <w:rsid w:val="00A01C1A"/>
    <w:rsid w:val="00A0216E"/>
    <w:rsid w:val="00A13B63"/>
    <w:rsid w:val="00A140F5"/>
    <w:rsid w:val="00A15090"/>
    <w:rsid w:val="00A16D82"/>
    <w:rsid w:val="00A170DE"/>
    <w:rsid w:val="00A17520"/>
    <w:rsid w:val="00A23592"/>
    <w:rsid w:val="00A23E3F"/>
    <w:rsid w:val="00A273E8"/>
    <w:rsid w:val="00A3139F"/>
    <w:rsid w:val="00A320B9"/>
    <w:rsid w:val="00A329F3"/>
    <w:rsid w:val="00A32B3C"/>
    <w:rsid w:val="00A3534E"/>
    <w:rsid w:val="00A35358"/>
    <w:rsid w:val="00A410AA"/>
    <w:rsid w:val="00A41980"/>
    <w:rsid w:val="00A43126"/>
    <w:rsid w:val="00A4336B"/>
    <w:rsid w:val="00A5204A"/>
    <w:rsid w:val="00A5517E"/>
    <w:rsid w:val="00A57156"/>
    <w:rsid w:val="00A614CB"/>
    <w:rsid w:val="00A61849"/>
    <w:rsid w:val="00A62BCC"/>
    <w:rsid w:val="00A641AF"/>
    <w:rsid w:val="00A66011"/>
    <w:rsid w:val="00A6797F"/>
    <w:rsid w:val="00A67E99"/>
    <w:rsid w:val="00A67F7F"/>
    <w:rsid w:val="00A70D6A"/>
    <w:rsid w:val="00A71AAB"/>
    <w:rsid w:val="00A73173"/>
    <w:rsid w:val="00A7334C"/>
    <w:rsid w:val="00A812A2"/>
    <w:rsid w:val="00A81D8B"/>
    <w:rsid w:val="00A82403"/>
    <w:rsid w:val="00A90F35"/>
    <w:rsid w:val="00A9203D"/>
    <w:rsid w:val="00A92F88"/>
    <w:rsid w:val="00A97A16"/>
    <w:rsid w:val="00AA2B60"/>
    <w:rsid w:val="00AA5F51"/>
    <w:rsid w:val="00AA72F3"/>
    <w:rsid w:val="00AB1C22"/>
    <w:rsid w:val="00AB61A3"/>
    <w:rsid w:val="00AB6D3F"/>
    <w:rsid w:val="00AB70B0"/>
    <w:rsid w:val="00AC003D"/>
    <w:rsid w:val="00AC0F7B"/>
    <w:rsid w:val="00AC1A2D"/>
    <w:rsid w:val="00AC2887"/>
    <w:rsid w:val="00AC5619"/>
    <w:rsid w:val="00AC66A0"/>
    <w:rsid w:val="00AD09D7"/>
    <w:rsid w:val="00AD1E2C"/>
    <w:rsid w:val="00AD2CAE"/>
    <w:rsid w:val="00AD3D05"/>
    <w:rsid w:val="00AD5D67"/>
    <w:rsid w:val="00AD6040"/>
    <w:rsid w:val="00AD7666"/>
    <w:rsid w:val="00AE1D3D"/>
    <w:rsid w:val="00AE2566"/>
    <w:rsid w:val="00AE3497"/>
    <w:rsid w:val="00AE3AC5"/>
    <w:rsid w:val="00AE5D89"/>
    <w:rsid w:val="00AE6741"/>
    <w:rsid w:val="00AE7B17"/>
    <w:rsid w:val="00AF00E5"/>
    <w:rsid w:val="00AF04BE"/>
    <w:rsid w:val="00AF0C8B"/>
    <w:rsid w:val="00AF207E"/>
    <w:rsid w:val="00AF6C78"/>
    <w:rsid w:val="00AF7239"/>
    <w:rsid w:val="00B00C00"/>
    <w:rsid w:val="00B01756"/>
    <w:rsid w:val="00B049BA"/>
    <w:rsid w:val="00B07223"/>
    <w:rsid w:val="00B079FF"/>
    <w:rsid w:val="00B07B89"/>
    <w:rsid w:val="00B11477"/>
    <w:rsid w:val="00B127A3"/>
    <w:rsid w:val="00B22CE6"/>
    <w:rsid w:val="00B22F8A"/>
    <w:rsid w:val="00B240B7"/>
    <w:rsid w:val="00B25A4A"/>
    <w:rsid w:val="00B26792"/>
    <w:rsid w:val="00B26B17"/>
    <w:rsid w:val="00B301AB"/>
    <w:rsid w:val="00B32CC5"/>
    <w:rsid w:val="00B33AA6"/>
    <w:rsid w:val="00B34158"/>
    <w:rsid w:val="00B361E1"/>
    <w:rsid w:val="00B36FBE"/>
    <w:rsid w:val="00B41D3A"/>
    <w:rsid w:val="00B42358"/>
    <w:rsid w:val="00B4547F"/>
    <w:rsid w:val="00B51809"/>
    <w:rsid w:val="00B521DD"/>
    <w:rsid w:val="00B523CD"/>
    <w:rsid w:val="00B5381D"/>
    <w:rsid w:val="00B54941"/>
    <w:rsid w:val="00B54BDC"/>
    <w:rsid w:val="00B60426"/>
    <w:rsid w:val="00B65EF5"/>
    <w:rsid w:val="00B66DBE"/>
    <w:rsid w:val="00B67CE4"/>
    <w:rsid w:val="00B71698"/>
    <w:rsid w:val="00B71A42"/>
    <w:rsid w:val="00B727F8"/>
    <w:rsid w:val="00B75E73"/>
    <w:rsid w:val="00B77101"/>
    <w:rsid w:val="00B77C8F"/>
    <w:rsid w:val="00B80152"/>
    <w:rsid w:val="00B8581D"/>
    <w:rsid w:val="00B9005C"/>
    <w:rsid w:val="00B94A19"/>
    <w:rsid w:val="00B964F3"/>
    <w:rsid w:val="00BA1142"/>
    <w:rsid w:val="00BA3790"/>
    <w:rsid w:val="00BA4AF3"/>
    <w:rsid w:val="00BA6010"/>
    <w:rsid w:val="00BA6D28"/>
    <w:rsid w:val="00BA754C"/>
    <w:rsid w:val="00BB041F"/>
    <w:rsid w:val="00BB3CFF"/>
    <w:rsid w:val="00BB4084"/>
    <w:rsid w:val="00BB4387"/>
    <w:rsid w:val="00BB53EB"/>
    <w:rsid w:val="00BB6307"/>
    <w:rsid w:val="00BB7DED"/>
    <w:rsid w:val="00BC584D"/>
    <w:rsid w:val="00BC6F53"/>
    <w:rsid w:val="00BD02D1"/>
    <w:rsid w:val="00BD2AF6"/>
    <w:rsid w:val="00BD3719"/>
    <w:rsid w:val="00BD3CD8"/>
    <w:rsid w:val="00BD3E70"/>
    <w:rsid w:val="00BD5432"/>
    <w:rsid w:val="00BD573B"/>
    <w:rsid w:val="00BE2EAE"/>
    <w:rsid w:val="00BE3B74"/>
    <w:rsid w:val="00BE4604"/>
    <w:rsid w:val="00BE5130"/>
    <w:rsid w:val="00BE5A10"/>
    <w:rsid w:val="00BE5DF0"/>
    <w:rsid w:val="00BE7E05"/>
    <w:rsid w:val="00BF0F9B"/>
    <w:rsid w:val="00BF1A4D"/>
    <w:rsid w:val="00BF6AB1"/>
    <w:rsid w:val="00C0032C"/>
    <w:rsid w:val="00C00D40"/>
    <w:rsid w:val="00C03315"/>
    <w:rsid w:val="00C0405E"/>
    <w:rsid w:val="00C06C69"/>
    <w:rsid w:val="00C11E9C"/>
    <w:rsid w:val="00C122E9"/>
    <w:rsid w:val="00C15BA7"/>
    <w:rsid w:val="00C21E64"/>
    <w:rsid w:val="00C22D50"/>
    <w:rsid w:val="00C2369E"/>
    <w:rsid w:val="00C301D2"/>
    <w:rsid w:val="00C31E86"/>
    <w:rsid w:val="00C31EFE"/>
    <w:rsid w:val="00C33C16"/>
    <w:rsid w:val="00C368C5"/>
    <w:rsid w:val="00C37766"/>
    <w:rsid w:val="00C40D14"/>
    <w:rsid w:val="00C41F90"/>
    <w:rsid w:val="00C420BA"/>
    <w:rsid w:val="00C46A7C"/>
    <w:rsid w:val="00C4725F"/>
    <w:rsid w:val="00C50B4D"/>
    <w:rsid w:val="00C533AE"/>
    <w:rsid w:val="00C55ECD"/>
    <w:rsid w:val="00C561D5"/>
    <w:rsid w:val="00C6261B"/>
    <w:rsid w:val="00C64F05"/>
    <w:rsid w:val="00C66D15"/>
    <w:rsid w:val="00C67242"/>
    <w:rsid w:val="00C709CE"/>
    <w:rsid w:val="00C717C3"/>
    <w:rsid w:val="00C72FA6"/>
    <w:rsid w:val="00C72FAA"/>
    <w:rsid w:val="00C73115"/>
    <w:rsid w:val="00C736F0"/>
    <w:rsid w:val="00C73FEC"/>
    <w:rsid w:val="00C74681"/>
    <w:rsid w:val="00C75545"/>
    <w:rsid w:val="00C7639C"/>
    <w:rsid w:val="00C8021B"/>
    <w:rsid w:val="00C834BA"/>
    <w:rsid w:val="00C858AD"/>
    <w:rsid w:val="00C864A8"/>
    <w:rsid w:val="00C91BA2"/>
    <w:rsid w:val="00C92543"/>
    <w:rsid w:val="00C93573"/>
    <w:rsid w:val="00C94A4C"/>
    <w:rsid w:val="00C94E85"/>
    <w:rsid w:val="00C97530"/>
    <w:rsid w:val="00CA1D9A"/>
    <w:rsid w:val="00CA3F57"/>
    <w:rsid w:val="00CA3FB8"/>
    <w:rsid w:val="00CA41AB"/>
    <w:rsid w:val="00CA64E2"/>
    <w:rsid w:val="00CA6FDE"/>
    <w:rsid w:val="00CB08AA"/>
    <w:rsid w:val="00CB15E3"/>
    <w:rsid w:val="00CB1A55"/>
    <w:rsid w:val="00CB2AE6"/>
    <w:rsid w:val="00CB348D"/>
    <w:rsid w:val="00CB3FF3"/>
    <w:rsid w:val="00CB7F4A"/>
    <w:rsid w:val="00CC0401"/>
    <w:rsid w:val="00CC0660"/>
    <w:rsid w:val="00CC0768"/>
    <w:rsid w:val="00CC1975"/>
    <w:rsid w:val="00CC7246"/>
    <w:rsid w:val="00CD0AB3"/>
    <w:rsid w:val="00CD12ED"/>
    <w:rsid w:val="00CD26F4"/>
    <w:rsid w:val="00CD4368"/>
    <w:rsid w:val="00CD46B1"/>
    <w:rsid w:val="00CD5D76"/>
    <w:rsid w:val="00CD70AD"/>
    <w:rsid w:val="00CD7922"/>
    <w:rsid w:val="00CD7F21"/>
    <w:rsid w:val="00CE1250"/>
    <w:rsid w:val="00CE2CC7"/>
    <w:rsid w:val="00CE308C"/>
    <w:rsid w:val="00CE37A6"/>
    <w:rsid w:val="00CE692B"/>
    <w:rsid w:val="00CE7590"/>
    <w:rsid w:val="00CE7C0F"/>
    <w:rsid w:val="00CF0AE3"/>
    <w:rsid w:val="00CF2F28"/>
    <w:rsid w:val="00CF3505"/>
    <w:rsid w:val="00CF47D8"/>
    <w:rsid w:val="00CF5F9E"/>
    <w:rsid w:val="00CF75E9"/>
    <w:rsid w:val="00D00656"/>
    <w:rsid w:val="00D023DF"/>
    <w:rsid w:val="00D04CAC"/>
    <w:rsid w:val="00D05D95"/>
    <w:rsid w:val="00D07D72"/>
    <w:rsid w:val="00D10781"/>
    <w:rsid w:val="00D1080F"/>
    <w:rsid w:val="00D11409"/>
    <w:rsid w:val="00D159F5"/>
    <w:rsid w:val="00D17A1D"/>
    <w:rsid w:val="00D26AD9"/>
    <w:rsid w:val="00D26CF4"/>
    <w:rsid w:val="00D27207"/>
    <w:rsid w:val="00D33750"/>
    <w:rsid w:val="00D34824"/>
    <w:rsid w:val="00D35E94"/>
    <w:rsid w:val="00D40ABE"/>
    <w:rsid w:val="00D429E0"/>
    <w:rsid w:val="00D45811"/>
    <w:rsid w:val="00D46AE2"/>
    <w:rsid w:val="00D46ECC"/>
    <w:rsid w:val="00D479E4"/>
    <w:rsid w:val="00D47B82"/>
    <w:rsid w:val="00D51F04"/>
    <w:rsid w:val="00D521F6"/>
    <w:rsid w:val="00D533B6"/>
    <w:rsid w:val="00D600A9"/>
    <w:rsid w:val="00D61280"/>
    <w:rsid w:val="00D61DE9"/>
    <w:rsid w:val="00D61F58"/>
    <w:rsid w:val="00D6365E"/>
    <w:rsid w:val="00D67326"/>
    <w:rsid w:val="00D676CE"/>
    <w:rsid w:val="00D715AE"/>
    <w:rsid w:val="00D724F3"/>
    <w:rsid w:val="00D750E9"/>
    <w:rsid w:val="00D7755C"/>
    <w:rsid w:val="00D806F6"/>
    <w:rsid w:val="00D81547"/>
    <w:rsid w:val="00D81D5F"/>
    <w:rsid w:val="00D82053"/>
    <w:rsid w:val="00D838D1"/>
    <w:rsid w:val="00D83B5C"/>
    <w:rsid w:val="00D83C07"/>
    <w:rsid w:val="00D874B5"/>
    <w:rsid w:val="00D92640"/>
    <w:rsid w:val="00D93A78"/>
    <w:rsid w:val="00D94DDD"/>
    <w:rsid w:val="00D951AA"/>
    <w:rsid w:val="00D97C39"/>
    <w:rsid w:val="00DA14D7"/>
    <w:rsid w:val="00DA3C5B"/>
    <w:rsid w:val="00DA59E1"/>
    <w:rsid w:val="00DB24CD"/>
    <w:rsid w:val="00DB4893"/>
    <w:rsid w:val="00DB493D"/>
    <w:rsid w:val="00DC0696"/>
    <w:rsid w:val="00DC1498"/>
    <w:rsid w:val="00DC274E"/>
    <w:rsid w:val="00DC2CE6"/>
    <w:rsid w:val="00DC3DD7"/>
    <w:rsid w:val="00DC62CA"/>
    <w:rsid w:val="00DD219B"/>
    <w:rsid w:val="00DD25E9"/>
    <w:rsid w:val="00DD44CA"/>
    <w:rsid w:val="00DD47D8"/>
    <w:rsid w:val="00DD603A"/>
    <w:rsid w:val="00DE0209"/>
    <w:rsid w:val="00DE1D6C"/>
    <w:rsid w:val="00DE20AD"/>
    <w:rsid w:val="00DE34FC"/>
    <w:rsid w:val="00DE38FF"/>
    <w:rsid w:val="00DE424D"/>
    <w:rsid w:val="00DE5E68"/>
    <w:rsid w:val="00DF005C"/>
    <w:rsid w:val="00DF2D3B"/>
    <w:rsid w:val="00DF39C6"/>
    <w:rsid w:val="00DF42F2"/>
    <w:rsid w:val="00DF4D2C"/>
    <w:rsid w:val="00DF7642"/>
    <w:rsid w:val="00E02306"/>
    <w:rsid w:val="00E03224"/>
    <w:rsid w:val="00E03B58"/>
    <w:rsid w:val="00E0509F"/>
    <w:rsid w:val="00E05DEA"/>
    <w:rsid w:val="00E07983"/>
    <w:rsid w:val="00E12177"/>
    <w:rsid w:val="00E15128"/>
    <w:rsid w:val="00E1520D"/>
    <w:rsid w:val="00E15229"/>
    <w:rsid w:val="00E1603D"/>
    <w:rsid w:val="00E20F0C"/>
    <w:rsid w:val="00E216DA"/>
    <w:rsid w:val="00E21926"/>
    <w:rsid w:val="00E2533A"/>
    <w:rsid w:val="00E30B4A"/>
    <w:rsid w:val="00E353DB"/>
    <w:rsid w:val="00E36DA5"/>
    <w:rsid w:val="00E376E7"/>
    <w:rsid w:val="00E42ACE"/>
    <w:rsid w:val="00E432D1"/>
    <w:rsid w:val="00E44911"/>
    <w:rsid w:val="00E478DE"/>
    <w:rsid w:val="00E552A4"/>
    <w:rsid w:val="00E60F0E"/>
    <w:rsid w:val="00E61892"/>
    <w:rsid w:val="00E622FD"/>
    <w:rsid w:val="00E62AB0"/>
    <w:rsid w:val="00E643D2"/>
    <w:rsid w:val="00E651F8"/>
    <w:rsid w:val="00E776A8"/>
    <w:rsid w:val="00E77E0E"/>
    <w:rsid w:val="00E81632"/>
    <w:rsid w:val="00E81FE1"/>
    <w:rsid w:val="00E82D05"/>
    <w:rsid w:val="00E82E3D"/>
    <w:rsid w:val="00E85882"/>
    <w:rsid w:val="00E876E2"/>
    <w:rsid w:val="00E87880"/>
    <w:rsid w:val="00E917DF"/>
    <w:rsid w:val="00E94433"/>
    <w:rsid w:val="00E95147"/>
    <w:rsid w:val="00E95349"/>
    <w:rsid w:val="00E962A2"/>
    <w:rsid w:val="00E965FF"/>
    <w:rsid w:val="00E975AB"/>
    <w:rsid w:val="00EA23BA"/>
    <w:rsid w:val="00EA3DDB"/>
    <w:rsid w:val="00EA4A14"/>
    <w:rsid w:val="00EA60FC"/>
    <w:rsid w:val="00EA7216"/>
    <w:rsid w:val="00EB1C3D"/>
    <w:rsid w:val="00EB20FB"/>
    <w:rsid w:val="00EB245D"/>
    <w:rsid w:val="00EB4B8F"/>
    <w:rsid w:val="00EB4CC9"/>
    <w:rsid w:val="00EC44D1"/>
    <w:rsid w:val="00EC5D77"/>
    <w:rsid w:val="00ED005C"/>
    <w:rsid w:val="00ED4BDD"/>
    <w:rsid w:val="00ED57CC"/>
    <w:rsid w:val="00ED625A"/>
    <w:rsid w:val="00EE213E"/>
    <w:rsid w:val="00EE242D"/>
    <w:rsid w:val="00EE3373"/>
    <w:rsid w:val="00EE582A"/>
    <w:rsid w:val="00EF1A3D"/>
    <w:rsid w:val="00EF4107"/>
    <w:rsid w:val="00EF7CF3"/>
    <w:rsid w:val="00F004CD"/>
    <w:rsid w:val="00F01B7E"/>
    <w:rsid w:val="00F0240C"/>
    <w:rsid w:val="00F0462A"/>
    <w:rsid w:val="00F0480C"/>
    <w:rsid w:val="00F0636A"/>
    <w:rsid w:val="00F161DD"/>
    <w:rsid w:val="00F20445"/>
    <w:rsid w:val="00F20475"/>
    <w:rsid w:val="00F20F71"/>
    <w:rsid w:val="00F238DC"/>
    <w:rsid w:val="00F24E0B"/>
    <w:rsid w:val="00F33C03"/>
    <w:rsid w:val="00F35956"/>
    <w:rsid w:val="00F36AF4"/>
    <w:rsid w:val="00F4728C"/>
    <w:rsid w:val="00F510D5"/>
    <w:rsid w:val="00F51C6B"/>
    <w:rsid w:val="00F523BB"/>
    <w:rsid w:val="00F526D1"/>
    <w:rsid w:val="00F52EAF"/>
    <w:rsid w:val="00F54E67"/>
    <w:rsid w:val="00F55891"/>
    <w:rsid w:val="00F55DC4"/>
    <w:rsid w:val="00F56FDF"/>
    <w:rsid w:val="00F570E6"/>
    <w:rsid w:val="00F579E0"/>
    <w:rsid w:val="00F60AFF"/>
    <w:rsid w:val="00F6172D"/>
    <w:rsid w:val="00F64D86"/>
    <w:rsid w:val="00F65B76"/>
    <w:rsid w:val="00F74734"/>
    <w:rsid w:val="00F75CC1"/>
    <w:rsid w:val="00F8224B"/>
    <w:rsid w:val="00F822F7"/>
    <w:rsid w:val="00F84988"/>
    <w:rsid w:val="00F878EA"/>
    <w:rsid w:val="00F911F6"/>
    <w:rsid w:val="00F92D81"/>
    <w:rsid w:val="00F955B7"/>
    <w:rsid w:val="00F96C35"/>
    <w:rsid w:val="00FA1D0B"/>
    <w:rsid w:val="00FA1E71"/>
    <w:rsid w:val="00FA39F9"/>
    <w:rsid w:val="00FA4282"/>
    <w:rsid w:val="00FA6992"/>
    <w:rsid w:val="00FA7EB0"/>
    <w:rsid w:val="00FB232D"/>
    <w:rsid w:val="00FB49EE"/>
    <w:rsid w:val="00FB5826"/>
    <w:rsid w:val="00FB5BE4"/>
    <w:rsid w:val="00FB74E7"/>
    <w:rsid w:val="00FC0104"/>
    <w:rsid w:val="00FC064A"/>
    <w:rsid w:val="00FC1728"/>
    <w:rsid w:val="00FC2790"/>
    <w:rsid w:val="00FC4576"/>
    <w:rsid w:val="00FC4BF9"/>
    <w:rsid w:val="00FC567C"/>
    <w:rsid w:val="00FC5D89"/>
    <w:rsid w:val="00FD1631"/>
    <w:rsid w:val="00FD3893"/>
    <w:rsid w:val="00FD45E8"/>
    <w:rsid w:val="00FD5436"/>
    <w:rsid w:val="00FD68F0"/>
    <w:rsid w:val="00FE31AA"/>
    <w:rsid w:val="00FE3519"/>
    <w:rsid w:val="00FE448D"/>
    <w:rsid w:val="00FE4E9A"/>
    <w:rsid w:val="00FE5C06"/>
    <w:rsid w:val="00FE6479"/>
    <w:rsid w:val="00FF056A"/>
    <w:rsid w:val="00FF08E8"/>
    <w:rsid w:val="00FF0F48"/>
    <w:rsid w:val="00FF1B2C"/>
    <w:rsid w:val="00FF2719"/>
    <w:rsid w:val="00FF3129"/>
    <w:rsid w:val="00FF4A3F"/>
    <w:rsid w:val="00FF74D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48C44"/>
  <w15:chartTrackingRefBased/>
  <w15:docId w15:val="{3E1DC446-25D1-4914-9FFD-DF31E84CC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762DF6"/>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tulo">
    <w:name w:val="Title"/>
    <w:basedOn w:val="Normal"/>
    <w:link w:val="TtuloCar"/>
    <w:qFormat/>
    <w:rsid w:val="00762DF6"/>
    <w:pPr>
      <w:jc w:val="center"/>
    </w:pPr>
    <w:rPr>
      <w:rFonts w:ascii="Arial" w:hAnsi="Arial" w:cs="Arial"/>
      <w:b/>
      <w:bCs/>
      <w:color w:val="000000"/>
    </w:rPr>
  </w:style>
  <w:style w:type="character" w:customStyle="1" w:styleId="TtuloCar">
    <w:name w:val="Título Car"/>
    <w:basedOn w:val="Fuentedeprrafopredeter"/>
    <w:link w:val="Ttulo"/>
    <w:rsid w:val="00762DF6"/>
    <w:rPr>
      <w:rFonts w:ascii="Arial" w:eastAsia="Times New Roman" w:hAnsi="Arial" w:cs="Arial"/>
      <w:b/>
      <w:bCs/>
      <w:color w:val="000000"/>
      <w:sz w:val="24"/>
      <w:szCs w:val="24"/>
      <w:lang w:val="es-ES" w:eastAsia="es-ES"/>
    </w:rPr>
  </w:style>
  <w:style w:type="paragraph" w:styleId="Textodeglobo">
    <w:name w:val="Balloon Text"/>
    <w:basedOn w:val="Normal"/>
    <w:link w:val="TextodegloboCar"/>
    <w:uiPriority w:val="99"/>
    <w:semiHidden/>
    <w:unhideWhenUsed/>
    <w:rsid w:val="008D0B2D"/>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D0B2D"/>
    <w:rPr>
      <w:rFonts w:ascii="Segoe UI" w:eastAsia="Times New Roman" w:hAnsi="Segoe UI" w:cs="Segoe UI"/>
      <w:sz w:val="18"/>
      <w:szCs w:val="18"/>
      <w:lang w:val="es-ES" w:eastAsia="es-ES"/>
    </w:rPr>
  </w:style>
  <w:style w:type="paragraph" w:styleId="Textoindependiente2">
    <w:name w:val="Body Text 2"/>
    <w:basedOn w:val="Normal"/>
    <w:link w:val="Textoindependiente2Car"/>
    <w:rsid w:val="002C4CB6"/>
    <w:pPr>
      <w:jc w:val="both"/>
    </w:pPr>
    <w:rPr>
      <w:rFonts w:ascii="Arial" w:hAnsi="Arial" w:cs="Arial"/>
      <w:b/>
      <w:bCs/>
      <w:color w:val="000000"/>
      <w:lang w:val="es-ES_tradnl"/>
    </w:rPr>
  </w:style>
  <w:style w:type="character" w:customStyle="1" w:styleId="Textoindependiente2Car">
    <w:name w:val="Texto independiente 2 Car"/>
    <w:basedOn w:val="Fuentedeprrafopredeter"/>
    <w:link w:val="Textoindependiente2"/>
    <w:rsid w:val="002C4CB6"/>
    <w:rPr>
      <w:rFonts w:ascii="Arial" w:eastAsia="Times New Roman" w:hAnsi="Arial" w:cs="Arial"/>
      <w:b/>
      <w:bCs/>
      <w:color w:val="000000"/>
      <w:sz w:val="24"/>
      <w:szCs w:val="24"/>
      <w:lang w:val="es-ES_tradnl" w:eastAsia="es-ES"/>
    </w:rPr>
  </w:style>
  <w:style w:type="paragraph" w:styleId="Prrafodelista">
    <w:name w:val="List Paragraph"/>
    <w:aliases w:val="EY EPM - Lista"/>
    <w:basedOn w:val="Normal"/>
    <w:link w:val="PrrafodelistaCar"/>
    <w:uiPriority w:val="34"/>
    <w:qFormat/>
    <w:rsid w:val="006B66F7"/>
    <w:pPr>
      <w:ind w:left="720"/>
      <w:contextualSpacing/>
    </w:pPr>
  </w:style>
  <w:style w:type="character" w:customStyle="1" w:styleId="PrrafodelistaCar">
    <w:name w:val="Párrafo de lista Car"/>
    <w:aliases w:val="EY EPM - Lista Car"/>
    <w:link w:val="Prrafodelista"/>
    <w:uiPriority w:val="34"/>
    <w:locked/>
    <w:rsid w:val="00F52EAF"/>
    <w:rPr>
      <w:rFonts w:ascii="Times New Roman" w:eastAsia="Times New Roman" w:hAnsi="Times New Roman" w:cs="Times New Roman"/>
      <w:sz w:val="24"/>
      <w:szCs w:val="24"/>
      <w:lang w:val="es-ES" w:eastAsia="es-ES"/>
    </w:rPr>
  </w:style>
  <w:style w:type="paragraph" w:styleId="Encabezado">
    <w:name w:val="header"/>
    <w:basedOn w:val="Normal"/>
    <w:link w:val="EncabezadoCar"/>
    <w:uiPriority w:val="99"/>
    <w:rsid w:val="00F822F7"/>
    <w:pPr>
      <w:tabs>
        <w:tab w:val="center" w:pos="4252"/>
        <w:tab w:val="right" w:pos="8504"/>
      </w:tabs>
    </w:pPr>
    <w:rPr>
      <w:rFonts w:ascii="Arial" w:hAnsi="Arial" w:cs="Arial"/>
      <w:color w:val="000000"/>
    </w:rPr>
  </w:style>
  <w:style w:type="character" w:customStyle="1" w:styleId="EncabezadoCar">
    <w:name w:val="Encabezado Car"/>
    <w:basedOn w:val="Fuentedeprrafopredeter"/>
    <w:link w:val="Encabezado"/>
    <w:uiPriority w:val="99"/>
    <w:rsid w:val="00F822F7"/>
    <w:rPr>
      <w:rFonts w:ascii="Arial" w:eastAsia="Times New Roman" w:hAnsi="Arial" w:cs="Arial"/>
      <w:color w:val="000000"/>
      <w:sz w:val="24"/>
      <w:szCs w:val="24"/>
      <w:lang w:val="es-ES" w:eastAsia="es-ES"/>
    </w:rPr>
  </w:style>
  <w:style w:type="character" w:styleId="Refdecomentario">
    <w:name w:val="annotation reference"/>
    <w:basedOn w:val="Fuentedeprrafopredeter"/>
    <w:uiPriority w:val="99"/>
    <w:semiHidden/>
    <w:unhideWhenUsed/>
    <w:rsid w:val="006D44D1"/>
    <w:rPr>
      <w:sz w:val="16"/>
      <w:szCs w:val="16"/>
    </w:rPr>
  </w:style>
  <w:style w:type="paragraph" w:styleId="Textocomentario">
    <w:name w:val="annotation text"/>
    <w:basedOn w:val="Normal"/>
    <w:link w:val="TextocomentarioCar"/>
    <w:uiPriority w:val="99"/>
    <w:semiHidden/>
    <w:unhideWhenUsed/>
    <w:rsid w:val="006D44D1"/>
    <w:rPr>
      <w:sz w:val="20"/>
      <w:szCs w:val="20"/>
    </w:rPr>
  </w:style>
  <w:style w:type="character" w:customStyle="1" w:styleId="TextocomentarioCar">
    <w:name w:val="Texto comentario Car"/>
    <w:basedOn w:val="Fuentedeprrafopredeter"/>
    <w:link w:val="Textocomentario"/>
    <w:uiPriority w:val="99"/>
    <w:semiHidden/>
    <w:rsid w:val="006D44D1"/>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6D44D1"/>
    <w:rPr>
      <w:b/>
      <w:bCs/>
    </w:rPr>
  </w:style>
  <w:style w:type="character" w:customStyle="1" w:styleId="AsuntodelcomentarioCar">
    <w:name w:val="Asunto del comentario Car"/>
    <w:basedOn w:val="TextocomentarioCar"/>
    <w:link w:val="Asuntodelcomentario"/>
    <w:uiPriority w:val="99"/>
    <w:semiHidden/>
    <w:rsid w:val="006D44D1"/>
    <w:rPr>
      <w:rFonts w:ascii="Times New Roman" w:eastAsia="Times New Roman" w:hAnsi="Times New Roman" w:cs="Times New Roman"/>
      <w:b/>
      <w:bCs/>
      <w:sz w:val="20"/>
      <w:szCs w:val="20"/>
      <w:lang w:val="es-ES" w:eastAsia="es-ES"/>
    </w:rPr>
  </w:style>
  <w:style w:type="table" w:styleId="Tablaconcuadrcula">
    <w:name w:val="Table Grid"/>
    <w:basedOn w:val="Tablanormal"/>
    <w:uiPriority w:val="39"/>
    <w:rsid w:val="00FC0104"/>
    <w:pPr>
      <w:spacing w:after="0" w:line="240" w:lineRule="auto"/>
    </w:pPr>
    <w:rPr>
      <w:rFonts w:ascii="Times New Roman" w:eastAsia="Times New Roman" w:hAnsi="Times New Roman" w:cs="Times New Roman"/>
      <w:sz w:val="20"/>
      <w:szCs w:val="20"/>
      <w:lang w:eastAsia="es-C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1976466">
      <w:bodyDiv w:val="1"/>
      <w:marLeft w:val="0"/>
      <w:marRight w:val="0"/>
      <w:marTop w:val="0"/>
      <w:marBottom w:val="0"/>
      <w:divBdr>
        <w:top w:val="none" w:sz="0" w:space="0" w:color="auto"/>
        <w:left w:val="none" w:sz="0" w:space="0" w:color="auto"/>
        <w:bottom w:val="none" w:sz="0" w:space="0" w:color="auto"/>
        <w:right w:val="none" w:sz="0" w:space="0" w:color="auto"/>
      </w:divBdr>
    </w:div>
    <w:div w:id="1608610975">
      <w:bodyDiv w:val="1"/>
      <w:marLeft w:val="0"/>
      <w:marRight w:val="0"/>
      <w:marTop w:val="0"/>
      <w:marBottom w:val="0"/>
      <w:divBdr>
        <w:top w:val="none" w:sz="0" w:space="0" w:color="auto"/>
        <w:left w:val="none" w:sz="0" w:space="0" w:color="auto"/>
        <w:bottom w:val="none" w:sz="0" w:space="0" w:color="auto"/>
        <w:right w:val="none" w:sz="0" w:space="0" w:color="auto"/>
      </w:divBdr>
    </w:div>
    <w:div w:id="1642152738">
      <w:bodyDiv w:val="1"/>
      <w:marLeft w:val="0"/>
      <w:marRight w:val="0"/>
      <w:marTop w:val="0"/>
      <w:marBottom w:val="0"/>
      <w:divBdr>
        <w:top w:val="none" w:sz="0" w:space="0" w:color="auto"/>
        <w:left w:val="none" w:sz="0" w:space="0" w:color="auto"/>
        <w:bottom w:val="none" w:sz="0" w:space="0" w:color="auto"/>
        <w:right w:val="none" w:sz="0" w:space="0" w:color="auto"/>
      </w:divBdr>
    </w:div>
    <w:div w:id="2080396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image" Target="media/image8.emf"/><Relationship Id="rId3" Type="http://schemas.openxmlformats.org/officeDocument/2006/relationships/styles" Target="styles.xml"/><Relationship Id="rId7" Type="http://schemas.openxmlformats.org/officeDocument/2006/relationships/image" Target="media/image2.emf"/><Relationship Id="rId12" Type="http://schemas.openxmlformats.org/officeDocument/2006/relationships/image" Target="media/image7.e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emf"/><Relationship Id="rId11" Type="http://schemas.openxmlformats.org/officeDocument/2006/relationships/image" Target="media/image6.emf"/><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emf"/><Relationship Id="rId4" Type="http://schemas.openxmlformats.org/officeDocument/2006/relationships/settings" Target="settings.xml"/><Relationship Id="rId9" Type="http://schemas.openxmlformats.org/officeDocument/2006/relationships/image" Target="media/image4.emf"/><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CCFF80-5464-4404-B0C3-449C9E615B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2858</TotalTime>
  <Pages>10</Pages>
  <Words>3654</Words>
  <Characters>20103</Characters>
  <Application>Microsoft Office Word</Application>
  <DocSecurity>0</DocSecurity>
  <Lines>167</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Adriana Judith Mayorga Mayorga</dc:creator>
  <cp:keywords/>
  <dc:description/>
  <cp:lastModifiedBy>Adriana Judith Mayorga Mayorga</cp:lastModifiedBy>
  <cp:revision>130</cp:revision>
  <cp:lastPrinted>2019-09-30T21:35:00Z</cp:lastPrinted>
  <dcterms:created xsi:type="dcterms:W3CDTF">2019-11-27T16:27:00Z</dcterms:created>
  <dcterms:modified xsi:type="dcterms:W3CDTF">2019-11-29T17:12:00Z</dcterms:modified>
</cp:coreProperties>
</file>